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1E7A0">
      <w:pPr>
        <w:shd w:val="clear" w:color="auto" w:fill="FFFFFF"/>
        <w:jc w:val="center"/>
        <w:rPr>
          <w:rFonts w:ascii="Microsoft Sans Serif" w:hAnsi="Microsoft Sans Serif" w:cs="Microsoft Sans Serif"/>
          <w:sz w:val="20"/>
          <w:szCs w:val="20"/>
          <w:lang w:val="hr-BA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UPUTSTVO ZA PACIJENTA</w:t>
      </w:r>
    </w:p>
    <w:p w14:paraId="1DDF8DE3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2453101D">
      <w:pPr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AQUA AD INIECTABILIA ALKALOID</w:t>
      </w:r>
      <w:r>
        <w:rPr>
          <w:rFonts w:ascii="Microsoft Sans Serif" w:hAnsi="Microsoft Sans Serif" w:cs="Microsoft Sans Serif"/>
          <w:b/>
          <w:sz w:val="20"/>
          <w:szCs w:val="20"/>
          <w:vertAlign w:val="superscript"/>
          <w:lang w:val="hr-BA"/>
        </w:rPr>
        <w:t xml:space="preserve"> </w:t>
      </w:r>
    </w:p>
    <w:p w14:paraId="219DE96D">
      <w:pPr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5 ml </w:t>
      </w:r>
    </w:p>
    <w:p w14:paraId="4210B99D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rastvarač za parenteralnu upotrebu</w:t>
      </w:r>
    </w:p>
    <w:p w14:paraId="16AD8CA9">
      <w:pPr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>voda za injekcije</w:t>
      </w:r>
    </w:p>
    <w:p w14:paraId="1AF9F3F5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0210B934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569DA009">
      <w:pPr>
        <w:shd w:val="clear" w:color="auto" w:fill="FFFFFF"/>
        <w:tabs>
          <w:tab w:val="left" w:pos="8789"/>
          <w:tab w:val="left" w:pos="9071"/>
        </w:tabs>
        <w:jc w:val="both"/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Prije upotrebe lijeka pažljivo pročitajte ovo uputstvo, jer sadrži informacije koje su važne za Vas.</w:t>
      </w:r>
    </w:p>
    <w:p w14:paraId="78115030">
      <w:pPr>
        <w:shd w:val="clear" w:color="auto" w:fill="FFFFFF"/>
        <w:tabs>
          <w:tab w:val="left" w:pos="8789"/>
          <w:tab w:val="left" w:pos="9071"/>
        </w:tabs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Ovaj lijek se može kupiti bez ljekarskog recepta. Međutim, neophodno je da ga pažljivo koristite da biste sa njim postigli najbolje rezultate.</w:t>
      </w:r>
    </w:p>
    <w:p w14:paraId="4B3E26E4">
      <w:pPr>
        <w:shd w:val="clear" w:color="auto" w:fill="FFFFFF"/>
        <w:tabs>
          <w:tab w:val="left" w:pos="8789"/>
          <w:tab w:val="left" w:pos="9071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 Uputstvo sačuvajte. Možda ćete željeti ponovo da ga pročitate.</w:t>
      </w:r>
    </w:p>
    <w:p w14:paraId="2A66D092">
      <w:pPr>
        <w:shd w:val="clear" w:color="auto" w:fill="FFFFFF"/>
        <w:tabs>
          <w:tab w:val="left" w:pos="8789"/>
          <w:tab w:val="left" w:pos="9071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 Ako imate dodatnih pitanja, obratite se farmaceutu.</w:t>
      </w:r>
    </w:p>
    <w:p w14:paraId="455C3F6A">
      <w:pPr>
        <w:shd w:val="clear" w:color="auto" w:fill="FFFFFF"/>
        <w:tabs>
          <w:tab w:val="left" w:pos="8789"/>
          <w:tab w:val="left" w:pos="9071"/>
        </w:tabs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- Ukoliko se Vaši simptomi pogoršaju ili Vam ne bude bolje poslije nekoliko dana, morate se obratiti svom ljekaru.</w:t>
      </w:r>
    </w:p>
    <w:p w14:paraId="7EF99F32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-  Ako bilo koje neželjeno djelovanje postane ozbiljno ili ako primijetite neželjena djelovanja koj</w:t>
      </w:r>
      <w:r>
        <w:rPr>
          <w:rFonts w:ascii="Microsoft Sans Serif" w:hAnsi="Microsoft Sans Serif" w:cs="Microsoft Sans Serif"/>
          <w:color w:val="0000F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ovdje nisu navedena, molimo Vas da to kažete svom ljekaru ili farmaceutu. </w:t>
      </w:r>
    </w:p>
    <w:p w14:paraId="495D2B43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16518AF9">
      <w:pPr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Uputstvo sadrži:</w:t>
      </w:r>
    </w:p>
    <w:p w14:paraId="514D3FEF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Šta je lijek Aqua ad iniectabilia Alkaloid i za šta se koristi</w:t>
      </w:r>
    </w:p>
    <w:p w14:paraId="1B9A869F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Prije nego počnete uzimati lijek Aqua ad iniectabilia Alkaloid </w:t>
      </w:r>
    </w:p>
    <w:p w14:paraId="122B5097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Kako uzimati lijek Aqua ad iniectabilia Alkaloid </w:t>
      </w:r>
    </w:p>
    <w:p w14:paraId="22BF67A1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napToGrid w:val="0"/>
          <w:sz w:val="20"/>
          <w:szCs w:val="20"/>
          <w:lang w:val="hr-BA"/>
        </w:rPr>
        <w:t>Moguća neželjena djelovanja</w:t>
      </w:r>
    </w:p>
    <w:p w14:paraId="23F75CDD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Kako čuvati lijek Aqua ad iniectabilia Alkaloid </w:t>
      </w:r>
    </w:p>
    <w:p w14:paraId="63B247CD">
      <w:pPr>
        <w:numPr>
          <w:ilvl w:val="0"/>
          <w:numId w:val="1"/>
        </w:numPr>
        <w:tabs>
          <w:tab w:val="left" w:pos="540"/>
          <w:tab w:val="clear" w:pos="1080"/>
        </w:tabs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Dodatne informacije</w:t>
      </w:r>
    </w:p>
    <w:p w14:paraId="4979622F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0B86F54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4E93C394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1.  ŠTA JE LIJEK AQUA AD INIECTABILIA ALKALOID I ZA ŠTA SE KORISTI</w:t>
      </w:r>
    </w:p>
    <w:p w14:paraId="15C2EB58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</w:p>
    <w:p w14:paraId="71CB5BFE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Alkaloid namijenjena je za rastvaranje i razrjeđivanje drugih lijekova koje bi trebalo da primite parenteralno (putem injekcije i/ili infuzije).</w:t>
      </w:r>
    </w:p>
    <w:p w14:paraId="219514FD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Alkaloid nije namijenjena za samostalno davanje.</w:t>
      </w:r>
    </w:p>
    <w:p w14:paraId="6F52EF2C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BAE4CD7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8C6B6A3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2.  PRIJE NEGO POČNETE UZIMATI LIJEK AQUA AD INIECTABILIA ALKALOID</w:t>
      </w:r>
    </w:p>
    <w:p w14:paraId="0A595F9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</w:p>
    <w:p w14:paraId="21B4C533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Ne smijete primiti sam lijek Aqua ad iniectabilia Alkaloid.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Ljekar će odlučiti i o odgovarajućem dodanom lijeku prije davanja pacijentu, a stručno medicinsko osoblje će uvijek pomiješati Aqua ad iniectabilia Alkaloid sa nekim lijekom prije nego što je primite.</w:t>
      </w:r>
    </w:p>
    <w:p w14:paraId="2EFE08D9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2A64612">
      <w:pPr>
        <w:shd w:val="clear" w:color="auto" w:fill="FFFFFF"/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Budite oprezni s lijekom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Aqua ad iniectabilia Alkaloid:</w:t>
      </w:r>
    </w:p>
    <w:p w14:paraId="1FDB0731">
      <w:pPr>
        <w:tabs>
          <w:tab w:val="left" w:pos="5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Aqua ad iniectabilia je hipotonična s niskim sadržajem soli, te se stoga ne smije samostalno upotrijebiti.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Može doći do hemolize (raspadanja crvenih krvnih zrnaca) nakon injekcije velike zapremine hipotoničnog rastvora ako se voda za injekcije koristi kao sredstvo za razrjeđivanje.</w:t>
      </w:r>
    </w:p>
    <w:p w14:paraId="30AFB6CC">
      <w:pPr>
        <w:tabs>
          <w:tab w:val="left" w:pos="5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Ako se voda za injekcije koristi kao rastvarač za hipertonične rastvore (rastvore s visokim sadržajem soli), treba pripremiti odgovarajuće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razrjeđenje da bi rastvor bio gotovo izotoničan.</w:t>
      </w:r>
    </w:p>
    <w:p w14:paraId="60047B56">
      <w:pPr>
        <w:tabs>
          <w:tab w:val="left" w:pos="540"/>
        </w:tabs>
        <w:jc w:val="both"/>
        <w:rPr>
          <w:rFonts w:ascii="Microsoft Sans Serif" w:hAnsi="Microsoft Sans Serif" w:cs="Microsoft Sans Serif"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Kod primjene velikih zapremina, ljekar će Vam redovno nadzirati ravnotežu elektrolita .</w:t>
      </w:r>
    </w:p>
    <w:p w14:paraId="26FC7A2B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3EE79AFD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Primjena drugih lijekova sa lijekom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Aqua ad iniectabilia Alkaloid</w:t>
      </w:r>
    </w:p>
    <w:p w14:paraId="5631ADCE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>Molimo Vas da obavijestite svog ljekara ili farmaceuta o svim lijekovima koje koristite ili koje ste nedavno koristili, uključujući i one koje ste kupili bez recepta.</w:t>
      </w:r>
    </w:p>
    <w:p w14:paraId="4AE5A621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Treba razmotriti moguće interakcije između različitih lijekova koji će se rastvarati.</w:t>
      </w:r>
    </w:p>
    <w:p w14:paraId="67232836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4ACA92DB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Trudnoća i dojenje</w:t>
      </w:r>
    </w:p>
    <w:p w14:paraId="5870C355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>Pitajte svog ljekara ili farmaceuta za savjet prije nego što počnete da koristite bilo koji lijek!</w:t>
      </w:r>
    </w:p>
    <w:p w14:paraId="790283AB">
      <w:pPr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Obavijestite </w:t>
      </w: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svog ljekara ako ste trudni ili ako dojite.</w:t>
      </w:r>
    </w:p>
    <w:p w14:paraId="7082379F">
      <w:pPr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Rizik za Vašu trudnoću, Vaše nerođeno dijete ili Vaše dojeno dijete zavisit će od toga koje lijekove uzimate pomiješane sa lijekom Aqua ad iniectabilia Alkaloid.</w:t>
      </w:r>
    </w:p>
    <w:p w14:paraId="4E9CBC6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6DF3CB8C">
      <w:pPr>
        <w:shd w:val="clear" w:color="auto" w:fill="FFFFFF"/>
        <w:tabs>
          <w:tab w:val="left" w:pos="696"/>
        </w:tabs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Upravljanje vozilima i mašinama</w:t>
      </w:r>
    </w:p>
    <w:p w14:paraId="3CD4B2CB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Nije poznato da Aqua ad iniectabilia Alkaloid utječe na sposobnost upravljanja vozilima i rada na mašinama.</w:t>
      </w:r>
    </w:p>
    <w:p w14:paraId="46DBF62E">
      <w:pPr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Bilo koji utjecaj na Vašu sposobnost upravljanja vozilima ili rada na mašinama zavisit će od toga koje lijekove uzimate pomiješane sa lijekom Aqua ad iniectabilia Alkaloid. Ljekar će Vas savjetovati o mogućim utjecajima pojedinih lijekova na Vašu sposobnost upravljanja vozilima ili rada na mašinama.</w:t>
      </w:r>
    </w:p>
    <w:p w14:paraId="7F8013C8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6F83CE06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2E83AB73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3.   KAKO UZIMATI LIJEK AQUA AD INIECTABILIA ALKALOID</w:t>
      </w:r>
    </w:p>
    <w:p w14:paraId="0C552A94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3A4F3467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>Uvijek koristite Aqua ad injectabilia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>Alkaloid onako kako Vas je uputio ljekar. Ako niste sigurni kako, posavjetujte se sa ljekarom ili farmaceutom.</w:t>
      </w:r>
    </w:p>
    <w:p w14:paraId="0B9A1595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13AB784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Aqua ad iniectabilia Alkaloid daće Vam ljekar ili medicinska sestra.</w:t>
      </w:r>
    </w:p>
    <w:p w14:paraId="349F1A3F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Ljekar će odlučiti kada i koliko vode za injekcije se daje, zavisno od svojstava i uputstava za lijek koji treba dodati. To će zavisiti od Vaših godina, tjelesne mase, kliničkih i laboratorijskih nalaza, kao i od razloga liječenja (te od nekog drugog liječenja koje se provodi istovremeno).</w:t>
      </w:r>
    </w:p>
    <w:p w14:paraId="56BEADD0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Rastvor se koristi samo ako je bistar, ako ne sadrži vidljive čestice i ako ampula nije oštećena.</w:t>
      </w:r>
    </w:p>
    <w:p w14:paraId="6C1EF6F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7AF5BCAB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Ako primite više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 Aqua ad iniectabilia Alkaloid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 nego što bi trebalo</w:t>
      </w:r>
    </w:p>
    <w:p w14:paraId="4053E308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Ako ste primili previše lijeka Aqua ad iniectabilia Alkaloid, to može dovesti do hemolize (stanje kada crvena krvna zrnca upiju vodu i zbog toga se raspadnu).</w:t>
      </w:r>
    </w:p>
    <w:p w14:paraId="6D398DEF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406F678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Lijekovi koji su pomiješani sa lijekom Aqua ad iniectabilia Alkaloid mogu takođe izazvati različite simptome predoziranja ako se daju u prevelikim količinama. U tom slučaju znaci i simptomi predoziranja zavisiće od vrste lijeka koji je pomiješan sa lijekom Aqua ad iniectabilia Alkaloid.  </w:t>
      </w:r>
    </w:p>
    <w:p w14:paraId="2A2A421F">
      <w:pPr>
        <w:pStyle w:val="4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hr-BA"/>
        </w:rPr>
      </w:pPr>
    </w:p>
    <w:p w14:paraId="323761A6">
      <w:pPr>
        <w:shd w:val="clear" w:color="auto" w:fill="FFFFFF"/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hr-BA"/>
        </w:rPr>
        <w:t xml:space="preserve">U slučaju bilo kakvih nejasnoća ili pitanja u vezi s primjenom </w:t>
      </w: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>Aqua ad iniectabilia Alkaloida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hr-BA"/>
        </w:rPr>
        <w:t>, obratite se svom ljekaru ili farmaceutu.</w:t>
      </w:r>
    </w:p>
    <w:p w14:paraId="11A9F499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0195C83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27FED9A5">
      <w:pPr>
        <w:pStyle w:val="4"/>
        <w:autoSpaceDE/>
        <w:autoSpaceDN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hr-BA"/>
        </w:rPr>
        <w:t>4.   MOGUĆA NEŽELJENA DJELOVANJA</w:t>
      </w:r>
    </w:p>
    <w:p w14:paraId="76F0506D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7C4A5C5B">
      <w:pPr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>Kao i svi drugi  lijekovi,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hr-BA"/>
        </w:rPr>
        <w:t xml:space="preserve">Aqua ad iniectabilia Alkaloid može izazvati neželjena djelovanja koja se ne javljaju kod svih. </w:t>
      </w:r>
    </w:p>
    <w:p w14:paraId="4BC60B84">
      <w:pPr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</w:p>
    <w:p w14:paraId="07B4958F">
      <w:pPr>
        <w:tabs>
          <w:tab w:val="left" w:pos="540"/>
        </w:tabs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>Može se pojaviti pucanje (hemoliza) crvenih krvnih zrnaca ako primite sam lijek Aqua ad iniectabilia Alkaloid.</w:t>
      </w:r>
    </w:p>
    <w:p w14:paraId="35DA30D1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Svojstvo bilo kojeg neželjenog djelovanja odrediće lijek dodan u vodu za injekcije. </w:t>
      </w:r>
    </w:p>
    <w:p w14:paraId="0E8F9FA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6ECF927">
      <w:pPr>
        <w:jc w:val="both"/>
        <w:rPr>
          <w:rFonts w:ascii="Microsoft Sans Serif" w:hAnsi="Microsoft Sans Serif" w:cs="Microsoft Sans Serif"/>
          <w:sz w:val="20"/>
          <w:szCs w:val="20"/>
          <w:u w:val="single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>Prijavljivanje sumnje na neželjena djelovanja lijeka</w:t>
      </w:r>
    </w:p>
    <w:p w14:paraId="3C1F1014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U slučaju bilo kakvih neželjenih reakcija nakon primjene lijeka obavijestite svog ljekara ili farmaceuta. Ovo podrazumijeva sve moguće neželjene reakcije koje nisu navedene u ovom uputstvu za pacijenta, kao i one koje su navedene.</w:t>
      </w:r>
    </w:p>
    <w:p w14:paraId="0EB8B0F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E6A14E6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26B0B098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5.   KAKO ČUVATI AQUA AD INIECTABILIA ALKALOID</w:t>
      </w:r>
    </w:p>
    <w:p w14:paraId="6373866B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1F8907C">
      <w:pPr>
        <w:tabs>
          <w:tab w:val="left" w:pos="540"/>
        </w:tabs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Aqua ad iniectabilia Alkaloid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čuvati van dohvata i pogleda djece.</w:t>
      </w:r>
    </w:p>
    <w:p w14:paraId="17CBC82E">
      <w:pPr>
        <w:tabs>
          <w:tab w:val="left" w:pos="540"/>
        </w:tabs>
        <w:jc w:val="both"/>
        <w:rPr>
          <w:rFonts w:ascii="Microsoft Sans Serif" w:hAnsi="Microsoft Sans Serif" w:cs="Microsoft Sans Serif"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BA"/>
        </w:rPr>
        <w:t xml:space="preserve">Aqua ad iniectabilia Alkaloid 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se ne smije koristiti poslije isteka roka upotrebe navedenog na pakovanju. Rok trajanja odnosi se na posljednji dan tog mjeseca. </w:t>
      </w:r>
    </w:p>
    <w:p w14:paraId="7FCB4C19">
      <w:pPr>
        <w:jc w:val="both"/>
        <w:rPr>
          <w:rFonts w:ascii="Microsoft Sans Serif" w:hAnsi="Microsoft Sans Serif" w:cs="Microsoft Sans Serif"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 w:eastAsia="mk-MK"/>
        </w:rPr>
        <w:t>Lijek treba čuvati na temperaturi do 25°C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.</w:t>
      </w:r>
    </w:p>
    <w:p w14:paraId="35334E8C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Neiskorišteni lijek ne treba odlagati u kućni otpad ili ga bacati u otpadne vode. Potrebno je pitati farmaceuta za najbolji način odlaganja neutrošenog lijeka, jer se na taj način čuva okoliš. </w:t>
      </w:r>
    </w:p>
    <w:p w14:paraId="0C592741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9A6583B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343ACA6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6433372">
      <w:pPr>
        <w:jc w:val="both"/>
        <w:rPr>
          <w:rFonts w:ascii="Microsoft Sans Serif" w:hAnsi="Microsoft Sans Serif" w:cs="Microsoft Sans Serif"/>
          <w:b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6.   DODATNE INFORMACIJE</w:t>
      </w:r>
    </w:p>
    <w:p w14:paraId="3B197FC5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5C477CDC">
      <w:pPr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Šta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>Aqua ad iniectabilia Alkaloid sadrži</w:t>
      </w:r>
    </w:p>
    <w:p w14:paraId="3D8DEB06">
      <w:pPr>
        <w:numPr>
          <w:ilvl w:val="0"/>
          <w:numId w:val="2"/>
        </w:numPr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Aktivna supstanca je voda za injekcije.</w:t>
      </w:r>
    </w:p>
    <w:p w14:paraId="087E1CA0">
      <w:pPr>
        <w:pStyle w:val="12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5 ml rastvarača za parenteralnu upotrebu (1 ampula) sadrži 5 ml vode za injekcije.</w:t>
      </w:r>
    </w:p>
    <w:p w14:paraId="691CD8A0">
      <w:pPr>
        <w:pStyle w:val="12"/>
        <w:numPr>
          <w:ilvl w:val="0"/>
          <w:numId w:val="2"/>
        </w:numPr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Pomoćne supstance: nema pomoćnih supstanci.</w:t>
      </w:r>
    </w:p>
    <w:p w14:paraId="12AF5C4D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6C74B835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54CBB8F9">
      <w:pPr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Kako </w:t>
      </w:r>
      <w:r>
        <w:rPr>
          <w:rFonts w:ascii="Microsoft Sans Serif" w:hAnsi="Microsoft Sans Serif" w:cs="Microsoft Sans Serif"/>
          <w:b/>
          <w:sz w:val="20"/>
          <w:szCs w:val="20"/>
          <w:lang w:val="hr-BA"/>
        </w:rPr>
        <w:t xml:space="preserve">Aqua ad iniectabilia Alkaloid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izgleda i sadržaj pakovanja</w:t>
      </w:r>
    </w:p>
    <w:p w14:paraId="2683FBB4">
      <w:pPr>
        <w:tabs>
          <w:tab w:val="left" w:pos="540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Bistra, bezbojna tečnost.</w:t>
      </w:r>
    </w:p>
    <w:p w14:paraId="305BFAAA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Unutrašnje pakovanje je bezbojna ampula od 5 ml, hidrolitičke grupe I. Svaki PVC uložak sadrži 5 ampula.</w:t>
      </w:r>
    </w:p>
    <w:p w14:paraId="53AC102B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Spoljašnje pakovanje je kartonska kutija koja sadrži 50 ampula (10 PVC uložaka), uz priloženo Uputstvo za pacijenta.</w:t>
      </w:r>
    </w:p>
    <w:p w14:paraId="0AF5153F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773CBA45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Režim izdavanja lijeka</w:t>
      </w:r>
    </w:p>
    <w:p w14:paraId="6FC2E598">
      <w:pPr>
        <w:shd w:val="clear" w:color="auto" w:fill="FFFFFF"/>
        <w:tabs>
          <w:tab w:val="left" w:pos="7845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Lijek se izdaje bez ljekarskog recepta.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22EEF43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441C2039">
      <w:pPr>
        <w:rPr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Proizvođač </w:t>
      </w:r>
    </w:p>
    <w:p w14:paraId="060D0BAB">
      <w:pPr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3D85543F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3EFDC669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28B17599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3AF9450D">
      <w:pP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Proizvođač gotovog lijeka</w:t>
      </w:r>
    </w:p>
    <w:p w14:paraId="07DACEBB">
      <w:pPr>
        <w:jc w:val="both"/>
        <w:rPr>
          <w:rFonts w:ascii="Microsoft Sans Serif" w:hAnsi="Microsoft Sans Serif" w:cs="Microsoft Sans Serif"/>
          <w:i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70398897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6A39EC95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ab/>
      </w:r>
    </w:p>
    <w:p w14:paraId="4B360757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p w14:paraId="72C46E11">
      <w:pPr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Nosilac dozvole za stavljanje gotovog lijeka u promet </w:t>
      </w:r>
    </w:p>
    <w:p w14:paraId="74BF7DBB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ALKALOID d.o.o. Sarajevo</w:t>
      </w:r>
    </w:p>
    <w:p w14:paraId="71475D00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Isevića sokak 6, Sarajevo</w:t>
      </w:r>
    </w:p>
    <w:p w14:paraId="59C7C2C2">
      <w:pPr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Bosna i Hercegovina</w:t>
      </w:r>
    </w:p>
    <w:p w14:paraId="5F876CC2">
      <w:pPr>
        <w:rPr>
          <w:lang w:val="hr-BA"/>
        </w:rPr>
      </w:pPr>
    </w:p>
    <w:p w14:paraId="696437F9">
      <w:pPr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Broj i datum dozvole za stavljanje lijeka u promet</w:t>
      </w:r>
    </w:p>
    <w:p w14:paraId="382774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AQUA AD INIECTABILIA ALKALOID, 5 ml x 50 ampula: </w:t>
      </w:r>
      <w:r>
        <w:rPr>
          <w:rFonts w:ascii="Microsoft Sans Serif" w:hAnsi="Microsoft Sans Serif" w:cs="Microsoft Sans Serif"/>
          <w:sz w:val="20"/>
          <w:szCs w:val="20"/>
        </w:rPr>
        <w:t>04-07.3-2-6261/21 od 27.07.2022.</w:t>
      </w:r>
    </w:p>
    <w:p w14:paraId="19D68D2B">
      <w:pPr>
        <w:shd w:val="clear" w:color="auto" w:fill="FFFFFF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</w:pPr>
    </w:p>
    <w:p w14:paraId="5CB1C78F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>Datum revizije uputstva</w:t>
      </w:r>
    </w:p>
    <w:p w14:paraId="2B41A3F3">
      <w:pPr>
        <w:shd w:val="clear" w:color="auto" w:fill="FFFFFF"/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Jul, 2022.</w:t>
      </w:r>
    </w:p>
    <w:p w14:paraId="103B63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85"/>
        </w:tabs>
        <w:jc w:val="both"/>
        <w:rPr>
          <w:rFonts w:ascii="Microsoft Sans Serif" w:hAnsi="Microsoft Sans Serif" w:cs="Microsoft Sans Serif"/>
          <w:sz w:val="20"/>
          <w:szCs w:val="20"/>
          <w:lang w:val="hr-BA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737" w:footer="737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Perpetua Titling MT">
    <w:altName w:val="PMingLiU-ExtB"/>
    <w:panose1 w:val="020205020605050208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E6CD4">
    <w:pPr>
      <w:pStyle w:val="17"/>
      <w:framePr w:wrap="around" w:vAnchor="text" w:hAnchor="margin" w:xAlign="center" w:y="1"/>
      <w:rPr>
        <w:rStyle w:val="21"/>
        <w:sz w:val="18"/>
        <w:szCs w:val="18"/>
      </w:rPr>
    </w:pPr>
    <w:r>
      <w:rPr>
        <w:rStyle w:val="21"/>
        <w:sz w:val="18"/>
        <w:szCs w:val="18"/>
      </w:rPr>
      <w:fldChar w:fldCharType="begin"/>
    </w:r>
    <w:r>
      <w:rPr>
        <w:rStyle w:val="21"/>
        <w:sz w:val="18"/>
        <w:szCs w:val="18"/>
      </w:rPr>
      <w:instrText xml:space="preserve">PAGE  </w:instrText>
    </w:r>
    <w:r>
      <w:rPr>
        <w:rStyle w:val="21"/>
        <w:sz w:val="18"/>
        <w:szCs w:val="18"/>
      </w:rPr>
      <w:fldChar w:fldCharType="separate"/>
    </w:r>
    <w:r>
      <w:rPr>
        <w:rStyle w:val="21"/>
        <w:sz w:val="18"/>
        <w:szCs w:val="18"/>
      </w:rPr>
      <w:t>3</w:t>
    </w:r>
    <w:r>
      <w:rPr>
        <w:rStyle w:val="21"/>
        <w:sz w:val="18"/>
        <w:szCs w:val="18"/>
      </w:rPr>
      <w:fldChar w:fldCharType="end"/>
    </w:r>
  </w:p>
  <w:p w14:paraId="52C1CDBE">
    <w:pPr>
      <w:pStyle w:val="17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67EF1">
    <w:pPr>
      <w:pStyle w:val="17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08E0BD18">
    <w:pPr>
      <w:pStyle w:val="1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57F69"/>
    <w:multiLevelType w:val="multilevel"/>
    <w:tmpl w:val="18257F69"/>
    <w:lvl w:ilvl="0" w:tentative="0">
      <w:start w:val="1"/>
      <w:numFmt w:val="bullet"/>
      <w:lvlText w:val="-"/>
      <w:lvlJc w:val="left"/>
      <w:pPr>
        <w:tabs>
          <w:tab w:val="left" w:pos="502"/>
        </w:tabs>
        <w:ind w:left="502" w:hanging="360"/>
      </w:pPr>
      <w:rPr>
        <w:rFonts w:hint="default" w:ascii="Perpetua Titling MT" w:hAnsi="Perpetua Titling MT"/>
      </w:rPr>
    </w:lvl>
    <w:lvl w:ilvl="1" w:tentative="0">
      <w:start w:val="1"/>
      <w:numFmt w:val="bullet"/>
      <w:lvlText w:val="o"/>
      <w:lvlJc w:val="left"/>
      <w:pPr>
        <w:tabs>
          <w:tab w:val="left" w:pos="1582"/>
        </w:tabs>
        <w:ind w:left="158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302"/>
        </w:tabs>
        <w:ind w:left="230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022"/>
        </w:tabs>
        <w:ind w:left="302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742"/>
        </w:tabs>
        <w:ind w:left="374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462"/>
        </w:tabs>
        <w:ind w:left="446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182"/>
        </w:tabs>
        <w:ind w:left="518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902"/>
        </w:tabs>
        <w:ind w:left="590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622"/>
        </w:tabs>
        <w:ind w:left="6622" w:hanging="360"/>
      </w:pPr>
      <w:rPr>
        <w:rFonts w:hint="default" w:ascii="Wingdings" w:hAnsi="Wingdings"/>
      </w:rPr>
    </w:lvl>
  </w:abstractNum>
  <w:abstractNum w:abstractNumId="1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57"/>
    <w:rsid w:val="000034F2"/>
    <w:rsid w:val="00003633"/>
    <w:rsid w:val="00004C4F"/>
    <w:rsid w:val="00011A4F"/>
    <w:rsid w:val="000167EF"/>
    <w:rsid w:val="0003068A"/>
    <w:rsid w:val="00040F24"/>
    <w:rsid w:val="000414C1"/>
    <w:rsid w:val="00041A3D"/>
    <w:rsid w:val="00054438"/>
    <w:rsid w:val="00054F9C"/>
    <w:rsid w:val="00064301"/>
    <w:rsid w:val="00064D4F"/>
    <w:rsid w:val="000725B7"/>
    <w:rsid w:val="000733C6"/>
    <w:rsid w:val="00073866"/>
    <w:rsid w:val="000816E8"/>
    <w:rsid w:val="00084142"/>
    <w:rsid w:val="000869E0"/>
    <w:rsid w:val="00087351"/>
    <w:rsid w:val="000A26AD"/>
    <w:rsid w:val="000A36CA"/>
    <w:rsid w:val="000B12AA"/>
    <w:rsid w:val="000B1427"/>
    <w:rsid w:val="000B7009"/>
    <w:rsid w:val="000B7504"/>
    <w:rsid w:val="000C1725"/>
    <w:rsid w:val="000C3ABC"/>
    <w:rsid w:val="000E2110"/>
    <w:rsid w:val="000E5B94"/>
    <w:rsid w:val="000E6D09"/>
    <w:rsid w:val="000F0FF3"/>
    <w:rsid w:val="000F6000"/>
    <w:rsid w:val="001059F3"/>
    <w:rsid w:val="00117D37"/>
    <w:rsid w:val="00135510"/>
    <w:rsid w:val="0014218C"/>
    <w:rsid w:val="00174DB9"/>
    <w:rsid w:val="001779C5"/>
    <w:rsid w:val="001811BB"/>
    <w:rsid w:val="00194CD7"/>
    <w:rsid w:val="00195876"/>
    <w:rsid w:val="001B1599"/>
    <w:rsid w:val="001B329B"/>
    <w:rsid w:val="001E70E5"/>
    <w:rsid w:val="00202350"/>
    <w:rsid w:val="00202CB1"/>
    <w:rsid w:val="00204B73"/>
    <w:rsid w:val="0020599B"/>
    <w:rsid w:val="0022763C"/>
    <w:rsid w:val="00227ABC"/>
    <w:rsid w:val="00233930"/>
    <w:rsid w:val="0023561A"/>
    <w:rsid w:val="00240FC7"/>
    <w:rsid w:val="00246137"/>
    <w:rsid w:val="002468B3"/>
    <w:rsid w:val="002526D4"/>
    <w:rsid w:val="00252A8F"/>
    <w:rsid w:val="00270455"/>
    <w:rsid w:val="00277129"/>
    <w:rsid w:val="00285088"/>
    <w:rsid w:val="002A1670"/>
    <w:rsid w:val="002A39F5"/>
    <w:rsid w:val="002B5965"/>
    <w:rsid w:val="002B78DF"/>
    <w:rsid w:val="002C6C90"/>
    <w:rsid w:val="002F5C4E"/>
    <w:rsid w:val="0030472F"/>
    <w:rsid w:val="0031253C"/>
    <w:rsid w:val="003176E1"/>
    <w:rsid w:val="003273B9"/>
    <w:rsid w:val="00334519"/>
    <w:rsid w:val="003528CC"/>
    <w:rsid w:val="00356082"/>
    <w:rsid w:val="0037139B"/>
    <w:rsid w:val="00374742"/>
    <w:rsid w:val="00376AB7"/>
    <w:rsid w:val="003851A9"/>
    <w:rsid w:val="00391F89"/>
    <w:rsid w:val="0039283C"/>
    <w:rsid w:val="00393F8E"/>
    <w:rsid w:val="003A1EE9"/>
    <w:rsid w:val="003A38F3"/>
    <w:rsid w:val="003A5BF2"/>
    <w:rsid w:val="003B1972"/>
    <w:rsid w:val="003C1A9D"/>
    <w:rsid w:val="003C5611"/>
    <w:rsid w:val="003E09CA"/>
    <w:rsid w:val="003F59DA"/>
    <w:rsid w:val="004032E0"/>
    <w:rsid w:val="0041160D"/>
    <w:rsid w:val="0041482F"/>
    <w:rsid w:val="0041660A"/>
    <w:rsid w:val="00426E16"/>
    <w:rsid w:val="004302EB"/>
    <w:rsid w:val="00430475"/>
    <w:rsid w:val="00434C1F"/>
    <w:rsid w:val="00434D66"/>
    <w:rsid w:val="004403BE"/>
    <w:rsid w:val="00440868"/>
    <w:rsid w:val="00440F6A"/>
    <w:rsid w:val="00441431"/>
    <w:rsid w:val="0044348A"/>
    <w:rsid w:val="00444056"/>
    <w:rsid w:val="00456251"/>
    <w:rsid w:val="00460112"/>
    <w:rsid w:val="00462FAE"/>
    <w:rsid w:val="004648F0"/>
    <w:rsid w:val="00467049"/>
    <w:rsid w:val="00470726"/>
    <w:rsid w:val="004755D5"/>
    <w:rsid w:val="00494AC4"/>
    <w:rsid w:val="004A0A25"/>
    <w:rsid w:val="004A0CAB"/>
    <w:rsid w:val="004A42D9"/>
    <w:rsid w:val="004A66AA"/>
    <w:rsid w:val="004B4CCD"/>
    <w:rsid w:val="004C21DD"/>
    <w:rsid w:val="004D769E"/>
    <w:rsid w:val="004E2CE1"/>
    <w:rsid w:val="00515E92"/>
    <w:rsid w:val="00524B8E"/>
    <w:rsid w:val="00530803"/>
    <w:rsid w:val="00533486"/>
    <w:rsid w:val="00535EF6"/>
    <w:rsid w:val="00540887"/>
    <w:rsid w:val="00543C94"/>
    <w:rsid w:val="0055032F"/>
    <w:rsid w:val="00554148"/>
    <w:rsid w:val="0056508B"/>
    <w:rsid w:val="00566D2D"/>
    <w:rsid w:val="005712E8"/>
    <w:rsid w:val="00591148"/>
    <w:rsid w:val="005972A6"/>
    <w:rsid w:val="005C1D1E"/>
    <w:rsid w:val="005C30C8"/>
    <w:rsid w:val="005E04F4"/>
    <w:rsid w:val="005E192F"/>
    <w:rsid w:val="005E3DE3"/>
    <w:rsid w:val="005E5899"/>
    <w:rsid w:val="005E68CB"/>
    <w:rsid w:val="005E6CBA"/>
    <w:rsid w:val="005E7F47"/>
    <w:rsid w:val="005F17E7"/>
    <w:rsid w:val="005F3068"/>
    <w:rsid w:val="005F36E1"/>
    <w:rsid w:val="005F37C2"/>
    <w:rsid w:val="005F4EE7"/>
    <w:rsid w:val="005F5FE8"/>
    <w:rsid w:val="00603B21"/>
    <w:rsid w:val="00624753"/>
    <w:rsid w:val="006306EB"/>
    <w:rsid w:val="0063384B"/>
    <w:rsid w:val="00633943"/>
    <w:rsid w:val="00642BBE"/>
    <w:rsid w:val="0064595D"/>
    <w:rsid w:val="00647351"/>
    <w:rsid w:val="0065448D"/>
    <w:rsid w:val="00662C8C"/>
    <w:rsid w:val="0066486A"/>
    <w:rsid w:val="00664B33"/>
    <w:rsid w:val="00672F7E"/>
    <w:rsid w:val="006767D1"/>
    <w:rsid w:val="00677F9F"/>
    <w:rsid w:val="00680616"/>
    <w:rsid w:val="00681930"/>
    <w:rsid w:val="00692251"/>
    <w:rsid w:val="006A19FA"/>
    <w:rsid w:val="006D03BA"/>
    <w:rsid w:val="006E20A3"/>
    <w:rsid w:val="006F1F31"/>
    <w:rsid w:val="006F27E4"/>
    <w:rsid w:val="006F2F18"/>
    <w:rsid w:val="00701F0F"/>
    <w:rsid w:val="0071624E"/>
    <w:rsid w:val="007227F2"/>
    <w:rsid w:val="00730E83"/>
    <w:rsid w:val="0073642C"/>
    <w:rsid w:val="00750ADE"/>
    <w:rsid w:val="00752D5A"/>
    <w:rsid w:val="00756897"/>
    <w:rsid w:val="007672FB"/>
    <w:rsid w:val="00767BA5"/>
    <w:rsid w:val="007729B4"/>
    <w:rsid w:val="00773905"/>
    <w:rsid w:val="007811E0"/>
    <w:rsid w:val="0078478C"/>
    <w:rsid w:val="0078663C"/>
    <w:rsid w:val="00797604"/>
    <w:rsid w:val="007A6F6E"/>
    <w:rsid w:val="007B1C41"/>
    <w:rsid w:val="007B6A36"/>
    <w:rsid w:val="007C5A5B"/>
    <w:rsid w:val="007C638D"/>
    <w:rsid w:val="007F1A75"/>
    <w:rsid w:val="007F2979"/>
    <w:rsid w:val="008033E8"/>
    <w:rsid w:val="0080675A"/>
    <w:rsid w:val="00825EC1"/>
    <w:rsid w:val="00826A6F"/>
    <w:rsid w:val="00855E7F"/>
    <w:rsid w:val="008603DD"/>
    <w:rsid w:val="0086448F"/>
    <w:rsid w:val="00870315"/>
    <w:rsid w:val="00884EDC"/>
    <w:rsid w:val="0088618E"/>
    <w:rsid w:val="00886372"/>
    <w:rsid w:val="00890992"/>
    <w:rsid w:val="00891AE7"/>
    <w:rsid w:val="00892A7E"/>
    <w:rsid w:val="008949A0"/>
    <w:rsid w:val="00896F3B"/>
    <w:rsid w:val="008A108D"/>
    <w:rsid w:val="008A6F76"/>
    <w:rsid w:val="008A7487"/>
    <w:rsid w:val="008C4BE2"/>
    <w:rsid w:val="008D3C81"/>
    <w:rsid w:val="008D638C"/>
    <w:rsid w:val="008D6882"/>
    <w:rsid w:val="008E7C43"/>
    <w:rsid w:val="00905895"/>
    <w:rsid w:val="00913F78"/>
    <w:rsid w:val="00916444"/>
    <w:rsid w:val="0092317E"/>
    <w:rsid w:val="009256A9"/>
    <w:rsid w:val="00953C65"/>
    <w:rsid w:val="00956F63"/>
    <w:rsid w:val="00965A82"/>
    <w:rsid w:val="00975BC6"/>
    <w:rsid w:val="00976646"/>
    <w:rsid w:val="0098491B"/>
    <w:rsid w:val="00993654"/>
    <w:rsid w:val="00997085"/>
    <w:rsid w:val="009A1E70"/>
    <w:rsid w:val="009A62AC"/>
    <w:rsid w:val="009B2AF2"/>
    <w:rsid w:val="009C214C"/>
    <w:rsid w:val="009C3169"/>
    <w:rsid w:val="009C7F9F"/>
    <w:rsid w:val="009D708F"/>
    <w:rsid w:val="009E45FA"/>
    <w:rsid w:val="009F0867"/>
    <w:rsid w:val="009F1DF6"/>
    <w:rsid w:val="009F3426"/>
    <w:rsid w:val="009F407B"/>
    <w:rsid w:val="009F697D"/>
    <w:rsid w:val="009F71C6"/>
    <w:rsid w:val="00A02157"/>
    <w:rsid w:val="00A04DCE"/>
    <w:rsid w:val="00A07C10"/>
    <w:rsid w:val="00A24649"/>
    <w:rsid w:val="00A24CE2"/>
    <w:rsid w:val="00A32F95"/>
    <w:rsid w:val="00A41B7B"/>
    <w:rsid w:val="00A432C6"/>
    <w:rsid w:val="00A50A1D"/>
    <w:rsid w:val="00A53BA9"/>
    <w:rsid w:val="00A55D48"/>
    <w:rsid w:val="00A624C9"/>
    <w:rsid w:val="00A81F9E"/>
    <w:rsid w:val="00A91ED0"/>
    <w:rsid w:val="00A92C6A"/>
    <w:rsid w:val="00A96EAB"/>
    <w:rsid w:val="00AA39F2"/>
    <w:rsid w:val="00AB5CAE"/>
    <w:rsid w:val="00AC6CCC"/>
    <w:rsid w:val="00AE6E40"/>
    <w:rsid w:val="00AF0891"/>
    <w:rsid w:val="00AF3AAC"/>
    <w:rsid w:val="00AF6F92"/>
    <w:rsid w:val="00B067F9"/>
    <w:rsid w:val="00B13364"/>
    <w:rsid w:val="00B144B5"/>
    <w:rsid w:val="00B1620A"/>
    <w:rsid w:val="00B16B05"/>
    <w:rsid w:val="00B20240"/>
    <w:rsid w:val="00B25D5F"/>
    <w:rsid w:val="00B41FE8"/>
    <w:rsid w:val="00B43747"/>
    <w:rsid w:val="00B5191F"/>
    <w:rsid w:val="00B526CF"/>
    <w:rsid w:val="00B532B4"/>
    <w:rsid w:val="00B53422"/>
    <w:rsid w:val="00B720A1"/>
    <w:rsid w:val="00B769C8"/>
    <w:rsid w:val="00B76A83"/>
    <w:rsid w:val="00B8064D"/>
    <w:rsid w:val="00B80BAC"/>
    <w:rsid w:val="00B81A58"/>
    <w:rsid w:val="00B82329"/>
    <w:rsid w:val="00B827A5"/>
    <w:rsid w:val="00B8341E"/>
    <w:rsid w:val="00B8383C"/>
    <w:rsid w:val="00B84E2B"/>
    <w:rsid w:val="00B86EDF"/>
    <w:rsid w:val="00B94B4C"/>
    <w:rsid w:val="00BA545D"/>
    <w:rsid w:val="00BA74B8"/>
    <w:rsid w:val="00BB0B81"/>
    <w:rsid w:val="00BB1FB1"/>
    <w:rsid w:val="00BC3155"/>
    <w:rsid w:val="00BD62B8"/>
    <w:rsid w:val="00BE0AB1"/>
    <w:rsid w:val="00C00BB7"/>
    <w:rsid w:val="00C12FBE"/>
    <w:rsid w:val="00C14218"/>
    <w:rsid w:val="00C20E2F"/>
    <w:rsid w:val="00C227D6"/>
    <w:rsid w:val="00C24870"/>
    <w:rsid w:val="00C27BEB"/>
    <w:rsid w:val="00C27F6E"/>
    <w:rsid w:val="00C32FAD"/>
    <w:rsid w:val="00C52633"/>
    <w:rsid w:val="00C61893"/>
    <w:rsid w:val="00C62E41"/>
    <w:rsid w:val="00C645E4"/>
    <w:rsid w:val="00C64F52"/>
    <w:rsid w:val="00C7029A"/>
    <w:rsid w:val="00C87C17"/>
    <w:rsid w:val="00C956C8"/>
    <w:rsid w:val="00C95C5F"/>
    <w:rsid w:val="00CA0C2B"/>
    <w:rsid w:val="00CA1C0C"/>
    <w:rsid w:val="00CB4D20"/>
    <w:rsid w:val="00CC2DDB"/>
    <w:rsid w:val="00CC3E5E"/>
    <w:rsid w:val="00CD1A0D"/>
    <w:rsid w:val="00CD7EDC"/>
    <w:rsid w:val="00CE7191"/>
    <w:rsid w:val="00CF0C5C"/>
    <w:rsid w:val="00D0058D"/>
    <w:rsid w:val="00D04F1A"/>
    <w:rsid w:val="00D122F7"/>
    <w:rsid w:val="00D13CFF"/>
    <w:rsid w:val="00D14053"/>
    <w:rsid w:val="00D216A1"/>
    <w:rsid w:val="00D23459"/>
    <w:rsid w:val="00D277DC"/>
    <w:rsid w:val="00D31DC7"/>
    <w:rsid w:val="00D340AA"/>
    <w:rsid w:val="00D36421"/>
    <w:rsid w:val="00D42573"/>
    <w:rsid w:val="00D46AFF"/>
    <w:rsid w:val="00D5333D"/>
    <w:rsid w:val="00D61FDE"/>
    <w:rsid w:val="00D6345D"/>
    <w:rsid w:val="00D93843"/>
    <w:rsid w:val="00DA5B65"/>
    <w:rsid w:val="00DB0DC7"/>
    <w:rsid w:val="00DB1E1C"/>
    <w:rsid w:val="00DB2480"/>
    <w:rsid w:val="00DB2601"/>
    <w:rsid w:val="00DB2996"/>
    <w:rsid w:val="00DB69B0"/>
    <w:rsid w:val="00DC333C"/>
    <w:rsid w:val="00DC7DE5"/>
    <w:rsid w:val="00DD3D46"/>
    <w:rsid w:val="00DD68DE"/>
    <w:rsid w:val="00DE50F6"/>
    <w:rsid w:val="00DF3A04"/>
    <w:rsid w:val="00DF4466"/>
    <w:rsid w:val="00E05518"/>
    <w:rsid w:val="00E11BF5"/>
    <w:rsid w:val="00E13D20"/>
    <w:rsid w:val="00E22C7E"/>
    <w:rsid w:val="00E32AA3"/>
    <w:rsid w:val="00E32B4B"/>
    <w:rsid w:val="00E32FDA"/>
    <w:rsid w:val="00E34AA1"/>
    <w:rsid w:val="00E40C09"/>
    <w:rsid w:val="00E4148D"/>
    <w:rsid w:val="00E414F6"/>
    <w:rsid w:val="00E4199E"/>
    <w:rsid w:val="00E43F02"/>
    <w:rsid w:val="00E53358"/>
    <w:rsid w:val="00E86165"/>
    <w:rsid w:val="00E9489E"/>
    <w:rsid w:val="00EA4BB3"/>
    <w:rsid w:val="00EB015B"/>
    <w:rsid w:val="00EB2318"/>
    <w:rsid w:val="00EB63B5"/>
    <w:rsid w:val="00ED0FF1"/>
    <w:rsid w:val="00ED3563"/>
    <w:rsid w:val="00EF10C4"/>
    <w:rsid w:val="00EF50D6"/>
    <w:rsid w:val="00F017FB"/>
    <w:rsid w:val="00F03796"/>
    <w:rsid w:val="00F132DC"/>
    <w:rsid w:val="00F210EA"/>
    <w:rsid w:val="00F23EDE"/>
    <w:rsid w:val="00F315B7"/>
    <w:rsid w:val="00F53A95"/>
    <w:rsid w:val="00F565D8"/>
    <w:rsid w:val="00F61163"/>
    <w:rsid w:val="00F62A77"/>
    <w:rsid w:val="00F63765"/>
    <w:rsid w:val="00F6439C"/>
    <w:rsid w:val="00F70831"/>
    <w:rsid w:val="00F7609D"/>
    <w:rsid w:val="00F86CD8"/>
    <w:rsid w:val="00F87214"/>
    <w:rsid w:val="00F92397"/>
    <w:rsid w:val="00F93D57"/>
    <w:rsid w:val="00FA0E88"/>
    <w:rsid w:val="00FA2445"/>
    <w:rsid w:val="00FB315E"/>
    <w:rsid w:val="00FD03F5"/>
    <w:rsid w:val="00FD1160"/>
    <w:rsid w:val="00FD1ED6"/>
    <w:rsid w:val="00FD2C2F"/>
    <w:rsid w:val="00FE173D"/>
    <w:rsid w:val="00FE2BFD"/>
    <w:rsid w:val="00FF4F96"/>
    <w:rsid w:val="4091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4"/>
    <w:next w:val="4"/>
    <w:link w:val="24"/>
    <w:qFormat/>
    <w:uiPriority w:val="0"/>
    <w:pPr>
      <w:outlineLvl w:val="1"/>
    </w:pPr>
    <w:rPr>
      <w:color w:val="auto"/>
    </w:rPr>
  </w:style>
  <w:style w:type="paragraph" w:styleId="5">
    <w:name w:val="heading 3"/>
    <w:basedOn w:val="1"/>
    <w:next w:val="1"/>
    <w:link w:val="25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4"/>
    <w:basedOn w:val="1"/>
    <w:next w:val="1"/>
    <w:link w:val="26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4"/>
    <w:next w:val="4"/>
    <w:link w:val="27"/>
    <w:qFormat/>
    <w:uiPriority w:val="0"/>
    <w:pPr>
      <w:outlineLvl w:val="4"/>
    </w:pPr>
    <w:rPr>
      <w:color w:val="auto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styleId="10">
    <w:name w:val="Balloon Text"/>
    <w:basedOn w:val="1"/>
    <w:link w:val="34"/>
    <w:semiHidden/>
    <w:qFormat/>
    <w:uiPriority w:val="0"/>
    <w:rPr>
      <w:rFonts w:ascii="Tahoma" w:hAnsi="Tahoma" w:cs="Tahoma"/>
      <w:sz w:val="16"/>
      <w:szCs w:val="16"/>
    </w:rPr>
  </w:style>
  <w:style w:type="paragraph" w:styleId="11">
    <w:name w:val="Body Text"/>
    <w:basedOn w:val="4"/>
    <w:next w:val="4"/>
    <w:link w:val="28"/>
    <w:qFormat/>
    <w:uiPriority w:val="0"/>
    <w:rPr>
      <w:color w:val="auto"/>
    </w:rPr>
  </w:style>
  <w:style w:type="paragraph" w:styleId="12">
    <w:name w:val="Body Text 2"/>
    <w:basedOn w:val="4"/>
    <w:next w:val="4"/>
    <w:link w:val="30"/>
    <w:qFormat/>
    <w:uiPriority w:val="0"/>
    <w:rPr>
      <w:color w:val="auto"/>
    </w:rPr>
  </w:style>
  <w:style w:type="paragraph" w:styleId="13">
    <w:name w:val="Body Text Indent"/>
    <w:basedOn w:val="4"/>
    <w:next w:val="4"/>
    <w:link w:val="29"/>
    <w:qFormat/>
    <w:uiPriority w:val="0"/>
    <w:rPr>
      <w:color w:val="auto"/>
    </w:rPr>
  </w:style>
  <w:style w:type="character" w:styleId="14">
    <w:name w:val="annotation reference"/>
    <w:qFormat/>
    <w:uiPriority w:val="0"/>
    <w:rPr>
      <w:sz w:val="16"/>
      <w:szCs w:val="16"/>
    </w:rPr>
  </w:style>
  <w:style w:type="paragraph" w:styleId="15">
    <w:name w:val="annotation text"/>
    <w:basedOn w:val="1"/>
    <w:link w:val="40"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41"/>
    <w:qFormat/>
    <w:uiPriority w:val="0"/>
    <w:rPr>
      <w:b/>
      <w:bCs/>
    </w:rPr>
  </w:style>
  <w:style w:type="paragraph" w:styleId="17">
    <w:name w:val="footer"/>
    <w:basedOn w:val="1"/>
    <w:link w:val="32"/>
    <w:qFormat/>
    <w:uiPriority w:val="0"/>
    <w:pPr>
      <w:tabs>
        <w:tab w:val="center" w:pos="4320"/>
        <w:tab w:val="right" w:pos="8640"/>
      </w:tabs>
    </w:pPr>
  </w:style>
  <w:style w:type="paragraph" w:styleId="18">
    <w:name w:val="header"/>
    <w:basedOn w:val="4"/>
    <w:next w:val="4"/>
    <w:link w:val="31"/>
    <w:qFormat/>
    <w:uiPriority w:val="0"/>
    <w:rPr>
      <w:color w:val="auto"/>
    </w:rPr>
  </w:style>
  <w:style w:type="character" w:styleId="19">
    <w:name w:val="Hyperlink"/>
    <w:qFormat/>
    <w:uiPriority w:val="0"/>
    <w:rPr>
      <w:rFonts w:cs="Times New Roman"/>
      <w:color w:val="0000FF"/>
      <w:u w:val="single"/>
    </w:rPr>
  </w:style>
  <w:style w:type="paragraph" w:styleId="20">
    <w:name w:val="Normal (Web)"/>
    <w:basedOn w:val="4"/>
    <w:next w:val="4"/>
    <w:qFormat/>
    <w:uiPriority w:val="0"/>
    <w:pPr>
      <w:spacing w:before="100" w:after="100"/>
    </w:pPr>
    <w:rPr>
      <w:color w:val="auto"/>
    </w:rPr>
  </w:style>
  <w:style w:type="character" w:styleId="21">
    <w:name w:val="page number"/>
    <w:qFormat/>
    <w:uiPriority w:val="0"/>
    <w:rPr>
      <w:rFonts w:cs="Times New Roman"/>
    </w:rPr>
  </w:style>
  <w:style w:type="paragraph" w:styleId="22">
    <w:name w:val="Plain Text"/>
    <w:basedOn w:val="1"/>
    <w:qFormat/>
    <w:uiPriority w:val="0"/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23">
    <w:name w:val="Heading 1 Char"/>
    <w:link w:val="2"/>
    <w:qFormat/>
    <w:locked/>
    <w:uiPriority w:val="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4">
    <w:name w:val="Heading 2 Char"/>
    <w:link w:val="3"/>
    <w:semiHidden/>
    <w:qFormat/>
    <w:locked/>
    <w:uiPriority w:val="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5">
    <w:name w:val="Heading 3 Char"/>
    <w:link w:val="5"/>
    <w:semiHidden/>
    <w:qFormat/>
    <w:locked/>
    <w:uiPriority w:val="0"/>
    <w:rPr>
      <w:rFonts w:ascii="Cambria" w:hAnsi="Cambria" w:cs="Times New Roman"/>
      <w:b/>
      <w:bCs/>
      <w:sz w:val="26"/>
      <w:szCs w:val="26"/>
    </w:rPr>
  </w:style>
  <w:style w:type="character" w:customStyle="1" w:styleId="26">
    <w:name w:val="Heading 4 Char"/>
    <w:link w:val="6"/>
    <w:semiHidden/>
    <w:qFormat/>
    <w:locked/>
    <w:uiPriority w:val="0"/>
    <w:rPr>
      <w:rFonts w:ascii="Calibri" w:hAnsi="Calibri" w:cs="Times New Roman"/>
      <w:b/>
      <w:bCs/>
      <w:sz w:val="28"/>
      <w:szCs w:val="28"/>
    </w:rPr>
  </w:style>
  <w:style w:type="character" w:customStyle="1" w:styleId="27">
    <w:name w:val="Heading 5 Char"/>
    <w:link w:val="7"/>
    <w:semiHidden/>
    <w:qFormat/>
    <w:locked/>
    <w:uiPriority w:val="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28">
    <w:name w:val="Body Text Char"/>
    <w:link w:val="11"/>
    <w:semiHidden/>
    <w:qFormat/>
    <w:locked/>
    <w:uiPriority w:val="0"/>
    <w:rPr>
      <w:rFonts w:cs="Times New Roman"/>
      <w:sz w:val="24"/>
      <w:szCs w:val="24"/>
    </w:rPr>
  </w:style>
  <w:style w:type="character" w:customStyle="1" w:styleId="29">
    <w:name w:val="Body Text Indent Char"/>
    <w:link w:val="13"/>
    <w:semiHidden/>
    <w:qFormat/>
    <w:locked/>
    <w:uiPriority w:val="0"/>
    <w:rPr>
      <w:rFonts w:cs="Times New Roman"/>
      <w:sz w:val="24"/>
      <w:szCs w:val="24"/>
    </w:rPr>
  </w:style>
  <w:style w:type="character" w:customStyle="1" w:styleId="30">
    <w:name w:val="Body Text 2 Char"/>
    <w:link w:val="12"/>
    <w:semiHidden/>
    <w:qFormat/>
    <w:locked/>
    <w:uiPriority w:val="0"/>
    <w:rPr>
      <w:rFonts w:cs="Times New Roman"/>
      <w:sz w:val="24"/>
      <w:szCs w:val="24"/>
    </w:rPr>
  </w:style>
  <w:style w:type="character" w:customStyle="1" w:styleId="31">
    <w:name w:val="Header Char"/>
    <w:link w:val="18"/>
    <w:semiHidden/>
    <w:qFormat/>
    <w:locked/>
    <w:uiPriority w:val="0"/>
    <w:rPr>
      <w:rFonts w:cs="Times New Roman"/>
      <w:sz w:val="24"/>
      <w:szCs w:val="24"/>
      <w:lang w:val="en-US" w:eastAsia="en-US" w:bidi="ar-SA"/>
    </w:rPr>
  </w:style>
  <w:style w:type="character" w:customStyle="1" w:styleId="32">
    <w:name w:val="Footer Char"/>
    <w:link w:val="17"/>
    <w:semiHidden/>
    <w:qFormat/>
    <w:locked/>
    <w:uiPriority w:val="0"/>
    <w:rPr>
      <w:rFonts w:cs="Times New Roman"/>
      <w:sz w:val="24"/>
      <w:szCs w:val="24"/>
    </w:rPr>
  </w:style>
  <w:style w:type="character" w:customStyle="1" w:styleId="33">
    <w:name w:val="long_text1"/>
    <w:qFormat/>
    <w:uiPriority w:val="0"/>
    <w:rPr>
      <w:rFonts w:cs="Times New Roman"/>
      <w:sz w:val="20"/>
      <w:szCs w:val="20"/>
    </w:rPr>
  </w:style>
  <w:style w:type="character" w:customStyle="1" w:styleId="34">
    <w:name w:val="Balloon Text Char"/>
    <w:link w:val="10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35">
    <w:name w:val="italics1"/>
    <w:qFormat/>
    <w:uiPriority w:val="0"/>
    <w:rPr>
      <w:i/>
      <w:iCs/>
    </w:rPr>
  </w:style>
  <w:style w:type="paragraph" w:customStyle="1" w:styleId="36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37">
    <w:name w:val="hps"/>
    <w:basedOn w:val="8"/>
    <w:qFormat/>
    <w:uiPriority w:val="0"/>
  </w:style>
  <w:style w:type="character" w:customStyle="1" w:styleId="38">
    <w:name w:val="long_text"/>
    <w:basedOn w:val="8"/>
    <w:qFormat/>
    <w:uiPriority w:val="0"/>
  </w:style>
  <w:style w:type="character" w:customStyle="1" w:styleId="39">
    <w:name w:val="Char Char3"/>
    <w:semiHidden/>
    <w:qFormat/>
    <w:locked/>
    <w:uiPriority w:val="0"/>
    <w:rPr>
      <w:rFonts w:cs="Times New Roman"/>
      <w:sz w:val="24"/>
      <w:szCs w:val="24"/>
    </w:rPr>
  </w:style>
  <w:style w:type="character" w:customStyle="1" w:styleId="40">
    <w:name w:val="Comment Text Char"/>
    <w:basedOn w:val="8"/>
    <w:link w:val="15"/>
    <w:qFormat/>
    <w:uiPriority w:val="0"/>
  </w:style>
  <w:style w:type="character" w:customStyle="1" w:styleId="41">
    <w:name w:val="Comment Subject Char"/>
    <w:link w:val="1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66DB4-B4B2-4BE4-9A10-7EE71680AC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Alkaloid</Company>
  <Pages>3</Pages>
  <Words>1051</Words>
  <Characters>5992</Characters>
  <Lines>49</Lines>
  <Paragraphs>14</Paragraphs>
  <TotalTime>1</TotalTime>
  <ScaleCrop>false</ScaleCrop>
  <LinksUpToDate>false</LinksUpToDate>
  <CharactersWithSpaces>7029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2022-09-05T13:19:00Z</dcterms:created>
  <dc:creator>openeva</dc:creator>
  <cp:lastModifiedBy>Haris</cp:lastModifiedBy>
  <cp:lastPrinted>2016-06-07T09:08:00Z</cp:lastPrinted>
  <dcterms:modified xsi:type="dcterms:W3CDTF">2025-02-21T13:07:27Z</dcterms:modified>
  <dc:title>Patient Information Leaflet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F3DC8A496E1E4E94B7A7D5D94F58B3CA_13</vt:lpwstr>
  </property>
</Properties>
</file>