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8F9976">
      <w:pPr>
        <w:pStyle w:val="19"/>
        <w:rPr>
          <w:rFonts w:ascii="Microsoft Sans Serif" w:hAnsi="Microsoft Sans Serif" w:cs="Microsoft Sans Serif"/>
          <w:sz w:val="20"/>
          <w:lang w:val="sr-Latn-BA"/>
        </w:rPr>
      </w:pPr>
      <w:bookmarkStart w:id="2" w:name="_GoBack"/>
      <w:bookmarkEnd w:id="2"/>
      <w:r>
        <w:rPr>
          <w:rFonts w:ascii="Microsoft Sans Serif" w:hAnsi="Microsoft Sans Serif" w:cs="Microsoft Sans Serif"/>
          <w:sz w:val="20"/>
          <w:lang w:val="sr-Latn-BA"/>
        </w:rPr>
        <w:t>SAŽETAK KARAKTERISTIKA LIJEKA</w:t>
      </w:r>
    </w:p>
    <w:p w14:paraId="40FEF026">
      <w:pPr>
        <w:jc w:val="both"/>
        <w:rPr>
          <w:rFonts w:ascii="Microsoft Sans Serif" w:hAnsi="Microsoft Sans Serif" w:cs="Microsoft Sans Serif"/>
          <w:lang w:val="sr-Latn-BA"/>
        </w:rPr>
      </w:pPr>
    </w:p>
    <w:p w14:paraId="0F4FC90F">
      <w:pPr>
        <w:jc w:val="both"/>
        <w:rPr>
          <w:rFonts w:ascii="Microsoft Sans Serif" w:hAnsi="Microsoft Sans Serif" w:cs="Microsoft Sans Serif"/>
          <w:lang w:val="sr-Latn-BA"/>
        </w:rPr>
      </w:pPr>
    </w:p>
    <w:p w14:paraId="02E10378">
      <w:pPr>
        <w:jc w:val="both"/>
        <w:rPr>
          <w:rFonts w:ascii="Microsoft Sans Serif" w:hAnsi="Microsoft Sans Serif" w:cs="Microsoft Sans Serif"/>
          <w:lang w:val="sr-Latn-BA"/>
        </w:rPr>
      </w:pPr>
    </w:p>
    <w:p w14:paraId="0D4EBCDB">
      <w:pPr>
        <w:tabs>
          <w:tab w:val="left" w:pos="567"/>
        </w:tabs>
        <w:jc w:val="both"/>
        <w:rPr>
          <w:rFonts w:ascii="Microsoft Sans Serif" w:hAnsi="Microsoft Sans Serif" w:cs="Microsoft Sans Serif"/>
          <w:b/>
          <w:lang w:val="sr-Latn-BA"/>
        </w:rPr>
      </w:pPr>
      <w:r>
        <w:rPr>
          <w:rFonts w:ascii="Microsoft Sans Serif" w:hAnsi="Microsoft Sans Serif" w:cs="Microsoft Sans Serif"/>
          <w:b/>
          <w:lang w:val="sr-Latn-BA"/>
        </w:rPr>
        <w:t xml:space="preserve">1.      NAZIV GOTOVOG LIJEKA </w:t>
      </w:r>
    </w:p>
    <w:p w14:paraId="20AFE21F">
      <w:pPr>
        <w:jc w:val="both"/>
        <w:rPr>
          <w:rFonts w:ascii="Microsoft Sans Serif" w:hAnsi="Microsoft Sans Serif" w:cs="Microsoft Sans Serif"/>
          <w:lang w:val="sr-Latn-BA"/>
        </w:rPr>
      </w:pPr>
    </w:p>
    <w:p w14:paraId="7DBE8142">
      <w:pPr>
        <w:jc w:val="both"/>
        <w:rPr>
          <w:rFonts w:ascii="Microsoft Sans Serif" w:hAnsi="Microsoft Sans Serif" w:cs="Microsoft Sans Serif"/>
          <w:lang w:val="sr-Latn-BA"/>
        </w:rPr>
      </w:pPr>
      <w:r>
        <w:rPr>
          <w:rFonts w:ascii="Microsoft Sans Serif" w:hAnsi="Microsoft Sans Serif" w:eastAsia="Arial Unicode MS" w:cs="Microsoft Sans Serif"/>
          <w:color w:val="FF0000"/>
          <w:lang w:val="sr-Latn-BA"/>
        </w:rPr>
        <w:t>∆</w:t>
      </w:r>
      <w:r>
        <w:rPr>
          <w:rFonts w:ascii="Microsoft Sans Serif" w:hAnsi="Microsoft Sans Serif" w:cs="Microsoft Sans Serif"/>
          <w:color w:val="FF0000"/>
          <w:lang w:val="sr-Latn-BA"/>
        </w:rPr>
        <w:t xml:space="preserve"> </w:t>
      </w:r>
      <w:r>
        <w:rPr>
          <w:rFonts w:ascii="Microsoft Sans Serif" w:hAnsi="Microsoft Sans Serif" w:cs="Microsoft Sans Serif"/>
          <w:lang w:val="sr-Latn-BA"/>
        </w:rPr>
        <w:t xml:space="preserve">ZANFEXA XR </w:t>
      </w:r>
    </w:p>
    <w:p w14:paraId="16829174">
      <w:pPr>
        <w:jc w:val="both"/>
        <w:rPr>
          <w:rFonts w:ascii="Microsoft Sans Serif" w:hAnsi="Microsoft Sans Serif" w:cs="Microsoft Sans Serif"/>
          <w:lang w:val="sr-Latn-BA"/>
        </w:rPr>
      </w:pPr>
      <w:r>
        <w:rPr>
          <w:rFonts w:ascii="Microsoft Sans Serif" w:hAnsi="Microsoft Sans Serif" w:cs="Microsoft Sans Serif"/>
          <w:lang w:val="sr-Latn-BA"/>
        </w:rPr>
        <w:t>75 mg</w:t>
      </w:r>
    </w:p>
    <w:p w14:paraId="31F2F71D">
      <w:pPr>
        <w:jc w:val="both"/>
        <w:rPr>
          <w:rFonts w:ascii="Microsoft Sans Serif" w:hAnsi="Microsoft Sans Serif" w:cs="Microsoft Sans Serif"/>
          <w:lang w:val="sr-Latn-BA"/>
        </w:rPr>
      </w:pPr>
      <w:r>
        <w:rPr>
          <w:rFonts w:ascii="Microsoft Sans Serif" w:hAnsi="Microsoft Sans Serif" w:cs="Microsoft Sans Serif"/>
          <w:lang w:val="sr-Latn-BA"/>
        </w:rPr>
        <w:t>150 mg</w:t>
      </w:r>
    </w:p>
    <w:p w14:paraId="2A12BD56">
      <w:pPr>
        <w:jc w:val="both"/>
        <w:rPr>
          <w:rFonts w:ascii="Microsoft Sans Serif" w:hAnsi="Microsoft Sans Serif" w:cs="Microsoft Sans Serif"/>
          <w:vertAlign w:val="superscript"/>
          <w:lang w:val="sr-Latn-BA"/>
        </w:rPr>
      </w:pPr>
      <w:r>
        <w:rPr>
          <w:rFonts w:ascii="Microsoft Sans Serif" w:hAnsi="Microsoft Sans Serif" w:cs="Microsoft Sans Serif"/>
          <w:lang w:val="sr-Latn-BA"/>
        </w:rPr>
        <w:t>kapsule sa produženim oslobađanjem, tvrde.</w:t>
      </w:r>
    </w:p>
    <w:p w14:paraId="2BF65230">
      <w:pPr>
        <w:jc w:val="both"/>
        <w:rPr>
          <w:rFonts w:ascii="Microsoft Sans Serif" w:hAnsi="Microsoft Sans Serif" w:cs="Microsoft Sans Serif"/>
          <w:i/>
          <w:lang w:val="sr-Latn-BA"/>
        </w:rPr>
      </w:pPr>
      <w:r>
        <w:rPr>
          <w:rFonts w:ascii="Microsoft Sans Serif" w:hAnsi="Microsoft Sans Serif" w:cs="Microsoft Sans Serif"/>
          <w:i/>
          <w:lang w:val="sr-Latn-BA"/>
        </w:rPr>
        <w:t>venlafaksin</w:t>
      </w:r>
    </w:p>
    <w:p w14:paraId="23BBD7A4">
      <w:pPr>
        <w:jc w:val="both"/>
        <w:rPr>
          <w:rFonts w:ascii="Microsoft Sans Serif" w:hAnsi="Microsoft Sans Serif" w:cs="Microsoft Sans Serif"/>
          <w:b/>
          <w:lang w:val="sr-Latn-BA"/>
        </w:rPr>
      </w:pPr>
      <w:r>
        <w:rPr>
          <w:rFonts w:ascii="Microsoft Sans Serif" w:hAnsi="Microsoft Sans Serif" w:cs="Microsoft Sans Serif"/>
          <w:b/>
          <w:lang w:val="sr-Latn-BA"/>
        </w:rPr>
        <w:tab/>
      </w:r>
    </w:p>
    <w:p w14:paraId="784C6263">
      <w:pPr>
        <w:jc w:val="both"/>
        <w:rPr>
          <w:rFonts w:ascii="Microsoft Sans Serif" w:hAnsi="Microsoft Sans Serif" w:cs="Microsoft Sans Serif"/>
          <w:b/>
          <w:lang w:val="sr-Latn-BA"/>
        </w:rPr>
      </w:pPr>
    </w:p>
    <w:p w14:paraId="2567742E">
      <w:pPr>
        <w:tabs>
          <w:tab w:val="left" w:pos="567"/>
        </w:tabs>
        <w:jc w:val="both"/>
        <w:rPr>
          <w:rFonts w:ascii="Microsoft Sans Serif" w:hAnsi="Microsoft Sans Serif" w:cs="Microsoft Sans Serif"/>
          <w:b/>
          <w:lang w:val="sr-Latn-BA"/>
        </w:rPr>
      </w:pPr>
      <w:r>
        <w:rPr>
          <w:rFonts w:ascii="Microsoft Sans Serif" w:hAnsi="Microsoft Sans Serif" w:cs="Microsoft Sans Serif"/>
          <w:b/>
          <w:lang w:val="sr-Latn-BA"/>
        </w:rPr>
        <w:t>2.      KVALITATIVNI I KVANTITATIVNI SASTAV LIJEKA</w:t>
      </w:r>
    </w:p>
    <w:p w14:paraId="0CE0BC7D">
      <w:pPr>
        <w:jc w:val="both"/>
        <w:rPr>
          <w:rFonts w:ascii="Microsoft Sans Serif" w:hAnsi="Microsoft Sans Serif" w:cs="Microsoft Sans Serif"/>
          <w:b/>
          <w:lang w:val="sr-Latn-BA"/>
        </w:rPr>
      </w:pPr>
    </w:p>
    <w:p w14:paraId="24ABCE98">
      <w:pPr>
        <w:jc w:val="both"/>
        <w:rPr>
          <w:rFonts w:ascii="Microsoft Sans Serif" w:hAnsi="Microsoft Sans Serif" w:cs="Microsoft Sans Serif"/>
          <w:u w:val="single"/>
          <w:vertAlign w:val="superscript"/>
          <w:lang w:val="sr-Latn-BA"/>
        </w:rPr>
      </w:pPr>
      <w:r>
        <w:rPr>
          <w:rFonts w:ascii="Microsoft Sans Serif" w:hAnsi="Microsoft Sans Serif" w:cs="Microsoft Sans Serif"/>
          <w:u w:val="single"/>
          <w:lang w:val="sr-Latn-BA"/>
        </w:rPr>
        <w:t>ZANFEXA XR, 75 mg, kapsula sa produženim oslobađanjem, tvrda</w:t>
      </w:r>
    </w:p>
    <w:p w14:paraId="6E21661F">
      <w:pPr>
        <w:jc w:val="both"/>
        <w:rPr>
          <w:rFonts w:ascii="Microsoft Sans Serif" w:hAnsi="Microsoft Sans Serif" w:cs="Microsoft Sans Serif"/>
          <w:lang w:val="sr-Latn-BA"/>
        </w:rPr>
      </w:pPr>
      <w:r>
        <w:rPr>
          <w:rFonts w:ascii="Microsoft Sans Serif" w:hAnsi="Microsoft Sans Serif" w:cs="Microsoft Sans Serif"/>
          <w:lang w:val="sr-Latn-BA"/>
        </w:rPr>
        <w:t>Jedna kapsula sa produženim oslobađanjem sadrži 75 mg venlafaksina (89,25 mg u obliku venlafaksin-hidrohlorida).</w:t>
      </w:r>
    </w:p>
    <w:p w14:paraId="1257A95A">
      <w:pPr>
        <w:jc w:val="both"/>
        <w:rPr>
          <w:rFonts w:ascii="Microsoft Sans Serif" w:hAnsi="Microsoft Sans Serif" w:cs="Microsoft Sans Serif"/>
          <w:u w:val="single"/>
          <w:lang w:val="sr-Latn-BA"/>
        </w:rPr>
      </w:pPr>
    </w:p>
    <w:p w14:paraId="48089F5C">
      <w:pPr>
        <w:jc w:val="both"/>
        <w:rPr>
          <w:rFonts w:ascii="Microsoft Sans Serif" w:hAnsi="Microsoft Sans Serif" w:cs="Microsoft Sans Serif"/>
          <w:u w:val="single"/>
          <w:vertAlign w:val="superscript"/>
          <w:lang w:val="sr-Latn-BA"/>
        </w:rPr>
      </w:pPr>
      <w:r>
        <w:rPr>
          <w:rFonts w:ascii="Microsoft Sans Serif" w:hAnsi="Microsoft Sans Serif" w:cs="Microsoft Sans Serif"/>
          <w:u w:val="single"/>
          <w:lang w:val="sr-Latn-BA"/>
        </w:rPr>
        <w:t>ZANFEXA XR, 150 mg, kapsula sa produženim oslobađanjem, tvrda</w:t>
      </w:r>
    </w:p>
    <w:p w14:paraId="0DD67912">
      <w:pPr>
        <w:jc w:val="both"/>
        <w:rPr>
          <w:rFonts w:ascii="Microsoft Sans Serif" w:hAnsi="Microsoft Sans Serif" w:cs="Microsoft Sans Serif"/>
          <w:lang w:val="sr-Latn-BA"/>
        </w:rPr>
      </w:pPr>
      <w:r>
        <w:rPr>
          <w:rFonts w:ascii="Microsoft Sans Serif" w:hAnsi="Microsoft Sans Serif" w:cs="Microsoft Sans Serif"/>
          <w:lang w:val="sr-Latn-BA"/>
        </w:rPr>
        <w:t>Jedna kapsula sa produženim oslobađanjem sadrži 150 mg venlafaksina (178,50 mg u obliku venlafaksin-hidrohlorida).</w:t>
      </w:r>
    </w:p>
    <w:p w14:paraId="77EF698C">
      <w:pPr>
        <w:jc w:val="both"/>
        <w:rPr>
          <w:rFonts w:ascii="Microsoft Sans Serif" w:hAnsi="Microsoft Sans Serif" w:cs="Microsoft Sans Serif"/>
          <w:lang w:val="sr-Latn-BA"/>
        </w:rPr>
      </w:pPr>
    </w:p>
    <w:p w14:paraId="36B12109">
      <w:pPr>
        <w:jc w:val="both"/>
        <w:rPr>
          <w:rFonts w:ascii="Microsoft Sans Serif" w:hAnsi="Microsoft Sans Serif" w:cs="Microsoft Sans Serif"/>
          <w:lang w:val="sr-Latn-BA"/>
        </w:rPr>
      </w:pPr>
      <w:r>
        <w:rPr>
          <w:rFonts w:ascii="Microsoft Sans Serif" w:hAnsi="Microsoft Sans Serif" w:cs="Microsoft Sans Serif"/>
          <w:lang w:val="sr-Latn-BA"/>
        </w:rPr>
        <w:t>Pomoćne supstance sa potvrđenim dejstvom: saharoza i boja Sunset žuta E110.</w:t>
      </w:r>
    </w:p>
    <w:p w14:paraId="444D35CE">
      <w:pPr>
        <w:jc w:val="both"/>
        <w:rPr>
          <w:rFonts w:ascii="Microsoft Sans Serif" w:hAnsi="Microsoft Sans Serif" w:cs="Microsoft Sans Serif"/>
          <w:lang w:val="sr-Latn-BA"/>
        </w:rPr>
      </w:pPr>
    </w:p>
    <w:p w14:paraId="6115EA03">
      <w:pPr>
        <w:jc w:val="both"/>
        <w:rPr>
          <w:rFonts w:ascii="Microsoft Sans Serif" w:hAnsi="Microsoft Sans Serif" w:cs="Microsoft Sans Serif"/>
          <w:lang w:val="sr-Latn-BA"/>
        </w:rPr>
      </w:pPr>
      <w:r>
        <w:rPr>
          <w:rFonts w:ascii="Microsoft Sans Serif" w:hAnsi="Microsoft Sans Serif" w:cs="Microsoft Sans Serif"/>
          <w:lang w:val="sr-Latn-BA"/>
        </w:rPr>
        <w:t>Za potpuni sastav pomoćnih supstanci pogledati dio 6.1.</w:t>
      </w:r>
    </w:p>
    <w:p w14:paraId="20BF6E8D">
      <w:pPr>
        <w:jc w:val="both"/>
        <w:rPr>
          <w:rFonts w:ascii="Microsoft Sans Serif" w:hAnsi="Microsoft Sans Serif" w:cs="Microsoft Sans Serif"/>
          <w:lang w:val="sr-Latn-BA"/>
        </w:rPr>
      </w:pPr>
    </w:p>
    <w:p w14:paraId="6B00DB8E">
      <w:pPr>
        <w:jc w:val="both"/>
        <w:rPr>
          <w:rFonts w:ascii="Microsoft Sans Serif" w:hAnsi="Microsoft Sans Serif" w:cs="Microsoft Sans Serif"/>
          <w:lang w:val="sr-Latn-BA"/>
        </w:rPr>
      </w:pPr>
    </w:p>
    <w:p w14:paraId="1AF3C99A">
      <w:pPr>
        <w:tabs>
          <w:tab w:val="left" w:pos="567"/>
        </w:tabs>
        <w:jc w:val="both"/>
        <w:rPr>
          <w:rFonts w:ascii="Microsoft Sans Serif" w:hAnsi="Microsoft Sans Serif" w:cs="Microsoft Sans Serif"/>
          <w:b/>
          <w:lang w:val="sr-Latn-BA"/>
        </w:rPr>
      </w:pPr>
      <w:r>
        <w:rPr>
          <w:rFonts w:ascii="Microsoft Sans Serif" w:hAnsi="Microsoft Sans Serif" w:cs="Microsoft Sans Serif"/>
          <w:b/>
          <w:lang w:val="sr-Latn-BA"/>
        </w:rPr>
        <w:t>3.      FARMACEUTSKI OBLIK</w:t>
      </w:r>
    </w:p>
    <w:p w14:paraId="1589EBE5">
      <w:pPr>
        <w:tabs>
          <w:tab w:val="left" w:pos="567"/>
        </w:tabs>
        <w:jc w:val="both"/>
        <w:rPr>
          <w:rFonts w:ascii="Microsoft Sans Serif" w:hAnsi="Microsoft Sans Serif" w:cs="Microsoft Sans Serif"/>
          <w:b/>
          <w:lang w:val="sr-Latn-BA"/>
        </w:rPr>
      </w:pPr>
    </w:p>
    <w:p w14:paraId="672B6696">
      <w:pPr>
        <w:tabs>
          <w:tab w:val="left" w:pos="567"/>
        </w:tabs>
        <w:jc w:val="both"/>
        <w:rPr>
          <w:rFonts w:ascii="Microsoft Sans Serif" w:hAnsi="Microsoft Sans Serif" w:cs="Microsoft Sans Serif"/>
          <w:lang w:val="sr-Latn-BA"/>
        </w:rPr>
      </w:pPr>
      <w:r>
        <w:rPr>
          <w:rFonts w:ascii="Microsoft Sans Serif" w:hAnsi="Microsoft Sans Serif" w:cs="Microsoft Sans Serif"/>
          <w:b/>
          <w:lang w:val="sr-Latn-BA"/>
        </w:rPr>
        <w:t xml:space="preserve">*       </w:t>
      </w:r>
      <w:r>
        <w:rPr>
          <w:rFonts w:ascii="Microsoft Sans Serif" w:hAnsi="Microsoft Sans Serif" w:cs="Microsoft Sans Serif"/>
          <w:lang w:val="sr-Latn-BA"/>
        </w:rPr>
        <w:t>kapsula sa produženim oslobađanjem, tvrda</w:t>
      </w:r>
    </w:p>
    <w:p w14:paraId="070B83C1">
      <w:pPr>
        <w:tabs>
          <w:tab w:val="left" w:pos="567"/>
        </w:tabs>
        <w:jc w:val="both"/>
        <w:rPr>
          <w:rFonts w:ascii="Microsoft Sans Serif" w:hAnsi="Microsoft Sans Serif" w:cs="Microsoft Sans Serif"/>
          <w:lang w:val="sr-Latn-BA"/>
        </w:rPr>
      </w:pPr>
    </w:p>
    <w:p w14:paraId="5FCA2EDF">
      <w:pPr>
        <w:jc w:val="both"/>
        <w:rPr>
          <w:rFonts w:ascii="Microsoft Sans Serif" w:hAnsi="Microsoft Sans Serif" w:cs="Microsoft Sans Serif"/>
          <w:u w:val="single"/>
          <w:vertAlign w:val="superscript"/>
          <w:lang w:val="sr-Latn-BA"/>
        </w:rPr>
      </w:pPr>
      <w:r>
        <w:rPr>
          <w:rFonts w:ascii="Microsoft Sans Serif" w:hAnsi="Microsoft Sans Serif" w:cs="Microsoft Sans Serif"/>
          <w:u w:val="single"/>
          <w:lang w:val="sr-Latn-BA"/>
        </w:rPr>
        <w:t>ZANFEXA XR, 75 mg, kapsula sa produženim oslobađanjem, tvrda</w:t>
      </w:r>
    </w:p>
    <w:p w14:paraId="6A74FDD8">
      <w:pPr>
        <w:jc w:val="both"/>
        <w:rPr>
          <w:rFonts w:ascii="Microsoft Sans Serif" w:hAnsi="Microsoft Sans Serif" w:cs="Microsoft Sans Serif"/>
          <w:lang w:val="sr-Latn-BA"/>
        </w:rPr>
      </w:pPr>
      <w:r>
        <w:rPr>
          <w:rFonts w:ascii="Microsoft Sans Serif" w:hAnsi="Microsoft Sans Serif" w:cs="Microsoft Sans Serif"/>
          <w:lang w:val="sr-Latn-BA"/>
        </w:rPr>
        <w:t xml:space="preserve">Bijele do skoro bijele pelete punjenje u tvrde želatinozne kapsule “veličine 1” sa žutom kapicom i prozirnim tijelom. </w:t>
      </w:r>
    </w:p>
    <w:p w14:paraId="253B49B2">
      <w:pPr>
        <w:jc w:val="both"/>
        <w:rPr>
          <w:rFonts w:ascii="Microsoft Sans Serif" w:hAnsi="Microsoft Sans Serif" w:cs="Microsoft Sans Serif"/>
          <w:lang w:val="sr-Latn-BA"/>
        </w:rPr>
      </w:pPr>
    </w:p>
    <w:p w14:paraId="6E86FFA9">
      <w:pPr>
        <w:jc w:val="both"/>
        <w:rPr>
          <w:rFonts w:ascii="Microsoft Sans Serif" w:hAnsi="Microsoft Sans Serif" w:cs="Microsoft Sans Serif"/>
          <w:u w:val="single"/>
          <w:vertAlign w:val="superscript"/>
          <w:lang w:val="sr-Latn-BA"/>
        </w:rPr>
      </w:pPr>
      <w:r>
        <w:rPr>
          <w:rFonts w:ascii="Microsoft Sans Serif" w:hAnsi="Microsoft Sans Serif" w:cs="Microsoft Sans Serif"/>
          <w:u w:val="single"/>
          <w:lang w:val="sr-Latn-BA"/>
        </w:rPr>
        <w:t>ZANFEXA XR, 150 mg, kapsula sa produženim oslobađanjem, tvrda</w:t>
      </w:r>
    </w:p>
    <w:p w14:paraId="4C0AF9F8">
      <w:pPr>
        <w:jc w:val="both"/>
        <w:rPr>
          <w:rFonts w:ascii="Microsoft Sans Serif" w:hAnsi="Microsoft Sans Serif" w:cs="Microsoft Sans Serif"/>
          <w:lang w:val="sr-Latn-BA"/>
        </w:rPr>
      </w:pPr>
      <w:r>
        <w:rPr>
          <w:rFonts w:ascii="Microsoft Sans Serif" w:hAnsi="Microsoft Sans Serif" w:cs="Microsoft Sans Serif"/>
          <w:lang w:val="sr-Latn-BA"/>
        </w:rPr>
        <w:t xml:space="preserve">Bijele do skoro bijele pelete punjenje u tvrde želatinozne kapsule “veličine 0” sa žućkasto-bež kapicom i prozirnim tijelom. </w:t>
      </w:r>
    </w:p>
    <w:p w14:paraId="5C24776F">
      <w:pPr>
        <w:jc w:val="both"/>
        <w:rPr>
          <w:rFonts w:ascii="Microsoft Sans Serif" w:hAnsi="Microsoft Sans Serif" w:cs="Microsoft Sans Serif"/>
          <w:lang w:val="sr-Latn-BA"/>
        </w:rPr>
      </w:pPr>
    </w:p>
    <w:p w14:paraId="7E06BD14">
      <w:pPr>
        <w:jc w:val="both"/>
        <w:rPr>
          <w:rFonts w:ascii="Microsoft Sans Serif" w:hAnsi="Microsoft Sans Serif" w:cs="Microsoft Sans Serif"/>
          <w:lang w:val="sr-Latn-BA"/>
        </w:rPr>
      </w:pPr>
    </w:p>
    <w:p w14:paraId="6390ADB6">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4. </w:t>
      </w:r>
      <w:r>
        <w:rPr>
          <w:rFonts w:ascii="Microsoft Sans Serif" w:hAnsi="Microsoft Sans Serif" w:cs="Microsoft Sans Serif"/>
          <w:b/>
          <w:lang w:val="sr-Latn-BA"/>
        </w:rPr>
        <w:tab/>
      </w:r>
      <w:r>
        <w:rPr>
          <w:rFonts w:ascii="Microsoft Sans Serif" w:hAnsi="Microsoft Sans Serif" w:cs="Microsoft Sans Serif"/>
          <w:b/>
          <w:lang w:val="sr-Latn-BA"/>
        </w:rPr>
        <w:t xml:space="preserve">KLINIČKI PODACI  </w:t>
      </w:r>
    </w:p>
    <w:p w14:paraId="40650C4A">
      <w:pPr>
        <w:jc w:val="both"/>
        <w:rPr>
          <w:rFonts w:ascii="Microsoft Sans Serif" w:hAnsi="Microsoft Sans Serif" w:cs="Microsoft Sans Serif"/>
          <w:b/>
          <w:lang w:val="sr-Latn-BA"/>
        </w:rPr>
      </w:pPr>
    </w:p>
    <w:p w14:paraId="7F953F4E">
      <w:pPr>
        <w:jc w:val="both"/>
        <w:rPr>
          <w:rFonts w:ascii="Microsoft Sans Serif" w:hAnsi="Microsoft Sans Serif" w:cs="Microsoft Sans Serif"/>
          <w:b/>
          <w:lang w:val="sr-Latn-BA"/>
        </w:rPr>
      </w:pPr>
      <w:r>
        <w:rPr>
          <w:rFonts w:ascii="Microsoft Sans Serif" w:hAnsi="Microsoft Sans Serif" w:cs="Microsoft Sans Serif"/>
          <w:b/>
          <w:lang w:val="sr-Latn-BA"/>
        </w:rPr>
        <w:t>4.1</w:t>
      </w:r>
      <w:r>
        <w:rPr>
          <w:rFonts w:ascii="Microsoft Sans Serif" w:hAnsi="Microsoft Sans Serif" w:cs="Microsoft Sans Serif"/>
          <w:b/>
          <w:lang w:val="sr-Latn-BA"/>
        </w:rPr>
        <w:tab/>
      </w:r>
      <w:r>
        <w:rPr>
          <w:rFonts w:ascii="Microsoft Sans Serif" w:hAnsi="Microsoft Sans Serif" w:cs="Microsoft Sans Serif"/>
          <w:b/>
          <w:lang w:val="sr-Latn-BA"/>
        </w:rPr>
        <w:t xml:space="preserve">Terapijske indikacije </w:t>
      </w:r>
    </w:p>
    <w:p w14:paraId="1BAA9E08">
      <w:pPr>
        <w:jc w:val="both"/>
        <w:rPr>
          <w:rFonts w:ascii="Microsoft Sans Serif" w:hAnsi="Microsoft Sans Serif" w:cs="Microsoft Sans Serif"/>
          <w:lang w:val="sr-Latn-BA"/>
        </w:rPr>
      </w:pPr>
    </w:p>
    <w:p w14:paraId="7B7D54C5">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Liječenje epizoda depresije major.</w:t>
      </w:r>
    </w:p>
    <w:p w14:paraId="122A0ECB">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U prevenciji rekurentnih epizoda depresije major.</w:t>
      </w:r>
    </w:p>
    <w:p w14:paraId="728633B8">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Liječenje generalizovanog anksioznog poremećaja.</w:t>
      </w:r>
    </w:p>
    <w:p w14:paraId="217B1FF8">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Liječenje socijalno-anksioznog poremećaja.</w:t>
      </w:r>
    </w:p>
    <w:p w14:paraId="0B8625F8">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Liječenje paničnih poremećaja sa ili bez </w:t>
      </w:r>
      <w:r>
        <w:rPr>
          <w:rFonts w:ascii="Microsoft Sans Serif" w:hAnsi="Microsoft Sans Serif" w:cs="Microsoft Sans Serif"/>
          <w:lang w:val="bs-Latn-BA" w:eastAsia="en-US"/>
        </w:rPr>
        <w:t>agorafobije</w:t>
      </w:r>
      <w:r>
        <w:rPr>
          <w:rFonts w:ascii="Microsoft Sans Serif" w:hAnsi="Microsoft Sans Serif" w:cs="Microsoft Sans Serif"/>
          <w:lang w:val="sr-Latn-BA" w:eastAsia="en-US"/>
        </w:rPr>
        <w:t>.</w:t>
      </w:r>
    </w:p>
    <w:p w14:paraId="346B4967">
      <w:pPr>
        <w:autoSpaceDE w:val="0"/>
        <w:autoSpaceDN w:val="0"/>
        <w:adjustRightInd w:val="0"/>
        <w:jc w:val="both"/>
        <w:rPr>
          <w:rFonts w:ascii="Microsoft Sans Serif" w:hAnsi="Microsoft Sans Serif" w:cs="Microsoft Sans Serif"/>
          <w:lang w:val="sr-Latn-BA" w:eastAsia="en-US"/>
        </w:rPr>
      </w:pPr>
    </w:p>
    <w:p w14:paraId="12EBB1A3">
      <w:pPr>
        <w:numPr>
          <w:ilvl w:val="1"/>
          <w:numId w:val="1"/>
        </w:numPr>
        <w:ind w:left="0" w:firstLine="0"/>
        <w:jc w:val="both"/>
        <w:rPr>
          <w:rFonts w:ascii="Microsoft Sans Serif" w:hAnsi="Microsoft Sans Serif" w:cs="Microsoft Sans Serif"/>
          <w:b/>
          <w:lang w:val="sr-Latn-BA"/>
        </w:rPr>
      </w:pPr>
      <w:r>
        <w:rPr>
          <w:rFonts w:ascii="Microsoft Sans Serif" w:hAnsi="Microsoft Sans Serif" w:cs="Microsoft Sans Serif"/>
          <w:b/>
          <w:lang w:val="sr-Latn-BA"/>
        </w:rPr>
        <w:t xml:space="preserve">Doziranje i način primjene  </w:t>
      </w:r>
    </w:p>
    <w:p w14:paraId="770A7D0C">
      <w:pPr>
        <w:jc w:val="both"/>
        <w:rPr>
          <w:rFonts w:ascii="Microsoft Sans Serif" w:hAnsi="Microsoft Sans Serif" w:cs="Microsoft Sans Serif"/>
          <w:lang w:val="sr-Latn-BA"/>
        </w:rPr>
      </w:pPr>
    </w:p>
    <w:p w14:paraId="686C3675">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Epizode depresije major</w:t>
      </w:r>
    </w:p>
    <w:p w14:paraId="1A722583">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Preporučena početna doza za </w:t>
      </w:r>
      <w:r>
        <w:rPr>
          <w:rFonts w:ascii="Microsoft Sans Serif" w:hAnsi="Microsoft Sans Serif" w:cs="Microsoft Sans Serif"/>
          <w:lang w:val="sr-Latn-BA"/>
        </w:rPr>
        <w:t>tvrde kapsule sa produženim oslobađanjem</w:t>
      </w:r>
      <w:r>
        <w:rPr>
          <w:rFonts w:ascii="Microsoft Sans Serif" w:hAnsi="Microsoft Sans Serif" w:cs="Microsoft Sans Serif"/>
          <w:lang w:val="sr-Latn-BA" w:eastAsia="en-US"/>
        </w:rPr>
        <w:t xml:space="preserve"> venlafaksina je 75 mg data jednom dnevno. Pacijenti koji ne odgovaraju na početnu 75 mg/dnevno dozu mogu imati koristi od povećanja doza do maksimalne doze od 375 mg/dnevno. Povećanje doze se može uvesti tokom dvije sedmice ili više. Ako je klinički opravdano zbog ozbiljnosti simptoma, </w:t>
      </w:r>
      <w:r>
        <w:rPr>
          <w:rFonts w:ascii="Microsoft Sans Serif" w:hAnsi="Microsoft Sans Serif" w:cs="Microsoft Sans Serif"/>
          <w:lang w:val="bs-Latn-BA" w:eastAsia="en-US"/>
        </w:rPr>
        <w:t xml:space="preserve">doza se može </w:t>
      </w:r>
      <w:r>
        <w:rPr>
          <w:rFonts w:ascii="Microsoft Sans Serif" w:hAnsi="Microsoft Sans Serif" w:cs="Microsoft Sans Serif"/>
          <w:lang w:val="sr-Latn-BA" w:eastAsia="en-US"/>
        </w:rPr>
        <w:t>povećati i u kraćim intervalima, ali ne kra</w:t>
      </w:r>
      <w:r>
        <w:rPr>
          <w:rFonts w:ascii="Microsoft Sans Serif" w:hAnsi="Microsoft Sans Serif" w:cs="Microsoft Sans Serif"/>
          <w:lang w:val="hr-BA" w:eastAsia="en-US"/>
        </w:rPr>
        <w:t>ćim</w:t>
      </w:r>
      <w:r>
        <w:rPr>
          <w:rFonts w:ascii="Microsoft Sans Serif" w:hAnsi="Microsoft Sans Serif" w:cs="Microsoft Sans Serif"/>
          <w:lang w:val="sr-Latn-BA" w:eastAsia="en-US"/>
        </w:rPr>
        <w:t xml:space="preserve"> od </w:t>
      </w:r>
      <w:r>
        <w:rPr>
          <w:rFonts w:ascii="Microsoft Sans Serif" w:hAnsi="Microsoft Sans Serif" w:cs="Microsoft Sans Serif"/>
          <w:lang w:val="bs-Latn-BA" w:eastAsia="en-US"/>
        </w:rPr>
        <w:t xml:space="preserve">četiri </w:t>
      </w:r>
      <w:r>
        <w:rPr>
          <w:rFonts w:ascii="Microsoft Sans Serif" w:hAnsi="Microsoft Sans Serif" w:cs="Microsoft Sans Serif"/>
          <w:lang w:val="sr-Latn-BA" w:eastAsia="en-US"/>
        </w:rPr>
        <w:t xml:space="preserve">dana. </w:t>
      </w:r>
    </w:p>
    <w:p w14:paraId="2815C17F">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Zbog rizika od neželjenih dejstava povezanih sa doziranjem, doza se može </w:t>
      </w:r>
      <w:r>
        <w:rPr>
          <w:rFonts w:ascii="Microsoft Sans Serif" w:hAnsi="Microsoft Sans Serif" w:cs="Microsoft Sans Serif"/>
          <w:lang w:val="bs-Latn-BA" w:eastAsia="en-US"/>
        </w:rPr>
        <w:t xml:space="preserve">povećati </w:t>
      </w:r>
      <w:r>
        <w:rPr>
          <w:rFonts w:ascii="Microsoft Sans Serif" w:hAnsi="Microsoft Sans Serif" w:cs="Microsoft Sans Serif"/>
          <w:lang w:val="sr-Latn-BA" w:eastAsia="en-US"/>
        </w:rPr>
        <w:t xml:space="preserve">tek nakon kliničke evaluacije (pogledati dio 4.4). Najmanja efikasna doza treba biti primjenjivana. Pacijente treba liječiti dovoljno dugo, obično nekoliko mjeseci ili duže. Terapija treba biti preispitana redovno, individualno, za svakog pacijenata posebno. Dugoročniji tretmani mogu biti odgovarajući kod prevencije ponavljanja majornih depresivnih epizoda. Kod većine slučajeva, preporučena doza u prevenciji ponavljanja majornih depresivnih epizoda je ista kao ona koja je korištena tokom tekuće epizode. Antidepresivi se trebaju koristiti najmanje šest mjeseci od remisije. </w:t>
      </w:r>
    </w:p>
    <w:p w14:paraId="65ACF3BC">
      <w:pPr>
        <w:autoSpaceDE w:val="0"/>
        <w:autoSpaceDN w:val="0"/>
        <w:adjustRightInd w:val="0"/>
        <w:jc w:val="both"/>
        <w:rPr>
          <w:rFonts w:ascii="Microsoft Sans Serif" w:hAnsi="Microsoft Sans Serif" w:cs="Microsoft Sans Serif"/>
          <w:b/>
          <w:bCs/>
          <w:lang w:val="sr-Latn-BA" w:eastAsia="en-US"/>
        </w:rPr>
      </w:pPr>
    </w:p>
    <w:p w14:paraId="370F61E4">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Generalizovani anksiozni poremećaj</w:t>
      </w:r>
    </w:p>
    <w:p w14:paraId="642B4590">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Preporučena početna doza za </w:t>
      </w:r>
      <w:r>
        <w:rPr>
          <w:rFonts w:ascii="Microsoft Sans Serif" w:hAnsi="Microsoft Sans Serif" w:cs="Microsoft Sans Serif"/>
          <w:lang w:val="sr-Latn-BA"/>
        </w:rPr>
        <w:t xml:space="preserve">tvrde kapsule sa produženim oslobađanjem venlafaksina je 75 mg jednom dnevno. Pacijenti koji ne odgovaraju na inicijalnu dozu od 75 mg/dnevno mogu imati koristi od povećanja doze do maksimalne doze 225 mg/dnevno. </w:t>
      </w:r>
      <w:r>
        <w:rPr>
          <w:rFonts w:ascii="Microsoft Sans Serif" w:hAnsi="Microsoft Sans Serif" w:cs="Microsoft Sans Serif"/>
          <w:lang w:val="sr-Latn-BA" w:eastAsia="en-US"/>
        </w:rPr>
        <w:t>Povećanje doze se može uvesti tokom dvije sedmice ili više.</w:t>
      </w:r>
    </w:p>
    <w:p w14:paraId="6B188811">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Zbog rizika od neželjenih dejstava vezanih sa doziranjem, doza se može </w:t>
      </w:r>
      <w:r>
        <w:rPr>
          <w:rFonts w:ascii="Microsoft Sans Serif" w:hAnsi="Microsoft Sans Serif" w:cs="Microsoft Sans Serif"/>
          <w:lang w:val="bs-Latn-BA" w:eastAsia="en-US"/>
        </w:rPr>
        <w:t xml:space="preserve">povećati </w:t>
      </w:r>
      <w:r>
        <w:rPr>
          <w:rFonts w:ascii="Microsoft Sans Serif" w:hAnsi="Microsoft Sans Serif" w:cs="Microsoft Sans Serif"/>
          <w:lang w:val="sr-Latn-BA" w:eastAsia="en-US"/>
        </w:rPr>
        <w:t xml:space="preserve">tek nakon kliničke evaluacije (pogledati dio 4.4). Najmanja efikasna doza treba biti primjenjivana. Pacijente treba liječiti dovoljno dugo, obično nekoliko mjeseci ili duže. Terapija treba biti preispitana redovno, individualno, za svakog pacijenata posebno. </w:t>
      </w:r>
    </w:p>
    <w:p w14:paraId="2728DD74">
      <w:pPr>
        <w:autoSpaceDE w:val="0"/>
        <w:autoSpaceDN w:val="0"/>
        <w:adjustRightInd w:val="0"/>
        <w:jc w:val="both"/>
        <w:rPr>
          <w:rFonts w:ascii="Microsoft Sans Serif" w:hAnsi="Microsoft Sans Serif" w:cs="Microsoft Sans Serif"/>
          <w:lang w:val="sr-Latn-BA" w:eastAsia="en-US"/>
        </w:rPr>
      </w:pPr>
    </w:p>
    <w:p w14:paraId="65C4668F">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Socijalno anksiozni poremećaj</w:t>
      </w:r>
    </w:p>
    <w:p w14:paraId="3A9F575D">
      <w:pPr>
        <w:autoSpaceDE w:val="0"/>
        <w:autoSpaceDN w:val="0"/>
        <w:adjustRightInd w:val="0"/>
        <w:jc w:val="both"/>
        <w:rPr>
          <w:rFonts w:ascii="Microsoft Sans Serif" w:hAnsi="Microsoft Sans Serif" w:cs="Microsoft Sans Serif"/>
          <w:lang w:val="sr-Latn-BA"/>
        </w:rPr>
      </w:pPr>
      <w:r>
        <w:rPr>
          <w:rFonts w:ascii="Microsoft Sans Serif" w:hAnsi="Microsoft Sans Serif" w:cs="Microsoft Sans Serif"/>
          <w:lang w:val="sr-Latn-BA" w:eastAsia="en-US"/>
        </w:rPr>
        <w:t xml:space="preserve">Preporučena početna doza za </w:t>
      </w:r>
      <w:r>
        <w:rPr>
          <w:rFonts w:ascii="Microsoft Sans Serif" w:hAnsi="Microsoft Sans Serif" w:cs="Microsoft Sans Serif"/>
          <w:lang w:val="sr-Latn-BA"/>
        </w:rPr>
        <w:t xml:space="preserve">tvrde kapsule sa produženim oslobađanjem venlafaksina je 75 mg jednom dnevno. Nema dokaza da veća doza daje veću korist. </w:t>
      </w:r>
    </w:p>
    <w:p w14:paraId="0DE75558">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rPr>
        <w:t xml:space="preserve">Ipak, kod pojedinih pacijenta koji ne odgovaraju na inicijalnu dozu od 75 mg/dnevno, povećanja doze do maksimalne doze 225 mg/dnevno može biti razmotreno. </w:t>
      </w:r>
      <w:r>
        <w:rPr>
          <w:rFonts w:ascii="Microsoft Sans Serif" w:hAnsi="Microsoft Sans Serif" w:cs="Microsoft Sans Serif"/>
          <w:lang w:val="sr-Latn-BA" w:eastAsia="en-US"/>
        </w:rPr>
        <w:t>Povećanje doze se može uvesti tokom dvije sedmice ili više.</w:t>
      </w:r>
    </w:p>
    <w:p w14:paraId="7EC1BA2D">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Zbog rizika od neželjenih dejstava vezanih sa doziranjem, doza se može </w:t>
      </w:r>
      <w:r>
        <w:rPr>
          <w:rFonts w:ascii="Microsoft Sans Serif" w:hAnsi="Microsoft Sans Serif" w:cs="Microsoft Sans Serif"/>
          <w:lang w:val="bs-Latn-BA" w:eastAsia="en-US"/>
        </w:rPr>
        <w:t xml:space="preserve">povećati </w:t>
      </w:r>
      <w:r>
        <w:rPr>
          <w:rFonts w:ascii="Microsoft Sans Serif" w:hAnsi="Microsoft Sans Serif" w:cs="Microsoft Sans Serif"/>
          <w:lang w:val="sr-Latn-BA" w:eastAsia="en-US"/>
        </w:rPr>
        <w:t xml:space="preserve">tek nakon kliničke evaluacije (pogledati dio 4.4). Najmanja efikasna doza treba biti primjenjivana. Pacijente treba liječiti dovoljno dugo, obično nekoliko mjeseci ili duže. Terapija treba biti preispitana redovno, individualno, za svakog pacijenata posebno. </w:t>
      </w:r>
    </w:p>
    <w:p w14:paraId="69104CCD">
      <w:pPr>
        <w:autoSpaceDE w:val="0"/>
        <w:autoSpaceDN w:val="0"/>
        <w:adjustRightInd w:val="0"/>
        <w:jc w:val="both"/>
        <w:rPr>
          <w:rFonts w:ascii="Microsoft Sans Serif" w:hAnsi="Microsoft Sans Serif" w:cs="Microsoft Sans Serif"/>
          <w:lang w:val="sr-Latn-BA" w:eastAsia="en-US"/>
        </w:rPr>
      </w:pPr>
    </w:p>
    <w:p w14:paraId="315F4970">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Panični poremećaj</w:t>
      </w:r>
    </w:p>
    <w:p w14:paraId="2F9115EB">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bCs/>
          <w:lang w:val="sr-Latn-BA" w:eastAsia="en-US"/>
        </w:rPr>
        <w:t xml:space="preserve">Preporučeno je da doza od 37.5 mg/dnevno </w:t>
      </w:r>
      <w:r>
        <w:rPr>
          <w:rFonts w:ascii="Microsoft Sans Serif" w:hAnsi="Microsoft Sans Serif" w:cs="Microsoft Sans Serif"/>
          <w:lang w:val="sr-Latn-BA"/>
        </w:rPr>
        <w:t xml:space="preserve">venlafaksina treba biti korištena sedam dana. Potom doza treba biti povećana na 75 mg/dnevno. Pacijenti koji ne odgovaraju na inicijalnu dozu od 75 mg/dnevno mogu imati koristi od povećanja doze do maksimalne doze 225 mg/dnevno. </w:t>
      </w:r>
      <w:r>
        <w:rPr>
          <w:rFonts w:ascii="Microsoft Sans Serif" w:hAnsi="Microsoft Sans Serif" w:cs="Microsoft Sans Serif"/>
          <w:lang w:val="sr-Latn-BA" w:eastAsia="en-US"/>
        </w:rPr>
        <w:t>Povećanje doze se može uvesti tokom dvije sedmice ili više.</w:t>
      </w:r>
    </w:p>
    <w:p w14:paraId="6C02B61B">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Zbog rizika od neželjenih dejstava vezanih sa doziranjem, doza se može </w:t>
      </w:r>
      <w:r>
        <w:rPr>
          <w:rFonts w:ascii="Microsoft Sans Serif" w:hAnsi="Microsoft Sans Serif" w:cs="Microsoft Sans Serif"/>
          <w:lang w:val="bs-Latn-BA" w:eastAsia="en-US"/>
        </w:rPr>
        <w:t xml:space="preserve">povećati </w:t>
      </w:r>
      <w:r>
        <w:rPr>
          <w:rFonts w:ascii="Microsoft Sans Serif" w:hAnsi="Microsoft Sans Serif" w:cs="Microsoft Sans Serif"/>
          <w:lang w:val="sr-Latn-BA" w:eastAsia="en-US"/>
        </w:rPr>
        <w:t xml:space="preserve">tek nakon kliničke evaluacije (pogledati dio 4.4). Najmanja efikasna doza treba biti primjenjivana. Pacijente treba liječiti dovoljno dugo, obično nekoliko mjeseci ili duže. Terapija treba biti preispitana redovno, individualno, za svakog pacijenata posebno. </w:t>
      </w:r>
    </w:p>
    <w:p w14:paraId="3F110C91">
      <w:pPr>
        <w:autoSpaceDE w:val="0"/>
        <w:autoSpaceDN w:val="0"/>
        <w:adjustRightInd w:val="0"/>
        <w:jc w:val="both"/>
        <w:rPr>
          <w:rFonts w:ascii="Microsoft Sans Serif" w:hAnsi="Microsoft Sans Serif" w:cs="Microsoft Sans Serif"/>
          <w:bCs/>
          <w:lang w:val="sr-Latn-BA" w:eastAsia="en-US"/>
        </w:rPr>
      </w:pPr>
    </w:p>
    <w:p w14:paraId="0C1BD9BD">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Primjena kod starijih pacijenata</w:t>
      </w:r>
    </w:p>
    <w:p w14:paraId="237CF0F1">
      <w:pPr>
        <w:autoSpaceDE w:val="0"/>
        <w:autoSpaceDN w:val="0"/>
        <w:adjustRightInd w:val="0"/>
        <w:jc w:val="both"/>
        <w:rPr>
          <w:rFonts w:ascii="Microsoft Sans Serif" w:hAnsi="Microsoft Sans Serif" w:cs="Microsoft Sans Serif"/>
          <w:bCs/>
          <w:lang w:val="sr-Latn-BA" w:eastAsia="en-US"/>
        </w:rPr>
      </w:pPr>
      <w:r>
        <w:rPr>
          <w:rFonts w:ascii="Microsoft Sans Serif" w:hAnsi="Microsoft Sans Serif" w:cs="Microsoft Sans Serif"/>
          <w:bCs/>
          <w:lang w:val="sr-Latn-BA" w:eastAsia="en-US"/>
        </w:rPr>
        <w:t xml:space="preserve">Nikakvo posebno </w:t>
      </w:r>
      <w:r>
        <w:rPr>
          <w:rFonts w:ascii="Microsoft Sans Serif" w:hAnsi="Microsoft Sans Serif" w:cs="Microsoft Sans Serif"/>
          <w:bCs/>
          <w:lang w:val="bs-Latn-BA" w:eastAsia="en-US"/>
        </w:rPr>
        <w:t xml:space="preserve">prilagođavanje </w:t>
      </w:r>
      <w:r>
        <w:rPr>
          <w:rFonts w:ascii="Microsoft Sans Serif" w:hAnsi="Microsoft Sans Serif" w:cs="Microsoft Sans Serif"/>
          <w:bCs/>
          <w:lang w:val="sr-Latn-BA" w:eastAsia="en-US"/>
        </w:rPr>
        <w:t xml:space="preserve">doze </w:t>
      </w:r>
      <w:r>
        <w:rPr>
          <w:rFonts w:ascii="Microsoft Sans Serif" w:hAnsi="Microsoft Sans Serif" w:cs="Microsoft Sans Serif"/>
          <w:lang w:val="sr-Latn-BA"/>
        </w:rPr>
        <w:t xml:space="preserve">venlafaksina nije potrebno samo zbog pacijentovih godina. Ipak, oprez treba postojati kod liječenja starijih (npr. zbog mogućnosti pogoršanja rada bubrega, potencijalnih promjena u osjetljivosti neurotransmitera i sklonosti ponavljanja sa godinama). Najniža efikasna doza uvijek treba biti korištena, i pacijente treba pažljivo </w:t>
      </w:r>
      <w:r>
        <w:rPr>
          <w:rFonts w:ascii="Microsoft Sans Serif" w:hAnsi="Microsoft Sans Serif" w:cs="Microsoft Sans Serif"/>
          <w:lang w:val="bs-Latn-BA"/>
        </w:rPr>
        <w:t xml:space="preserve">pratiti </w:t>
      </w:r>
      <w:r>
        <w:rPr>
          <w:rFonts w:ascii="Microsoft Sans Serif" w:hAnsi="Microsoft Sans Serif" w:cs="Microsoft Sans Serif"/>
          <w:lang w:val="sr-Latn-BA"/>
        </w:rPr>
        <w:t xml:space="preserve">onda kad bude potrebno povećanje doze. </w:t>
      </w:r>
    </w:p>
    <w:p w14:paraId="0B3419C2">
      <w:pPr>
        <w:autoSpaceDE w:val="0"/>
        <w:autoSpaceDN w:val="0"/>
        <w:adjustRightInd w:val="0"/>
        <w:jc w:val="both"/>
        <w:rPr>
          <w:rFonts w:ascii="Microsoft Sans Serif" w:hAnsi="Microsoft Sans Serif" w:cs="Microsoft Sans Serif"/>
          <w:b/>
          <w:bCs/>
          <w:lang w:val="sr-Latn-BA" w:eastAsia="en-US"/>
        </w:rPr>
      </w:pPr>
    </w:p>
    <w:p w14:paraId="68CCD089">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Pedijatrijska populacija</w:t>
      </w:r>
    </w:p>
    <w:p w14:paraId="1469064B">
      <w:pPr>
        <w:autoSpaceDE w:val="0"/>
        <w:autoSpaceDN w:val="0"/>
        <w:adjustRightInd w:val="0"/>
        <w:jc w:val="both"/>
        <w:rPr>
          <w:rFonts w:ascii="Microsoft Sans Serif" w:hAnsi="Microsoft Sans Serif" w:cs="Microsoft Sans Serif"/>
          <w:bCs/>
          <w:lang w:val="sr-Latn-BA" w:eastAsia="en-US"/>
        </w:rPr>
      </w:pPr>
      <w:r>
        <w:rPr>
          <w:rFonts w:ascii="Microsoft Sans Serif" w:hAnsi="Microsoft Sans Serif" w:cs="Microsoft Sans Serif"/>
          <w:lang w:val="sr-Latn-BA"/>
        </w:rPr>
        <w:t xml:space="preserve">Venlafaksin se ne preporučuje djeci i adolescentima. Kontrolisana klnička </w:t>
      </w:r>
      <w:r>
        <w:rPr>
          <w:rFonts w:ascii="Microsoft Sans Serif" w:hAnsi="Microsoft Sans Serif" w:cs="Microsoft Sans Serif"/>
          <w:lang w:val="bs-Latn-BA"/>
        </w:rPr>
        <w:t xml:space="preserve">ispitivanja </w:t>
      </w:r>
      <w:r>
        <w:rPr>
          <w:rFonts w:ascii="Microsoft Sans Serif" w:hAnsi="Microsoft Sans Serif" w:cs="Microsoft Sans Serif"/>
          <w:lang w:val="sr-Latn-BA"/>
        </w:rPr>
        <w:t xml:space="preserve">kod djece i adolescenata sa majornim depresivnim poremećajem nisu uspjela dokazati efikasnost i ne podržavaju upotrebu venlafaksina kod ovih pacijenata (pogledati dijelove 4.4. i 4.8). Efikasnost i bezbjednost venlafaksina za druge indikacije kod djece i adolescenata mlađih od 18 godina nije utvrđena. </w:t>
      </w:r>
    </w:p>
    <w:p w14:paraId="1C231BA7">
      <w:pPr>
        <w:autoSpaceDE w:val="0"/>
        <w:autoSpaceDN w:val="0"/>
        <w:adjustRightInd w:val="0"/>
        <w:jc w:val="both"/>
        <w:rPr>
          <w:rFonts w:ascii="Microsoft Sans Serif" w:hAnsi="Microsoft Sans Serif" w:cs="Microsoft Sans Serif"/>
          <w:b/>
          <w:bCs/>
          <w:lang w:val="sr-Latn-BA" w:eastAsia="en-US"/>
        </w:rPr>
      </w:pPr>
    </w:p>
    <w:p w14:paraId="09E8962F">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 xml:space="preserve">Upotreba kod pacijenata sa jetrenom insuficijencijom </w:t>
      </w:r>
    </w:p>
    <w:p w14:paraId="3AD64B9C">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Kod pacijenata sa blagom i umjerenom jetrenom insuficijencijom doza umanjena za 50% treba biti uzeta u obzir. Ipak, zbog individualnih promjena u klirensu, individualizacije doziranja može biti poželjna. Postoji malo podataka o upotrebi kod pacijenata sa ozbiljnom jetrenom insuficijencijom. Oprez se savjetuje, i smanjenje doze do 50% treba biti razmotreno. Potencijalna korist treba biti odmjerena </w:t>
      </w:r>
      <w:r>
        <w:rPr>
          <w:rFonts w:ascii="Microsoft Sans Serif" w:hAnsi="Microsoft Sans Serif" w:cs="Microsoft Sans Serif"/>
          <w:lang w:val="bs-Latn-BA" w:eastAsia="en-US"/>
        </w:rPr>
        <w:t xml:space="preserve">u odnosu </w:t>
      </w:r>
      <w:r>
        <w:rPr>
          <w:rFonts w:ascii="Microsoft Sans Serif" w:hAnsi="Microsoft Sans Serif" w:cs="Microsoft Sans Serif"/>
          <w:lang w:val="sr-Latn-BA" w:eastAsia="en-US"/>
        </w:rPr>
        <w:t>na rizik tretmana kod pacijenata sa ozbiljnom jetrenom insuficijencijom.</w:t>
      </w:r>
    </w:p>
    <w:p w14:paraId="4A1F84E6">
      <w:pPr>
        <w:autoSpaceDE w:val="0"/>
        <w:autoSpaceDN w:val="0"/>
        <w:adjustRightInd w:val="0"/>
        <w:jc w:val="both"/>
        <w:rPr>
          <w:rFonts w:ascii="Microsoft Sans Serif" w:hAnsi="Microsoft Sans Serif" w:cs="Microsoft Sans Serif"/>
          <w:bCs/>
          <w:lang w:val="sr-Latn-BA" w:eastAsia="en-US"/>
        </w:rPr>
      </w:pPr>
    </w:p>
    <w:p w14:paraId="196BF315">
      <w:pPr>
        <w:autoSpaceDE w:val="0"/>
        <w:autoSpaceDN w:val="0"/>
        <w:adjustRightInd w:val="0"/>
        <w:jc w:val="both"/>
        <w:rPr>
          <w:rFonts w:ascii="Microsoft Sans Serif" w:hAnsi="Microsoft Sans Serif" w:cs="Microsoft Sans Serif"/>
          <w:bCs/>
          <w:lang w:val="sr-Latn-BA" w:eastAsia="en-US"/>
        </w:rPr>
      </w:pPr>
    </w:p>
    <w:p w14:paraId="363A549B">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Upotreba kod pacijenata sa bubrežnom insuficijencijom</w:t>
      </w:r>
    </w:p>
    <w:p w14:paraId="76CC8B1B">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bCs/>
          <w:lang w:val="bs-Latn-BA" w:eastAsia="en-US"/>
        </w:rPr>
        <w:t xml:space="preserve">Iako </w:t>
      </w:r>
      <w:r>
        <w:rPr>
          <w:rFonts w:ascii="Microsoft Sans Serif" w:hAnsi="Microsoft Sans Serif" w:cs="Microsoft Sans Serif"/>
          <w:bCs/>
          <w:lang w:val="sr-Latn-BA" w:eastAsia="en-US"/>
        </w:rPr>
        <w:t xml:space="preserve">promjena doziranja nije neophodna kod pacijenata sa nivoom glomerularne filatracije između </w:t>
      </w:r>
      <w:r>
        <w:rPr>
          <w:rFonts w:ascii="Microsoft Sans Serif" w:hAnsi="Microsoft Sans Serif" w:cs="Microsoft Sans Serif"/>
          <w:lang w:val="sr-Latn-BA" w:eastAsia="en-US"/>
        </w:rPr>
        <w:t xml:space="preserve">30 </w:t>
      </w:r>
      <w:r>
        <w:rPr>
          <w:rFonts w:ascii="Microsoft Sans Serif" w:hAnsi="Microsoft Sans Serif" w:cs="Microsoft Sans Serif"/>
          <w:lang w:val="bs-Latn-BA" w:eastAsia="en-US"/>
        </w:rPr>
        <w:t xml:space="preserve">ml/minuti </w:t>
      </w:r>
      <w:r>
        <w:rPr>
          <w:rFonts w:ascii="Microsoft Sans Serif" w:hAnsi="Microsoft Sans Serif" w:cs="Microsoft Sans Serif"/>
          <w:lang w:val="sr-Latn-BA" w:eastAsia="en-US"/>
        </w:rPr>
        <w:t xml:space="preserve">do 70 ml/minuti, oprez se savjetuje. Za pacijente kojima je neophodna hemodijaliza i pacijente sa ozbiljnom bubrežnom insuficijencijom (GFR &lt; 30 ml/min), doza treba biti redukovana za 50%. Zbog individualne razlike u klirensu lijeka kod ovih pacijenata, individualizacija doziranja je poželjna. </w:t>
      </w:r>
    </w:p>
    <w:p w14:paraId="200191FB">
      <w:pPr>
        <w:autoSpaceDE w:val="0"/>
        <w:autoSpaceDN w:val="0"/>
        <w:adjustRightInd w:val="0"/>
        <w:jc w:val="both"/>
        <w:rPr>
          <w:rFonts w:ascii="Microsoft Sans Serif" w:hAnsi="Microsoft Sans Serif" w:cs="Microsoft Sans Serif"/>
          <w:b/>
          <w:bCs/>
          <w:lang w:val="sr-Latn-BA" w:eastAsia="en-US"/>
        </w:rPr>
      </w:pPr>
    </w:p>
    <w:p w14:paraId="774A17BB">
      <w:pPr>
        <w:autoSpaceDE w:val="0"/>
        <w:autoSpaceDN w:val="0"/>
        <w:adjustRightInd w:val="0"/>
        <w:jc w:val="both"/>
        <w:rPr>
          <w:rFonts w:ascii="Microsoft Sans Serif" w:hAnsi="Microsoft Sans Serif" w:cs="Microsoft Sans Serif"/>
          <w:b/>
          <w:lang w:val="sr-Latn-BA" w:eastAsia="en-US"/>
        </w:rPr>
      </w:pPr>
      <w:r>
        <w:rPr>
          <w:rFonts w:ascii="Microsoft Sans Serif" w:hAnsi="Microsoft Sans Serif" w:cs="Microsoft Sans Serif"/>
          <w:b/>
          <w:lang w:val="sr-Latn-BA" w:eastAsia="en-US"/>
        </w:rPr>
        <w:t>Apstinencijalni simptomi primjećeni kod pacijenata koji prekinu terapiju venlafaksinom</w:t>
      </w:r>
    </w:p>
    <w:p w14:paraId="707D610F">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Nagli prekid treba izbjegavati. Kada se prestaje uzimati venlafaksin, dozu treba postepeno smanjivati tokom perioda od najmanje jedne do dvije sedmice sa ciljem smanjenja rizika od reakcija apstinencije (pogledati dijelove 4.4 i 4.8). Međutim, vremenski period potreban za smanjenje doze i količina smanjenja doze mogu ovisiti o dozi, trajanju terapije i pojedinačnom pacijentu. Kod nekih pacijenata, prekid liječenja potrebno je da budevrlo postupan u periodu od nekoliko mjeseci ili duže. Ako se nepodnošljivi simptomi pojave nakon smanjenja doze ili nakon prekida tretmana, onda se moće razmatrati nastavak primjene prethodno prepisane doze. Zatim, ljekar može nastaviti smanjivati dozu, ali sa još sporijim ritmom. </w:t>
      </w:r>
    </w:p>
    <w:p w14:paraId="15016DAB">
      <w:pPr>
        <w:autoSpaceDE w:val="0"/>
        <w:autoSpaceDN w:val="0"/>
        <w:adjustRightInd w:val="0"/>
        <w:jc w:val="both"/>
        <w:rPr>
          <w:rFonts w:ascii="Microsoft Sans Serif" w:hAnsi="Microsoft Sans Serif" w:cs="Microsoft Sans Serif"/>
          <w:lang w:val="sr-Latn-BA" w:eastAsia="en-US"/>
        </w:rPr>
      </w:pPr>
    </w:p>
    <w:p w14:paraId="72D8FE47">
      <w:pPr>
        <w:autoSpaceDE w:val="0"/>
        <w:autoSpaceDN w:val="0"/>
        <w:adjustRightInd w:val="0"/>
        <w:jc w:val="both"/>
        <w:rPr>
          <w:rFonts w:ascii="Microsoft Sans Serif" w:hAnsi="Microsoft Sans Serif" w:cs="Microsoft Sans Serif"/>
          <w:b/>
          <w:lang w:val="hr-BA" w:eastAsia="en-US"/>
        </w:rPr>
      </w:pPr>
      <w:r>
        <w:rPr>
          <w:rFonts w:ascii="Microsoft Sans Serif" w:hAnsi="Microsoft Sans Serif" w:cs="Microsoft Sans Serif"/>
          <w:b/>
          <w:lang w:val="sr-Latn-BA" w:eastAsia="en-US"/>
        </w:rPr>
        <w:t>Na</w:t>
      </w:r>
      <w:r>
        <w:rPr>
          <w:rFonts w:ascii="Microsoft Sans Serif" w:hAnsi="Microsoft Sans Serif" w:cs="Microsoft Sans Serif"/>
          <w:b/>
          <w:lang w:val="hr-BA" w:eastAsia="en-US"/>
        </w:rPr>
        <w:t>čin primjene</w:t>
      </w:r>
    </w:p>
    <w:p w14:paraId="099FDCBD">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Za oralnu upotrebu. </w:t>
      </w:r>
    </w:p>
    <w:p w14:paraId="54E3E459">
      <w:pPr>
        <w:autoSpaceDE w:val="0"/>
        <w:autoSpaceDN w:val="0"/>
        <w:adjustRightInd w:val="0"/>
        <w:jc w:val="both"/>
        <w:rPr>
          <w:rFonts w:ascii="Microsoft Sans Serif" w:hAnsi="Microsoft Sans Serif" w:cs="Microsoft Sans Serif"/>
          <w:lang w:val="sr-Latn-BA"/>
        </w:rPr>
      </w:pPr>
      <w:r>
        <w:rPr>
          <w:rFonts w:ascii="Microsoft Sans Serif" w:hAnsi="Microsoft Sans Serif" w:cs="Microsoft Sans Serif"/>
          <w:lang w:val="sr-Latn-BA" w:eastAsia="en-US"/>
        </w:rPr>
        <w:t xml:space="preserve">Preporučuje se da se venlafaksin </w:t>
      </w:r>
      <w:r>
        <w:rPr>
          <w:rFonts w:ascii="Microsoft Sans Serif" w:hAnsi="Microsoft Sans Serif" w:cs="Microsoft Sans Serif"/>
          <w:lang w:val="sr-Latn-BA"/>
        </w:rPr>
        <w:t>tvrde</w:t>
      </w:r>
      <w:r>
        <w:rPr>
          <w:rFonts w:ascii="Microsoft Sans Serif" w:hAnsi="Microsoft Sans Serif" w:cs="Microsoft Sans Serif"/>
          <w:b/>
          <w:lang w:val="sr-Latn-BA"/>
        </w:rPr>
        <w:t xml:space="preserve"> </w:t>
      </w:r>
      <w:r>
        <w:rPr>
          <w:rFonts w:ascii="Microsoft Sans Serif" w:hAnsi="Microsoft Sans Serif" w:cs="Microsoft Sans Serif"/>
          <w:lang w:val="sr-Latn-BA"/>
        </w:rPr>
        <w:t xml:space="preserve">kapsule sa produženim oslobađanjem uzimaju sa hranom, otprilike u isto doba dana. Kapsule se moraju progutati cijele sa tečnošću, a nepodjeljene, smrvljene, sažvakane ili rastopljene. </w:t>
      </w:r>
    </w:p>
    <w:p w14:paraId="45BC122F">
      <w:pPr>
        <w:autoSpaceDE w:val="0"/>
        <w:autoSpaceDN w:val="0"/>
        <w:adjustRightInd w:val="0"/>
        <w:jc w:val="both"/>
        <w:rPr>
          <w:rFonts w:ascii="Microsoft Sans Serif" w:hAnsi="Microsoft Sans Serif" w:cs="Microsoft Sans Serif"/>
          <w:lang w:val="sr-Latn-BA"/>
        </w:rPr>
      </w:pPr>
      <w:r>
        <w:rPr>
          <w:rFonts w:ascii="Microsoft Sans Serif" w:hAnsi="Microsoft Sans Serif" w:cs="Microsoft Sans Serif"/>
          <w:lang w:val="sr-Latn-BA" w:eastAsia="en-US"/>
        </w:rPr>
        <w:t xml:space="preserve">Pacijenti liječeni venlafaksin tabletama sa trenutnim oslobađanjem mogu biti prebačeni na venlafaksin </w:t>
      </w:r>
      <w:r>
        <w:rPr>
          <w:rFonts w:ascii="Microsoft Sans Serif" w:hAnsi="Microsoft Sans Serif" w:cs="Microsoft Sans Serif"/>
          <w:lang w:val="sr-Latn-BA"/>
        </w:rPr>
        <w:t>tvrde</w:t>
      </w:r>
      <w:r>
        <w:rPr>
          <w:rFonts w:ascii="Microsoft Sans Serif" w:hAnsi="Microsoft Sans Serif" w:cs="Microsoft Sans Serif"/>
          <w:b/>
          <w:lang w:val="sr-Latn-BA"/>
        </w:rPr>
        <w:t xml:space="preserve"> </w:t>
      </w:r>
      <w:r>
        <w:rPr>
          <w:rFonts w:ascii="Microsoft Sans Serif" w:hAnsi="Microsoft Sans Serif" w:cs="Microsoft Sans Serif"/>
          <w:lang w:val="sr-Latn-BA"/>
        </w:rPr>
        <w:t>kapsule sa produženim oslobađanjem na najbližu ekvivalentnu dnevnu dozu. Na primjer,</w:t>
      </w:r>
      <w:r>
        <w:rPr>
          <w:rFonts w:ascii="Microsoft Sans Serif" w:hAnsi="Microsoft Sans Serif" w:cs="Microsoft Sans Serif"/>
          <w:lang w:val="bs-Latn-BA"/>
        </w:rPr>
        <w:t xml:space="preserve"> terapija</w:t>
      </w:r>
      <w:r>
        <w:rPr>
          <w:rFonts w:ascii="Microsoft Sans Serif" w:hAnsi="Microsoft Sans Serif" w:cs="Microsoft Sans Serif"/>
          <w:lang w:val="sr-Latn-BA"/>
        </w:rPr>
        <w:t xml:space="preserve"> </w:t>
      </w:r>
      <w:r>
        <w:rPr>
          <w:rFonts w:ascii="Microsoft Sans Serif" w:hAnsi="Microsoft Sans Serif" w:cs="Microsoft Sans Serif"/>
          <w:lang w:val="sr-Latn-BA" w:eastAsia="en-US"/>
        </w:rPr>
        <w:t xml:space="preserve">venlafaksin tabletama sa trenutnim oslobađanjem 37,5 mg dva puta dnevno može biti </w:t>
      </w:r>
      <w:r>
        <w:rPr>
          <w:rFonts w:ascii="Microsoft Sans Serif" w:hAnsi="Microsoft Sans Serif" w:cs="Microsoft Sans Serif"/>
          <w:lang w:val="bs-Latn-BA" w:eastAsia="en-US"/>
        </w:rPr>
        <w:t xml:space="preserve">zamijenjena sa </w:t>
      </w:r>
      <w:r>
        <w:rPr>
          <w:rFonts w:ascii="Microsoft Sans Serif" w:hAnsi="Microsoft Sans Serif" w:cs="Microsoft Sans Serif"/>
          <w:lang w:val="sr-Latn-BA" w:eastAsia="en-US"/>
        </w:rPr>
        <w:t xml:space="preserve">venlafaksin </w:t>
      </w:r>
      <w:r>
        <w:rPr>
          <w:rFonts w:ascii="Microsoft Sans Serif" w:hAnsi="Microsoft Sans Serif" w:cs="Microsoft Sans Serif"/>
          <w:lang w:val="sr-Latn-BA"/>
        </w:rPr>
        <w:t>tvrdim</w:t>
      </w:r>
      <w:r>
        <w:rPr>
          <w:rFonts w:ascii="Microsoft Sans Serif" w:hAnsi="Microsoft Sans Serif" w:cs="Microsoft Sans Serif"/>
          <w:b/>
          <w:lang w:val="sr-Latn-BA"/>
        </w:rPr>
        <w:t xml:space="preserve"> </w:t>
      </w:r>
      <w:r>
        <w:rPr>
          <w:rFonts w:ascii="Microsoft Sans Serif" w:hAnsi="Microsoft Sans Serif" w:cs="Microsoft Sans Serif"/>
          <w:lang w:val="sr-Latn-BA"/>
        </w:rPr>
        <w:t xml:space="preserve">kapsulama sa produženim oslobađanjem 75 mg jednom dnevno. Individualno prilagođavanje doze je neophodno. </w:t>
      </w:r>
    </w:p>
    <w:p w14:paraId="5B126579">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Venlafaksin </w:t>
      </w:r>
      <w:r>
        <w:rPr>
          <w:rFonts w:ascii="Microsoft Sans Serif" w:hAnsi="Microsoft Sans Serif" w:cs="Microsoft Sans Serif"/>
          <w:lang w:val="sr-Latn-BA"/>
        </w:rPr>
        <w:t>tvrde</w:t>
      </w:r>
      <w:r>
        <w:rPr>
          <w:rFonts w:ascii="Microsoft Sans Serif" w:hAnsi="Microsoft Sans Serif" w:cs="Microsoft Sans Serif"/>
          <w:b/>
          <w:lang w:val="sr-Latn-BA"/>
        </w:rPr>
        <w:t xml:space="preserve"> </w:t>
      </w:r>
      <w:r>
        <w:rPr>
          <w:rFonts w:ascii="Microsoft Sans Serif" w:hAnsi="Microsoft Sans Serif" w:cs="Microsoft Sans Serif"/>
          <w:lang w:val="sr-Latn-BA"/>
        </w:rPr>
        <w:t xml:space="preserve">kapsule sa produženim oslobađanjem sadrže sferoide koji sporo oslobađaju aktivnu supstancu u probavnom traktu. Nerastvorljivi dio ovih sferoida se eliminiše i može se vidjeti u stolici. </w:t>
      </w:r>
    </w:p>
    <w:p w14:paraId="6BCBA8F9">
      <w:pPr>
        <w:autoSpaceDE w:val="0"/>
        <w:autoSpaceDN w:val="0"/>
        <w:adjustRightInd w:val="0"/>
        <w:jc w:val="both"/>
        <w:rPr>
          <w:rFonts w:ascii="Microsoft Sans Serif" w:hAnsi="Microsoft Sans Serif" w:cs="Microsoft Sans Serif"/>
          <w:lang w:val="sr-Latn-BA" w:eastAsia="en-US"/>
        </w:rPr>
      </w:pPr>
    </w:p>
    <w:p w14:paraId="7F1E4660">
      <w:pPr>
        <w:numPr>
          <w:ilvl w:val="1"/>
          <w:numId w:val="2"/>
        </w:numPr>
        <w:ind w:left="0" w:firstLine="0"/>
        <w:jc w:val="both"/>
        <w:rPr>
          <w:rFonts w:ascii="Microsoft Sans Serif" w:hAnsi="Microsoft Sans Serif" w:cs="Microsoft Sans Serif"/>
          <w:b/>
          <w:lang w:val="sr-Latn-BA"/>
        </w:rPr>
      </w:pPr>
      <w:r>
        <w:rPr>
          <w:rFonts w:ascii="Microsoft Sans Serif" w:hAnsi="Microsoft Sans Serif" w:cs="Microsoft Sans Serif"/>
          <w:b/>
          <w:lang w:val="sr-Latn-BA"/>
        </w:rPr>
        <w:t>Kontraindikacije</w:t>
      </w:r>
    </w:p>
    <w:p w14:paraId="477EBCB2">
      <w:pPr>
        <w:jc w:val="both"/>
        <w:rPr>
          <w:rFonts w:ascii="Microsoft Sans Serif" w:hAnsi="Microsoft Sans Serif" w:cs="Microsoft Sans Serif"/>
          <w:lang w:val="sr-Latn-BA"/>
        </w:rPr>
      </w:pPr>
    </w:p>
    <w:p w14:paraId="6419E130">
      <w:pPr>
        <w:pStyle w:val="14"/>
        <w:numPr>
          <w:ilvl w:val="0"/>
          <w:numId w:val="3"/>
        </w:numPr>
        <w:ind w:left="180" w:hanging="180"/>
        <w:jc w:val="both"/>
        <w:rPr>
          <w:rFonts w:ascii="Microsoft Sans Serif" w:hAnsi="Microsoft Sans Serif" w:cs="Microsoft Sans Serif"/>
          <w:sz w:val="20"/>
          <w:lang w:val="bs-Latn-BA"/>
        </w:rPr>
      </w:pPr>
      <w:r>
        <w:rPr>
          <w:rFonts w:ascii="Microsoft Sans Serif" w:hAnsi="Microsoft Sans Serif" w:cs="Microsoft Sans Serif"/>
          <w:sz w:val="20"/>
          <w:lang w:val="sr-Latn-BA"/>
        </w:rPr>
        <w:t>Preosjetljivost na aktivnu supstancu ili</w:t>
      </w:r>
      <w:r>
        <w:rPr>
          <w:rFonts w:ascii="Microsoft Sans Serif" w:hAnsi="Microsoft Sans Serif" w:cs="Microsoft Sans Serif"/>
          <w:sz w:val="20"/>
          <w:lang w:val="bs-Latn-BA"/>
        </w:rPr>
        <w:t xml:space="preserve"> bilo koju od pomoćnih supstanci ovog lijeka (navedeno u dijelu 6.1)</w:t>
      </w:r>
      <w:r>
        <w:rPr>
          <w:rFonts w:ascii="Microsoft Sans Serif" w:hAnsi="Microsoft Sans Serif" w:cs="Microsoft Sans Serif"/>
          <w:sz w:val="20"/>
          <w:lang w:val="sr-Latn-BA"/>
        </w:rPr>
        <w:t xml:space="preserve">. </w:t>
      </w:r>
    </w:p>
    <w:p w14:paraId="4FE0D730">
      <w:pPr>
        <w:pStyle w:val="33"/>
        <w:numPr>
          <w:ilvl w:val="0"/>
          <w:numId w:val="3"/>
        </w:numPr>
        <w:autoSpaceDE w:val="0"/>
        <w:autoSpaceDN w:val="0"/>
        <w:adjustRightInd w:val="0"/>
        <w:ind w:left="180" w:hanging="18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Istovremeni tretman sa nepovratnim inhibitorima monoaminooksidaze je kontraindikovan zbog rizika od razvoja serotoninskog sindroma sa simptomima kao što su nemir, tremor i hipertermija. </w:t>
      </w:r>
      <w:r>
        <w:rPr>
          <w:rFonts w:ascii="Microsoft Sans Serif" w:hAnsi="Microsoft Sans Serif" w:cs="Microsoft Sans Serif"/>
          <w:lang w:val="bs-Latn-BA" w:eastAsia="en-US"/>
        </w:rPr>
        <w:t xml:space="preserve">Primjena </w:t>
      </w:r>
      <w:r>
        <w:rPr>
          <w:rFonts w:ascii="Microsoft Sans Serif" w:hAnsi="Microsoft Sans Serif" w:cs="Microsoft Sans Serif"/>
          <w:lang w:val="sr-Latn-BA" w:eastAsia="en-US"/>
        </w:rPr>
        <w:t xml:space="preserve">venlafaksina smije započeti </w:t>
      </w:r>
      <w:r>
        <w:rPr>
          <w:rFonts w:ascii="Microsoft Sans Serif" w:hAnsi="Microsoft Sans Serif" w:cs="Microsoft Sans Serif"/>
          <w:lang w:val="bs-Latn-BA" w:eastAsia="en-US"/>
        </w:rPr>
        <w:t xml:space="preserve">najranije </w:t>
      </w:r>
      <w:r>
        <w:rPr>
          <w:rFonts w:ascii="Microsoft Sans Serif" w:hAnsi="Microsoft Sans Serif" w:cs="Microsoft Sans Serif"/>
          <w:lang w:val="sr-Latn-BA" w:eastAsia="en-US"/>
        </w:rPr>
        <w:t>14 dana nakon prekida tretmana sa nepovratnim inhibitorima monoaminooksidaze.</w:t>
      </w:r>
    </w:p>
    <w:p w14:paraId="7FAC23BA">
      <w:pPr>
        <w:pStyle w:val="33"/>
        <w:numPr>
          <w:ilvl w:val="0"/>
          <w:numId w:val="3"/>
        </w:numPr>
        <w:autoSpaceDE w:val="0"/>
        <w:autoSpaceDN w:val="0"/>
        <w:adjustRightInd w:val="0"/>
        <w:ind w:left="180" w:hanging="180"/>
        <w:jc w:val="both"/>
        <w:rPr>
          <w:rFonts w:ascii="Microsoft Sans Serif" w:hAnsi="Microsoft Sans Serif" w:cs="Microsoft Sans Serif"/>
          <w:lang w:val="sr-Latn-BA" w:eastAsia="en-US"/>
        </w:rPr>
      </w:pPr>
      <w:r>
        <w:rPr>
          <w:rFonts w:ascii="Microsoft Sans Serif" w:hAnsi="Microsoft Sans Serif" w:cs="Microsoft Sans Serif"/>
          <w:lang w:val="bs-Latn-BA" w:eastAsia="en-US"/>
        </w:rPr>
        <w:t xml:space="preserve">Terapija </w:t>
      </w:r>
      <w:r>
        <w:rPr>
          <w:rFonts w:ascii="Microsoft Sans Serif" w:hAnsi="Microsoft Sans Serif" w:cs="Microsoft Sans Serif"/>
          <w:lang w:val="sr-Latn-BA" w:eastAsia="en-US"/>
        </w:rPr>
        <w:t xml:space="preserve">venlafaksinom se mora prekinuti </w:t>
      </w:r>
      <w:r>
        <w:rPr>
          <w:rFonts w:ascii="Microsoft Sans Serif" w:hAnsi="Microsoft Sans Serif" w:cs="Microsoft Sans Serif"/>
          <w:lang w:val="bs-Latn-BA" w:eastAsia="en-US"/>
        </w:rPr>
        <w:t>najranije sedam</w:t>
      </w:r>
      <w:r>
        <w:rPr>
          <w:rFonts w:ascii="Microsoft Sans Serif" w:hAnsi="Microsoft Sans Serif" w:cs="Microsoft Sans Serif"/>
          <w:lang w:val="sr-Latn-BA" w:eastAsia="en-US"/>
        </w:rPr>
        <w:t xml:space="preserve"> dana prije počinjanja liječenja sa nepovratnim inhibitorima monoaminooksidaze (pogledati dijelove 4.4 i 4.5).</w:t>
      </w:r>
    </w:p>
    <w:p w14:paraId="09E387DE">
      <w:pPr>
        <w:jc w:val="both"/>
        <w:rPr>
          <w:rFonts w:ascii="Microsoft Sans Serif" w:hAnsi="Microsoft Sans Serif" w:cs="Microsoft Sans Serif"/>
          <w:lang w:val="sr-Latn-BA"/>
        </w:rPr>
      </w:pPr>
    </w:p>
    <w:p w14:paraId="78DFF556">
      <w:pPr>
        <w:jc w:val="both"/>
        <w:rPr>
          <w:rFonts w:ascii="Microsoft Sans Serif" w:hAnsi="Microsoft Sans Serif" w:cs="Microsoft Sans Serif"/>
          <w:lang w:val="sr-Latn-BA"/>
        </w:rPr>
      </w:pPr>
      <w:r>
        <w:rPr>
          <w:rFonts w:ascii="Microsoft Sans Serif" w:hAnsi="Microsoft Sans Serif" w:cs="Microsoft Sans Serif"/>
          <w:b/>
          <w:lang w:val="sr-Latn-BA"/>
        </w:rPr>
        <w:t xml:space="preserve">4.4 </w:t>
      </w:r>
      <w:r>
        <w:rPr>
          <w:rFonts w:ascii="Microsoft Sans Serif" w:hAnsi="Microsoft Sans Serif" w:cs="Microsoft Sans Serif"/>
          <w:b/>
          <w:lang w:val="sr-Latn-BA"/>
        </w:rPr>
        <w:tab/>
      </w:r>
      <w:r>
        <w:rPr>
          <w:rFonts w:ascii="Microsoft Sans Serif" w:hAnsi="Microsoft Sans Serif" w:cs="Microsoft Sans Serif"/>
          <w:b/>
          <w:lang w:val="sr-Latn-BA"/>
        </w:rPr>
        <w:t xml:space="preserve">Posebna upozorenja i mjere opreza pri upotrebi </w:t>
      </w:r>
    </w:p>
    <w:p w14:paraId="42D3CC18">
      <w:pPr>
        <w:jc w:val="both"/>
        <w:rPr>
          <w:rFonts w:ascii="Microsoft Sans Serif" w:hAnsi="Microsoft Sans Serif" w:cs="Microsoft Sans Serif"/>
          <w:bCs/>
          <w:lang w:val="sr-Latn-BA"/>
        </w:rPr>
      </w:pPr>
    </w:p>
    <w:p w14:paraId="522E8773">
      <w:pPr>
        <w:jc w:val="both"/>
        <w:rPr>
          <w:rFonts w:ascii="Microsoft Sans Serif" w:hAnsi="Microsoft Sans Serif" w:cs="Microsoft Sans Serif"/>
          <w:bCs/>
          <w:iCs/>
          <w:lang w:val="sr-Latn-BA"/>
        </w:rPr>
      </w:pPr>
      <w:r>
        <w:rPr>
          <w:rFonts w:ascii="Microsoft Sans Serif" w:hAnsi="Microsoft Sans Serif" w:cs="Microsoft Sans Serif"/>
          <w:b/>
          <w:bCs/>
          <w:iCs/>
          <w:lang w:val="sr-Latn-BA"/>
        </w:rPr>
        <w:t xml:space="preserve">Predoziranje </w:t>
      </w:r>
    </w:p>
    <w:p w14:paraId="5E0F2D81">
      <w:pPr>
        <w:jc w:val="both"/>
        <w:rPr>
          <w:rFonts w:ascii="Microsoft Sans Serif" w:hAnsi="Microsoft Sans Serif" w:cs="Microsoft Sans Serif"/>
          <w:bCs/>
          <w:iCs/>
          <w:lang w:val="sr-Latn-BA"/>
        </w:rPr>
      </w:pPr>
      <w:r>
        <w:rPr>
          <w:rFonts w:ascii="Microsoft Sans Serif" w:hAnsi="Microsoft Sans Serif" w:cs="Microsoft Sans Serif"/>
          <w:bCs/>
          <w:iCs/>
          <w:lang w:val="sr-Latn-BA"/>
        </w:rPr>
        <w:t xml:space="preserve">Pacijente treba savjetovati da ne piju alkohol, uzimajući u obzir njegov uticaj na CNS i mogućnost kliničkog pogoršanja psihijatrijskih stanja, te mogućnost štetnih interakcija sa venlafaksinom, uključujući učinke depresije CNS-a (dio 4.5). Predoziranje venlafaksinom prijavljivalo se uglavnom u kombinaciji s alkoholom i/ili drugim lijekovima, uključujući i slučajeve sa smrtnim ishodom (dio 4.9). </w:t>
      </w:r>
    </w:p>
    <w:p w14:paraId="40F7A90C">
      <w:pPr>
        <w:jc w:val="both"/>
        <w:rPr>
          <w:rFonts w:ascii="Microsoft Sans Serif" w:hAnsi="Microsoft Sans Serif" w:cs="Microsoft Sans Serif"/>
          <w:bCs/>
          <w:iCs/>
          <w:lang w:val="sr-Latn-BA"/>
        </w:rPr>
      </w:pPr>
      <w:r>
        <w:rPr>
          <w:rFonts w:ascii="Microsoft Sans Serif" w:hAnsi="Microsoft Sans Serif" w:cs="Microsoft Sans Serif"/>
          <w:bCs/>
          <w:iCs/>
          <w:lang w:val="sr-Latn-BA"/>
        </w:rPr>
        <w:t>Kako bi se smanjio rizik od predoziranja, venlafaksin treba propisati u najmanjoj dozi u skladu sa dobrim zbrinjavanjem pacijenta (vidjeti dio 4.9).</w:t>
      </w:r>
    </w:p>
    <w:p w14:paraId="38FF8712">
      <w:pPr>
        <w:jc w:val="both"/>
        <w:rPr>
          <w:rFonts w:ascii="Microsoft Sans Serif" w:hAnsi="Microsoft Sans Serif" w:cs="Microsoft Sans Serif"/>
          <w:bCs/>
          <w:lang w:val="sr-Latn-BA"/>
        </w:rPr>
      </w:pPr>
    </w:p>
    <w:p w14:paraId="52498544">
      <w:pPr>
        <w:autoSpaceDE w:val="0"/>
        <w:autoSpaceDN w:val="0"/>
        <w:adjustRightInd w:val="0"/>
        <w:jc w:val="both"/>
        <w:rPr>
          <w:rFonts w:ascii="Microsoft Sans Serif" w:hAnsi="Microsoft Sans Serif" w:cs="Microsoft Sans Serif"/>
          <w:b/>
          <w:bCs/>
          <w:lang w:val="sr-Latn-BA" w:eastAsia="en-US"/>
        </w:rPr>
      </w:pPr>
      <w:bookmarkStart w:id="0" w:name="_Hlk141774394"/>
      <w:r>
        <w:rPr>
          <w:rFonts w:ascii="Microsoft Sans Serif" w:hAnsi="Microsoft Sans Serif" w:cs="Microsoft Sans Serif"/>
          <w:b/>
          <w:bCs/>
          <w:lang w:val="sr-Latn-BA" w:eastAsia="en-US"/>
        </w:rPr>
        <w:t xml:space="preserve">Suicid/suicidalne misli ili kliničko pogoršanje </w:t>
      </w:r>
    </w:p>
    <w:bookmarkEnd w:id="0"/>
    <w:p w14:paraId="698A65A8">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Depresija je udružena sa povećenjem rizika od suicidalnih misli, samoozljeđivanjem i suicidom (događaji povezani sa suicidom). Rizik postoji sve dok se ne pojavi značajna remisija. Pošto se poboljšanje možda neće desiti </w:t>
      </w:r>
      <w:r>
        <w:rPr>
          <w:rFonts w:ascii="Microsoft Sans Serif" w:hAnsi="Microsoft Sans Serif" w:cs="Microsoft Sans Serif"/>
          <w:lang w:val="bs-Latn-BA" w:eastAsia="en-US"/>
        </w:rPr>
        <w:t xml:space="preserve">tokom </w:t>
      </w:r>
      <w:r>
        <w:rPr>
          <w:rFonts w:ascii="Microsoft Sans Serif" w:hAnsi="Microsoft Sans Serif" w:cs="Microsoft Sans Serif"/>
          <w:lang w:val="sr-Latn-BA" w:eastAsia="en-US"/>
        </w:rPr>
        <w:t xml:space="preserve">prvih nekoliko sedmica liječenja ili više, pacijenti bi trebalo </w:t>
      </w:r>
      <w:r>
        <w:rPr>
          <w:rFonts w:ascii="Microsoft Sans Serif" w:hAnsi="Microsoft Sans Serif" w:cs="Microsoft Sans Serif"/>
          <w:lang w:val="bs-Latn-BA" w:eastAsia="en-US"/>
        </w:rPr>
        <w:t xml:space="preserve">da budu </w:t>
      </w:r>
      <w:r>
        <w:rPr>
          <w:rFonts w:ascii="Microsoft Sans Serif" w:hAnsi="Microsoft Sans Serif" w:cs="Microsoft Sans Serif"/>
          <w:lang w:val="sr-Latn-BA" w:eastAsia="en-US"/>
        </w:rPr>
        <w:t xml:space="preserve">nadgledani dok se ne pojavi poboljšanje. </w:t>
      </w:r>
    </w:p>
    <w:p w14:paraId="7D6AC3B5">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To je generalno kliničko iskustvo da </w:t>
      </w:r>
      <w:r>
        <w:rPr>
          <w:rFonts w:ascii="Microsoft Sans Serif" w:hAnsi="Microsoft Sans Serif" w:cs="Microsoft Sans Serif"/>
          <w:lang w:val="bs-Latn-BA" w:eastAsia="en-US"/>
        </w:rPr>
        <w:t>je</w:t>
      </w:r>
      <w:r>
        <w:rPr>
          <w:rFonts w:ascii="Microsoft Sans Serif" w:hAnsi="Microsoft Sans Serif" w:cs="Microsoft Sans Serif"/>
          <w:lang w:val="sr-Latn-BA" w:eastAsia="en-US"/>
        </w:rPr>
        <w:t xml:space="preserve"> rizik </w:t>
      </w:r>
      <w:r>
        <w:rPr>
          <w:rFonts w:ascii="Microsoft Sans Serif" w:hAnsi="Microsoft Sans Serif" w:cs="Microsoft Sans Serif"/>
          <w:lang w:val="bs-Latn-BA" w:eastAsia="en-US"/>
        </w:rPr>
        <w:t xml:space="preserve">samopovređivanja najveći </w:t>
      </w:r>
      <w:r>
        <w:rPr>
          <w:rFonts w:ascii="Microsoft Sans Serif" w:hAnsi="Microsoft Sans Serif" w:cs="Microsoft Sans Serif"/>
          <w:lang w:val="sr-Latn-BA" w:eastAsia="en-US"/>
        </w:rPr>
        <w:t xml:space="preserve">u ranoj fazi oporavka. </w:t>
      </w:r>
    </w:p>
    <w:p w14:paraId="03E2E341">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lang w:val="sr-Latn-BA" w:eastAsia="en-US"/>
        </w:rPr>
        <w:t xml:space="preserve">Druga psihijatrijska stanja za koja se venlafaksin propisuje mogu takođe biti udružena sa povećenim rizikom događaja povezanih sa samoubistvom. </w:t>
      </w:r>
      <w:r>
        <w:rPr>
          <w:rFonts w:ascii="Microsoft Sans Serif" w:hAnsi="Microsoft Sans Serif" w:cs="Microsoft Sans Serif"/>
          <w:lang w:val="bs-Latn-BA" w:eastAsia="en-US"/>
        </w:rPr>
        <w:t xml:space="preserve">Takođe, </w:t>
      </w:r>
      <w:r>
        <w:rPr>
          <w:rFonts w:ascii="Microsoft Sans Serif" w:hAnsi="Microsoft Sans Serif" w:cs="Microsoft Sans Serif"/>
          <w:lang w:val="sr-Latn-BA" w:eastAsia="en-US"/>
        </w:rPr>
        <w:t>ta stanja mogu biti popraćenja sa</w:t>
      </w:r>
      <w:r>
        <w:rPr>
          <w:rFonts w:ascii="Microsoft Sans Serif" w:hAnsi="Microsoft Sans Serif" w:cs="Microsoft Sans Serif"/>
          <w:b/>
          <w:bCs/>
          <w:lang w:val="sr-Latn-BA" w:eastAsia="en-US"/>
        </w:rPr>
        <w:t xml:space="preserve"> </w:t>
      </w:r>
      <w:r>
        <w:rPr>
          <w:rFonts w:ascii="Microsoft Sans Serif" w:hAnsi="Microsoft Sans Serif" w:cs="Microsoft Sans Serif"/>
          <w:bCs/>
          <w:lang w:val="sr-Latn-BA" w:eastAsia="en-US"/>
        </w:rPr>
        <w:t xml:space="preserve">majornim depresivnim poremećajima. </w:t>
      </w:r>
      <w:r>
        <w:rPr>
          <w:rFonts w:ascii="Microsoft Sans Serif" w:hAnsi="Microsoft Sans Serif" w:cs="Microsoft Sans Serif"/>
          <w:lang w:val="sr-Latn-BA" w:eastAsia="en-US"/>
        </w:rPr>
        <w:t xml:space="preserve">Isti oprez primijenjen kod liječenja pacijenata sa </w:t>
      </w:r>
      <w:r>
        <w:rPr>
          <w:rFonts w:ascii="Microsoft Sans Serif" w:hAnsi="Microsoft Sans Serif" w:cs="Microsoft Sans Serif"/>
          <w:bCs/>
          <w:lang w:val="sr-Latn-BA" w:eastAsia="en-US"/>
        </w:rPr>
        <w:t>majornim depresivnim poremećajem treba primjeniti i kod liječenja pacijenata sa drugim psihijatrijskim stanjima.</w:t>
      </w:r>
    </w:p>
    <w:p w14:paraId="3234E8B1">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Pacijenti </w:t>
      </w:r>
      <w:r>
        <w:rPr>
          <w:rFonts w:ascii="Microsoft Sans Serif" w:hAnsi="Microsoft Sans Serif" w:cs="Microsoft Sans Serif"/>
          <w:lang w:val="bs-Latn-BA" w:eastAsia="en-US"/>
        </w:rPr>
        <w:t xml:space="preserve">koji u anamnezi imaju pokušaj </w:t>
      </w:r>
      <w:r>
        <w:rPr>
          <w:rFonts w:ascii="Microsoft Sans Serif" w:hAnsi="Microsoft Sans Serif" w:cs="Microsoft Sans Serif"/>
          <w:lang w:val="sr-Latn-BA" w:eastAsia="en-US"/>
        </w:rPr>
        <w:t xml:space="preserve">samoubistva ili oni koji pokazuju značajan stepen suicidnih ideja prije početka liječenja, poznati su kao pacijenti sa većim rizikom od suicidnih misli ili suicidnih pokušaja, i treba </w:t>
      </w:r>
      <w:r>
        <w:rPr>
          <w:rFonts w:ascii="Microsoft Sans Serif" w:hAnsi="Microsoft Sans Serif" w:cs="Microsoft Sans Serif"/>
          <w:lang w:val="bs-Latn-BA" w:eastAsia="en-US"/>
        </w:rPr>
        <w:t xml:space="preserve">da budu </w:t>
      </w:r>
      <w:r>
        <w:rPr>
          <w:rFonts w:ascii="Microsoft Sans Serif" w:hAnsi="Microsoft Sans Serif" w:cs="Microsoft Sans Serif"/>
          <w:lang w:val="sr-Latn-BA" w:eastAsia="en-US"/>
        </w:rPr>
        <w:t xml:space="preserve">pažljivo nadgledani tokom liječenja. Jedna metaanaliza placebo kontrolisanog kliničkog </w:t>
      </w:r>
      <w:r>
        <w:rPr>
          <w:rFonts w:ascii="Microsoft Sans Serif" w:hAnsi="Microsoft Sans Serif" w:cs="Microsoft Sans Serif"/>
          <w:lang w:val="bs-Latn-BA" w:eastAsia="en-US"/>
        </w:rPr>
        <w:t xml:space="preserve">ispitivanja </w:t>
      </w:r>
      <w:r>
        <w:rPr>
          <w:rFonts w:ascii="Microsoft Sans Serif" w:hAnsi="Microsoft Sans Serif" w:cs="Microsoft Sans Serif"/>
          <w:lang w:val="sr-Latn-BA" w:eastAsia="en-US"/>
        </w:rPr>
        <w:t xml:space="preserve">antidepresiva </w:t>
      </w:r>
      <w:r>
        <w:rPr>
          <w:rFonts w:ascii="Microsoft Sans Serif" w:hAnsi="Microsoft Sans Serif" w:cs="Microsoft Sans Serif"/>
          <w:lang w:val="bs-Latn-BA" w:eastAsia="en-US"/>
        </w:rPr>
        <w:t>kod</w:t>
      </w:r>
      <w:r>
        <w:rPr>
          <w:rFonts w:ascii="Microsoft Sans Serif" w:hAnsi="Microsoft Sans Serif" w:cs="Microsoft Sans Serif"/>
          <w:lang w:val="sr-Latn-BA" w:eastAsia="en-US"/>
        </w:rPr>
        <w:t xml:space="preserve"> odraslih pacijenata sa psihijatrijskim poremećajem prikazuje povećan rizik od suicidnih ponašanja sa antidepresivima upoređujući sa placebom </w:t>
      </w:r>
      <w:r>
        <w:rPr>
          <w:rFonts w:ascii="Microsoft Sans Serif" w:hAnsi="Microsoft Sans Serif" w:cs="Microsoft Sans Serif"/>
          <w:lang w:val="bs-Latn-BA" w:eastAsia="en-US"/>
        </w:rPr>
        <w:t>kod</w:t>
      </w:r>
      <w:r>
        <w:rPr>
          <w:rFonts w:ascii="Microsoft Sans Serif" w:hAnsi="Microsoft Sans Serif" w:cs="Microsoft Sans Serif"/>
          <w:lang w:val="sr-Latn-BA" w:eastAsia="en-US"/>
        </w:rPr>
        <w:t xml:space="preserve"> pacijenata mlađih od 25 godina.</w:t>
      </w:r>
    </w:p>
    <w:p w14:paraId="32CF8AFE">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Detaljno </w:t>
      </w:r>
      <w:r>
        <w:rPr>
          <w:rFonts w:ascii="Microsoft Sans Serif" w:hAnsi="Microsoft Sans Serif" w:cs="Microsoft Sans Serif"/>
          <w:lang w:val="bs-Latn-BA" w:eastAsia="en-US"/>
        </w:rPr>
        <w:t xml:space="preserve">nadgledanje </w:t>
      </w:r>
      <w:r>
        <w:rPr>
          <w:rFonts w:ascii="Microsoft Sans Serif" w:hAnsi="Microsoft Sans Serif" w:cs="Microsoft Sans Serif"/>
          <w:lang w:val="sr-Latn-BA" w:eastAsia="en-US"/>
        </w:rPr>
        <w:t xml:space="preserve">pacijenata, naročito pacijenata visokog rizika - treba pratiti terapiju medikamentima naročito u ranoj fazi liječenja i prilikom promjene doza lijeka. Pacijenti (i oni koji se o nima brinu) treba </w:t>
      </w:r>
      <w:r>
        <w:rPr>
          <w:rFonts w:ascii="Microsoft Sans Serif" w:hAnsi="Microsoft Sans Serif" w:cs="Microsoft Sans Serif"/>
          <w:lang w:val="bs-Latn-BA" w:eastAsia="en-US"/>
        </w:rPr>
        <w:t xml:space="preserve">da budu </w:t>
      </w:r>
      <w:r>
        <w:rPr>
          <w:rFonts w:ascii="Microsoft Sans Serif" w:hAnsi="Microsoft Sans Serif" w:cs="Microsoft Sans Serif"/>
          <w:lang w:val="sr-Latn-BA" w:eastAsia="en-US"/>
        </w:rPr>
        <w:t xml:space="preserve">upozoreni o potrebi da se prate sva klnička pogoršanja, sucidno ponašanje ili misli i neobične promjene ponačanja i da se zatraži medicinski savjet odmah kada se ovi simptomi pojave. </w:t>
      </w:r>
    </w:p>
    <w:p w14:paraId="5F14110E">
      <w:pPr>
        <w:autoSpaceDE w:val="0"/>
        <w:autoSpaceDN w:val="0"/>
        <w:adjustRightInd w:val="0"/>
        <w:jc w:val="both"/>
        <w:rPr>
          <w:rFonts w:ascii="Microsoft Sans Serif" w:hAnsi="Microsoft Sans Serif" w:cs="Microsoft Sans Serif"/>
          <w:lang w:val="sr-Latn-BA" w:eastAsia="en-US"/>
        </w:rPr>
      </w:pPr>
    </w:p>
    <w:p w14:paraId="1FDF3DAC">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Pedijatrijska populacija</w:t>
      </w:r>
    </w:p>
    <w:p w14:paraId="524DC56D">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ZANFEXA XR ne bi trebalo da se koristiti </w:t>
      </w:r>
      <w:r>
        <w:rPr>
          <w:rFonts w:ascii="Microsoft Sans Serif" w:hAnsi="Microsoft Sans Serif" w:cs="Microsoft Sans Serif"/>
          <w:lang w:val="bs-Latn-BA" w:eastAsia="en-US"/>
        </w:rPr>
        <w:t xml:space="preserve">prilikom </w:t>
      </w:r>
      <w:r>
        <w:rPr>
          <w:rFonts w:ascii="Microsoft Sans Serif" w:hAnsi="Microsoft Sans Serif" w:cs="Microsoft Sans Serif"/>
          <w:lang w:val="sr-Latn-BA" w:eastAsia="en-US"/>
        </w:rPr>
        <w:t xml:space="preserve">liječenja djece i adolescenata mlađih od 18 godina. Ponašanje povezano sa samoubistvom (pokušaj samoubistva i suicidne misli) i neprijateljstvo (prvenstveno agresija, </w:t>
      </w:r>
      <w:r>
        <w:rPr>
          <w:rFonts w:ascii="Microsoft Sans Serif" w:hAnsi="Microsoft Sans Serif" w:cs="Microsoft Sans Serif"/>
          <w:lang w:val="bs-Latn-BA" w:eastAsia="en-US"/>
        </w:rPr>
        <w:t xml:space="preserve">protivljenje </w:t>
      </w:r>
      <w:r>
        <w:rPr>
          <w:rFonts w:ascii="Microsoft Sans Serif" w:hAnsi="Microsoft Sans Serif" w:cs="Microsoft Sans Serif"/>
          <w:lang w:val="sr-Latn-BA" w:eastAsia="en-US"/>
        </w:rPr>
        <w:t xml:space="preserve">i bijes) se češće primjećuju u kliničkim </w:t>
      </w:r>
      <w:r>
        <w:rPr>
          <w:rFonts w:ascii="Microsoft Sans Serif" w:hAnsi="Microsoft Sans Serif" w:cs="Microsoft Sans Serif"/>
          <w:lang w:val="bs-Latn-BA" w:eastAsia="en-US"/>
        </w:rPr>
        <w:t xml:space="preserve">ispitivanjima </w:t>
      </w:r>
      <w:r>
        <w:rPr>
          <w:rFonts w:ascii="Microsoft Sans Serif" w:hAnsi="Microsoft Sans Serif" w:cs="Microsoft Sans Serif"/>
          <w:lang w:val="sr-Latn-BA" w:eastAsia="en-US"/>
        </w:rPr>
        <w:t xml:space="preserve">kod djece i adolescenata liječenih antidepresivima u usporedbi sa onima liječenim placebom. Zasnovano na kliničkoj neophodnosti, ako se ipak donese odluka o liječenju, pacijent se treba pažljivo pratiti zbog moguće pojave suicidnih simptoma. Dodatno, </w:t>
      </w:r>
      <w:r>
        <w:rPr>
          <w:rFonts w:ascii="Microsoft Sans Serif" w:hAnsi="Microsoft Sans Serif" w:cs="Microsoft Sans Serif"/>
          <w:lang w:val="bs-Latn-BA" w:eastAsia="en-US"/>
        </w:rPr>
        <w:t xml:space="preserve">ne postoje </w:t>
      </w:r>
      <w:r>
        <w:rPr>
          <w:rFonts w:ascii="Microsoft Sans Serif" w:hAnsi="Microsoft Sans Serif" w:cs="Microsoft Sans Serif"/>
          <w:lang w:val="sr-Latn-BA" w:eastAsia="en-US"/>
        </w:rPr>
        <w:t xml:space="preserve">dugoročni podaci o bezbjednosti djece i adolescenata u vezi sa rastom, sazrijevanjem, kognitivnim razvojem i razvojem ponašanja. </w:t>
      </w:r>
    </w:p>
    <w:p w14:paraId="0C9BCD8D">
      <w:pPr>
        <w:autoSpaceDE w:val="0"/>
        <w:autoSpaceDN w:val="0"/>
        <w:adjustRightInd w:val="0"/>
        <w:jc w:val="both"/>
        <w:rPr>
          <w:rFonts w:ascii="Microsoft Sans Serif" w:hAnsi="Microsoft Sans Serif" w:cs="Microsoft Sans Serif"/>
          <w:lang w:val="sr-Latn-BA" w:eastAsia="en-US"/>
        </w:rPr>
      </w:pPr>
    </w:p>
    <w:p w14:paraId="502963BA">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Serotoninski sindrom</w:t>
      </w:r>
    </w:p>
    <w:p w14:paraId="5EE3B7AD">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Kao i sa drugim serotoninskim sredstvima, serotoninski sindrom je potencijalno životno opasno stanje koje se može pojaviti kod liječenja venlafaksinom, naročito udruženo sa drugim sredstvima koji mogu uticati na serotoninski sistem neuotransmitera </w:t>
      </w:r>
      <w:r>
        <w:rPr>
          <w:rFonts w:ascii="Microsoft Sans Serif" w:hAnsi="Microsoft Sans Serif" w:cs="Microsoft Sans Serif"/>
          <w:color w:val="000000"/>
          <w:lang w:val="sr-Latn-BA"/>
        </w:rPr>
        <w:t>(uključujući triptane, SSRIs, SNRIs, triciklicne antidepresive, amfetamine, litijum, sibutramin, biljka kantarion [</w:t>
      </w:r>
      <w:r>
        <w:rPr>
          <w:rFonts w:ascii="Microsoft Sans Serif" w:hAnsi="Microsoft Sans Serif" w:cs="Microsoft Sans Serif"/>
          <w:i/>
          <w:color w:val="000000"/>
          <w:lang w:val="sr-Latn-BA"/>
        </w:rPr>
        <w:t>Hypericum perforatum</w:t>
      </w:r>
      <w:r>
        <w:rPr>
          <w:rFonts w:ascii="Microsoft Sans Serif" w:hAnsi="Microsoft Sans Serif" w:cs="Microsoft Sans Serif"/>
          <w:color w:val="000000"/>
          <w:lang w:val="sr-Latn-BA"/>
        </w:rPr>
        <w:t>], opidoidi [npr. buprenofin, fentanil i njegove analoge, tramadol, dekstrometorfan, tapentadol, petidin, metadon i pentazocin]), sa lijekovima koji poreme</w:t>
      </w:r>
      <w:r>
        <w:rPr>
          <w:rFonts w:ascii="Microsoft Sans Serif" w:hAnsi="Microsoft Sans Serif" w:cs="Microsoft Sans Serif"/>
          <w:color w:val="000000"/>
          <w:lang w:val="hr-BA"/>
        </w:rPr>
        <w:t>ćuju</w:t>
      </w:r>
      <w:r>
        <w:rPr>
          <w:rFonts w:ascii="Microsoft Sans Serif" w:hAnsi="Microsoft Sans Serif" w:cs="Microsoft Sans Serif"/>
          <w:color w:val="000000"/>
          <w:lang w:val="sr-Latn-BA"/>
        </w:rPr>
        <w:t xml:space="preserve"> metabolizam serotonina (kao što su MAOI, npr. metilen plavi), sa prekursorima serotonina (poput dodataka triptofana) ili sa antipsihoticima ili drugim antagonistima dopamina. </w:t>
      </w:r>
      <w:r>
        <w:rPr>
          <w:rFonts w:ascii="Microsoft Sans Serif" w:hAnsi="Microsoft Sans Serif" w:cs="Microsoft Sans Serif"/>
          <w:lang w:val="sr-Latn-BA" w:eastAsia="en-US"/>
        </w:rPr>
        <w:t xml:space="preserve">(pogledati dijelove 4.3 i 4.5). </w:t>
      </w:r>
    </w:p>
    <w:p w14:paraId="610A5145">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Serotoninski sindrom može uključivati promjene u mentalnom statusu (npr. nemir, halucinacije, koma), autonomnu nestabilnost (npr. tahikardija, nestabilan krvni pritisak, hipertermija), neuromišićne aberacije (npr. hiperrefleksija, nekoordiniranost) i/ili gastrointestinalni simptomi (npr. mučnina, povraćanje, proliv). </w:t>
      </w:r>
    </w:p>
    <w:p w14:paraId="63DCB3B5">
      <w:pPr>
        <w:autoSpaceDE w:val="0"/>
        <w:autoSpaceDN w:val="0"/>
        <w:adjustRightInd w:val="0"/>
        <w:jc w:val="both"/>
        <w:rPr>
          <w:rFonts w:ascii="Microsoft Sans Serif" w:hAnsi="Microsoft Sans Serif" w:cs="Microsoft Sans Serif"/>
          <w:lang w:val="bs-Latn-BA"/>
        </w:rPr>
      </w:pPr>
      <w:r>
        <w:rPr>
          <w:rStyle w:val="30"/>
          <w:rFonts w:ascii="Microsoft Sans Serif" w:hAnsi="Microsoft Sans Serif" w:cs="Microsoft Sans Serif"/>
          <w:lang w:val="bs-Latn-BA"/>
        </w:rPr>
        <w:t>Serotoninski sindrom,</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u</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svom</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najtežem obliku</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može</w:t>
      </w:r>
      <w:r>
        <w:rPr>
          <w:rFonts w:ascii="Microsoft Sans Serif" w:hAnsi="Microsoft Sans Serif" w:cs="Microsoft Sans Serif"/>
          <w:lang w:val="bs-Latn-BA"/>
        </w:rPr>
        <w:t xml:space="preserve"> biti sličan</w:t>
      </w:r>
      <w:r>
        <w:rPr>
          <w:rStyle w:val="30"/>
          <w:rFonts w:ascii="Microsoft Sans Serif" w:hAnsi="Microsoft Sans Serif" w:cs="Microsoft Sans Serif"/>
          <w:lang w:val="bs-Latn-BA"/>
        </w:rPr>
        <w:t xml:space="preserve"> </w:t>
      </w:r>
      <w:r>
        <w:rPr>
          <w:rFonts w:ascii="Microsoft Sans Serif" w:hAnsi="Microsoft Sans Serif" w:cs="Microsoft Sans Serif"/>
          <w:lang w:val="bs-Latn-BA" w:eastAsia="en-US"/>
        </w:rPr>
        <w:t>neuroleptičkom malignom sindromu (NMS)</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koji uključuje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hipertermiju</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rigidnost mišića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autonomnu</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nestabilnost</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mogućim</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brzim</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fluktuacijama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vitalnih</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znakova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promjena mentalnog stanja</w:t>
      </w:r>
      <w:r>
        <w:rPr>
          <w:rFonts w:ascii="Microsoft Sans Serif" w:hAnsi="Microsoft Sans Serif" w:cs="Microsoft Sans Serif"/>
          <w:lang w:val="bs-Latn-BA"/>
        </w:rPr>
        <w:t>.</w:t>
      </w:r>
    </w:p>
    <w:p w14:paraId="24E71952">
      <w:pPr>
        <w:autoSpaceDE w:val="0"/>
        <w:autoSpaceDN w:val="0"/>
        <w:adjustRightInd w:val="0"/>
        <w:jc w:val="both"/>
        <w:rPr>
          <w:rFonts w:ascii="Microsoft Sans Serif" w:hAnsi="Microsoft Sans Serif" w:cs="Microsoft Sans Serif"/>
          <w:lang w:val="bs-Latn-BA"/>
        </w:rPr>
      </w:pPr>
      <w:r>
        <w:rPr>
          <w:rStyle w:val="30"/>
          <w:rFonts w:ascii="Microsoft Sans Serif" w:hAnsi="Microsoft Sans Serif" w:cs="Microsoft Sans Serif"/>
          <w:lang w:val="bs-Latn-BA"/>
        </w:rPr>
        <w:t>Ako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je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klinički opravdana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istovremena primjena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venlafaksina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drugim sredstvima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koja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mogu uticati na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sistem serotonergičkih</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i/ili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dopaminergičkih neurotransmitera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savjetuje</w:t>
      </w:r>
      <w:r>
        <w:rPr>
          <w:rFonts w:ascii="Microsoft Sans Serif" w:hAnsi="Microsoft Sans Serif" w:cs="Microsoft Sans Serif"/>
          <w:lang w:val="bs-Latn-BA"/>
        </w:rPr>
        <w:t xml:space="preserve"> se pažljivo </w:t>
      </w:r>
      <w:r>
        <w:rPr>
          <w:rStyle w:val="30"/>
          <w:rFonts w:ascii="Microsoft Sans Serif" w:hAnsi="Microsoft Sans Serif" w:cs="Microsoft Sans Serif"/>
          <w:lang w:val="bs-Latn-BA"/>
        </w:rPr>
        <w:t>praćenje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pacijenta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naročito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tokom</w:t>
      </w:r>
      <w:r>
        <w:rPr>
          <w:rFonts w:ascii="Microsoft Sans Serif" w:hAnsi="Microsoft Sans Serif" w:cs="Microsoft Sans Serif"/>
          <w:lang w:val="bs-Latn-BA"/>
        </w:rPr>
        <w:t xml:space="preserve"> početka </w:t>
      </w:r>
      <w:r>
        <w:rPr>
          <w:rStyle w:val="30"/>
          <w:rFonts w:ascii="Microsoft Sans Serif" w:hAnsi="Microsoft Sans Serif" w:cs="Microsoft Sans Serif"/>
          <w:lang w:val="bs-Latn-BA"/>
        </w:rPr>
        <w:t>liječenja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w:t>
      </w:r>
      <w:r>
        <w:rPr>
          <w:rFonts w:ascii="Microsoft Sans Serif" w:hAnsi="Microsoft Sans Serif" w:cs="Microsoft Sans Serif"/>
          <w:lang w:val="bs-Latn-BA"/>
        </w:rPr>
        <w:t xml:space="preserve"> tokom povećanja </w:t>
      </w:r>
      <w:r>
        <w:rPr>
          <w:rStyle w:val="30"/>
          <w:rFonts w:ascii="Microsoft Sans Serif" w:hAnsi="Microsoft Sans Serif" w:cs="Microsoft Sans Serif"/>
          <w:lang w:val="bs-Latn-BA"/>
        </w:rPr>
        <w:t>doza</w:t>
      </w:r>
      <w:r>
        <w:rPr>
          <w:rFonts w:ascii="Microsoft Sans Serif" w:hAnsi="Microsoft Sans Serif" w:cs="Microsoft Sans Serif"/>
          <w:lang w:val="bs-Latn-BA"/>
        </w:rPr>
        <w:t>.</w:t>
      </w:r>
    </w:p>
    <w:p w14:paraId="50C32E36">
      <w:pPr>
        <w:autoSpaceDE w:val="0"/>
        <w:autoSpaceDN w:val="0"/>
        <w:adjustRightInd w:val="0"/>
        <w:jc w:val="both"/>
        <w:rPr>
          <w:rFonts w:ascii="Microsoft Sans Serif" w:hAnsi="Microsoft Sans Serif" w:cs="Microsoft Sans Serif"/>
          <w:lang w:val="bs-Latn-BA" w:eastAsia="en-US"/>
        </w:rPr>
      </w:pPr>
      <w:r>
        <w:rPr>
          <w:rStyle w:val="30"/>
          <w:rFonts w:ascii="Microsoft Sans Serif" w:hAnsi="Microsoft Sans Serif" w:cs="Microsoft Sans Serif"/>
          <w:lang w:val="bs-Latn-BA"/>
        </w:rPr>
        <w:t>Istovremena primjena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venlafaksina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prekursorima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serotonina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w:t>
      </w:r>
      <w:r>
        <w:rPr>
          <w:rFonts w:ascii="Microsoft Sans Serif" w:hAnsi="Microsoft Sans Serif" w:cs="Microsoft Sans Serif"/>
          <w:lang w:val="bs-Latn-BA"/>
        </w:rPr>
        <w:t xml:space="preserve">kao što su suplementi </w:t>
      </w:r>
      <w:r>
        <w:rPr>
          <w:rStyle w:val="30"/>
          <w:rFonts w:ascii="Microsoft Sans Serif" w:hAnsi="Microsoft Sans Serif" w:cs="Microsoft Sans Serif"/>
          <w:lang w:val="bs-Latn-BA"/>
        </w:rPr>
        <w:t>triptofana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ne preporučuje se</w:t>
      </w:r>
      <w:r>
        <w:rPr>
          <w:rFonts w:ascii="Microsoft Sans Serif" w:hAnsi="Microsoft Sans Serif" w:cs="Microsoft Sans Serif"/>
          <w:lang w:val="bs-Latn-BA"/>
        </w:rPr>
        <w:t>.</w:t>
      </w:r>
    </w:p>
    <w:p w14:paraId="6AD0BC22">
      <w:pPr>
        <w:autoSpaceDE w:val="0"/>
        <w:autoSpaceDN w:val="0"/>
        <w:adjustRightInd w:val="0"/>
        <w:jc w:val="both"/>
        <w:rPr>
          <w:rFonts w:ascii="Microsoft Sans Serif" w:hAnsi="Microsoft Sans Serif" w:cs="Microsoft Sans Serif"/>
          <w:b/>
          <w:bCs/>
          <w:lang w:val="sr-Latn-BA" w:eastAsia="en-US"/>
        </w:rPr>
      </w:pPr>
    </w:p>
    <w:p w14:paraId="64CE617B">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Glaukom oštrog ugla</w:t>
      </w:r>
    </w:p>
    <w:p w14:paraId="5C7E92B5">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Midrijaza se može pojaviti </w:t>
      </w:r>
      <w:r>
        <w:rPr>
          <w:rFonts w:ascii="Microsoft Sans Serif" w:hAnsi="Microsoft Sans Serif" w:cs="Microsoft Sans Serif"/>
          <w:lang w:val="bs-Latn-BA" w:eastAsia="en-US"/>
        </w:rPr>
        <w:t xml:space="preserve">prilikom </w:t>
      </w:r>
      <w:r>
        <w:rPr>
          <w:rFonts w:ascii="Microsoft Sans Serif" w:hAnsi="Microsoft Sans Serif" w:cs="Microsoft Sans Serif"/>
          <w:lang w:val="sr-Latn-BA" w:eastAsia="en-US"/>
        </w:rPr>
        <w:t xml:space="preserve">upotrebe venlafaksina. Preporučuje se da pacijenti sa povišenim očnim pritiskom ili pacijenti sa rizikom od akutnog glaukoma oštog ugla treba </w:t>
      </w:r>
      <w:r>
        <w:rPr>
          <w:rFonts w:ascii="Microsoft Sans Serif" w:hAnsi="Microsoft Sans Serif" w:cs="Microsoft Sans Serif"/>
          <w:lang w:val="bs-Latn-BA" w:eastAsia="en-US"/>
        </w:rPr>
        <w:t xml:space="preserve">da budu </w:t>
      </w:r>
      <w:r>
        <w:rPr>
          <w:rFonts w:ascii="Microsoft Sans Serif" w:hAnsi="Microsoft Sans Serif" w:cs="Microsoft Sans Serif"/>
          <w:lang w:val="sr-Latn-BA" w:eastAsia="en-US"/>
        </w:rPr>
        <w:t>pažljivo posmatrani.</w:t>
      </w:r>
    </w:p>
    <w:p w14:paraId="7ECF2096">
      <w:pPr>
        <w:autoSpaceDE w:val="0"/>
        <w:autoSpaceDN w:val="0"/>
        <w:adjustRightInd w:val="0"/>
        <w:jc w:val="both"/>
        <w:rPr>
          <w:rFonts w:ascii="Microsoft Sans Serif" w:hAnsi="Microsoft Sans Serif" w:cs="Microsoft Sans Serif"/>
          <w:b/>
          <w:bCs/>
          <w:lang w:val="sr-Latn-BA" w:eastAsia="en-US"/>
        </w:rPr>
      </w:pPr>
    </w:p>
    <w:p w14:paraId="6B221DD7">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Krvni pritisak</w:t>
      </w:r>
    </w:p>
    <w:p w14:paraId="16DFAAFB">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Povećanja krvnog pristiska </w:t>
      </w:r>
      <w:r>
        <w:rPr>
          <w:rFonts w:ascii="Microsoft Sans Serif" w:hAnsi="Microsoft Sans Serif" w:cs="Microsoft Sans Serif"/>
          <w:lang w:val="bs-Latn-BA" w:eastAsia="en-US"/>
        </w:rPr>
        <w:t xml:space="preserve">koja su u vezi </w:t>
      </w:r>
      <w:r>
        <w:rPr>
          <w:rFonts w:ascii="Microsoft Sans Serif" w:hAnsi="Microsoft Sans Serif" w:cs="Microsoft Sans Serif"/>
          <w:lang w:val="sr-Latn-BA" w:eastAsia="en-US"/>
        </w:rPr>
        <w:t xml:space="preserve">sa dozom venlafaksina često se primjećuju. U nekim slučajevima, značajno povišen krvni pritisak koji traži trenutno liječenje je prijavljen u postmarketinškim iskustvima. Svi pacijenti treba </w:t>
      </w:r>
      <w:r>
        <w:rPr>
          <w:rFonts w:ascii="Microsoft Sans Serif" w:hAnsi="Microsoft Sans Serif" w:cs="Microsoft Sans Serif"/>
          <w:lang w:val="bs-Latn-BA" w:eastAsia="en-US"/>
        </w:rPr>
        <w:t xml:space="preserve">da budu </w:t>
      </w:r>
      <w:r>
        <w:rPr>
          <w:rFonts w:ascii="Microsoft Sans Serif" w:hAnsi="Microsoft Sans Serif" w:cs="Microsoft Sans Serif"/>
          <w:lang w:val="sr-Latn-BA" w:eastAsia="en-US"/>
        </w:rPr>
        <w:t xml:space="preserve">pažljivo pregledani na postojanje visokog krvnog pritiska i prethodno postojeća hipertenzija treba kontrolisati prije početka terapije. Krvni prisitisk treba pregledati periodično, nakon početka liječenja i nakon povećanja doza. Oprez treba biti primijenjen kod pacijenata čija stanja mogu biti </w:t>
      </w:r>
      <w:r>
        <w:rPr>
          <w:rFonts w:ascii="Microsoft Sans Serif" w:hAnsi="Microsoft Sans Serif" w:cs="Microsoft Sans Serif"/>
          <w:lang w:val="bs-Latn-BA" w:eastAsia="en-US"/>
        </w:rPr>
        <w:t xml:space="preserve">ugrožena </w:t>
      </w:r>
      <w:r>
        <w:rPr>
          <w:rFonts w:ascii="Microsoft Sans Serif" w:hAnsi="Microsoft Sans Serif" w:cs="Microsoft Sans Serif"/>
          <w:lang w:val="sr-Latn-BA" w:eastAsia="en-US"/>
        </w:rPr>
        <w:t xml:space="preserve">povećanjem krvnog pritiska, npr. kod onih pacijenata sa poremećenom funkcijom </w:t>
      </w:r>
      <w:r>
        <w:rPr>
          <w:rFonts w:ascii="Microsoft Sans Serif" w:hAnsi="Microsoft Sans Serif" w:cs="Microsoft Sans Serif"/>
          <w:lang w:val="bs-Latn-BA" w:eastAsia="en-US"/>
        </w:rPr>
        <w:t>srca</w:t>
      </w:r>
      <w:r>
        <w:rPr>
          <w:rFonts w:ascii="Microsoft Sans Serif" w:hAnsi="Microsoft Sans Serif" w:cs="Microsoft Sans Serif"/>
          <w:lang w:val="sr-Latn-BA" w:eastAsia="en-US"/>
        </w:rPr>
        <w:t xml:space="preserve">. </w:t>
      </w:r>
    </w:p>
    <w:p w14:paraId="1DAF2BFD">
      <w:pPr>
        <w:autoSpaceDE w:val="0"/>
        <w:autoSpaceDN w:val="0"/>
        <w:adjustRightInd w:val="0"/>
        <w:jc w:val="both"/>
        <w:rPr>
          <w:rFonts w:ascii="Microsoft Sans Serif" w:hAnsi="Microsoft Sans Serif" w:cs="Microsoft Sans Serif"/>
          <w:lang w:val="sr-Latn-BA" w:eastAsia="en-US"/>
        </w:rPr>
      </w:pPr>
    </w:p>
    <w:p w14:paraId="58C3EBAB">
      <w:pPr>
        <w:autoSpaceDE w:val="0"/>
        <w:autoSpaceDN w:val="0"/>
        <w:adjustRightInd w:val="0"/>
        <w:jc w:val="both"/>
        <w:rPr>
          <w:rFonts w:ascii="Microsoft Sans Serif" w:hAnsi="Microsoft Sans Serif" w:cs="Microsoft Sans Serif"/>
          <w:lang w:val="sr-Latn-BA" w:eastAsia="en-US"/>
        </w:rPr>
      </w:pPr>
    </w:p>
    <w:p w14:paraId="5A825AE2">
      <w:pPr>
        <w:autoSpaceDE w:val="0"/>
        <w:autoSpaceDN w:val="0"/>
        <w:adjustRightInd w:val="0"/>
        <w:jc w:val="both"/>
        <w:rPr>
          <w:rFonts w:ascii="Microsoft Sans Serif" w:hAnsi="Microsoft Sans Serif" w:cs="Microsoft Sans Serif"/>
          <w:lang w:val="sr-Latn-BA" w:eastAsia="en-US"/>
        </w:rPr>
      </w:pPr>
    </w:p>
    <w:p w14:paraId="6437435A">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Otkucaji srca</w:t>
      </w:r>
    </w:p>
    <w:p w14:paraId="371FC79C">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Povećanja broja otkucaja srca se može desiti, naročito kod viših doza. Oprez treba primjeniti kod pacijenata čija stanja mogu biti </w:t>
      </w:r>
      <w:r>
        <w:rPr>
          <w:rFonts w:ascii="Microsoft Sans Serif" w:hAnsi="Microsoft Sans Serif" w:cs="Microsoft Sans Serif"/>
          <w:lang w:val="bs-Latn-BA" w:eastAsia="en-US"/>
        </w:rPr>
        <w:t xml:space="preserve">ugrožena </w:t>
      </w:r>
      <w:r>
        <w:rPr>
          <w:rFonts w:ascii="Microsoft Sans Serif" w:hAnsi="Microsoft Sans Serif" w:cs="Microsoft Sans Serif"/>
          <w:lang w:val="sr-Latn-BA" w:eastAsia="en-US"/>
        </w:rPr>
        <w:t xml:space="preserve">povećanjem broja otkucaja srca. </w:t>
      </w:r>
    </w:p>
    <w:p w14:paraId="5939856F">
      <w:pPr>
        <w:autoSpaceDE w:val="0"/>
        <w:autoSpaceDN w:val="0"/>
        <w:adjustRightInd w:val="0"/>
        <w:jc w:val="both"/>
        <w:rPr>
          <w:rFonts w:ascii="Microsoft Sans Serif" w:hAnsi="Microsoft Sans Serif" w:cs="Microsoft Sans Serif"/>
          <w:b/>
          <w:bCs/>
          <w:lang w:val="sr-Latn-BA" w:eastAsia="en-US"/>
        </w:rPr>
      </w:pPr>
    </w:p>
    <w:p w14:paraId="0EC0E465">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Srčane bolesti i rizik od aritmije</w:t>
      </w:r>
    </w:p>
    <w:p w14:paraId="1906ADD7">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Venlafaksin nije ispitan kod pacijenata sa nedavnom </w:t>
      </w:r>
      <w:r>
        <w:rPr>
          <w:rFonts w:ascii="Microsoft Sans Serif" w:hAnsi="Microsoft Sans Serif" w:cs="Microsoft Sans Serif"/>
          <w:lang w:val="bs-Latn-BA" w:eastAsia="en-US"/>
        </w:rPr>
        <w:t xml:space="preserve">anamnezom </w:t>
      </w:r>
      <w:r>
        <w:rPr>
          <w:rFonts w:ascii="Microsoft Sans Serif" w:hAnsi="Microsoft Sans Serif" w:cs="Microsoft Sans Serif"/>
          <w:lang w:val="sr-Latn-BA" w:eastAsia="en-US"/>
        </w:rPr>
        <w:t xml:space="preserve">infarkta miokarda ili sa nestabilnim srčanim oboljenima. Zbog toga ga treba sa oprezom koristiti kod ovih pacijenata. </w:t>
      </w:r>
    </w:p>
    <w:p w14:paraId="3047DEF5">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U postmarketinškim iskustvima, slučajevi produženja QTc-a, Torsade de Pointes (TdP), ventrikularna tahikardija </w:t>
      </w:r>
      <w:r>
        <w:rPr>
          <w:rFonts w:ascii="Microsoft Sans Serif" w:hAnsi="Microsoft Sans Serif" w:cs="Microsoft Sans Serif"/>
          <w:color w:val="000000"/>
          <w:lang w:val="sr-Latn-BA"/>
        </w:rPr>
        <w:t>i</w:t>
      </w:r>
      <w:r>
        <w:rPr>
          <w:rFonts w:ascii="Microsoft Sans Serif" w:hAnsi="Microsoft Sans Serif" w:cs="Microsoft Sans Serif"/>
          <w:lang w:val="sr-Latn-BA" w:eastAsia="en-US"/>
        </w:rPr>
        <w:t xml:space="preserve"> fatalne srčane aritmije su zabilježene kod upotrebe venlafaksina, naročito kod predoziranja</w:t>
      </w:r>
      <w:r>
        <w:rPr>
          <w:rFonts w:ascii="Microsoft Sans Serif" w:hAnsi="Microsoft Sans Serif" w:cs="Microsoft Sans Serif"/>
          <w:color w:val="000000"/>
          <w:lang w:val="sr-Latn-BA"/>
        </w:rPr>
        <w:t xml:space="preserve"> ili kod pacijenata sa drugim faktorima rizika za produženje QTc/TdP</w:t>
      </w:r>
      <w:r>
        <w:rPr>
          <w:rFonts w:ascii="Microsoft Sans Serif" w:hAnsi="Microsoft Sans Serif" w:cs="Microsoft Sans Serif"/>
          <w:lang w:val="sr-Latn-BA" w:eastAsia="en-US"/>
        </w:rPr>
        <w:t>. Balans između rizika i koristi treba biti razmotren prije prepisivanja venlafaksina kod pacijenata sa visokim rizikom od ozbiljnih srčanih aritmija</w:t>
      </w:r>
      <w:r>
        <w:rPr>
          <w:rFonts w:ascii="Microsoft Sans Serif" w:hAnsi="Microsoft Sans Serif" w:cs="Microsoft Sans Serif"/>
          <w:color w:val="000000"/>
          <w:lang w:val="sr-Latn-BA"/>
        </w:rPr>
        <w:t xml:space="preserve"> ili QTc produženja (pogledati dio 5.1)</w:t>
      </w:r>
      <w:r>
        <w:rPr>
          <w:rFonts w:ascii="Microsoft Sans Serif" w:hAnsi="Microsoft Sans Serif" w:cs="Microsoft Sans Serif"/>
          <w:lang w:val="sr-Latn-BA" w:eastAsia="en-US"/>
        </w:rPr>
        <w:t xml:space="preserve">. </w:t>
      </w:r>
    </w:p>
    <w:p w14:paraId="50412C47">
      <w:pPr>
        <w:autoSpaceDE w:val="0"/>
        <w:autoSpaceDN w:val="0"/>
        <w:adjustRightInd w:val="0"/>
        <w:jc w:val="both"/>
        <w:rPr>
          <w:rFonts w:ascii="Microsoft Sans Serif" w:hAnsi="Microsoft Sans Serif" w:cs="Microsoft Sans Serif"/>
          <w:lang w:val="sr-Latn-BA" w:eastAsia="en-US"/>
        </w:rPr>
      </w:pPr>
    </w:p>
    <w:p w14:paraId="6F4C805F">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Konvulzije</w:t>
      </w:r>
    </w:p>
    <w:p w14:paraId="64E5C1E2">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Konvulzije se mogu javiti </w:t>
      </w:r>
      <w:r>
        <w:rPr>
          <w:rFonts w:ascii="Microsoft Sans Serif" w:hAnsi="Microsoft Sans Serif" w:cs="Microsoft Sans Serif"/>
          <w:lang w:val="bs-Latn-BA" w:eastAsia="en-US"/>
        </w:rPr>
        <w:t xml:space="preserve">prilikom </w:t>
      </w:r>
      <w:r>
        <w:rPr>
          <w:rFonts w:ascii="Microsoft Sans Serif" w:hAnsi="Microsoft Sans Serif" w:cs="Microsoft Sans Serif"/>
          <w:lang w:val="sr-Latn-BA" w:eastAsia="en-US"/>
        </w:rPr>
        <w:t xml:space="preserve">terapije venlafaksinom. Kao i kod svih antidepresvia, venlafaksin treba uvoditi sa oprezom kod pacijenata sa </w:t>
      </w:r>
      <w:r>
        <w:rPr>
          <w:rFonts w:ascii="Microsoft Sans Serif" w:hAnsi="Microsoft Sans Serif" w:cs="Microsoft Sans Serif"/>
          <w:lang w:val="bs-Latn-BA" w:eastAsia="en-US"/>
        </w:rPr>
        <w:t xml:space="preserve">anamnezom </w:t>
      </w:r>
      <w:r>
        <w:rPr>
          <w:rFonts w:ascii="Microsoft Sans Serif" w:hAnsi="Microsoft Sans Serif" w:cs="Microsoft Sans Serif"/>
          <w:lang w:val="sr-Latn-BA" w:eastAsia="en-US"/>
        </w:rPr>
        <w:t xml:space="preserve">konvulzija i takve pacijente treba pažljivo </w:t>
      </w:r>
      <w:r>
        <w:rPr>
          <w:rFonts w:ascii="Microsoft Sans Serif" w:hAnsi="Microsoft Sans Serif" w:cs="Microsoft Sans Serif"/>
          <w:lang w:val="bs-Latn-BA" w:eastAsia="en-US"/>
        </w:rPr>
        <w:t>pratiti</w:t>
      </w:r>
      <w:r>
        <w:rPr>
          <w:rFonts w:ascii="Microsoft Sans Serif" w:hAnsi="Microsoft Sans Serif" w:cs="Microsoft Sans Serif"/>
          <w:lang w:val="sr-Latn-BA" w:eastAsia="en-US"/>
        </w:rPr>
        <w:t xml:space="preserve">. Liječenje treba prekinuti ako pacijent dobije napade. </w:t>
      </w:r>
    </w:p>
    <w:p w14:paraId="5D4BE13A">
      <w:pPr>
        <w:autoSpaceDE w:val="0"/>
        <w:autoSpaceDN w:val="0"/>
        <w:adjustRightInd w:val="0"/>
        <w:jc w:val="both"/>
        <w:rPr>
          <w:rFonts w:ascii="Microsoft Sans Serif" w:hAnsi="Microsoft Sans Serif" w:cs="Microsoft Sans Serif"/>
          <w:b/>
          <w:bCs/>
          <w:lang w:val="sr-Latn-BA" w:eastAsia="en-US"/>
        </w:rPr>
      </w:pPr>
    </w:p>
    <w:p w14:paraId="430C5E03">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Hiponatrijemia</w:t>
      </w:r>
    </w:p>
    <w:p w14:paraId="4C7F812A">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Slučajevi hiponatrijemije i/ili sindroma neodgovarajućeg izlučivanja antidiuretskog hormona (SIADH) se mogu pojaviti tokom liječenja venlafaksinom. Ovo je još češće primijećeno kod hipovolemičnih ili dehidriranih pacijenata. Stariji pacijenti, pacijenti koji uzimaju diuretike i pacijenti koji su na neki drugi način hipovolemični mogu imati povišen rizik za pojavu ovih simptoma. </w:t>
      </w:r>
    </w:p>
    <w:p w14:paraId="528B0D8F">
      <w:pPr>
        <w:autoSpaceDE w:val="0"/>
        <w:autoSpaceDN w:val="0"/>
        <w:adjustRightInd w:val="0"/>
        <w:jc w:val="both"/>
        <w:rPr>
          <w:rFonts w:ascii="Microsoft Sans Serif" w:hAnsi="Microsoft Sans Serif" w:cs="Microsoft Sans Serif"/>
          <w:lang w:val="sr-Latn-BA" w:eastAsia="en-US"/>
        </w:rPr>
      </w:pPr>
    </w:p>
    <w:p w14:paraId="3B9416F8">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Patološko krvarenje</w:t>
      </w:r>
    </w:p>
    <w:p w14:paraId="144F8287">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Medicinski proizvodi koji blokiraju preuzimanje serotonina mogu dovesti do smanjenje funkcije trombocita.</w:t>
      </w:r>
      <w:r>
        <w:rPr>
          <w:rFonts w:ascii="Microsoft Sans Serif" w:hAnsi="Microsoft Sans Serif" w:cs="Microsoft Sans Serif"/>
          <w:color w:val="000000"/>
          <w:lang w:val="sr-Latn-BA"/>
        </w:rPr>
        <w:t xml:space="preserve"> Krvarenja koja su vezana za upotrebu SSRI i SNRI varirala su od ekhimoze, hematoma, epistaksa i petehije, pa sve do krvarenja u gastrointestinalnom traktu i životnom rizičnih hemoragija.</w:t>
      </w:r>
      <w:r>
        <w:rPr>
          <w:rFonts w:ascii="Microsoft Sans Serif" w:hAnsi="Microsoft Sans Serif" w:cs="Microsoft Sans Serif"/>
          <w:lang w:val="sr-Latn-BA" w:eastAsia="en-US"/>
        </w:rPr>
        <w:t xml:space="preserve"> </w:t>
      </w:r>
    </w:p>
    <w:p w14:paraId="494F3C60">
      <w:pPr>
        <w:autoSpaceDE w:val="0"/>
        <w:autoSpaceDN w:val="0"/>
        <w:adjustRightInd w:val="0"/>
        <w:jc w:val="both"/>
        <w:rPr>
          <w:rFonts w:ascii="Microsoft Sans Serif" w:hAnsi="Microsoft Sans Serif" w:cs="Microsoft Sans Serif"/>
          <w:lang w:val="bs-Latn-BA" w:eastAsia="en-US"/>
        </w:rPr>
      </w:pPr>
      <w:r>
        <w:rPr>
          <w:rFonts w:ascii="Microsoft Sans Serif" w:hAnsi="Microsoft Sans Serif" w:cs="Microsoft Sans Serif"/>
          <w:lang w:val="bs-Latn-BA" w:eastAsia="en-US"/>
        </w:rPr>
        <w:t>Selektivni inhibitori ponovnog preuzimanja serotonina (SSRI)/inhibitori ponovnog preuzimanja norepinefrina (SNRI) mogu pove</w:t>
      </w:r>
      <w:r>
        <w:rPr>
          <w:rFonts w:hint="eastAsia" w:ascii="Microsoft Sans Serif" w:hAnsi="Microsoft Sans Serif" w:cs="Microsoft Sans Serif"/>
          <w:lang w:val="bs-Latn-BA" w:eastAsia="en-US"/>
        </w:rPr>
        <w:t>ć</w:t>
      </w:r>
      <w:r>
        <w:rPr>
          <w:rFonts w:ascii="Microsoft Sans Serif" w:hAnsi="Microsoft Sans Serif" w:cs="Microsoft Sans Serif"/>
          <w:lang w:val="bs-Latn-BA" w:eastAsia="en-US"/>
        </w:rPr>
        <w:t xml:space="preserve">ati rizik od postpartalne hemoragije (pogledati dio 4.6, 4.8). </w:t>
      </w:r>
    </w:p>
    <w:p w14:paraId="3B41F0C6">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Rizik od krvarenjemože biti povećan kod pacijenata koji uzimaju venlafaksin. Kao i sa drugim inhibitorima ponovnog preuzimanja serotonina, venlafaksin treba korisiti oprezno kod pacijenata sa predispozicijom za krvarenje, uključujući pacijente koju koriste antikoagulante ili inhibitore trombocita. </w:t>
      </w:r>
    </w:p>
    <w:p w14:paraId="6BBEBD1C">
      <w:pPr>
        <w:autoSpaceDE w:val="0"/>
        <w:autoSpaceDN w:val="0"/>
        <w:adjustRightInd w:val="0"/>
        <w:jc w:val="both"/>
        <w:rPr>
          <w:rFonts w:ascii="Microsoft Sans Serif" w:hAnsi="Microsoft Sans Serif" w:cs="Microsoft Sans Serif"/>
          <w:lang w:val="sr-Latn-BA" w:eastAsia="en-US"/>
        </w:rPr>
      </w:pPr>
    </w:p>
    <w:p w14:paraId="0F69CB91">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Serumski holesterol</w:t>
      </w:r>
    </w:p>
    <w:p w14:paraId="68B33ED5">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Klinički relevantno povećanje serumskog holesterola je zabilježeno kod 5,3% pacijenata liječenih venlafaksinom i kod 0,% pacijenata liječenih placebom tokom najmanje </w:t>
      </w:r>
      <w:r>
        <w:rPr>
          <w:rFonts w:ascii="Microsoft Sans Serif" w:hAnsi="Microsoft Sans Serif" w:cs="Microsoft Sans Serif"/>
          <w:lang w:val="bs-Latn-BA" w:eastAsia="en-US"/>
        </w:rPr>
        <w:t>tri</w:t>
      </w:r>
      <w:r>
        <w:rPr>
          <w:rFonts w:ascii="Microsoft Sans Serif" w:hAnsi="Microsoft Sans Serif" w:cs="Microsoft Sans Serif"/>
          <w:lang w:val="sr-Latn-BA" w:eastAsia="en-US"/>
        </w:rPr>
        <w:t xml:space="preserve"> mjeseca trajanja placebo-kontrolisane kliničke </w:t>
      </w:r>
      <w:r>
        <w:rPr>
          <w:rFonts w:ascii="Microsoft Sans Serif" w:hAnsi="Microsoft Sans Serif" w:cs="Microsoft Sans Serif"/>
          <w:lang w:val="bs-Latn-BA" w:eastAsia="en-US"/>
        </w:rPr>
        <w:t>ispitivanja</w:t>
      </w:r>
      <w:r>
        <w:rPr>
          <w:rFonts w:ascii="Microsoft Sans Serif" w:hAnsi="Microsoft Sans Serif" w:cs="Microsoft Sans Serif"/>
          <w:lang w:val="sr-Latn-BA" w:eastAsia="en-US"/>
        </w:rPr>
        <w:t xml:space="preserve">. Mjerenje nivoa serumskog holesterola treba biti razmotreno kod dugoročnije terapije. </w:t>
      </w:r>
    </w:p>
    <w:p w14:paraId="3F7E6452">
      <w:pPr>
        <w:autoSpaceDE w:val="0"/>
        <w:autoSpaceDN w:val="0"/>
        <w:adjustRightInd w:val="0"/>
        <w:jc w:val="both"/>
        <w:rPr>
          <w:rFonts w:ascii="Microsoft Sans Serif" w:hAnsi="Microsoft Sans Serif" w:cs="Microsoft Sans Serif"/>
          <w:b/>
          <w:bCs/>
          <w:lang w:val="sr-Latn-BA" w:eastAsia="en-US"/>
        </w:rPr>
      </w:pPr>
    </w:p>
    <w:p w14:paraId="6EDB69B0">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Zajednička primjena sa lijekovima za gubitak težine</w:t>
      </w:r>
    </w:p>
    <w:p w14:paraId="72728536">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Bezbjednost i efikasnost terapije venlafaksinom u kombinacija sa lijekovima za gubitak težine, uključujući fentermin, još nije utvrđena. Zajednička primjena venlafaksina sa lijekovima za gubitak težine nije preporučena. Venlafaksin sam nije indikovan za gubitak težine ili u kombinaciji sa drugim proizvodima. </w:t>
      </w:r>
    </w:p>
    <w:p w14:paraId="2E6D679F">
      <w:pPr>
        <w:autoSpaceDE w:val="0"/>
        <w:autoSpaceDN w:val="0"/>
        <w:adjustRightInd w:val="0"/>
        <w:jc w:val="both"/>
        <w:rPr>
          <w:rFonts w:ascii="Microsoft Sans Serif" w:hAnsi="Microsoft Sans Serif" w:cs="Microsoft Sans Serif"/>
          <w:lang w:val="sr-Latn-BA" w:eastAsia="en-US"/>
        </w:rPr>
      </w:pPr>
    </w:p>
    <w:p w14:paraId="362D141B">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b/>
          <w:bCs/>
          <w:lang w:val="sr-Latn-BA" w:eastAsia="en-US"/>
        </w:rPr>
        <w:t>Manija/hipomanija</w:t>
      </w:r>
    </w:p>
    <w:p w14:paraId="7A692560">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Manija/hipomanija se mogu pojaviti kod malog broja pacijenata sa poremećajima raspoloženja koji si primili antidepresive, uključujući venlafaksin. Kao i drugi antidepresivi, venlafaksin treba koristiti oprezno kod pacijenata sa </w:t>
      </w:r>
      <w:r>
        <w:rPr>
          <w:rFonts w:ascii="Microsoft Sans Serif" w:hAnsi="Microsoft Sans Serif" w:cs="Microsoft Sans Serif"/>
          <w:lang w:val="bs-Latn-BA" w:eastAsia="en-US"/>
        </w:rPr>
        <w:t xml:space="preserve">anamnezom </w:t>
      </w:r>
      <w:r>
        <w:rPr>
          <w:rFonts w:ascii="Microsoft Sans Serif" w:hAnsi="Microsoft Sans Serif" w:cs="Microsoft Sans Serif"/>
          <w:lang w:val="sr-Latn-BA" w:eastAsia="en-US"/>
        </w:rPr>
        <w:t xml:space="preserve">ili porodičnom istorijom bipolarnog poremećaja. </w:t>
      </w:r>
    </w:p>
    <w:p w14:paraId="2ECBBE59">
      <w:pPr>
        <w:autoSpaceDE w:val="0"/>
        <w:autoSpaceDN w:val="0"/>
        <w:adjustRightInd w:val="0"/>
        <w:jc w:val="both"/>
        <w:rPr>
          <w:rFonts w:ascii="Microsoft Sans Serif" w:hAnsi="Microsoft Sans Serif" w:cs="Microsoft Sans Serif"/>
          <w:b/>
          <w:bCs/>
          <w:lang w:val="sr-Latn-BA" w:eastAsia="en-US"/>
        </w:rPr>
      </w:pPr>
    </w:p>
    <w:p w14:paraId="59523A84">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Agresija</w:t>
      </w:r>
    </w:p>
    <w:p w14:paraId="429BC028">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Agresija se moće javiti kod malog broja pacijenata koji su primili antidepresive, uključujući venlafaksin. Ovo je zabilježeno prilikom uvođenja lijeka, </w:t>
      </w:r>
      <w:r>
        <w:rPr>
          <w:rFonts w:ascii="Microsoft Sans Serif" w:hAnsi="Microsoft Sans Serif" w:cs="Microsoft Sans Serif"/>
          <w:lang w:val="bs-Latn-BA" w:eastAsia="en-US"/>
        </w:rPr>
        <w:t xml:space="preserve">prilikom </w:t>
      </w:r>
      <w:r>
        <w:rPr>
          <w:rFonts w:ascii="Microsoft Sans Serif" w:hAnsi="Microsoft Sans Serif" w:cs="Microsoft Sans Serif"/>
          <w:lang w:val="sr-Latn-BA" w:eastAsia="en-US"/>
        </w:rPr>
        <w:t xml:space="preserve">promjene doza i prekida liječenja. Kao i drugi antidepresivi, venlafaksin treba koristiti oprezno kod pacijenata sa </w:t>
      </w:r>
      <w:r>
        <w:rPr>
          <w:rFonts w:ascii="Microsoft Sans Serif" w:hAnsi="Microsoft Sans Serif" w:cs="Microsoft Sans Serif"/>
          <w:lang w:val="bs-Latn-BA" w:eastAsia="en-US"/>
        </w:rPr>
        <w:t xml:space="preserve">anamnezom </w:t>
      </w:r>
      <w:r>
        <w:rPr>
          <w:rFonts w:ascii="Microsoft Sans Serif" w:hAnsi="Microsoft Sans Serif" w:cs="Microsoft Sans Serif"/>
          <w:lang w:val="sr-Latn-BA" w:eastAsia="en-US"/>
        </w:rPr>
        <w:t>agresije.</w:t>
      </w:r>
    </w:p>
    <w:p w14:paraId="6C278F14">
      <w:pPr>
        <w:autoSpaceDE w:val="0"/>
        <w:autoSpaceDN w:val="0"/>
        <w:adjustRightInd w:val="0"/>
        <w:jc w:val="both"/>
        <w:rPr>
          <w:rFonts w:ascii="Microsoft Sans Serif" w:hAnsi="Microsoft Sans Serif" w:cs="Microsoft Sans Serif"/>
          <w:b/>
          <w:bCs/>
          <w:lang w:val="sr-Latn-BA" w:eastAsia="en-US"/>
        </w:rPr>
      </w:pPr>
    </w:p>
    <w:p w14:paraId="44A8D638">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Prekid terapije</w:t>
      </w:r>
    </w:p>
    <w:p w14:paraId="1C2F082C">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Poznato je da se efekti prekida terapije javljaju kod antidepresiva, a ponekad ovi efekti mogu biti dugotrajni i ozbiljni. Samoubilačke/suicidne misli i agresija su primjećeni kod pacijenata tokom promjena u režimu doziranja venlafaksina, uključujući i tokom prekida. Stoga, pacijente treba pažljivo pratiti kada se doza smanji ili tokom prekida terapije (videti gore navedeno u dijelu 4.4 – Samoubistvo/suicidne misli ili kliničko pogoršanje i agresija). Pojava apstinencijalnih simptoma kada se liječenje prekida je česta, naročito ako je prekid brz (pogledati dio 4.8). Kod kliničkih </w:t>
      </w:r>
      <w:r>
        <w:rPr>
          <w:rFonts w:ascii="Microsoft Sans Serif" w:hAnsi="Microsoft Sans Serif" w:cs="Microsoft Sans Serif"/>
          <w:lang w:val="bs-Latn-BA" w:eastAsia="en-US"/>
        </w:rPr>
        <w:t>ispitivanja</w:t>
      </w:r>
      <w:r>
        <w:rPr>
          <w:rFonts w:ascii="Microsoft Sans Serif" w:hAnsi="Microsoft Sans Serif" w:cs="Microsoft Sans Serif"/>
          <w:lang w:val="sr-Latn-BA" w:eastAsia="en-US"/>
        </w:rPr>
        <w:t xml:space="preserve">, neželjeni događaji zabilježeni prilikom prekida liječenja su se javili kod otprilike 31% pacijenata liječenih venlafaksinom i kod 17% pacijenta koji su uzimali placebo. </w:t>
      </w:r>
    </w:p>
    <w:p w14:paraId="5359540E">
      <w:pPr>
        <w:autoSpaceDE w:val="0"/>
        <w:autoSpaceDN w:val="0"/>
        <w:adjustRightInd w:val="0"/>
        <w:jc w:val="both"/>
        <w:rPr>
          <w:rFonts w:ascii="Microsoft Sans Serif" w:hAnsi="Microsoft Sans Serif" w:cs="Microsoft Sans Serif"/>
          <w:lang w:val="sr-Latn-BA" w:eastAsia="en-US"/>
        </w:rPr>
      </w:pPr>
    </w:p>
    <w:p w14:paraId="24FA6F49">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Rizik od apstinencijalnih simptoma može zavisiti od nekoliko faktora, uključujući trajanje, dozu terapije i stepen smanjenja doze. Vrtoglavica, osjetni poremećaji (uključujući parasteziju), poremećaji spavanja (uključujući nesanicu i intenzivne snove), nemir ili anksioznost, mučnina i/ili povraćanje, tremor, glavobolje, oštećenje vida i hipertenzija su najčešće prijavljene reakcije. Uopšteno, ovi simptomi su blagi do umjereni, kod nekih pacijenata mogu biti ozbiljnog intenziteta. Obično se pojavljuju tokom prvih nekoliko dana od prekida liječenja, ali postoje i rijetki izvještaji o takvim simptomima kod pacijenata koji su nenamjerno propustili </w:t>
      </w:r>
      <w:r>
        <w:rPr>
          <w:rFonts w:ascii="Microsoft Sans Serif" w:hAnsi="Microsoft Sans Serif" w:cs="Microsoft Sans Serif"/>
          <w:lang w:val="bs-Latn-BA" w:eastAsia="en-US"/>
        </w:rPr>
        <w:t xml:space="preserve">da uzmu </w:t>
      </w:r>
      <w:r>
        <w:rPr>
          <w:rFonts w:ascii="Microsoft Sans Serif" w:hAnsi="Microsoft Sans Serif" w:cs="Microsoft Sans Serif"/>
          <w:lang w:val="sr-Latn-BA" w:eastAsia="en-US"/>
        </w:rPr>
        <w:t xml:space="preserve">lijek. Uopšteno, ovi simptomi su ograničeni i uobičajno nestaju tokom perioda od dvije sedmice, mada kod nekih individua mogu trajati i duže </w:t>
      </w:r>
      <w:r>
        <w:rPr>
          <w:rFonts w:ascii="Microsoft Sans Serif" w:hAnsi="Microsoft Sans Serif" w:cs="Microsoft Sans Serif"/>
          <w:lang w:val="bs-Latn-BA" w:eastAsia="en-US"/>
        </w:rPr>
        <w:t xml:space="preserve">dva do tri </w:t>
      </w:r>
      <w:r>
        <w:rPr>
          <w:rFonts w:ascii="Microsoft Sans Serif" w:hAnsi="Microsoft Sans Serif" w:cs="Microsoft Sans Serif"/>
          <w:lang w:val="sr-Latn-BA" w:eastAsia="en-US"/>
        </w:rPr>
        <w:t xml:space="preserve">mjeseca i više). Stoga se savjetuje da venlafaksin treba postepeno ukidati </w:t>
      </w:r>
      <w:r>
        <w:rPr>
          <w:rFonts w:ascii="Microsoft Sans Serif" w:hAnsi="Microsoft Sans Serif" w:cs="Microsoft Sans Serif"/>
          <w:lang w:val="bs-Latn-BA" w:eastAsia="en-US"/>
        </w:rPr>
        <w:t xml:space="preserve">prilikom </w:t>
      </w:r>
      <w:r>
        <w:rPr>
          <w:rFonts w:ascii="Microsoft Sans Serif" w:hAnsi="Microsoft Sans Serif" w:cs="Microsoft Sans Serif"/>
          <w:lang w:val="sr-Latn-BA" w:eastAsia="en-US"/>
        </w:rPr>
        <w:t xml:space="preserve">prekida liječenja tokom period od nekoliko </w:t>
      </w:r>
      <w:r>
        <w:rPr>
          <w:rFonts w:ascii="Microsoft Sans Serif" w:hAnsi="Microsoft Sans Serif" w:cs="Microsoft Sans Serif"/>
          <w:lang w:val="bs-Latn-BA" w:eastAsia="en-US"/>
        </w:rPr>
        <w:t xml:space="preserve">sedmica </w:t>
      </w:r>
      <w:r>
        <w:rPr>
          <w:rFonts w:ascii="Microsoft Sans Serif" w:hAnsi="Microsoft Sans Serif" w:cs="Microsoft Sans Serif"/>
          <w:lang w:val="sr-Latn-BA" w:eastAsia="en-US"/>
        </w:rPr>
        <w:t>ili mjeseci, u skladu sa pacijentovim potrebama (pogledati dio 4.2). Kod nekih pacijenata, prekid terapije može potrajati mjesecima ili duže.</w:t>
      </w:r>
    </w:p>
    <w:p w14:paraId="368C00F6">
      <w:pPr>
        <w:autoSpaceDE w:val="0"/>
        <w:autoSpaceDN w:val="0"/>
        <w:adjustRightInd w:val="0"/>
        <w:jc w:val="both"/>
        <w:rPr>
          <w:rFonts w:ascii="Microsoft Sans Serif" w:hAnsi="Microsoft Sans Serif" w:cs="Microsoft Sans Serif"/>
          <w:bCs/>
          <w:lang w:val="sr-Latn-BA" w:eastAsia="en-US"/>
        </w:rPr>
      </w:pPr>
    </w:p>
    <w:p w14:paraId="340DB51C">
      <w:pPr>
        <w:pStyle w:val="34"/>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Seksualna disfunkcija</w:t>
      </w:r>
    </w:p>
    <w:p w14:paraId="0CE9C18D">
      <w:pPr>
        <w:autoSpaceDE w:val="0"/>
        <w:autoSpaceDN w:val="0"/>
        <w:adjustRightInd w:val="0"/>
        <w:jc w:val="both"/>
        <w:rPr>
          <w:rFonts w:ascii="Microsoft Sans Serif" w:hAnsi="Microsoft Sans Serif" w:cs="Microsoft Sans Serif"/>
          <w:lang w:val="sr-Latn-BA"/>
        </w:rPr>
      </w:pPr>
      <w:r>
        <w:rPr>
          <w:rFonts w:ascii="Microsoft Sans Serif" w:hAnsi="Microsoft Sans Serif" w:cs="Microsoft Sans Serif"/>
          <w:lang w:val="sr-Latn-BA"/>
        </w:rPr>
        <w:t>Selektivni inhibitori ponovnog preuzimanja serotonina (SSRI)/inhibitori ponovnog preuzimanja norepinefrina (SNRI) mogu izazvati simptome seksualne disfunkcije (pogledati dio 4.8). Bilo je izveštaja o dugotrajnoj seksualnoj disfunkciji gde su se simptomi nastavili uprkos prekidu SSRI/SNRI.</w:t>
      </w:r>
    </w:p>
    <w:p w14:paraId="7EB2F18C">
      <w:pPr>
        <w:autoSpaceDE w:val="0"/>
        <w:autoSpaceDN w:val="0"/>
        <w:adjustRightInd w:val="0"/>
        <w:rPr>
          <w:rFonts w:ascii="Microsoft Sans Serif" w:hAnsi="Microsoft Sans Serif" w:cs="Microsoft Sans Serif"/>
          <w:b/>
          <w:bCs/>
          <w:lang w:val="sr-Latn-BA" w:eastAsia="en-US"/>
        </w:rPr>
      </w:pPr>
    </w:p>
    <w:p w14:paraId="31E971F6">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Akatizija/psihomotorni nemir</w:t>
      </w:r>
    </w:p>
    <w:p w14:paraId="63C5A5A2">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Upotreba venlafaksina je povezana sa razvojom akatizije, karakterisane sa subjektivno neprijatnim ili bolnim nemirom i potrebom </w:t>
      </w:r>
      <w:r>
        <w:rPr>
          <w:rFonts w:ascii="Microsoft Sans Serif" w:hAnsi="Microsoft Sans Serif" w:cs="Microsoft Sans Serif"/>
          <w:lang w:val="bs-Latn-BA" w:eastAsia="en-US"/>
        </w:rPr>
        <w:t xml:space="preserve">za </w:t>
      </w:r>
      <w:r>
        <w:rPr>
          <w:rFonts w:ascii="Microsoft Sans Serif" w:hAnsi="Microsoft Sans Serif" w:cs="Microsoft Sans Serif"/>
          <w:lang w:val="sr-Latn-BA" w:eastAsia="en-US"/>
        </w:rPr>
        <w:t xml:space="preserve">čestim </w:t>
      </w:r>
      <w:r>
        <w:rPr>
          <w:rFonts w:ascii="Microsoft Sans Serif" w:hAnsi="Microsoft Sans Serif" w:cs="Microsoft Sans Serif"/>
          <w:lang w:val="bs-Latn-BA" w:eastAsia="en-US"/>
        </w:rPr>
        <w:t xml:space="preserve">kretanjem, koje je </w:t>
      </w:r>
      <w:r>
        <w:rPr>
          <w:rFonts w:ascii="Microsoft Sans Serif" w:hAnsi="Microsoft Sans Serif" w:cs="Microsoft Sans Serif"/>
          <w:lang w:val="sr-Latn-BA" w:eastAsia="en-US"/>
        </w:rPr>
        <w:t xml:space="preserve">praćeno sa nemogućnošću mirnog stajanja ili sjedenja. Ovo stanje će se najčešće pojaviti tokom prvih par </w:t>
      </w:r>
      <w:r>
        <w:rPr>
          <w:rFonts w:ascii="Microsoft Sans Serif" w:hAnsi="Microsoft Sans Serif" w:cs="Microsoft Sans Serif"/>
          <w:lang w:val="bs-Latn-BA" w:eastAsia="en-US"/>
        </w:rPr>
        <w:t xml:space="preserve">sedmica </w:t>
      </w:r>
      <w:r>
        <w:rPr>
          <w:rFonts w:ascii="Microsoft Sans Serif" w:hAnsi="Microsoft Sans Serif" w:cs="Microsoft Sans Serif"/>
          <w:lang w:val="sr-Latn-BA" w:eastAsia="en-US"/>
        </w:rPr>
        <w:t xml:space="preserve">uzimanja terapije. Kod pacijenata koji razviju ove simptome, povećanje doze može biti štetno. </w:t>
      </w:r>
    </w:p>
    <w:p w14:paraId="30702BB1">
      <w:pPr>
        <w:autoSpaceDE w:val="0"/>
        <w:autoSpaceDN w:val="0"/>
        <w:adjustRightInd w:val="0"/>
        <w:jc w:val="both"/>
        <w:rPr>
          <w:rFonts w:ascii="Microsoft Sans Serif" w:hAnsi="Microsoft Sans Serif" w:cs="Microsoft Sans Serif"/>
          <w:b/>
          <w:bCs/>
          <w:lang w:val="sr-Latn-BA" w:eastAsia="en-US"/>
        </w:rPr>
      </w:pPr>
    </w:p>
    <w:p w14:paraId="5A48F818">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Suva usta</w:t>
      </w:r>
    </w:p>
    <w:p w14:paraId="3C62A5E8">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Suva usta su prijavljena kod 10% pacijenata liječenih venlafaksinom. Ovo može pojačati rizik od pojave karijesa i pacijente treba posavjetovati o važnosti dentalne higijene. </w:t>
      </w:r>
    </w:p>
    <w:p w14:paraId="2F83926B">
      <w:pPr>
        <w:rPr>
          <w:rFonts w:ascii="Microsoft Sans Serif" w:hAnsi="Microsoft Sans Serif" w:eastAsia="Calibri" w:cs="Microsoft Sans Serif"/>
          <w:lang w:val="sr-Latn-BA" w:eastAsia="en-US"/>
        </w:rPr>
      </w:pPr>
    </w:p>
    <w:p w14:paraId="06BB53E3">
      <w:pPr>
        <w:jc w:val="both"/>
        <w:rPr>
          <w:rFonts w:ascii="Microsoft Sans Serif" w:hAnsi="Microsoft Sans Serif" w:cs="Microsoft Sans Serif"/>
          <w:lang w:val="bs-Latn-BA"/>
        </w:rPr>
      </w:pPr>
      <w:r>
        <w:rPr>
          <w:rStyle w:val="30"/>
          <w:rFonts w:ascii="Microsoft Sans Serif" w:hAnsi="Microsoft Sans Serif" w:cs="Microsoft Sans Serif"/>
          <w:b/>
          <w:lang w:val="bs-Latn-BA"/>
        </w:rPr>
        <w:t>Dijabetes</w:t>
      </w:r>
      <w:r>
        <w:rPr>
          <w:rStyle w:val="30"/>
          <w:rFonts w:ascii="Microsoft Sans Serif" w:hAnsi="Microsoft Sans Serif" w:cs="Microsoft Sans Serif"/>
          <w:lang w:val="bs-Latn-BA"/>
        </w:rPr>
        <w:t xml:space="preserve"> </w:t>
      </w:r>
    </w:p>
    <w:p w14:paraId="6594E43E">
      <w:pPr>
        <w:jc w:val="both"/>
        <w:rPr>
          <w:rFonts w:ascii="Microsoft Sans Serif" w:hAnsi="Microsoft Sans Serif" w:cs="Microsoft Sans Serif"/>
          <w:lang w:val="bs-Latn-BA"/>
        </w:rPr>
      </w:pPr>
      <w:r>
        <w:rPr>
          <w:rStyle w:val="30"/>
          <w:rFonts w:ascii="Microsoft Sans Serif" w:hAnsi="Microsoft Sans Serif" w:cs="Microsoft Sans Serif"/>
          <w:lang w:val="bs-Latn-BA"/>
        </w:rPr>
        <w:t>Kod pacijenata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dijabetesom</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liječenje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SSRI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ili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venlafaksinom</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može promijeniti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kontrolu glikemije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Može biti potrebno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prilagoditi</w:t>
      </w:r>
      <w:r>
        <w:rPr>
          <w:rFonts w:ascii="Microsoft Sans Serif" w:hAnsi="Microsoft Sans Serif" w:cs="Microsoft Sans Serif"/>
          <w:lang w:val="bs-Latn-BA"/>
        </w:rPr>
        <w:t xml:space="preserve"> doziranje i</w:t>
      </w:r>
      <w:r>
        <w:rPr>
          <w:rStyle w:val="30"/>
          <w:rFonts w:ascii="Microsoft Sans Serif" w:hAnsi="Microsoft Sans Serif" w:cs="Microsoft Sans Serif"/>
          <w:lang w:val="bs-Latn-BA"/>
        </w:rPr>
        <w:t>nsulina i/ili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oralnih</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antidijabetika</w:t>
      </w:r>
      <w:r>
        <w:rPr>
          <w:rFonts w:ascii="Microsoft Sans Serif" w:hAnsi="Microsoft Sans Serif" w:cs="Microsoft Sans Serif"/>
          <w:lang w:val="bs-Latn-BA"/>
        </w:rPr>
        <w:t>.</w:t>
      </w:r>
    </w:p>
    <w:p w14:paraId="1C050268">
      <w:pPr>
        <w:rPr>
          <w:rFonts w:ascii="Microsoft Sans Serif" w:hAnsi="Microsoft Sans Serif" w:cs="Microsoft Sans Serif"/>
          <w:lang w:val="bs-Latn-BA"/>
        </w:rPr>
      </w:pPr>
    </w:p>
    <w:p w14:paraId="073A0822">
      <w:pPr>
        <w:rPr>
          <w:rFonts w:ascii="Microsoft Sans Serif" w:hAnsi="Microsoft Sans Serif" w:eastAsia="Calibri" w:cs="Microsoft Sans Serif"/>
          <w:b/>
          <w:lang w:val="bs-Latn-BA" w:eastAsia="en-US"/>
        </w:rPr>
      </w:pPr>
      <w:r>
        <w:rPr>
          <w:rFonts w:ascii="Microsoft Sans Serif" w:hAnsi="Microsoft Sans Serif" w:eastAsia="Calibri" w:cs="Microsoft Sans Serif"/>
          <w:b/>
          <w:lang w:val="bs-Latn-BA" w:eastAsia="en-US"/>
        </w:rPr>
        <w:t>Interakcije sa laboratorijskim testovima za određivanje droga</w:t>
      </w:r>
    </w:p>
    <w:p w14:paraId="5856A43E">
      <w:pPr>
        <w:jc w:val="both"/>
        <w:rPr>
          <w:rFonts w:ascii="Microsoft Sans Serif" w:hAnsi="Microsoft Sans Serif" w:cs="Microsoft Sans Serif"/>
          <w:lang w:val="bs-Latn-BA"/>
        </w:rPr>
      </w:pPr>
      <w:r>
        <w:rPr>
          <w:rStyle w:val="30"/>
          <w:rFonts w:ascii="Microsoft Sans Serif" w:hAnsi="Microsoft Sans Serif" w:cs="Microsoft Sans Serif"/>
          <w:lang w:val="bs-Latn-BA"/>
        </w:rPr>
        <w:t>Lažno-pozitivni</w:t>
      </w:r>
      <w:r>
        <w:rPr>
          <w:rFonts w:ascii="Microsoft Sans Serif" w:hAnsi="Microsoft Sans Serif" w:cs="Microsoft Sans Serif"/>
          <w:lang w:val="bs-Latn-BA"/>
        </w:rPr>
        <w:t xml:space="preserve"> rezultati se mogu javiti kod </w:t>
      </w:r>
      <w:r>
        <w:rPr>
          <w:rStyle w:val="30"/>
          <w:rFonts w:ascii="Microsoft Sans Serif" w:hAnsi="Microsoft Sans Serif" w:cs="Microsoft Sans Serif"/>
          <w:lang w:val="bs-Latn-BA"/>
        </w:rPr>
        <w:t>imunoskrining</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testova urina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za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fenciklidin</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w:t>
      </w:r>
      <w:r>
        <w:rPr>
          <w:rFonts w:ascii="Microsoft Sans Serif" w:hAnsi="Microsoft Sans Serif" w:cs="Microsoft Sans Serif"/>
          <w:lang w:val="bs-Latn-BA"/>
        </w:rPr>
        <w:t xml:space="preserve">PCP) </w:t>
      </w:r>
      <w:r>
        <w:rPr>
          <w:rStyle w:val="30"/>
          <w:rFonts w:ascii="Microsoft Sans Serif" w:hAnsi="Microsoft Sans Serif" w:cs="Microsoft Sans Serif"/>
          <w:lang w:val="bs-Latn-BA"/>
        </w:rPr>
        <w:t>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amfetamin</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kod</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pacijenata koji uzimaju</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venlafaksin</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Ovo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je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zbog nedostatka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specifičnosti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skrining</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testova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Lažno-pozitivni rezultati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testa mogu</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se očekivati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za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nekoliko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dana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nakon prekida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terapije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venlafaksinom</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Potvrdne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testove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kao što</w:t>
      </w:r>
      <w:r>
        <w:rPr>
          <w:rFonts w:ascii="Microsoft Sans Serif" w:hAnsi="Microsoft Sans Serif" w:cs="Microsoft Sans Serif"/>
          <w:lang w:val="bs-Latn-BA"/>
        </w:rPr>
        <w:t xml:space="preserve"> su </w:t>
      </w:r>
      <w:r>
        <w:rPr>
          <w:rStyle w:val="30"/>
          <w:rFonts w:ascii="Microsoft Sans Serif" w:hAnsi="Microsoft Sans Serif" w:cs="Microsoft Sans Serif"/>
          <w:lang w:val="bs-Latn-BA"/>
        </w:rPr>
        <w:t>gasna hromatografija/masna spektrometrija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razlikovaće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venlafaksin</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od</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PCP</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amfetamina</w:t>
      </w:r>
      <w:r>
        <w:rPr>
          <w:rFonts w:ascii="Microsoft Sans Serif" w:hAnsi="Microsoft Sans Serif" w:cs="Microsoft Sans Serif"/>
          <w:lang w:val="bs-Latn-BA"/>
        </w:rPr>
        <w:t>.</w:t>
      </w:r>
    </w:p>
    <w:p w14:paraId="1FB0010E">
      <w:pPr>
        <w:jc w:val="both"/>
        <w:rPr>
          <w:rFonts w:ascii="Microsoft Sans Serif" w:hAnsi="Microsoft Sans Serif" w:eastAsia="Calibri" w:cs="Microsoft Sans Serif"/>
          <w:lang w:val="bs-Latn-BA" w:eastAsia="en-US"/>
        </w:rPr>
      </w:pPr>
    </w:p>
    <w:p w14:paraId="0EE7B897">
      <w:pPr>
        <w:jc w:val="both"/>
        <w:rPr>
          <w:rFonts w:ascii="Microsoft Sans Serif" w:hAnsi="Microsoft Sans Serif" w:cs="Microsoft Sans Serif"/>
          <w:lang w:val="sr-Latn-BA"/>
        </w:rPr>
      </w:pPr>
      <w:r>
        <w:rPr>
          <w:rFonts w:ascii="Microsoft Sans Serif" w:hAnsi="Microsoft Sans Serif" w:cs="Microsoft Sans Serif"/>
          <w:lang w:val="sr-Latn-BA"/>
        </w:rPr>
        <w:t>Lijek ZANFEXA XR sadrži boju Sunset žuta E110, koja može prouzrokovati alergijski tip reakcija.</w:t>
      </w:r>
    </w:p>
    <w:p w14:paraId="03486E07">
      <w:pPr>
        <w:jc w:val="both"/>
        <w:rPr>
          <w:rFonts w:ascii="Microsoft Sans Serif" w:hAnsi="Microsoft Sans Serif" w:cs="Microsoft Sans Serif"/>
          <w:b/>
          <w:lang w:val="sr-Latn-BA"/>
        </w:rPr>
      </w:pPr>
      <w:r>
        <w:rPr>
          <w:rFonts w:ascii="Microsoft Sans Serif" w:hAnsi="Microsoft Sans Serif" w:cs="Microsoft Sans Serif"/>
          <w:lang w:val="sr-Latn-BA"/>
        </w:rPr>
        <w:t xml:space="preserve">Lijek ZANFEXA XR sadži saharozu. </w:t>
      </w:r>
      <w:r>
        <w:rPr>
          <w:rFonts w:ascii="Microsoft Sans Serif" w:hAnsi="Microsoft Sans Serif" w:cs="Microsoft Sans Serif"/>
          <w:lang w:val="sr-Latn-BA" w:eastAsia="en-US"/>
        </w:rPr>
        <w:t xml:space="preserve">Pacijenti sa rijetkim nasljednim poremećajem nepodnošenja fruktoze, glukoza-galaktoza malapsorpcijom ili saharoza-izomaltaza insuficijencijom ne smiju uzimati ovaj lijek. </w:t>
      </w:r>
    </w:p>
    <w:p w14:paraId="0CB1C3BC">
      <w:pPr>
        <w:jc w:val="both"/>
        <w:rPr>
          <w:rFonts w:ascii="Microsoft Sans Serif" w:hAnsi="Microsoft Sans Serif" w:cs="Microsoft Sans Serif"/>
          <w:b/>
          <w:lang w:val="sr-Latn-BA"/>
        </w:rPr>
      </w:pPr>
    </w:p>
    <w:p w14:paraId="1AAEB7D4">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4.5 </w:t>
      </w:r>
      <w:r>
        <w:rPr>
          <w:rFonts w:ascii="Microsoft Sans Serif" w:hAnsi="Microsoft Sans Serif" w:cs="Microsoft Sans Serif"/>
          <w:b/>
          <w:lang w:val="sr-Latn-BA"/>
        </w:rPr>
        <w:tab/>
      </w:r>
      <w:r>
        <w:rPr>
          <w:rFonts w:ascii="Microsoft Sans Serif" w:hAnsi="Microsoft Sans Serif" w:cs="Microsoft Sans Serif"/>
          <w:b/>
          <w:lang w:val="sr-Latn-BA"/>
        </w:rPr>
        <w:t xml:space="preserve">Interakcije sa drugim lijekovima i drugi oblici interakcija </w:t>
      </w:r>
    </w:p>
    <w:p w14:paraId="3BCEF0C9">
      <w:pPr>
        <w:tabs>
          <w:tab w:val="left" w:pos="567"/>
        </w:tabs>
        <w:jc w:val="both"/>
        <w:rPr>
          <w:rFonts w:ascii="Microsoft Sans Serif" w:hAnsi="Microsoft Sans Serif" w:cs="Microsoft Sans Serif"/>
          <w:b/>
          <w:lang w:val="sr-Latn-BA"/>
        </w:rPr>
      </w:pPr>
    </w:p>
    <w:p w14:paraId="0CF82321">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Inhibitori monoamino oksidaze (MAOI)</w:t>
      </w:r>
    </w:p>
    <w:p w14:paraId="26686B87">
      <w:pPr>
        <w:autoSpaceDE w:val="0"/>
        <w:autoSpaceDN w:val="0"/>
        <w:adjustRightInd w:val="0"/>
        <w:jc w:val="both"/>
        <w:rPr>
          <w:rFonts w:ascii="Microsoft Sans Serif" w:hAnsi="Microsoft Sans Serif" w:cs="Microsoft Sans Serif"/>
          <w:bCs/>
          <w:u w:val="single"/>
          <w:lang w:val="sr-Latn-BA" w:eastAsia="en-US"/>
        </w:rPr>
      </w:pPr>
      <w:r>
        <w:rPr>
          <w:rFonts w:ascii="Microsoft Sans Serif" w:hAnsi="Microsoft Sans Serif" w:cs="Microsoft Sans Serif"/>
          <w:bCs/>
          <w:u w:val="single"/>
          <w:lang w:val="sr-Latn-BA" w:eastAsia="en-US"/>
        </w:rPr>
        <w:t>Ireverzibilni neselektivni inhibitori monoaminooksidaze</w:t>
      </w:r>
    </w:p>
    <w:p w14:paraId="0EF1D8E9">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Venlafaksin se ne smije koristiti u kombinaciji sa ireverzibilnim neselektivnim inhibitorima monoaminooksidaze. Venlafaksin se ne smije uvoditi najmanje 14 dana nakon prekida terapije ireverzibilnim neselektivnim inhibitorima monoamino oksidaze. Venlafaksin se mora prestati uzimati najmanje </w:t>
      </w:r>
      <w:r>
        <w:rPr>
          <w:rFonts w:ascii="Microsoft Sans Serif" w:hAnsi="Microsoft Sans Serif" w:cs="Microsoft Sans Serif"/>
          <w:lang w:val="bs-Latn-BA" w:eastAsia="en-US"/>
        </w:rPr>
        <w:t>sedam</w:t>
      </w:r>
      <w:r>
        <w:rPr>
          <w:rFonts w:ascii="Microsoft Sans Serif" w:hAnsi="Microsoft Sans Serif" w:cs="Microsoft Sans Serif"/>
          <w:lang w:val="sr-Latn-BA" w:eastAsia="en-US"/>
        </w:rPr>
        <w:t xml:space="preserve"> dana prije početka uzimanja terapije ireverzibilnim neselektivnim inhibitorima monoaminooksidaze (pogledati dijelove 4.3 i 4.4). </w:t>
      </w:r>
    </w:p>
    <w:p w14:paraId="6F1B2554">
      <w:pPr>
        <w:autoSpaceDE w:val="0"/>
        <w:autoSpaceDN w:val="0"/>
        <w:adjustRightInd w:val="0"/>
        <w:jc w:val="both"/>
        <w:rPr>
          <w:rFonts w:ascii="Microsoft Sans Serif" w:hAnsi="Microsoft Sans Serif" w:cs="Microsoft Sans Serif"/>
          <w:b/>
          <w:bCs/>
          <w:lang w:val="sr-Latn-BA" w:eastAsia="en-US"/>
        </w:rPr>
      </w:pPr>
    </w:p>
    <w:p w14:paraId="7F73FAAD">
      <w:pPr>
        <w:autoSpaceDE w:val="0"/>
        <w:autoSpaceDN w:val="0"/>
        <w:adjustRightInd w:val="0"/>
        <w:jc w:val="both"/>
        <w:rPr>
          <w:rFonts w:ascii="Microsoft Sans Serif" w:hAnsi="Microsoft Sans Serif" w:cs="Microsoft Sans Serif"/>
          <w:bCs/>
          <w:u w:val="single"/>
          <w:lang w:val="sr-Latn-BA" w:eastAsia="en-US"/>
        </w:rPr>
      </w:pPr>
      <w:r>
        <w:rPr>
          <w:rFonts w:ascii="Microsoft Sans Serif" w:hAnsi="Microsoft Sans Serif" w:cs="Microsoft Sans Serif"/>
          <w:bCs/>
          <w:u w:val="single"/>
          <w:lang w:val="sr-Latn-BA" w:eastAsia="en-US"/>
        </w:rPr>
        <w:t>Reverzibilni, selektivni inhibitori monoaminooksidaze (moklobemid)</w:t>
      </w:r>
    </w:p>
    <w:p w14:paraId="1F64C618">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Zbog rizika od serotoninskog sindroma, </w:t>
      </w:r>
      <w:r>
        <w:rPr>
          <w:rFonts w:ascii="Microsoft Sans Serif" w:hAnsi="Microsoft Sans Serif" w:cs="Microsoft Sans Serif"/>
          <w:lang w:val="bs-Latn-BA" w:eastAsia="en-US"/>
        </w:rPr>
        <w:t xml:space="preserve">ne preporučuje se </w:t>
      </w:r>
      <w:r>
        <w:rPr>
          <w:rFonts w:ascii="Microsoft Sans Serif" w:hAnsi="Microsoft Sans Serif" w:cs="Microsoft Sans Serif"/>
          <w:lang w:val="sr-Latn-BA" w:eastAsia="en-US"/>
        </w:rPr>
        <w:t xml:space="preserve">kombinacija venlafaksina sa reverzibilnim i selektivnim inhibitorima monoaminooksidaze (kao što je moklobemid). </w:t>
      </w:r>
      <w:r>
        <w:rPr>
          <w:rFonts w:ascii="Microsoft Sans Serif" w:hAnsi="Microsoft Sans Serif" w:cs="Microsoft Sans Serif"/>
          <w:lang w:val="bs-Latn-BA" w:eastAsia="en-US"/>
        </w:rPr>
        <w:t xml:space="preserve">Nakon </w:t>
      </w:r>
      <w:r>
        <w:rPr>
          <w:rFonts w:ascii="Microsoft Sans Serif" w:hAnsi="Microsoft Sans Serif" w:cs="Microsoft Sans Serif"/>
          <w:lang w:val="sr-Latn-BA" w:eastAsia="en-US"/>
        </w:rPr>
        <w:t xml:space="preserve">liječenja sa reverzibilnim inhibitorima monoaminooksidaze, </w:t>
      </w:r>
      <w:r>
        <w:rPr>
          <w:rFonts w:ascii="Microsoft Sans Serif" w:hAnsi="Microsoft Sans Serif" w:cs="Microsoft Sans Serif"/>
          <w:lang w:val="bs-Latn-BA" w:eastAsia="en-US"/>
        </w:rPr>
        <w:t xml:space="preserve">može se napraviti i razmak </w:t>
      </w:r>
      <w:r>
        <w:rPr>
          <w:rFonts w:ascii="Microsoft Sans Serif" w:hAnsi="Microsoft Sans Serif" w:cs="Microsoft Sans Serif"/>
          <w:lang w:val="sr-Latn-BA" w:eastAsia="en-US"/>
        </w:rPr>
        <w:t xml:space="preserve">kraći od 14 dana </w:t>
      </w:r>
      <w:r>
        <w:rPr>
          <w:rFonts w:ascii="Microsoft Sans Serif" w:hAnsi="Microsoft Sans Serif" w:cs="Microsoft Sans Serif"/>
          <w:lang w:val="bs-Latn-BA" w:eastAsia="en-US"/>
        </w:rPr>
        <w:t xml:space="preserve">prije </w:t>
      </w:r>
      <w:r>
        <w:rPr>
          <w:rFonts w:ascii="Microsoft Sans Serif" w:hAnsi="Microsoft Sans Serif" w:cs="Microsoft Sans Serif"/>
          <w:lang w:val="sr-Latn-BA" w:eastAsia="en-US"/>
        </w:rPr>
        <w:t xml:space="preserve">uvođenja terapije venlafaksinom. Preporućuje se da terapija venlafaksinom bude prekinuta najmanje </w:t>
      </w:r>
      <w:r>
        <w:rPr>
          <w:rFonts w:ascii="Microsoft Sans Serif" w:hAnsi="Microsoft Sans Serif" w:cs="Microsoft Sans Serif"/>
          <w:lang w:val="bs-Latn-BA" w:eastAsia="en-US"/>
        </w:rPr>
        <w:t>sedam</w:t>
      </w:r>
      <w:r>
        <w:rPr>
          <w:rFonts w:ascii="Microsoft Sans Serif" w:hAnsi="Microsoft Sans Serif" w:cs="Microsoft Sans Serif"/>
          <w:lang w:val="sr-Latn-BA" w:eastAsia="en-US"/>
        </w:rPr>
        <w:t xml:space="preserve"> dana prije početka terapije reverzibilnim inhibitorima monoaminooksidaze (pogledati dio 4.4).</w:t>
      </w:r>
    </w:p>
    <w:p w14:paraId="78105B4F">
      <w:pPr>
        <w:autoSpaceDE w:val="0"/>
        <w:autoSpaceDN w:val="0"/>
        <w:adjustRightInd w:val="0"/>
        <w:jc w:val="both"/>
        <w:rPr>
          <w:rFonts w:ascii="Microsoft Sans Serif" w:hAnsi="Microsoft Sans Serif" w:cs="Microsoft Sans Serif"/>
          <w:lang w:val="sr-Latn-BA" w:eastAsia="en-US"/>
        </w:rPr>
      </w:pPr>
    </w:p>
    <w:p w14:paraId="268BE8AD">
      <w:pPr>
        <w:autoSpaceDE w:val="0"/>
        <w:autoSpaceDN w:val="0"/>
        <w:adjustRightInd w:val="0"/>
        <w:jc w:val="both"/>
        <w:rPr>
          <w:rFonts w:ascii="Microsoft Sans Serif" w:hAnsi="Microsoft Sans Serif" w:cs="Microsoft Sans Serif"/>
          <w:u w:val="single"/>
          <w:lang w:val="sr-Latn-BA" w:eastAsia="en-US"/>
        </w:rPr>
      </w:pPr>
      <w:r>
        <w:rPr>
          <w:rFonts w:ascii="Microsoft Sans Serif" w:hAnsi="Microsoft Sans Serif" w:cs="Microsoft Sans Serif"/>
          <w:bCs/>
          <w:u w:val="single"/>
          <w:lang w:val="sr-Latn-BA" w:eastAsia="en-US"/>
        </w:rPr>
        <w:t>Reverzibilni, neselektivni inhibitori monoaminooksidaze (linezolid)</w:t>
      </w:r>
    </w:p>
    <w:p w14:paraId="6069FBCE">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Antibiotski linezolid ja slab reverzibilni, neselektivan inhibitor monoaminooksidaze i ne treba biti davan pacijentima koji se liječe venlafaksinom (pogledati dio 4.4). Ozbiljna neželjena dejstva su zabilježena kod pacijenata koji su nedavno prekinuli terapiju inhibitorima monoaminooksidaze i započeli liječenje sa venlafaksinom, ili su nedavno prekinuli terapiju venlafaksinom pred uvođenje terapije inhibitorima monoaminooksidaze. Ove reakcije uključuju tremor, mioklonus, dijaforezu, nauzeju, povraćanje, crvenilo, vrtoglavicu i hipertermiju sa pojavama koje liče neuroleptičkom malignom sindromu, napadima i smrti. </w:t>
      </w:r>
    </w:p>
    <w:p w14:paraId="5CEDE833">
      <w:pPr>
        <w:autoSpaceDE w:val="0"/>
        <w:autoSpaceDN w:val="0"/>
        <w:adjustRightInd w:val="0"/>
        <w:jc w:val="both"/>
        <w:rPr>
          <w:rFonts w:ascii="Microsoft Sans Serif" w:hAnsi="Microsoft Sans Serif" w:cs="Microsoft Sans Serif"/>
          <w:b/>
          <w:bCs/>
          <w:lang w:val="sr-Latn-BA" w:eastAsia="en-US"/>
        </w:rPr>
      </w:pPr>
    </w:p>
    <w:p w14:paraId="2DF1C89E">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Serotoninski sindrom</w:t>
      </w:r>
    </w:p>
    <w:p w14:paraId="2FAA11F1">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Kao ostali serotoninski </w:t>
      </w:r>
      <w:r>
        <w:rPr>
          <w:rFonts w:ascii="Microsoft Sans Serif" w:hAnsi="Microsoft Sans Serif" w:cs="Microsoft Sans Serif"/>
          <w:lang w:val="bs-Latn-BA" w:eastAsia="en-US"/>
        </w:rPr>
        <w:t>lijekovi</w:t>
      </w:r>
      <w:r>
        <w:rPr>
          <w:rFonts w:ascii="Microsoft Sans Serif" w:hAnsi="Microsoft Sans Serif" w:cs="Microsoft Sans Serif"/>
          <w:lang w:val="sr-Latn-BA" w:eastAsia="en-US"/>
        </w:rPr>
        <w:t xml:space="preserve">, serotoninski sindrom, potencijalno životo-ugrožavajuće stanje, se može desiti sa liječenjem venlafaksinom, naročito sa istovremenom upotrebom ostalih </w:t>
      </w:r>
      <w:r>
        <w:rPr>
          <w:rFonts w:ascii="Microsoft Sans Serif" w:hAnsi="Microsoft Sans Serif" w:cs="Microsoft Sans Serif"/>
          <w:lang w:val="bs-Latn-BA" w:eastAsia="en-US"/>
        </w:rPr>
        <w:t xml:space="preserve">lijekova </w:t>
      </w:r>
      <w:r>
        <w:rPr>
          <w:rFonts w:ascii="Microsoft Sans Serif" w:hAnsi="Microsoft Sans Serif" w:cs="Microsoft Sans Serif"/>
          <w:lang w:val="sr-Latn-BA" w:eastAsia="en-US"/>
        </w:rPr>
        <w:t>koji mogu afektirati serotoninski neurotransmiterski sistem (uključujući triptane, SSRI, SNRI, triciklične antidepresive, amfetamine, litijum, sibutramin, biljka kantarion [</w:t>
      </w:r>
      <w:r>
        <w:rPr>
          <w:rFonts w:ascii="Microsoft Sans Serif" w:hAnsi="Microsoft Sans Serif" w:cs="Microsoft Sans Serif"/>
          <w:i/>
          <w:iCs/>
          <w:lang w:val="sr-Latn-BA" w:eastAsia="en-US"/>
        </w:rPr>
        <w:t>Hypericum perforatum</w:t>
      </w:r>
      <w:r>
        <w:rPr>
          <w:rFonts w:ascii="Microsoft Sans Serif" w:hAnsi="Microsoft Sans Serif" w:cs="Microsoft Sans Serif"/>
          <w:lang w:val="sr-Latn-BA" w:eastAsia="en-US"/>
        </w:rPr>
        <w:t xml:space="preserve">]‚ opioidi [npr. buprenorfin, fentanil i njegove analoge, tramadol, dekstrometorfan, tapentadol, petidine, metadon i pentazocin]), sa medicinskim </w:t>
      </w:r>
      <w:r>
        <w:rPr>
          <w:rFonts w:ascii="Microsoft Sans Serif" w:hAnsi="Microsoft Sans Serif" w:cs="Microsoft Sans Serif"/>
          <w:lang w:val="bs-Latn-BA" w:eastAsia="en-US"/>
        </w:rPr>
        <w:t xml:space="preserve">lijekovima </w:t>
      </w:r>
      <w:r>
        <w:rPr>
          <w:rFonts w:ascii="Microsoft Sans Serif" w:hAnsi="Microsoft Sans Serif" w:cs="Microsoft Sans Serif"/>
          <w:lang w:val="sr-Latn-BA" w:eastAsia="en-US"/>
        </w:rPr>
        <w:t>koji narušavaju metabolizma serotonina (kao što su MAOI, npr. metilensko plavo), sa serotoninskim prekurzorima  (kao sto je triptofan) ili sa antipsihoticima ili druge dopaminske antagoniste (pogledati dio 4.3 i 4.4).</w:t>
      </w:r>
    </w:p>
    <w:p w14:paraId="2A7F1B66">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Ako je istovremeno liječenje venlafaksinom i SSRI, SNRI, ili agonistima serotoninskih receptora (triptan) klinički opravdano, savjetuje se pažljivo </w:t>
      </w:r>
      <w:r>
        <w:rPr>
          <w:rFonts w:ascii="Microsoft Sans Serif" w:hAnsi="Microsoft Sans Serif" w:cs="Microsoft Sans Serif"/>
          <w:lang w:val="bs-Latn-BA" w:eastAsia="en-US"/>
        </w:rPr>
        <w:t xml:space="preserve">praćenje </w:t>
      </w:r>
      <w:r>
        <w:rPr>
          <w:rFonts w:ascii="Microsoft Sans Serif" w:hAnsi="Microsoft Sans Serif" w:cs="Microsoft Sans Serif"/>
          <w:lang w:val="sr-Latn-BA" w:eastAsia="en-US"/>
        </w:rPr>
        <w:t>pacijenata, naročito za vrijeme početnog liječenja i povećanje doze. Istovremena upotreba venlafaksina sa serotoninskim prekursorima (kao triptofan) nije preporučljiva (pogledati dio 4.4.)</w:t>
      </w:r>
    </w:p>
    <w:p w14:paraId="694AF184">
      <w:pPr>
        <w:autoSpaceDE w:val="0"/>
        <w:autoSpaceDN w:val="0"/>
        <w:adjustRightInd w:val="0"/>
        <w:jc w:val="both"/>
        <w:rPr>
          <w:rFonts w:ascii="Microsoft Sans Serif" w:hAnsi="Microsoft Sans Serif" w:cs="Microsoft Sans Serif"/>
          <w:lang w:val="sr-Latn-BA" w:eastAsia="en-US"/>
        </w:rPr>
      </w:pPr>
    </w:p>
    <w:p w14:paraId="7B205082">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CNS-aktivne supstance</w:t>
      </w:r>
    </w:p>
    <w:p w14:paraId="21BD7939">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Rizik upotrebe venlafaksina u kombinaciji sa ostalim CNS-aktivnim substancama nije sistematski procjenjivana. Zbog toga se savjetuje pažnja kada se venlafaksin kombinuje sa ostalim CNS-aktivnim supstancama.</w:t>
      </w:r>
    </w:p>
    <w:p w14:paraId="7CE04C0E">
      <w:pPr>
        <w:autoSpaceDE w:val="0"/>
        <w:autoSpaceDN w:val="0"/>
        <w:adjustRightInd w:val="0"/>
        <w:jc w:val="both"/>
        <w:rPr>
          <w:rFonts w:ascii="Microsoft Sans Serif" w:hAnsi="Microsoft Sans Serif" w:cs="Microsoft Sans Serif"/>
          <w:lang w:val="sr-Latn-BA" w:eastAsia="en-US"/>
        </w:rPr>
      </w:pPr>
    </w:p>
    <w:p w14:paraId="43D2B8CF">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Etanol</w:t>
      </w:r>
    </w:p>
    <w:p w14:paraId="62FBE687">
      <w:pPr>
        <w:autoSpaceDE w:val="0"/>
        <w:autoSpaceDN w:val="0"/>
        <w:adjustRightInd w:val="0"/>
        <w:jc w:val="both"/>
        <w:rPr>
          <w:rFonts w:ascii="Microsoft Sans Serif" w:hAnsi="Microsoft Sans Serif" w:cs="Microsoft Sans Serif"/>
          <w:lang w:val="bs-Latn-BA" w:eastAsia="en-US"/>
        </w:rPr>
      </w:pPr>
      <w:r>
        <w:rPr>
          <w:rFonts w:ascii="Microsoft Sans Serif" w:hAnsi="Microsoft Sans Serif" w:cs="Microsoft Sans Serif"/>
          <w:lang w:val="sr-Latn-BA" w:eastAsia="en-US"/>
        </w:rPr>
        <w:t>Pacijente treba savjetovati da ne piju alkohol, uzimajući u obzir njegov uticaj na CNS i mogućnost kliničkog pogoršanja psihijatrijskih stanja kao i mogućnost neželjenih interakcija s venlafaksinom, uključujući efekte depresije CNS-a.</w:t>
      </w:r>
    </w:p>
    <w:p w14:paraId="1945B695">
      <w:pPr>
        <w:autoSpaceDE w:val="0"/>
        <w:autoSpaceDN w:val="0"/>
        <w:adjustRightInd w:val="0"/>
        <w:rPr>
          <w:rFonts w:ascii="Microsoft Sans Serif" w:hAnsi="Microsoft Sans Serif" w:cs="Microsoft Sans Serif"/>
          <w:bCs/>
          <w:lang w:val="sr-Latn-BA" w:eastAsia="en-US"/>
        </w:rPr>
      </w:pPr>
    </w:p>
    <w:p w14:paraId="044F13F2">
      <w:pPr>
        <w:autoSpaceDE w:val="0"/>
        <w:autoSpaceDN w:val="0"/>
        <w:adjustRightInd w:val="0"/>
        <w:rPr>
          <w:rFonts w:ascii="Microsoft Sans Serif" w:hAnsi="Microsoft Sans Serif" w:cs="Microsoft Sans Serif"/>
          <w:lang w:val="bs-Latn-BA"/>
        </w:rPr>
      </w:pPr>
      <w:r>
        <w:rPr>
          <w:rStyle w:val="30"/>
          <w:rFonts w:ascii="Microsoft Sans Serif" w:hAnsi="Microsoft Sans Serif" w:cs="Microsoft Sans Serif"/>
          <w:b/>
          <w:lang w:val="bs-Latn-BA"/>
        </w:rPr>
        <w:t>Lijekovi</w:t>
      </w:r>
      <w:r>
        <w:rPr>
          <w:rFonts w:ascii="Microsoft Sans Serif" w:hAnsi="Microsoft Sans Serif" w:cs="Microsoft Sans Serif"/>
          <w:b/>
          <w:lang w:val="bs-Latn-BA"/>
        </w:rPr>
        <w:t xml:space="preserve"> </w:t>
      </w:r>
      <w:r>
        <w:rPr>
          <w:rStyle w:val="30"/>
          <w:rFonts w:ascii="Microsoft Sans Serif" w:hAnsi="Microsoft Sans Serif" w:cs="Microsoft Sans Serif"/>
          <w:b/>
          <w:lang w:val="bs-Latn-BA"/>
        </w:rPr>
        <w:t>koji produžavaju</w:t>
      </w:r>
      <w:r>
        <w:rPr>
          <w:rFonts w:ascii="Microsoft Sans Serif" w:hAnsi="Microsoft Sans Serif" w:cs="Microsoft Sans Serif"/>
          <w:b/>
          <w:lang w:val="bs-Latn-BA"/>
        </w:rPr>
        <w:t xml:space="preserve"> </w:t>
      </w:r>
      <w:r>
        <w:rPr>
          <w:rStyle w:val="30"/>
          <w:rFonts w:ascii="Microsoft Sans Serif" w:hAnsi="Microsoft Sans Serif" w:cs="Microsoft Sans Serif"/>
          <w:b/>
          <w:lang w:val="bs-Latn-BA"/>
        </w:rPr>
        <w:t>QT interval</w:t>
      </w:r>
    </w:p>
    <w:p w14:paraId="7810AEE5">
      <w:pPr>
        <w:autoSpaceDE w:val="0"/>
        <w:autoSpaceDN w:val="0"/>
        <w:adjustRightInd w:val="0"/>
        <w:rPr>
          <w:rFonts w:ascii="Microsoft Sans Serif" w:hAnsi="Microsoft Sans Serif" w:cs="Microsoft Sans Serif"/>
          <w:lang w:val="bs-Latn-BA"/>
        </w:rPr>
      </w:pPr>
      <w:r>
        <w:rPr>
          <w:rStyle w:val="30"/>
          <w:rFonts w:ascii="Microsoft Sans Serif" w:hAnsi="Microsoft Sans Serif" w:cs="Microsoft Sans Serif"/>
          <w:lang w:val="bs-Latn-BA"/>
        </w:rPr>
        <w:t>Rizik od</w:t>
      </w:r>
      <w:r>
        <w:rPr>
          <w:rFonts w:ascii="Microsoft Sans Serif" w:hAnsi="Microsoft Sans Serif" w:cs="Microsoft Sans Serif"/>
          <w:lang w:val="bs-Latn-BA"/>
        </w:rPr>
        <w:t xml:space="preserve"> produžavanja </w:t>
      </w:r>
      <w:r>
        <w:rPr>
          <w:rStyle w:val="30"/>
          <w:rFonts w:ascii="Microsoft Sans Serif" w:hAnsi="Microsoft Sans Serif" w:cs="Microsoft Sans Serif"/>
          <w:lang w:val="bs-Latn-BA"/>
        </w:rPr>
        <w:t>QTc</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intervala i/ili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ventrikularne aritmije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w:t>
      </w:r>
      <w:r>
        <w:rPr>
          <w:rFonts w:ascii="Microsoft Sans Serif" w:hAnsi="Microsoft Sans Serif" w:cs="Microsoft Sans Serif"/>
          <w:lang w:val="bs-Latn-BA"/>
        </w:rPr>
        <w:t xml:space="preserve">npr. </w:t>
      </w:r>
      <w:r>
        <w:rPr>
          <w:rStyle w:val="30"/>
          <w:rFonts w:ascii="Microsoft Sans Serif" w:hAnsi="Microsoft Sans Serif" w:cs="Microsoft Sans Serif"/>
          <w:lang w:val="bs-Latn-BA"/>
        </w:rPr>
        <w:t>TdP</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se povećava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istovremenom primjenom</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drugih lijekova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koji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produžavaju</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QT</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interval</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Istovremenu primjenu</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takvih</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lijekova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treba izbjegavati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w:t>
      </w:r>
      <w:r>
        <w:rPr>
          <w:rFonts w:ascii="Microsoft Sans Serif" w:hAnsi="Microsoft Sans Serif" w:cs="Microsoft Sans Serif"/>
          <w:lang w:val="bs-Latn-BA"/>
        </w:rPr>
        <w:t>pogledati dio 4.4).</w:t>
      </w:r>
    </w:p>
    <w:p w14:paraId="781559A0">
      <w:pPr>
        <w:autoSpaceDE w:val="0"/>
        <w:autoSpaceDN w:val="0"/>
        <w:adjustRightInd w:val="0"/>
        <w:rPr>
          <w:rFonts w:ascii="Microsoft Sans Serif" w:hAnsi="Microsoft Sans Serif" w:cs="Microsoft Sans Serif"/>
          <w:lang w:val="bs-Latn-BA"/>
        </w:rPr>
      </w:pPr>
      <w:r>
        <w:rPr>
          <w:rStyle w:val="30"/>
          <w:rFonts w:ascii="Microsoft Sans Serif" w:hAnsi="Microsoft Sans Serif" w:cs="Microsoft Sans Serif"/>
          <w:lang w:val="bs-Latn-BA"/>
        </w:rPr>
        <w:t>Relevantne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klase</w:t>
      </w:r>
      <w:r>
        <w:rPr>
          <w:rFonts w:ascii="Microsoft Sans Serif" w:hAnsi="Microsoft Sans Serif" w:cs="Microsoft Sans Serif"/>
          <w:lang w:val="bs-Latn-BA"/>
        </w:rPr>
        <w:t xml:space="preserve"> lijekova </w:t>
      </w:r>
      <w:r>
        <w:rPr>
          <w:rStyle w:val="30"/>
          <w:rFonts w:ascii="Microsoft Sans Serif" w:hAnsi="Microsoft Sans Serif" w:cs="Microsoft Sans Serif"/>
          <w:lang w:val="bs-Latn-BA"/>
        </w:rPr>
        <w:t>uključuju</w:t>
      </w:r>
      <w:r>
        <w:rPr>
          <w:rFonts w:ascii="Microsoft Sans Serif" w:hAnsi="Microsoft Sans Serif" w:cs="Microsoft Sans Serif"/>
          <w:lang w:val="bs-Latn-BA"/>
        </w:rPr>
        <w:t>:</w:t>
      </w:r>
    </w:p>
    <w:p w14:paraId="61995E2C">
      <w:pPr>
        <w:pStyle w:val="33"/>
        <w:numPr>
          <w:ilvl w:val="0"/>
          <w:numId w:val="4"/>
        </w:numPr>
        <w:autoSpaceDE w:val="0"/>
        <w:autoSpaceDN w:val="0"/>
        <w:adjustRightInd w:val="0"/>
        <w:ind w:left="180" w:hanging="180"/>
        <w:rPr>
          <w:rFonts w:ascii="Microsoft Sans Serif" w:hAnsi="Microsoft Sans Serif" w:cs="Microsoft Sans Serif"/>
          <w:lang w:val="bs-Latn-BA"/>
        </w:rPr>
      </w:pPr>
      <w:r>
        <w:rPr>
          <w:rFonts w:ascii="Microsoft Sans Serif" w:hAnsi="Microsoft Sans Serif" w:cs="Microsoft Sans Serif"/>
          <w:lang w:val="bs-Latn-BA"/>
        </w:rPr>
        <w:t xml:space="preserve">antiaritmike klase </w:t>
      </w:r>
      <w:r>
        <w:rPr>
          <w:rStyle w:val="30"/>
          <w:rFonts w:ascii="Microsoft Sans Serif" w:hAnsi="Microsoft Sans Serif" w:cs="Microsoft Sans Serif"/>
          <w:lang w:val="bs-Latn-BA"/>
        </w:rPr>
        <w:t>Ia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III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w:t>
      </w:r>
      <w:r>
        <w:rPr>
          <w:rFonts w:ascii="Microsoft Sans Serif" w:hAnsi="Microsoft Sans Serif" w:cs="Microsoft Sans Serif"/>
          <w:lang w:val="bs-Latn-BA"/>
        </w:rPr>
        <w:t xml:space="preserve">npr. </w:t>
      </w:r>
      <w:r>
        <w:rPr>
          <w:rStyle w:val="30"/>
          <w:rFonts w:ascii="Microsoft Sans Serif" w:hAnsi="Microsoft Sans Serif" w:cs="Microsoft Sans Serif"/>
          <w:lang w:val="bs-Latn-BA"/>
        </w:rPr>
        <w:t>hinidin</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amiodaron</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sotalol</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dofetilid</w:t>
      </w:r>
      <w:r>
        <w:rPr>
          <w:rFonts w:ascii="Microsoft Sans Serif" w:hAnsi="Microsoft Sans Serif" w:cs="Microsoft Sans Serif"/>
          <w:lang w:val="bs-Latn-BA"/>
        </w:rPr>
        <w:t>),</w:t>
      </w:r>
    </w:p>
    <w:p w14:paraId="171E4DEB">
      <w:pPr>
        <w:pStyle w:val="33"/>
        <w:numPr>
          <w:ilvl w:val="0"/>
          <w:numId w:val="4"/>
        </w:numPr>
        <w:autoSpaceDE w:val="0"/>
        <w:autoSpaceDN w:val="0"/>
        <w:adjustRightInd w:val="0"/>
        <w:ind w:left="180" w:hanging="180"/>
        <w:rPr>
          <w:rFonts w:ascii="Microsoft Sans Serif" w:hAnsi="Microsoft Sans Serif" w:cs="Microsoft Sans Serif"/>
          <w:lang w:val="bs-Latn-BA"/>
        </w:rPr>
      </w:pPr>
      <w:r>
        <w:rPr>
          <w:rStyle w:val="30"/>
          <w:rFonts w:ascii="Microsoft Sans Serif" w:hAnsi="Microsoft Sans Serif" w:cs="Microsoft Sans Serif"/>
          <w:lang w:val="bs-Latn-BA"/>
        </w:rPr>
        <w:t>neke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antipsihotike (</w:t>
      </w:r>
      <w:r>
        <w:rPr>
          <w:rFonts w:ascii="Microsoft Sans Serif" w:hAnsi="Microsoft Sans Serif" w:cs="Microsoft Sans Serif"/>
          <w:lang w:val="bs-Latn-BA"/>
        </w:rPr>
        <w:t xml:space="preserve">npr. </w:t>
      </w:r>
      <w:r>
        <w:rPr>
          <w:rStyle w:val="30"/>
          <w:rFonts w:ascii="Microsoft Sans Serif" w:hAnsi="Microsoft Sans Serif" w:cs="Microsoft Sans Serif"/>
          <w:lang w:val="bs-Latn-BA"/>
        </w:rPr>
        <w:t>tioridazin</w:t>
      </w:r>
      <w:r>
        <w:rPr>
          <w:rFonts w:ascii="Microsoft Sans Serif" w:hAnsi="Microsoft Sans Serif" w:cs="Microsoft Sans Serif"/>
          <w:lang w:val="bs-Latn-BA"/>
        </w:rPr>
        <w:t>),</w:t>
      </w:r>
    </w:p>
    <w:p w14:paraId="3BF95E0C">
      <w:pPr>
        <w:pStyle w:val="33"/>
        <w:numPr>
          <w:ilvl w:val="0"/>
          <w:numId w:val="4"/>
        </w:numPr>
        <w:autoSpaceDE w:val="0"/>
        <w:autoSpaceDN w:val="0"/>
        <w:adjustRightInd w:val="0"/>
        <w:ind w:left="180" w:hanging="180"/>
        <w:rPr>
          <w:rFonts w:ascii="Microsoft Sans Serif" w:hAnsi="Microsoft Sans Serif" w:cs="Microsoft Sans Serif"/>
          <w:lang w:val="bs-Latn-BA"/>
        </w:rPr>
      </w:pPr>
      <w:r>
        <w:rPr>
          <w:rStyle w:val="30"/>
          <w:rFonts w:ascii="Microsoft Sans Serif" w:hAnsi="Microsoft Sans Serif" w:cs="Microsoft Sans Serif"/>
          <w:lang w:val="bs-Latn-BA"/>
        </w:rPr>
        <w:t>neke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makrolide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w:t>
      </w:r>
      <w:r>
        <w:rPr>
          <w:rFonts w:ascii="Microsoft Sans Serif" w:hAnsi="Microsoft Sans Serif" w:cs="Microsoft Sans Serif"/>
          <w:lang w:val="bs-Latn-BA"/>
        </w:rPr>
        <w:t xml:space="preserve">npr. </w:t>
      </w:r>
      <w:r>
        <w:rPr>
          <w:rStyle w:val="30"/>
          <w:rFonts w:ascii="Microsoft Sans Serif" w:hAnsi="Microsoft Sans Serif" w:cs="Microsoft Sans Serif"/>
          <w:lang w:val="bs-Latn-BA"/>
        </w:rPr>
        <w:t>eritromicin</w:t>
      </w:r>
      <w:r>
        <w:rPr>
          <w:rFonts w:ascii="Microsoft Sans Serif" w:hAnsi="Microsoft Sans Serif" w:cs="Microsoft Sans Serif"/>
          <w:lang w:val="bs-Latn-BA"/>
        </w:rPr>
        <w:t>),</w:t>
      </w:r>
    </w:p>
    <w:p w14:paraId="76D062F0">
      <w:pPr>
        <w:pStyle w:val="33"/>
        <w:numPr>
          <w:ilvl w:val="0"/>
          <w:numId w:val="4"/>
        </w:numPr>
        <w:autoSpaceDE w:val="0"/>
        <w:autoSpaceDN w:val="0"/>
        <w:adjustRightInd w:val="0"/>
        <w:ind w:left="180" w:hanging="180"/>
        <w:rPr>
          <w:rFonts w:ascii="Microsoft Sans Serif" w:hAnsi="Microsoft Sans Serif" w:cs="Microsoft Sans Serif"/>
          <w:lang w:val="bs-Latn-BA"/>
        </w:rPr>
      </w:pPr>
      <w:r>
        <w:rPr>
          <w:rStyle w:val="30"/>
          <w:rFonts w:ascii="Microsoft Sans Serif" w:hAnsi="Microsoft Sans Serif" w:cs="Microsoft Sans Serif"/>
          <w:lang w:val="bs-Latn-BA"/>
        </w:rPr>
        <w:t>neke antihistaminike,</w:t>
      </w:r>
    </w:p>
    <w:p w14:paraId="406D75EB">
      <w:pPr>
        <w:pStyle w:val="33"/>
        <w:numPr>
          <w:ilvl w:val="0"/>
          <w:numId w:val="4"/>
        </w:numPr>
        <w:autoSpaceDE w:val="0"/>
        <w:autoSpaceDN w:val="0"/>
        <w:adjustRightInd w:val="0"/>
        <w:ind w:left="180" w:hanging="180"/>
        <w:rPr>
          <w:rFonts w:ascii="Microsoft Sans Serif" w:hAnsi="Microsoft Sans Serif" w:cs="Microsoft Sans Serif"/>
          <w:lang w:val="bs-Latn-BA"/>
        </w:rPr>
      </w:pPr>
      <w:r>
        <w:rPr>
          <w:rStyle w:val="30"/>
          <w:rFonts w:ascii="Microsoft Sans Serif" w:hAnsi="Microsoft Sans Serif" w:cs="Microsoft Sans Serif"/>
          <w:lang w:val="bs-Latn-BA"/>
        </w:rPr>
        <w:t>neke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hinolonske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antibiotike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w:t>
      </w:r>
      <w:r>
        <w:rPr>
          <w:rFonts w:ascii="Microsoft Sans Serif" w:hAnsi="Microsoft Sans Serif" w:cs="Microsoft Sans Serif"/>
          <w:lang w:val="bs-Latn-BA"/>
        </w:rPr>
        <w:t xml:space="preserve">npr. </w:t>
      </w:r>
      <w:r>
        <w:rPr>
          <w:rStyle w:val="30"/>
          <w:rFonts w:ascii="Microsoft Sans Serif" w:hAnsi="Microsoft Sans Serif" w:cs="Microsoft Sans Serif"/>
          <w:lang w:val="bs-Latn-BA"/>
        </w:rPr>
        <w:t>moksifloksacin</w:t>
      </w:r>
      <w:r>
        <w:rPr>
          <w:rFonts w:ascii="Microsoft Sans Serif" w:hAnsi="Microsoft Sans Serif" w:cs="Microsoft Sans Serif"/>
          <w:lang w:val="bs-Latn-BA"/>
        </w:rPr>
        <w:t>).</w:t>
      </w:r>
    </w:p>
    <w:p w14:paraId="7102416B">
      <w:pPr>
        <w:autoSpaceDE w:val="0"/>
        <w:autoSpaceDN w:val="0"/>
        <w:adjustRightInd w:val="0"/>
        <w:rPr>
          <w:rFonts w:ascii="Microsoft Sans Serif" w:hAnsi="Microsoft Sans Serif" w:cs="Microsoft Sans Serif"/>
          <w:lang w:val="bs-Latn-BA"/>
        </w:rPr>
      </w:pPr>
    </w:p>
    <w:p w14:paraId="227A235C">
      <w:pPr>
        <w:autoSpaceDE w:val="0"/>
        <w:autoSpaceDN w:val="0"/>
        <w:adjustRightInd w:val="0"/>
        <w:rPr>
          <w:rFonts w:ascii="Microsoft Sans Serif" w:hAnsi="Microsoft Sans Serif" w:cs="Microsoft Sans Serif"/>
          <w:bCs/>
          <w:lang w:val="bs-Latn-BA" w:eastAsia="en-US"/>
        </w:rPr>
      </w:pPr>
      <w:r>
        <w:rPr>
          <w:rStyle w:val="30"/>
          <w:rFonts w:ascii="Microsoft Sans Serif" w:hAnsi="Microsoft Sans Serif" w:cs="Microsoft Sans Serif"/>
          <w:lang w:val="bs-Latn-BA"/>
        </w:rPr>
        <w:t>Navedeni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popis</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nije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sveobuhvatan, tako da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druge pojedinačne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lijekove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poznate da značajno povećavaju</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QT</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interval</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treba izbjegavati</w:t>
      </w:r>
      <w:r>
        <w:rPr>
          <w:rFonts w:ascii="Microsoft Sans Serif" w:hAnsi="Microsoft Sans Serif" w:cs="Microsoft Sans Serif"/>
          <w:lang w:val="bs-Latn-BA"/>
        </w:rPr>
        <w:t>.</w:t>
      </w:r>
    </w:p>
    <w:p w14:paraId="42AB40DC">
      <w:pPr>
        <w:autoSpaceDE w:val="0"/>
        <w:autoSpaceDN w:val="0"/>
        <w:adjustRightInd w:val="0"/>
        <w:jc w:val="both"/>
        <w:rPr>
          <w:rFonts w:ascii="Microsoft Sans Serif" w:hAnsi="Microsoft Sans Serif" w:cs="Microsoft Sans Serif"/>
          <w:b/>
          <w:bCs/>
          <w:lang w:val="sr-Latn-BA" w:eastAsia="en-US"/>
        </w:rPr>
      </w:pPr>
    </w:p>
    <w:p w14:paraId="68898332">
      <w:pPr>
        <w:autoSpaceDE w:val="0"/>
        <w:autoSpaceDN w:val="0"/>
        <w:adjustRightInd w:val="0"/>
        <w:jc w:val="both"/>
        <w:rPr>
          <w:rFonts w:ascii="Microsoft Sans Serif" w:hAnsi="Microsoft Sans Serif" w:cs="Microsoft Sans Serif"/>
          <w:b/>
          <w:bCs/>
          <w:lang w:val="sr-Latn-BA" w:eastAsia="en-US"/>
        </w:rPr>
      </w:pPr>
    </w:p>
    <w:p w14:paraId="517419E4">
      <w:pPr>
        <w:autoSpaceDE w:val="0"/>
        <w:autoSpaceDN w:val="0"/>
        <w:adjustRightInd w:val="0"/>
        <w:jc w:val="both"/>
        <w:rPr>
          <w:rFonts w:ascii="Microsoft Sans Serif" w:hAnsi="Microsoft Sans Serif" w:cs="Microsoft Sans Serif"/>
          <w:b/>
          <w:bCs/>
          <w:lang w:val="sr-Latn-BA" w:eastAsia="en-US"/>
        </w:rPr>
      </w:pPr>
    </w:p>
    <w:p w14:paraId="486C7B69">
      <w:pPr>
        <w:autoSpaceDE w:val="0"/>
        <w:autoSpaceDN w:val="0"/>
        <w:adjustRightInd w:val="0"/>
        <w:jc w:val="both"/>
        <w:rPr>
          <w:rFonts w:ascii="Microsoft Sans Serif" w:hAnsi="Microsoft Sans Serif" w:cs="Microsoft Sans Serif"/>
          <w:b/>
          <w:bCs/>
          <w:lang w:val="sr-Latn-BA" w:eastAsia="en-US"/>
        </w:rPr>
      </w:pPr>
    </w:p>
    <w:p w14:paraId="3EE419DB">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 xml:space="preserve">Učinci ostalih medicinskih proizvoda na </w:t>
      </w:r>
      <w:r>
        <w:rPr>
          <w:rFonts w:ascii="Microsoft Sans Serif" w:hAnsi="Microsoft Sans Serif" w:cs="Microsoft Sans Serif"/>
          <w:b/>
          <w:lang w:val="sr-Latn-BA" w:eastAsia="en-US"/>
        </w:rPr>
        <w:t>venlafaksin</w:t>
      </w:r>
    </w:p>
    <w:p w14:paraId="4FC0A98B">
      <w:pPr>
        <w:autoSpaceDE w:val="0"/>
        <w:autoSpaceDN w:val="0"/>
        <w:adjustRightInd w:val="0"/>
        <w:jc w:val="both"/>
        <w:rPr>
          <w:rFonts w:ascii="Microsoft Sans Serif" w:hAnsi="Microsoft Sans Serif" w:cs="Microsoft Sans Serif"/>
          <w:bCs/>
          <w:u w:val="single"/>
          <w:lang w:val="sr-Latn-BA" w:eastAsia="en-US"/>
        </w:rPr>
      </w:pPr>
      <w:r>
        <w:rPr>
          <w:rFonts w:ascii="Microsoft Sans Serif" w:hAnsi="Microsoft Sans Serif" w:cs="Microsoft Sans Serif"/>
          <w:bCs/>
          <w:u w:val="single"/>
          <w:lang w:val="sr-Latn-BA" w:eastAsia="en-US"/>
        </w:rPr>
        <w:t>Ketokonazol (CYP3A4 inhibitor)</w:t>
      </w:r>
    </w:p>
    <w:p w14:paraId="2D35222C">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Farmakokinetičko </w:t>
      </w:r>
      <w:r>
        <w:rPr>
          <w:rFonts w:ascii="Microsoft Sans Serif" w:hAnsi="Microsoft Sans Serif" w:cs="Microsoft Sans Serif"/>
          <w:lang w:val="bs-Latn-BA" w:eastAsia="en-US"/>
        </w:rPr>
        <w:t xml:space="preserve">ispitivanje </w:t>
      </w:r>
      <w:r>
        <w:rPr>
          <w:rFonts w:ascii="Microsoft Sans Serif" w:hAnsi="Microsoft Sans Serif" w:cs="Microsoft Sans Serif"/>
          <w:lang w:val="sr-Latn-BA" w:eastAsia="en-US"/>
        </w:rPr>
        <w:t xml:space="preserve">sa ketokonazolom u CYP2D6 ekstenzivnim i slabim metabolizerima rezultuje sa visokim AUC venlafaksina (70% kod CYP2D6 slabih i 21% kod CYP2D6 ekstenzivnih metabolizera) i O-desmetilvenlafaksin (33% kod CYP2D6 slabih i 23% kod CYP2D6 ekstenzivnih metabolizera) nakon administraciju ketokonazola. Istovremena upotreba CYP3A4 inhibitora (e.g., atazanavir, klaritromicin, indinavir, itrakonazol, vorikonazol, posakonazol, ketokonazol, nelfinavir, ritonavir, saquinavir, telitromicin) i venlafaksina može povećati nivo venlafaksina i O-desmetilvenlafaksina. Zbog toga se savjetuje pažnja ako pacijentova terapija </w:t>
      </w:r>
      <w:r>
        <w:rPr>
          <w:rFonts w:ascii="Microsoft Sans Serif" w:hAnsi="Microsoft Sans Serif" w:cs="Microsoft Sans Serif"/>
          <w:lang w:val="bs-Latn-BA" w:eastAsia="en-US"/>
        </w:rPr>
        <w:t xml:space="preserve">istovremeno </w:t>
      </w:r>
      <w:r>
        <w:rPr>
          <w:rFonts w:ascii="Microsoft Sans Serif" w:hAnsi="Microsoft Sans Serif" w:cs="Microsoft Sans Serif"/>
          <w:lang w:val="sr-Latn-BA" w:eastAsia="en-US"/>
        </w:rPr>
        <w:t>uključuje CYP3A4 inhibitore i venlafaksin.</w:t>
      </w:r>
    </w:p>
    <w:p w14:paraId="6A6CC24E">
      <w:pPr>
        <w:autoSpaceDE w:val="0"/>
        <w:autoSpaceDN w:val="0"/>
        <w:adjustRightInd w:val="0"/>
        <w:jc w:val="both"/>
        <w:rPr>
          <w:rFonts w:ascii="Microsoft Sans Serif" w:hAnsi="Microsoft Sans Serif" w:cs="Microsoft Sans Serif"/>
          <w:b/>
          <w:bCs/>
          <w:lang w:val="sr-Latn-BA" w:eastAsia="en-US"/>
        </w:rPr>
      </w:pPr>
    </w:p>
    <w:p w14:paraId="69671FBF">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 xml:space="preserve">Učinci </w:t>
      </w:r>
      <w:r>
        <w:rPr>
          <w:rFonts w:ascii="Microsoft Sans Serif" w:hAnsi="Microsoft Sans Serif" w:cs="Microsoft Sans Serif"/>
          <w:b/>
          <w:lang w:val="sr-Latn-BA" w:eastAsia="en-US"/>
        </w:rPr>
        <w:t>venlafaksina</w:t>
      </w:r>
      <w:r>
        <w:rPr>
          <w:rFonts w:ascii="Microsoft Sans Serif" w:hAnsi="Microsoft Sans Serif" w:cs="Microsoft Sans Serif"/>
          <w:b/>
          <w:bCs/>
          <w:lang w:val="sr-Latn-BA" w:eastAsia="en-US"/>
        </w:rPr>
        <w:t xml:space="preserve"> na ostale medicinske proizvode</w:t>
      </w:r>
    </w:p>
    <w:p w14:paraId="3439D46E">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Litijum</w:t>
      </w:r>
    </w:p>
    <w:p w14:paraId="299744F9">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Serotoninski sindrom se može javiti kod istovremene upotrebe venlafaksina i litijuma (pogledati </w:t>
      </w:r>
      <w:r>
        <w:rPr>
          <w:rFonts w:ascii="Microsoft Sans Serif" w:hAnsi="Microsoft Sans Serif" w:cs="Microsoft Sans Serif"/>
          <w:lang w:val="bs-Latn-BA" w:eastAsia="en-US"/>
        </w:rPr>
        <w:t>odjeljak „</w:t>
      </w:r>
      <w:r>
        <w:rPr>
          <w:rFonts w:ascii="Microsoft Sans Serif" w:hAnsi="Microsoft Sans Serif" w:cs="Microsoft Sans Serif"/>
          <w:lang w:val="sr-Latn-BA" w:eastAsia="en-US"/>
        </w:rPr>
        <w:t>Serotoninski sindrom</w:t>
      </w:r>
      <w:r>
        <w:rPr>
          <w:rFonts w:ascii="Microsoft Sans Serif" w:hAnsi="Microsoft Sans Serif" w:cs="Microsoft Sans Serif"/>
          <w:lang w:val="bs-Latn-BA" w:eastAsia="en-US"/>
        </w:rPr>
        <w:t>“</w:t>
      </w:r>
      <w:r>
        <w:rPr>
          <w:rFonts w:ascii="Microsoft Sans Serif" w:hAnsi="Microsoft Sans Serif" w:cs="Microsoft Sans Serif"/>
          <w:lang w:val="sr-Latn-BA" w:eastAsia="en-US"/>
        </w:rPr>
        <w:t xml:space="preserve">). </w:t>
      </w:r>
    </w:p>
    <w:p w14:paraId="2B3DC319">
      <w:pPr>
        <w:autoSpaceDE w:val="0"/>
        <w:autoSpaceDN w:val="0"/>
        <w:adjustRightInd w:val="0"/>
        <w:jc w:val="both"/>
        <w:rPr>
          <w:rFonts w:ascii="Microsoft Sans Serif" w:hAnsi="Microsoft Sans Serif" w:cs="Microsoft Sans Serif"/>
          <w:b/>
          <w:bCs/>
          <w:lang w:val="sr-Latn-BA" w:eastAsia="en-US"/>
        </w:rPr>
      </w:pPr>
    </w:p>
    <w:p w14:paraId="7B726A39">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Diazepam</w:t>
      </w:r>
    </w:p>
    <w:p w14:paraId="6F620C3C">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Venlafaksin nema uticaja na farmakokinetiku i farmakodinamiku diazepama i na njegove aktivne metabolite, desmetildiazepam. Diazepam nema uticaj na farmakokinetiku venlafaksina ili O-desmetilvenlafaksina. Nije poznato da li postoji farmakokinetička i/ili farmakodinamička interakcija sa drugim benzodiazepimima. </w:t>
      </w:r>
    </w:p>
    <w:p w14:paraId="1F7C39A2">
      <w:pPr>
        <w:autoSpaceDE w:val="0"/>
        <w:autoSpaceDN w:val="0"/>
        <w:adjustRightInd w:val="0"/>
        <w:jc w:val="both"/>
        <w:rPr>
          <w:rFonts w:ascii="Microsoft Sans Serif" w:hAnsi="Microsoft Sans Serif" w:cs="Microsoft Sans Serif"/>
          <w:b/>
          <w:bCs/>
          <w:lang w:val="sr-Latn-BA" w:eastAsia="en-US"/>
        </w:rPr>
      </w:pPr>
    </w:p>
    <w:p w14:paraId="7BBBBB9D">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Imipramin</w:t>
      </w:r>
    </w:p>
    <w:p w14:paraId="6C1965FA">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Venlafaksin nema uticaja na farmakokinetiku imipramina i 2-OH-imipramina. Postoji povećanje (vezano sa dozom) 2-OH-desipramina AUC za 2,5 do 4,5 kada je venlafaksin administriran u dozi od 75 mg do 150 mg dnevno. </w:t>
      </w:r>
    </w:p>
    <w:p w14:paraId="256A100C">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Imipramin ne utiče na farmakokinetiku venlafaksina i O-desmetilvenlafaksina. Klinička značaj te interakcije je nepoznat. Oprez treba postojati kod zajedničke upotrebe venlafaksina i imipramina.</w:t>
      </w:r>
    </w:p>
    <w:p w14:paraId="70F6694F">
      <w:pPr>
        <w:autoSpaceDE w:val="0"/>
        <w:autoSpaceDN w:val="0"/>
        <w:adjustRightInd w:val="0"/>
        <w:jc w:val="both"/>
        <w:rPr>
          <w:rFonts w:ascii="Microsoft Sans Serif" w:hAnsi="Microsoft Sans Serif" w:cs="Microsoft Sans Serif"/>
          <w:b/>
          <w:bCs/>
          <w:lang w:val="sr-Latn-BA" w:eastAsia="en-US"/>
        </w:rPr>
      </w:pPr>
    </w:p>
    <w:p w14:paraId="3832EA72">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Haloperidol</w:t>
      </w:r>
    </w:p>
    <w:p w14:paraId="1458DCE0">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Farmakokinetičko </w:t>
      </w:r>
      <w:r>
        <w:rPr>
          <w:rFonts w:ascii="Microsoft Sans Serif" w:hAnsi="Microsoft Sans Serif" w:cs="Microsoft Sans Serif"/>
          <w:lang w:val="bs-Latn-BA" w:eastAsia="en-US"/>
        </w:rPr>
        <w:t xml:space="preserve">ispitivanje </w:t>
      </w:r>
      <w:r>
        <w:rPr>
          <w:rFonts w:ascii="Microsoft Sans Serif" w:hAnsi="Microsoft Sans Serif" w:cs="Microsoft Sans Serif"/>
          <w:lang w:val="sr-Latn-BA" w:eastAsia="en-US"/>
        </w:rPr>
        <w:t>sa haloperidolom je pokazalo 42% rast u ukupnom oralnom klirensu. 70% rast u AUC, 88% porast u C</w:t>
      </w:r>
      <w:r>
        <w:rPr>
          <w:rFonts w:ascii="Microsoft Sans Serif" w:hAnsi="Microsoft Sans Serif" w:cs="Microsoft Sans Serif"/>
          <w:vertAlign w:val="subscript"/>
          <w:lang w:val="sr-Latn-BA" w:eastAsia="en-US"/>
        </w:rPr>
        <w:t>max</w:t>
      </w:r>
      <w:r>
        <w:rPr>
          <w:rFonts w:ascii="Microsoft Sans Serif" w:hAnsi="Microsoft Sans Serif" w:cs="Microsoft Sans Serif"/>
          <w:lang w:val="sr-Latn-BA" w:eastAsia="en-US"/>
        </w:rPr>
        <w:t xml:space="preserve">, ali nikakve promjene u poluvremenu eliminacije haloperidola. Ovo treba </w:t>
      </w:r>
      <w:r>
        <w:rPr>
          <w:rFonts w:ascii="Microsoft Sans Serif" w:hAnsi="Microsoft Sans Serif" w:cs="Microsoft Sans Serif"/>
          <w:lang w:val="bs-Latn-BA" w:eastAsia="en-US"/>
        </w:rPr>
        <w:t xml:space="preserve">razmotriti </w:t>
      </w:r>
      <w:r>
        <w:rPr>
          <w:rFonts w:ascii="Microsoft Sans Serif" w:hAnsi="Microsoft Sans Serif" w:cs="Microsoft Sans Serif"/>
          <w:lang w:val="sr-Latn-BA" w:eastAsia="en-US"/>
        </w:rPr>
        <w:t>kod pacijenata liječenih istovremeno sa haloperidolom i venlafaksinom. Klinički značaj ove interakcije je nepoznat.</w:t>
      </w:r>
    </w:p>
    <w:p w14:paraId="301E3F77">
      <w:pPr>
        <w:autoSpaceDE w:val="0"/>
        <w:autoSpaceDN w:val="0"/>
        <w:adjustRightInd w:val="0"/>
        <w:jc w:val="both"/>
        <w:rPr>
          <w:rFonts w:ascii="Microsoft Sans Serif" w:hAnsi="Microsoft Sans Serif" w:cs="Microsoft Sans Serif"/>
          <w:b/>
          <w:bCs/>
          <w:lang w:val="sr-Latn-BA" w:eastAsia="en-US"/>
        </w:rPr>
      </w:pPr>
    </w:p>
    <w:p w14:paraId="137573A7">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Risperidon</w:t>
      </w:r>
    </w:p>
    <w:p w14:paraId="1BE282B8">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Venlafaxin je povećao AUC risperidona za 50%, ali nije značajnije izmijenio farmakokinetički profil totalne aktivne frakcije (risperidon plus 9-hidroksirisperidon). Klinička značaj ove interakcije je nepoznat.</w:t>
      </w:r>
    </w:p>
    <w:p w14:paraId="5BBD9765">
      <w:pPr>
        <w:autoSpaceDE w:val="0"/>
        <w:autoSpaceDN w:val="0"/>
        <w:adjustRightInd w:val="0"/>
        <w:jc w:val="both"/>
        <w:rPr>
          <w:rFonts w:ascii="Microsoft Sans Serif" w:hAnsi="Microsoft Sans Serif" w:cs="Microsoft Sans Serif"/>
          <w:b/>
          <w:bCs/>
          <w:lang w:val="sr-Latn-BA" w:eastAsia="en-US"/>
        </w:rPr>
      </w:pPr>
    </w:p>
    <w:p w14:paraId="1365F3A2">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Metoprolol</w:t>
      </w:r>
    </w:p>
    <w:p w14:paraId="49403D95">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Istovremena </w:t>
      </w:r>
      <w:r>
        <w:rPr>
          <w:rFonts w:ascii="Microsoft Sans Serif" w:hAnsi="Microsoft Sans Serif" w:cs="Microsoft Sans Serif"/>
          <w:lang w:val="bs-Latn-BA" w:eastAsia="en-US"/>
        </w:rPr>
        <w:t xml:space="preserve">primjena </w:t>
      </w:r>
      <w:r>
        <w:rPr>
          <w:rFonts w:ascii="Microsoft Sans Serif" w:hAnsi="Microsoft Sans Serif" w:cs="Microsoft Sans Serif"/>
          <w:lang w:val="sr-Latn-BA" w:eastAsia="en-US"/>
        </w:rPr>
        <w:t xml:space="preserve">venlafaksina i metoprolola </w:t>
      </w:r>
      <w:r>
        <w:rPr>
          <w:rFonts w:ascii="Microsoft Sans Serif" w:hAnsi="Microsoft Sans Serif" w:cs="Microsoft Sans Serif"/>
          <w:lang w:val="bs-Latn-BA" w:eastAsia="en-US"/>
        </w:rPr>
        <w:t xml:space="preserve">kod </w:t>
      </w:r>
      <w:r>
        <w:rPr>
          <w:rFonts w:ascii="Microsoft Sans Serif" w:hAnsi="Microsoft Sans Serif" w:cs="Microsoft Sans Serif"/>
          <w:lang w:val="sr-Latn-BA" w:eastAsia="en-US"/>
        </w:rPr>
        <w:t xml:space="preserve">zdravih volontera u </w:t>
      </w:r>
      <w:r>
        <w:rPr>
          <w:rFonts w:ascii="Microsoft Sans Serif" w:hAnsi="Microsoft Sans Serif" w:cs="Microsoft Sans Serif"/>
          <w:lang w:val="bs-Latn-BA" w:eastAsia="en-US"/>
        </w:rPr>
        <w:t xml:space="preserve">ispitivanju </w:t>
      </w:r>
      <w:r>
        <w:rPr>
          <w:rFonts w:ascii="Microsoft Sans Serif" w:hAnsi="Microsoft Sans Serif" w:cs="Microsoft Sans Serif"/>
          <w:lang w:val="sr-Latn-BA" w:eastAsia="en-US"/>
        </w:rPr>
        <w:t xml:space="preserve">farmakokinetičke interakcije za oba medicinska proizvoda rezultirala je povećanjem koncentracije metoprolola u plazmi za otprilike 30 </w:t>
      </w:r>
      <w:r>
        <w:rPr>
          <w:rFonts w:ascii="Microsoft Sans Serif" w:hAnsi="Microsoft Sans Serif" w:cs="Microsoft Sans Serif"/>
          <w:lang w:val="bs-Latn-BA" w:eastAsia="en-US"/>
        </w:rPr>
        <w:t xml:space="preserve">do </w:t>
      </w:r>
      <w:r>
        <w:rPr>
          <w:rFonts w:ascii="Microsoft Sans Serif" w:hAnsi="Microsoft Sans Serif" w:cs="Microsoft Sans Serif"/>
          <w:lang w:val="sr-Latn-BA" w:eastAsia="en-US"/>
        </w:rPr>
        <w:t xml:space="preserve">40% bez promjene koncentracija u plazmi njihovih aktivnih metabolita α-hidroksimetoprolola. Klinička značaj ovog otkrića za pacijente sa hipertenzijom je nepoznat. Metoprolol nije promijenio farmakokinetički profil venlafaksina ili njegovog aktivnog metabolita, O-desmetilvenlafaksin. Oprez treba postojati </w:t>
      </w:r>
      <w:r>
        <w:rPr>
          <w:rFonts w:ascii="Microsoft Sans Serif" w:hAnsi="Microsoft Sans Serif" w:cs="Microsoft Sans Serif"/>
          <w:lang w:val="bs-Latn-BA" w:eastAsia="en-US"/>
        </w:rPr>
        <w:t xml:space="preserve">prilikom istovremene </w:t>
      </w:r>
      <w:r>
        <w:rPr>
          <w:rFonts w:ascii="Microsoft Sans Serif" w:hAnsi="Microsoft Sans Serif" w:cs="Microsoft Sans Serif"/>
          <w:lang w:val="sr-Latn-BA" w:eastAsia="en-US"/>
        </w:rPr>
        <w:t>upotrebe venlafaksina i metoprolola.</w:t>
      </w:r>
    </w:p>
    <w:p w14:paraId="40874BA7">
      <w:pPr>
        <w:autoSpaceDE w:val="0"/>
        <w:autoSpaceDN w:val="0"/>
        <w:adjustRightInd w:val="0"/>
        <w:jc w:val="both"/>
        <w:rPr>
          <w:rFonts w:ascii="Microsoft Sans Serif" w:hAnsi="Microsoft Sans Serif" w:cs="Microsoft Sans Serif"/>
          <w:b/>
          <w:bCs/>
          <w:lang w:val="sr-Latn-BA" w:eastAsia="en-US"/>
        </w:rPr>
      </w:pPr>
    </w:p>
    <w:p w14:paraId="216E2D4C">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Indinavir</w:t>
      </w:r>
    </w:p>
    <w:p w14:paraId="1ACC781B">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Farmakokinetičko </w:t>
      </w:r>
      <w:r>
        <w:rPr>
          <w:rFonts w:ascii="Microsoft Sans Serif" w:hAnsi="Microsoft Sans Serif" w:cs="Microsoft Sans Serif"/>
          <w:lang w:val="bs-Latn-BA" w:eastAsia="en-US"/>
        </w:rPr>
        <w:t xml:space="preserve">ispitivanje </w:t>
      </w:r>
      <w:r>
        <w:rPr>
          <w:rFonts w:ascii="Microsoft Sans Serif" w:hAnsi="Microsoft Sans Serif" w:cs="Microsoft Sans Serif"/>
          <w:lang w:val="sr-Latn-BA" w:eastAsia="en-US"/>
        </w:rPr>
        <w:t xml:space="preserve">sa indinavirom pokazalo </w:t>
      </w:r>
      <w:r>
        <w:rPr>
          <w:rFonts w:ascii="Microsoft Sans Serif" w:hAnsi="Microsoft Sans Serif" w:cs="Microsoft Sans Serif"/>
          <w:lang w:val="bs-Latn-BA" w:eastAsia="en-US"/>
        </w:rPr>
        <w:t xml:space="preserve">je </w:t>
      </w:r>
      <w:r>
        <w:rPr>
          <w:rFonts w:ascii="Microsoft Sans Serif" w:hAnsi="Microsoft Sans Serif" w:cs="Microsoft Sans Serif"/>
          <w:lang w:val="sr-Latn-BA" w:eastAsia="en-US"/>
        </w:rPr>
        <w:t>28% povećanje AUC i 36% smanjenje u C</w:t>
      </w:r>
      <w:r>
        <w:rPr>
          <w:rFonts w:ascii="Microsoft Sans Serif" w:hAnsi="Microsoft Sans Serif" w:cs="Microsoft Sans Serif"/>
          <w:vertAlign w:val="subscript"/>
          <w:lang w:val="sr-Latn-BA" w:eastAsia="en-US"/>
        </w:rPr>
        <w:t>max</w:t>
      </w:r>
      <w:r>
        <w:rPr>
          <w:rFonts w:ascii="Microsoft Sans Serif" w:hAnsi="Microsoft Sans Serif" w:cs="Microsoft Sans Serif"/>
          <w:lang w:val="sr-Latn-BA" w:eastAsia="en-US"/>
        </w:rPr>
        <w:t xml:space="preserve"> za indinavir. Indinavir nije imao uticaja na farmakokinetiku venlafaksina i O-desmetilvenlafaksina. Klinički značaj ove interakcije je nepoznat.</w:t>
      </w:r>
    </w:p>
    <w:p w14:paraId="31285FD4">
      <w:pPr>
        <w:autoSpaceDE w:val="0"/>
        <w:autoSpaceDN w:val="0"/>
        <w:adjustRightInd w:val="0"/>
        <w:jc w:val="both"/>
        <w:rPr>
          <w:rFonts w:ascii="Microsoft Sans Serif" w:hAnsi="Microsoft Sans Serif" w:cs="Microsoft Sans Serif"/>
          <w:b/>
          <w:lang w:val="sr-Latn-BA"/>
        </w:rPr>
      </w:pPr>
    </w:p>
    <w:p w14:paraId="74F10E72">
      <w:pPr>
        <w:autoSpaceDE w:val="0"/>
        <w:autoSpaceDN w:val="0"/>
        <w:adjustRightInd w:val="0"/>
        <w:jc w:val="both"/>
        <w:rPr>
          <w:rFonts w:ascii="Microsoft Sans Serif" w:hAnsi="Microsoft Sans Serif" w:cs="Microsoft Sans Serif"/>
          <w:b/>
          <w:lang w:val="sr-Latn-BA"/>
        </w:rPr>
      </w:pPr>
      <w:r>
        <w:rPr>
          <w:rFonts w:ascii="Microsoft Sans Serif" w:hAnsi="Microsoft Sans Serif" w:cs="Microsoft Sans Serif"/>
          <w:b/>
          <w:lang w:val="sr-Latn-BA"/>
        </w:rPr>
        <w:t>Lijekovi koji se metabolišu pomoću izoenzima citohroma P450</w:t>
      </w:r>
    </w:p>
    <w:p w14:paraId="5EC421B9">
      <w:pPr>
        <w:autoSpaceDE w:val="0"/>
        <w:autoSpaceDN w:val="0"/>
        <w:adjustRightInd w:val="0"/>
        <w:jc w:val="both"/>
        <w:rPr>
          <w:rFonts w:ascii="Microsoft Sans Serif" w:hAnsi="Microsoft Sans Serif" w:cs="Microsoft Sans Serif"/>
          <w:lang w:val="sr-Latn-BA"/>
        </w:rPr>
      </w:pPr>
      <w:r>
        <w:rPr>
          <w:rFonts w:ascii="Microsoft Sans Serif" w:hAnsi="Microsoft Sans Serif" w:cs="Microsoft Sans Serif"/>
          <w:lang w:val="sr-Latn-BA"/>
        </w:rPr>
        <w:t xml:space="preserve">Studije </w:t>
      </w:r>
      <w:r>
        <w:rPr>
          <w:rFonts w:ascii="Microsoft Sans Serif" w:hAnsi="Microsoft Sans Serif" w:cs="Microsoft Sans Serif"/>
          <w:i/>
          <w:lang w:val="sr-Latn-BA"/>
        </w:rPr>
        <w:t>in vivo</w:t>
      </w:r>
      <w:r>
        <w:rPr>
          <w:rFonts w:ascii="Microsoft Sans Serif" w:hAnsi="Microsoft Sans Serif" w:cs="Microsoft Sans Serif"/>
          <w:lang w:val="sr-Latn-BA"/>
        </w:rPr>
        <w:t xml:space="preserve"> pokazuju da je venlafaksin relativno slab inhibitor CYP2D6. Venlafaksin nije </w:t>
      </w:r>
      <w:r>
        <w:rPr>
          <w:rFonts w:ascii="Microsoft Sans Serif" w:hAnsi="Microsoft Sans Serif" w:cs="Microsoft Sans Serif"/>
          <w:i/>
          <w:lang w:val="sr-Latn-BA"/>
        </w:rPr>
        <w:t>in vivo</w:t>
      </w:r>
      <w:r>
        <w:rPr>
          <w:rFonts w:ascii="Microsoft Sans Serif" w:hAnsi="Microsoft Sans Serif" w:cs="Microsoft Sans Serif"/>
          <w:lang w:val="sr-Latn-BA"/>
        </w:rPr>
        <w:t xml:space="preserve"> inhibirao CYP3A4 (alprazolam i karbamazepin), CYP1A2 (kofein) i CYP2C9 (tolbutamid) ili CYP2C19 (diazepam).</w:t>
      </w:r>
    </w:p>
    <w:p w14:paraId="254EAF38">
      <w:pPr>
        <w:autoSpaceDE w:val="0"/>
        <w:autoSpaceDN w:val="0"/>
        <w:adjustRightInd w:val="0"/>
        <w:jc w:val="both"/>
        <w:rPr>
          <w:rFonts w:ascii="Microsoft Sans Serif" w:hAnsi="Microsoft Sans Serif" w:cs="Microsoft Sans Serif"/>
          <w:b/>
          <w:lang w:val="sr-Latn-BA"/>
        </w:rPr>
      </w:pPr>
    </w:p>
    <w:p w14:paraId="6EC7A586">
      <w:pPr>
        <w:autoSpaceDE w:val="0"/>
        <w:autoSpaceDN w:val="0"/>
        <w:adjustRightInd w:val="0"/>
        <w:jc w:val="both"/>
        <w:rPr>
          <w:rFonts w:ascii="Microsoft Sans Serif" w:hAnsi="Microsoft Sans Serif" w:cs="Microsoft Sans Serif"/>
          <w:b/>
          <w:lang w:val="sr-Latn-BA"/>
        </w:rPr>
      </w:pPr>
    </w:p>
    <w:p w14:paraId="55F0EC8F">
      <w:pPr>
        <w:autoSpaceDE w:val="0"/>
        <w:autoSpaceDN w:val="0"/>
        <w:adjustRightInd w:val="0"/>
        <w:jc w:val="both"/>
        <w:rPr>
          <w:rFonts w:ascii="Microsoft Sans Serif" w:hAnsi="Microsoft Sans Serif" w:cs="Microsoft Sans Serif"/>
          <w:b/>
          <w:lang w:val="sr-Latn-BA"/>
        </w:rPr>
      </w:pPr>
    </w:p>
    <w:p w14:paraId="56A4B83B">
      <w:pPr>
        <w:autoSpaceDE w:val="0"/>
        <w:autoSpaceDN w:val="0"/>
        <w:adjustRightInd w:val="0"/>
        <w:jc w:val="both"/>
        <w:rPr>
          <w:rFonts w:ascii="Microsoft Sans Serif" w:hAnsi="Microsoft Sans Serif" w:cs="Microsoft Sans Serif"/>
          <w:b/>
          <w:lang w:val="sr-Latn-BA"/>
        </w:rPr>
      </w:pPr>
      <w:r>
        <w:rPr>
          <w:rFonts w:ascii="Microsoft Sans Serif" w:hAnsi="Microsoft Sans Serif" w:cs="Microsoft Sans Serif"/>
          <w:b/>
          <w:lang w:val="sr-Latn-BA"/>
        </w:rPr>
        <w:t>Oralni kontraceptivi</w:t>
      </w:r>
    </w:p>
    <w:p w14:paraId="6EAC9081">
      <w:pPr>
        <w:autoSpaceDE w:val="0"/>
        <w:autoSpaceDN w:val="0"/>
        <w:adjustRightInd w:val="0"/>
        <w:jc w:val="both"/>
        <w:rPr>
          <w:rFonts w:ascii="Microsoft Sans Serif" w:hAnsi="Microsoft Sans Serif" w:cs="Microsoft Sans Serif"/>
          <w:lang w:val="sr-Latn-BA"/>
        </w:rPr>
      </w:pPr>
      <w:r>
        <w:rPr>
          <w:rFonts w:ascii="Microsoft Sans Serif" w:hAnsi="Microsoft Sans Serif" w:cs="Microsoft Sans Serif"/>
          <w:lang w:val="sr-Latn-BA"/>
        </w:rPr>
        <w:t>U iskustvu nakon stavljanja lijeka u tržište, prijavljene su nenamjerne trudnoće kod pacijenata koji su uzimali oralne kontraceptive dok su uzimali venlafaksin. Nema jasnih dokaza da su ove trudnoće bile rezultat interakcije lijekova sa venlafaksinom. Nije sprovedena studija interakcije sa hormonskim kontraceptivima</w:t>
      </w:r>
      <w:r>
        <w:rPr>
          <w:rFonts w:ascii="Microsoft Sans Serif" w:hAnsi="Microsoft Sans Serif" w:cs="Microsoft Sans Serif"/>
          <w:b/>
          <w:lang w:val="sr-Latn-BA"/>
        </w:rPr>
        <w:t>.</w:t>
      </w:r>
    </w:p>
    <w:p w14:paraId="7D5BF8F4">
      <w:pPr>
        <w:autoSpaceDE w:val="0"/>
        <w:autoSpaceDN w:val="0"/>
        <w:adjustRightInd w:val="0"/>
        <w:jc w:val="both"/>
        <w:rPr>
          <w:rFonts w:ascii="Microsoft Sans Serif" w:hAnsi="Microsoft Sans Serif" w:cs="Microsoft Sans Serif"/>
          <w:lang w:val="sr-Latn-BA"/>
        </w:rPr>
      </w:pPr>
    </w:p>
    <w:p w14:paraId="1E4AB600">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4.6 </w:t>
      </w:r>
      <w:r>
        <w:rPr>
          <w:rFonts w:ascii="Microsoft Sans Serif" w:hAnsi="Microsoft Sans Serif" w:cs="Microsoft Sans Serif"/>
          <w:b/>
          <w:lang w:val="sr-Latn-BA"/>
        </w:rPr>
        <w:tab/>
      </w:r>
      <w:r>
        <w:rPr>
          <w:rFonts w:ascii="Microsoft Sans Serif" w:hAnsi="Microsoft Sans Serif" w:cs="Microsoft Sans Serif"/>
          <w:b/>
          <w:lang w:val="sr-Latn-BA"/>
        </w:rPr>
        <w:t xml:space="preserve">Plodnost, trudnoća i dojenje </w:t>
      </w:r>
    </w:p>
    <w:p w14:paraId="3334D932">
      <w:pPr>
        <w:tabs>
          <w:tab w:val="left" w:pos="567"/>
        </w:tabs>
        <w:jc w:val="both"/>
        <w:rPr>
          <w:rFonts w:ascii="Microsoft Sans Serif" w:hAnsi="Microsoft Sans Serif" w:cs="Microsoft Sans Serif"/>
          <w:lang w:val="sr-Latn-BA"/>
        </w:rPr>
      </w:pPr>
    </w:p>
    <w:p w14:paraId="0D7D19AD">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Trudnoća</w:t>
      </w:r>
    </w:p>
    <w:p w14:paraId="134EB267">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bCs/>
          <w:lang w:val="sr-Latn-BA" w:eastAsia="en-US"/>
        </w:rPr>
        <w:t xml:space="preserve">Ne postoje adekvatni podaci o upotrebi </w:t>
      </w:r>
      <w:r>
        <w:rPr>
          <w:rFonts w:ascii="Microsoft Sans Serif" w:hAnsi="Microsoft Sans Serif" w:cs="Microsoft Sans Serif"/>
          <w:lang w:val="sr-Latn-BA" w:eastAsia="en-US"/>
        </w:rPr>
        <w:t>venlafaksina kod trudnica.</w:t>
      </w:r>
    </w:p>
    <w:p w14:paraId="28757E0F">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bs-Latn-BA" w:eastAsia="en-US"/>
        </w:rPr>
        <w:t xml:space="preserve">Ispitivanja </w:t>
      </w:r>
      <w:r>
        <w:rPr>
          <w:rFonts w:ascii="Microsoft Sans Serif" w:hAnsi="Microsoft Sans Serif" w:cs="Microsoft Sans Serif"/>
          <w:lang w:val="sr-Latn-BA" w:eastAsia="en-US"/>
        </w:rPr>
        <w:t xml:space="preserve">kod životinja su pokazala reproduktivnu toksičnost (pogledati dio 5.3). Potencijalan rizik za ljude je nepoznat. Venlafaksin se može </w:t>
      </w:r>
      <w:r>
        <w:rPr>
          <w:rFonts w:ascii="Microsoft Sans Serif" w:hAnsi="Microsoft Sans Serif" w:cs="Microsoft Sans Serif"/>
          <w:lang w:val="bs-Latn-BA" w:eastAsia="en-US"/>
        </w:rPr>
        <w:t xml:space="preserve">davati </w:t>
      </w:r>
      <w:r>
        <w:rPr>
          <w:rFonts w:ascii="Microsoft Sans Serif" w:hAnsi="Microsoft Sans Serif" w:cs="Microsoft Sans Serif"/>
          <w:lang w:val="sr-Latn-BA" w:eastAsia="en-US"/>
        </w:rPr>
        <w:t xml:space="preserve">trudnicama samo ako očekivane dobiti nadmašuju potencijalni rizik. </w:t>
      </w:r>
    </w:p>
    <w:p w14:paraId="4C814C57">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Podaci dobijeni posmatranjem ukazuju na povećani rizik (manji od dvostrukog) od postporo</w:t>
      </w:r>
      <w:r>
        <w:rPr>
          <w:rFonts w:ascii="Microsoft Sans Serif" w:hAnsi="Microsoft Sans Serif" w:cs="Microsoft Sans Serif"/>
          <w:lang w:val="bs-Latn-BA" w:eastAsia="en-US"/>
        </w:rPr>
        <w:t>đ</w:t>
      </w:r>
      <w:r>
        <w:rPr>
          <w:rFonts w:ascii="Microsoft Sans Serif" w:hAnsi="Microsoft Sans Serif" w:cs="Microsoft Sans Serif"/>
          <w:lang w:val="sr-Latn-BA" w:eastAsia="en-US"/>
        </w:rPr>
        <w:t>ajnog krvarenja nakon izlaganja SSRI/SNRI tokom mjesec dana prije poroda (pogledati dijelove 4.4, 4.8).</w:t>
      </w:r>
    </w:p>
    <w:p w14:paraId="4D1EE7DE">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Sa drugim inhibitorima ponovnog preuzimanja serotonina (SSRIs/SNRIs), prekid simptoma se može javiti kod novorođenčadi, ako venlafaksin koriste sve do</w:t>
      </w:r>
      <w:r>
        <w:rPr>
          <w:rFonts w:ascii="Microsoft Sans Serif" w:hAnsi="Microsoft Sans Serif" w:cs="Microsoft Sans Serif"/>
          <w:lang w:val="bs-Latn-BA" w:eastAsia="en-US"/>
        </w:rPr>
        <w:t xml:space="preserve"> poroda</w:t>
      </w:r>
      <w:r>
        <w:rPr>
          <w:rFonts w:ascii="Microsoft Sans Serif" w:hAnsi="Microsoft Sans Serif" w:cs="Microsoft Sans Serif"/>
          <w:lang w:val="sr-Latn-BA" w:eastAsia="en-US"/>
        </w:rPr>
        <w:t xml:space="preserve"> ili malo prije poroda. Neka novorođenčad izložena venlafaksinu kasno tokom trećeg trimestra </w:t>
      </w:r>
      <w:r>
        <w:rPr>
          <w:rFonts w:ascii="Microsoft Sans Serif" w:hAnsi="Microsoft Sans Serif" w:cs="Microsoft Sans Serif"/>
          <w:lang w:val="bs-Latn-BA" w:eastAsia="en-US"/>
        </w:rPr>
        <w:t xml:space="preserve">su </w:t>
      </w:r>
      <w:r>
        <w:rPr>
          <w:rFonts w:ascii="Microsoft Sans Serif" w:hAnsi="Microsoft Sans Serif" w:cs="Microsoft Sans Serif"/>
          <w:lang w:val="sr-Latn-BA" w:eastAsia="en-US"/>
        </w:rPr>
        <w:t xml:space="preserve">razvila komplikacije koje su zahtjevale hranjenja na sondu, respiratornu podršku i produženu hospitalizaciju. Takve komplikacije se mogu javiti neposredno nakon poroda. </w:t>
      </w:r>
    </w:p>
    <w:p w14:paraId="35B2104F">
      <w:pPr>
        <w:autoSpaceDE w:val="0"/>
        <w:autoSpaceDN w:val="0"/>
        <w:adjustRightInd w:val="0"/>
        <w:jc w:val="both"/>
        <w:rPr>
          <w:rFonts w:ascii="Microsoft Sans Serif" w:hAnsi="Microsoft Sans Serif" w:cs="Microsoft Sans Serif"/>
          <w:lang w:val="bs-Latn-BA"/>
        </w:rPr>
      </w:pPr>
      <w:r>
        <w:rPr>
          <w:rStyle w:val="30"/>
          <w:rFonts w:ascii="Microsoft Sans Serif" w:hAnsi="Microsoft Sans Serif" w:cs="Microsoft Sans Serif"/>
          <w:lang w:val="bs-Latn-BA"/>
        </w:rPr>
        <w:t>Epidemiološki podaci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ukazuju na to da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korištenje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SSRI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u</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trudnoći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naročito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u</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kasnoj trudnoći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može povećati rizik</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od</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uporne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plućne hipertenzije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kod</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novoro</w:t>
      </w:r>
      <w:bookmarkStart w:id="1" w:name="_Hlk141776173"/>
      <w:r>
        <w:rPr>
          <w:rStyle w:val="30"/>
          <w:rFonts w:ascii="Microsoft Sans Serif" w:hAnsi="Microsoft Sans Serif" w:cs="Microsoft Sans Serif"/>
          <w:lang w:val="bs-Latn-BA"/>
        </w:rPr>
        <w:t>đ</w:t>
      </w:r>
      <w:bookmarkEnd w:id="1"/>
      <w:r>
        <w:rPr>
          <w:rStyle w:val="30"/>
          <w:rFonts w:ascii="Microsoft Sans Serif" w:hAnsi="Microsoft Sans Serif" w:cs="Microsoft Sans Serif"/>
          <w:lang w:val="bs-Latn-BA"/>
        </w:rPr>
        <w:t>enčadi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w:t>
      </w:r>
      <w:r>
        <w:rPr>
          <w:rFonts w:ascii="Microsoft Sans Serif" w:hAnsi="Microsoft Sans Serif" w:cs="Microsoft Sans Serif"/>
          <w:lang w:val="bs-Latn-BA"/>
        </w:rPr>
        <w:t xml:space="preserve">PPHN). </w:t>
      </w:r>
      <w:r>
        <w:rPr>
          <w:rStyle w:val="30"/>
          <w:rFonts w:ascii="Microsoft Sans Serif" w:hAnsi="Microsoft Sans Serif" w:cs="Microsoft Sans Serif"/>
          <w:lang w:val="bs-Latn-BA"/>
        </w:rPr>
        <w:t>Iako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nema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ispitivanja koja su</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istraživala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udruženje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PPHN</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SNRI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tretmanom</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ovaj</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potencijalni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rizik</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se ne može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isključiti</w:t>
      </w:r>
      <w:r>
        <w:rPr>
          <w:rFonts w:ascii="Microsoft Sans Serif" w:hAnsi="Microsoft Sans Serif" w:cs="Microsoft Sans Serif"/>
          <w:lang w:val="bs-Latn-BA"/>
        </w:rPr>
        <w:t xml:space="preserve"> pri uzimanju </w:t>
      </w:r>
      <w:r>
        <w:rPr>
          <w:rStyle w:val="30"/>
          <w:rFonts w:ascii="Microsoft Sans Serif" w:hAnsi="Microsoft Sans Serif" w:cs="Microsoft Sans Serif"/>
          <w:lang w:val="bs-Latn-BA"/>
        </w:rPr>
        <w:t>venlafaksina,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uzimajući u obzir</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povezani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mehanizam</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djelovanja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w:t>
      </w:r>
      <w:r>
        <w:rPr>
          <w:rFonts w:ascii="Microsoft Sans Serif" w:hAnsi="Microsoft Sans Serif" w:cs="Microsoft Sans Serif"/>
          <w:lang w:val="bs-Latn-BA"/>
        </w:rPr>
        <w:t xml:space="preserve">inhibicija </w:t>
      </w:r>
      <w:r>
        <w:rPr>
          <w:rStyle w:val="30"/>
          <w:rFonts w:ascii="Microsoft Sans Serif" w:hAnsi="Microsoft Sans Serif" w:cs="Microsoft Sans Serif"/>
          <w:lang w:val="bs-Latn-BA"/>
        </w:rPr>
        <w:t>ponovnog</w:t>
      </w:r>
      <w:r>
        <w:rPr>
          <w:rFonts w:ascii="Microsoft Sans Serif" w:hAnsi="Microsoft Sans Serif" w:cs="Microsoft Sans Serif"/>
          <w:lang w:val="bs-Latn-BA"/>
        </w:rPr>
        <w:t xml:space="preserve"> pre</w:t>
      </w:r>
      <w:r>
        <w:rPr>
          <w:rStyle w:val="30"/>
          <w:rFonts w:ascii="Microsoft Sans Serif" w:hAnsi="Microsoft Sans Serif" w:cs="Microsoft Sans Serif"/>
          <w:lang w:val="bs-Latn-BA"/>
        </w:rPr>
        <w:t>uzimanja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serotonina</w:t>
      </w:r>
      <w:r>
        <w:rPr>
          <w:rFonts w:ascii="Microsoft Sans Serif" w:hAnsi="Microsoft Sans Serif" w:cs="Microsoft Sans Serif"/>
          <w:lang w:val="bs-Latn-BA"/>
        </w:rPr>
        <w:t>).</w:t>
      </w:r>
    </w:p>
    <w:p w14:paraId="0B286651">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Sljedeći simptomi se mogu primijetiti kod novoro</w:t>
      </w:r>
      <w:r>
        <w:rPr>
          <w:rFonts w:ascii="Microsoft Sans Serif" w:hAnsi="Microsoft Sans Serif" w:cs="Microsoft Sans Serif"/>
          <w:lang w:val="hr-BA" w:eastAsia="en-US"/>
        </w:rPr>
        <w:t>đenčadi</w:t>
      </w:r>
      <w:r>
        <w:rPr>
          <w:rFonts w:ascii="Microsoft Sans Serif" w:hAnsi="Microsoft Sans Serif" w:cs="Microsoft Sans Serif"/>
          <w:lang w:val="sr-Latn-BA" w:eastAsia="en-US"/>
        </w:rPr>
        <w:t xml:space="preserve"> ako je majka koristila SSRI/SNRI tokom kasnog perioda trudnoće: razdražljivost, tremor, hipotonija, neprekinuti plač, teškoće pri sisanju i spavanju. Ovi simptomi se mogu javiti zbog serotoninskog efekta ili simptoma izloženosti. U većini slučajeva, ove komplikacije se primjećuju odmah ili 24 sata nakon poroda. </w:t>
      </w:r>
    </w:p>
    <w:p w14:paraId="27E9ED12">
      <w:pPr>
        <w:autoSpaceDE w:val="0"/>
        <w:autoSpaceDN w:val="0"/>
        <w:adjustRightInd w:val="0"/>
        <w:jc w:val="both"/>
        <w:rPr>
          <w:rFonts w:ascii="Microsoft Sans Serif" w:hAnsi="Microsoft Sans Serif" w:cs="Microsoft Sans Serif"/>
          <w:lang w:val="sr-Latn-BA" w:eastAsia="en-US"/>
        </w:rPr>
      </w:pPr>
    </w:p>
    <w:p w14:paraId="5438957E">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Dojenje</w:t>
      </w:r>
    </w:p>
    <w:p w14:paraId="19CBE754">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Venlafaksin i njegov aktivni metabolit, O-desmetilvenlafaksin, se izlučuju putem majčinog mlijeka. </w:t>
      </w:r>
      <w:r>
        <w:rPr>
          <w:rStyle w:val="30"/>
          <w:rFonts w:ascii="Microsoft Sans Serif" w:hAnsi="Microsoft Sans Serif" w:cs="Microsoft Sans Serif"/>
          <w:lang w:val="sr-Latn-BA"/>
        </w:rPr>
        <w:t>Bilo je</w:t>
      </w:r>
      <w:r>
        <w:rPr>
          <w:rFonts w:ascii="Microsoft Sans Serif" w:hAnsi="Microsoft Sans Serif" w:cs="Microsoft Sans Serif"/>
          <w:lang w:val="sr-Latn-BA"/>
        </w:rPr>
        <w:t xml:space="preserve"> </w:t>
      </w:r>
      <w:r>
        <w:rPr>
          <w:rStyle w:val="30"/>
          <w:rFonts w:ascii="Microsoft Sans Serif" w:hAnsi="Microsoft Sans Serif" w:cs="Microsoft Sans Serif"/>
          <w:lang w:val="sr-Latn-BA"/>
        </w:rPr>
        <w:t>post</w:t>
      </w:r>
      <w:r>
        <w:rPr>
          <w:rFonts w:ascii="Microsoft Sans Serif" w:hAnsi="Microsoft Sans Serif" w:cs="Microsoft Sans Serif"/>
          <w:lang w:val="sr-Latn-BA"/>
        </w:rPr>
        <w:t xml:space="preserve">marketinških </w:t>
      </w:r>
      <w:r>
        <w:rPr>
          <w:rStyle w:val="30"/>
          <w:rFonts w:ascii="Microsoft Sans Serif" w:hAnsi="Microsoft Sans Serif" w:cs="Microsoft Sans Serif"/>
          <w:lang w:val="sr-Latn-BA"/>
        </w:rPr>
        <w:t>izvještaja</w:t>
      </w:r>
      <w:r>
        <w:rPr>
          <w:rFonts w:ascii="Microsoft Sans Serif" w:hAnsi="Microsoft Sans Serif" w:cs="Microsoft Sans Serif"/>
          <w:lang w:val="sr-Latn-BA"/>
        </w:rPr>
        <w:t xml:space="preserve"> </w:t>
      </w:r>
      <w:r>
        <w:rPr>
          <w:rStyle w:val="30"/>
          <w:rFonts w:ascii="Microsoft Sans Serif" w:hAnsi="Microsoft Sans Serif" w:cs="Microsoft Sans Serif"/>
          <w:lang w:val="sr-Latn-BA"/>
        </w:rPr>
        <w:t>dojenih</w:t>
      </w:r>
      <w:r>
        <w:rPr>
          <w:rFonts w:ascii="Microsoft Sans Serif" w:hAnsi="Microsoft Sans Serif" w:cs="Microsoft Sans Serif"/>
          <w:lang w:val="sr-Latn-BA"/>
        </w:rPr>
        <w:t xml:space="preserve"> </w:t>
      </w:r>
      <w:r>
        <w:rPr>
          <w:rStyle w:val="30"/>
          <w:rFonts w:ascii="Microsoft Sans Serif" w:hAnsi="Microsoft Sans Serif" w:cs="Microsoft Sans Serif"/>
          <w:lang w:val="sr-Latn-BA"/>
        </w:rPr>
        <w:t>beba</w:t>
      </w:r>
      <w:r>
        <w:rPr>
          <w:rFonts w:ascii="Microsoft Sans Serif" w:hAnsi="Microsoft Sans Serif" w:cs="Microsoft Sans Serif"/>
          <w:lang w:val="sr-Latn-BA"/>
        </w:rPr>
        <w:t xml:space="preserve"> </w:t>
      </w:r>
      <w:r>
        <w:rPr>
          <w:rStyle w:val="30"/>
          <w:rFonts w:ascii="Microsoft Sans Serif" w:hAnsi="Microsoft Sans Serif" w:cs="Microsoft Sans Serif"/>
          <w:lang w:val="sr-Latn-BA"/>
        </w:rPr>
        <w:t>kod kojih je primijećen</w:t>
      </w:r>
      <w:r>
        <w:rPr>
          <w:rFonts w:ascii="Microsoft Sans Serif" w:hAnsi="Microsoft Sans Serif" w:cs="Microsoft Sans Serif"/>
          <w:lang w:val="sr-Latn-BA"/>
        </w:rPr>
        <w:t xml:space="preserve"> </w:t>
      </w:r>
      <w:r>
        <w:rPr>
          <w:rStyle w:val="30"/>
          <w:rFonts w:ascii="Microsoft Sans Serif" w:hAnsi="Microsoft Sans Serif" w:cs="Microsoft Sans Serif"/>
          <w:lang w:val="sr-Latn-BA"/>
        </w:rPr>
        <w:t>plač</w:t>
      </w:r>
      <w:r>
        <w:rPr>
          <w:rFonts w:ascii="Microsoft Sans Serif" w:hAnsi="Microsoft Sans Serif" w:cs="Microsoft Sans Serif"/>
          <w:lang w:val="sr-Latn-BA"/>
        </w:rPr>
        <w:t xml:space="preserve">, </w:t>
      </w:r>
      <w:r>
        <w:rPr>
          <w:rStyle w:val="30"/>
          <w:rFonts w:ascii="Microsoft Sans Serif" w:hAnsi="Microsoft Sans Serif" w:cs="Microsoft Sans Serif"/>
          <w:lang w:val="sr-Latn-BA"/>
        </w:rPr>
        <w:t>razdražljivost</w:t>
      </w:r>
      <w:r>
        <w:rPr>
          <w:rFonts w:ascii="Microsoft Sans Serif" w:hAnsi="Microsoft Sans Serif" w:cs="Microsoft Sans Serif"/>
          <w:lang w:val="sr-Latn-BA"/>
        </w:rPr>
        <w:t xml:space="preserve">, </w:t>
      </w:r>
      <w:r>
        <w:rPr>
          <w:rStyle w:val="30"/>
          <w:rFonts w:ascii="Microsoft Sans Serif" w:hAnsi="Microsoft Sans Serif" w:cs="Microsoft Sans Serif"/>
          <w:lang w:val="sr-Latn-BA"/>
        </w:rPr>
        <w:t>i</w:t>
      </w:r>
      <w:r>
        <w:rPr>
          <w:rFonts w:ascii="Microsoft Sans Serif" w:hAnsi="Microsoft Sans Serif" w:cs="Microsoft Sans Serif"/>
          <w:lang w:val="sr-Latn-BA"/>
        </w:rPr>
        <w:t xml:space="preserve"> </w:t>
      </w:r>
      <w:r>
        <w:rPr>
          <w:rStyle w:val="30"/>
          <w:rFonts w:ascii="Microsoft Sans Serif" w:hAnsi="Microsoft Sans Serif" w:cs="Microsoft Sans Serif"/>
          <w:lang w:val="sr-Latn-BA"/>
        </w:rPr>
        <w:t>abnormalno</w:t>
      </w:r>
      <w:r>
        <w:rPr>
          <w:rFonts w:ascii="Microsoft Sans Serif" w:hAnsi="Microsoft Sans Serif" w:cs="Microsoft Sans Serif"/>
          <w:lang w:val="sr-Latn-BA"/>
        </w:rPr>
        <w:t xml:space="preserve"> </w:t>
      </w:r>
      <w:r>
        <w:rPr>
          <w:rStyle w:val="30"/>
          <w:rFonts w:ascii="Microsoft Sans Serif" w:hAnsi="Microsoft Sans Serif" w:cs="Microsoft Sans Serif"/>
          <w:lang w:val="sr-Latn-BA"/>
        </w:rPr>
        <w:t>spavanje</w:t>
      </w:r>
      <w:r>
        <w:rPr>
          <w:rFonts w:ascii="Microsoft Sans Serif" w:hAnsi="Microsoft Sans Serif" w:cs="Microsoft Sans Serif"/>
          <w:lang w:val="sr-Latn-BA"/>
        </w:rPr>
        <w:t xml:space="preserve">. </w:t>
      </w:r>
      <w:r>
        <w:rPr>
          <w:rStyle w:val="30"/>
          <w:rFonts w:ascii="Microsoft Sans Serif" w:hAnsi="Microsoft Sans Serif" w:cs="Microsoft Sans Serif"/>
          <w:lang w:val="sv-SE"/>
        </w:rPr>
        <w:t>Simptomi</w:t>
      </w:r>
      <w:r>
        <w:rPr>
          <w:rFonts w:ascii="Microsoft Sans Serif" w:hAnsi="Microsoft Sans Serif" w:cs="Microsoft Sans Serif"/>
          <w:lang w:val="sv-SE"/>
        </w:rPr>
        <w:t xml:space="preserve"> </w:t>
      </w:r>
      <w:r>
        <w:rPr>
          <w:rStyle w:val="30"/>
          <w:rFonts w:ascii="Microsoft Sans Serif" w:hAnsi="Microsoft Sans Serif" w:cs="Microsoft Sans Serif"/>
          <w:lang w:val="sv-SE"/>
        </w:rPr>
        <w:t>u skladu</w:t>
      </w:r>
      <w:r>
        <w:rPr>
          <w:rFonts w:ascii="Microsoft Sans Serif" w:hAnsi="Microsoft Sans Serif" w:cs="Microsoft Sans Serif"/>
          <w:lang w:val="sv-SE"/>
        </w:rPr>
        <w:t xml:space="preserve"> </w:t>
      </w:r>
      <w:r>
        <w:rPr>
          <w:rStyle w:val="30"/>
          <w:rFonts w:ascii="Microsoft Sans Serif" w:hAnsi="Microsoft Sans Serif" w:cs="Microsoft Sans Serif"/>
          <w:lang w:val="sv-SE"/>
        </w:rPr>
        <w:t>sa prekidom</w:t>
      </w:r>
      <w:r>
        <w:rPr>
          <w:rFonts w:ascii="Microsoft Sans Serif" w:hAnsi="Microsoft Sans Serif" w:cs="Microsoft Sans Serif"/>
          <w:lang w:val="sv-SE"/>
        </w:rPr>
        <w:t xml:space="preserve"> </w:t>
      </w:r>
      <w:r>
        <w:rPr>
          <w:rStyle w:val="30"/>
          <w:rFonts w:ascii="Microsoft Sans Serif" w:hAnsi="Microsoft Sans Serif" w:cs="Microsoft Sans Serif"/>
          <w:lang w:val="sv-SE"/>
        </w:rPr>
        <w:t>venlafaksina</w:t>
      </w:r>
      <w:r>
        <w:rPr>
          <w:rFonts w:ascii="Microsoft Sans Serif" w:hAnsi="Microsoft Sans Serif" w:cs="Microsoft Sans Serif"/>
          <w:lang w:val="sv-SE"/>
        </w:rPr>
        <w:t xml:space="preserve"> </w:t>
      </w:r>
      <w:r>
        <w:rPr>
          <w:rStyle w:val="30"/>
          <w:rFonts w:ascii="Microsoft Sans Serif" w:hAnsi="Microsoft Sans Serif" w:cs="Microsoft Sans Serif"/>
          <w:lang w:val="sv-SE"/>
        </w:rPr>
        <w:t>su prijavljena</w:t>
      </w:r>
      <w:r>
        <w:rPr>
          <w:rFonts w:ascii="Microsoft Sans Serif" w:hAnsi="Microsoft Sans Serif" w:cs="Microsoft Sans Serif"/>
          <w:lang w:val="sv-SE"/>
        </w:rPr>
        <w:t xml:space="preserve"> </w:t>
      </w:r>
      <w:r>
        <w:rPr>
          <w:rStyle w:val="30"/>
          <w:rFonts w:ascii="Microsoft Sans Serif" w:hAnsi="Microsoft Sans Serif" w:cs="Microsoft Sans Serif"/>
          <w:lang w:val="sv-SE"/>
        </w:rPr>
        <w:t>nakon</w:t>
      </w:r>
      <w:r>
        <w:rPr>
          <w:rFonts w:ascii="Microsoft Sans Serif" w:hAnsi="Microsoft Sans Serif" w:cs="Microsoft Sans Serif"/>
          <w:lang w:val="sv-SE"/>
        </w:rPr>
        <w:t xml:space="preserve"> </w:t>
      </w:r>
      <w:r>
        <w:rPr>
          <w:rStyle w:val="30"/>
          <w:rFonts w:ascii="Microsoft Sans Serif" w:hAnsi="Microsoft Sans Serif" w:cs="Microsoft Sans Serif"/>
          <w:lang w:val="bs-Latn-BA"/>
        </w:rPr>
        <w:t>prekida</w:t>
      </w:r>
      <w:r>
        <w:rPr>
          <w:rFonts w:ascii="Microsoft Sans Serif" w:hAnsi="Microsoft Sans Serif" w:cs="Microsoft Sans Serif"/>
          <w:lang w:val="bs-Latn-BA"/>
        </w:rPr>
        <w:t xml:space="preserve"> </w:t>
      </w:r>
      <w:r>
        <w:rPr>
          <w:rStyle w:val="30"/>
          <w:rFonts w:ascii="Microsoft Sans Serif" w:hAnsi="Microsoft Sans Serif" w:cs="Microsoft Sans Serif"/>
          <w:lang w:val="sv-SE"/>
        </w:rPr>
        <w:t>dojenja</w:t>
      </w:r>
      <w:r>
        <w:rPr>
          <w:rFonts w:ascii="Microsoft Sans Serif" w:hAnsi="Microsoft Sans Serif" w:cs="Microsoft Sans Serif"/>
          <w:lang w:val="sv-SE"/>
        </w:rPr>
        <w:t xml:space="preserve">. </w:t>
      </w:r>
      <w:r>
        <w:rPr>
          <w:rStyle w:val="30"/>
          <w:rFonts w:ascii="Microsoft Sans Serif" w:hAnsi="Microsoft Sans Serif" w:cs="Microsoft Sans Serif"/>
          <w:lang w:val="sv-SE"/>
        </w:rPr>
        <w:t>Rizik za</w:t>
      </w:r>
      <w:r>
        <w:rPr>
          <w:rFonts w:ascii="Microsoft Sans Serif" w:hAnsi="Microsoft Sans Serif" w:cs="Microsoft Sans Serif"/>
          <w:lang w:val="sv-SE"/>
        </w:rPr>
        <w:t xml:space="preserve"> </w:t>
      </w:r>
      <w:r>
        <w:rPr>
          <w:rStyle w:val="30"/>
          <w:rFonts w:ascii="Microsoft Sans Serif" w:hAnsi="Microsoft Sans Serif" w:cs="Microsoft Sans Serif"/>
          <w:lang w:val="sv-SE"/>
        </w:rPr>
        <w:t>dojenče</w:t>
      </w:r>
      <w:r>
        <w:rPr>
          <w:rFonts w:ascii="Microsoft Sans Serif" w:hAnsi="Microsoft Sans Serif" w:cs="Microsoft Sans Serif"/>
          <w:lang w:val="sv-SE"/>
        </w:rPr>
        <w:t xml:space="preserve"> </w:t>
      </w:r>
      <w:r>
        <w:rPr>
          <w:rStyle w:val="30"/>
          <w:rFonts w:ascii="Microsoft Sans Serif" w:hAnsi="Microsoft Sans Serif" w:cs="Microsoft Sans Serif"/>
          <w:lang w:val="sv-SE"/>
        </w:rPr>
        <w:t>se ne može isključiti</w:t>
      </w:r>
      <w:r>
        <w:rPr>
          <w:rFonts w:ascii="Microsoft Sans Serif" w:hAnsi="Microsoft Sans Serif" w:cs="Microsoft Sans Serif"/>
          <w:lang w:val="sv-SE"/>
        </w:rPr>
        <w:t xml:space="preserve">. </w:t>
      </w:r>
      <w:r>
        <w:rPr>
          <w:rFonts w:ascii="Microsoft Sans Serif" w:hAnsi="Microsoft Sans Serif" w:cs="Microsoft Sans Serif"/>
          <w:lang w:val="sr-Latn-BA" w:eastAsia="en-US"/>
        </w:rPr>
        <w:t>Stoga, odluka da se nastavi/prekine dojenje ili nastavi/prekine terapija sa lijekom ZANFEXA XR treba biti donesena, uzimajući u obzir koristi dojenja za djecu i koristi terapije sa lijekom ZANFEXA XR za ženu.</w:t>
      </w:r>
    </w:p>
    <w:p w14:paraId="5FD29A20">
      <w:pPr>
        <w:autoSpaceDE w:val="0"/>
        <w:autoSpaceDN w:val="0"/>
        <w:adjustRightInd w:val="0"/>
        <w:jc w:val="both"/>
        <w:rPr>
          <w:rFonts w:ascii="Microsoft Sans Serif" w:hAnsi="Microsoft Sans Serif" w:cs="Microsoft Sans Serif"/>
          <w:b/>
          <w:lang w:val="sr-Latn-BA" w:eastAsia="en-US"/>
        </w:rPr>
      </w:pPr>
    </w:p>
    <w:p w14:paraId="5C3CD382">
      <w:pPr>
        <w:autoSpaceDE w:val="0"/>
        <w:autoSpaceDN w:val="0"/>
        <w:adjustRightInd w:val="0"/>
        <w:jc w:val="both"/>
        <w:rPr>
          <w:rFonts w:ascii="Microsoft Sans Serif" w:hAnsi="Microsoft Sans Serif" w:cs="Microsoft Sans Serif"/>
          <w:b/>
          <w:lang w:val="sr-Latn-BA" w:eastAsia="en-US"/>
        </w:rPr>
      </w:pPr>
      <w:r>
        <w:rPr>
          <w:rFonts w:ascii="Microsoft Sans Serif" w:hAnsi="Microsoft Sans Serif" w:cs="Microsoft Sans Serif"/>
          <w:b/>
          <w:lang w:val="sr-Latn-BA" w:eastAsia="en-US"/>
        </w:rPr>
        <w:t>Plodnost</w:t>
      </w:r>
    </w:p>
    <w:p w14:paraId="248AFFAA">
      <w:pPr>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Smanjena plodnost je primjećena u studiji u kojoj su i mužjaci i žene pacovi bili izloženi O-desmetilvenlafaksinu. Ljudska relevantnost ovog nalaza nije poznata (pogledati dio 5.3).</w:t>
      </w:r>
    </w:p>
    <w:p w14:paraId="037EE3A5">
      <w:pPr>
        <w:jc w:val="both"/>
        <w:rPr>
          <w:rFonts w:ascii="Microsoft Sans Serif" w:hAnsi="Microsoft Sans Serif" w:cs="Microsoft Sans Serif"/>
          <w:lang w:val="sr-Latn-BA"/>
        </w:rPr>
      </w:pPr>
    </w:p>
    <w:p w14:paraId="35EFDDF9">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4.7 </w:t>
      </w:r>
      <w:r>
        <w:rPr>
          <w:rFonts w:ascii="Microsoft Sans Serif" w:hAnsi="Microsoft Sans Serif" w:cs="Microsoft Sans Serif"/>
          <w:b/>
          <w:lang w:val="sr-Latn-BA"/>
        </w:rPr>
        <w:tab/>
      </w:r>
      <w:r>
        <w:rPr>
          <w:rFonts w:ascii="Microsoft Sans Serif" w:hAnsi="Microsoft Sans Serif" w:cs="Microsoft Sans Serif"/>
          <w:b/>
          <w:lang w:val="sr-Latn-BA"/>
        </w:rPr>
        <w:t>Uticaj na sposobnost upravljanja vozilima i rada na mašinama</w:t>
      </w:r>
    </w:p>
    <w:p w14:paraId="4E2379AA">
      <w:pPr>
        <w:autoSpaceDE w:val="0"/>
        <w:autoSpaceDN w:val="0"/>
        <w:adjustRightInd w:val="0"/>
        <w:jc w:val="both"/>
        <w:rPr>
          <w:rFonts w:ascii="Microsoft Sans Serif" w:hAnsi="Microsoft Sans Serif" w:cs="Microsoft Sans Serif"/>
          <w:lang w:val="sr-Latn-BA" w:eastAsia="en-US"/>
        </w:rPr>
      </w:pPr>
    </w:p>
    <w:p w14:paraId="41FF514A">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Bilo koji psihoaktivni medicinski proizvod može </w:t>
      </w:r>
      <w:r>
        <w:rPr>
          <w:rFonts w:ascii="Microsoft Sans Serif" w:hAnsi="Microsoft Sans Serif" w:cs="Microsoft Sans Serif"/>
          <w:lang w:val="bs-Latn-BA" w:eastAsia="en-US"/>
        </w:rPr>
        <w:t xml:space="preserve">umanjiti sposobnost </w:t>
      </w:r>
      <w:r>
        <w:rPr>
          <w:rFonts w:ascii="Microsoft Sans Serif" w:hAnsi="Microsoft Sans Serif" w:cs="Microsoft Sans Serif"/>
          <w:lang w:val="sr-Latn-BA" w:eastAsia="en-US"/>
        </w:rPr>
        <w:t xml:space="preserve">prosuđivanja, razmišljanja i motoričkih vještina. Stoga, pacijenti koji uzimaju venlafaksin treba upozoriti </w:t>
      </w:r>
      <w:r>
        <w:rPr>
          <w:rFonts w:ascii="Microsoft Sans Serif" w:hAnsi="Microsoft Sans Serif" w:cs="Microsoft Sans Serif"/>
          <w:lang w:val="bs-Latn-BA" w:eastAsia="en-US"/>
        </w:rPr>
        <w:t xml:space="preserve">o uticaju na sposobnost </w:t>
      </w:r>
      <w:r>
        <w:rPr>
          <w:rFonts w:ascii="Microsoft Sans Serif" w:hAnsi="Microsoft Sans Serif" w:cs="Microsoft Sans Serif"/>
          <w:lang w:val="sr-Latn-BA" w:eastAsia="en-US"/>
        </w:rPr>
        <w:t xml:space="preserve">da voze ili upravljaju opasnim mašinama. </w:t>
      </w:r>
    </w:p>
    <w:p w14:paraId="7ADE5840">
      <w:pPr>
        <w:autoSpaceDE w:val="0"/>
        <w:autoSpaceDN w:val="0"/>
        <w:adjustRightInd w:val="0"/>
        <w:jc w:val="both"/>
        <w:rPr>
          <w:rFonts w:ascii="Microsoft Sans Serif" w:hAnsi="Microsoft Sans Serif" w:cs="Microsoft Sans Serif"/>
          <w:b/>
          <w:lang w:val="sr-Latn-BA" w:eastAsia="en-US"/>
        </w:rPr>
      </w:pPr>
      <w:r>
        <w:rPr>
          <w:rFonts w:ascii="Cambria Math" w:hAnsi="Cambria Math" w:cs="Cambria Math"/>
          <w:b/>
          <w:lang w:val="sr-Latn-BA" w:eastAsia="en-US"/>
        </w:rPr>
        <w:t>△</w:t>
      </w:r>
      <w:r>
        <w:rPr>
          <w:rFonts w:ascii="Microsoft Sans Serif" w:hAnsi="Microsoft Sans Serif" w:cs="Microsoft Sans Serif"/>
          <w:b/>
          <w:lang w:val="sr-Latn-BA" w:eastAsia="en-US"/>
        </w:rPr>
        <w:t xml:space="preserve"> Trigonik, lijek sa mogućim uticajem na psihofizičke sposobnosti (upozorenje prilikom upravljanja motornim vozilima i  mašinama).</w:t>
      </w:r>
    </w:p>
    <w:p w14:paraId="3EEC7D52">
      <w:pPr>
        <w:autoSpaceDE w:val="0"/>
        <w:autoSpaceDN w:val="0"/>
        <w:adjustRightInd w:val="0"/>
        <w:jc w:val="both"/>
        <w:rPr>
          <w:rFonts w:ascii="Microsoft Sans Serif" w:hAnsi="Microsoft Sans Serif" w:cs="Microsoft Sans Serif"/>
          <w:b/>
          <w:lang w:val="sr-Latn-BA" w:eastAsia="en-US"/>
        </w:rPr>
      </w:pPr>
    </w:p>
    <w:p w14:paraId="11908630">
      <w:pPr>
        <w:jc w:val="both"/>
        <w:rPr>
          <w:rFonts w:ascii="Microsoft Sans Serif" w:hAnsi="Microsoft Sans Serif" w:cs="Microsoft Sans Serif"/>
          <w:b/>
          <w:lang w:val="sr-Latn-BA"/>
        </w:rPr>
      </w:pPr>
      <w:r>
        <w:rPr>
          <w:rFonts w:ascii="Microsoft Sans Serif" w:hAnsi="Microsoft Sans Serif" w:cs="Microsoft Sans Serif"/>
          <w:b/>
          <w:lang w:val="sr-Latn-BA"/>
        </w:rPr>
        <w:t>4.8</w:t>
      </w:r>
      <w:r>
        <w:rPr>
          <w:rFonts w:ascii="Microsoft Sans Serif" w:hAnsi="Microsoft Sans Serif" w:cs="Microsoft Sans Serif"/>
          <w:b/>
          <w:lang w:val="sr-Latn-BA"/>
        </w:rPr>
        <w:tab/>
      </w:r>
      <w:r>
        <w:rPr>
          <w:rFonts w:ascii="Microsoft Sans Serif" w:hAnsi="Microsoft Sans Serif" w:cs="Microsoft Sans Serif"/>
          <w:b/>
          <w:lang w:val="sr-Latn-BA"/>
        </w:rPr>
        <w:t>Neželjena dejstva</w:t>
      </w:r>
    </w:p>
    <w:p w14:paraId="70789948">
      <w:pPr>
        <w:autoSpaceDE w:val="0"/>
        <w:autoSpaceDN w:val="0"/>
        <w:adjustRightInd w:val="0"/>
        <w:jc w:val="both"/>
        <w:rPr>
          <w:rFonts w:ascii="Microsoft Sans Serif" w:hAnsi="Microsoft Sans Serif" w:cs="Microsoft Sans Serif"/>
          <w:lang w:val="sr-Latn-BA" w:eastAsia="en-US"/>
        </w:rPr>
      </w:pPr>
    </w:p>
    <w:p w14:paraId="67CF79F4">
      <w:pPr>
        <w:autoSpaceDE w:val="0"/>
        <w:autoSpaceDN w:val="0"/>
        <w:adjustRightInd w:val="0"/>
        <w:jc w:val="both"/>
        <w:rPr>
          <w:rFonts w:ascii="Microsoft Sans Serif" w:hAnsi="Microsoft Sans Serif" w:cs="Microsoft Sans Serif"/>
          <w:u w:val="single"/>
          <w:lang w:val="sr-Latn-BA" w:eastAsia="en-US"/>
        </w:rPr>
      </w:pPr>
      <w:r>
        <w:rPr>
          <w:rFonts w:ascii="Microsoft Sans Serif" w:hAnsi="Microsoft Sans Serif" w:cs="Microsoft Sans Serif"/>
          <w:u w:val="single"/>
          <w:lang w:val="sr-Latn-BA" w:eastAsia="en-US"/>
        </w:rPr>
        <w:t>Rezime bezbjednosnog profila</w:t>
      </w:r>
    </w:p>
    <w:p w14:paraId="5D9D41AF">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Najčešće (&gt;1/10) prijavljena neželjena dejstva u kliničkim </w:t>
      </w:r>
      <w:r>
        <w:rPr>
          <w:rFonts w:ascii="Microsoft Sans Serif" w:hAnsi="Microsoft Sans Serif" w:cs="Microsoft Sans Serif"/>
          <w:lang w:val="bs-Latn-BA" w:eastAsia="en-US"/>
        </w:rPr>
        <w:t xml:space="preserve">ispitivanjima </w:t>
      </w:r>
      <w:r>
        <w:rPr>
          <w:rFonts w:ascii="Microsoft Sans Serif" w:hAnsi="Microsoft Sans Serif" w:cs="Microsoft Sans Serif"/>
          <w:lang w:val="sr-Latn-BA" w:eastAsia="en-US"/>
        </w:rPr>
        <w:t>su mučnina, su</w:t>
      </w:r>
      <w:r>
        <w:rPr>
          <w:rFonts w:ascii="Microsoft Sans Serif" w:hAnsi="Microsoft Sans Serif" w:cs="Microsoft Sans Serif"/>
          <w:lang w:val="hr-BA" w:eastAsia="en-US"/>
        </w:rPr>
        <w:t>v</w:t>
      </w:r>
      <w:r>
        <w:rPr>
          <w:rFonts w:ascii="Microsoft Sans Serif" w:hAnsi="Microsoft Sans Serif" w:cs="Microsoft Sans Serif"/>
          <w:lang w:val="sr-Latn-BA" w:eastAsia="en-US"/>
        </w:rPr>
        <w:t xml:space="preserve">a usta, glavobolje i znojenje (uključujući i noćno znojenje). </w:t>
      </w:r>
    </w:p>
    <w:p w14:paraId="033A6343">
      <w:pPr>
        <w:autoSpaceDE w:val="0"/>
        <w:autoSpaceDN w:val="0"/>
        <w:adjustRightInd w:val="0"/>
        <w:jc w:val="both"/>
        <w:rPr>
          <w:rFonts w:ascii="Microsoft Sans Serif" w:hAnsi="Microsoft Sans Serif" w:cs="Microsoft Sans Serif"/>
          <w:lang w:val="sr-Latn-BA" w:eastAsia="en-US"/>
        </w:rPr>
      </w:pPr>
    </w:p>
    <w:p w14:paraId="706D375D">
      <w:pPr>
        <w:autoSpaceDE w:val="0"/>
        <w:autoSpaceDN w:val="0"/>
        <w:adjustRightInd w:val="0"/>
        <w:jc w:val="both"/>
        <w:rPr>
          <w:rFonts w:ascii="Microsoft Sans Serif" w:hAnsi="Microsoft Sans Serif" w:cs="Microsoft Sans Serif"/>
          <w:lang w:val="sr-Latn-BA" w:eastAsia="en-US"/>
        </w:rPr>
      </w:pPr>
    </w:p>
    <w:p w14:paraId="6318C5EF">
      <w:pPr>
        <w:autoSpaceDE w:val="0"/>
        <w:autoSpaceDN w:val="0"/>
        <w:adjustRightInd w:val="0"/>
        <w:jc w:val="both"/>
        <w:rPr>
          <w:rFonts w:ascii="Microsoft Sans Serif" w:hAnsi="Microsoft Sans Serif" w:cs="Microsoft Sans Serif"/>
          <w:lang w:val="sr-Latn-BA" w:eastAsia="en-US"/>
        </w:rPr>
      </w:pPr>
    </w:p>
    <w:p w14:paraId="4C568650">
      <w:pPr>
        <w:autoSpaceDE w:val="0"/>
        <w:autoSpaceDN w:val="0"/>
        <w:adjustRightInd w:val="0"/>
        <w:jc w:val="both"/>
        <w:rPr>
          <w:rFonts w:ascii="Microsoft Sans Serif" w:hAnsi="Microsoft Sans Serif" w:cs="Microsoft Sans Serif"/>
          <w:u w:val="single"/>
          <w:lang w:val="sr-Latn-BA" w:eastAsia="en-US"/>
        </w:rPr>
      </w:pPr>
      <w:r>
        <w:rPr>
          <w:rFonts w:ascii="Microsoft Sans Serif" w:hAnsi="Microsoft Sans Serif" w:cs="Microsoft Sans Serif"/>
          <w:u w:val="single"/>
          <w:lang w:val="sr-Latn-BA" w:eastAsia="en-US"/>
        </w:rPr>
        <w:t>Tabelarna lista neželjenih dejstava</w:t>
      </w:r>
    </w:p>
    <w:p w14:paraId="74EDD161">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Neželjena dejstva su navedena po organskim sistemima i učestalosti</w:t>
      </w:r>
      <w:r>
        <w:rPr>
          <w:rFonts w:ascii="Microsoft Sans Serif" w:hAnsi="Microsoft Sans Serif" w:cs="Microsoft Sans Serif"/>
          <w:color w:val="000000"/>
          <w:lang w:val="sr-Latn-BA"/>
        </w:rPr>
        <w:t xml:space="preserve"> i opadajući redoslijed medicinske ozbiljnosti unutar svake kategorije učestalosti.</w:t>
      </w:r>
    </w:p>
    <w:p w14:paraId="59CE5224">
      <w:pPr>
        <w:autoSpaceDE w:val="0"/>
        <w:autoSpaceDN w:val="0"/>
        <w:adjustRightInd w:val="0"/>
        <w:jc w:val="both"/>
        <w:rPr>
          <w:rFonts w:ascii="Microsoft Sans Serif" w:hAnsi="Microsoft Sans Serif" w:cs="Microsoft Sans Serif"/>
          <w:lang w:val="mk-MK" w:eastAsia="en-US"/>
        </w:rPr>
      </w:pPr>
      <w:r>
        <w:rPr>
          <w:rFonts w:ascii="Microsoft Sans Serif" w:hAnsi="Microsoft Sans Serif" w:cs="Microsoft Sans Serif"/>
          <w:lang w:val="sr-Latn-BA" w:eastAsia="en-US"/>
        </w:rPr>
        <w:t xml:space="preserve">Frekvencije su definisane kao: vrlo česte (≥ 1/10), česte (≥ 1/100 do &lt; 1/10), povremene (≥ 1/1,000 do &lt; 1/100), rijetke (≥ 1/10,000 do &lt; 1/1,000), vrlo rijetke (&lt; 1/10000), nepoznate (ne može se procjeniti na osnovu </w:t>
      </w:r>
      <w:r>
        <w:rPr>
          <w:rFonts w:ascii="Microsoft Sans Serif" w:hAnsi="Microsoft Sans Serif" w:cs="Microsoft Sans Serif"/>
          <w:lang w:val="pl-PL"/>
        </w:rPr>
        <w:t>dostupnih</w:t>
      </w:r>
      <w:r>
        <w:rPr>
          <w:rFonts w:ascii="Microsoft Sans Serif" w:hAnsi="Microsoft Sans Serif" w:cs="Microsoft Sans Serif"/>
          <w:lang w:val="hr-HR"/>
        </w:rPr>
        <w:t xml:space="preserve"> </w:t>
      </w:r>
      <w:r>
        <w:rPr>
          <w:rFonts w:ascii="Microsoft Sans Serif" w:hAnsi="Microsoft Sans Serif" w:cs="Microsoft Sans Serif"/>
          <w:lang w:val="sr-Latn-BA" w:eastAsia="en-US"/>
        </w:rPr>
        <w:t>podataka).</w:t>
      </w:r>
    </w:p>
    <w:p w14:paraId="7A69C78A">
      <w:pPr>
        <w:autoSpaceDE w:val="0"/>
        <w:autoSpaceDN w:val="0"/>
        <w:adjustRightInd w:val="0"/>
        <w:jc w:val="both"/>
        <w:rPr>
          <w:rFonts w:ascii="Microsoft Sans Serif" w:hAnsi="Microsoft Sans Serif" w:cs="Microsoft Sans Serif"/>
          <w:lang w:val="mk-MK" w:eastAsia="en-US"/>
        </w:rPr>
      </w:pPr>
    </w:p>
    <w:tbl>
      <w:tblPr>
        <w:tblStyle w:val="6"/>
        <w:tblW w:w="9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260"/>
        <w:gridCol w:w="1162"/>
        <w:gridCol w:w="1418"/>
        <w:gridCol w:w="1276"/>
        <w:gridCol w:w="1275"/>
        <w:gridCol w:w="1275"/>
      </w:tblGrid>
      <w:tr w14:paraId="7812C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shd w:val="clear" w:color="auto" w:fill="auto"/>
          </w:tcPr>
          <w:p w14:paraId="5B3216A1">
            <w:pPr>
              <w:autoSpaceDE w:val="0"/>
              <w:autoSpaceDN w:val="0"/>
              <w:adjustRightInd w:val="0"/>
              <w:rPr>
                <w:rFonts w:ascii="Microsoft Sans Serif" w:hAnsi="Microsoft Sans Serif" w:cs="Microsoft Sans Serif"/>
                <w:b/>
                <w:bCs/>
                <w:lang w:val="bs-Latn-BA" w:eastAsia="en-US"/>
              </w:rPr>
            </w:pPr>
            <w:r>
              <w:rPr>
                <w:rFonts w:ascii="Microsoft Sans Serif" w:hAnsi="Microsoft Sans Serif" w:cs="Microsoft Sans Serif"/>
                <w:b/>
                <w:bCs/>
                <w:lang w:val="bs-Latn-BA" w:eastAsia="en-US"/>
              </w:rPr>
              <w:t>Organski sistem</w:t>
            </w:r>
          </w:p>
        </w:tc>
        <w:tc>
          <w:tcPr>
            <w:tcW w:w="1260" w:type="dxa"/>
            <w:shd w:val="clear" w:color="auto" w:fill="auto"/>
          </w:tcPr>
          <w:p w14:paraId="2B9AF961">
            <w:pPr>
              <w:autoSpaceDE w:val="0"/>
              <w:autoSpaceDN w:val="0"/>
              <w:adjustRightInd w:val="0"/>
              <w:rPr>
                <w:rFonts w:ascii="Microsoft Sans Serif" w:hAnsi="Microsoft Sans Serif" w:cs="Microsoft Sans Serif"/>
                <w:b/>
                <w:bCs/>
                <w:lang w:val="bs-Latn-BA" w:eastAsia="en-US"/>
              </w:rPr>
            </w:pPr>
            <w:r>
              <w:rPr>
                <w:rFonts w:ascii="Microsoft Sans Serif" w:hAnsi="Microsoft Sans Serif" w:cs="Microsoft Sans Serif"/>
                <w:b/>
                <w:bCs/>
                <w:lang w:val="bs-Latn-BA" w:eastAsia="en-US"/>
              </w:rPr>
              <w:t>vrlo česte</w:t>
            </w:r>
          </w:p>
        </w:tc>
        <w:tc>
          <w:tcPr>
            <w:tcW w:w="1162" w:type="dxa"/>
            <w:shd w:val="clear" w:color="auto" w:fill="auto"/>
          </w:tcPr>
          <w:p w14:paraId="735DBE60">
            <w:pPr>
              <w:autoSpaceDE w:val="0"/>
              <w:autoSpaceDN w:val="0"/>
              <w:adjustRightInd w:val="0"/>
              <w:rPr>
                <w:rFonts w:ascii="Microsoft Sans Serif" w:hAnsi="Microsoft Sans Serif" w:cs="Microsoft Sans Serif"/>
                <w:b/>
                <w:bCs/>
                <w:lang w:val="bs-Latn-BA" w:eastAsia="en-US"/>
              </w:rPr>
            </w:pPr>
            <w:r>
              <w:rPr>
                <w:rFonts w:ascii="Microsoft Sans Serif" w:hAnsi="Microsoft Sans Serif" w:cs="Microsoft Sans Serif"/>
                <w:b/>
                <w:bCs/>
                <w:lang w:val="bs-Latn-BA" w:eastAsia="en-US"/>
              </w:rPr>
              <w:t>česte</w:t>
            </w:r>
          </w:p>
        </w:tc>
        <w:tc>
          <w:tcPr>
            <w:tcW w:w="1418" w:type="dxa"/>
            <w:shd w:val="clear" w:color="auto" w:fill="auto"/>
          </w:tcPr>
          <w:p w14:paraId="6E5D554B">
            <w:pPr>
              <w:autoSpaceDE w:val="0"/>
              <w:autoSpaceDN w:val="0"/>
              <w:adjustRightInd w:val="0"/>
              <w:rPr>
                <w:rFonts w:ascii="Microsoft Sans Serif" w:hAnsi="Microsoft Sans Serif" w:cs="Microsoft Sans Serif"/>
                <w:b/>
                <w:bCs/>
                <w:lang w:val="bs-Latn-BA" w:eastAsia="en-US"/>
              </w:rPr>
            </w:pPr>
            <w:r>
              <w:rPr>
                <w:rFonts w:ascii="Microsoft Sans Serif" w:hAnsi="Microsoft Sans Serif" w:cs="Microsoft Sans Serif"/>
                <w:b/>
                <w:bCs/>
                <w:lang w:val="bs-Latn-BA" w:eastAsia="en-US"/>
              </w:rPr>
              <w:t>povremene</w:t>
            </w:r>
          </w:p>
        </w:tc>
        <w:tc>
          <w:tcPr>
            <w:tcW w:w="1276" w:type="dxa"/>
            <w:shd w:val="clear" w:color="auto" w:fill="auto"/>
          </w:tcPr>
          <w:p w14:paraId="0D9E1828">
            <w:pPr>
              <w:autoSpaceDE w:val="0"/>
              <w:autoSpaceDN w:val="0"/>
              <w:adjustRightInd w:val="0"/>
              <w:rPr>
                <w:rFonts w:ascii="Microsoft Sans Serif" w:hAnsi="Microsoft Sans Serif" w:cs="Microsoft Sans Serif"/>
                <w:b/>
                <w:bCs/>
                <w:lang w:val="bs-Latn-BA" w:eastAsia="en-US"/>
              </w:rPr>
            </w:pPr>
            <w:r>
              <w:rPr>
                <w:rFonts w:ascii="Microsoft Sans Serif" w:hAnsi="Microsoft Sans Serif" w:cs="Microsoft Sans Serif"/>
                <w:b/>
                <w:bCs/>
                <w:lang w:val="bs-Latn-BA" w:eastAsia="en-US"/>
              </w:rPr>
              <w:t>rijetke</w:t>
            </w:r>
          </w:p>
        </w:tc>
        <w:tc>
          <w:tcPr>
            <w:tcW w:w="1275" w:type="dxa"/>
          </w:tcPr>
          <w:p w14:paraId="05117E64">
            <w:pPr>
              <w:autoSpaceDE w:val="0"/>
              <w:autoSpaceDN w:val="0"/>
              <w:adjustRightInd w:val="0"/>
              <w:rPr>
                <w:rFonts w:ascii="Microsoft Sans Serif" w:hAnsi="Microsoft Sans Serif" w:cs="Microsoft Sans Serif"/>
                <w:b/>
                <w:bCs/>
                <w:lang w:val="bs-Latn-BA" w:eastAsia="en-US"/>
              </w:rPr>
            </w:pPr>
            <w:r>
              <w:rPr>
                <w:rFonts w:ascii="Microsoft Sans Serif" w:hAnsi="Microsoft Sans Serif" w:cs="Microsoft Sans Serif"/>
                <w:b/>
                <w:bCs/>
                <w:lang w:val="bs-Latn-BA" w:eastAsia="en-US"/>
              </w:rPr>
              <w:t>vrlo rijetke</w:t>
            </w:r>
          </w:p>
        </w:tc>
        <w:tc>
          <w:tcPr>
            <w:tcW w:w="1275" w:type="dxa"/>
            <w:shd w:val="clear" w:color="auto" w:fill="auto"/>
          </w:tcPr>
          <w:p w14:paraId="0B2A7D3A">
            <w:pPr>
              <w:autoSpaceDE w:val="0"/>
              <w:autoSpaceDN w:val="0"/>
              <w:adjustRightInd w:val="0"/>
              <w:rPr>
                <w:rFonts w:ascii="Microsoft Sans Serif" w:hAnsi="Microsoft Sans Serif" w:cs="Microsoft Sans Serif"/>
                <w:b/>
                <w:bCs/>
                <w:lang w:val="bs-Latn-BA" w:eastAsia="en-US"/>
              </w:rPr>
            </w:pPr>
            <w:r>
              <w:rPr>
                <w:rFonts w:ascii="Microsoft Sans Serif" w:hAnsi="Microsoft Sans Serif" w:cs="Microsoft Sans Serif"/>
                <w:b/>
                <w:bCs/>
                <w:lang w:val="bs-Latn-BA" w:eastAsia="en-US"/>
              </w:rPr>
              <w:t>nepoznate</w:t>
            </w:r>
          </w:p>
        </w:tc>
      </w:tr>
      <w:tr w14:paraId="1CCCE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shd w:val="clear" w:color="auto" w:fill="auto"/>
          </w:tcPr>
          <w:p w14:paraId="41577CB3">
            <w:pPr>
              <w:pStyle w:val="19"/>
              <w:jc w:val="left"/>
              <w:rPr>
                <w:lang w:val="bs-Latn-BA" w:eastAsia="en-US"/>
              </w:rPr>
            </w:pPr>
            <w:r>
              <w:rPr>
                <w:rFonts w:ascii="Microsoft Sans Serif" w:hAnsi="Microsoft Sans Serif" w:cs="Microsoft Sans Serif"/>
                <w:b w:val="0"/>
                <w:sz w:val="20"/>
                <w:lang w:val="bs-Latn-BA"/>
              </w:rPr>
              <w:t>Poremećaji krvi i limfnog sistema</w:t>
            </w:r>
          </w:p>
        </w:tc>
        <w:tc>
          <w:tcPr>
            <w:tcW w:w="1260" w:type="dxa"/>
            <w:shd w:val="clear" w:color="auto" w:fill="auto"/>
          </w:tcPr>
          <w:p w14:paraId="5457A769">
            <w:pPr>
              <w:autoSpaceDE w:val="0"/>
              <w:autoSpaceDN w:val="0"/>
              <w:adjustRightInd w:val="0"/>
              <w:rPr>
                <w:rFonts w:ascii="Microsoft Sans Serif" w:hAnsi="Microsoft Sans Serif" w:cs="Microsoft Sans Serif"/>
                <w:b/>
                <w:bCs/>
                <w:lang w:val="bs-Latn-BA" w:eastAsia="en-US"/>
              </w:rPr>
            </w:pPr>
          </w:p>
        </w:tc>
        <w:tc>
          <w:tcPr>
            <w:tcW w:w="1162" w:type="dxa"/>
            <w:shd w:val="clear" w:color="auto" w:fill="auto"/>
          </w:tcPr>
          <w:p w14:paraId="41BE4375">
            <w:pPr>
              <w:autoSpaceDE w:val="0"/>
              <w:autoSpaceDN w:val="0"/>
              <w:adjustRightInd w:val="0"/>
              <w:rPr>
                <w:rFonts w:ascii="Microsoft Sans Serif" w:hAnsi="Microsoft Sans Serif" w:cs="Microsoft Sans Serif"/>
                <w:b/>
                <w:bCs/>
                <w:lang w:val="bs-Latn-BA" w:eastAsia="en-US"/>
              </w:rPr>
            </w:pPr>
          </w:p>
        </w:tc>
        <w:tc>
          <w:tcPr>
            <w:tcW w:w="1418" w:type="dxa"/>
            <w:shd w:val="clear" w:color="auto" w:fill="auto"/>
          </w:tcPr>
          <w:p w14:paraId="3B2EB0F4">
            <w:pPr>
              <w:autoSpaceDE w:val="0"/>
              <w:autoSpaceDN w:val="0"/>
              <w:adjustRightInd w:val="0"/>
              <w:rPr>
                <w:rFonts w:ascii="Microsoft Sans Serif" w:hAnsi="Microsoft Sans Serif" w:cs="Microsoft Sans Serif"/>
                <w:b/>
                <w:bCs/>
                <w:lang w:val="bs-Latn-BA" w:eastAsia="en-US"/>
              </w:rPr>
            </w:pPr>
          </w:p>
        </w:tc>
        <w:tc>
          <w:tcPr>
            <w:tcW w:w="1276" w:type="dxa"/>
            <w:shd w:val="clear" w:color="auto" w:fill="auto"/>
          </w:tcPr>
          <w:p w14:paraId="09474521">
            <w:pPr>
              <w:autoSpaceDE w:val="0"/>
              <w:autoSpaceDN w:val="0"/>
              <w:adjustRightInd w:val="0"/>
              <w:rPr>
                <w:rFonts w:ascii="Microsoft Sans Serif" w:hAnsi="Microsoft Sans Serif" w:cs="Microsoft Sans Serif"/>
                <w:b/>
                <w:bCs/>
                <w:lang w:val="bs-Latn-BA" w:eastAsia="en-US"/>
              </w:rPr>
            </w:pPr>
            <w:r>
              <w:rPr>
                <w:rFonts w:ascii="Microsoft Sans Serif" w:hAnsi="Microsoft Sans Serif" w:cs="Microsoft Sans Serif"/>
                <w:lang w:val="bs-Latn-BA" w:eastAsia="en-US"/>
              </w:rPr>
              <w:t>Agranulocitozu*, aplastičnu anemiju*, neutropeniju* i pancitopeniju)*</w:t>
            </w:r>
          </w:p>
        </w:tc>
        <w:tc>
          <w:tcPr>
            <w:tcW w:w="1275" w:type="dxa"/>
          </w:tcPr>
          <w:p w14:paraId="0E33B737">
            <w:pPr>
              <w:autoSpaceDE w:val="0"/>
              <w:autoSpaceDN w:val="0"/>
              <w:adjustRightInd w:val="0"/>
              <w:rPr>
                <w:rFonts w:ascii="Microsoft Sans Serif" w:hAnsi="Microsoft Sans Serif" w:cs="Microsoft Sans Serif"/>
                <w:bCs/>
                <w:lang w:eastAsia="en-US"/>
              </w:rPr>
            </w:pPr>
            <w:r>
              <w:rPr>
                <w:rFonts w:ascii="Microsoft Sans Serif" w:hAnsi="Microsoft Sans Serif" w:cs="Microsoft Sans Serif"/>
                <w:bCs/>
                <w:lang w:val="bs-Latn-BA" w:eastAsia="en-US"/>
              </w:rPr>
              <w:t>Trombocitopenija</w:t>
            </w:r>
            <w:r>
              <w:rPr>
                <w:rFonts w:ascii="Microsoft Sans Serif" w:hAnsi="Microsoft Sans Serif" w:cs="Microsoft Sans Serif"/>
                <w:bCs/>
                <w:lang w:eastAsia="en-US"/>
              </w:rPr>
              <w:t>*</w:t>
            </w:r>
          </w:p>
        </w:tc>
        <w:tc>
          <w:tcPr>
            <w:tcW w:w="1275" w:type="dxa"/>
            <w:shd w:val="clear" w:color="auto" w:fill="auto"/>
          </w:tcPr>
          <w:p w14:paraId="7108839B">
            <w:pPr>
              <w:autoSpaceDE w:val="0"/>
              <w:autoSpaceDN w:val="0"/>
              <w:adjustRightInd w:val="0"/>
              <w:rPr>
                <w:rFonts w:ascii="Microsoft Sans Serif" w:hAnsi="Microsoft Sans Serif" w:cs="Microsoft Sans Serif"/>
                <w:lang w:val="bs-Latn-BA" w:eastAsia="en-US"/>
              </w:rPr>
            </w:pPr>
          </w:p>
          <w:p w14:paraId="6EADCE36">
            <w:pPr>
              <w:autoSpaceDE w:val="0"/>
              <w:autoSpaceDN w:val="0"/>
              <w:adjustRightInd w:val="0"/>
              <w:rPr>
                <w:rFonts w:ascii="Microsoft Sans Serif" w:hAnsi="Microsoft Sans Serif" w:cs="Microsoft Sans Serif"/>
                <w:bCs/>
                <w:lang w:val="bs-Latn-BA" w:eastAsia="en-US"/>
              </w:rPr>
            </w:pPr>
          </w:p>
        </w:tc>
      </w:tr>
      <w:tr w14:paraId="6BB86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shd w:val="clear" w:color="auto" w:fill="auto"/>
          </w:tcPr>
          <w:p w14:paraId="7B652BFF">
            <w:pPr>
              <w:pStyle w:val="19"/>
              <w:jc w:val="left"/>
              <w:rPr>
                <w:lang w:val="bs-Latn-BA" w:eastAsia="en-US"/>
              </w:rPr>
            </w:pPr>
            <w:r>
              <w:rPr>
                <w:rFonts w:ascii="Microsoft Sans Serif" w:hAnsi="Microsoft Sans Serif" w:cs="Microsoft Sans Serif"/>
                <w:b w:val="0"/>
                <w:sz w:val="20"/>
                <w:lang w:val="bs-Latn-BA"/>
              </w:rPr>
              <w:t xml:space="preserve">Poremećaji imunološkog sistema </w:t>
            </w:r>
          </w:p>
        </w:tc>
        <w:tc>
          <w:tcPr>
            <w:tcW w:w="1260" w:type="dxa"/>
            <w:shd w:val="clear" w:color="auto" w:fill="auto"/>
          </w:tcPr>
          <w:p w14:paraId="7355C5A7">
            <w:pPr>
              <w:autoSpaceDE w:val="0"/>
              <w:autoSpaceDN w:val="0"/>
              <w:adjustRightInd w:val="0"/>
              <w:rPr>
                <w:rFonts w:ascii="Microsoft Sans Serif" w:hAnsi="Microsoft Sans Serif" w:cs="Microsoft Sans Serif"/>
                <w:b/>
                <w:bCs/>
                <w:lang w:val="bs-Latn-BA" w:eastAsia="en-US"/>
              </w:rPr>
            </w:pPr>
          </w:p>
        </w:tc>
        <w:tc>
          <w:tcPr>
            <w:tcW w:w="1162" w:type="dxa"/>
            <w:shd w:val="clear" w:color="auto" w:fill="auto"/>
          </w:tcPr>
          <w:p w14:paraId="3C8C86CA">
            <w:pPr>
              <w:autoSpaceDE w:val="0"/>
              <w:autoSpaceDN w:val="0"/>
              <w:adjustRightInd w:val="0"/>
              <w:rPr>
                <w:rFonts w:ascii="Microsoft Sans Serif" w:hAnsi="Microsoft Sans Serif" w:cs="Microsoft Sans Serif"/>
                <w:b/>
                <w:bCs/>
                <w:lang w:val="bs-Latn-BA" w:eastAsia="en-US"/>
              </w:rPr>
            </w:pPr>
          </w:p>
        </w:tc>
        <w:tc>
          <w:tcPr>
            <w:tcW w:w="1418" w:type="dxa"/>
            <w:shd w:val="clear" w:color="auto" w:fill="auto"/>
          </w:tcPr>
          <w:p w14:paraId="761BB53E">
            <w:pPr>
              <w:autoSpaceDE w:val="0"/>
              <w:autoSpaceDN w:val="0"/>
              <w:adjustRightInd w:val="0"/>
              <w:rPr>
                <w:rFonts w:ascii="Microsoft Sans Serif" w:hAnsi="Microsoft Sans Serif" w:cs="Microsoft Sans Serif"/>
                <w:b/>
                <w:bCs/>
                <w:lang w:val="bs-Latn-BA" w:eastAsia="en-US"/>
              </w:rPr>
            </w:pPr>
          </w:p>
        </w:tc>
        <w:tc>
          <w:tcPr>
            <w:tcW w:w="1276" w:type="dxa"/>
            <w:shd w:val="clear" w:color="auto" w:fill="auto"/>
          </w:tcPr>
          <w:p w14:paraId="2004FEC4">
            <w:pPr>
              <w:autoSpaceDE w:val="0"/>
              <w:autoSpaceDN w:val="0"/>
              <w:adjustRightInd w:val="0"/>
              <w:rPr>
                <w:rFonts w:ascii="Microsoft Sans Serif" w:hAnsi="Microsoft Sans Serif" w:cs="Microsoft Sans Serif"/>
                <w:b/>
                <w:bCs/>
                <w:lang w:val="bs-Latn-BA" w:eastAsia="en-US"/>
              </w:rPr>
            </w:pPr>
            <w:r>
              <w:rPr>
                <w:rFonts w:ascii="Microsoft Sans Serif" w:hAnsi="Microsoft Sans Serif" w:cs="Microsoft Sans Serif"/>
                <w:bCs/>
                <w:lang w:val="bs-Latn-BA" w:eastAsia="en-US"/>
              </w:rPr>
              <w:t>Anafilaktička reakcija*</w:t>
            </w:r>
          </w:p>
        </w:tc>
        <w:tc>
          <w:tcPr>
            <w:tcW w:w="1275" w:type="dxa"/>
          </w:tcPr>
          <w:p w14:paraId="7AAE66C3">
            <w:pPr>
              <w:autoSpaceDE w:val="0"/>
              <w:autoSpaceDN w:val="0"/>
              <w:adjustRightInd w:val="0"/>
              <w:rPr>
                <w:rFonts w:ascii="Microsoft Sans Serif" w:hAnsi="Microsoft Sans Serif" w:cs="Microsoft Sans Serif"/>
                <w:bCs/>
                <w:lang w:val="bs-Latn-BA" w:eastAsia="en-US"/>
              </w:rPr>
            </w:pPr>
          </w:p>
        </w:tc>
        <w:tc>
          <w:tcPr>
            <w:tcW w:w="1275" w:type="dxa"/>
            <w:shd w:val="clear" w:color="auto" w:fill="auto"/>
          </w:tcPr>
          <w:p w14:paraId="0FA94493">
            <w:pPr>
              <w:autoSpaceDE w:val="0"/>
              <w:autoSpaceDN w:val="0"/>
              <w:adjustRightInd w:val="0"/>
              <w:rPr>
                <w:rFonts w:ascii="Microsoft Sans Serif" w:hAnsi="Microsoft Sans Serif" w:cs="Microsoft Sans Serif"/>
                <w:bCs/>
                <w:lang w:val="bs-Latn-BA" w:eastAsia="en-US"/>
              </w:rPr>
            </w:pPr>
          </w:p>
        </w:tc>
      </w:tr>
      <w:tr w14:paraId="5347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shd w:val="clear" w:color="auto" w:fill="auto"/>
          </w:tcPr>
          <w:p w14:paraId="65C3B40E">
            <w:pPr>
              <w:pStyle w:val="19"/>
              <w:jc w:val="left"/>
              <w:rPr>
                <w:lang w:val="bs-Latn-BA" w:eastAsia="en-US"/>
              </w:rPr>
            </w:pPr>
            <w:r>
              <w:rPr>
                <w:rFonts w:ascii="Microsoft Sans Serif" w:hAnsi="Microsoft Sans Serif" w:cs="Microsoft Sans Serif"/>
                <w:b w:val="0"/>
                <w:sz w:val="20"/>
                <w:lang w:val="bs-Latn-BA"/>
              </w:rPr>
              <w:t xml:space="preserve">Endokrini poremećaji </w:t>
            </w:r>
          </w:p>
        </w:tc>
        <w:tc>
          <w:tcPr>
            <w:tcW w:w="1260" w:type="dxa"/>
            <w:shd w:val="clear" w:color="auto" w:fill="auto"/>
          </w:tcPr>
          <w:p w14:paraId="1FDF58A7">
            <w:pPr>
              <w:autoSpaceDE w:val="0"/>
              <w:autoSpaceDN w:val="0"/>
              <w:adjustRightInd w:val="0"/>
              <w:rPr>
                <w:rFonts w:ascii="Microsoft Sans Serif" w:hAnsi="Microsoft Sans Serif" w:cs="Microsoft Sans Serif"/>
                <w:bCs/>
                <w:lang w:val="bs-Latn-BA" w:eastAsia="en-US"/>
              </w:rPr>
            </w:pPr>
          </w:p>
        </w:tc>
        <w:tc>
          <w:tcPr>
            <w:tcW w:w="1162" w:type="dxa"/>
            <w:shd w:val="clear" w:color="auto" w:fill="auto"/>
          </w:tcPr>
          <w:p w14:paraId="5658B0CB">
            <w:pPr>
              <w:autoSpaceDE w:val="0"/>
              <w:autoSpaceDN w:val="0"/>
              <w:adjustRightInd w:val="0"/>
              <w:rPr>
                <w:rFonts w:ascii="Microsoft Sans Serif" w:hAnsi="Microsoft Sans Serif" w:cs="Microsoft Sans Serif"/>
                <w:bCs/>
                <w:lang w:val="bs-Latn-BA" w:eastAsia="en-US"/>
              </w:rPr>
            </w:pPr>
          </w:p>
        </w:tc>
        <w:tc>
          <w:tcPr>
            <w:tcW w:w="1418" w:type="dxa"/>
            <w:shd w:val="clear" w:color="auto" w:fill="auto"/>
          </w:tcPr>
          <w:p w14:paraId="23834971">
            <w:pPr>
              <w:autoSpaceDE w:val="0"/>
              <w:autoSpaceDN w:val="0"/>
              <w:adjustRightInd w:val="0"/>
              <w:rPr>
                <w:rFonts w:ascii="Microsoft Sans Serif" w:hAnsi="Microsoft Sans Serif" w:cs="Microsoft Sans Serif"/>
                <w:bCs/>
                <w:lang w:val="bs-Latn-BA" w:eastAsia="en-US"/>
              </w:rPr>
            </w:pPr>
          </w:p>
        </w:tc>
        <w:tc>
          <w:tcPr>
            <w:tcW w:w="1276" w:type="dxa"/>
            <w:shd w:val="clear" w:color="auto" w:fill="auto"/>
          </w:tcPr>
          <w:p w14:paraId="7EA54AE4">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bCs/>
                <w:lang w:val="bs-Latn-BA" w:eastAsia="en-US"/>
              </w:rPr>
              <w:t>Sindrom neodgovara-jućeg izlučivanja antidiuretskog hormona (SIADH)*</w:t>
            </w:r>
          </w:p>
        </w:tc>
        <w:tc>
          <w:tcPr>
            <w:tcW w:w="1275" w:type="dxa"/>
          </w:tcPr>
          <w:p w14:paraId="2636FAAD">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bCs/>
                <w:lang w:val="bs-Latn-BA" w:eastAsia="en-US"/>
              </w:rPr>
              <w:t>Povećana koncentracija prolaktina u krvi*</w:t>
            </w:r>
          </w:p>
        </w:tc>
        <w:tc>
          <w:tcPr>
            <w:tcW w:w="1275" w:type="dxa"/>
            <w:shd w:val="clear" w:color="auto" w:fill="auto"/>
          </w:tcPr>
          <w:p w14:paraId="263B7D6A">
            <w:pPr>
              <w:autoSpaceDE w:val="0"/>
              <w:autoSpaceDN w:val="0"/>
              <w:adjustRightInd w:val="0"/>
              <w:rPr>
                <w:rFonts w:ascii="Microsoft Sans Serif" w:hAnsi="Microsoft Sans Serif" w:cs="Microsoft Sans Serif"/>
                <w:bCs/>
                <w:lang w:val="bs-Latn-BA" w:eastAsia="en-US"/>
              </w:rPr>
            </w:pPr>
          </w:p>
        </w:tc>
      </w:tr>
      <w:tr w14:paraId="58816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shd w:val="clear" w:color="auto" w:fill="auto"/>
          </w:tcPr>
          <w:p w14:paraId="0D2EAD3C">
            <w:pPr>
              <w:pStyle w:val="19"/>
              <w:jc w:val="left"/>
              <w:rPr>
                <w:lang w:val="bs-Latn-BA" w:eastAsia="en-US"/>
              </w:rPr>
            </w:pPr>
            <w:r>
              <w:rPr>
                <w:rFonts w:ascii="Microsoft Sans Serif" w:hAnsi="Microsoft Sans Serif" w:cs="Microsoft Sans Serif"/>
                <w:b w:val="0"/>
                <w:sz w:val="20"/>
                <w:lang w:val="bs-Latn-BA"/>
              </w:rPr>
              <w:t>Poremećaji metabolizma i prehrane</w:t>
            </w:r>
          </w:p>
        </w:tc>
        <w:tc>
          <w:tcPr>
            <w:tcW w:w="1260" w:type="dxa"/>
            <w:shd w:val="clear" w:color="auto" w:fill="auto"/>
          </w:tcPr>
          <w:p w14:paraId="52B88C12">
            <w:pPr>
              <w:autoSpaceDE w:val="0"/>
              <w:autoSpaceDN w:val="0"/>
              <w:adjustRightInd w:val="0"/>
              <w:rPr>
                <w:rFonts w:ascii="Microsoft Sans Serif" w:hAnsi="Microsoft Sans Serif" w:cs="Microsoft Sans Serif"/>
                <w:bCs/>
                <w:lang w:val="bs-Latn-BA" w:eastAsia="en-US"/>
              </w:rPr>
            </w:pPr>
          </w:p>
        </w:tc>
        <w:tc>
          <w:tcPr>
            <w:tcW w:w="1162" w:type="dxa"/>
            <w:shd w:val="clear" w:color="auto" w:fill="auto"/>
          </w:tcPr>
          <w:p w14:paraId="0CE26E00">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bCs/>
                <w:lang w:val="bs-Latn-BA" w:eastAsia="en-US"/>
              </w:rPr>
              <w:t>Smanjen apetit</w:t>
            </w:r>
          </w:p>
        </w:tc>
        <w:tc>
          <w:tcPr>
            <w:tcW w:w="1418" w:type="dxa"/>
            <w:shd w:val="clear" w:color="auto" w:fill="auto"/>
          </w:tcPr>
          <w:p w14:paraId="65A2B935">
            <w:pPr>
              <w:autoSpaceDE w:val="0"/>
              <w:autoSpaceDN w:val="0"/>
              <w:adjustRightInd w:val="0"/>
              <w:rPr>
                <w:rFonts w:ascii="Microsoft Sans Serif" w:hAnsi="Microsoft Sans Serif" w:cs="Microsoft Sans Serif"/>
                <w:bCs/>
                <w:lang w:val="bs-Latn-BA" w:eastAsia="en-US"/>
              </w:rPr>
            </w:pPr>
          </w:p>
        </w:tc>
        <w:tc>
          <w:tcPr>
            <w:tcW w:w="1276" w:type="dxa"/>
            <w:shd w:val="clear" w:color="auto" w:fill="auto"/>
          </w:tcPr>
          <w:p w14:paraId="2EA823D6">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bCs/>
                <w:lang w:val="bs-Latn-BA" w:eastAsia="en-US"/>
              </w:rPr>
              <w:t>Hiponatrijemija*</w:t>
            </w:r>
          </w:p>
        </w:tc>
        <w:tc>
          <w:tcPr>
            <w:tcW w:w="1275" w:type="dxa"/>
          </w:tcPr>
          <w:p w14:paraId="03738CB5">
            <w:pPr>
              <w:autoSpaceDE w:val="0"/>
              <w:autoSpaceDN w:val="0"/>
              <w:adjustRightInd w:val="0"/>
              <w:rPr>
                <w:rFonts w:ascii="Microsoft Sans Serif" w:hAnsi="Microsoft Sans Serif" w:cs="Microsoft Sans Serif"/>
                <w:bCs/>
                <w:lang w:val="bs-Latn-BA" w:eastAsia="en-US"/>
              </w:rPr>
            </w:pPr>
          </w:p>
        </w:tc>
        <w:tc>
          <w:tcPr>
            <w:tcW w:w="1275" w:type="dxa"/>
            <w:shd w:val="clear" w:color="auto" w:fill="auto"/>
          </w:tcPr>
          <w:p w14:paraId="02E9A591">
            <w:pPr>
              <w:autoSpaceDE w:val="0"/>
              <w:autoSpaceDN w:val="0"/>
              <w:adjustRightInd w:val="0"/>
              <w:rPr>
                <w:rFonts w:ascii="Microsoft Sans Serif" w:hAnsi="Microsoft Sans Serif" w:cs="Microsoft Sans Serif"/>
                <w:bCs/>
                <w:lang w:val="bs-Latn-BA" w:eastAsia="en-US"/>
              </w:rPr>
            </w:pPr>
          </w:p>
        </w:tc>
      </w:tr>
      <w:tr w14:paraId="7E4A4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shd w:val="clear" w:color="auto" w:fill="auto"/>
          </w:tcPr>
          <w:p w14:paraId="7DD06C98">
            <w:pPr>
              <w:pStyle w:val="19"/>
              <w:jc w:val="left"/>
              <w:rPr>
                <w:lang w:val="bs-Latn-BA" w:eastAsia="en-US"/>
              </w:rPr>
            </w:pPr>
            <w:r>
              <w:rPr>
                <w:rFonts w:ascii="Microsoft Sans Serif" w:hAnsi="Microsoft Sans Serif" w:cs="Microsoft Sans Serif"/>
                <w:b w:val="0"/>
                <w:sz w:val="20"/>
                <w:lang w:val="bs-Latn-BA"/>
              </w:rPr>
              <w:t xml:space="preserve">Psihijatrijski poremećaji </w:t>
            </w:r>
          </w:p>
        </w:tc>
        <w:tc>
          <w:tcPr>
            <w:tcW w:w="1260" w:type="dxa"/>
            <w:shd w:val="clear" w:color="auto" w:fill="auto"/>
          </w:tcPr>
          <w:p w14:paraId="3FE30CB6">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bCs/>
                <w:lang w:val="bs-Latn-BA" w:eastAsia="en-US"/>
              </w:rPr>
              <w:t>Insomnija</w:t>
            </w:r>
          </w:p>
        </w:tc>
        <w:tc>
          <w:tcPr>
            <w:tcW w:w="1162" w:type="dxa"/>
            <w:shd w:val="clear" w:color="auto" w:fill="auto"/>
          </w:tcPr>
          <w:p w14:paraId="2C4B22FC">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bCs/>
                <w:lang w:val="bs-Latn-BA" w:eastAsia="en-US"/>
              </w:rPr>
              <w:t>Stanje konfuzije*, depersonalizacija*, anorgazmija, smanjeni libido, nervoza, abnormalni snovi, agitiranost*</w:t>
            </w:r>
          </w:p>
        </w:tc>
        <w:tc>
          <w:tcPr>
            <w:tcW w:w="1418" w:type="dxa"/>
            <w:shd w:val="clear" w:color="auto" w:fill="auto"/>
          </w:tcPr>
          <w:p w14:paraId="5989EFBE">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bCs/>
                <w:lang w:val="bs-Latn-BA" w:eastAsia="en-US"/>
              </w:rPr>
              <w:t>Halucinacije, derealizacija, abnormalni orgazam, apatija, hipomanija, bruksizam* manija</w:t>
            </w:r>
          </w:p>
        </w:tc>
        <w:tc>
          <w:tcPr>
            <w:tcW w:w="1276" w:type="dxa"/>
            <w:shd w:val="clear" w:color="auto" w:fill="auto"/>
          </w:tcPr>
          <w:p w14:paraId="1BBF2FD5">
            <w:pPr>
              <w:autoSpaceDE w:val="0"/>
              <w:autoSpaceDN w:val="0"/>
              <w:adjustRightInd w:val="0"/>
              <w:rPr>
                <w:rFonts w:ascii="Microsoft Sans Serif" w:hAnsi="Microsoft Sans Serif" w:cs="Microsoft Sans Serif"/>
                <w:bCs/>
                <w:lang w:val="bs-Latn-BA" w:eastAsia="en-US"/>
              </w:rPr>
            </w:pPr>
            <w:r>
              <w:rPr>
                <w:rStyle w:val="30"/>
                <w:rFonts w:ascii="Microsoft Sans Serif" w:hAnsi="Microsoft Sans Serif" w:cs="Microsoft Sans Serif"/>
              </w:rPr>
              <w:t>D</w:t>
            </w:r>
            <w:r>
              <w:rPr>
                <w:rStyle w:val="30"/>
                <w:rFonts w:ascii="Microsoft Sans Serif" w:hAnsi="Microsoft Sans Serif" w:cs="Microsoft Sans Serif"/>
                <w:lang w:val="bs-Latn-BA"/>
              </w:rPr>
              <w:t>elirijum*</w:t>
            </w:r>
          </w:p>
        </w:tc>
        <w:tc>
          <w:tcPr>
            <w:tcW w:w="1275" w:type="dxa"/>
          </w:tcPr>
          <w:p w14:paraId="109AAFC3">
            <w:pPr>
              <w:autoSpaceDE w:val="0"/>
              <w:autoSpaceDN w:val="0"/>
              <w:adjustRightInd w:val="0"/>
              <w:rPr>
                <w:rStyle w:val="30"/>
                <w:rFonts w:ascii="Microsoft Sans Serif" w:hAnsi="Microsoft Sans Serif" w:cs="Microsoft Sans Serif"/>
                <w:lang w:val="bs-Latn-BA"/>
              </w:rPr>
            </w:pPr>
          </w:p>
        </w:tc>
        <w:tc>
          <w:tcPr>
            <w:tcW w:w="1275" w:type="dxa"/>
            <w:shd w:val="clear" w:color="auto" w:fill="auto"/>
          </w:tcPr>
          <w:p w14:paraId="195573DB">
            <w:pPr>
              <w:autoSpaceDE w:val="0"/>
              <w:autoSpaceDN w:val="0"/>
              <w:adjustRightInd w:val="0"/>
              <w:rPr>
                <w:rFonts w:ascii="Microsoft Sans Serif" w:hAnsi="Microsoft Sans Serif" w:cs="Microsoft Sans Serif"/>
                <w:bCs/>
                <w:lang w:val="bs-Latn-BA" w:eastAsia="en-US"/>
              </w:rPr>
            </w:pPr>
            <w:r>
              <w:rPr>
                <w:rStyle w:val="30"/>
                <w:rFonts w:ascii="Microsoft Sans Serif" w:hAnsi="Microsoft Sans Serif" w:cs="Microsoft Sans Serif"/>
                <w:lang w:val="bs-Latn-BA"/>
              </w:rPr>
              <w:t>Suicidne ideje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suicidno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ponašanje</w:t>
            </w:r>
            <w:r>
              <w:rPr>
                <w:rStyle w:val="30"/>
                <w:rFonts w:ascii="Microsoft Sans Serif" w:hAnsi="Microsoft Sans Serif" w:cs="Microsoft Sans Serif"/>
                <w:vertAlign w:val="superscript"/>
                <w:lang w:val="bs-Latn-BA"/>
              </w:rPr>
              <w:t>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agresija</w:t>
            </w:r>
            <w:r>
              <w:rPr>
                <w:rStyle w:val="30"/>
                <w:rFonts w:ascii="Microsoft Sans Serif" w:hAnsi="Microsoft Sans Serif" w:cs="Microsoft Sans Serif"/>
                <w:vertAlign w:val="superscript"/>
                <w:lang w:val="bs-Latn-BA"/>
              </w:rPr>
              <w:t>b</w:t>
            </w:r>
          </w:p>
        </w:tc>
      </w:tr>
      <w:tr w14:paraId="646C4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shd w:val="clear" w:color="auto" w:fill="auto"/>
          </w:tcPr>
          <w:p w14:paraId="63771128">
            <w:pPr>
              <w:pStyle w:val="19"/>
              <w:jc w:val="left"/>
              <w:rPr>
                <w:lang w:val="bs-Latn-BA" w:eastAsia="en-US"/>
              </w:rPr>
            </w:pPr>
            <w:r>
              <w:rPr>
                <w:rFonts w:ascii="Microsoft Sans Serif" w:hAnsi="Microsoft Sans Serif" w:cs="Microsoft Sans Serif"/>
                <w:b w:val="0"/>
                <w:sz w:val="20"/>
                <w:lang w:val="bs-Latn-BA"/>
              </w:rPr>
              <w:t xml:space="preserve">Poremećaji nervnog sistema </w:t>
            </w:r>
          </w:p>
        </w:tc>
        <w:tc>
          <w:tcPr>
            <w:tcW w:w="1260" w:type="dxa"/>
            <w:shd w:val="clear" w:color="auto" w:fill="auto"/>
          </w:tcPr>
          <w:p w14:paraId="41BEE7D2">
            <w:pPr>
              <w:rPr>
                <w:rFonts w:ascii="Microsoft Sans Serif" w:hAnsi="Microsoft Sans Serif" w:cs="Microsoft Sans Serif"/>
                <w:b/>
                <w:bCs/>
                <w:lang w:val="bs-Latn-BA" w:eastAsia="en-US"/>
              </w:rPr>
            </w:pPr>
            <w:r>
              <w:rPr>
                <w:rFonts w:ascii="Microsoft Sans Serif" w:hAnsi="Microsoft Sans Serif" w:cs="Microsoft Sans Serif"/>
                <w:lang w:val="bs-Latn-BA" w:eastAsia="en-US"/>
              </w:rPr>
              <w:t>Vrtoglavica, glavobolja*</w:t>
            </w:r>
            <w:r>
              <w:rPr>
                <w:rFonts w:ascii="Microsoft Sans Serif" w:hAnsi="Microsoft Sans Serif" w:cs="Microsoft Sans Serif"/>
                <w:vertAlign w:val="superscript"/>
                <w:lang w:val="bs-Latn-BA" w:eastAsia="en-US"/>
              </w:rPr>
              <w:t>c</w:t>
            </w:r>
            <w:r>
              <w:rPr>
                <w:rFonts w:ascii="Microsoft Sans Serif" w:hAnsi="Microsoft Sans Serif" w:cs="Microsoft Sans Serif"/>
                <w:lang w:val="bs-Latn-BA" w:eastAsia="en-US"/>
              </w:rPr>
              <w:t>, sedacija</w:t>
            </w:r>
          </w:p>
        </w:tc>
        <w:tc>
          <w:tcPr>
            <w:tcW w:w="1162" w:type="dxa"/>
            <w:shd w:val="clear" w:color="auto" w:fill="auto"/>
          </w:tcPr>
          <w:p w14:paraId="53D04153">
            <w:pPr>
              <w:autoSpaceDE w:val="0"/>
              <w:autoSpaceDN w:val="0"/>
              <w:adjustRightInd w:val="0"/>
              <w:rPr>
                <w:rFonts w:ascii="Microsoft Sans Serif" w:hAnsi="Microsoft Sans Serif" w:cs="Microsoft Sans Serif"/>
                <w:b/>
                <w:bCs/>
                <w:lang w:val="bs-Latn-BA" w:eastAsia="en-US"/>
              </w:rPr>
            </w:pPr>
            <w:r>
              <w:rPr>
                <w:rFonts w:ascii="Microsoft Sans Serif" w:hAnsi="Microsoft Sans Serif" w:cs="Microsoft Sans Serif"/>
                <w:lang w:val="bs-Latn-BA" w:eastAsia="en-US"/>
              </w:rPr>
              <w:t>Akatizija*, tremor,</w:t>
            </w:r>
            <w:r>
              <w:rPr>
                <w:rFonts w:ascii="Microsoft Sans Serif" w:hAnsi="Microsoft Sans Serif" w:cs="Microsoft Sans Serif"/>
                <w:lang w:val="bs-Latn-BA"/>
              </w:rPr>
              <w:t xml:space="preserve"> </w:t>
            </w:r>
            <w:r>
              <w:rPr>
                <w:rFonts w:ascii="Microsoft Sans Serif" w:hAnsi="Microsoft Sans Serif" w:cs="Microsoft Sans Serif"/>
                <w:lang w:val="bs-Latn-BA" w:eastAsia="en-US"/>
              </w:rPr>
              <w:t xml:space="preserve">parestezija, disgeuzija </w:t>
            </w:r>
          </w:p>
        </w:tc>
        <w:tc>
          <w:tcPr>
            <w:tcW w:w="1418" w:type="dxa"/>
            <w:shd w:val="clear" w:color="auto" w:fill="auto"/>
          </w:tcPr>
          <w:p w14:paraId="7766E56A">
            <w:pPr>
              <w:autoSpaceDE w:val="0"/>
              <w:autoSpaceDN w:val="0"/>
              <w:adjustRightInd w:val="0"/>
              <w:rPr>
                <w:rFonts w:ascii="Microsoft Sans Serif" w:hAnsi="Microsoft Sans Serif" w:cs="Microsoft Sans Serif"/>
                <w:b/>
                <w:bCs/>
                <w:lang w:val="bs-Latn-BA" w:eastAsia="en-US"/>
              </w:rPr>
            </w:pPr>
            <w:r>
              <w:rPr>
                <w:rFonts w:ascii="Microsoft Sans Serif" w:hAnsi="Microsoft Sans Serif" w:cs="Microsoft Sans Serif"/>
                <w:lang w:val="bs-Latn-BA" w:eastAsia="en-US"/>
              </w:rPr>
              <w:t xml:space="preserve">Sinkopa, mioklonus, abnormalna koordinacija*, poremećaj ravnoteže*, diskinezija* </w:t>
            </w:r>
          </w:p>
        </w:tc>
        <w:tc>
          <w:tcPr>
            <w:tcW w:w="1276" w:type="dxa"/>
            <w:shd w:val="clear" w:color="auto" w:fill="auto"/>
          </w:tcPr>
          <w:p w14:paraId="15C07A2D">
            <w:pPr>
              <w:rPr>
                <w:rFonts w:ascii="Microsoft Sans Serif" w:hAnsi="Microsoft Sans Serif" w:cs="Microsoft Sans Serif"/>
                <w:bCs/>
                <w:lang w:val="bs-Latn-BA" w:eastAsia="en-US"/>
              </w:rPr>
            </w:pPr>
            <w:r>
              <w:rPr>
                <w:rFonts w:ascii="Microsoft Sans Serif" w:hAnsi="Microsoft Sans Serif" w:cs="Microsoft Sans Serif"/>
                <w:lang w:val="bs-Latn-BA" w:eastAsia="en-US"/>
              </w:rPr>
              <w:t>Neuroleptički maligni sindrom (NMS)*, serotoninski sindrom*,</w:t>
            </w:r>
            <w:r>
              <w:rPr>
                <w:rFonts w:ascii="Microsoft Sans Serif" w:hAnsi="Microsoft Sans Serif" w:cs="Microsoft Sans Serif"/>
                <w:bCs/>
                <w:lang w:val="bs-Latn-BA" w:eastAsia="en-US"/>
              </w:rPr>
              <w:t xml:space="preserve"> konvulzije, distonija*</w:t>
            </w:r>
          </w:p>
        </w:tc>
        <w:tc>
          <w:tcPr>
            <w:tcW w:w="1275" w:type="dxa"/>
          </w:tcPr>
          <w:p w14:paraId="141BD536">
            <w:pPr>
              <w:rPr>
                <w:rFonts w:ascii="Microsoft Sans Serif" w:hAnsi="Microsoft Sans Serif" w:cs="Microsoft Sans Serif"/>
                <w:lang w:val="bs-Latn-BA" w:eastAsia="en-US"/>
              </w:rPr>
            </w:pPr>
            <w:r>
              <w:rPr>
                <w:rFonts w:ascii="Microsoft Sans Serif" w:hAnsi="Microsoft Sans Serif" w:cs="Microsoft Sans Serif"/>
                <w:lang w:val="bs-Latn-BA" w:eastAsia="en-US"/>
              </w:rPr>
              <w:t>Tardivna diskinezija*</w:t>
            </w:r>
          </w:p>
        </w:tc>
        <w:tc>
          <w:tcPr>
            <w:tcW w:w="1275" w:type="dxa"/>
            <w:shd w:val="clear" w:color="auto" w:fill="auto"/>
          </w:tcPr>
          <w:p w14:paraId="33C695C4">
            <w:pPr>
              <w:rPr>
                <w:rFonts w:ascii="Microsoft Sans Serif" w:hAnsi="Microsoft Sans Serif" w:cs="Microsoft Sans Serif"/>
                <w:bCs/>
                <w:lang w:val="bs-Latn-BA" w:eastAsia="en-US"/>
              </w:rPr>
            </w:pPr>
          </w:p>
        </w:tc>
      </w:tr>
      <w:tr w14:paraId="7443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shd w:val="clear" w:color="auto" w:fill="auto"/>
          </w:tcPr>
          <w:p w14:paraId="1D11BBB0">
            <w:pPr>
              <w:pStyle w:val="19"/>
              <w:jc w:val="left"/>
              <w:rPr>
                <w:lang w:val="bs-Latn-BA" w:eastAsia="en-US"/>
              </w:rPr>
            </w:pPr>
            <w:r>
              <w:rPr>
                <w:rFonts w:ascii="Microsoft Sans Serif" w:hAnsi="Microsoft Sans Serif" w:cs="Microsoft Sans Serif"/>
                <w:b w:val="0"/>
                <w:sz w:val="20"/>
                <w:lang w:val="bs-Latn-BA"/>
              </w:rPr>
              <w:t xml:space="preserve">Poremećaji oka </w:t>
            </w:r>
          </w:p>
        </w:tc>
        <w:tc>
          <w:tcPr>
            <w:tcW w:w="1260" w:type="dxa"/>
            <w:shd w:val="clear" w:color="auto" w:fill="auto"/>
          </w:tcPr>
          <w:p w14:paraId="4C5A10E0">
            <w:pPr>
              <w:autoSpaceDE w:val="0"/>
              <w:autoSpaceDN w:val="0"/>
              <w:adjustRightInd w:val="0"/>
              <w:rPr>
                <w:rFonts w:ascii="Microsoft Sans Serif" w:hAnsi="Microsoft Sans Serif" w:cs="Microsoft Sans Serif"/>
                <w:bCs/>
                <w:lang w:val="bs-Latn-BA" w:eastAsia="en-US"/>
              </w:rPr>
            </w:pPr>
          </w:p>
        </w:tc>
        <w:tc>
          <w:tcPr>
            <w:tcW w:w="1162" w:type="dxa"/>
            <w:shd w:val="clear" w:color="auto" w:fill="auto"/>
          </w:tcPr>
          <w:p w14:paraId="3E748900">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lang w:val="bs-Latn-BA" w:eastAsia="en-US"/>
              </w:rPr>
              <w:t>Vizuelne smetnje poremećaj akomodacije uključujući zamućen vid, midrijaza</w:t>
            </w:r>
          </w:p>
        </w:tc>
        <w:tc>
          <w:tcPr>
            <w:tcW w:w="1418" w:type="dxa"/>
            <w:shd w:val="clear" w:color="auto" w:fill="auto"/>
          </w:tcPr>
          <w:p w14:paraId="17B88ECF">
            <w:pPr>
              <w:autoSpaceDE w:val="0"/>
              <w:autoSpaceDN w:val="0"/>
              <w:adjustRightInd w:val="0"/>
              <w:rPr>
                <w:rFonts w:ascii="Microsoft Sans Serif" w:hAnsi="Microsoft Sans Serif" w:cs="Microsoft Sans Serif"/>
                <w:bCs/>
                <w:lang w:val="bs-Latn-BA" w:eastAsia="en-US"/>
              </w:rPr>
            </w:pPr>
          </w:p>
        </w:tc>
        <w:tc>
          <w:tcPr>
            <w:tcW w:w="1276" w:type="dxa"/>
            <w:shd w:val="clear" w:color="auto" w:fill="auto"/>
          </w:tcPr>
          <w:p w14:paraId="499A7A15">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lang w:val="bs-Latn-BA" w:eastAsia="en-US"/>
              </w:rPr>
              <w:t>Glaukom o</w:t>
            </w:r>
            <w:r>
              <w:rPr>
                <w:rFonts w:ascii="Microsoft Sans Serif" w:hAnsi="Microsoft Sans Serif" w:cs="Microsoft Sans Serif"/>
                <w:lang w:val="hr-BA" w:eastAsia="en-US"/>
              </w:rPr>
              <w:t>štrog</w:t>
            </w:r>
            <w:r>
              <w:rPr>
                <w:rFonts w:ascii="Microsoft Sans Serif" w:hAnsi="Microsoft Sans Serif" w:cs="Microsoft Sans Serif"/>
                <w:lang w:val="bs-Latn-BA" w:eastAsia="en-US"/>
              </w:rPr>
              <w:t xml:space="preserve"> ugla* </w:t>
            </w:r>
          </w:p>
        </w:tc>
        <w:tc>
          <w:tcPr>
            <w:tcW w:w="1275" w:type="dxa"/>
          </w:tcPr>
          <w:p w14:paraId="464A4268">
            <w:pPr>
              <w:autoSpaceDE w:val="0"/>
              <w:autoSpaceDN w:val="0"/>
              <w:adjustRightInd w:val="0"/>
              <w:rPr>
                <w:rFonts w:ascii="Microsoft Sans Serif" w:hAnsi="Microsoft Sans Serif" w:cs="Microsoft Sans Serif"/>
                <w:lang w:val="bs-Latn-BA" w:eastAsia="en-US"/>
              </w:rPr>
            </w:pPr>
          </w:p>
        </w:tc>
        <w:tc>
          <w:tcPr>
            <w:tcW w:w="1275" w:type="dxa"/>
            <w:shd w:val="clear" w:color="auto" w:fill="auto"/>
          </w:tcPr>
          <w:p w14:paraId="6F92F811">
            <w:pPr>
              <w:autoSpaceDE w:val="0"/>
              <w:autoSpaceDN w:val="0"/>
              <w:adjustRightInd w:val="0"/>
              <w:rPr>
                <w:rFonts w:ascii="Microsoft Sans Serif" w:hAnsi="Microsoft Sans Serif" w:cs="Microsoft Sans Serif"/>
                <w:bCs/>
                <w:lang w:val="bs-Latn-BA" w:eastAsia="en-US"/>
              </w:rPr>
            </w:pPr>
          </w:p>
        </w:tc>
      </w:tr>
      <w:tr w14:paraId="58346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shd w:val="clear" w:color="auto" w:fill="auto"/>
          </w:tcPr>
          <w:p w14:paraId="0345D8DA">
            <w:pPr>
              <w:pStyle w:val="19"/>
              <w:jc w:val="left"/>
              <w:rPr>
                <w:lang w:val="bs-Latn-BA" w:eastAsia="en-US"/>
              </w:rPr>
            </w:pPr>
            <w:r>
              <w:rPr>
                <w:rFonts w:ascii="Microsoft Sans Serif" w:hAnsi="Microsoft Sans Serif" w:cs="Microsoft Sans Serif"/>
                <w:b w:val="0"/>
                <w:sz w:val="20"/>
                <w:lang w:val="bs-Latn-BA"/>
              </w:rPr>
              <w:t>Poremećaji uva i labirinta</w:t>
            </w:r>
          </w:p>
        </w:tc>
        <w:tc>
          <w:tcPr>
            <w:tcW w:w="1260" w:type="dxa"/>
            <w:shd w:val="clear" w:color="auto" w:fill="auto"/>
          </w:tcPr>
          <w:p w14:paraId="299CE7AE">
            <w:pPr>
              <w:autoSpaceDE w:val="0"/>
              <w:autoSpaceDN w:val="0"/>
              <w:adjustRightInd w:val="0"/>
              <w:rPr>
                <w:rFonts w:ascii="Microsoft Sans Serif" w:hAnsi="Microsoft Sans Serif" w:cs="Microsoft Sans Serif"/>
                <w:bCs/>
                <w:lang w:val="bs-Latn-BA" w:eastAsia="en-US"/>
              </w:rPr>
            </w:pPr>
          </w:p>
        </w:tc>
        <w:tc>
          <w:tcPr>
            <w:tcW w:w="1162" w:type="dxa"/>
            <w:shd w:val="clear" w:color="auto" w:fill="auto"/>
          </w:tcPr>
          <w:p w14:paraId="0370D8CE">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lang w:val="bs-Latn-BA" w:eastAsia="en-US"/>
              </w:rPr>
              <w:t>Tinitus*</w:t>
            </w:r>
          </w:p>
        </w:tc>
        <w:tc>
          <w:tcPr>
            <w:tcW w:w="1418" w:type="dxa"/>
            <w:shd w:val="clear" w:color="auto" w:fill="auto"/>
          </w:tcPr>
          <w:p w14:paraId="1B3A121B">
            <w:pPr>
              <w:autoSpaceDE w:val="0"/>
              <w:autoSpaceDN w:val="0"/>
              <w:adjustRightInd w:val="0"/>
              <w:rPr>
                <w:rFonts w:ascii="Microsoft Sans Serif" w:hAnsi="Microsoft Sans Serif" w:cs="Microsoft Sans Serif"/>
                <w:bCs/>
                <w:lang w:val="bs-Latn-BA" w:eastAsia="en-US"/>
              </w:rPr>
            </w:pPr>
          </w:p>
        </w:tc>
        <w:tc>
          <w:tcPr>
            <w:tcW w:w="1276" w:type="dxa"/>
            <w:shd w:val="clear" w:color="auto" w:fill="auto"/>
          </w:tcPr>
          <w:p w14:paraId="1DD56349">
            <w:pPr>
              <w:autoSpaceDE w:val="0"/>
              <w:autoSpaceDN w:val="0"/>
              <w:adjustRightInd w:val="0"/>
              <w:rPr>
                <w:rFonts w:ascii="Microsoft Sans Serif" w:hAnsi="Microsoft Sans Serif" w:cs="Microsoft Sans Serif"/>
                <w:bCs/>
                <w:lang w:val="bs-Latn-BA" w:eastAsia="en-US"/>
              </w:rPr>
            </w:pPr>
          </w:p>
        </w:tc>
        <w:tc>
          <w:tcPr>
            <w:tcW w:w="1275" w:type="dxa"/>
          </w:tcPr>
          <w:p w14:paraId="1E4EBA51">
            <w:pPr>
              <w:autoSpaceDE w:val="0"/>
              <w:autoSpaceDN w:val="0"/>
              <w:adjustRightInd w:val="0"/>
              <w:rPr>
                <w:rFonts w:ascii="Microsoft Sans Serif" w:hAnsi="Microsoft Sans Serif" w:cs="Microsoft Sans Serif"/>
                <w:bCs/>
                <w:lang w:val="bs-Latn-BA" w:eastAsia="en-US"/>
              </w:rPr>
            </w:pPr>
          </w:p>
        </w:tc>
        <w:tc>
          <w:tcPr>
            <w:tcW w:w="1275" w:type="dxa"/>
            <w:shd w:val="clear" w:color="auto" w:fill="auto"/>
          </w:tcPr>
          <w:p w14:paraId="4D4E8440">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bCs/>
                <w:lang w:val="bs-Latn-BA" w:eastAsia="en-US"/>
              </w:rPr>
              <w:t>Vertigo</w:t>
            </w:r>
          </w:p>
        </w:tc>
      </w:tr>
      <w:tr w14:paraId="2D65D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shd w:val="clear" w:color="auto" w:fill="auto"/>
          </w:tcPr>
          <w:p w14:paraId="18DD1A20">
            <w:pPr>
              <w:pStyle w:val="19"/>
              <w:jc w:val="left"/>
              <w:rPr>
                <w:lang w:val="bs-Latn-BA" w:eastAsia="en-US"/>
              </w:rPr>
            </w:pPr>
            <w:r>
              <w:rPr>
                <w:rFonts w:ascii="Microsoft Sans Serif" w:hAnsi="Microsoft Sans Serif" w:cs="Microsoft Sans Serif"/>
                <w:b w:val="0"/>
                <w:sz w:val="20"/>
                <w:lang w:val="bs-Latn-BA"/>
              </w:rPr>
              <w:t xml:space="preserve">Srčani poremećaji </w:t>
            </w:r>
          </w:p>
        </w:tc>
        <w:tc>
          <w:tcPr>
            <w:tcW w:w="1260" w:type="dxa"/>
            <w:shd w:val="clear" w:color="auto" w:fill="auto"/>
          </w:tcPr>
          <w:p w14:paraId="753FF60B">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bCs/>
                <w:lang w:val="bs-Latn-BA" w:eastAsia="en-US"/>
              </w:rPr>
              <w:t xml:space="preserve"> </w:t>
            </w:r>
          </w:p>
        </w:tc>
        <w:tc>
          <w:tcPr>
            <w:tcW w:w="1162" w:type="dxa"/>
            <w:shd w:val="clear" w:color="auto" w:fill="auto"/>
          </w:tcPr>
          <w:p w14:paraId="31CEFB95">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lang w:val="bs-Latn-BA" w:eastAsia="en-US"/>
              </w:rPr>
              <w:t>Tahikardija palpitacije*</w:t>
            </w:r>
          </w:p>
        </w:tc>
        <w:tc>
          <w:tcPr>
            <w:tcW w:w="1418" w:type="dxa"/>
            <w:shd w:val="clear" w:color="auto" w:fill="auto"/>
          </w:tcPr>
          <w:p w14:paraId="6C965912">
            <w:pPr>
              <w:autoSpaceDE w:val="0"/>
              <w:autoSpaceDN w:val="0"/>
              <w:adjustRightInd w:val="0"/>
              <w:rPr>
                <w:rFonts w:ascii="Microsoft Sans Serif" w:hAnsi="Microsoft Sans Serif" w:cs="Microsoft Sans Serif"/>
                <w:bCs/>
                <w:lang w:val="bs-Latn-BA" w:eastAsia="en-US"/>
              </w:rPr>
            </w:pPr>
          </w:p>
        </w:tc>
        <w:tc>
          <w:tcPr>
            <w:tcW w:w="1276" w:type="dxa"/>
            <w:shd w:val="clear" w:color="auto" w:fill="auto"/>
          </w:tcPr>
          <w:p w14:paraId="255F11C3">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lang w:val="bs-Latn-BA" w:eastAsia="en-US"/>
              </w:rPr>
              <w:t>Torsade de pointes*, ventrikularna tahikardija*, ventrikularna fibrilacija, produženja QT na electrokardiogramu*</w:t>
            </w:r>
          </w:p>
        </w:tc>
        <w:tc>
          <w:tcPr>
            <w:tcW w:w="1275" w:type="dxa"/>
          </w:tcPr>
          <w:p w14:paraId="4B392FDF">
            <w:pPr>
              <w:autoSpaceDE w:val="0"/>
              <w:autoSpaceDN w:val="0"/>
              <w:adjustRightInd w:val="0"/>
              <w:rPr>
                <w:rFonts w:ascii="Microsoft Sans Serif" w:hAnsi="Microsoft Sans Serif" w:cs="Microsoft Sans Serif"/>
                <w:lang w:val="bs-Latn-BA" w:eastAsia="en-US"/>
              </w:rPr>
            </w:pPr>
          </w:p>
        </w:tc>
        <w:tc>
          <w:tcPr>
            <w:tcW w:w="1275" w:type="dxa"/>
            <w:shd w:val="clear" w:color="auto" w:fill="auto"/>
          </w:tcPr>
          <w:p w14:paraId="33004BB9">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bCs/>
                <w:lang w:val="bs-Latn-BA" w:eastAsia="en-US"/>
              </w:rPr>
              <w:t>Stres kardiomiopatija (takotsubo kardiomiopatija)*</w:t>
            </w:r>
          </w:p>
        </w:tc>
      </w:tr>
      <w:tr w14:paraId="1336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shd w:val="clear" w:color="auto" w:fill="auto"/>
          </w:tcPr>
          <w:p w14:paraId="2961CC21">
            <w:pPr>
              <w:pStyle w:val="19"/>
              <w:jc w:val="left"/>
              <w:rPr>
                <w:lang w:val="bs-Latn-BA" w:eastAsia="en-US"/>
              </w:rPr>
            </w:pPr>
            <w:r>
              <w:rPr>
                <w:rFonts w:ascii="Microsoft Sans Serif" w:hAnsi="Microsoft Sans Serif" w:cs="Microsoft Sans Serif"/>
                <w:b w:val="0"/>
                <w:sz w:val="20"/>
                <w:lang w:val="bs-Latn-BA"/>
              </w:rPr>
              <w:t xml:space="preserve">Vaskularni poremećaji </w:t>
            </w:r>
          </w:p>
        </w:tc>
        <w:tc>
          <w:tcPr>
            <w:tcW w:w="1260" w:type="dxa"/>
            <w:shd w:val="clear" w:color="auto" w:fill="auto"/>
          </w:tcPr>
          <w:p w14:paraId="27E0D8B2">
            <w:pPr>
              <w:autoSpaceDE w:val="0"/>
              <w:autoSpaceDN w:val="0"/>
              <w:adjustRightInd w:val="0"/>
              <w:rPr>
                <w:rFonts w:ascii="Microsoft Sans Serif" w:hAnsi="Microsoft Sans Serif" w:cs="Microsoft Sans Serif"/>
                <w:bCs/>
                <w:lang w:val="bs-Latn-BA" w:eastAsia="en-US"/>
              </w:rPr>
            </w:pPr>
          </w:p>
        </w:tc>
        <w:tc>
          <w:tcPr>
            <w:tcW w:w="1162" w:type="dxa"/>
            <w:shd w:val="clear" w:color="auto" w:fill="auto"/>
          </w:tcPr>
          <w:p w14:paraId="77E5DBCF">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lang w:val="bs-Latn-BA" w:eastAsia="en-US"/>
              </w:rPr>
              <w:t>Hipertenzija, valunzi</w:t>
            </w:r>
          </w:p>
        </w:tc>
        <w:tc>
          <w:tcPr>
            <w:tcW w:w="1418" w:type="dxa"/>
            <w:shd w:val="clear" w:color="auto" w:fill="auto"/>
          </w:tcPr>
          <w:p w14:paraId="482E886A">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lang w:val="bs-Latn-BA" w:eastAsia="en-US"/>
              </w:rPr>
              <w:t>Ortostatska hipotenzija, hipotenzija*</w:t>
            </w:r>
          </w:p>
        </w:tc>
        <w:tc>
          <w:tcPr>
            <w:tcW w:w="1276" w:type="dxa"/>
            <w:shd w:val="clear" w:color="auto" w:fill="auto"/>
          </w:tcPr>
          <w:p w14:paraId="3C3419DC">
            <w:pPr>
              <w:autoSpaceDE w:val="0"/>
              <w:autoSpaceDN w:val="0"/>
              <w:adjustRightInd w:val="0"/>
              <w:rPr>
                <w:rFonts w:ascii="Microsoft Sans Serif" w:hAnsi="Microsoft Sans Serif" w:cs="Microsoft Sans Serif"/>
                <w:bCs/>
                <w:lang w:val="bs-Latn-BA" w:eastAsia="en-US"/>
              </w:rPr>
            </w:pPr>
          </w:p>
        </w:tc>
        <w:tc>
          <w:tcPr>
            <w:tcW w:w="1275" w:type="dxa"/>
          </w:tcPr>
          <w:p w14:paraId="35D0CE1C">
            <w:pPr>
              <w:autoSpaceDE w:val="0"/>
              <w:autoSpaceDN w:val="0"/>
              <w:adjustRightInd w:val="0"/>
              <w:rPr>
                <w:rFonts w:ascii="Microsoft Sans Serif" w:hAnsi="Microsoft Sans Serif" w:cs="Microsoft Sans Serif"/>
                <w:lang w:val="bs-Latn-BA" w:eastAsia="en-US"/>
              </w:rPr>
            </w:pPr>
          </w:p>
        </w:tc>
        <w:tc>
          <w:tcPr>
            <w:tcW w:w="1275" w:type="dxa"/>
            <w:shd w:val="clear" w:color="auto" w:fill="auto"/>
          </w:tcPr>
          <w:p w14:paraId="267FE310">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lang w:val="bs-Latn-BA" w:eastAsia="en-US"/>
              </w:rPr>
              <w:t xml:space="preserve">, </w:t>
            </w:r>
          </w:p>
        </w:tc>
      </w:tr>
      <w:tr w14:paraId="07C77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shd w:val="clear" w:color="auto" w:fill="auto"/>
          </w:tcPr>
          <w:p w14:paraId="19E46080">
            <w:pPr>
              <w:pStyle w:val="19"/>
              <w:jc w:val="left"/>
              <w:rPr>
                <w:lang w:val="bs-Latn-BA" w:eastAsia="en-US"/>
              </w:rPr>
            </w:pPr>
            <w:r>
              <w:rPr>
                <w:rFonts w:ascii="Microsoft Sans Serif" w:hAnsi="Microsoft Sans Serif" w:cs="Microsoft Sans Serif"/>
                <w:b w:val="0"/>
                <w:sz w:val="20"/>
                <w:lang w:val="bs-Latn-BA"/>
              </w:rPr>
              <w:t xml:space="preserve">Respiratorni, torakalni i medijastinalni poremećaji </w:t>
            </w:r>
          </w:p>
        </w:tc>
        <w:tc>
          <w:tcPr>
            <w:tcW w:w="1260" w:type="dxa"/>
            <w:shd w:val="clear" w:color="auto" w:fill="auto"/>
          </w:tcPr>
          <w:p w14:paraId="6956CF50">
            <w:pPr>
              <w:autoSpaceDE w:val="0"/>
              <w:autoSpaceDN w:val="0"/>
              <w:adjustRightInd w:val="0"/>
              <w:rPr>
                <w:rFonts w:ascii="Microsoft Sans Serif" w:hAnsi="Microsoft Sans Serif" w:cs="Microsoft Sans Serif"/>
                <w:bCs/>
                <w:lang w:val="bs-Latn-BA" w:eastAsia="en-US"/>
              </w:rPr>
            </w:pPr>
          </w:p>
        </w:tc>
        <w:tc>
          <w:tcPr>
            <w:tcW w:w="1162" w:type="dxa"/>
            <w:shd w:val="clear" w:color="auto" w:fill="auto"/>
          </w:tcPr>
          <w:p w14:paraId="425C0E79">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bCs/>
                <w:lang w:val="bs-Latn-BA" w:eastAsia="en-US"/>
              </w:rPr>
              <w:t>Dispneja*,  zijevanje</w:t>
            </w:r>
          </w:p>
        </w:tc>
        <w:tc>
          <w:tcPr>
            <w:tcW w:w="1418" w:type="dxa"/>
            <w:shd w:val="clear" w:color="auto" w:fill="auto"/>
          </w:tcPr>
          <w:p w14:paraId="60A40CB3">
            <w:pPr>
              <w:autoSpaceDE w:val="0"/>
              <w:autoSpaceDN w:val="0"/>
              <w:adjustRightInd w:val="0"/>
              <w:rPr>
                <w:rFonts w:ascii="Microsoft Sans Serif" w:hAnsi="Microsoft Sans Serif" w:cs="Microsoft Sans Serif"/>
                <w:bCs/>
                <w:lang w:val="bs-Latn-BA" w:eastAsia="en-US"/>
              </w:rPr>
            </w:pPr>
          </w:p>
        </w:tc>
        <w:tc>
          <w:tcPr>
            <w:tcW w:w="1276" w:type="dxa"/>
            <w:shd w:val="clear" w:color="auto" w:fill="auto"/>
          </w:tcPr>
          <w:p w14:paraId="4227A6CC">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bCs/>
                <w:lang w:val="bs-Latn-BA" w:eastAsia="en-US"/>
              </w:rPr>
              <w:t>Intersticijalna pluća bolest*, plućna eozinofilija*</w:t>
            </w:r>
          </w:p>
        </w:tc>
        <w:tc>
          <w:tcPr>
            <w:tcW w:w="1275" w:type="dxa"/>
          </w:tcPr>
          <w:p w14:paraId="0636B528">
            <w:pPr>
              <w:autoSpaceDE w:val="0"/>
              <w:autoSpaceDN w:val="0"/>
              <w:adjustRightInd w:val="0"/>
              <w:rPr>
                <w:rFonts w:ascii="Microsoft Sans Serif" w:hAnsi="Microsoft Sans Serif" w:cs="Microsoft Sans Serif"/>
                <w:bCs/>
                <w:lang w:val="bs-Latn-BA" w:eastAsia="en-US"/>
              </w:rPr>
            </w:pPr>
          </w:p>
        </w:tc>
        <w:tc>
          <w:tcPr>
            <w:tcW w:w="1275" w:type="dxa"/>
            <w:shd w:val="clear" w:color="auto" w:fill="auto"/>
          </w:tcPr>
          <w:p w14:paraId="7BD07939">
            <w:pPr>
              <w:autoSpaceDE w:val="0"/>
              <w:autoSpaceDN w:val="0"/>
              <w:adjustRightInd w:val="0"/>
              <w:rPr>
                <w:rFonts w:ascii="Microsoft Sans Serif" w:hAnsi="Microsoft Sans Serif" w:cs="Microsoft Sans Serif"/>
                <w:bCs/>
                <w:lang w:val="bs-Latn-BA" w:eastAsia="en-US"/>
              </w:rPr>
            </w:pPr>
          </w:p>
        </w:tc>
      </w:tr>
      <w:tr w14:paraId="07801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shd w:val="clear" w:color="auto" w:fill="auto"/>
          </w:tcPr>
          <w:p w14:paraId="0F7FEB58">
            <w:pPr>
              <w:pStyle w:val="19"/>
              <w:jc w:val="left"/>
              <w:rPr>
                <w:lang w:val="bs-Latn-BA" w:eastAsia="en-US"/>
              </w:rPr>
            </w:pPr>
            <w:r>
              <w:rPr>
                <w:rFonts w:ascii="Microsoft Sans Serif" w:hAnsi="Microsoft Sans Serif" w:cs="Microsoft Sans Serif"/>
                <w:b w:val="0"/>
                <w:sz w:val="20"/>
                <w:lang w:val="bs-Latn-BA"/>
              </w:rPr>
              <w:t xml:space="preserve">Gastrointe-stinalni poremećaji </w:t>
            </w:r>
          </w:p>
        </w:tc>
        <w:tc>
          <w:tcPr>
            <w:tcW w:w="1260" w:type="dxa"/>
            <w:shd w:val="clear" w:color="auto" w:fill="auto"/>
          </w:tcPr>
          <w:p w14:paraId="39743ED9">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lang w:val="bs-Latn-BA" w:eastAsia="en-US"/>
              </w:rPr>
              <w:t>Mučnina, suva usta opstipacija</w:t>
            </w:r>
          </w:p>
        </w:tc>
        <w:tc>
          <w:tcPr>
            <w:tcW w:w="1162" w:type="dxa"/>
            <w:shd w:val="clear" w:color="auto" w:fill="auto"/>
          </w:tcPr>
          <w:p w14:paraId="3B9BE74B">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lang w:val="bs-Latn-BA" w:eastAsia="en-US"/>
              </w:rPr>
              <w:t xml:space="preserve">Povraćanje, dijareja*, </w:t>
            </w:r>
          </w:p>
        </w:tc>
        <w:tc>
          <w:tcPr>
            <w:tcW w:w="1418" w:type="dxa"/>
            <w:shd w:val="clear" w:color="auto" w:fill="auto"/>
          </w:tcPr>
          <w:p w14:paraId="670507A1">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bCs/>
                <w:lang w:val="bs-Latn-BA" w:eastAsia="en-US"/>
              </w:rPr>
              <w:t>Gastrointestinalna krvarenja*</w:t>
            </w:r>
          </w:p>
        </w:tc>
        <w:tc>
          <w:tcPr>
            <w:tcW w:w="1276" w:type="dxa"/>
            <w:shd w:val="clear" w:color="auto" w:fill="auto"/>
          </w:tcPr>
          <w:p w14:paraId="47028E18">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lang w:val="bs-Latn-BA" w:eastAsia="en-US"/>
              </w:rPr>
              <w:t>Pankreatitis*</w:t>
            </w:r>
          </w:p>
        </w:tc>
        <w:tc>
          <w:tcPr>
            <w:tcW w:w="1275" w:type="dxa"/>
          </w:tcPr>
          <w:p w14:paraId="48120A0E">
            <w:pPr>
              <w:autoSpaceDE w:val="0"/>
              <w:autoSpaceDN w:val="0"/>
              <w:adjustRightInd w:val="0"/>
              <w:rPr>
                <w:rFonts w:ascii="Microsoft Sans Serif" w:hAnsi="Microsoft Sans Serif" w:cs="Microsoft Sans Serif"/>
                <w:lang w:val="bs-Latn-BA" w:eastAsia="en-US"/>
              </w:rPr>
            </w:pPr>
          </w:p>
        </w:tc>
        <w:tc>
          <w:tcPr>
            <w:tcW w:w="1275" w:type="dxa"/>
            <w:shd w:val="clear" w:color="auto" w:fill="auto"/>
          </w:tcPr>
          <w:p w14:paraId="7718A508">
            <w:pPr>
              <w:autoSpaceDE w:val="0"/>
              <w:autoSpaceDN w:val="0"/>
              <w:adjustRightInd w:val="0"/>
              <w:rPr>
                <w:rFonts w:ascii="Microsoft Sans Serif" w:hAnsi="Microsoft Sans Serif" w:cs="Microsoft Sans Serif"/>
                <w:bCs/>
                <w:lang w:val="bs-Latn-BA" w:eastAsia="en-US"/>
              </w:rPr>
            </w:pPr>
          </w:p>
        </w:tc>
      </w:tr>
      <w:tr w14:paraId="2FB04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shd w:val="clear" w:color="auto" w:fill="auto"/>
          </w:tcPr>
          <w:p w14:paraId="7E7287B1">
            <w:pPr>
              <w:pStyle w:val="19"/>
              <w:jc w:val="left"/>
              <w:rPr>
                <w:lang w:val="bs-Latn-BA" w:eastAsia="en-US"/>
              </w:rPr>
            </w:pPr>
            <w:r>
              <w:rPr>
                <w:rFonts w:ascii="Microsoft Sans Serif" w:hAnsi="Microsoft Sans Serif" w:cs="Microsoft Sans Serif"/>
                <w:b w:val="0"/>
                <w:sz w:val="20"/>
                <w:lang w:val="bs-Latn-BA"/>
              </w:rPr>
              <w:t xml:space="preserve">Hepatobilijarni poremećaji </w:t>
            </w:r>
          </w:p>
        </w:tc>
        <w:tc>
          <w:tcPr>
            <w:tcW w:w="1260" w:type="dxa"/>
            <w:shd w:val="clear" w:color="auto" w:fill="auto"/>
          </w:tcPr>
          <w:p w14:paraId="0ACC896A">
            <w:pPr>
              <w:autoSpaceDE w:val="0"/>
              <w:autoSpaceDN w:val="0"/>
              <w:adjustRightInd w:val="0"/>
              <w:rPr>
                <w:rFonts w:ascii="Microsoft Sans Serif" w:hAnsi="Microsoft Sans Serif" w:cs="Microsoft Sans Serif"/>
                <w:bCs/>
                <w:lang w:val="bs-Latn-BA" w:eastAsia="en-US"/>
              </w:rPr>
            </w:pPr>
          </w:p>
        </w:tc>
        <w:tc>
          <w:tcPr>
            <w:tcW w:w="1162" w:type="dxa"/>
            <w:shd w:val="clear" w:color="auto" w:fill="auto"/>
          </w:tcPr>
          <w:p w14:paraId="63C06193">
            <w:pPr>
              <w:autoSpaceDE w:val="0"/>
              <w:autoSpaceDN w:val="0"/>
              <w:adjustRightInd w:val="0"/>
              <w:rPr>
                <w:rFonts w:ascii="Microsoft Sans Serif" w:hAnsi="Microsoft Sans Serif" w:cs="Microsoft Sans Serif"/>
                <w:bCs/>
                <w:lang w:val="bs-Latn-BA" w:eastAsia="en-US"/>
              </w:rPr>
            </w:pPr>
          </w:p>
        </w:tc>
        <w:tc>
          <w:tcPr>
            <w:tcW w:w="1418" w:type="dxa"/>
            <w:shd w:val="clear" w:color="auto" w:fill="auto"/>
          </w:tcPr>
          <w:p w14:paraId="666C3BD6">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bCs/>
                <w:lang w:val="bs-Latn-BA" w:eastAsia="en-US"/>
              </w:rPr>
              <w:t>Poremećaj funkcionalnih testova jetre*</w:t>
            </w:r>
          </w:p>
        </w:tc>
        <w:tc>
          <w:tcPr>
            <w:tcW w:w="1276" w:type="dxa"/>
            <w:shd w:val="clear" w:color="auto" w:fill="auto"/>
          </w:tcPr>
          <w:p w14:paraId="61406F1C">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bCs/>
                <w:lang w:val="bs-Latn-BA" w:eastAsia="en-US"/>
              </w:rPr>
              <w:t>Hepatitis*</w:t>
            </w:r>
          </w:p>
        </w:tc>
        <w:tc>
          <w:tcPr>
            <w:tcW w:w="1275" w:type="dxa"/>
          </w:tcPr>
          <w:p w14:paraId="7FF3745D">
            <w:pPr>
              <w:autoSpaceDE w:val="0"/>
              <w:autoSpaceDN w:val="0"/>
              <w:adjustRightInd w:val="0"/>
              <w:rPr>
                <w:rFonts w:ascii="Microsoft Sans Serif" w:hAnsi="Microsoft Sans Serif" w:cs="Microsoft Sans Serif"/>
                <w:bCs/>
                <w:lang w:val="bs-Latn-BA" w:eastAsia="en-US"/>
              </w:rPr>
            </w:pPr>
          </w:p>
        </w:tc>
        <w:tc>
          <w:tcPr>
            <w:tcW w:w="1275" w:type="dxa"/>
            <w:shd w:val="clear" w:color="auto" w:fill="auto"/>
          </w:tcPr>
          <w:p w14:paraId="39C402E8">
            <w:pPr>
              <w:autoSpaceDE w:val="0"/>
              <w:autoSpaceDN w:val="0"/>
              <w:adjustRightInd w:val="0"/>
              <w:rPr>
                <w:rFonts w:ascii="Microsoft Sans Serif" w:hAnsi="Microsoft Sans Serif" w:cs="Microsoft Sans Serif"/>
                <w:bCs/>
                <w:lang w:val="bs-Latn-BA" w:eastAsia="en-US"/>
              </w:rPr>
            </w:pPr>
          </w:p>
        </w:tc>
      </w:tr>
      <w:tr w14:paraId="5B040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shd w:val="clear" w:color="auto" w:fill="auto"/>
          </w:tcPr>
          <w:p w14:paraId="7F9FEB51">
            <w:pPr>
              <w:rPr>
                <w:rFonts w:ascii="Microsoft Sans Serif" w:hAnsi="Microsoft Sans Serif" w:cs="Microsoft Sans Serif"/>
                <w:bCs/>
                <w:lang w:val="bs-Latn-BA" w:eastAsia="en-US"/>
              </w:rPr>
            </w:pPr>
            <w:r>
              <w:rPr>
                <w:rFonts w:ascii="Microsoft Sans Serif" w:hAnsi="Microsoft Sans Serif" w:cs="Microsoft Sans Serif"/>
                <w:b/>
                <w:lang w:val="bs-Latn-BA"/>
              </w:rPr>
              <w:t xml:space="preserve">Poremećaji kože i potkožnog tkiva </w:t>
            </w:r>
          </w:p>
        </w:tc>
        <w:tc>
          <w:tcPr>
            <w:tcW w:w="1260" w:type="dxa"/>
            <w:shd w:val="clear" w:color="auto" w:fill="auto"/>
          </w:tcPr>
          <w:p w14:paraId="4892ABB8">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lang w:val="bs-Latn-BA" w:eastAsia="en-US"/>
              </w:rPr>
              <w:t xml:space="preserve">Hiperhidro-za (uključuju-ći noćno znojenje)* </w:t>
            </w:r>
          </w:p>
        </w:tc>
        <w:tc>
          <w:tcPr>
            <w:tcW w:w="1162" w:type="dxa"/>
            <w:shd w:val="clear" w:color="auto" w:fill="auto"/>
          </w:tcPr>
          <w:p w14:paraId="3DD281B8">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lang w:val="bs-Latn-BA"/>
              </w:rPr>
              <w:t>Osip</w:t>
            </w:r>
            <w:r>
              <w:rPr>
                <w:rFonts w:ascii="Microsoft Sans Serif" w:hAnsi="Microsoft Sans Serif" w:cs="Microsoft Sans Serif"/>
                <w:bCs/>
                <w:lang w:val="bs-Latn-BA" w:eastAsia="en-US"/>
              </w:rPr>
              <w:t xml:space="preserve">, </w:t>
            </w:r>
            <w:r>
              <w:rPr>
                <w:rFonts w:ascii="Microsoft Sans Serif" w:hAnsi="Microsoft Sans Serif" w:cs="Microsoft Sans Serif"/>
                <w:lang w:val="bs-Latn-BA" w:eastAsia="en-US"/>
              </w:rPr>
              <w:t>svrbež *</w:t>
            </w:r>
          </w:p>
        </w:tc>
        <w:tc>
          <w:tcPr>
            <w:tcW w:w="1418" w:type="dxa"/>
            <w:shd w:val="clear" w:color="auto" w:fill="auto"/>
          </w:tcPr>
          <w:p w14:paraId="4FC73B72">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lang w:val="bs-Latn-BA" w:eastAsia="en-US"/>
              </w:rPr>
              <w:t>Urtikarija*</w:t>
            </w:r>
            <w:r>
              <w:rPr>
                <w:rFonts w:ascii="Microsoft Sans Serif" w:hAnsi="Microsoft Sans Serif" w:cs="Microsoft Sans Serif"/>
                <w:bCs/>
                <w:lang w:val="bs-Latn-BA" w:eastAsia="en-US"/>
              </w:rPr>
              <w:t xml:space="preserve"> angioedem*, fotosenzitivna reakcija, ekhimoza, alopecija*</w:t>
            </w:r>
          </w:p>
        </w:tc>
        <w:tc>
          <w:tcPr>
            <w:tcW w:w="1276" w:type="dxa"/>
            <w:shd w:val="clear" w:color="auto" w:fill="auto"/>
          </w:tcPr>
          <w:p w14:paraId="294068D2">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lang w:val="bs-Latn-BA" w:eastAsia="en-US"/>
              </w:rPr>
              <w:t>Eritema multiforme*, toksična epidermalna nekroliza*, Stivens— Džonsonov sindrom*</w:t>
            </w:r>
          </w:p>
        </w:tc>
        <w:tc>
          <w:tcPr>
            <w:tcW w:w="1275" w:type="dxa"/>
          </w:tcPr>
          <w:p w14:paraId="2702030D">
            <w:pPr>
              <w:autoSpaceDE w:val="0"/>
              <w:autoSpaceDN w:val="0"/>
              <w:adjustRightInd w:val="0"/>
              <w:rPr>
                <w:rFonts w:ascii="Microsoft Sans Serif" w:hAnsi="Microsoft Sans Serif" w:cs="Microsoft Sans Serif"/>
                <w:lang w:val="bs-Latn-BA" w:eastAsia="en-US"/>
              </w:rPr>
            </w:pPr>
          </w:p>
        </w:tc>
        <w:tc>
          <w:tcPr>
            <w:tcW w:w="1275" w:type="dxa"/>
            <w:shd w:val="clear" w:color="auto" w:fill="auto"/>
          </w:tcPr>
          <w:p w14:paraId="7AAD0775">
            <w:pPr>
              <w:autoSpaceDE w:val="0"/>
              <w:autoSpaceDN w:val="0"/>
              <w:adjustRightInd w:val="0"/>
              <w:rPr>
                <w:rFonts w:ascii="Microsoft Sans Serif" w:hAnsi="Microsoft Sans Serif" w:cs="Microsoft Sans Serif"/>
                <w:bCs/>
                <w:lang w:val="bs-Latn-BA" w:eastAsia="en-US"/>
              </w:rPr>
            </w:pPr>
          </w:p>
        </w:tc>
      </w:tr>
      <w:tr w14:paraId="35AD3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shd w:val="clear" w:color="auto" w:fill="auto"/>
          </w:tcPr>
          <w:p w14:paraId="7A7035E4">
            <w:pPr>
              <w:rPr>
                <w:rFonts w:ascii="Microsoft Sans Serif" w:hAnsi="Microsoft Sans Serif" w:cs="Microsoft Sans Serif"/>
                <w:b/>
                <w:bCs/>
                <w:lang w:val="bs-Latn-BA" w:eastAsia="en-US"/>
              </w:rPr>
            </w:pPr>
            <w:r>
              <w:rPr>
                <w:rFonts w:ascii="Microsoft Sans Serif" w:hAnsi="Microsoft Sans Serif" w:cs="Microsoft Sans Serif"/>
                <w:lang w:val="bs-Latn-BA"/>
              </w:rPr>
              <w:t xml:space="preserve">Poremećaji mišićno-koštanog sistema i vezivnog tkiva </w:t>
            </w:r>
          </w:p>
        </w:tc>
        <w:tc>
          <w:tcPr>
            <w:tcW w:w="1260" w:type="dxa"/>
            <w:shd w:val="clear" w:color="auto" w:fill="auto"/>
          </w:tcPr>
          <w:p w14:paraId="3DD074CC">
            <w:pPr>
              <w:autoSpaceDE w:val="0"/>
              <w:autoSpaceDN w:val="0"/>
              <w:adjustRightInd w:val="0"/>
              <w:rPr>
                <w:rFonts w:ascii="Microsoft Sans Serif" w:hAnsi="Microsoft Sans Serif" w:cs="Microsoft Sans Serif"/>
                <w:bCs/>
                <w:lang w:val="bs-Latn-BA" w:eastAsia="en-US"/>
              </w:rPr>
            </w:pPr>
          </w:p>
        </w:tc>
        <w:tc>
          <w:tcPr>
            <w:tcW w:w="1162" w:type="dxa"/>
            <w:shd w:val="clear" w:color="auto" w:fill="auto"/>
          </w:tcPr>
          <w:p w14:paraId="011D9173">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bCs/>
                <w:lang w:val="bs-Latn-BA" w:eastAsia="en-US"/>
              </w:rPr>
              <w:t>Hipertonija</w:t>
            </w:r>
          </w:p>
        </w:tc>
        <w:tc>
          <w:tcPr>
            <w:tcW w:w="1418" w:type="dxa"/>
            <w:shd w:val="clear" w:color="auto" w:fill="auto"/>
          </w:tcPr>
          <w:p w14:paraId="6661AC5C">
            <w:pPr>
              <w:autoSpaceDE w:val="0"/>
              <w:autoSpaceDN w:val="0"/>
              <w:adjustRightInd w:val="0"/>
              <w:rPr>
                <w:rFonts w:ascii="Microsoft Sans Serif" w:hAnsi="Microsoft Sans Serif" w:cs="Microsoft Sans Serif"/>
                <w:bCs/>
                <w:lang w:val="bs-Latn-BA" w:eastAsia="en-US"/>
              </w:rPr>
            </w:pPr>
          </w:p>
        </w:tc>
        <w:tc>
          <w:tcPr>
            <w:tcW w:w="1276" w:type="dxa"/>
            <w:shd w:val="clear" w:color="auto" w:fill="auto"/>
          </w:tcPr>
          <w:p w14:paraId="4C1E3F7B">
            <w:pPr>
              <w:autoSpaceDE w:val="0"/>
              <w:autoSpaceDN w:val="0"/>
              <w:adjustRightInd w:val="0"/>
              <w:rPr>
                <w:rFonts w:ascii="Microsoft Sans Serif" w:hAnsi="Microsoft Sans Serif" w:cs="Microsoft Sans Serif"/>
                <w:b/>
                <w:bCs/>
                <w:lang w:val="bs-Latn-BA" w:eastAsia="en-US"/>
              </w:rPr>
            </w:pPr>
            <w:r>
              <w:rPr>
                <w:rFonts w:ascii="Microsoft Sans Serif" w:hAnsi="Microsoft Sans Serif" w:cs="Microsoft Sans Serif"/>
                <w:lang w:val="bs-Latn-BA"/>
              </w:rPr>
              <w:t>Rabdomioliza*</w:t>
            </w:r>
          </w:p>
        </w:tc>
        <w:tc>
          <w:tcPr>
            <w:tcW w:w="1275" w:type="dxa"/>
          </w:tcPr>
          <w:p w14:paraId="3F7632DE">
            <w:pPr>
              <w:autoSpaceDE w:val="0"/>
              <w:autoSpaceDN w:val="0"/>
              <w:adjustRightInd w:val="0"/>
              <w:rPr>
                <w:rFonts w:ascii="Microsoft Sans Serif" w:hAnsi="Microsoft Sans Serif" w:cs="Microsoft Sans Serif"/>
                <w:lang w:val="bs-Latn-BA"/>
              </w:rPr>
            </w:pPr>
          </w:p>
        </w:tc>
        <w:tc>
          <w:tcPr>
            <w:tcW w:w="1275" w:type="dxa"/>
            <w:shd w:val="clear" w:color="auto" w:fill="auto"/>
          </w:tcPr>
          <w:p w14:paraId="348A38AE">
            <w:pPr>
              <w:autoSpaceDE w:val="0"/>
              <w:autoSpaceDN w:val="0"/>
              <w:adjustRightInd w:val="0"/>
              <w:rPr>
                <w:rFonts w:ascii="Microsoft Sans Serif" w:hAnsi="Microsoft Sans Serif" w:cs="Microsoft Sans Serif"/>
                <w:bCs/>
                <w:lang w:val="bs-Latn-BA" w:eastAsia="en-US"/>
              </w:rPr>
            </w:pPr>
          </w:p>
        </w:tc>
      </w:tr>
      <w:tr w14:paraId="3055B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shd w:val="clear" w:color="auto" w:fill="auto"/>
          </w:tcPr>
          <w:p w14:paraId="48A33342">
            <w:pPr>
              <w:pStyle w:val="19"/>
              <w:jc w:val="left"/>
              <w:rPr>
                <w:lang w:val="bs-Latn-BA" w:eastAsia="en-US"/>
              </w:rPr>
            </w:pPr>
            <w:r>
              <w:rPr>
                <w:rFonts w:ascii="Microsoft Sans Serif" w:hAnsi="Microsoft Sans Serif" w:cs="Microsoft Sans Serif"/>
                <w:b w:val="0"/>
                <w:sz w:val="20"/>
                <w:lang w:val="bs-Latn-BA"/>
              </w:rPr>
              <w:t xml:space="preserve">Poremećaji bubrega i urinarnog sistema </w:t>
            </w:r>
          </w:p>
        </w:tc>
        <w:tc>
          <w:tcPr>
            <w:tcW w:w="1260" w:type="dxa"/>
            <w:shd w:val="clear" w:color="auto" w:fill="auto"/>
          </w:tcPr>
          <w:p w14:paraId="37F244E4">
            <w:pPr>
              <w:autoSpaceDE w:val="0"/>
              <w:autoSpaceDN w:val="0"/>
              <w:adjustRightInd w:val="0"/>
              <w:rPr>
                <w:rFonts w:ascii="Microsoft Sans Serif" w:hAnsi="Microsoft Sans Serif" w:cs="Microsoft Sans Serif"/>
                <w:bCs/>
                <w:lang w:val="bs-Latn-BA" w:eastAsia="en-US"/>
              </w:rPr>
            </w:pPr>
          </w:p>
        </w:tc>
        <w:tc>
          <w:tcPr>
            <w:tcW w:w="1162" w:type="dxa"/>
            <w:shd w:val="clear" w:color="auto" w:fill="auto"/>
          </w:tcPr>
          <w:p w14:paraId="6449B777">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lang w:val="bs-Latn-BA" w:eastAsia="en-US"/>
              </w:rPr>
              <w:t>Poremećeno uriniranje, urinarna retencija polakiurija*</w:t>
            </w:r>
          </w:p>
        </w:tc>
        <w:tc>
          <w:tcPr>
            <w:tcW w:w="1418" w:type="dxa"/>
            <w:shd w:val="clear" w:color="auto" w:fill="auto"/>
          </w:tcPr>
          <w:p w14:paraId="7B104BDC">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lang w:val="bs-Latn-BA" w:eastAsia="en-US"/>
              </w:rPr>
              <w:t>Urinarna inkontine-ncija*</w:t>
            </w:r>
          </w:p>
        </w:tc>
        <w:tc>
          <w:tcPr>
            <w:tcW w:w="1276" w:type="dxa"/>
            <w:shd w:val="clear" w:color="auto" w:fill="auto"/>
          </w:tcPr>
          <w:p w14:paraId="3B3B2BE3">
            <w:pPr>
              <w:autoSpaceDE w:val="0"/>
              <w:autoSpaceDN w:val="0"/>
              <w:adjustRightInd w:val="0"/>
              <w:rPr>
                <w:rFonts w:ascii="Microsoft Sans Serif" w:hAnsi="Microsoft Sans Serif" w:cs="Microsoft Sans Serif"/>
                <w:bCs/>
                <w:lang w:val="bs-Latn-BA" w:eastAsia="en-US"/>
              </w:rPr>
            </w:pPr>
          </w:p>
        </w:tc>
        <w:tc>
          <w:tcPr>
            <w:tcW w:w="1275" w:type="dxa"/>
          </w:tcPr>
          <w:p w14:paraId="680F6BC5">
            <w:pPr>
              <w:autoSpaceDE w:val="0"/>
              <w:autoSpaceDN w:val="0"/>
              <w:adjustRightInd w:val="0"/>
              <w:rPr>
                <w:rFonts w:ascii="Microsoft Sans Serif" w:hAnsi="Microsoft Sans Serif" w:cs="Microsoft Sans Serif"/>
                <w:bCs/>
                <w:lang w:val="bs-Latn-BA" w:eastAsia="en-US"/>
              </w:rPr>
            </w:pPr>
          </w:p>
        </w:tc>
        <w:tc>
          <w:tcPr>
            <w:tcW w:w="1275" w:type="dxa"/>
            <w:shd w:val="clear" w:color="auto" w:fill="auto"/>
          </w:tcPr>
          <w:p w14:paraId="32A64945">
            <w:pPr>
              <w:autoSpaceDE w:val="0"/>
              <w:autoSpaceDN w:val="0"/>
              <w:adjustRightInd w:val="0"/>
              <w:rPr>
                <w:rFonts w:ascii="Microsoft Sans Serif" w:hAnsi="Microsoft Sans Serif" w:cs="Microsoft Sans Serif"/>
                <w:bCs/>
                <w:lang w:val="bs-Latn-BA" w:eastAsia="en-US"/>
              </w:rPr>
            </w:pPr>
          </w:p>
        </w:tc>
      </w:tr>
      <w:tr w14:paraId="320C5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shd w:val="clear" w:color="auto" w:fill="auto"/>
          </w:tcPr>
          <w:p w14:paraId="621F2108">
            <w:pPr>
              <w:pStyle w:val="19"/>
              <w:jc w:val="left"/>
              <w:rPr>
                <w:lang w:val="bs-Latn-BA" w:eastAsia="en-US"/>
              </w:rPr>
            </w:pPr>
            <w:r>
              <w:rPr>
                <w:rFonts w:ascii="Microsoft Sans Serif" w:hAnsi="Microsoft Sans Serif" w:cs="Microsoft Sans Serif"/>
                <w:b w:val="0"/>
                <w:sz w:val="20"/>
                <w:lang w:val="bs-Latn-BA"/>
              </w:rPr>
              <w:t xml:space="preserve">Poremećaji reproduktivnog sistema i dojki </w:t>
            </w:r>
          </w:p>
        </w:tc>
        <w:tc>
          <w:tcPr>
            <w:tcW w:w="1260" w:type="dxa"/>
            <w:shd w:val="clear" w:color="auto" w:fill="auto"/>
          </w:tcPr>
          <w:p w14:paraId="5F43161B">
            <w:pPr>
              <w:autoSpaceDE w:val="0"/>
              <w:autoSpaceDN w:val="0"/>
              <w:adjustRightInd w:val="0"/>
              <w:rPr>
                <w:rFonts w:ascii="Microsoft Sans Serif" w:hAnsi="Microsoft Sans Serif" w:cs="Microsoft Sans Serif"/>
                <w:b/>
                <w:bCs/>
                <w:lang w:val="bs-Latn-BA" w:eastAsia="en-US"/>
              </w:rPr>
            </w:pPr>
          </w:p>
        </w:tc>
        <w:tc>
          <w:tcPr>
            <w:tcW w:w="1162" w:type="dxa"/>
            <w:shd w:val="clear" w:color="auto" w:fill="auto"/>
          </w:tcPr>
          <w:p w14:paraId="57D38C9D">
            <w:pPr>
              <w:autoSpaceDE w:val="0"/>
              <w:autoSpaceDN w:val="0"/>
              <w:adjustRightInd w:val="0"/>
              <w:rPr>
                <w:rFonts w:ascii="Microsoft Sans Serif" w:hAnsi="Microsoft Sans Serif" w:cs="Microsoft Sans Serif"/>
                <w:vertAlign w:val="superscript"/>
                <w:lang w:val="bs-Latn-BA" w:eastAsia="en-US"/>
              </w:rPr>
            </w:pPr>
            <w:r>
              <w:rPr>
                <w:rFonts w:ascii="Microsoft Sans Serif" w:hAnsi="Microsoft Sans Serif" w:cs="Microsoft Sans Serif"/>
                <w:lang w:val="bs-Latn-BA" w:eastAsia="en-US"/>
              </w:rPr>
              <w:t xml:space="preserve">Menoragija*, metroragija*, abnormalna ejakuklacia </w:t>
            </w:r>
            <w:r>
              <w:rPr>
                <w:rFonts w:ascii="Microsoft Sans Serif" w:hAnsi="Microsoft Sans Serif" w:cs="Microsoft Sans Serif"/>
                <w:vertAlign w:val="superscript"/>
                <w:lang w:val="bs-Latn-BA" w:eastAsia="en-US"/>
              </w:rPr>
              <w:t>b</w:t>
            </w:r>
          </w:p>
          <w:p w14:paraId="338C76CD">
            <w:pPr>
              <w:autoSpaceDE w:val="0"/>
              <w:autoSpaceDN w:val="0"/>
              <w:adjustRightInd w:val="0"/>
              <w:rPr>
                <w:rFonts w:ascii="Microsoft Sans Serif" w:hAnsi="Microsoft Sans Serif" w:cs="Microsoft Sans Serif"/>
                <w:lang w:val="bs-Latn-BA" w:eastAsia="en-US"/>
              </w:rPr>
            </w:pPr>
            <w:r>
              <w:rPr>
                <w:rFonts w:ascii="Microsoft Sans Serif" w:hAnsi="Microsoft Sans Serif" w:cs="Microsoft Sans Serif"/>
                <w:lang w:val="bs-Latn-BA" w:eastAsia="en-US"/>
              </w:rPr>
              <w:t>erektilna disfunkcija</w:t>
            </w:r>
            <w:r>
              <w:rPr>
                <w:rFonts w:ascii="Microsoft Sans Serif" w:hAnsi="Microsoft Sans Serif" w:cs="Microsoft Sans Serif"/>
                <w:vertAlign w:val="superscript"/>
                <w:lang w:val="bs-Latn-BA" w:eastAsia="en-US"/>
              </w:rPr>
              <w:t>b</w:t>
            </w:r>
            <w:r>
              <w:rPr>
                <w:rFonts w:ascii="Microsoft Sans Serif" w:hAnsi="Microsoft Sans Serif" w:cs="Microsoft Sans Serif"/>
                <w:lang w:val="bs-Latn-BA" w:eastAsia="en-US"/>
              </w:rPr>
              <w:t xml:space="preserve"> </w:t>
            </w:r>
          </w:p>
        </w:tc>
        <w:tc>
          <w:tcPr>
            <w:tcW w:w="1418" w:type="dxa"/>
            <w:shd w:val="clear" w:color="auto" w:fill="auto"/>
          </w:tcPr>
          <w:p w14:paraId="2EB655CA">
            <w:pPr>
              <w:autoSpaceDE w:val="0"/>
              <w:autoSpaceDN w:val="0"/>
              <w:adjustRightInd w:val="0"/>
              <w:rPr>
                <w:rFonts w:ascii="Microsoft Sans Serif" w:hAnsi="Microsoft Sans Serif" w:cs="Microsoft Sans Serif"/>
                <w:b/>
                <w:bCs/>
                <w:lang w:val="bs-Latn-BA" w:eastAsia="en-US"/>
              </w:rPr>
            </w:pPr>
          </w:p>
        </w:tc>
        <w:tc>
          <w:tcPr>
            <w:tcW w:w="1276" w:type="dxa"/>
            <w:shd w:val="clear" w:color="auto" w:fill="auto"/>
          </w:tcPr>
          <w:p w14:paraId="2405EC85">
            <w:pPr>
              <w:autoSpaceDE w:val="0"/>
              <w:autoSpaceDN w:val="0"/>
              <w:adjustRightInd w:val="0"/>
              <w:rPr>
                <w:rFonts w:ascii="Microsoft Sans Serif" w:hAnsi="Microsoft Sans Serif" w:cs="Microsoft Sans Serif"/>
                <w:b/>
                <w:bCs/>
                <w:lang w:val="bs-Latn-BA" w:eastAsia="en-US"/>
              </w:rPr>
            </w:pPr>
          </w:p>
        </w:tc>
        <w:tc>
          <w:tcPr>
            <w:tcW w:w="1275" w:type="dxa"/>
          </w:tcPr>
          <w:p w14:paraId="124F5E65">
            <w:pPr>
              <w:autoSpaceDE w:val="0"/>
              <w:autoSpaceDN w:val="0"/>
              <w:adjustRightInd w:val="0"/>
              <w:rPr>
                <w:rFonts w:ascii="Microsoft Sans Serif" w:hAnsi="Microsoft Sans Serif" w:cs="Microsoft Sans Serif"/>
                <w:b/>
                <w:bCs/>
                <w:lang w:val="bs-Latn-BA" w:eastAsia="en-US"/>
              </w:rPr>
            </w:pPr>
          </w:p>
        </w:tc>
        <w:tc>
          <w:tcPr>
            <w:tcW w:w="1275" w:type="dxa"/>
            <w:shd w:val="clear" w:color="auto" w:fill="auto"/>
          </w:tcPr>
          <w:p w14:paraId="09E50563">
            <w:pPr>
              <w:autoSpaceDE w:val="0"/>
              <w:autoSpaceDN w:val="0"/>
              <w:adjustRightInd w:val="0"/>
              <w:rPr>
                <w:rFonts w:ascii="Microsoft Sans Serif" w:hAnsi="Microsoft Sans Serif" w:cs="Microsoft Sans Serif"/>
                <w:bCs/>
                <w:vertAlign w:val="superscript"/>
                <w:lang w:val="bs-Latn-BA" w:eastAsia="en-US"/>
              </w:rPr>
            </w:pPr>
            <w:r>
              <w:rPr>
                <w:rFonts w:ascii="Microsoft Sans Serif" w:hAnsi="Microsoft Sans Serif" w:cs="Microsoft Sans Serif"/>
                <w:bCs/>
                <w:lang w:val="bs-Latn-BA" w:eastAsia="en-US"/>
              </w:rPr>
              <w:t>Postporo</w:t>
            </w:r>
            <w:r>
              <w:rPr>
                <w:rFonts w:ascii="Microsoft Sans Serif" w:hAnsi="Microsoft Sans Serif" w:cs="Microsoft Sans Serif"/>
                <w:bCs/>
                <w:lang w:val="sr-Latn-BA" w:eastAsia="en-US"/>
              </w:rPr>
              <w:t>đ</w:t>
            </w:r>
            <w:r>
              <w:rPr>
                <w:rFonts w:ascii="Microsoft Sans Serif" w:hAnsi="Microsoft Sans Serif" w:cs="Microsoft Sans Serif"/>
                <w:bCs/>
                <w:lang w:val="bs-Latn-BA" w:eastAsia="en-US"/>
              </w:rPr>
              <w:t>ajno krvarenje</w:t>
            </w:r>
            <w:r>
              <w:rPr>
                <w:rFonts w:ascii="Microsoft Sans Serif" w:hAnsi="Microsoft Sans Serif" w:cs="Microsoft Sans Serif"/>
                <w:bCs/>
                <w:vertAlign w:val="superscript"/>
                <w:lang w:val="bs-Latn-BA" w:eastAsia="en-US"/>
              </w:rPr>
              <w:t>d</w:t>
            </w:r>
          </w:p>
        </w:tc>
      </w:tr>
      <w:tr w14:paraId="32E57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shd w:val="clear" w:color="auto" w:fill="auto"/>
          </w:tcPr>
          <w:p w14:paraId="5DC34961">
            <w:pPr>
              <w:pStyle w:val="19"/>
              <w:jc w:val="left"/>
              <w:rPr>
                <w:lang w:val="bs-Latn-BA" w:eastAsia="en-US"/>
              </w:rPr>
            </w:pPr>
            <w:r>
              <w:rPr>
                <w:rFonts w:ascii="Microsoft Sans Serif" w:hAnsi="Microsoft Sans Serif" w:cs="Microsoft Sans Serif"/>
                <w:b w:val="0"/>
                <w:sz w:val="20"/>
                <w:lang w:val="bs-Latn-BA"/>
              </w:rPr>
              <w:t xml:space="preserve">Opšti poremećaji i reakcije na mjestu primjene </w:t>
            </w:r>
          </w:p>
        </w:tc>
        <w:tc>
          <w:tcPr>
            <w:tcW w:w="1260" w:type="dxa"/>
            <w:shd w:val="clear" w:color="auto" w:fill="auto"/>
          </w:tcPr>
          <w:p w14:paraId="27E2F531">
            <w:pPr>
              <w:autoSpaceDE w:val="0"/>
              <w:autoSpaceDN w:val="0"/>
              <w:adjustRightInd w:val="0"/>
              <w:rPr>
                <w:rFonts w:ascii="Microsoft Sans Serif" w:hAnsi="Microsoft Sans Serif" w:cs="Microsoft Sans Serif"/>
                <w:bCs/>
                <w:lang w:val="bs-Latn-BA" w:eastAsia="en-US"/>
              </w:rPr>
            </w:pPr>
          </w:p>
        </w:tc>
        <w:tc>
          <w:tcPr>
            <w:tcW w:w="1162" w:type="dxa"/>
            <w:shd w:val="clear" w:color="auto" w:fill="auto"/>
          </w:tcPr>
          <w:p w14:paraId="1961EB72">
            <w:pPr>
              <w:autoSpaceDE w:val="0"/>
              <w:autoSpaceDN w:val="0"/>
              <w:adjustRightInd w:val="0"/>
              <w:jc w:val="both"/>
              <w:rPr>
                <w:rFonts w:ascii="Microsoft Sans Serif" w:hAnsi="Microsoft Sans Serif" w:cs="Microsoft Sans Serif"/>
                <w:b/>
                <w:bCs/>
                <w:lang w:val="bs-Latn-BA" w:eastAsia="en-US"/>
              </w:rPr>
            </w:pPr>
            <w:r>
              <w:rPr>
                <w:rFonts w:ascii="Microsoft Sans Serif" w:hAnsi="Microsoft Sans Serif" w:cs="Microsoft Sans Serif"/>
                <w:lang w:val="bs-Latn-BA" w:eastAsia="en-US"/>
              </w:rPr>
              <w:t xml:space="preserve">Astenija, slabost, </w:t>
            </w:r>
            <w:r>
              <w:rPr>
                <w:rFonts w:ascii="Microsoft Sans Serif" w:hAnsi="Microsoft Sans Serif" w:cs="Microsoft Sans Serif"/>
                <w:lang w:val="bs-Latn-BA"/>
              </w:rPr>
              <w:t>drhtavica*</w:t>
            </w:r>
          </w:p>
        </w:tc>
        <w:tc>
          <w:tcPr>
            <w:tcW w:w="1418" w:type="dxa"/>
            <w:shd w:val="clear" w:color="auto" w:fill="auto"/>
          </w:tcPr>
          <w:p w14:paraId="5C923779">
            <w:pPr>
              <w:autoSpaceDE w:val="0"/>
              <w:autoSpaceDN w:val="0"/>
              <w:adjustRightInd w:val="0"/>
              <w:rPr>
                <w:rFonts w:ascii="Microsoft Sans Serif" w:hAnsi="Microsoft Sans Serif" w:cs="Microsoft Sans Serif"/>
                <w:bCs/>
                <w:lang w:val="bs-Latn-BA" w:eastAsia="en-US"/>
              </w:rPr>
            </w:pPr>
          </w:p>
        </w:tc>
        <w:tc>
          <w:tcPr>
            <w:tcW w:w="1276" w:type="dxa"/>
            <w:shd w:val="clear" w:color="auto" w:fill="auto"/>
          </w:tcPr>
          <w:p w14:paraId="70670C99">
            <w:pPr>
              <w:autoSpaceDE w:val="0"/>
              <w:autoSpaceDN w:val="0"/>
              <w:adjustRightInd w:val="0"/>
              <w:rPr>
                <w:rFonts w:ascii="Microsoft Sans Serif" w:hAnsi="Microsoft Sans Serif" w:cs="Microsoft Sans Serif"/>
                <w:bCs/>
                <w:lang w:val="bs-Latn-BA" w:eastAsia="en-US"/>
              </w:rPr>
            </w:pPr>
          </w:p>
        </w:tc>
        <w:tc>
          <w:tcPr>
            <w:tcW w:w="1275" w:type="dxa"/>
          </w:tcPr>
          <w:p w14:paraId="3C5B3C26">
            <w:pPr>
              <w:autoSpaceDE w:val="0"/>
              <w:autoSpaceDN w:val="0"/>
              <w:adjustRightInd w:val="0"/>
              <w:jc w:val="both"/>
              <w:rPr>
                <w:rFonts w:ascii="Microsoft Sans Serif" w:hAnsi="Microsoft Sans Serif" w:cs="Microsoft Sans Serif"/>
                <w:b/>
                <w:bCs/>
                <w:lang w:val="bs-Latn-BA" w:eastAsia="en-US"/>
              </w:rPr>
            </w:pPr>
            <w:r>
              <w:rPr>
                <w:rFonts w:ascii="Microsoft Sans Serif" w:hAnsi="Microsoft Sans Serif" w:cs="Microsoft Sans Serif"/>
                <w:bCs/>
                <w:lang w:val="bs-Latn-BA" w:eastAsia="en-US"/>
              </w:rPr>
              <w:t>Mukozna hemoragija*</w:t>
            </w:r>
          </w:p>
        </w:tc>
        <w:tc>
          <w:tcPr>
            <w:tcW w:w="1275" w:type="dxa"/>
            <w:shd w:val="clear" w:color="auto" w:fill="auto"/>
          </w:tcPr>
          <w:p w14:paraId="131F4D4F">
            <w:pPr>
              <w:autoSpaceDE w:val="0"/>
              <w:autoSpaceDN w:val="0"/>
              <w:adjustRightInd w:val="0"/>
              <w:jc w:val="both"/>
              <w:rPr>
                <w:rFonts w:ascii="Microsoft Sans Serif" w:hAnsi="Microsoft Sans Serif" w:cs="Microsoft Sans Serif"/>
                <w:bCs/>
                <w:lang w:val="bs-Latn-BA" w:eastAsia="en-US"/>
              </w:rPr>
            </w:pPr>
          </w:p>
        </w:tc>
      </w:tr>
      <w:tr w14:paraId="40531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shd w:val="clear" w:color="auto" w:fill="auto"/>
          </w:tcPr>
          <w:p w14:paraId="641E9DD7">
            <w:pPr>
              <w:pStyle w:val="19"/>
              <w:jc w:val="left"/>
              <w:rPr>
                <w:lang w:val="bs-Latn-BA" w:eastAsia="en-US"/>
              </w:rPr>
            </w:pPr>
            <w:r>
              <w:rPr>
                <w:rFonts w:ascii="Microsoft Sans Serif" w:hAnsi="Microsoft Sans Serif" w:cs="Microsoft Sans Serif"/>
                <w:b w:val="0"/>
                <w:sz w:val="20"/>
                <w:lang w:val="bs-Latn-BA"/>
              </w:rPr>
              <w:t>Pretrage</w:t>
            </w:r>
          </w:p>
        </w:tc>
        <w:tc>
          <w:tcPr>
            <w:tcW w:w="1260" w:type="dxa"/>
            <w:shd w:val="clear" w:color="auto" w:fill="auto"/>
          </w:tcPr>
          <w:p w14:paraId="059A267D">
            <w:pPr>
              <w:autoSpaceDE w:val="0"/>
              <w:autoSpaceDN w:val="0"/>
              <w:adjustRightInd w:val="0"/>
              <w:rPr>
                <w:rFonts w:ascii="Microsoft Sans Serif" w:hAnsi="Microsoft Sans Serif" w:cs="Microsoft Sans Serif"/>
                <w:bCs/>
                <w:lang w:val="bs-Latn-BA" w:eastAsia="en-US"/>
              </w:rPr>
            </w:pPr>
          </w:p>
        </w:tc>
        <w:tc>
          <w:tcPr>
            <w:tcW w:w="1162" w:type="dxa"/>
            <w:shd w:val="clear" w:color="auto" w:fill="auto"/>
          </w:tcPr>
          <w:p w14:paraId="2CA2120C">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bCs/>
                <w:lang w:val="bs-Latn-BA" w:eastAsia="en-US"/>
              </w:rPr>
              <w:t>Povećanje holesterola u krvi, povećanje tjelesne težine, smanjenje tjelesne težine</w:t>
            </w:r>
          </w:p>
        </w:tc>
        <w:tc>
          <w:tcPr>
            <w:tcW w:w="1418" w:type="dxa"/>
            <w:shd w:val="clear" w:color="auto" w:fill="auto"/>
          </w:tcPr>
          <w:p w14:paraId="609B118D">
            <w:pPr>
              <w:autoSpaceDE w:val="0"/>
              <w:autoSpaceDN w:val="0"/>
              <w:adjustRightInd w:val="0"/>
              <w:rPr>
                <w:rFonts w:ascii="Microsoft Sans Serif" w:hAnsi="Microsoft Sans Serif" w:cs="Microsoft Sans Serif"/>
                <w:bCs/>
                <w:lang w:val="bs-Latn-BA" w:eastAsia="en-US"/>
              </w:rPr>
            </w:pPr>
          </w:p>
        </w:tc>
        <w:tc>
          <w:tcPr>
            <w:tcW w:w="1276" w:type="dxa"/>
            <w:shd w:val="clear" w:color="auto" w:fill="auto"/>
          </w:tcPr>
          <w:p w14:paraId="37FD3B18">
            <w:pPr>
              <w:autoSpaceDE w:val="0"/>
              <w:autoSpaceDN w:val="0"/>
              <w:adjustRightInd w:val="0"/>
              <w:rPr>
                <w:rFonts w:ascii="Microsoft Sans Serif" w:hAnsi="Microsoft Sans Serif" w:cs="Microsoft Sans Serif"/>
                <w:bCs/>
                <w:lang w:val="bs-Latn-BA" w:eastAsia="en-US"/>
              </w:rPr>
            </w:pPr>
          </w:p>
        </w:tc>
        <w:tc>
          <w:tcPr>
            <w:tcW w:w="1275" w:type="dxa"/>
          </w:tcPr>
          <w:p w14:paraId="08D0DEA4">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bCs/>
                <w:lang w:val="bs-Latn-BA" w:eastAsia="en-US"/>
              </w:rPr>
              <w:t>Produženo vrijeme krvarenja*</w:t>
            </w:r>
          </w:p>
        </w:tc>
        <w:tc>
          <w:tcPr>
            <w:tcW w:w="1275" w:type="dxa"/>
            <w:shd w:val="clear" w:color="auto" w:fill="auto"/>
          </w:tcPr>
          <w:p w14:paraId="4FF9E1AA">
            <w:pPr>
              <w:autoSpaceDE w:val="0"/>
              <w:autoSpaceDN w:val="0"/>
              <w:adjustRightInd w:val="0"/>
              <w:rPr>
                <w:rFonts w:ascii="Microsoft Sans Serif" w:hAnsi="Microsoft Sans Serif" w:cs="Microsoft Sans Serif"/>
                <w:bCs/>
                <w:lang w:val="bs-Latn-BA" w:eastAsia="en-US"/>
              </w:rPr>
            </w:pPr>
          </w:p>
        </w:tc>
      </w:tr>
    </w:tbl>
    <w:p w14:paraId="4EB6237C">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w:t>
      </w:r>
      <w:r>
        <w:rPr>
          <w:rFonts w:ascii="Microsoft Sans Serif" w:hAnsi="Microsoft Sans Serif" w:cs="Microsoft Sans Serif"/>
        </w:rPr>
        <w:t xml:space="preserve"> Ne</w:t>
      </w:r>
      <w:r>
        <w:rPr>
          <w:rFonts w:ascii="Microsoft Sans Serif" w:hAnsi="Microsoft Sans Serif" w:cs="Microsoft Sans Serif"/>
          <w:lang w:val="hr-BA"/>
        </w:rPr>
        <w:t xml:space="preserve">željena dejstava </w:t>
      </w:r>
      <w:r>
        <w:rPr>
          <w:rFonts w:ascii="Microsoft Sans Serif" w:hAnsi="Microsoft Sans Serif" w:cs="Microsoft Sans Serif"/>
        </w:rPr>
        <w:t xml:space="preserve">zabilježena tokom postmarketinškog praćenja </w:t>
      </w:r>
    </w:p>
    <w:p w14:paraId="3C7C2E0E">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vertAlign w:val="superscript"/>
          <w:lang w:val="sr-Latn-BA" w:eastAsia="en-US"/>
        </w:rPr>
        <w:t>a</w:t>
      </w:r>
      <w:r>
        <w:rPr>
          <w:rFonts w:ascii="Microsoft Sans Serif" w:hAnsi="Microsoft Sans Serif" w:cs="Microsoft Sans Serif"/>
          <w:lang w:val="sr-Latn-BA" w:eastAsia="en-US"/>
        </w:rPr>
        <w:t xml:space="preserve"> Slučajevi suicidnih ideja i suicidnog ponašanja su zabilježeni tokom terapije venlafaksinom ili odmah po prekidanju terapije (pogledati dio 4.4). </w:t>
      </w:r>
    </w:p>
    <w:p w14:paraId="02FF990B">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vertAlign w:val="superscript"/>
          <w:lang w:val="sr-Latn-BA" w:eastAsia="en-US"/>
        </w:rPr>
        <w:t>b</w:t>
      </w:r>
      <w:r>
        <w:rPr>
          <w:rFonts w:ascii="Microsoft Sans Serif" w:hAnsi="Microsoft Sans Serif" w:cs="Microsoft Sans Serif"/>
          <w:lang w:val="sr-Latn-BA" w:eastAsia="en-US"/>
        </w:rPr>
        <w:t xml:space="preserve"> Pogledati dio 4.4.</w:t>
      </w:r>
    </w:p>
    <w:p w14:paraId="229EF930">
      <w:pPr>
        <w:autoSpaceDE w:val="0"/>
        <w:autoSpaceDN w:val="0"/>
        <w:adjustRightInd w:val="0"/>
        <w:jc w:val="both"/>
        <w:rPr>
          <w:rFonts w:ascii="Microsoft Sans Serif" w:hAnsi="Microsoft Sans Serif" w:cs="Microsoft Sans Serif"/>
          <w:lang w:val="bs-Latn-BA" w:eastAsia="en-US"/>
        </w:rPr>
      </w:pPr>
      <w:r>
        <w:rPr>
          <w:rFonts w:ascii="Microsoft Sans Serif" w:hAnsi="Microsoft Sans Serif" w:cs="Microsoft Sans Serif"/>
          <w:vertAlign w:val="superscript"/>
          <w:lang w:val="sr-Latn-BA" w:eastAsia="en-US"/>
        </w:rPr>
        <w:t>c</w:t>
      </w:r>
      <w:r>
        <w:rPr>
          <w:rFonts w:ascii="Microsoft Sans Serif" w:hAnsi="Microsoft Sans Serif" w:cs="Microsoft Sans Serif"/>
          <w:lang w:val="sr-Latn-BA" w:eastAsia="en-US"/>
        </w:rPr>
        <w:t xml:space="preserve"> U zajedničkim kliničkim </w:t>
      </w:r>
      <w:r>
        <w:rPr>
          <w:rFonts w:ascii="Microsoft Sans Serif" w:hAnsi="Microsoft Sans Serif" w:cs="Microsoft Sans Serif"/>
          <w:lang w:val="bs-Latn-BA" w:eastAsia="en-US"/>
        </w:rPr>
        <w:t>ispitivanjima</w:t>
      </w:r>
      <w:r>
        <w:rPr>
          <w:rFonts w:ascii="Microsoft Sans Serif" w:hAnsi="Microsoft Sans Serif" w:cs="Microsoft Sans Serif"/>
          <w:lang w:val="sr-Latn-BA" w:eastAsia="en-US"/>
        </w:rPr>
        <w:t>, incidenca glavobolje sa venlafaksinom i placebom je bila slična.</w:t>
      </w:r>
    </w:p>
    <w:p w14:paraId="47CA7723">
      <w:pPr>
        <w:autoSpaceDE w:val="0"/>
        <w:autoSpaceDN w:val="0"/>
        <w:adjustRightInd w:val="0"/>
        <w:jc w:val="both"/>
        <w:rPr>
          <w:rFonts w:ascii="Microsoft Sans Serif" w:hAnsi="Microsoft Sans Serif" w:cs="Microsoft Sans Serif"/>
          <w:lang w:val="bs-Latn-BA" w:eastAsia="en-US"/>
        </w:rPr>
      </w:pPr>
      <w:r>
        <w:rPr>
          <w:rFonts w:ascii="Microsoft Sans Serif" w:hAnsi="Microsoft Sans Serif" w:cs="Microsoft Sans Serif"/>
          <w:vertAlign w:val="superscript"/>
          <w:lang w:val="bs-Latn-BA" w:eastAsia="en-US"/>
        </w:rPr>
        <w:t xml:space="preserve">d </w:t>
      </w:r>
      <w:r>
        <w:rPr>
          <w:rFonts w:ascii="Microsoft Sans Serif" w:hAnsi="Microsoft Sans Serif" w:cs="Microsoft Sans Serif"/>
          <w:lang w:val="bs-Latn-BA" w:eastAsia="en-US"/>
        </w:rPr>
        <w:t>Ovaj dogadaj je prijavljen za terapijsku klasu SSRI/SNRI (vidjeti dijelove 4.4, 4.6).</w:t>
      </w:r>
    </w:p>
    <w:p w14:paraId="0891731A">
      <w:pPr>
        <w:autoSpaceDE w:val="0"/>
        <w:autoSpaceDN w:val="0"/>
        <w:adjustRightInd w:val="0"/>
        <w:jc w:val="both"/>
        <w:rPr>
          <w:rFonts w:ascii="Microsoft Sans Serif" w:hAnsi="Microsoft Sans Serif" w:cs="Microsoft Sans Serif"/>
          <w:lang w:val="bs-Latn-BA" w:eastAsia="en-US"/>
        </w:rPr>
      </w:pPr>
    </w:p>
    <w:p w14:paraId="3D495C3F">
      <w:pPr>
        <w:autoSpaceDE w:val="0"/>
        <w:autoSpaceDN w:val="0"/>
        <w:adjustRightInd w:val="0"/>
        <w:jc w:val="both"/>
        <w:rPr>
          <w:rFonts w:ascii="Microsoft Sans Serif" w:hAnsi="Microsoft Sans Serif" w:cs="Microsoft Sans Serif"/>
          <w:b/>
          <w:lang w:val="mk-MK" w:eastAsia="en-US"/>
        </w:rPr>
      </w:pPr>
      <w:r>
        <w:rPr>
          <w:rFonts w:ascii="Microsoft Sans Serif" w:hAnsi="Microsoft Sans Serif" w:cs="Microsoft Sans Serif"/>
          <w:b/>
          <w:lang w:val="mk-MK" w:eastAsia="en-US"/>
        </w:rPr>
        <w:t>Prekid terapije</w:t>
      </w:r>
    </w:p>
    <w:p w14:paraId="4264B142">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Prekid terapije venlafaksinom (naročito brz prekid) često vodi ka apstinencijalni</w:t>
      </w:r>
      <w:r>
        <w:rPr>
          <w:rFonts w:ascii="Microsoft Sans Serif" w:hAnsi="Microsoft Sans Serif" w:cs="Microsoft Sans Serif"/>
          <w:lang w:val="bs-Latn-BA" w:eastAsia="en-US"/>
        </w:rPr>
        <w:t>m</w:t>
      </w:r>
      <w:r>
        <w:rPr>
          <w:rFonts w:ascii="Microsoft Sans Serif" w:hAnsi="Microsoft Sans Serif" w:cs="Microsoft Sans Serif"/>
          <w:lang w:val="sr-Latn-BA" w:eastAsia="en-US"/>
        </w:rPr>
        <w:t xml:space="preserve"> simptom</w:t>
      </w:r>
      <w:r>
        <w:rPr>
          <w:rFonts w:ascii="Microsoft Sans Serif" w:hAnsi="Microsoft Sans Serif" w:cs="Microsoft Sans Serif"/>
          <w:lang w:val="bs-Latn-BA" w:eastAsia="en-US"/>
        </w:rPr>
        <w:t>ima</w:t>
      </w:r>
      <w:r>
        <w:rPr>
          <w:rFonts w:ascii="Microsoft Sans Serif" w:hAnsi="Microsoft Sans Serif" w:cs="Microsoft Sans Serif"/>
          <w:lang w:val="sr-Latn-BA" w:eastAsia="en-US"/>
        </w:rPr>
        <w:t>. Vrtoglavica, senzornih poremećaja (uključujući paresteziju), poremećaji spavanja (uključujući nesanicu i intenzivne snove), nemir ili anksioznost, mučnina i/ili povraćanje, tremor, vertigo, glavobolje i sindromi grip</w:t>
      </w:r>
      <w:r>
        <w:rPr>
          <w:rFonts w:ascii="Microsoft Sans Serif" w:hAnsi="Microsoft Sans Serif" w:cs="Microsoft Sans Serif"/>
          <w:lang w:val="mk-MK" w:eastAsia="en-US"/>
        </w:rPr>
        <w:t>а</w:t>
      </w:r>
      <w:r>
        <w:rPr>
          <w:rFonts w:ascii="Microsoft Sans Serif" w:hAnsi="Microsoft Sans Serif" w:cs="Microsoft Sans Serif"/>
          <w:lang w:val="sr-Latn-BA" w:eastAsia="en-US"/>
        </w:rPr>
        <w:t xml:space="preserve">, oštećenje vida i hipertenzija su najčešće prijavljene reakcije.  </w:t>
      </w:r>
    </w:p>
    <w:p w14:paraId="2BF0F8AF">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bs-Latn-BA" w:eastAsia="en-US"/>
        </w:rPr>
        <w:t>Generalno</w:t>
      </w:r>
      <w:r>
        <w:rPr>
          <w:rFonts w:ascii="Microsoft Sans Serif" w:hAnsi="Microsoft Sans Serif" w:cs="Microsoft Sans Serif"/>
          <w:lang w:val="sr-Latn-BA" w:eastAsia="en-US"/>
        </w:rPr>
        <w:t xml:space="preserve">, ovi simptomi su blagi do umjereni i samolimitirajući, ipak, kod nekih pacijenata mogu biti ozbiljni i/ili produženi. Stoga se savjetuje </w:t>
      </w:r>
      <w:r>
        <w:rPr>
          <w:rFonts w:ascii="Microsoft Sans Serif" w:hAnsi="Microsoft Sans Serif" w:cs="Microsoft Sans Serif"/>
          <w:lang w:val="bs-Latn-BA" w:eastAsia="en-US"/>
        </w:rPr>
        <w:t>postepeno smanjivanje doza</w:t>
      </w:r>
      <w:r>
        <w:rPr>
          <w:rFonts w:ascii="Microsoft Sans Serif" w:hAnsi="Microsoft Sans Serif" w:cs="Microsoft Sans Serif"/>
          <w:lang w:val="sr-Latn-BA" w:eastAsia="en-US"/>
        </w:rPr>
        <w:t xml:space="preserve">, kada terapija venlafaksinom više nije neophodna. Međutim, kod nekih pacijenata došlo je do teške agresije i suicidalnih ideja kada je doza smanjena ili tokom prekida (pogledati dijelove 4.2 i 4.4).  </w:t>
      </w:r>
    </w:p>
    <w:p w14:paraId="568124E5">
      <w:pPr>
        <w:autoSpaceDE w:val="0"/>
        <w:autoSpaceDN w:val="0"/>
        <w:adjustRightInd w:val="0"/>
        <w:jc w:val="both"/>
        <w:rPr>
          <w:rFonts w:ascii="Microsoft Sans Serif" w:hAnsi="Microsoft Sans Serif" w:cs="Microsoft Sans Serif"/>
          <w:lang w:val="sr-Latn-BA" w:eastAsia="en-US"/>
        </w:rPr>
      </w:pPr>
    </w:p>
    <w:p w14:paraId="33713E6F">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Pedijatrijski pacijenti</w:t>
      </w:r>
    </w:p>
    <w:p w14:paraId="1A74E89E">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Uošteno, neželjena dejstva venlafaksina (u placebo-kontrolisanim kliničkim </w:t>
      </w:r>
      <w:r>
        <w:rPr>
          <w:rFonts w:ascii="Microsoft Sans Serif" w:hAnsi="Microsoft Sans Serif" w:cs="Microsoft Sans Serif"/>
          <w:lang w:val="bs-Latn-BA" w:eastAsia="en-US"/>
        </w:rPr>
        <w:t>ispitivanjima</w:t>
      </w:r>
      <w:r>
        <w:rPr>
          <w:rFonts w:ascii="Microsoft Sans Serif" w:hAnsi="Microsoft Sans Serif" w:cs="Microsoft Sans Serif"/>
          <w:lang w:val="sr-Latn-BA" w:eastAsia="en-US"/>
        </w:rPr>
        <w:t>) kod djece i adolescenata (uzrast 6 i 17 godina) su bil</w:t>
      </w:r>
      <w:r>
        <w:rPr>
          <w:rFonts w:ascii="Microsoft Sans Serif" w:hAnsi="Microsoft Sans Serif" w:cs="Microsoft Sans Serif"/>
          <w:lang w:val="mk-MK" w:eastAsia="en-US"/>
        </w:rPr>
        <w:t>а</w:t>
      </w:r>
      <w:r>
        <w:rPr>
          <w:rFonts w:ascii="Microsoft Sans Serif" w:hAnsi="Microsoft Sans Serif" w:cs="Microsoft Sans Serif"/>
          <w:lang w:val="sr-Latn-BA" w:eastAsia="en-US"/>
        </w:rPr>
        <w:t xml:space="preserve"> sličn</w:t>
      </w:r>
      <w:r>
        <w:rPr>
          <w:rFonts w:ascii="Microsoft Sans Serif" w:hAnsi="Microsoft Sans Serif" w:cs="Microsoft Sans Serif"/>
          <w:lang w:val="mk-MK" w:eastAsia="en-US"/>
        </w:rPr>
        <w:t>а</w:t>
      </w:r>
      <w:r>
        <w:rPr>
          <w:rFonts w:ascii="Microsoft Sans Serif" w:hAnsi="Microsoft Sans Serif" w:cs="Microsoft Sans Serif"/>
          <w:lang w:val="sr-Latn-BA" w:eastAsia="en-US"/>
        </w:rPr>
        <w:t xml:space="preserve"> kao on</w:t>
      </w:r>
      <w:r>
        <w:rPr>
          <w:rFonts w:ascii="Microsoft Sans Serif" w:hAnsi="Microsoft Sans Serif" w:cs="Microsoft Sans Serif"/>
          <w:lang w:val="mk-MK" w:eastAsia="en-US"/>
        </w:rPr>
        <w:t>а</w:t>
      </w:r>
      <w:r>
        <w:rPr>
          <w:rFonts w:ascii="Microsoft Sans Serif" w:hAnsi="Microsoft Sans Serif" w:cs="Microsoft Sans Serif"/>
          <w:lang w:val="sr-Latn-BA" w:eastAsia="en-US"/>
        </w:rPr>
        <w:t xml:space="preserve"> zabilježen</w:t>
      </w:r>
      <w:r>
        <w:rPr>
          <w:rFonts w:ascii="Microsoft Sans Serif" w:hAnsi="Microsoft Sans Serif" w:cs="Microsoft Sans Serif"/>
          <w:lang w:val="mk-MK" w:eastAsia="en-US"/>
        </w:rPr>
        <w:t>а</w:t>
      </w:r>
      <w:r>
        <w:rPr>
          <w:rFonts w:ascii="Microsoft Sans Serif" w:hAnsi="Microsoft Sans Serif" w:cs="Microsoft Sans Serif"/>
          <w:lang w:val="sr-Latn-BA" w:eastAsia="en-US"/>
        </w:rPr>
        <w:t xml:space="preserve"> kod odraslih. Kao i kod odraslih, </w:t>
      </w:r>
      <w:r>
        <w:rPr>
          <w:rFonts w:ascii="Microsoft Sans Serif" w:hAnsi="Microsoft Sans Serif" w:cs="Microsoft Sans Serif"/>
          <w:lang w:val="bs-Latn-BA" w:eastAsia="en-US"/>
        </w:rPr>
        <w:t xml:space="preserve">zabilježeni su </w:t>
      </w:r>
      <w:r>
        <w:rPr>
          <w:rFonts w:ascii="Microsoft Sans Serif" w:hAnsi="Microsoft Sans Serif" w:cs="Microsoft Sans Serif"/>
          <w:lang w:val="sr-Latn-BA" w:eastAsia="en-US"/>
        </w:rPr>
        <w:t xml:space="preserve">smanjen apetit, gubitak težine, povećan krvni pritisak, povećan serumski holesterol (pogledati dio 4.4). U pedijatrijskim kliničkim </w:t>
      </w:r>
      <w:r>
        <w:rPr>
          <w:rFonts w:ascii="Microsoft Sans Serif" w:hAnsi="Microsoft Sans Serif" w:cs="Microsoft Sans Serif"/>
          <w:lang w:val="bs-Latn-BA" w:eastAsia="en-US"/>
        </w:rPr>
        <w:t>ispitivanjima</w:t>
      </w:r>
      <w:r>
        <w:rPr>
          <w:rFonts w:ascii="Microsoft Sans Serif" w:hAnsi="Microsoft Sans Serif" w:cs="Microsoft Sans Serif"/>
          <w:lang w:val="mk-MK" w:eastAsia="en-US"/>
        </w:rPr>
        <w:t>,</w:t>
      </w:r>
      <w:r>
        <w:rPr>
          <w:rFonts w:ascii="Microsoft Sans Serif" w:hAnsi="Microsoft Sans Serif" w:cs="Microsoft Sans Serif"/>
          <w:lang w:val="sr-Latn-BA" w:eastAsia="en-US"/>
        </w:rPr>
        <w:t xml:space="preserve"> </w:t>
      </w:r>
      <w:r>
        <w:rPr>
          <w:rFonts w:ascii="Microsoft Sans Serif" w:hAnsi="Microsoft Sans Serif" w:cs="Microsoft Sans Serif"/>
          <w:lang w:val="bs-Latn-BA" w:eastAsia="en-US"/>
        </w:rPr>
        <w:t xml:space="preserve">zabilježena su </w:t>
      </w:r>
      <w:r>
        <w:rPr>
          <w:rFonts w:ascii="Microsoft Sans Serif" w:hAnsi="Microsoft Sans Serif" w:cs="Microsoft Sans Serif"/>
          <w:lang w:val="sr-Latn-BA" w:eastAsia="en-US"/>
        </w:rPr>
        <w:t>neželjena dejstva u vidu suicidnih ideja. Tako je zabilježeno neprijateljstvo i, naročito kod majornih depresivnih poremećaja, samopovređivanje. Naročito, sljedeća neželjena dejstva su primijećena kod pedijatrijskih pacijenata: abdominalna bol, nemir, loše varenje, ekhimoza, epistaksa i mijalgija.</w:t>
      </w:r>
    </w:p>
    <w:p w14:paraId="120CA308">
      <w:pPr>
        <w:autoSpaceDE w:val="0"/>
        <w:autoSpaceDN w:val="0"/>
        <w:adjustRightInd w:val="0"/>
        <w:jc w:val="both"/>
        <w:rPr>
          <w:rFonts w:ascii="Microsoft Sans Serif" w:hAnsi="Microsoft Sans Serif" w:cs="Microsoft Sans Serif"/>
          <w:lang w:val="sr-Latn-BA" w:eastAsia="en-US"/>
        </w:rPr>
      </w:pPr>
    </w:p>
    <w:p w14:paraId="09D73523">
      <w:pPr>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Prijavljivanje sumnje na neželjena dejstva lijeka</w:t>
      </w:r>
    </w:p>
    <w:p w14:paraId="201E4148">
      <w:pPr>
        <w:jc w:val="both"/>
        <w:rPr>
          <w:rFonts w:ascii="Microsoft Sans Serif" w:hAnsi="Microsoft Sans Serif" w:cs="Microsoft Sans Serif"/>
          <w:lang w:val="bs-Latn-BA"/>
        </w:rPr>
      </w:pPr>
      <w:r>
        <w:rPr>
          <w:rFonts w:ascii="Microsoft Sans Serif" w:hAnsi="Microsoft Sans Serif" w:cs="Microsoft Sans Serif"/>
          <w:lang w:val="bs-Latn-BA"/>
        </w:rPr>
        <w:t>Prijavljivanje sumnje na neželjena dejstva lijekova, a nakon stavljanja lijeka u promet je od velike važnosti za formiranje kompletnije slike o bezbjednosnom profilu lijeka, odnosno za formiranje što bolje ocjene odnosa korist/rizik pri terapijskoj primjeni lijeka.</w:t>
      </w:r>
    </w:p>
    <w:p w14:paraId="43BB1829">
      <w:pPr>
        <w:jc w:val="both"/>
        <w:rPr>
          <w:rFonts w:ascii="Microsoft Sans Serif" w:hAnsi="Microsoft Sans Serif" w:cs="Microsoft Sans Serif"/>
          <w:lang w:val="bs-Latn-BA"/>
        </w:rPr>
      </w:pPr>
      <w:r>
        <w:rPr>
          <w:rFonts w:ascii="Microsoft Sans Serif" w:hAnsi="Microsoft Sans Serif" w:cs="Microsoft Sans Serif"/>
          <w:lang w:val="bs-Latn-BA"/>
        </w:rPr>
        <w:t>Proces prijavljivanja sumnji na neželjena dejstva lijeka doprinosi kontinuiranom praćenju odnosa koristi/rizik i adekvatnoj ocjeni bezbjednosnog profila lijeka. Od zdravstvenih stručnjaka se traži da prijave svaku sumnju na neželjeno dejstvo lijeka direktno ALMBiH. Prijava se može dostaviti:</w:t>
      </w:r>
    </w:p>
    <w:p w14:paraId="7B9AAECA">
      <w:pPr>
        <w:numPr>
          <w:ilvl w:val="0"/>
          <w:numId w:val="5"/>
        </w:numPr>
        <w:tabs>
          <w:tab w:val="left" w:pos="567"/>
        </w:tabs>
        <w:ind w:left="0" w:firstLine="0"/>
        <w:contextualSpacing/>
        <w:jc w:val="both"/>
        <w:rPr>
          <w:rFonts w:ascii="Microsoft Sans Serif" w:hAnsi="Microsoft Sans Serif" w:eastAsia="Calibri" w:cs="Microsoft Sans Serif"/>
          <w:lang w:val="bs-Latn-BA"/>
        </w:rPr>
      </w:pPr>
      <w:r>
        <w:rPr>
          <w:rFonts w:ascii="Microsoft Sans Serif" w:hAnsi="Microsoft Sans Serif" w:eastAsia="Calibri" w:cs="Microsoft Sans Serif"/>
          <w:lang w:val="bs-Latn-BA"/>
        </w:rPr>
        <w:t>posredstvom softverske aplikacije za prijavu neželjenih dejstava lijekova za humanu upotrebu (IS Farmakovigilansa) o kojoj više informacija možete dobiti u našoj Glavnoj kancelariji za farmakovigilansu ili</w:t>
      </w:r>
    </w:p>
    <w:p w14:paraId="783069AD">
      <w:pPr>
        <w:numPr>
          <w:ilvl w:val="0"/>
          <w:numId w:val="5"/>
        </w:numPr>
        <w:tabs>
          <w:tab w:val="left" w:pos="567"/>
        </w:tabs>
        <w:ind w:left="0" w:firstLine="0"/>
        <w:contextualSpacing/>
        <w:jc w:val="both"/>
        <w:rPr>
          <w:rFonts w:ascii="Microsoft Sans Serif" w:hAnsi="Microsoft Sans Serif" w:eastAsia="Calibri" w:cs="Microsoft Sans Serif"/>
          <w:lang w:val="bs-Latn-BA"/>
        </w:rPr>
      </w:pPr>
      <w:r>
        <w:rPr>
          <w:rFonts w:ascii="Microsoft Sans Serif" w:hAnsi="Microsoft Sans Serif" w:eastAsia="Calibri" w:cs="Microsoft Sans Serif"/>
          <w:lang w:val="bs-Latn-BA"/>
        </w:rPr>
        <w:t xml:space="preserve">posredstvom odgovarajućeg obrasca za prijavljivanje sumnji na neželjena dejstva lijeka, koji se mogu naći na internet stranici Agencije za lijekove: </w:t>
      </w:r>
      <w:r>
        <w:fldChar w:fldCharType="begin"/>
      </w:r>
      <w:r>
        <w:instrText xml:space="preserve"> HYPERLINK "http://www.almbih.gov.ba" </w:instrText>
      </w:r>
      <w:r>
        <w:fldChar w:fldCharType="separate"/>
      </w:r>
      <w:r>
        <w:rPr>
          <w:rFonts w:ascii="Microsoft Sans Serif" w:hAnsi="Microsoft Sans Serif" w:eastAsia="Calibri" w:cs="Microsoft Sans Serif"/>
          <w:u w:val="single"/>
          <w:lang w:val="bs-Latn-BA"/>
        </w:rPr>
        <w:t>www.almbih.gov.ba</w:t>
      </w:r>
      <w:r>
        <w:rPr>
          <w:rFonts w:ascii="Microsoft Sans Serif" w:hAnsi="Microsoft Sans Serif" w:eastAsia="Calibri" w:cs="Microsoft Sans Serif"/>
          <w:u w:val="single"/>
          <w:lang w:val="bs-Latn-BA"/>
        </w:rPr>
        <w:fldChar w:fldCharType="end"/>
      </w:r>
      <w:r>
        <w:rPr>
          <w:rFonts w:ascii="Microsoft Sans Serif" w:hAnsi="Microsoft Sans Serif" w:eastAsia="Calibri" w:cs="Microsoft Sans Serif"/>
          <w:lang w:val="bs-Latn-BA"/>
        </w:rPr>
        <w:t>. Popunjen obrazac se može dostaviti ALMBiH putem pošte, na adresu Agencija za lijekove i medicinska sredstva Bosne i Hercegovine, Veljka Mlađenovića bb, Banja Luka ili elektronske pošte (na e-mail adresu: ndl@almbih.gov.ba).</w:t>
      </w:r>
    </w:p>
    <w:p w14:paraId="7452FA12">
      <w:pPr>
        <w:autoSpaceDE w:val="0"/>
        <w:autoSpaceDN w:val="0"/>
        <w:adjustRightInd w:val="0"/>
        <w:jc w:val="both"/>
        <w:rPr>
          <w:rFonts w:ascii="Microsoft Sans Serif" w:hAnsi="Microsoft Sans Serif" w:cs="Microsoft Sans Serif"/>
          <w:lang w:val="sr-Latn-BA" w:eastAsia="en-US"/>
        </w:rPr>
      </w:pPr>
    </w:p>
    <w:p w14:paraId="2E5077DB">
      <w:pPr>
        <w:jc w:val="both"/>
        <w:rPr>
          <w:rFonts w:ascii="Microsoft Sans Serif" w:hAnsi="Microsoft Sans Serif" w:cs="Microsoft Sans Serif"/>
          <w:b/>
          <w:lang w:val="sr-Latn-BA"/>
        </w:rPr>
      </w:pPr>
      <w:r>
        <w:rPr>
          <w:rFonts w:ascii="Microsoft Sans Serif" w:hAnsi="Microsoft Sans Serif" w:cs="Microsoft Sans Serif"/>
          <w:b/>
          <w:lang w:val="sr-Latn-BA"/>
        </w:rPr>
        <w:t>4.9</w:t>
      </w:r>
      <w:r>
        <w:rPr>
          <w:rFonts w:ascii="Microsoft Sans Serif" w:hAnsi="Microsoft Sans Serif" w:cs="Microsoft Sans Serif"/>
          <w:b/>
          <w:lang w:val="sr-Latn-BA"/>
        </w:rPr>
        <w:tab/>
      </w:r>
      <w:r>
        <w:rPr>
          <w:rFonts w:ascii="Microsoft Sans Serif" w:hAnsi="Microsoft Sans Serif" w:cs="Microsoft Sans Serif"/>
          <w:b/>
          <w:lang w:val="sr-Latn-BA"/>
        </w:rPr>
        <w:t>Predoziranje</w:t>
      </w:r>
    </w:p>
    <w:p w14:paraId="6012D503">
      <w:pPr>
        <w:jc w:val="both"/>
        <w:rPr>
          <w:rFonts w:ascii="Microsoft Sans Serif" w:hAnsi="Microsoft Sans Serif" w:cs="Microsoft Sans Serif"/>
          <w:bCs/>
          <w:lang w:val="sr-Latn-BA"/>
        </w:rPr>
      </w:pPr>
    </w:p>
    <w:p w14:paraId="4D82C6BB">
      <w:pPr>
        <w:jc w:val="both"/>
        <w:rPr>
          <w:rFonts w:ascii="Microsoft Sans Serif" w:hAnsi="Microsoft Sans Serif" w:cs="Microsoft Sans Serif"/>
          <w:bCs/>
          <w:lang w:val="sr-Latn-BA"/>
        </w:rPr>
      </w:pPr>
      <w:r>
        <w:rPr>
          <w:rFonts w:ascii="Microsoft Sans Serif" w:hAnsi="Microsoft Sans Serif" w:cs="Microsoft Sans Serif"/>
          <w:bCs/>
          <w:lang w:val="sr-Latn-BA"/>
        </w:rPr>
        <w:t xml:space="preserve">U postmarketinškom iskustvu, predoziranje sa </w:t>
      </w:r>
      <w:r>
        <w:rPr>
          <w:rFonts w:ascii="Microsoft Sans Serif" w:hAnsi="Microsoft Sans Serif" w:cs="Microsoft Sans Serif"/>
          <w:lang w:val="sr-Latn-BA" w:eastAsia="en-US"/>
        </w:rPr>
        <w:t xml:space="preserve">venlafaksinom </w:t>
      </w:r>
      <w:r>
        <w:rPr>
          <w:rFonts w:ascii="Microsoft Sans Serif" w:hAnsi="Microsoft Sans Serif" w:cs="Microsoft Sans Serif"/>
          <w:bCs/>
          <w:lang w:val="sr-Latn-BA"/>
        </w:rPr>
        <w:t xml:space="preserve">je prevenstvno zabilježeno u kombinaciji sa alkoholom i/ili drugim medicinskim proizvodima, uključujući slučajeve sa smrtnim ishodom. Najčešće zabilježena </w:t>
      </w:r>
      <w:r>
        <w:rPr>
          <w:rFonts w:ascii="Microsoft Sans Serif" w:hAnsi="Microsoft Sans Serif" w:cs="Microsoft Sans Serif"/>
          <w:bCs/>
          <w:lang w:val="bs-Latn-BA"/>
        </w:rPr>
        <w:t>neželjena dejstva</w:t>
      </w:r>
      <w:r>
        <w:rPr>
          <w:rFonts w:ascii="Microsoft Sans Serif" w:hAnsi="Microsoft Sans Serif" w:cs="Microsoft Sans Serif"/>
          <w:bCs/>
          <w:lang w:val="sr-Latn-BA"/>
        </w:rPr>
        <w:t xml:space="preserve"> kod predoziranja su tahikardija, promjene u nivou svijesti (koje variraju od somnolencije do kome), midrijaza, grčevi i povraćanje. Ostala zabilježena </w:t>
      </w:r>
      <w:r>
        <w:rPr>
          <w:rFonts w:ascii="Microsoft Sans Serif" w:hAnsi="Microsoft Sans Serif" w:cs="Microsoft Sans Serif"/>
          <w:bCs/>
          <w:lang w:val="bs-Latn-BA"/>
        </w:rPr>
        <w:t xml:space="preserve">neželjena dejstva </w:t>
      </w:r>
      <w:r>
        <w:rPr>
          <w:rFonts w:ascii="Microsoft Sans Serif" w:hAnsi="Microsoft Sans Serif" w:cs="Microsoft Sans Serif"/>
          <w:bCs/>
          <w:lang w:val="sr-Latn-BA"/>
        </w:rPr>
        <w:t xml:space="preserve">kod predoziranju su EKG promjene (npr. produžen QT interval, blok grane, produžen QRS kompleks [pogledati dio 5.1]), ventrikularna tahikardija, bradikardija, hipotenzija, vrtoglavica i smrt. </w:t>
      </w:r>
    </w:p>
    <w:p w14:paraId="5B8C0BE1">
      <w:pPr>
        <w:jc w:val="both"/>
        <w:rPr>
          <w:rFonts w:ascii="Microsoft Sans Serif" w:hAnsi="Microsoft Sans Serif" w:cs="Microsoft Sans Serif"/>
          <w:bCs/>
          <w:lang w:val="sr-Latn-BA"/>
        </w:rPr>
      </w:pPr>
      <w:r>
        <w:rPr>
          <w:rFonts w:ascii="Microsoft Sans Serif" w:hAnsi="Microsoft Sans Serif" w:cs="Microsoft Sans Serif"/>
          <w:bCs/>
          <w:lang w:val="sr-Latn-BA"/>
        </w:rPr>
        <w:t>Simptomi teškog trovanja u odraslih mogu se pojaviti nakon uzimanja približno 3 grama venlafaksina.</w:t>
      </w:r>
    </w:p>
    <w:p w14:paraId="2D0ECA54">
      <w:pPr>
        <w:jc w:val="both"/>
        <w:rPr>
          <w:rFonts w:ascii="Microsoft Sans Serif" w:hAnsi="Microsoft Sans Serif" w:cs="Microsoft Sans Serif"/>
          <w:bCs/>
          <w:lang w:val="sr-Latn-BA"/>
        </w:rPr>
      </w:pPr>
      <w:r>
        <w:rPr>
          <w:rFonts w:ascii="Microsoft Sans Serif" w:hAnsi="Microsoft Sans Serif" w:cs="Microsoft Sans Serif"/>
          <w:bCs/>
          <w:lang w:val="sr-Latn-BA"/>
        </w:rPr>
        <w:t xml:space="preserve">Objavljena retrospektivna </w:t>
      </w:r>
      <w:r>
        <w:rPr>
          <w:rFonts w:ascii="Microsoft Sans Serif" w:hAnsi="Microsoft Sans Serif" w:cs="Microsoft Sans Serif"/>
          <w:bCs/>
          <w:lang w:val="bs-Latn-BA"/>
        </w:rPr>
        <w:t xml:space="preserve">ispitivanja </w:t>
      </w:r>
      <w:r>
        <w:rPr>
          <w:rFonts w:ascii="Microsoft Sans Serif" w:hAnsi="Microsoft Sans Serif" w:cs="Microsoft Sans Serif"/>
          <w:bCs/>
          <w:lang w:val="sr-Latn-BA"/>
        </w:rPr>
        <w:t xml:space="preserve">su zabilježila da predoziranje </w:t>
      </w:r>
      <w:r>
        <w:rPr>
          <w:rFonts w:ascii="Microsoft Sans Serif" w:hAnsi="Microsoft Sans Serif" w:cs="Microsoft Sans Serif"/>
          <w:lang w:val="sr-Latn-BA" w:eastAsia="en-US"/>
        </w:rPr>
        <w:t xml:space="preserve">venlafaksinom </w:t>
      </w:r>
      <w:r>
        <w:rPr>
          <w:rFonts w:ascii="Microsoft Sans Serif" w:hAnsi="Microsoft Sans Serif" w:cs="Microsoft Sans Serif"/>
          <w:bCs/>
          <w:lang w:val="sr-Latn-BA"/>
        </w:rPr>
        <w:t xml:space="preserve">može biti povezano rizikom od fatalnog ishoda u poređenju sa onim zabilježenim kod SSRI antidepresiva, ali manje nego kod tricikličnih antidepresiva. </w:t>
      </w:r>
    </w:p>
    <w:p w14:paraId="2B74BC8D">
      <w:pPr>
        <w:jc w:val="both"/>
        <w:rPr>
          <w:rFonts w:ascii="Microsoft Sans Serif" w:hAnsi="Microsoft Sans Serif" w:cs="Microsoft Sans Serif"/>
          <w:bCs/>
          <w:lang w:val="sr-Latn-BA"/>
        </w:rPr>
      </w:pPr>
      <w:r>
        <w:rPr>
          <w:rFonts w:ascii="Microsoft Sans Serif" w:hAnsi="Microsoft Sans Serif" w:cs="Microsoft Sans Serif"/>
          <w:bCs/>
          <w:lang w:val="sr-Latn-BA"/>
        </w:rPr>
        <w:t xml:space="preserve">Epidemiološka </w:t>
      </w:r>
      <w:r>
        <w:rPr>
          <w:rFonts w:ascii="Microsoft Sans Serif" w:hAnsi="Microsoft Sans Serif" w:cs="Microsoft Sans Serif"/>
          <w:bCs/>
          <w:lang w:val="bs-Latn-BA"/>
        </w:rPr>
        <w:t xml:space="preserve">ispitivanja </w:t>
      </w:r>
      <w:r>
        <w:rPr>
          <w:rFonts w:ascii="Microsoft Sans Serif" w:hAnsi="Microsoft Sans Serif" w:cs="Microsoft Sans Serif"/>
          <w:bCs/>
          <w:lang w:val="sr-Latn-BA"/>
        </w:rPr>
        <w:t xml:space="preserve">su pokazala da pacijenti liječni sa </w:t>
      </w:r>
      <w:r>
        <w:rPr>
          <w:rFonts w:ascii="Microsoft Sans Serif" w:hAnsi="Microsoft Sans Serif" w:cs="Microsoft Sans Serif"/>
          <w:lang w:val="sr-Latn-BA" w:eastAsia="en-US"/>
        </w:rPr>
        <w:t xml:space="preserve">venlafaksinom </w:t>
      </w:r>
      <w:r>
        <w:rPr>
          <w:rFonts w:ascii="Microsoft Sans Serif" w:hAnsi="Microsoft Sans Serif" w:cs="Microsoft Sans Serif"/>
          <w:bCs/>
          <w:lang w:val="sr-Latn-BA"/>
        </w:rPr>
        <w:t xml:space="preserve">imaju veće opterećenje od rizičnih faktora samoubistva od SSRI pacijenata. Stepen do kojeg zaključak o povećanom riziku od fatalnog ishoda može biti pripisan toksičnosti predoziranja </w:t>
      </w:r>
      <w:r>
        <w:rPr>
          <w:rFonts w:ascii="Microsoft Sans Serif" w:hAnsi="Microsoft Sans Serif" w:cs="Microsoft Sans Serif"/>
          <w:lang w:val="sr-Latn-BA" w:eastAsia="en-US"/>
        </w:rPr>
        <w:t xml:space="preserve">venlafaksinom </w:t>
      </w:r>
      <w:r>
        <w:rPr>
          <w:rFonts w:ascii="Microsoft Sans Serif" w:hAnsi="Microsoft Sans Serif" w:cs="Microsoft Sans Serif"/>
          <w:bCs/>
          <w:lang w:val="bs-Latn-BA"/>
        </w:rPr>
        <w:t>u odnosu na</w:t>
      </w:r>
      <w:r>
        <w:rPr>
          <w:rFonts w:ascii="Microsoft Sans Serif" w:hAnsi="Microsoft Sans Serif" w:cs="Microsoft Sans Serif"/>
          <w:bCs/>
          <w:lang w:val="sr-Latn-BA"/>
        </w:rPr>
        <w:t xml:space="preserve"> neke karakteristike pacijenata </w:t>
      </w:r>
      <w:r>
        <w:rPr>
          <w:rFonts w:ascii="Microsoft Sans Serif" w:hAnsi="Microsoft Sans Serif" w:cs="Microsoft Sans Serif"/>
          <w:bCs/>
          <w:lang w:val="bs-Latn-BA"/>
        </w:rPr>
        <w:t xml:space="preserve">koji su </w:t>
      </w:r>
      <w:r>
        <w:rPr>
          <w:rFonts w:ascii="Microsoft Sans Serif" w:hAnsi="Microsoft Sans Serif" w:cs="Microsoft Sans Serif"/>
          <w:bCs/>
          <w:lang w:val="sr-Latn-BA"/>
        </w:rPr>
        <w:t xml:space="preserve">liječeni </w:t>
      </w:r>
      <w:r>
        <w:rPr>
          <w:rFonts w:ascii="Microsoft Sans Serif" w:hAnsi="Microsoft Sans Serif" w:cs="Microsoft Sans Serif"/>
          <w:lang w:val="sr-Latn-BA" w:eastAsia="en-US"/>
        </w:rPr>
        <w:t xml:space="preserve">venlafaksinom </w:t>
      </w:r>
      <w:r>
        <w:rPr>
          <w:rFonts w:ascii="Microsoft Sans Serif" w:hAnsi="Microsoft Sans Serif" w:cs="Microsoft Sans Serif"/>
          <w:bCs/>
          <w:lang w:val="sr-Latn-BA"/>
        </w:rPr>
        <w:t xml:space="preserve">nije jasan. </w:t>
      </w:r>
    </w:p>
    <w:p w14:paraId="1F49315C">
      <w:pPr>
        <w:autoSpaceDE w:val="0"/>
        <w:autoSpaceDN w:val="0"/>
        <w:adjustRightInd w:val="0"/>
        <w:jc w:val="both"/>
        <w:rPr>
          <w:rFonts w:ascii="Microsoft Sans Serif" w:hAnsi="Microsoft Sans Serif" w:cs="Microsoft Sans Serif"/>
          <w:b/>
          <w:bCs/>
          <w:lang w:val="sr-Latn-BA" w:eastAsia="en-US"/>
        </w:rPr>
      </w:pPr>
    </w:p>
    <w:p w14:paraId="12B58725">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Preporučeni tretman</w:t>
      </w:r>
    </w:p>
    <w:p w14:paraId="590E445F">
      <w:pPr>
        <w:autoSpaceDE w:val="0"/>
        <w:autoSpaceDN w:val="0"/>
        <w:adjustRightInd w:val="0"/>
        <w:jc w:val="both"/>
        <w:rPr>
          <w:rFonts w:ascii="Microsoft Sans Serif" w:hAnsi="Microsoft Sans Serif" w:cs="Microsoft Sans Serif"/>
          <w:bCs/>
          <w:lang w:val="sr-Latn-BA" w:eastAsia="en-US"/>
        </w:rPr>
      </w:pPr>
      <w:r>
        <w:rPr>
          <w:rFonts w:ascii="Microsoft Sans Serif" w:hAnsi="Microsoft Sans Serif" w:cs="Microsoft Sans Serif"/>
          <w:bCs/>
          <w:lang w:val="sr-Latn-BA" w:eastAsia="en-US"/>
        </w:rPr>
        <w:t xml:space="preserve">Teško trovanje može zahtijevati složene hitne postupke liječenja i praćenja. Zbog toga je u slučaju sumnje na predoziranje venlafaksinom preporučljivo obratiti se </w:t>
      </w:r>
      <w:r>
        <w:rPr>
          <w:rFonts w:ascii="Microsoft Sans Serif" w:hAnsi="Microsoft Sans Serif" w:cs="Microsoft Sans Serif"/>
          <w:bCs/>
          <w:i/>
          <w:iCs/>
          <w:lang w:val="sr-Latn-BA" w:eastAsia="en-US"/>
        </w:rPr>
        <w:t xml:space="preserve">odgovarajućoj zdravstvenoj ustanovi i toksikologu  što je prije moguće. </w:t>
      </w:r>
      <w:r>
        <w:rPr>
          <w:rFonts w:ascii="Microsoft Sans Serif" w:hAnsi="Microsoft Sans Serif" w:cs="Microsoft Sans Serif"/>
          <w:bCs/>
          <w:lang w:val="sr-Latn-BA" w:eastAsia="en-US"/>
        </w:rPr>
        <w:t xml:space="preserve">Opšte mjere podrške i simptomatičke mjere se preporučuju; srčani ritam i vitalni znakovi moraju biti praćeni. Kada postoji rizik od udisanja, izazivanje povraćanja nije preporučeno. Gastrična lavaža može biti indikovana ako se uradi odmah poslije uzimanja lijeka ili kod simptomatičnih pacijenata. Davanje aktivnog ugljena takođe može limitirati absorpciju aktivne supstance. Forsirana diureza, dijaliza, hemoperfuzija i zamjenska transfuzija najvjerovatnije neće biti od pomoći. Nisu poznati protivotrovi za </w:t>
      </w:r>
      <w:r>
        <w:rPr>
          <w:rFonts w:ascii="Microsoft Sans Serif" w:hAnsi="Microsoft Sans Serif" w:cs="Microsoft Sans Serif"/>
          <w:lang w:val="sr-Latn-BA" w:eastAsia="en-US"/>
        </w:rPr>
        <w:t>venlafaksin</w:t>
      </w:r>
      <w:r>
        <w:rPr>
          <w:rFonts w:ascii="Microsoft Sans Serif" w:hAnsi="Microsoft Sans Serif" w:cs="Microsoft Sans Serif"/>
          <w:bCs/>
          <w:lang w:val="sr-Latn-BA" w:eastAsia="en-US"/>
        </w:rPr>
        <w:t xml:space="preserve">. </w:t>
      </w:r>
    </w:p>
    <w:p w14:paraId="1361D79E">
      <w:pPr>
        <w:tabs>
          <w:tab w:val="left" w:pos="567"/>
        </w:tabs>
        <w:jc w:val="both"/>
        <w:rPr>
          <w:rFonts w:ascii="Microsoft Sans Serif" w:hAnsi="Microsoft Sans Serif" w:cs="Microsoft Sans Serif"/>
          <w:b/>
          <w:lang w:val="sr-Latn-BA"/>
        </w:rPr>
      </w:pPr>
    </w:p>
    <w:p w14:paraId="2B99797A">
      <w:pPr>
        <w:tabs>
          <w:tab w:val="left" w:pos="567"/>
        </w:tabs>
        <w:jc w:val="both"/>
        <w:rPr>
          <w:rFonts w:ascii="Microsoft Sans Serif" w:hAnsi="Microsoft Sans Serif" w:cs="Microsoft Sans Serif"/>
          <w:b/>
          <w:lang w:val="sr-Latn-BA"/>
        </w:rPr>
      </w:pPr>
    </w:p>
    <w:p w14:paraId="39D61630">
      <w:pPr>
        <w:jc w:val="both"/>
        <w:rPr>
          <w:rFonts w:ascii="Microsoft Sans Serif" w:hAnsi="Microsoft Sans Serif" w:cs="Microsoft Sans Serif"/>
          <w:b/>
          <w:lang w:val="sr-Latn-BA"/>
        </w:rPr>
      </w:pPr>
      <w:r>
        <w:rPr>
          <w:rFonts w:ascii="Microsoft Sans Serif" w:hAnsi="Microsoft Sans Serif" w:cs="Microsoft Sans Serif"/>
          <w:b/>
          <w:lang w:val="sr-Latn-BA"/>
        </w:rPr>
        <w:t>5.</w:t>
      </w:r>
      <w:r>
        <w:rPr>
          <w:rFonts w:ascii="Microsoft Sans Serif" w:hAnsi="Microsoft Sans Serif" w:cs="Microsoft Sans Serif"/>
          <w:b/>
          <w:lang w:val="sr-Latn-BA"/>
        </w:rPr>
        <w:tab/>
      </w:r>
      <w:r>
        <w:rPr>
          <w:rFonts w:ascii="Microsoft Sans Serif" w:hAnsi="Microsoft Sans Serif" w:cs="Microsoft Sans Serif"/>
          <w:b/>
          <w:lang w:val="sr-Latn-BA"/>
        </w:rPr>
        <w:t xml:space="preserve">FARMAKOLOŠKE KARAKTERISTIKE </w:t>
      </w:r>
      <w:r>
        <w:rPr>
          <w:rFonts w:ascii="Microsoft Sans Serif" w:hAnsi="Microsoft Sans Serif" w:cs="Microsoft Sans Serif"/>
          <w:b/>
          <w:lang w:val="sr-Latn-BA"/>
        </w:rPr>
        <w:tab/>
      </w:r>
    </w:p>
    <w:p w14:paraId="651DF33F">
      <w:pPr>
        <w:jc w:val="both"/>
        <w:rPr>
          <w:rFonts w:ascii="Microsoft Sans Serif" w:hAnsi="Microsoft Sans Serif" w:cs="Microsoft Sans Serif"/>
          <w:b/>
          <w:lang w:val="sr-Latn-BA"/>
        </w:rPr>
      </w:pPr>
    </w:p>
    <w:p w14:paraId="4909A07D">
      <w:pPr>
        <w:jc w:val="both"/>
        <w:rPr>
          <w:rFonts w:ascii="Microsoft Sans Serif" w:hAnsi="Microsoft Sans Serif" w:cs="Microsoft Sans Serif"/>
          <w:b/>
          <w:lang w:val="sr-Latn-BA"/>
        </w:rPr>
      </w:pPr>
      <w:r>
        <w:rPr>
          <w:rFonts w:ascii="Microsoft Sans Serif" w:hAnsi="Microsoft Sans Serif" w:cs="Microsoft Sans Serif"/>
          <w:b/>
          <w:lang w:val="sr-Latn-BA"/>
        </w:rPr>
        <w:t>5.1</w:t>
      </w:r>
      <w:r>
        <w:rPr>
          <w:rFonts w:ascii="Microsoft Sans Serif" w:hAnsi="Microsoft Sans Serif" w:cs="Microsoft Sans Serif"/>
          <w:b/>
          <w:lang w:val="sr-Latn-BA"/>
        </w:rPr>
        <w:tab/>
      </w:r>
      <w:r>
        <w:rPr>
          <w:rFonts w:ascii="Microsoft Sans Serif" w:hAnsi="Microsoft Sans Serif" w:cs="Microsoft Sans Serif"/>
          <w:b/>
          <w:lang w:val="sr-Latn-BA"/>
        </w:rPr>
        <w:t xml:space="preserve">Farmakodinamičke karakteristike </w:t>
      </w:r>
    </w:p>
    <w:p w14:paraId="115EA4C5">
      <w:pPr>
        <w:jc w:val="both"/>
        <w:rPr>
          <w:rFonts w:ascii="Microsoft Sans Serif" w:hAnsi="Microsoft Sans Serif" w:cs="Microsoft Sans Serif"/>
          <w:b/>
          <w:lang w:val="sr-Latn-BA"/>
        </w:rPr>
      </w:pPr>
    </w:p>
    <w:p w14:paraId="76E3C65F">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i/>
          <w:iCs/>
          <w:lang w:val="sr-Latn-BA" w:eastAsia="en-US"/>
        </w:rPr>
        <w:t xml:space="preserve">Farmako-terapijska grupa: </w:t>
      </w:r>
      <w:r>
        <w:rPr>
          <w:rFonts w:ascii="Microsoft Sans Serif" w:hAnsi="Microsoft Sans Serif" w:cs="Microsoft Sans Serif"/>
          <w:lang w:val="sr-Latn-BA" w:eastAsia="en-US"/>
        </w:rPr>
        <w:t xml:space="preserve">Drugi antidepresivi  </w:t>
      </w:r>
    </w:p>
    <w:p w14:paraId="1B3E1C2E">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i/>
          <w:iCs/>
          <w:lang w:val="bs-Latn-BA"/>
        </w:rPr>
        <w:t>Oznaka Anatomsko terapijske klasifikacije (</w:t>
      </w:r>
      <w:r>
        <w:rPr>
          <w:rFonts w:ascii="Microsoft Sans Serif" w:hAnsi="Microsoft Sans Serif" w:cs="Microsoft Sans Serif"/>
          <w:i/>
          <w:iCs/>
          <w:lang w:val="sr-Latn-BA" w:eastAsia="en-US"/>
        </w:rPr>
        <w:t xml:space="preserve">ATC): </w:t>
      </w:r>
      <w:r>
        <w:rPr>
          <w:rFonts w:ascii="Microsoft Sans Serif" w:hAnsi="Microsoft Sans Serif" w:cs="Microsoft Sans Serif"/>
          <w:lang w:val="sr-Latn-BA" w:eastAsia="en-US"/>
        </w:rPr>
        <w:t>NO6AX16</w:t>
      </w:r>
    </w:p>
    <w:p w14:paraId="38CBD951">
      <w:pPr>
        <w:autoSpaceDE w:val="0"/>
        <w:autoSpaceDN w:val="0"/>
        <w:adjustRightInd w:val="0"/>
        <w:jc w:val="both"/>
        <w:rPr>
          <w:rFonts w:ascii="Microsoft Sans Serif" w:hAnsi="Microsoft Sans Serif" w:cs="Microsoft Sans Serif"/>
          <w:lang w:val="sr-Latn-BA" w:eastAsia="en-US"/>
        </w:rPr>
      </w:pPr>
    </w:p>
    <w:p w14:paraId="7F5CD2A3">
      <w:pPr>
        <w:autoSpaceDE w:val="0"/>
        <w:autoSpaceDN w:val="0"/>
        <w:adjustRightInd w:val="0"/>
        <w:jc w:val="both"/>
        <w:rPr>
          <w:rFonts w:ascii="Microsoft Sans Serif" w:hAnsi="Microsoft Sans Serif" w:cs="Microsoft Sans Serif"/>
          <w:b/>
          <w:lang w:val="sr-Latn-BA" w:eastAsia="en-US"/>
        </w:rPr>
      </w:pPr>
      <w:r>
        <w:rPr>
          <w:rFonts w:ascii="Microsoft Sans Serif" w:hAnsi="Microsoft Sans Serif" w:cs="Microsoft Sans Serif"/>
          <w:b/>
          <w:lang w:val="sr-Latn-BA" w:eastAsia="en-US"/>
        </w:rPr>
        <w:t>Mehanizam djelovanja</w:t>
      </w:r>
    </w:p>
    <w:p w14:paraId="2709ABBB">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Mehanizam djelovanja venlafaksinskih antidepresiva kod ljudi je najvjerovatnije povezan sa potenciranjem aktivnosti neurotransmitera u centralnom nervnom sistemu. Preklinička </w:t>
      </w:r>
      <w:r>
        <w:rPr>
          <w:rFonts w:ascii="Microsoft Sans Serif" w:hAnsi="Microsoft Sans Serif" w:cs="Microsoft Sans Serif"/>
          <w:lang w:val="bs-Latn-BA" w:eastAsia="en-US"/>
        </w:rPr>
        <w:t xml:space="preserve">ispitivanja </w:t>
      </w:r>
      <w:r>
        <w:rPr>
          <w:rFonts w:ascii="Microsoft Sans Serif" w:hAnsi="Microsoft Sans Serif" w:cs="Microsoft Sans Serif"/>
          <w:lang w:val="sr-Latn-BA" w:eastAsia="en-US"/>
        </w:rPr>
        <w:t xml:space="preserve">su pokazala da su venlafaksin i njegov glavni metabolit, O-desmetilvenlafaksin (ODV), inhibitori serotonina i inhibitori ponovnog preuzimanje noradrenalina. Venlafaksin takođe slabo inhibira preuzimanje dopamina. Venlafaksin i njegov aktivni metabolit redukuje β-adrenergičke odgovore nakon akutne (jedna doza) i hroniče administracije. Venlafaksin i ODV su veoma slični sa pozicije njihovog ukupnog djelovanja na ponovno preuzimanje neurotransmitera i povezivanje receptora. </w:t>
      </w:r>
    </w:p>
    <w:p w14:paraId="390DE9CB">
      <w:pPr>
        <w:autoSpaceDE w:val="0"/>
        <w:autoSpaceDN w:val="0"/>
        <w:adjustRightInd w:val="0"/>
        <w:jc w:val="both"/>
        <w:rPr>
          <w:rFonts w:ascii="Microsoft Sans Serif" w:hAnsi="Microsoft Sans Serif" w:cs="Microsoft Sans Serif"/>
          <w:iCs/>
          <w:lang w:val="sr-Latn-BA" w:eastAsia="en-US"/>
        </w:rPr>
      </w:pPr>
      <w:r>
        <w:rPr>
          <w:rFonts w:ascii="Microsoft Sans Serif" w:hAnsi="Microsoft Sans Serif" w:cs="Microsoft Sans Serif"/>
          <w:lang w:val="sr-Latn-BA" w:eastAsia="en-US"/>
        </w:rPr>
        <w:t xml:space="preserve">Venlafaksin praktično nema djelovanja na muskarinske receptore na mozgu pacova, holinergične, H1-histaminergične ili α1-adrenergične receptore </w:t>
      </w:r>
      <w:r>
        <w:rPr>
          <w:rFonts w:ascii="Microsoft Sans Serif" w:hAnsi="Microsoft Sans Serif" w:cs="Microsoft Sans Serif"/>
          <w:i/>
          <w:iCs/>
          <w:lang w:val="sr-Latn-BA" w:eastAsia="en-US"/>
        </w:rPr>
        <w:t>in vitro</w:t>
      </w:r>
      <w:r>
        <w:rPr>
          <w:rFonts w:ascii="Microsoft Sans Serif" w:hAnsi="Microsoft Sans Serif" w:cs="Microsoft Sans Serif"/>
          <w:lang w:val="sr-Latn-BA" w:eastAsia="en-US"/>
        </w:rPr>
        <w:t xml:space="preserve">. Farmakološka aktivnosti na ove receptore može biti povezana sa različitim </w:t>
      </w:r>
      <w:r>
        <w:rPr>
          <w:rFonts w:ascii="Microsoft Sans Serif" w:hAnsi="Microsoft Sans Serif" w:cs="Microsoft Sans Serif"/>
          <w:lang w:val="bs-Latn-BA" w:eastAsia="en-US"/>
        </w:rPr>
        <w:t xml:space="preserve">neželjenim dejstvima </w:t>
      </w:r>
      <w:r>
        <w:rPr>
          <w:rFonts w:ascii="Microsoft Sans Serif" w:hAnsi="Microsoft Sans Serif" w:cs="Microsoft Sans Serif"/>
          <w:lang w:val="sr-Latn-BA" w:eastAsia="en-US"/>
        </w:rPr>
        <w:t xml:space="preserve">viđenim kod drugih antidepresiva kao što su antiholinergična, sedativna i kardiovaskularna </w:t>
      </w:r>
      <w:r>
        <w:rPr>
          <w:rFonts w:ascii="Microsoft Sans Serif" w:hAnsi="Microsoft Sans Serif" w:cs="Microsoft Sans Serif"/>
          <w:lang w:val="bs-Latn-BA" w:eastAsia="en-US"/>
        </w:rPr>
        <w:t>neželjena dejstva</w:t>
      </w:r>
      <w:r>
        <w:rPr>
          <w:rFonts w:ascii="Microsoft Sans Serif" w:hAnsi="Microsoft Sans Serif" w:cs="Microsoft Sans Serif"/>
          <w:lang w:val="sr-Latn-BA" w:eastAsia="en-US"/>
        </w:rPr>
        <w:t xml:space="preserve">. Venlafaksin ne posjeduje inhibitorna aktivnost na monoaminooksidaze (MAO). </w:t>
      </w:r>
      <w:r>
        <w:rPr>
          <w:rFonts w:ascii="Microsoft Sans Serif" w:hAnsi="Microsoft Sans Serif" w:cs="Microsoft Sans Serif"/>
          <w:i/>
          <w:iCs/>
          <w:lang w:val="sr-Latn-BA" w:eastAsia="en-US"/>
        </w:rPr>
        <w:t xml:space="preserve">In vitro </w:t>
      </w:r>
      <w:r>
        <w:rPr>
          <w:rFonts w:ascii="Microsoft Sans Serif" w:hAnsi="Microsoft Sans Serif" w:cs="Microsoft Sans Serif"/>
          <w:iCs/>
          <w:lang w:val="bs-Latn-BA" w:eastAsia="en-US"/>
        </w:rPr>
        <w:t xml:space="preserve">ispitivanja </w:t>
      </w:r>
      <w:r>
        <w:rPr>
          <w:rFonts w:ascii="Microsoft Sans Serif" w:hAnsi="Microsoft Sans Serif" w:cs="Microsoft Sans Serif"/>
          <w:iCs/>
          <w:lang w:val="sr-Latn-BA" w:eastAsia="en-US"/>
        </w:rPr>
        <w:t xml:space="preserve">su otkrila da </w:t>
      </w:r>
      <w:r>
        <w:rPr>
          <w:rFonts w:ascii="Microsoft Sans Serif" w:hAnsi="Microsoft Sans Serif" w:cs="Microsoft Sans Serif"/>
          <w:lang w:val="sr-Latn-BA" w:eastAsia="en-US"/>
        </w:rPr>
        <w:t xml:space="preserve">venlafaksin </w:t>
      </w:r>
      <w:r>
        <w:rPr>
          <w:rFonts w:ascii="Microsoft Sans Serif" w:hAnsi="Microsoft Sans Serif" w:cs="Microsoft Sans Serif"/>
          <w:iCs/>
          <w:lang w:val="sr-Latn-BA" w:eastAsia="en-US"/>
        </w:rPr>
        <w:t xml:space="preserve">praktično nema afinitet za opioide ili benodiazepine osjetljivim receptorima. </w:t>
      </w:r>
    </w:p>
    <w:p w14:paraId="65CEE7D0">
      <w:pPr>
        <w:autoSpaceDE w:val="0"/>
        <w:autoSpaceDN w:val="0"/>
        <w:adjustRightInd w:val="0"/>
        <w:jc w:val="both"/>
        <w:rPr>
          <w:rFonts w:ascii="Microsoft Sans Serif" w:hAnsi="Microsoft Sans Serif" w:cs="Microsoft Sans Serif"/>
          <w:iCs/>
          <w:lang w:val="sr-Latn-BA" w:eastAsia="en-US"/>
        </w:rPr>
      </w:pPr>
    </w:p>
    <w:p w14:paraId="711716F0">
      <w:pPr>
        <w:autoSpaceDE w:val="0"/>
        <w:autoSpaceDN w:val="0"/>
        <w:adjustRightInd w:val="0"/>
        <w:jc w:val="both"/>
        <w:rPr>
          <w:rFonts w:ascii="Microsoft Sans Serif" w:hAnsi="Microsoft Sans Serif" w:cs="Microsoft Sans Serif"/>
          <w:iCs/>
          <w:lang w:val="sr-Latn-BA" w:eastAsia="en-US"/>
        </w:rPr>
      </w:pPr>
    </w:p>
    <w:p w14:paraId="7EBA686B">
      <w:pPr>
        <w:autoSpaceDE w:val="0"/>
        <w:autoSpaceDN w:val="0"/>
        <w:adjustRightInd w:val="0"/>
        <w:jc w:val="both"/>
        <w:rPr>
          <w:rFonts w:ascii="Microsoft Sans Serif" w:hAnsi="Microsoft Sans Serif" w:cs="Microsoft Sans Serif"/>
          <w:iCs/>
          <w:lang w:val="sr-Latn-BA" w:eastAsia="en-US"/>
        </w:rPr>
      </w:pPr>
    </w:p>
    <w:p w14:paraId="4D9FF2F3">
      <w:pPr>
        <w:autoSpaceDE w:val="0"/>
        <w:autoSpaceDN w:val="0"/>
        <w:adjustRightInd w:val="0"/>
        <w:jc w:val="both"/>
        <w:rPr>
          <w:rFonts w:ascii="Microsoft Sans Serif" w:hAnsi="Microsoft Sans Serif" w:cs="Microsoft Sans Serif"/>
          <w:b/>
          <w:i/>
          <w:iCs/>
          <w:lang w:val="sr-Latn-BA" w:eastAsia="en-US"/>
        </w:rPr>
      </w:pPr>
      <w:r>
        <w:rPr>
          <w:rFonts w:ascii="Microsoft Sans Serif" w:hAnsi="Microsoft Sans Serif" w:cs="Microsoft Sans Serif"/>
          <w:b/>
          <w:color w:val="000000"/>
          <w:lang w:val="sv-SE"/>
        </w:rPr>
        <w:t>Klinička efikasnost i bezbjednost</w:t>
      </w:r>
    </w:p>
    <w:p w14:paraId="0C382CB2">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 xml:space="preserve">Epizode depresije major </w:t>
      </w:r>
    </w:p>
    <w:p w14:paraId="62176907">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Efikasnost venlafaksina sa trenutnim oslobađanjem kod liječenja majornih depresivnih epizoda je dokazana kod </w:t>
      </w:r>
      <w:r>
        <w:rPr>
          <w:rFonts w:ascii="Microsoft Sans Serif" w:hAnsi="Microsoft Sans Serif" w:cs="Microsoft Sans Serif"/>
          <w:lang w:val="bs-Latn-BA" w:eastAsia="en-US"/>
        </w:rPr>
        <w:t>pet</w:t>
      </w:r>
      <w:r>
        <w:rPr>
          <w:rFonts w:ascii="Microsoft Sans Serif" w:hAnsi="Microsoft Sans Serif" w:cs="Microsoft Sans Serif"/>
          <w:lang w:val="sr-Latn-BA" w:eastAsia="en-US"/>
        </w:rPr>
        <w:t xml:space="preserve"> randomizovanih, dvostruko-slijepih, placebo-kontrolisanih, kratkotrajnih </w:t>
      </w:r>
      <w:r>
        <w:rPr>
          <w:rFonts w:ascii="Microsoft Sans Serif" w:hAnsi="Microsoft Sans Serif" w:cs="Microsoft Sans Serif"/>
          <w:lang w:val="bs-Latn-BA" w:eastAsia="en-US"/>
        </w:rPr>
        <w:t xml:space="preserve">ispitivanja </w:t>
      </w:r>
      <w:r>
        <w:rPr>
          <w:rFonts w:ascii="Microsoft Sans Serif" w:hAnsi="Microsoft Sans Serif" w:cs="Microsoft Sans Serif"/>
          <w:lang w:val="sr-Latn-BA" w:eastAsia="en-US"/>
        </w:rPr>
        <w:t xml:space="preserve">koja su trajala od </w:t>
      </w:r>
      <w:r>
        <w:rPr>
          <w:rFonts w:ascii="Microsoft Sans Serif" w:hAnsi="Microsoft Sans Serif" w:cs="Microsoft Sans Serif"/>
          <w:lang w:val="bs-Latn-BA" w:eastAsia="en-US"/>
        </w:rPr>
        <w:t>četiri do šest sedmica</w:t>
      </w:r>
      <w:r>
        <w:rPr>
          <w:rFonts w:ascii="Microsoft Sans Serif" w:hAnsi="Microsoft Sans Serif" w:cs="Microsoft Sans Serif"/>
          <w:lang w:val="sr-Latn-BA" w:eastAsia="en-US"/>
        </w:rPr>
        <w:t xml:space="preserve">, za doze do 375 mg/dnevno. Efikasnost venlafaksin tvrdih kapsula sa produženim djelovanjem kod liječenja majornih depresivnih epizoda utvrđena je u dva placebo-kontrolisana, kratkotrajna </w:t>
      </w:r>
      <w:r>
        <w:rPr>
          <w:rFonts w:ascii="Microsoft Sans Serif" w:hAnsi="Microsoft Sans Serif" w:cs="Microsoft Sans Serif"/>
          <w:lang w:val="bs-Latn-BA" w:eastAsia="en-US"/>
        </w:rPr>
        <w:t xml:space="preserve">ispitivanja </w:t>
      </w:r>
      <w:r>
        <w:rPr>
          <w:rFonts w:ascii="Microsoft Sans Serif" w:hAnsi="Microsoft Sans Serif" w:cs="Microsoft Sans Serif"/>
          <w:lang w:val="sr-Latn-BA" w:eastAsia="en-US"/>
        </w:rPr>
        <w:t xml:space="preserve">koja su trajala od </w:t>
      </w:r>
      <w:r>
        <w:rPr>
          <w:rFonts w:ascii="Microsoft Sans Serif" w:hAnsi="Microsoft Sans Serif" w:cs="Microsoft Sans Serif"/>
          <w:lang w:val="bs-Latn-BA" w:eastAsia="en-US"/>
        </w:rPr>
        <w:t xml:space="preserve">8 do </w:t>
      </w:r>
      <w:r>
        <w:rPr>
          <w:rFonts w:ascii="Microsoft Sans Serif" w:hAnsi="Microsoft Sans Serif" w:cs="Microsoft Sans Serif"/>
          <w:lang w:val="sr-Latn-BA" w:eastAsia="en-US"/>
        </w:rPr>
        <w:t xml:space="preserve">12 </w:t>
      </w:r>
      <w:r>
        <w:rPr>
          <w:rFonts w:ascii="Microsoft Sans Serif" w:hAnsi="Microsoft Sans Serif" w:cs="Microsoft Sans Serif"/>
          <w:lang w:val="bs-Latn-BA" w:eastAsia="en-US"/>
        </w:rPr>
        <w:t>sedmica</w:t>
      </w:r>
      <w:r>
        <w:rPr>
          <w:rFonts w:ascii="Microsoft Sans Serif" w:hAnsi="Microsoft Sans Serif" w:cs="Microsoft Sans Serif"/>
          <w:lang w:val="sr-Latn-BA" w:eastAsia="en-US"/>
        </w:rPr>
        <w:t>, koja su uključivala raspon doza od 75 mg</w:t>
      </w:r>
      <w:r>
        <w:rPr>
          <w:rFonts w:ascii="Microsoft Sans Serif" w:hAnsi="Microsoft Sans Serif" w:cs="Microsoft Sans Serif"/>
          <w:lang w:val="bs-Latn-BA" w:eastAsia="en-US"/>
        </w:rPr>
        <w:t>/dnevno</w:t>
      </w:r>
      <w:r>
        <w:rPr>
          <w:rFonts w:ascii="Microsoft Sans Serif" w:hAnsi="Microsoft Sans Serif" w:cs="Microsoft Sans Serif"/>
          <w:lang w:val="sr-Latn-BA" w:eastAsia="en-US"/>
        </w:rPr>
        <w:t xml:space="preserve"> do 225 mg/dnevno. U jednom dugoročnom </w:t>
      </w:r>
      <w:r>
        <w:rPr>
          <w:rFonts w:ascii="Microsoft Sans Serif" w:hAnsi="Microsoft Sans Serif" w:cs="Microsoft Sans Serif"/>
          <w:lang w:val="bs-Latn-BA" w:eastAsia="en-US"/>
        </w:rPr>
        <w:t>ispitivanju</w:t>
      </w:r>
      <w:r>
        <w:rPr>
          <w:rFonts w:ascii="Microsoft Sans Serif" w:hAnsi="Microsoft Sans Serif" w:cs="Microsoft Sans Serif"/>
          <w:lang w:val="sr-Latn-BA" w:eastAsia="en-US"/>
        </w:rPr>
        <w:t>, odrasli bolesnici na vanbolničkom liječenju, koji su učestvovali u osmo sedmi</w:t>
      </w:r>
      <w:r>
        <w:rPr>
          <w:rFonts w:ascii="Microsoft Sans Serif" w:hAnsi="Microsoft Sans Serif" w:cs="Microsoft Sans Serif"/>
          <w:lang w:val="hr-BA" w:eastAsia="en-US"/>
        </w:rPr>
        <w:t xml:space="preserve">čnom </w:t>
      </w:r>
      <w:r>
        <w:rPr>
          <w:rFonts w:ascii="Microsoft Sans Serif" w:hAnsi="Microsoft Sans Serif" w:cs="Microsoft Sans Serif"/>
          <w:lang w:val="sr-Latn-BA" w:eastAsia="en-US"/>
        </w:rPr>
        <w:t xml:space="preserve">otvorenom </w:t>
      </w:r>
      <w:r>
        <w:rPr>
          <w:rFonts w:ascii="Microsoft Sans Serif" w:hAnsi="Microsoft Sans Serif" w:cs="Microsoft Sans Serif"/>
          <w:lang w:val="bs-Latn-BA" w:eastAsia="en-US"/>
        </w:rPr>
        <w:t xml:space="preserve">ispitivanju </w:t>
      </w:r>
      <w:r>
        <w:rPr>
          <w:rFonts w:ascii="Microsoft Sans Serif" w:hAnsi="Microsoft Sans Serif" w:cs="Microsoft Sans Serif"/>
          <w:lang w:val="sr-Latn-BA" w:eastAsia="en-US"/>
        </w:rPr>
        <w:t xml:space="preserve">o liječenju sa venlafaksin tvrdim kapsulama sa produženim djelovanjem (75 </w:t>
      </w:r>
      <w:r>
        <w:rPr>
          <w:rFonts w:ascii="Microsoft Sans Serif" w:hAnsi="Microsoft Sans Serif" w:cs="Microsoft Sans Serif"/>
          <w:lang w:val="bs-Latn-BA" w:eastAsia="en-US"/>
        </w:rPr>
        <w:t>mg</w:t>
      </w:r>
      <w:r>
        <w:rPr>
          <w:rFonts w:ascii="Microsoft Sans Serif" w:hAnsi="Microsoft Sans Serif" w:cs="Microsoft Sans Serif"/>
          <w:lang w:val="sr-Latn-BA" w:eastAsia="en-US"/>
        </w:rPr>
        <w:t xml:space="preserve">, 150 </w:t>
      </w:r>
      <w:r>
        <w:rPr>
          <w:rFonts w:ascii="Microsoft Sans Serif" w:hAnsi="Microsoft Sans Serif" w:cs="Microsoft Sans Serif"/>
          <w:lang w:val="bs-Latn-BA" w:eastAsia="en-US"/>
        </w:rPr>
        <w:t>mg</w:t>
      </w:r>
      <w:r>
        <w:rPr>
          <w:rFonts w:ascii="Microsoft Sans Serif" w:hAnsi="Microsoft Sans Serif" w:cs="Microsoft Sans Serif"/>
          <w:lang w:val="sr-Latn-BA" w:eastAsia="en-US"/>
        </w:rPr>
        <w:t xml:space="preserve">, ili 225 mg), randomizovani su u nastavku terapije iste doze venlafaksin tvrdim kapsulama sa produženim djelovanjem ili placebom, u trajanju do 26 </w:t>
      </w:r>
      <w:r>
        <w:rPr>
          <w:rFonts w:ascii="Microsoft Sans Serif" w:hAnsi="Microsoft Sans Serif" w:cs="Microsoft Sans Serif"/>
          <w:lang w:val="bs-Latn-BA" w:eastAsia="en-US"/>
        </w:rPr>
        <w:t xml:space="preserve">sedmica </w:t>
      </w:r>
      <w:r>
        <w:rPr>
          <w:rFonts w:ascii="Microsoft Sans Serif" w:hAnsi="Microsoft Sans Serif" w:cs="Microsoft Sans Serif"/>
          <w:lang w:val="sr-Latn-BA" w:eastAsia="en-US"/>
        </w:rPr>
        <w:t xml:space="preserve">posmatranja za ponavljanja depresivnih epizoda. U drugom dugoročnom </w:t>
      </w:r>
      <w:r>
        <w:rPr>
          <w:rFonts w:ascii="Microsoft Sans Serif" w:hAnsi="Microsoft Sans Serif" w:cs="Microsoft Sans Serif"/>
          <w:lang w:val="bs-Latn-BA" w:eastAsia="en-US"/>
        </w:rPr>
        <w:t>ispitivanju</w:t>
      </w:r>
      <w:r>
        <w:rPr>
          <w:rFonts w:ascii="Microsoft Sans Serif" w:hAnsi="Microsoft Sans Serif" w:cs="Microsoft Sans Serif"/>
          <w:lang w:val="sr-Latn-BA" w:eastAsia="en-US"/>
        </w:rPr>
        <w:t xml:space="preserve">, efikasnost venlafaksina u prevenciji vraćanja depresivnih epizoda u periodu od 12 mjeseci je ustanovljena u placebo-kontrolisanom dvostruko-slijepom kliničkom </w:t>
      </w:r>
      <w:r>
        <w:rPr>
          <w:rFonts w:ascii="Microsoft Sans Serif" w:hAnsi="Microsoft Sans Serif" w:cs="Microsoft Sans Serif"/>
          <w:lang w:val="bs-Latn-BA" w:eastAsia="en-US"/>
        </w:rPr>
        <w:t xml:space="preserve">ispitivanju </w:t>
      </w:r>
      <w:r>
        <w:rPr>
          <w:rFonts w:ascii="Microsoft Sans Serif" w:hAnsi="Microsoft Sans Serif" w:cs="Microsoft Sans Serif"/>
          <w:lang w:val="sr-Latn-BA" w:eastAsia="en-US"/>
        </w:rPr>
        <w:t xml:space="preserve">kod odraslih pacijenata na vanbolničkom liječenju sa ponavljajućim majornim depresivnim epizodama koji su reagovali pozitivno na liječenje venlafaksinom (100 </w:t>
      </w:r>
      <w:r>
        <w:rPr>
          <w:rFonts w:ascii="Microsoft Sans Serif" w:hAnsi="Microsoft Sans Serif" w:cs="Microsoft Sans Serif"/>
          <w:lang w:val="bs-Latn-BA" w:eastAsia="en-US"/>
        </w:rPr>
        <w:t xml:space="preserve">mg/dnevno </w:t>
      </w:r>
      <w:r>
        <w:rPr>
          <w:rFonts w:ascii="Microsoft Sans Serif" w:hAnsi="Microsoft Sans Serif" w:cs="Microsoft Sans Serif"/>
          <w:lang w:val="sr-Latn-BA" w:eastAsia="en-US"/>
        </w:rPr>
        <w:t xml:space="preserve">do 200 mg/dnevno, podijeljeno u dvije doze) na zadnju epozodu depresije. </w:t>
      </w:r>
    </w:p>
    <w:p w14:paraId="37250C82">
      <w:pPr>
        <w:autoSpaceDE w:val="0"/>
        <w:autoSpaceDN w:val="0"/>
        <w:adjustRightInd w:val="0"/>
        <w:jc w:val="both"/>
        <w:rPr>
          <w:rFonts w:ascii="Microsoft Sans Serif" w:hAnsi="Microsoft Sans Serif" w:cs="Microsoft Sans Serif"/>
          <w:lang w:val="sr-Latn-BA" w:eastAsia="en-US"/>
        </w:rPr>
      </w:pPr>
    </w:p>
    <w:p w14:paraId="235D9E56">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Generalizovani anksiozni poremećaj</w:t>
      </w:r>
    </w:p>
    <w:p w14:paraId="59900B2E">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Efikasnost venlafaksin tvrdih kapsula sa produženim djelovanjem kod liječenja </w:t>
      </w:r>
      <w:r>
        <w:rPr>
          <w:rFonts w:ascii="Microsoft Sans Serif" w:hAnsi="Microsoft Sans Serif" w:cs="Microsoft Sans Serif"/>
          <w:bCs/>
          <w:lang w:val="sr-Latn-BA" w:eastAsia="en-US"/>
        </w:rPr>
        <w:t xml:space="preserve">generalizovanog anksioznog poremećaja (GAD) je potvrđena u dva </w:t>
      </w:r>
      <w:r>
        <w:rPr>
          <w:rFonts w:ascii="Microsoft Sans Serif" w:hAnsi="Microsoft Sans Serif" w:cs="Microsoft Sans Serif"/>
          <w:bCs/>
          <w:lang w:val="bs-Latn-BA" w:eastAsia="en-US"/>
        </w:rPr>
        <w:t>osmosedmična</w:t>
      </w:r>
      <w:r>
        <w:rPr>
          <w:rFonts w:ascii="Microsoft Sans Serif" w:hAnsi="Microsoft Sans Serif" w:cs="Microsoft Sans Serif"/>
          <w:bCs/>
          <w:lang w:val="sr-Latn-BA" w:eastAsia="en-US"/>
        </w:rPr>
        <w:t xml:space="preserve">, </w:t>
      </w:r>
      <w:r>
        <w:rPr>
          <w:rFonts w:ascii="Microsoft Sans Serif" w:hAnsi="Microsoft Sans Serif" w:cs="Microsoft Sans Serif"/>
          <w:lang w:val="sr-Latn-BA" w:eastAsia="en-US"/>
        </w:rPr>
        <w:t xml:space="preserve">placebo-kontrolisana </w:t>
      </w:r>
      <w:r>
        <w:rPr>
          <w:rFonts w:ascii="Microsoft Sans Serif" w:hAnsi="Microsoft Sans Serif" w:cs="Microsoft Sans Serif"/>
          <w:lang w:val="bs-Latn-BA" w:eastAsia="en-US"/>
        </w:rPr>
        <w:t xml:space="preserve">ispitivanja </w:t>
      </w:r>
      <w:r>
        <w:rPr>
          <w:rFonts w:ascii="Microsoft Sans Serif" w:hAnsi="Microsoft Sans Serif" w:cs="Microsoft Sans Serif"/>
          <w:lang w:val="sr-Latn-BA" w:eastAsia="en-US"/>
        </w:rPr>
        <w:t xml:space="preserve">fiksnih doza (75 </w:t>
      </w:r>
      <w:r>
        <w:rPr>
          <w:rFonts w:ascii="Microsoft Sans Serif" w:hAnsi="Microsoft Sans Serif" w:cs="Microsoft Sans Serif"/>
          <w:lang w:val="bs-Latn-BA" w:eastAsia="en-US"/>
        </w:rPr>
        <w:t xml:space="preserve">mg/dnevno </w:t>
      </w:r>
      <w:r>
        <w:rPr>
          <w:rFonts w:ascii="Microsoft Sans Serif" w:hAnsi="Microsoft Sans Serif" w:cs="Microsoft Sans Serif"/>
          <w:lang w:val="sr-Latn-BA" w:eastAsia="en-US"/>
        </w:rPr>
        <w:t>do 225 mg/dnevno), jednoj</w:t>
      </w:r>
      <w:r>
        <w:rPr>
          <w:rFonts w:ascii="Microsoft Sans Serif" w:hAnsi="Microsoft Sans Serif" w:cs="Microsoft Sans Serif"/>
          <w:lang w:val="bs-Latn-BA" w:eastAsia="en-US"/>
        </w:rPr>
        <w:t xml:space="preserve"> šestomjesečnom</w:t>
      </w:r>
      <w:r>
        <w:rPr>
          <w:rFonts w:ascii="Microsoft Sans Serif" w:hAnsi="Microsoft Sans Serif" w:cs="Microsoft Sans Serif"/>
          <w:lang w:val="sr-Latn-BA" w:eastAsia="en-US"/>
        </w:rPr>
        <w:t xml:space="preserve">, placebo-kontrolisanom, </w:t>
      </w:r>
      <w:r>
        <w:rPr>
          <w:rFonts w:ascii="Microsoft Sans Serif" w:hAnsi="Microsoft Sans Serif" w:cs="Microsoft Sans Serif"/>
          <w:lang w:val="bs-Latn-BA" w:eastAsia="en-US"/>
        </w:rPr>
        <w:t>ispitivanju</w:t>
      </w:r>
      <w:r>
        <w:rPr>
          <w:rFonts w:ascii="Microsoft Sans Serif" w:hAnsi="Microsoft Sans Serif" w:cs="Microsoft Sans Serif"/>
          <w:lang w:val="mk-MK" w:eastAsia="en-US"/>
        </w:rPr>
        <w:t xml:space="preserve"> </w:t>
      </w:r>
      <w:r>
        <w:rPr>
          <w:rFonts w:ascii="Microsoft Sans Serif" w:hAnsi="Microsoft Sans Serif" w:cs="Microsoft Sans Serif"/>
          <w:lang w:val="hr-BA" w:eastAsia="en-US"/>
        </w:rPr>
        <w:t>fiksnih doza (75</w:t>
      </w:r>
      <w:r>
        <w:rPr>
          <w:rFonts w:ascii="Microsoft Sans Serif" w:hAnsi="Microsoft Sans Serif" w:cs="Microsoft Sans Serif"/>
          <w:lang w:val="sr-Latn-BA" w:eastAsia="en-US"/>
        </w:rPr>
        <w:t xml:space="preserve"> </w:t>
      </w:r>
      <w:r>
        <w:rPr>
          <w:rFonts w:ascii="Microsoft Sans Serif" w:hAnsi="Microsoft Sans Serif" w:cs="Microsoft Sans Serif"/>
          <w:lang w:val="bs-Latn-BA" w:eastAsia="en-US"/>
        </w:rPr>
        <w:t xml:space="preserve">mg/dnevno </w:t>
      </w:r>
      <w:r>
        <w:rPr>
          <w:rFonts w:ascii="Microsoft Sans Serif" w:hAnsi="Microsoft Sans Serif" w:cs="Microsoft Sans Serif"/>
          <w:lang w:val="sr-Latn-BA" w:eastAsia="en-US"/>
        </w:rPr>
        <w:t xml:space="preserve">do 225 mg/dnevno) i jednoj </w:t>
      </w:r>
      <w:r>
        <w:rPr>
          <w:rFonts w:ascii="Microsoft Sans Serif" w:hAnsi="Microsoft Sans Serif" w:cs="Microsoft Sans Serif"/>
          <w:lang w:val="bs-Latn-BA" w:eastAsia="en-US"/>
        </w:rPr>
        <w:t>šestomjesečnom</w:t>
      </w:r>
      <w:r>
        <w:rPr>
          <w:rFonts w:ascii="Microsoft Sans Serif" w:hAnsi="Microsoft Sans Serif" w:cs="Microsoft Sans Serif"/>
          <w:lang w:val="sr-Latn-BA" w:eastAsia="en-US"/>
        </w:rPr>
        <w:t xml:space="preserve">, placebo-kontrolisanom, </w:t>
      </w:r>
      <w:r>
        <w:rPr>
          <w:rFonts w:ascii="Microsoft Sans Serif" w:hAnsi="Microsoft Sans Serif" w:cs="Microsoft Sans Serif"/>
          <w:lang w:val="bs-Latn-BA" w:eastAsia="en-US"/>
        </w:rPr>
        <w:t xml:space="preserve">ispitivanju </w:t>
      </w:r>
      <w:r>
        <w:rPr>
          <w:rFonts w:ascii="Microsoft Sans Serif" w:hAnsi="Microsoft Sans Serif" w:cs="Microsoft Sans Serif"/>
          <w:lang w:val="sr-Latn-BA" w:eastAsia="en-US"/>
        </w:rPr>
        <w:t>fleksibilnih doza (37,5</w:t>
      </w:r>
      <w:r>
        <w:rPr>
          <w:rFonts w:ascii="Microsoft Sans Serif" w:hAnsi="Microsoft Sans Serif" w:cs="Microsoft Sans Serif"/>
          <w:lang w:val="bs-Latn-BA" w:eastAsia="en-US"/>
        </w:rPr>
        <w:t xml:space="preserve"> mg/dnevno</w:t>
      </w:r>
      <w:r>
        <w:rPr>
          <w:rFonts w:ascii="Microsoft Sans Serif" w:hAnsi="Microsoft Sans Serif" w:cs="Microsoft Sans Serif"/>
          <w:lang w:val="sr-Latn-BA" w:eastAsia="en-US"/>
        </w:rPr>
        <w:t>, 75</w:t>
      </w:r>
      <w:r>
        <w:rPr>
          <w:rFonts w:ascii="Microsoft Sans Serif" w:hAnsi="Microsoft Sans Serif" w:cs="Microsoft Sans Serif"/>
          <w:lang w:val="bs-Latn-BA" w:eastAsia="en-US"/>
        </w:rPr>
        <w:t xml:space="preserve"> mg/dnevno</w:t>
      </w:r>
      <w:r>
        <w:rPr>
          <w:rFonts w:ascii="Microsoft Sans Serif" w:hAnsi="Microsoft Sans Serif" w:cs="Microsoft Sans Serif"/>
          <w:lang w:val="sr-Latn-BA" w:eastAsia="en-US"/>
        </w:rPr>
        <w:t xml:space="preserve">, i 150 mg/dnevno) kod odraslih pacijenata na vanbolničkom liječenju. Iako postoji dokaz o superiornosti nad placebom za dozu 37,5 mg/dnevno, ova doza nije dosljedno bila efikasna kao više doze. </w:t>
      </w:r>
    </w:p>
    <w:p w14:paraId="0609B78F">
      <w:pPr>
        <w:autoSpaceDE w:val="0"/>
        <w:autoSpaceDN w:val="0"/>
        <w:adjustRightInd w:val="0"/>
        <w:jc w:val="both"/>
        <w:rPr>
          <w:rFonts w:ascii="Microsoft Sans Serif" w:hAnsi="Microsoft Sans Serif" w:cs="Microsoft Sans Serif"/>
          <w:b/>
          <w:bCs/>
          <w:lang w:val="sr-Latn-BA" w:eastAsia="en-US"/>
        </w:rPr>
      </w:pPr>
    </w:p>
    <w:p w14:paraId="3DD3A63E">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Socijalno-anksiozni poremećaj</w:t>
      </w:r>
    </w:p>
    <w:p w14:paraId="7B9D6253">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Efikasnost venlafaksin tvrdih kapsula sa produženim djelovanjem kod liječenja </w:t>
      </w:r>
      <w:r>
        <w:rPr>
          <w:rFonts w:ascii="Microsoft Sans Serif" w:hAnsi="Microsoft Sans Serif" w:cs="Microsoft Sans Serif"/>
          <w:bCs/>
          <w:lang w:val="sr-Latn-BA" w:eastAsia="en-US"/>
        </w:rPr>
        <w:t xml:space="preserve">socijalno-anksioznog poremećaja je potvrđena u četiri dvostruko-slijepe, paralelne-grupe, 12-sedmičnom, multicentričnom, placebo-kontrolisanom, fleksibilnom doziranju, </w:t>
      </w:r>
      <w:r>
        <w:rPr>
          <w:rFonts w:ascii="Microsoft Sans Serif" w:hAnsi="Microsoft Sans Serif" w:cs="Microsoft Sans Serif"/>
          <w:bCs/>
          <w:lang w:val="bs-Latn-BA" w:eastAsia="en-US"/>
        </w:rPr>
        <w:t xml:space="preserve">ispitivanjima </w:t>
      </w:r>
      <w:r>
        <w:rPr>
          <w:rFonts w:ascii="Microsoft Sans Serif" w:hAnsi="Microsoft Sans Serif" w:cs="Microsoft Sans Serif"/>
          <w:bCs/>
          <w:lang w:val="sr-Latn-BA" w:eastAsia="en-US"/>
        </w:rPr>
        <w:t xml:space="preserve">i u jednom dvostruko-slijepom, paralelne-grupe, </w:t>
      </w:r>
      <w:r>
        <w:rPr>
          <w:rFonts w:ascii="Microsoft Sans Serif" w:hAnsi="Microsoft Sans Serif" w:cs="Microsoft Sans Serif"/>
          <w:bCs/>
          <w:lang w:val="bs-Latn-BA" w:eastAsia="en-US"/>
        </w:rPr>
        <w:t>šestomjesečnom</w:t>
      </w:r>
      <w:r>
        <w:rPr>
          <w:rFonts w:ascii="Microsoft Sans Serif" w:hAnsi="Microsoft Sans Serif" w:cs="Microsoft Sans Serif"/>
          <w:bCs/>
          <w:lang w:val="sr-Latn-BA" w:eastAsia="en-US"/>
        </w:rPr>
        <w:t xml:space="preserve">, placebo-kontrolisanom, fiksno/fleksibilnom doziranju, </w:t>
      </w:r>
      <w:r>
        <w:rPr>
          <w:rFonts w:ascii="Microsoft Sans Serif" w:hAnsi="Microsoft Sans Serif" w:cs="Microsoft Sans Serif"/>
          <w:bCs/>
          <w:lang w:val="bs-Latn-BA" w:eastAsia="en-US"/>
        </w:rPr>
        <w:t xml:space="preserve">ispitivanju </w:t>
      </w:r>
      <w:r>
        <w:rPr>
          <w:rFonts w:ascii="Microsoft Sans Serif" w:hAnsi="Microsoft Sans Serif" w:cs="Microsoft Sans Serif"/>
          <w:lang w:val="sr-Latn-BA" w:eastAsia="en-US"/>
        </w:rPr>
        <w:t xml:space="preserve">kod odraslih pacijenata na vanbolničkom liječenju. </w:t>
      </w:r>
      <w:r>
        <w:rPr>
          <w:rFonts w:ascii="Microsoft Sans Serif" w:hAnsi="Microsoft Sans Serif" w:cs="Microsoft Sans Serif"/>
          <w:bCs/>
          <w:lang w:val="sr-Latn-BA" w:eastAsia="en-US"/>
        </w:rPr>
        <w:t xml:space="preserve">Pacijenti su primili doze u rasponu od </w:t>
      </w:r>
      <w:r>
        <w:rPr>
          <w:rFonts w:ascii="Microsoft Sans Serif" w:hAnsi="Microsoft Sans Serif" w:cs="Microsoft Sans Serif"/>
          <w:lang w:val="sr-Latn-BA" w:eastAsia="en-US"/>
        </w:rPr>
        <w:t xml:space="preserve">75 </w:t>
      </w:r>
      <w:r>
        <w:rPr>
          <w:rFonts w:ascii="Microsoft Sans Serif" w:hAnsi="Microsoft Sans Serif" w:cs="Microsoft Sans Serif"/>
          <w:lang w:val="bs-Latn-BA" w:eastAsia="en-US"/>
        </w:rPr>
        <w:t xml:space="preserve">mg/dnevno </w:t>
      </w:r>
      <w:r>
        <w:rPr>
          <w:rFonts w:ascii="Microsoft Sans Serif" w:hAnsi="Microsoft Sans Serif" w:cs="Microsoft Sans Serif"/>
          <w:lang w:val="sr-Latn-BA" w:eastAsia="en-US"/>
        </w:rPr>
        <w:t xml:space="preserve">do 225 mg/dnevno. Ne postoje dokazi za veću efikasnost grupe koja je primala od 150 </w:t>
      </w:r>
      <w:r>
        <w:rPr>
          <w:rFonts w:ascii="Microsoft Sans Serif" w:hAnsi="Microsoft Sans Serif" w:cs="Microsoft Sans Serif"/>
          <w:lang w:val="bs-Latn-BA" w:eastAsia="en-US"/>
        </w:rPr>
        <w:t xml:space="preserve">mg/dnevno </w:t>
      </w:r>
      <w:r>
        <w:rPr>
          <w:rFonts w:ascii="Microsoft Sans Serif" w:hAnsi="Microsoft Sans Serif" w:cs="Microsoft Sans Serif"/>
          <w:lang w:val="sr-Latn-BA" w:eastAsia="en-US"/>
        </w:rPr>
        <w:t xml:space="preserve">do 225 mg/dnevno u poređenju sa grupom koja je primala 75 mg/dnevno tokom </w:t>
      </w:r>
      <w:r>
        <w:rPr>
          <w:rFonts w:ascii="Microsoft Sans Serif" w:hAnsi="Microsoft Sans Serif" w:cs="Microsoft Sans Serif"/>
          <w:lang w:val="bs-Latn-BA" w:eastAsia="en-US"/>
        </w:rPr>
        <w:t>šestomjesečnog ispitivanja</w:t>
      </w:r>
      <w:r>
        <w:rPr>
          <w:rFonts w:ascii="Microsoft Sans Serif" w:hAnsi="Microsoft Sans Serif" w:cs="Microsoft Sans Serif"/>
          <w:lang w:val="sr-Latn-BA" w:eastAsia="en-US"/>
        </w:rPr>
        <w:t>.</w:t>
      </w:r>
    </w:p>
    <w:p w14:paraId="5FD20722">
      <w:pPr>
        <w:autoSpaceDE w:val="0"/>
        <w:autoSpaceDN w:val="0"/>
        <w:adjustRightInd w:val="0"/>
        <w:jc w:val="both"/>
        <w:rPr>
          <w:rFonts w:ascii="Microsoft Sans Serif" w:hAnsi="Microsoft Sans Serif" w:cs="Microsoft Sans Serif"/>
          <w:b/>
          <w:bCs/>
          <w:lang w:val="sr-Latn-BA" w:eastAsia="en-US"/>
        </w:rPr>
      </w:pPr>
    </w:p>
    <w:p w14:paraId="17687C4B">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Panični poremećaj</w:t>
      </w:r>
    </w:p>
    <w:p w14:paraId="1E751407">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Efikasnost venlafaksin tvrdih kapsula sa produženim djelovanjem kod liječenja paničnih poremećaja je potvrđena u </w:t>
      </w:r>
      <w:r>
        <w:rPr>
          <w:rFonts w:ascii="Microsoft Sans Serif" w:hAnsi="Microsoft Sans Serif" w:cs="Microsoft Sans Serif"/>
          <w:bCs/>
          <w:lang w:val="sr-Latn-BA" w:eastAsia="en-US"/>
        </w:rPr>
        <w:t xml:space="preserve">dva dvostruko-slijepa, 12-sedmična, multicentrična placebo-kontrolisana </w:t>
      </w:r>
      <w:r>
        <w:rPr>
          <w:rFonts w:ascii="Microsoft Sans Serif" w:hAnsi="Microsoft Sans Serif" w:cs="Microsoft Sans Serif"/>
          <w:bCs/>
          <w:lang w:val="bs-Latn-BA" w:eastAsia="en-US"/>
        </w:rPr>
        <w:t>ispitivanja</w:t>
      </w:r>
      <w:r>
        <w:rPr>
          <w:rFonts w:ascii="Microsoft Sans Serif" w:hAnsi="Microsoft Sans Serif" w:cs="Microsoft Sans Serif"/>
          <w:lang w:val="bs-Latn-BA" w:eastAsia="en-US"/>
        </w:rPr>
        <w:t xml:space="preserve"> </w:t>
      </w:r>
      <w:r>
        <w:rPr>
          <w:rFonts w:ascii="Microsoft Sans Serif" w:hAnsi="Microsoft Sans Serif" w:cs="Microsoft Sans Serif"/>
          <w:lang w:val="sr-Latn-BA" w:eastAsia="en-US"/>
        </w:rPr>
        <w:t xml:space="preserve">kod odraslih pacijenata sa paničnim poremećajima, sa </w:t>
      </w:r>
      <w:r>
        <w:rPr>
          <w:rFonts w:ascii="Microsoft Sans Serif" w:hAnsi="Microsoft Sans Serif" w:cs="Microsoft Sans Serif"/>
          <w:lang w:val="bs-Latn-BA" w:eastAsia="en-US"/>
        </w:rPr>
        <w:t xml:space="preserve">agorafobijom </w:t>
      </w:r>
      <w:r>
        <w:rPr>
          <w:rFonts w:ascii="Microsoft Sans Serif" w:hAnsi="Microsoft Sans Serif" w:cs="Microsoft Sans Serif"/>
          <w:lang w:val="sr-Latn-BA" w:eastAsia="en-US"/>
        </w:rPr>
        <w:t xml:space="preserve">ili bez </w:t>
      </w:r>
      <w:r>
        <w:rPr>
          <w:rFonts w:ascii="Microsoft Sans Serif" w:hAnsi="Microsoft Sans Serif" w:cs="Microsoft Sans Serif"/>
          <w:lang w:val="bs-Latn-BA" w:eastAsia="en-US"/>
        </w:rPr>
        <w:t>nje</w:t>
      </w:r>
      <w:r>
        <w:rPr>
          <w:rFonts w:ascii="Microsoft Sans Serif" w:hAnsi="Microsoft Sans Serif" w:cs="Microsoft Sans Serif"/>
          <w:lang w:val="sr-Latn-BA" w:eastAsia="en-US"/>
        </w:rPr>
        <w:t>. Početna doza u ispitivanju pani</w:t>
      </w:r>
      <w:r>
        <w:rPr>
          <w:rFonts w:ascii="Microsoft Sans Serif" w:hAnsi="Microsoft Sans Serif" w:cs="Microsoft Sans Serif"/>
          <w:lang w:val="hr-BA" w:eastAsia="en-US"/>
        </w:rPr>
        <w:t>čnih poremećaja</w:t>
      </w:r>
      <w:r>
        <w:rPr>
          <w:rFonts w:ascii="Microsoft Sans Serif" w:hAnsi="Microsoft Sans Serif" w:cs="Microsoft Sans Serif"/>
          <w:lang w:val="sr-Latn-BA" w:eastAsia="en-US"/>
        </w:rPr>
        <w:t xml:space="preserve"> je bila 37,5 mg/dan </w:t>
      </w:r>
      <w:r>
        <w:rPr>
          <w:rFonts w:ascii="Microsoft Sans Serif" w:hAnsi="Microsoft Sans Serif" w:cs="Microsoft Sans Serif"/>
          <w:lang w:val="bs-Latn-BA" w:eastAsia="en-US"/>
        </w:rPr>
        <w:t>sedam</w:t>
      </w:r>
      <w:r>
        <w:rPr>
          <w:rFonts w:ascii="Microsoft Sans Serif" w:hAnsi="Microsoft Sans Serif" w:cs="Microsoft Sans Serif"/>
          <w:lang w:val="sr-Latn-BA" w:eastAsia="en-US"/>
        </w:rPr>
        <w:t xml:space="preserve"> dana.</w:t>
      </w:r>
      <w:r>
        <w:rPr>
          <w:rFonts w:ascii="Microsoft Sans Serif" w:hAnsi="Microsoft Sans Serif" w:cs="Microsoft Sans Serif"/>
          <w:bCs/>
          <w:lang w:val="sr-Latn-BA" w:eastAsia="en-US"/>
        </w:rPr>
        <w:t xml:space="preserve"> Pacijenti su nakon toga primali fiksne doze od </w:t>
      </w:r>
      <w:r>
        <w:rPr>
          <w:rFonts w:ascii="Microsoft Sans Serif" w:hAnsi="Microsoft Sans Serif" w:cs="Microsoft Sans Serif"/>
          <w:lang w:val="sr-Latn-BA" w:eastAsia="en-US"/>
        </w:rPr>
        <w:t xml:space="preserve">75 </w:t>
      </w:r>
      <w:r>
        <w:rPr>
          <w:rFonts w:ascii="Microsoft Sans Serif" w:hAnsi="Microsoft Sans Serif" w:cs="Microsoft Sans Serif"/>
          <w:lang w:val="bs-Latn-BA" w:eastAsia="en-US"/>
        </w:rPr>
        <w:t xml:space="preserve">mg </w:t>
      </w:r>
      <w:r>
        <w:rPr>
          <w:rFonts w:ascii="Microsoft Sans Serif" w:hAnsi="Microsoft Sans Serif" w:cs="Microsoft Sans Serif"/>
          <w:lang w:val="sr-Latn-BA" w:eastAsia="en-US"/>
        </w:rPr>
        <w:t xml:space="preserve">ili 150 mg dnevno u jednom i 75 </w:t>
      </w:r>
      <w:r>
        <w:rPr>
          <w:rFonts w:ascii="Microsoft Sans Serif" w:hAnsi="Microsoft Sans Serif" w:cs="Microsoft Sans Serif"/>
          <w:lang w:val="bs-Latn-BA" w:eastAsia="en-US"/>
        </w:rPr>
        <w:t xml:space="preserve">mg </w:t>
      </w:r>
      <w:r>
        <w:rPr>
          <w:rFonts w:ascii="Microsoft Sans Serif" w:hAnsi="Microsoft Sans Serif" w:cs="Microsoft Sans Serif"/>
          <w:lang w:val="sr-Latn-BA" w:eastAsia="en-US"/>
        </w:rPr>
        <w:t xml:space="preserve">ili 225 mg dnevno u drugom </w:t>
      </w:r>
      <w:r>
        <w:rPr>
          <w:rFonts w:ascii="Microsoft Sans Serif" w:hAnsi="Microsoft Sans Serif" w:cs="Microsoft Sans Serif"/>
          <w:lang w:val="bs-Latn-BA" w:eastAsia="en-US"/>
        </w:rPr>
        <w:t>ispitivanju</w:t>
      </w:r>
      <w:r>
        <w:rPr>
          <w:rFonts w:ascii="Microsoft Sans Serif" w:hAnsi="Microsoft Sans Serif" w:cs="Microsoft Sans Serif"/>
          <w:lang w:val="sr-Latn-BA" w:eastAsia="en-US"/>
        </w:rPr>
        <w:t xml:space="preserve">. Efikasnost je takođe potvrđena u jednom dugotrajnom dvostruko-slijepom, </w:t>
      </w:r>
      <w:r>
        <w:rPr>
          <w:rFonts w:ascii="Microsoft Sans Serif" w:hAnsi="Microsoft Sans Serif" w:cs="Microsoft Sans Serif"/>
          <w:bCs/>
          <w:lang w:val="sr-Latn-BA" w:eastAsia="en-US"/>
        </w:rPr>
        <w:t xml:space="preserve">placebo-kontrolisanom, </w:t>
      </w:r>
      <w:r>
        <w:rPr>
          <w:rFonts w:ascii="Microsoft Sans Serif" w:hAnsi="Microsoft Sans Serif" w:cs="Microsoft Sans Serif"/>
          <w:bCs/>
          <w:lang w:val="bs-Latn-BA" w:eastAsia="en-US"/>
        </w:rPr>
        <w:t xml:space="preserve">ispitivanju </w:t>
      </w:r>
      <w:r>
        <w:rPr>
          <w:rFonts w:ascii="Microsoft Sans Serif" w:hAnsi="Microsoft Sans Serif" w:cs="Microsoft Sans Serif"/>
          <w:bCs/>
          <w:lang w:val="sr-Latn-BA" w:eastAsia="en-US"/>
        </w:rPr>
        <w:t xml:space="preserve">na paralelnim grupama o dugoročnoj bezbjednosti, efikasnosti, i prevenciji povratka bolesti kod </w:t>
      </w:r>
      <w:r>
        <w:rPr>
          <w:rFonts w:ascii="Microsoft Sans Serif" w:hAnsi="Microsoft Sans Serif" w:cs="Microsoft Sans Serif"/>
          <w:lang w:val="sr-Latn-BA" w:eastAsia="en-US"/>
        </w:rPr>
        <w:t xml:space="preserve">odraslih pacijenata na vanbolničkom lečenju koji su pozitivno reagovali na open-label tretman. </w:t>
      </w:r>
      <w:r>
        <w:rPr>
          <w:rFonts w:ascii="Microsoft Sans Serif" w:hAnsi="Microsoft Sans Serif" w:cs="Microsoft Sans Serif"/>
          <w:bCs/>
          <w:lang w:val="sr-Latn-BA" w:eastAsia="en-US"/>
        </w:rPr>
        <w:t xml:space="preserve">Pacijenti su nastavili da primaju iste doze </w:t>
      </w:r>
      <w:r>
        <w:rPr>
          <w:rFonts w:ascii="Microsoft Sans Serif" w:hAnsi="Microsoft Sans Serif" w:cs="Microsoft Sans Serif"/>
          <w:lang w:val="sr-Latn-BA" w:eastAsia="en-US"/>
        </w:rPr>
        <w:t xml:space="preserve">venlafaxin tvrdih kapsula sa produženim djelovanjem koje su primali na kraju open-label faze (75 </w:t>
      </w:r>
      <w:r>
        <w:rPr>
          <w:rFonts w:ascii="Microsoft Sans Serif" w:hAnsi="Microsoft Sans Serif" w:cs="Microsoft Sans Serif"/>
          <w:lang w:val="bs-Latn-BA" w:eastAsia="en-US"/>
        </w:rPr>
        <w:t>mg</w:t>
      </w:r>
      <w:r>
        <w:rPr>
          <w:rFonts w:ascii="Microsoft Sans Serif" w:hAnsi="Microsoft Sans Serif" w:cs="Microsoft Sans Serif"/>
          <w:lang w:val="sr-Latn-BA" w:eastAsia="en-US"/>
        </w:rPr>
        <w:t xml:space="preserve">, 150 </w:t>
      </w:r>
      <w:r>
        <w:rPr>
          <w:rFonts w:ascii="Microsoft Sans Serif" w:hAnsi="Microsoft Sans Serif" w:cs="Microsoft Sans Serif"/>
          <w:lang w:val="bs-Latn-BA" w:eastAsia="en-US"/>
        </w:rPr>
        <w:t>mg</w:t>
      </w:r>
      <w:r>
        <w:rPr>
          <w:rFonts w:ascii="Microsoft Sans Serif" w:hAnsi="Microsoft Sans Serif" w:cs="Microsoft Sans Serif"/>
          <w:lang w:val="sr-Latn-BA" w:eastAsia="en-US"/>
        </w:rPr>
        <w:t>, ili 225 mg).</w:t>
      </w:r>
    </w:p>
    <w:p w14:paraId="0C8E0EA9">
      <w:pPr>
        <w:autoSpaceDE w:val="0"/>
        <w:autoSpaceDN w:val="0"/>
        <w:adjustRightInd w:val="0"/>
        <w:jc w:val="both"/>
        <w:rPr>
          <w:rFonts w:ascii="Microsoft Sans Serif" w:hAnsi="Microsoft Sans Serif" w:cs="Microsoft Sans Serif"/>
          <w:lang w:val="sr-Latn-BA" w:eastAsia="en-US"/>
        </w:rPr>
      </w:pPr>
    </w:p>
    <w:p w14:paraId="40D53320">
      <w:pPr>
        <w:autoSpaceDE w:val="0"/>
        <w:autoSpaceDN w:val="0"/>
        <w:adjustRightInd w:val="0"/>
        <w:jc w:val="both"/>
        <w:rPr>
          <w:rFonts w:ascii="Microsoft Sans Serif" w:hAnsi="Microsoft Sans Serif" w:cs="Microsoft Sans Serif"/>
          <w:b/>
          <w:lang w:val="mk-MK" w:eastAsia="en-US"/>
        </w:rPr>
      </w:pPr>
      <w:r>
        <w:rPr>
          <w:rFonts w:ascii="Microsoft Sans Serif" w:hAnsi="Microsoft Sans Serif" w:cs="Microsoft Sans Serif"/>
          <w:b/>
          <w:lang w:val="mk-MK" w:eastAsia="en-US"/>
        </w:rPr>
        <w:t>Srčana elektrofiziologija</w:t>
      </w:r>
    </w:p>
    <w:p w14:paraId="4E172246">
      <w:pPr>
        <w:autoSpaceDE w:val="0"/>
        <w:autoSpaceDN w:val="0"/>
        <w:adjustRightInd w:val="0"/>
        <w:jc w:val="both"/>
        <w:rPr>
          <w:rFonts w:ascii="Microsoft Sans Serif" w:hAnsi="Microsoft Sans Serif" w:cs="Microsoft Sans Serif"/>
          <w:lang w:val="mk-MK" w:eastAsia="en-US"/>
        </w:rPr>
      </w:pPr>
      <w:r>
        <w:rPr>
          <w:rFonts w:ascii="Microsoft Sans Serif" w:hAnsi="Microsoft Sans Serif" w:cs="Microsoft Sans Serif"/>
          <w:lang w:val="mk-MK" w:eastAsia="en-US"/>
        </w:rPr>
        <w:t xml:space="preserve">U posebnoj detaljnoj </w:t>
      </w:r>
      <w:r>
        <w:rPr>
          <w:rFonts w:ascii="Microsoft Sans Serif" w:hAnsi="Microsoft Sans Serif" w:cs="Microsoft Sans Serif"/>
          <w:lang w:val="hr-BA" w:eastAsia="en-US"/>
        </w:rPr>
        <w:t>Q</w:t>
      </w:r>
      <w:r>
        <w:rPr>
          <w:rFonts w:ascii="Microsoft Sans Serif" w:hAnsi="Microsoft Sans Serif" w:cs="Microsoft Sans Serif"/>
          <w:lang w:val="mk-MK" w:eastAsia="en-US"/>
        </w:rPr>
        <w:t xml:space="preserve">Tc studiji kod zdravih ispitanika, venlafaksin nije produžio </w:t>
      </w:r>
      <w:r>
        <w:rPr>
          <w:rFonts w:ascii="Microsoft Sans Serif" w:hAnsi="Microsoft Sans Serif" w:cs="Microsoft Sans Serif"/>
          <w:lang w:val="sr-Latn-RS" w:eastAsia="en-US"/>
        </w:rPr>
        <w:t>Q</w:t>
      </w:r>
      <w:r>
        <w:rPr>
          <w:rFonts w:ascii="Microsoft Sans Serif" w:hAnsi="Microsoft Sans Serif" w:cs="Microsoft Sans Serif"/>
          <w:lang w:val="mk-MK" w:eastAsia="en-US"/>
        </w:rPr>
        <w:t>T interval do klinički relevantnog obima uz supraterap</w:t>
      </w:r>
      <w:r>
        <w:rPr>
          <w:rFonts w:ascii="Microsoft Sans Serif" w:hAnsi="Microsoft Sans Serif" w:cs="Microsoft Sans Serif"/>
          <w:lang w:val="sr-Latn-RS" w:eastAsia="en-US"/>
        </w:rPr>
        <w:t>ijsku</w:t>
      </w:r>
      <w:r>
        <w:rPr>
          <w:rFonts w:ascii="Microsoft Sans Serif" w:hAnsi="Microsoft Sans Serif" w:cs="Microsoft Sans Serif"/>
          <w:lang w:val="mk-MK" w:eastAsia="en-US"/>
        </w:rPr>
        <w:t xml:space="preserve"> dozu od 450 mg/dan (koja se daje kao 225 mg dva puta dnevno). Međutim, zab</w:t>
      </w:r>
      <w:r>
        <w:rPr>
          <w:rFonts w:ascii="Microsoft Sans Serif" w:hAnsi="Microsoft Sans Serif" w:cs="Microsoft Sans Serif"/>
          <w:lang w:val="sr-Latn-RS" w:eastAsia="en-US"/>
        </w:rPr>
        <w:t>ilj</w:t>
      </w:r>
      <w:r>
        <w:rPr>
          <w:rFonts w:ascii="Microsoft Sans Serif" w:hAnsi="Microsoft Sans Serif" w:cs="Microsoft Sans Serif"/>
          <w:lang w:val="mk-MK" w:eastAsia="en-US"/>
        </w:rPr>
        <w:t xml:space="preserve">eženi su postmarketinški slučajevi produženja </w:t>
      </w:r>
      <w:r>
        <w:rPr>
          <w:rFonts w:ascii="Microsoft Sans Serif" w:hAnsi="Microsoft Sans Serif" w:cs="Microsoft Sans Serif"/>
          <w:lang w:val="sr-Latn-RS" w:eastAsia="en-US"/>
        </w:rPr>
        <w:t>Q</w:t>
      </w:r>
      <w:r>
        <w:rPr>
          <w:rFonts w:ascii="Microsoft Sans Serif" w:hAnsi="Microsoft Sans Serif" w:cs="Microsoft Sans Serif"/>
          <w:lang w:val="mk-MK" w:eastAsia="en-US"/>
        </w:rPr>
        <w:t xml:space="preserve">Tc/TdP i ventrikularne aritmije, posebno kod predoziranja ili kod pacijenata sa drugim faktorima rizika za produženje </w:t>
      </w:r>
      <w:r>
        <w:rPr>
          <w:rFonts w:ascii="Microsoft Sans Serif" w:hAnsi="Microsoft Sans Serif" w:cs="Microsoft Sans Serif"/>
          <w:lang w:val="sr-Latn-RS" w:eastAsia="en-US"/>
        </w:rPr>
        <w:t>Q</w:t>
      </w:r>
      <w:r>
        <w:rPr>
          <w:rFonts w:ascii="Microsoft Sans Serif" w:hAnsi="Microsoft Sans Serif" w:cs="Microsoft Sans Serif"/>
          <w:lang w:val="mk-MK" w:eastAsia="en-US"/>
        </w:rPr>
        <w:t>Tc/TdP (</w:t>
      </w:r>
      <w:r>
        <w:rPr>
          <w:rFonts w:ascii="Microsoft Sans Serif" w:hAnsi="Microsoft Sans Serif" w:cs="Microsoft Sans Serif"/>
          <w:lang w:val="sr-Latn-RS" w:eastAsia="en-US"/>
        </w:rPr>
        <w:t>pogledati dio</w:t>
      </w:r>
      <w:r>
        <w:rPr>
          <w:rFonts w:ascii="Microsoft Sans Serif" w:hAnsi="Microsoft Sans Serif" w:cs="Microsoft Sans Serif"/>
          <w:lang w:val="mk-MK" w:eastAsia="en-US"/>
        </w:rPr>
        <w:t xml:space="preserve"> 4.4, 4.8 i 4.9).</w:t>
      </w:r>
    </w:p>
    <w:p w14:paraId="6EEB47A8">
      <w:pPr>
        <w:autoSpaceDE w:val="0"/>
        <w:autoSpaceDN w:val="0"/>
        <w:adjustRightInd w:val="0"/>
        <w:jc w:val="both"/>
        <w:rPr>
          <w:rFonts w:ascii="Microsoft Sans Serif" w:hAnsi="Microsoft Sans Serif" w:cs="Microsoft Sans Serif"/>
          <w:lang w:val="mk-MK" w:eastAsia="en-US"/>
        </w:rPr>
      </w:pPr>
    </w:p>
    <w:p w14:paraId="25B9F543">
      <w:pPr>
        <w:autoSpaceDE w:val="0"/>
        <w:autoSpaceDN w:val="0"/>
        <w:adjustRightInd w:val="0"/>
        <w:jc w:val="both"/>
        <w:rPr>
          <w:rFonts w:ascii="Microsoft Sans Serif" w:hAnsi="Microsoft Sans Serif" w:cs="Microsoft Sans Serif"/>
          <w:lang w:val="mk-MK" w:eastAsia="en-US"/>
        </w:rPr>
      </w:pPr>
    </w:p>
    <w:p w14:paraId="688AB47D">
      <w:pPr>
        <w:autoSpaceDE w:val="0"/>
        <w:autoSpaceDN w:val="0"/>
        <w:adjustRightInd w:val="0"/>
        <w:jc w:val="both"/>
        <w:rPr>
          <w:rFonts w:ascii="Microsoft Sans Serif" w:hAnsi="Microsoft Sans Serif" w:cs="Microsoft Sans Serif"/>
          <w:lang w:val="mk-MK" w:eastAsia="en-US"/>
        </w:rPr>
      </w:pPr>
    </w:p>
    <w:p w14:paraId="5446375E">
      <w:pPr>
        <w:autoSpaceDE w:val="0"/>
        <w:autoSpaceDN w:val="0"/>
        <w:adjustRightInd w:val="0"/>
        <w:jc w:val="both"/>
        <w:rPr>
          <w:rFonts w:ascii="Microsoft Sans Serif" w:hAnsi="Microsoft Sans Serif" w:cs="Microsoft Sans Serif"/>
          <w:lang w:val="mk-MK" w:eastAsia="en-US"/>
        </w:rPr>
      </w:pPr>
    </w:p>
    <w:p w14:paraId="2C3B102E">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5.2 </w:t>
      </w:r>
      <w:r>
        <w:rPr>
          <w:rFonts w:ascii="Microsoft Sans Serif" w:hAnsi="Microsoft Sans Serif" w:cs="Microsoft Sans Serif"/>
          <w:b/>
          <w:lang w:val="sr-Latn-BA"/>
        </w:rPr>
        <w:tab/>
      </w:r>
      <w:r>
        <w:rPr>
          <w:rFonts w:ascii="Microsoft Sans Serif" w:hAnsi="Microsoft Sans Serif" w:cs="Microsoft Sans Serif"/>
          <w:b/>
          <w:lang w:val="sr-Latn-BA"/>
        </w:rPr>
        <w:t>Farmakokinetičke karakteristike</w:t>
      </w:r>
    </w:p>
    <w:p w14:paraId="70E87658">
      <w:pPr>
        <w:autoSpaceDE w:val="0"/>
        <w:autoSpaceDN w:val="0"/>
        <w:adjustRightInd w:val="0"/>
        <w:jc w:val="both"/>
        <w:rPr>
          <w:rFonts w:ascii="Microsoft Sans Serif" w:hAnsi="Microsoft Sans Serif" w:cs="Microsoft Sans Serif"/>
          <w:lang w:val="sr-Latn-BA" w:eastAsia="en-US"/>
        </w:rPr>
      </w:pPr>
    </w:p>
    <w:p w14:paraId="211112AB">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Venlafaksin se obimno metabolizuje primarno u aktivni metabolit O-desmetilvenlafaksin (ODV). Srednji, ± SD poluživot venlafaksina u krvi je 5 ± 2 sata i ODV je 11 ± 2 sati. Koncentracije venlafaksina i ODV su održane tri dana nakon oralne višestruke doze terapije. Venlafaksin i ODV pokazuju pravolinijsko kretanje za doze u rasponu 75 mg</w:t>
      </w:r>
      <w:r>
        <w:rPr>
          <w:rFonts w:ascii="Microsoft Sans Serif" w:hAnsi="Microsoft Sans Serif" w:cs="Microsoft Sans Serif"/>
          <w:lang w:val="bs-Latn-BA" w:eastAsia="en-US"/>
        </w:rPr>
        <w:t>/dnevno</w:t>
      </w:r>
      <w:r>
        <w:rPr>
          <w:rFonts w:ascii="Microsoft Sans Serif" w:hAnsi="Microsoft Sans Serif" w:cs="Microsoft Sans Serif"/>
          <w:lang w:val="sr-Latn-BA" w:eastAsia="en-US"/>
        </w:rPr>
        <w:t xml:space="preserve"> do 450 mg/dnevno. </w:t>
      </w:r>
    </w:p>
    <w:p w14:paraId="2705F7F9">
      <w:pPr>
        <w:autoSpaceDE w:val="0"/>
        <w:autoSpaceDN w:val="0"/>
        <w:adjustRightInd w:val="0"/>
        <w:jc w:val="both"/>
        <w:rPr>
          <w:rFonts w:ascii="Microsoft Sans Serif" w:hAnsi="Microsoft Sans Serif" w:cs="Microsoft Sans Serif"/>
          <w:lang w:val="sr-Latn-BA" w:eastAsia="en-US"/>
        </w:rPr>
      </w:pPr>
    </w:p>
    <w:p w14:paraId="2B06DABC">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Apsorpcija</w:t>
      </w:r>
    </w:p>
    <w:p w14:paraId="41021884">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Najmanje 92% venlafaksina je apsorbovano nakon jedne oralne doze venlafaksina sa trenutnim oslobađanjem. Apsolutna bioraspoloživost je 40% do 45% u zavisnosti od presistemskog metabolizma. Nakon uzimanja venlafaksina sa trenutnim oslobađanjem, vrhunac koncentracije u krvi venlafaksin dostiže nakon </w:t>
      </w:r>
      <w:r>
        <w:rPr>
          <w:rFonts w:ascii="Microsoft Sans Serif" w:hAnsi="Microsoft Sans Serif" w:cs="Microsoft Sans Serif"/>
          <w:lang w:val="bs-Latn-BA" w:eastAsia="en-US"/>
        </w:rPr>
        <w:t>dva</w:t>
      </w:r>
      <w:r>
        <w:rPr>
          <w:rFonts w:ascii="Microsoft Sans Serif" w:hAnsi="Microsoft Sans Serif" w:cs="Microsoft Sans Serif"/>
          <w:lang w:val="sr-Latn-BA" w:eastAsia="en-US"/>
        </w:rPr>
        <w:t xml:space="preserve"> sata i ODV-a nakon </w:t>
      </w:r>
      <w:r>
        <w:rPr>
          <w:rFonts w:ascii="Microsoft Sans Serif" w:hAnsi="Microsoft Sans Serif" w:cs="Microsoft Sans Serif"/>
          <w:lang w:val="bs-Latn-BA" w:eastAsia="en-US"/>
        </w:rPr>
        <w:t>tri</w:t>
      </w:r>
      <w:r>
        <w:rPr>
          <w:rFonts w:ascii="Microsoft Sans Serif" w:hAnsi="Microsoft Sans Serif" w:cs="Microsoft Sans Serif"/>
          <w:lang w:val="sr-Latn-BA" w:eastAsia="en-US"/>
        </w:rPr>
        <w:t xml:space="preserve"> sata. Nakon uzimanja venlafaksin tvrdih kapsula sa produženim oslobađanjem, vrhunac koncentracije u krvi venlafaksina održavaju se tokom 5,5 sati i ODV-a tokom </w:t>
      </w:r>
      <w:r>
        <w:rPr>
          <w:rFonts w:ascii="Microsoft Sans Serif" w:hAnsi="Microsoft Sans Serif" w:cs="Microsoft Sans Serif"/>
          <w:lang w:val="bs-Latn-BA" w:eastAsia="en-US"/>
        </w:rPr>
        <w:t>devet</w:t>
      </w:r>
      <w:r>
        <w:rPr>
          <w:rFonts w:ascii="Microsoft Sans Serif" w:hAnsi="Microsoft Sans Serif" w:cs="Microsoft Sans Serif"/>
          <w:lang w:val="sr-Latn-BA" w:eastAsia="en-US"/>
        </w:rPr>
        <w:t xml:space="preserve"> sati. Kada se administriraju jednake dnevne doze venlafaksina, bilo tableta sa trenutnim oslobađanjem ili venlafaksin tvrdih kapsula sa produženim oslobađanjem, kapsule sa produženim oslobađanjem pružaju sporiju stopu apsorpcije, ali istu stopu apsorpcije u poređenju sa tabletama sa trenutnim oslobađanjem. Hrana ne utiče na bioraspoloživost venlafaksina i ODV-a.</w:t>
      </w:r>
    </w:p>
    <w:p w14:paraId="08735EF7">
      <w:pPr>
        <w:autoSpaceDE w:val="0"/>
        <w:autoSpaceDN w:val="0"/>
        <w:adjustRightInd w:val="0"/>
        <w:jc w:val="both"/>
        <w:rPr>
          <w:rFonts w:ascii="Microsoft Sans Serif" w:hAnsi="Microsoft Sans Serif" w:cs="Microsoft Sans Serif"/>
          <w:lang w:val="sr-Latn-BA" w:eastAsia="en-US"/>
        </w:rPr>
      </w:pPr>
    </w:p>
    <w:p w14:paraId="4D0EE97E">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Raspodjela</w:t>
      </w:r>
    </w:p>
    <w:p w14:paraId="502076B7">
      <w:pPr>
        <w:autoSpaceDE w:val="0"/>
        <w:autoSpaceDN w:val="0"/>
        <w:adjustRightInd w:val="0"/>
        <w:jc w:val="both"/>
        <w:rPr>
          <w:rFonts w:ascii="Microsoft Sans Serif" w:hAnsi="Microsoft Sans Serif" w:cs="Microsoft Sans Serif"/>
          <w:bCs/>
          <w:lang w:val="sr-Latn-BA" w:eastAsia="en-US"/>
        </w:rPr>
      </w:pPr>
      <w:r>
        <w:rPr>
          <w:rFonts w:ascii="Microsoft Sans Serif" w:hAnsi="Microsoft Sans Serif" w:cs="Microsoft Sans Serif"/>
          <w:lang w:val="sr-Latn-BA" w:eastAsia="en-US"/>
        </w:rPr>
        <w:t>Venlafaksin i ODV-a su minimalno vezani, u terapeutskim koncentracijama, za humane proteine plazme (27%, odnosno 30%). Volumen distribucije venlafaksina u stanju mirovanja je 4,4</w:t>
      </w:r>
      <w:r>
        <w:rPr>
          <w:rFonts w:ascii="Microsoft Sans Serif" w:hAnsi="Microsoft Sans Serif" w:cs="Microsoft Sans Serif"/>
          <w:lang w:val="bs-Latn-BA" w:eastAsia="en-US"/>
        </w:rPr>
        <w:t xml:space="preserve"> l/kg </w:t>
      </w:r>
      <w:r>
        <w:rPr>
          <w:rFonts w:ascii="Microsoft Sans Serif" w:hAnsi="Microsoft Sans Serif" w:cs="Microsoft Sans Serif"/>
          <w:lang w:val="sr-Latn-BA" w:eastAsia="en-US"/>
        </w:rPr>
        <w:t xml:space="preserve">± 1,6 l/kg, kod intravenske administracije. </w:t>
      </w:r>
    </w:p>
    <w:p w14:paraId="0877328F">
      <w:pPr>
        <w:autoSpaceDE w:val="0"/>
        <w:autoSpaceDN w:val="0"/>
        <w:adjustRightInd w:val="0"/>
        <w:jc w:val="both"/>
        <w:rPr>
          <w:rFonts w:ascii="Microsoft Sans Serif" w:hAnsi="Microsoft Sans Serif" w:cs="Microsoft Sans Serif"/>
          <w:b/>
          <w:bCs/>
          <w:lang w:val="sr-Latn-BA" w:eastAsia="en-US"/>
        </w:rPr>
      </w:pPr>
    </w:p>
    <w:p w14:paraId="5FDB56E3">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Biotransformacija</w:t>
      </w:r>
    </w:p>
    <w:p w14:paraId="7CA1327B">
      <w:pPr>
        <w:autoSpaceDE w:val="0"/>
        <w:autoSpaceDN w:val="0"/>
        <w:adjustRightInd w:val="0"/>
        <w:jc w:val="both"/>
        <w:rPr>
          <w:rFonts w:ascii="Microsoft Sans Serif" w:hAnsi="Microsoft Sans Serif" w:cs="Microsoft Sans Serif"/>
          <w:i/>
          <w:iCs/>
          <w:lang w:val="sr-Latn-BA" w:eastAsia="en-US"/>
        </w:rPr>
      </w:pPr>
      <w:r>
        <w:rPr>
          <w:rFonts w:ascii="Microsoft Sans Serif" w:hAnsi="Microsoft Sans Serif" w:cs="Microsoft Sans Serif"/>
          <w:lang w:val="sr-Latn-BA" w:eastAsia="en-US"/>
        </w:rPr>
        <w:t xml:space="preserve">Venlafaksin se metabolizuje u jetri. </w:t>
      </w:r>
      <w:r>
        <w:rPr>
          <w:rFonts w:ascii="Microsoft Sans Serif" w:hAnsi="Microsoft Sans Serif" w:cs="Microsoft Sans Serif"/>
          <w:i/>
          <w:iCs/>
          <w:lang w:val="sr-Latn-BA" w:eastAsia="en-US"/>
        </w:rPr>
        <w:t xml:space="preserve">In vitro </w:t>
      </w:r>
      <w:r>
        <w:rPr>
          <w:rFonts w:ascii="Microsoft Sans Serif" w:hAnsi="Microsoft Sans Serif" w:cs="Microsoft Sans Serif"/>
          <w:lang w:val="sr-Latn-BA" w:eastAsia="en-US"/>
        </w:rPr>
        <w:t xml:space="preserve">i </w:t>
      </w:r>
      <w:r>
        <w:rPr>
          <w:rFonts w:ascii="Microsoft Sans Serif" w:hAnsi="Microsoft Sans Serif" w:cs="Microsoft Sans Serif"/>
          <w:i/>
          <w:lang w:val="sr-Latn-BA" w:eastAsia="en-US"/>
        </w:rPr>
        <w:t>in vivo</w:t>
      </w:r>
      <w:r>
        <w:rPr>
          <w:rFonts w:ascii="Microsoft Sans Serif" w:hAnsi="Microsoft Sans Serif" w:cs="Microsoft Sans Serif"/>
          <w:lang w:val="sr-Latn-BA" w:eastAsia="en-US"/>
        </w:rPr>
        <w:t xml:space="preserve"> </w:t>
      </w:r>
      <w:r>
        <w:rPr>
          <w:rFonts w:ascii="Microsoft Sans Serif" w:hAnsi="Microsoft Sans Serif" w:cs="Microsoft Sans Serif"/>
          <w:lang w:val="bs-Latn-BA" w:eastAsia="en-US"/>
        </w:rPr>
        <w:t xml:space="preserve">ispitivanja </w:t>
      </w:r>
      <w:r>
        <w:rPr>
          <w:rFonts w:ascii="Microsoft Sans Serif" w:hAnsi="Microsoft Sans Serif" w:cs="Microsoft Sans Serif"/>
          <w:lang w:val="sr-Latn-BA" w:eastAsia="en-US"/>
        </w:rPr>
        <w:t xml:space="preserve">pokazuju da se venlafaksin biotransformiše u svoj glavni aktivni metabolit ODV, od strane CYP2D6. </w:t>
      </w:r>
      <w:r>
        <w:rPr>
          <w:rFonts w:ascii="Microsoft Sans Serif" w:hAnsi="Microsoft Sans Serif" w:cs="Microsoft Sans Serif"/>
          <w:i/>
          <w:iCs/>
          <w:lang w:val="sr-Latn-BA" w:eastAsia="en-US"/>
        </w:rPr>
        <w:t xml:space="preserve">In vitro </w:t>
      </w:r>
      <w:r>
        <w:rPr>
          <w:rFonts w:ascii="Microsoft Sans Serif" w:hAnsi="Microsoft Sans Serif" w:cs="Microsoft Sans Serif"/>
          <w:lang w:val="sr-Latn-BA" w:eastAsia="en-US"/>
        </w:rPr>
        <w:t xml:space="preserve">i </w:t>
      </w:r>
      <w:r>
        <w:rPr>
          <w:rFonts w:ascii="Microsoft Sans Serif" w:hAnsi="Microsoft Sans Serif" w:cs="Microsoft Sans Serif"/>
          <w:i/>
          <w:lang w:val="sr-Latn-BA" w:eastAsia="en-US"/>
        </w:rPr>
        <w:t>in vivo</w:t>
      </w:r>
      <w:r>
        <w:rPr>
          <w:rFonts w:ascii="Microsoft Sans Serif" w:hAnsi="Microsoft Sans Serif" w:cs="Microsoft Sans Serif"/>
          <w:lang w:val="sr-Latn-BA" w:eastAsia="en-US"/>
        </w:rPr>
        <w:t xml:space="preserve"> </w:t>
      </w:r>
      <w:r>
        <w:rPr>
          <w:rFonts w:ascii="Microsoft Sans Serif" w:hAnsi="Microsoft Sans Serif" w:cs="Microsoft Sans Serif"/>
          <w:lang w:val="bs-Latn-BA" w:eastAsia="en-US"/>
        </w:rPr>
        <w:t xml:space="preserve">ispitivanja </w:t>
      </w:r>
      <w:r>
        <w:rPr>
          <w:rFonts w:ascii="Microsoft Sans Serif" w:hAnsi="Microsoft Sans Serif" w:cs="Microsoft Sans Serif"/>
          <w:lang w:val="sr-Latn-BA" w:eastAsia="en-US"/>
        </w:rPr>
        <w:t xml:space="preserve">pokazuju da se venlafaksin metabolizuje u manji, manje aktivan metabolit, N-desmetilvenlafaksin, od strane CYP3A4. </w:t>
      </w:r>
      <w:r>
        <w:rPr>
          <w:rFonts w:ascii="Microsoft Sans Serif" w:hAnsi="Microsoft Sans Serif" w:cs="Microsoft Sans Serif"/>
          <w:i/>
          <w:iCs/>
          <w:lang w:val="sr-Latn-BA" w:eastAsia="en-US"/>
        </w:rPr>
        <w:t xml:space="preserve">In vitro </w:t>
      </w:r>
      <w:r>
        <w:rPr>
          <w:rFonts w:ascii="Microsoft Sans Serif" w:hAnsi="Microsoft Sans Serif" w:cs="Microsoft Sans Serif"/>
          <w:lang w:val="sr-Latn-BA" w:eastAsia="en-US"/>
        </w:rPr>
        <w:t xml:space="preserve">i </w:t>
      </w:r>
      <w:r>
        <w:rPr>
          <w:rFonts w:ascii="Microsoft Sans Serif" w:hAnsi="Microsoft Sans Serif" w:cs="Microsoft Sans Serif"/>
          <w:i/>
          <w:lang w:val="sr-Latn-BA" w:eastAsia="en-US"/>
        </w:rPr>
        <w:t>in vivo</w:t>
      </w:r>
      <w:r>
        <w:rPr>
          <w:rFonts w:ascii="Microsoft Sans Serif" w:hAnsi="Microsoft Sans Serif" w:cs="Microsoft Sans Serif"/>
          <w:lang w:val="sr-Latn-BA" w:eastAsia="en-US"/>
        </w:rPr>
        <w:t xml:space="preserve"> </w:t>
      </w:r>
      <w:r>
        <w:rPr>
          <w:rFonts w:ascii="Microsoft Sans Serif" w:hAnsi="Microsoft Sans Serif" w:cs="Microsoft Sans Serif"/>
          <w:lang w:val="bs-Latn-BA" w:eastAsia="en-US"/>
        </w:rPr>
        <w:t xml:space="preserve">ispitivanja </w:t>
      </w:r>
      <w:r>
        <w:rPr>
          <w:rFonts w:ascii="Microsoft Sans Serif" w:hAnsi="Microsoft Sans Serif" w:cs="Microsoft Sans Serif"/>
          <w:lang w:val="sr-Latn-BA" w:eastAsia="en-US"/>
        </w:rPr>
        <w:t>pokazuju da je venlafaksin slab inhibitor CYP2D6. Venlafaksin ne inhibira CYP1A2, CYP2C9, i CYP3A4.</w:t>
      </w:r>
    </w:p>
    <w:p w14:paraId="4F1A87BA">
      <w:pPr>
        <w:autoSpaceDE w:val="0"/>
        <w:autoSpaceDN w:val="0"/>
        <w:adjustRightInd w:val="0"/>
        <w:jc w:val="both"/>
        <w:rPr>
          <w:rFonts w:ascii="Microsoft Sans Serif" w:hAnsi="Microsoft Sans Serif" w:cs="Microsoft Sans Serif"/>
          <w:b/>
          <w:bCs/>
          <w:lang w:val="sr-Latn-BA" w:eastAsia="en-US"/>
        </w:rPr>
      </w:pPr>
    </w:p>
    <w:p w14:paraId="47D5CBE7">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Izlučivanje</w:t>
      </w:r>
    </w:p>
    <w:p w14:paraId="6FFC34E2">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Venlafaksin </w:t>
      </w:r>
      <w:r>
        <w:rPr>
          <w:rFonts w:ascii="Microsoft Sans Serif" w:hAnsi="Microsoft Sans Serif" w:cs="Microsoft Sans Serif"/>
          <w:bCs/>
          <w:lang w:val="sr-Latn-BA" w:eastAsia="en-US"/>
        </w:rPr>
        <w:t xml:space="preserve">i njegovi metaboliti se izlučuju prvenstveno kroz bubrege. Otprilike 87% </w:t>
      </w:r>
      <w:r>
        <w:rPr>
          <w:rFonts w:ascii="Microsoft Sans Serif" w:hAnsi="Microsoft Sans Serif" w:cs="Microsoft Sans Serif"/>
          <w:lang w:val="sr-Latn-BA" w:eastAsia="en-US"/>
        </w:rPr>
        <w:t xml:space="preserve">venlafaksin </w:t>
      </w:r>
      <w:r>
        <w:rPr>
          <w:rFonts w:ascii="Microsoft Sans Serif" w:hAnsi="Microsoft Sans Serif" w:cs="Microsoft Sans Serif"/>
          <w:bCs/>
          <w:lang w:val="sr-Latn-BA" w:eastAsia="en-US"/>
        </w:rPr>
        <w:t xml:space="preserve">doze se pronalazi u urinu u roku od 48 sati kao nepromijenjen </w:t>
      </w:r>
      <w:r>
        <w:rPr>
          <w:rFonts w:ascii="Microsoft Sans Serif" w:hAnsi="Microsoft Sans Serif" w:cs="Microsoft Sans Serif"/>
          <w:lang w:val="sr-Latn-BA" w:eastAsia="en-US"/>
        </w:rPr>
        <w:t xml:space="preserve">venlafaksin </w:t>
      </w:r>
      <w:r>
        <w:rPr>
          <w:rFonts w:ascii="Microsoft Sans Serif" w:hAnsi="Microsoft Sans Serif" w:cs="Microsoft Sans Serif"/>
          <w:bCs/>
          <w:lang w:val="sr-Latn-BA" w:eastAsia="en-US"/>
        </w:rPr>
        <w:t xml:space="preserve">(5%), nekonjugovan ODV (29%), konjugovan ODV (26%), ili drugi manji neaktivni metabioliti (27%). Srednji </w:t>
      </w:r>
      <w:r>
        <w:rPr>
          <w:rFonts w:ascii="Microsoft Sans Serif" w:hAnsi="Microsoft Sans Serif" w:cs="Microsoft Sans Serif"/>
          <w:lang w:val="sr-Latn-BA" w:eastAsia="en-US"/>
        </w:rPr>
        <w:t xml:space="preserve">± SD plazma klirens u stanju mirovanja venlafaksina iznosi 1,3 </w:t>
      </w:r>
      <w:r>
        <w:rPr>
          <w:rFonts w:ascii="Microsoft Sans Serif" w:hAnsi="Microsoft Sans Serif" w:cs="Microsoft Sans Serif"/>
          <w:lang w:val="bs-Latn-BA" w:eastAsia="en-US"/>
        </w:rPr>
        <w:t xml:space="preserve">l/h/kg </w:t>
      </w:r>
      <w:r>
        <w:rPr>
          <w:rFonts w:ascii="Microsoft Sans Serif" w:hAnsi="Microsoft Sans Serif" w:cs="Microsoft Sans Serif"/>
          <w:lang w:val="sr-Latn-BA" w:eastAsia="en-US"/>
        </w:rPr>
        <w:t>± 0,6 l/h/kg, a ODV-a je 0,4</w:t>
      </w:r>
      <w:r>
        <w:rPr>
          <w:rFonts w:ascii="Microsoft Sans Serif" w:hAnsi="Microsoft Sans Serif" w:cs="Microsoft Sans Serif"/>
          <w:lang w:val="bs-Latn-BA" w:eastAsia="en-US"/>
        </w:rPr>
        <w:t xml:space="preserve"> l/h/kg </w:t>
      </w:r>
      <w:r>
        <w:rPr>
          <w:rFonts w:ascii="Microsoft Sans Serif" w:hAnsi="Microsoft Sans Serif" w:cs="Microsoft Sans Serif"/>
          <w:lang w:val="sr-Latn-BA" w:eastAsia="en-US"/>
        </w:rPr>
        <w:t>± 0,2 l/h/kg.</w:t>
      </w:r>
    </w:p>
    <w:p w14:paraId="3985A562">
      <w:pPr>
        <w:autoSpaceDE w:val="0"/>
        <w:autoSpaceDN w:val="0"/>
        <w:adjustRightInd w:val="0"/>
        <w:jc w:val="both"/>
        <w:rPr>
          <w:rFonts w:ascii="Microsoft Sans Serif" w:hAnsi="Microsoft Sans Serif" w:cs="Microsoft Sans Serif"/>
          <w:lang w:val="sr-Latn-BA" w:eastAsia="en-US"/>
        </w:rPr>
      </w:pPr>
    </w:p>
    <w:p w14:paraId="57266E00">
      <w:pPr>
        <w:autoSpaceDE w:val="0"/>
        <w:autoSpaceDN w:val="0"/>
        <w:adjustRightInd w:val="0"/>
        <w:jc w:val="both"/>
        <w:rPr>
          <w:rFonts w:ascii="Microsoft Sans Serif" w:hAnsi="Microsoft Sans Serif" w:cs="Microsoft Sans Serif"/>
          <w:b/>
          <w:bCs/>
          <w:u w:val="single"/>
          <w:lang w:val="sr-Latn-BA" w:eastAsia="en-US"/>
        </w:rPr>
      </w:pPr>
      <w:r>
        <w:rPr>
          <w:rFonts w:ascii="Microsoft Sans Serif" w:hAnsi="Microsoft Sans Serif" w:cs="Microsoft Sans Serif"/>
          <w:b/>
          <w:bCs/>
          <w:u w:val="single"/>
          <w:lang w:val="sr-Latn-BA" w:eastAsia="en-US"/>
        </w:rPr>
        <w:t xml:space="preserve">Specijalna populacija </w:t>
      </w:r>
    </w:p>
    <w:p w14:paraId="7856E830">
      <w:pPr>
        <w:autoSpaceDE w:val="0"/>
        <w:autoSpaceDN w:val="0"/>
        <w:adjustRightInd w:val="0"/>
        <w:jc w:val="both"/>
        <w:rPr>
          <w:rFonts w:ascii="Microsoft Sans Serif" w:hAnsi="Microsoft Sans Serif" w:cs="Microsoft Sans Serif"/>
          <w:b/>
          <w:bCs/>
          <w:lang w:val="sr-Latn-BA" w:eastAsia="en-US"/>
        </w:rPr>
      </w:pPr>
    </w:p>
    <w:p w14:paraId="391672BF">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Dob i pol</w:t>
      </w:r>
    </w:p>
    <w:p w14:paraId="2D3CE639">
      <w:pPr>
        <w:autoSpaceDE w:val="0"/>
        <w:autoSpaceDN w:val="0"/>
        <w:adjustRightInd w:val="0"/>
        <w:jc w:val="both"/>
        <w:rPr>
          <w:rFonts w:ascii="Microsoft Sans Serif" w:hAnsi="Microsoft Sans Serif" w:cs="Microsoft Sans Serif"/>
          <w:bCs/>
          <w:lang w:val="sr-Latn-BA" w:eastAsia="en-US"/>
        </w:rPr>
      </w:pPr>
      <w:r>
        <w:rPr>
          <w:rFonts w:ascii="Microsoft Sans Serif" w:hAnsi="Microsoft Sans Serif" w:cs="Microsoft Sans Serif"/>
          <w:bCs/>
          <w:lang w:val="sr-Latn-BA" w:eastAsia="en-US"/>
        </w:rPr>
        <w:t xml:space="preserve">Dob i pol ne utiču značajno na farmakokinetiku </w:t>
      </w:r>
      <w:r>
        <w:rPr>
          <w:rFonts w:ascii="Microsoft Sans Serif" w:hAnsi="Microsoft Sans Serif" w:cs="Microsoft Sans Serif"/>
          <w:lang w:val="sr-Latn-BA" w:eastAsia="en-US"/>
        </w:rPr>
        <w:t xml:space="preserve">venlafaksina </w:t>
      </w:r>
      <w:r>
        <w:rPr>
          <w:rFonts w:ascii="Microsoft Sans Serif" w:hAnsi="Microsoft Sans Serif" w:cs="Microsoft Sans Serif"/>
          <w:bCs/>
          <w:lang w:val="sr-Latn-BA" w:eastAsia="en-US"/>
        </w:rPr>
        <w:t xml:space="preserve">i ODV-a. </w:t>
      </w:r>
    </w:p>
    <w:p w14:paraId="1458F492">
      <w:pPr>
        <w:autoSpaceDE w:val="0"/>
        <w:autoSpaceDN w:val="0"/>
        <w:adjustRightInd w:val="0"/>
        <w:jc w:val="both"/>
        <w:rPr>
          <w:rFonts w:ascii="Microsoft Sans Serif" w:hAnsi="Microsoft Sans Serif" w:cs="Microsoft Sans Serif"/>
          <w:b/>
          <w:bCs/>
          <w:lang w:val="sr-Latn-BA" w:eastAsia="en-US"/>
        </w:rPr>
      </w:pPr>
    </w:p>
    <w:p w14:paraId="33AB530A">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CYP2D6 ekstenzivni/slabi metabolizeri</w:t>
      </w:r>
    </w:p>
    <w:p w14:paraId="4E9D83D8">
      <w:pPr>
        <w:autoSpaceDE w:val="0"/>
        <w:autoSpaceDN w:val="0"/>
        <w:adjustRightInd w:val="0"/>
        <w:jc w:val="both"/>
        <w:rPr>
          <w:rFonts w:ascii="Microsoft Sans Serif" w:hAnsi="Microsoft Sans Serif" w:cs="Microsoft Sans Serif"/>
          <w:bCs/>
          <w:lang w:val="sr-Latn-BA" w:eastAsia="en-US"/>
        </w:rPr>
      </w:pPr>
      <w:r>
        <w:rPr>
          <w:rFonts w:ascii="Microsoft Sans Serif" w:hAnsi="Microsoft Sans Serif" w:cs="Microsoft Sans Serif"/>
          <w:bCs/>
          <w:lang w:val="sr-Latn-BA" w:eastAsia="en-US"/>
        </w:rPr>
        <w:t xml:space="preserve">Koncentracije </w:t>
      </w:r>
      <w:r>
        <w:rPr>
          <w:rFonts w:ascii="Microsoft Sans Serif" w:hAnsi="Microsoft Sans Serif" w:cs="Microsoft Sans Serif"/>
          <w:lang w:val="sr-Latn-BA" w:eastAsia="en-US"/>
        </w:rPr>
        <w:t xml:space="preserve">venlafaksina </w:t>
      </w:r>
      <w:r>
        <w:rPr>
          <w:rFonts w:ascii="Microsoft Sans Serif" w:hAnsi="Microsoft Sans Serif" w:cs="Microsoft Sans Serif"/>
          <w:bCs/>
          <w:lang w:val="sr-Latn-BA" w:eastAsia="en-US"/>
        </w:rPr>
        <w:t xml:space="preserve">u plazmi su više kod </w:t>
      </w:r>
      <w:r>
        <w:rPr>
          <w:rFonts w:ascii="Microsoft Sans Serif" w:hAnsi="Microsoft Sans Serif" w:cs="Microsoft Sans Serif"/>
          <w:lang w:val="sr-Latn-BA" w:eastAsia="en-US"/>
        </w:rPr>
        <w:t xml:space="preserve">CYP2D6 </w:t>
      </w:r>
      <w:r>
        <w:rPr>
          <w:rFonts w:ascii="Microsoft Sans Serif" w:hAnsi="Microsoft Sans Serif" w:cs="Microsoft Sans Serif"/>
          <w:bCs/>
          <w:lang w:val="sr-Latn-BA" w:eastAsia="en-US"/>
        </w:rPr>
        <w:t xml:space="preserve">slabijih metabolizera nego kod ekstenzivnih metabolizera. Zbog ukupne izloženosti </w:t>
      </w:r>
      <w:r>
        <w:rPr>
          <w:rFonts w:ascii="Microsoft Sans Serif" w:hAnsi="Microsoft Sans Serif" w:cs="Microsoft Sans Serif"/>
          <w:lang w:val="sr-Latn-BA" w:eastAsia="en-US"/>
        </w:rPr>
        <w:t xml:space="preserve">venlafaksina </w:t>
      </w:r>
      <w:r>
        <w:rPr>
          <w:rFonts w:ascii="Microsoft Sans Serif" w:hAnsi="Microsoft Sans Serif" w:cs="Microsoft Sans Serif"/>
          <w:bCs/>
          <w:lang w:val="sr-Latn-BA" w:eastAsia="en-US"/>
        </w:rPr>
        <w:t xml:space="preserve">i ODV-a sličnim slabim i ekstenzivnim metabolizerima, nema potrebe za različitim režimima doziranja </w:t>
      </w:r>
      <w:r>
        <w:rPr>
          <w:rFonts w:ascii="Microsoft Sans Serif" w:hAnsi="Microsoft Sans Serif" w:cs="Microsoft Sans Serif"/>
          <w:lang w:val="sr-Latn-BA" w:eastAsia="en-US"/>
        </w:rPr>
        <w:t xml:space="preserve">venlafaksina </w:t>
      </w:r>
      <w:r>
        <w:rPr>
          <w:rFonts w:ascii="Microsoft Sans Serif" w:hAnsi="Microsoft Sans Serif" w:cs="Microsoft Sans Serif"/>
          <w:bCs/>
          <w:lang w:val="sr-Latn-BA" w:eastAsia="en-US"/>
        </w:rPr>
        <w:t xml:space="preserve">za ove dvije grupe. </w:t>
      </w:r>
    </w:p>
    <w:p w14:paraId="0BD7CDD0">
      <w:pPr>
        <w:autoSpaceDE w:val="0"/>
        <w:autoSpaceDN w:val="0"/>
        <w:adjustRightInd w:val="0"/>
        <w:jc w:val="both"/>
        <w:rPr>
          <w:rFonts w:ascii="Microsoft Sans Serif" w:hAnsi="Microsoft Sans Serif" w:cs="Microsoft Sans Serif"/>
          <w:bCs/>
          <w:lang w:val="sr-Latn-BA" w:eastAsia="en-US"/>
        </w:rPr>
      </w:pPr>
    </w:p>
    <w:p w14:paraId="70FF5DF4">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Pacijenti sa oštećenjem jetre</w:t>
      </w:r>
    </w:p>
    <w:p w14:paraId="0FC45F17">
      <w:pPr>
        <w:autoSpaceDE w:val="0"/>
        <w:autoSpaceDN w:val="0"/>
        <w:adjustRightInd w:val="0"/>
        <w:jc w:val="both"/>
        <w:rPr>
          <w:rFonts w:ascii="Microsoft Sans Serif" w:hAnsi="Microsoft Sans Serif" w:cs="Microsoft Sans Serif"/>
          <w:bCs/>
          <w:lang w:val="sr-Latn-BA" w:eastAsia="en-US"/>
        </w:rPr>
      </w:pPr>
      <w:r>
        <w:rPr>
          <w:rFonts w:ascii="Microsoft Sans Serif" w:hAnsi="Microsoft Sans Serif" w:cs="Microsoft Sans Serif"/>
          <w:bCs/>
          <w:lang w:val="sr-Latn-BA" w:eastAsia="en-US"/>
        </w:rPr>
        <w:t xml:space="preserve">Kod </w:t>
      </w:r>
      <w:r>
        <w:rPr>
          <w:rFonts w:ascii="Microsoft Sans Serif" w:hAnsi="Microsoft Sans Serif" w:cs="Microsoft Sans Serif"/>
          <w:lang w:val="sr-Latn-BA" w:eastAsia="en-US"/>
        </w:rPr>
        <w:t xml:space="preserve">Child-Pugh A (blago oštećenje jetre) i Child-Pugh B (umjereno oštećenje jetre) subjekata, vrijeme poluživota venlafaksina i ODV je bilo produženo u odnosu na zdrave subjekte. Oralni klirens venlafaksina i ODV-a je bio umanjen. Veliki stepen promjenjljivosti među subjektima je primijećen. Postoje ograničeni podaci za pacijente sa teškim oštećenjem jetre (pogledati dio 4.2). </w:t>
      </w:r>
    </w:p>
    <w:p w14:paraId="7B80BC29">
      <w:pPr>
        <w:autoSpaceDE w:val="0"/>
        <w:autoSpaceDN w:val="0"/>
        <w:adjustRightInd w:val="0"/>
        <w:jc w:val="both"/>
        <w:rPr>
          <w:rFonts w:ascii="Microsoft Sans Serif" w:hAnsi="Microsoft Sans Serif" w:cs="Microsoft Sans Serif"/>
          <w:lang w:val="sr-Latn-BA" w:eastAsia="en-US"/>
        </w:rPr>
      </w:pPr>
    </w:p>
    <w:p w14:paraId="14BF63B0">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Pacijenti sa oštećenjem bubrega</w:t>
      </w:r>
    </w:p>
    <w:p w14:paraId="0D6014E8">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Kod pacijenata na dijalizi, poluživot eliminacije venlafaksina je produžen za oko 180% i klirens je smanjen za oko 57% u </w:t>
      </w:r>
      <w:r>
        <w:rPr>
          <w:rFonts w:ascii="Microsoft Sans Serif" w:hAnsi="Microsoft Sans Serif" w:cs="Microsoft Sans Serif"/>
          <w:lang w:val="bs-Latn-BA" w:eastAsia="en-US"/>
        </w:rPr>
        <w:t xml:space="preserve">poređenju </w:t>
      </w:r>
      <w:r>
        <w:rPr>
          <w:rFonts w:ascii="Microsoft Sans Serif" w:hAnsi="Microsoft Sans Serif" w:cs="Microsoft Sans Serif"/>
          <w:lang w:val="sr-Latn-BA" w:eastAsia="en-US"/>
        </w:rPr>
        <w:t xml:space="preserve">sa zdravim subjektima, dok je poluživot eliminacije ODV produžen za oko 142% i klirens je smanjen za oko 56%. Prilagođavanje doze je neophodno kod pacijenata sa teškim bubrežnim oštećenjima i kod pacijenata koji su na hemodijalizi (pogledati dio 4.2). </w:t>
      </w:r>
    </w:p>
    <w:p w14:paraId="3A0EC413">
      <w:pPr>
        <w:autoSpaceDE w:val="0"/>
        <w:autoSpaceDN w:val="0"/>
        <w:adjustRightInd w:val="0"/>
        <w:jc w:val="both"/>
        <w:rPr>
          <w:rFonts w:ascii="Microsoft Sans Serif" w:hAnsi="Microsoft Sans Serif" w:cs="Microsoft Sans Serif"/>
          <w:lang w:val="sr-Latn-BA" w:eastAsia="en-US"/>
        </w:rPr>
      </w:pPr>
    </w:p>
    <w:p w14:paraId="6384E4CB">
      <w:pPr>
        <w:jc w:val="both"/>
        <w:rPr>
          <w:rFonts w:ascii="Microsoft Sans Serif" w:hAnsi="Microsoft Sans Serif" w:cs="Microsoft Sans Serif"/>
          <w:b/>
          <w:lang w:val="sr-Latn-BA"/>
        </w:rPr>
      </w:pPr>
      <w:r>
        <w:rPr>
          <w:rFonts w:ascii="Microsoft Sans Serif" w:hAnsi="Microsoft Sans Serif" w:cs="Microsoft Sans Serif"/>
          <w:b/>
          <w:lang w:val="sr-Latn-BA"/>
        </w:rPr>
        <w:t>5.3</w:t>
      </w:r>
      <w:r>
        <w:rPr>
          <w:rFonts w:ascii="Microsoft Sans Serif" w:hAnsi="Microsoft Sans Serif" w:cs="Microsoft Sans Serif"/>
          <w:b/>
          <w:lang w:val="sr-Latn-BA"/>
        </w:rPr>
        <w:tab/>
      </w:r>
      <w:r>
        <w:rPr>
          <w:rFonts w:ascii="Microsoft Sans Serif" w:hAnsi="Microsoft Sans Serif" w:cs="Microsoft Sans Serif"/>
          <w:b/>
          <w:lang w:val="sr-Latn-BA"/>
        </w:rPr>
        <w:t xml:space="preserve">Neklinički podaci o sigurnosti primjene </w:t>
      </w:r>
    </w:p>
    <w:p w14:paraId="7C4A1C0E">
      <w:pPr>
        <w:jc w:val="both"/>
        <w:rPr>
          <w:rFonts w:ascii="Microsoft Sans Serif" w:hAnsi="Microsoft Sans Serif" w:cs="Microsoft Sans Serif"/>
          <w:lang w:val="sr-Latn-BA"/>
        </w:rPr>
      </w:pPr>
    </w:p>
    <w:p w14:paraId="42233CE5">
      <w:pPr>
        <w:jc w:val="both"/>
        <w:rPr>
          <w:rFonts w:ascii="Microsoft Sans Serif" w:hAnsi="Microsoft Sans Serif" w:cs="Microsoft Sans Serif"/>
          <w:lang w:val="sr-Latn-BA" w:eastAsia="en-US"/>
        </w:rPr>
      </w:pPr>
      <w:r>
        <w:rPr>
          <w:rFonts w:ascii="Microsoft Sans Serif" w:hAnsi="Microsoft Sans Serif" w:cs="Microsoft Sans Serif"/>
          <w:lang w:val="bs-Latn-BA"/>
        </w:rPr>
        <w:t xml:space="preserve">Ispitivanja </w:t>
      </w:r>
      <w:r>
        <w:rPr>
          <w:rFonts w:ascii="Microsoft Sans Serif" w:hAnsi="Microsoft Sans Serif" w:cs="Microsoft Sans Serif"/>
          <w:lang w:val="sr-Latn-BA"/>
        </w:rPr>
        <w:t xml:space="preserve">sa </w:t>
      </w:r>
      <w:r>
        <w:rPr>
          <w:rFonts w:ascii="Microsoft Sans Serif" w:hAnsi="Microsoft Sans Serif" w:cs="Microsoft Sans Serif"/>
          <w:lang w:val="sr-Latn-BA" w:eastAsia="en-US"/>
        </w:rPr>
        <w:t xml:space="preserve">venlafaksinom </w:t>
      </w:r>
      <w:r>
        <w:rPr>
          <w:rFonts w:ascii="Microsoft Sans Serif" w:hAnsi="Microsoft Sans Serif" w:cs="Microsoft Sans Serif"/>
          <w:lang w:val="sr-Latn-BA"/>
        </w:rPr>
        <w:t xml:space="preserve">kod pacova i miševa nisu pokazala nikakve dokaze o kancerogenosti. </w:t>
      </w:r>
      <w:r>
        <w:rPr>
          <w:rFonts w:ascii="Microsoft Sans Serif" w:hAnsi="Microsoft Sans Serif" w:cs="Microsoft Sans Serif"/>
          <w:lang w:val="sr-Latn-BA" w:eastAsia="en-US"/>
        </w:rPr>
        <w:t xml:space="preserve">Venlafaksin </w:t>
      </w:r>
      <w:r>
        <w:rPr>
          <w:rFonts w:ascii="Microsoft Sans Serif" w:hAnsi="Microsoft Sans Serif" w:cs="Microsoft Sans Serif"/>
          <w:lang w:val="sr-Latn-BA"/>
        </w:rPr>
        <w:t xml:space="preserve">nije bio mutagen u širokom spektru </w:t>
      </w:r>
      <w:r>
        <w:rPr>
          <w:rFonts w:ascii="Microsoft Sans Serif" w:hAnsi="Microsoft Sans Serif" w:cs="Microsoft Sans Serif"/>
          <w:i/>
          <w:iCs/>
          <w:lang w:val="sr-Latn-BA" w:eastAsia="en-US"/>
        </w:rPr>
        <w:t xml:space="preserve">in vitro </w:t>
      </w:r>
      <w:r>
        <w:rPr>
          <w:rFonts w:ascii="Microsoft Sans Serif" w:hAnsi="Microsoft Sans Serif" w:cs="Microsoft Sans Serif"/>
          <w:lang w:val="sr-Latn-BA" w:eastAsia="en-US"/>
        </w:rPr>
        <w:t xml:space="preserve">i </w:t>
      </w:r>
      <w:r>
        <w:rPr>
          <w:rFonts w:ascii="Microsoft Sans Serif" w:hAnsi="Microsoft Sans Serif" w:cs="Microsoft Sans Serif"/>
          <w:i/>
          <w:iCs/>
          <w:lang w:val="sr-Latn-BA" w:eastAsia="en-US"/>
        </w:rPr>
        <w:t xml:space="preserve">in vivo </w:t>
      </w:r>
      <w:r>
        <w:rPr>
          <w:rFonts w:ascii="Microsoft Sans Serif" w:hAnsi="Microsoft Sans Serif" w:cs="Microsoft Sans Serif"/>
          <w:lang w:val="sr-Latn-BA" w:eastAsia="en-US"/>
        </w:rPr>
        <w:t>testova.</w:t>
      </w:r>
    </w:p>
    <w:p w14:paraId="5CE4081D">
      <w:pPr>
        <w:jc w:val="both"/>
        <w:rPr>
          <w:rFonts w:ascii="Microsoft Sans Serif" w:hAnsi="Microsoft Sans Serif" w:cs="Microsoft Sans Serif"/>
          <w:lang w:val="sr-Latn-BA" w:eastAsia="en-US"/>
        </w:rPr>
      </w:pPr>
      <w:r>
        <w:rPr>
          <w:rFonts w:ascii="Microsoft Sans Serif" w:hAnsi="Microsoft Sans Serif" w:cs="Microsoft Sans Serif"/>
          <w:lang w:val="bs-Latn-BA" w:eastAsia="en-US"/>
        </w:rPr>
        <w:t xml:space="preserve">Ispitivanja </w:t>
      </w:r>
      <w:r>
        <w:rPr>
          <w:rFonts w:ascii="Microsoft Sans Serif" w:hAnsi="Microsoft Sans Serif" w:cs="Microsoft Sans Serif"/>
          <w:lang w:val="sr-Latn-BA" w:eastAsia="en-US"/>
        </w:rPr>
        <w:t xml:space="preserve">o reproduktivnoj toksičnosti kod životinja su kod pacova pokazala smanjenje težine kod mladunaca, povećanje stepena mrtvorođenih mladunaca, i povećanje smtrnosti mladunaca tokom prvih </w:t>
      </w:r>
      <w:r>
        <w:rPr>
          <w:rFonts w:ascii="Microsoft Sans Serif" w:hAnsi="Microsoft Sans Serif" w:cs="Microsoft Sans Serif"/>
          <w:lang w:val="bs-Latn-BA" w:eastAsia="en-US"/>
        </w:rPr>
        <w:t>pet</w:t>
      </w:r>
      <w:r>
        <w:rPr>
          <w:rFonts w:ascii="Microsoft Sans Serif" w:hAnsi="Microsoft Sans Serif" w:cs="Microsoft Sans Serif"/>
          <w:lang w:val="sr-Latn-BA" w:eastAsia="en-US"/>
        </w:rPr>
        <w:t xml:space="preserve"> dana laktacije. Uzrok ovih smrti je nepoznat. Ovi efekti su se javili na 30 mg/kg/dnevno, </w:t>
      </w:r>
      <w:r>
        <w:rPr>
          <w:rFonts w:ascii="Microsoft Sans Serif" w:hAnsi="Microsoft Sans Serif" w:cs="Microsoft Sans Serif"/>
          <w:lang w:val="bs-Latn-BA" w:eastAsia="en-US"/>
        </w:rPr>
        <w:t xml:space="preserve">četiri </w:t>
      </w:r>
      <w:r>
        <w:rPr>
          <w:rFonts w:ascii="Microsoft Sans Serif" w:hAnsi="Microsoft Sans Serif" w:cs="Microsoft Sans Serif"/>
          <w:lang w:val="sr-Latn-BA" w:eastAsia="en-US"/>
        </w:rPr>
        <w:t xml:space="preserve">puta ljudska doza od 375 mg venlafaksina (na bazi mg/kg). Doza bez efekta u ovom istraživanju je bila 1,3 puta ljudska doza. Potencijalni rizik za ljude je nepoznat. Smanjenja plodnost je primijećena u </w:t>
      </w:r>
      <w:r>
        <w:rPr>
          <w:rFonts w:ascii="Microsoft Sans Serif" w:hAnsi="Microsoft Sans Serif" w:cs="Microsoft Sans Serif"/>
          <w:lang w:val="bs-Latn-BA" w:eastAsia="en-US"/>
        </w:rPr>
        <w:t xml:space="preserve">ispitivanjima </w:t>
      </w:r>
      <w:r>
        <w:rPr>
          <w:rFonts w:ascii="Microsoft Sans Serif" w:hAnsi="Microsoft Sans Serif" w:cs="Microsoft Sans Serif"/>
          <w:lang w:val="sr-Latn-BA" w:eastAsia="en-US"/>
        </w:rPr>
        <w:t xml:space="preserve">u kojima su i muški i ženski pacovi bili izloženi djelovanju ODV-a. Ova izloženost je otprilike </w:t>
      </w:r>
      <w:r>
        <w:rPr>
          <w:rFonts w:ascii="Microsoft Sans Serif" w:hAnsi="Microsoft Sans Serif" w:cs="Microsoft Sans Serif"/>
          <w:lang w:val="bs-Latn-BA" w:eastAsia="en-US"/>
        </w:rPr>
        <w:t>jedan</w:t>
      </w:r>
      <w:r>
        <w:rPr>
          <w:rFonts w:ascii="Microsoft Sans Serif" w:hAnsi="Microsoft Sans Serif" w:cs="Microsoft Sans Serif"/>
          <w:lang w:val="sr-Latn-BA" w:eastAsia="en-US"/>
        </w:rPr>
        <w:t xml:space="preserve"> do </w:t>
      </w:r>
      <w:r>
        <w:rPr>
          <w:rFonts w:ascii="Microsoft Sans Serif" w:hAnsi="Microsoft Sans Serif" w:cs="Microsoft Sans Serif"/>
          <w:lang w:val="bs-Latn-BA" w:eastAsia="en-US"/>
        </w:rPr>
        <w:t>dva</w:t>
      </w:r>
      <w:r>
        <w:rPr>
          <w:rFonts w:ascii="Microsoft Sans Serif" w:hAnsi="Microsoft Sans Serif" w:cs="Microsoft Sans Serif"/>
          <w:lang w:val="sr-Latn-BA" w:eastAsia="en-US"/>
        </w:rPr>
        <w:t xml:space="preserve"> puta ljudske venlafaksin doze od 375 mg/dnevno. Relevantnost za ljude ovog nalaza je nepoznata. </w:t>
      </w:r>
    </w:p>
    <w:p w14:paraId="33182218">
      <w:pPr>
        <w:jc w:val="both"/>
        <w:rPr>
          <w:rFonts w:ascii="Microsoft Sans Serif" w:hAnsi="Microsoft Sans Serif" w:cs="Microsoft Sans Serif"/>
          <w:lang w:val="sr-Latn-BA"/>
        </w:rPr>
      </w:pPr>
    </w:p>
    <w:p w14:paraId="3FE0B93A">
      <w:pPr>
        <w:jc w:val="both"/>
        <w:rPr>
          <w:rFonts w:ascii="Microsoft Sans Serif" w:hAnsi="Microsoft Sans Serif" w:cs="Microsoft Sans Serif"/>
          <w:lang w:val="sr-Latn-BA"/>
        </w:rPr>
      </w:pPr>
    </w:p>
    <w:p w14:paraId="2B2EBCFD">
      <w:pPr>
        <w:jc w:val="both"/>
        <w:rPr>
          <w:rFonts w:ascii="Microsoft Sans Serif" w:hAnsi="Microsoft Sans Serif" w:cs="Microsoft Sans Serif"/>
          <w:b/>
          <w:lang w:val="sr-Latn-BA"/>
        </w:rPr>
      </w:pPr>
      <w:r>
        <w:rPr>
          <w:rFonts w:ascii="Microsoft Sans Serif" w:hAnsi="Microsoft Sans Serif" w:cs="Microsoft Sans Serif"/>
          <w:b/>
          <w:lang w:val="sr-Latn-BA"/>
        </w:rPr>
        <w:t>6.</w:t>
      </w:r>
      <w:r>
        <w:rPr>
          <w:rFonts w:ascii="Microsoft Sans Serif" w:hAnsi="Microsoft Sans Serif" w:cs="Microsoft Sans Serif"/>
          <w:b/>
          <w:lang w:val="sr-Latn-BA"/>
        </w:rPr>
        <w:tab/>
      </w:r>
      <w:r>
        <w:rPr>
          <w:rFonts w:ascii="Microsoft Sans Serif" w:hAnsi="Microsoft Sans Serif" w:cs="Microsoft Sans Serif"/>
          <w:b/>
          <w:lang w:val="sr-Latn-BA"/>
        </w:rPr>
        <w:t xml:space="preserve">FARMACEUTSKI PODACI </w:t>
      </w:r>
    </w:p>
    <w:p w14:paraId="3B15045C">
      <w:pPr>
        <w:jc w:val="both"/>
        <w:rPr>
          <w:rFonts w:ascii="Microsoft Sans Serif" w:hAnsi="Microsoft Sans Serif" w:cs="Microsoft Sans Serif"/>
          <w:b/>
          <w:lang w:val="sr-Latn-BA"/>
        </w:rPr>
      </w:pPr>
    </w:p>
    <w:p w14:paraId="30551E15">
      <w:pPr>
        <w:jc w:val="both"/>
        <w:rPr>
          <w:rFonts w:ascii="Microsoft Sans Serif" w:hAnsi="Microsoft Sans Serif" w:cs="Microsoft Sans Serif"/>
          <w:b/>
          <w:lang w:val="sr-Latn-BA"/>
        </w:rPr>
      </w:pPr>
      <w:r>
        <w:rPr>
          <w:rFonts w:ascii="Microsoft Sans Serif" w:hAnsi="Microsoft Sans Serif" w:cs="Microsoft Sans Serif"/>
          <w:b/>
          <w:lang w:val="sr-Latn-BA"/>
        </w:rPr>
        <w:t>6.1</w:t>
      </w:r>
      <w:r>
        <w:rPr>
          <w:rFonts w:ascii="Microsoft Sans Serif" w:hAnsi="Microsoft Sans Serif" w:cs="Microsoft Sans Serif"/>
          <w:b/>
          <w:lang w:val="sr-Latn-BA"/>
        </w:rPr>
        <w:tab/>
      </w:r>
      <w:r>
        <w:rPr>
          <w:rFonts w:ascii="Microsoft Sans Serif" w:hAnsi="Microsoft Sans Serif" w:cs="Microsoft Sans Serif"/>
          <w:b/>
          <w:lang w:val="sr-Latn-BA"/>
        </w:rPr>
        <w:t>Spisak pomoćnih supstanci</w:t>
      </w:r>
    </w:p>
    <w:p w14:paraId="4C6FCB3E">
      <w:pPr>
        <w:tabs>
          <w:tab w:val="left" w:pos="567"/>
        </w:tabs>
        <w:jc w:val="both"/>
        <w:rPr>
          <w:rFonts w:ascii="Microsoft Sans Serif" w:hAnsi="Microsoft Sans Serif" w:cs="Microsoft Sans Serif"/>
          <w:lang w:val="sr-Latn-BA"/>
        </w:rPr>
      </w:pPr>
    </w:p>
    <w:p w14:paraId="681E3AE0">
      <w:pPr>
        <w:tabs>
          <w:tab w:val="left" w:pos="567"/>
        </w:tabs>
        <w:jc w:val="both"/>
        <w:rPr>
          <w:rFonts w:ascii="Microsoft Sans Serif" w:hAnsi="Microsoft Sans Serif" w:cs="Microsoft Sans Serif"/>
          <w:u w:val="single"/>
          <w:lang w:val="sr-Latn-BA"/>
        </w:rPr>
      </w:pPr>
      <w:r>
        <w:rPr>
          <w:rFonts w:ascii="Microsoft Sans Serif" w:hAnsi="Microsoft Sans Serif" w:cs="Microsoft Sans Serif"/>
          <w:u w:val="single"/>
          <w:lang w:val="sr-Latn-BA"/>
        </w:rPr>
        <w:t xml:space="preserve">Zanfexa XR 75 mg kapsula sa produženim oslobađanjem, tvrda </w:t>
      </w:r>
    </w:p>
    <w:p w14:paraId="77D4EB87">
      <w:pPr>
        <w:tabs>
          <w:tab w:val="left" w:pos="567"/>
        </w:tabs>
        <w:jc w:val="both"/>
        <w:rPr>
          <w:rFonts w:ascii="Microsoft Sans Serif" w:hAnsi="Microsoft Sans Serif" w:cs="Microsoft Sans Serif"/>
          <w:lang w:val="sr-Latn-BA"/>
        </w:rPr>
      </w:pPr>
      <w:r>
        <w:rPr>
          <w:rFonts w:ascii="Microsoft Sans Serif" w:hAnsi="Microsoft Sans Serif" w:cs="Microsoft Sans Serif"/>
          <w:lang w:val="sr-Latn-BA"/>
        </w:rPr>
        <w:t>Šećerne sfere (sadrže saharozu)</w:t>
      </w:r>
    </w:p>
    <w:p w14:paraId="3E5C8A5C">
      <w:pPr>
        <w:tabs>
          <w:tab w:val="left" w:pos="567"/>
        </w:tabs>
        <w:jc w:val="both"/>
        <w:rPr>
          <w:rFonts w:ascii="Microsoft Sans Serif" w:hAnsi="Microsoft Sans Serif" w:cs="Microsoft Sans Serif"/>
          <w:lang w:val="sr-Latn-BA"/>
        </w:rPr>
      </w:pPr>
      <w:r>
        <w:rPr>
          <w:rFonts w:ascii="Microsoft Sans Serif" w:hAnsi="Microsoft Sans Serif" w:cs="Microsoft Sans Serif"/>
          <w:lang w:val="sr-Latn-BA"/>
        </w:rPr>
        <w:t>Hidroksipropilceluloza</w:t>
      </w:r>
    </w:p>
    <w:p w14:paraId="7F34D00C">
      <w:pPr>
        <w:tabs>
          <w:tab w:val="left" w:pos="567"/>
        </w:tabs>
        <w:jc w:val="both"/>
        <w:rPr>
          <w:rFonts w:ascii="Microsoft Sans Serif" w:hAnsi="Microsoft Sans Serif" w:cs="Microsoft Sans Serif"/>
          <w:lang w:val="sr-Latn-BA"/>
        </w:rPr>
      </w:pPr>
      <w:r>
        <w:rPr>
          <w:rFonts w:ascii="Microsoft Sans Serif" w:hAnsi="Microsoft Sans Serif" w:cs="Microsoft Sans Serif"/>
          <w:lang w:val="sr-Latn-BA"/>
        </w:rPr>
        <w:t>Hidroksipropilmetilceluloza</w:t>
      </w:r>
    </w:p>
    <w:p w14:paraId="281E5A64">
      <w:pPr>
        <w:tabs>
          <w:tab w:val="left" w:pos="567"/>
        </w:tabs>
        <w:jc w:val="both"/>
        <w:rPr>
          <w:rFonts w:ascii="Microsoft Sans Serif" w:hAnsi="Microsoft Sans Serif" w:cs="Microsoft Sans Serif"/>
          <w:lang w:val="sr-Latn-BA"/>
        </w:rPr>
      </w:pPr>
      <w:r>
        <w:rPr>
          <w:rFonts w:ascii="Microsoft Sans Serif" w:hAnsi="Microsoft Sans Serif" w:cs="Microsoft Sans Serif"/>
          <w:lang w:val="sr-Latn-BA"/>
        </w:rPr>
        <w:t>Talk</w:t>
      </w:r>
    </w:p>
    <w:p w14:paraId="2F7E75E3">
      <w:pPr>
        <w:tabs>
          <w:tab w:val="left" w:pos="567"/>
        </w:tabs>
        <w:jc w:val="both"/>
        <w:rPr>
          <w:rFonts w:ascii="Microsoft Sans Serif" w:hAnsi="Microsoft Sans Serif" w:cs="Microsoft Sans Serif"/>
          <w:lang w:val="sr-Latn-BA"/>
        </w:rPr>
      </w:pPr>
      <w:r>
        <w:rPr>
          <w:rFonts w:ascii="Microsoft Sans Serif" w:hAnsi="Microsoft Sans Serif" w:cs="Microsoft Sans Serif"/>
          <w:lang w:val="sr-Latn-BA"/>
        </w:rPr>
        <w:t>Polimerni omotač E-7-19030 (etilceluloza; amonijum-hidroksid; dibutil-sebakat; oleinska kiselina;  silicijum-dioksid, koloidni, bezvodni)</w:t>
      </w:r>
    </w:p>
    <w:p w14:paraId="217D4ADA">
      <w:pPr>
        <w:tabs>
          <w:tab w:val="left" w:pos="567"/>
        </w:tabs>
        <w:jc w:val="both"/>
        <w:rPr>
          <w:rFonts w:ascii="Microsoft Sans Serif" w:hAnsi="Microsoft Sans Serif" w:cs="Microsoft Sans Serif"/>
          <w:lang w:val="sr-Latn-BA"/>
        </w:rPr>
      </w:pPr>
      <w:r>
        <w:rPr>
          <w:rFonts w:ascii="Microsoft Sans Serif" w:hAnsi="Microsoft Sans Serif" w:cs="Microsoft Sans Serif"/>
          <w:lang w:val="sr-Latn-BA"/>
        </w:rPr>
        <w:t xml:space="preserve">Tvrde želatinske kapsule (boja quinoline </w:t>
      </w:r>
      <w:r>
        <w:rPr>
          <w:rFonts w:ascii="Microsoft Sans Serif" w:hAnsi="Microsoft Sans Serif" w:cs="Microsoft Sans Serif"/>
          <w:lang w:val="bs-Latn-BA"/>
        </w:rPr>
        <w:t>žuta</w:t>
      </w:r>
      <w:r>
        <w:rPr>
          <w:rFonts w:ascii="Microsoft Sans Serif" w:hAnsi="Microsoft Sans Serif" w:cs="Microsoft Sans Serif"/>
          <w:lang w:val="sr-Latn-BA"/>
        </w:rPr>
        <w:t xml:space="preserve"> E104, boja sunset </w:t>
      </w:r>
      <w:r>
        <w:rPr>
          <w:rFonts w:ascii="Microsoft Sans Serif" w:hAnsi="Microsoft Sans Serif" w:cs="Microsoft Sans Serif"/>
          <w:lang w:val="bs-Latn-BA"/>
        </w:rPr>
        <w:t>žuta</w:t>
      </w:r>
      <w:r>
        <w:rPr>
          <w:rFonts w:ascii="Microsoft Sans Serif" w:hAnsi="Microsoft Sans Serif" w:cs="Microsoft Sans Serif"/>
          <w:lang w:val="sr-Latn-BA"/>
        </w:rPr>
        <w:t xml:space="preserve"> E110; titan-dioksid E171; želatin)</w:t>
      </w:r>
    </w:p>
    <w:p w14:paraId="761ADD26">
      <w:pPr>
        <w:tabs>
          <w:tab w:val="left" w:pos="567"/>
        </w:tabs>
        <w:jc w:val="both"/>
        <w:rPr>
          <w:rFonts w:ascii="Microsoft Sans Serif" w:hAnsi="Microsoft Sans Serif" w:cs="Microsoft Sans Serif"/>
          <w:u w:val="single"/>
          <w:lang w:val="sr-Latn-BA"/>
        </w:rPr>
      </w:pPr>
    </w:p>
    <w:p w14:paraId="09B3A2E9">
      <w:pPr>
        <w:tabs>
          <w:tab w:val="left" w:pos="567"/>
        </w:tabs>
        <w:jc w:val="both"/>
        <w:rPr>
          <w:rFonts w:ascii="Microsoft Sans Serif" w:hAnsi="Microsoft Sans Serif" w:cs="Microsoft Sans Serif"/>
          <w:u w:val="single"/>
          <w:lang w:val="sr-Latn-BA"/>
        </w:rPr>
      </w:pPr>
      <w:r>
        <w:rPr>
          <w:rFonts w:ascii="Microsoft Sans Serif" w:hAnsi="Microsoft Sans Serif" w:cs="Microsoft Sans Serif"/>
          <w:u w:val="single"/>
          <w:lang w:val="sr-Latn-BA"/>
        </w:rPr>
        <w:t xml:space="preserve">Zanfexa XR 150 mg kapsula sa produženim oslobađanjem, tvrda </w:t>
      </w:r>
    </w:p>
    <w:p w14:paraId="70EA2569">
      <w:pPr>
        <w:tabs>
          <w:tab w:val="left" w:pos="567"/>
        </w:tabs>
        <w:jc w:val="both"/>
        <w:rPr>
          <w:rFonts w:ascii="Microsoft Sans Serif" w:hAnsi="Microsoft Sans Serif" w:cs="Microsoft Sans Serif"/>
          <w:lang w:val="sr-Latn-BA"/>
        </w:rPr>
      </w:pPr>
      <w:r>
        <w:rPr>
          <w:rFonts w:ascii="Microsoft Sans Serif" w:hAnsi="Microsoft Sans Serif" w:cs="Microsoft Sans Serif"/>
          <w:lang w:val="sr-Latn-BA"/>
        </w:rPr>
        <w:t>Šećerne sfere (sadrže saharozu)</w:t>
      </w:r>
    </w:p>
    <w:p w14:paraId="61AA2FF8">
      <w:pPr>
        <w:tabs>
          <w:tab w:val="left" w:pos="567"/>
        </w:tabs>
        <w:jc w:val="both"/>
        <w:rPr>
          <w:rFonts w:ascii="Microsoft Sans Serif" w:hAnsi="Microsoft Sans Serif" w:cs="Microsoft Sans Serif"/>
          <w:lang w:val="sr-Latn-BA"/>
        </w:rPr>
      </w:pPr>
      <w:r>
        <w:rPr>
          <w:rFonts w:ascii="Microsoft Sans Serif" w:hAnsi="Microsoft Sans Serif" w:cs="Microsoft Sans Serif"/>
          <w:lang w:val="sr-Latn-BA"/>
        </w:rPr>
        <w:t>Hidroksipropilceluloza</w:t>
      </w:r>
    </w:p>
    <w:p w14:paraId="58FF1CA0">
      <w:pPr>
        <w:tabs>
          <w:tab w:val="left" w:pos="567"/>
        </w:tabs>
        <w:jc w:val="both"/>
        <w:rPr>
          <w:rFonts w:ascii="Microsoft Sans Serif" w:hAnsi="Microsoft Sans Serif" w:cs="Microsoft Sans Serif"/>
          <w:lang w:val="sr-Latn-BA"/>
        </w:rPr>
      </w:pPr>
      <w:r>
        <w:rPr>
          <w:rFonts w:ascii="Microsoft Sans Serif" w:hAnsi="Microsoft Sans Serif" w:cs="Microsoft Sans Serif"/>
          <w:lang w:val="sr-Latn-BA"/>
        </w:rPr>
        <w:t>Hidroksipropilmetilceluloza</w:t>
      </w:r>
    </w:p>
    <w:p w14:paraId="4DFA16AB">
      <w:pPr>
        <w:tabs>
          <w:tab w:val="left" w:pos="567"/>
        </w:tabs>
        <w:jc w:val="both"/>
        <w:rPr>
          <w:rFonts w:ascii="Microsoft Sans Serif" w:hAnsi="Microsoft Sans Serif" w:cs="Microsoft Sans Serif"/>
          <w:lang w:val="sr-Latn-BA"/>
        </w:rPr>
      </w:pPr>
      <w:r>
        <w:rPr>
          <w:rFonts w:ascii="Microsoft Sans Serif" w:hAnsi="Microsoft Sans Serif" w:cs="Microsoft Sans Serif"/>
          <w:lang w:val="sr-Latn-BA"/>
        </w:rPr>
        <w:t>Talk</w:t>
      </w:r>
    </w:p>
    <w:p w14:paraId="643FF552">
      <w:pPr>
        <w:tabs>
          <w:tab w:val="left" w:pos="567"/>
        </w:tabs>
        <w:jc w:val="both"/>
        <w:rPr>
          <w:rFonts w:ascii="Microsoft Sans Serif" w:hAnsi="Microsoft Sans Serif" w:cs="Microsoft Sans Serif"/>
          <w:lang w:val="sr-Latn-BA"/>
        </w:rPr>
      </w:pPr>
      <w:r>
        <w:rPr>
          <w:rFonts w:ascii="Microsoft Sans Serif" w:hAnsi="Microsoft Sans Serif" w:cs="Microsoft Sans Serif"/>
          <w:lang w:val="sr-Latn-BA"/>
        </w:rPr>
        <w:t>Polimerni omotač E-7-19030 (etilceluloza; amonijum-hidroksid; dibutil-sebakat; oleinska kiselina;  silicijum-dioksid, koloidni, bezvodni)</w:t>
      </w:r>
    </w:p>
    <w:p w14:paraId="5EAD4850">
      <w:pPr>
        <w:tabs>
          <w:tab w:val="left" w:pos="567"/>
        </w:tabs>
        <w:jc w:val="both"/>
        <w:rPr>
          <w:rFonts w:ascii="Microsoft Sans Serif" w:hAnsi="Microsoft Sans Serif" w:cs="Microsoft Sans Serif"/>
          <w:lang w:val="sr-Latn-BA"/>
        </w:rPr>
      </w:pPr>
      <w:r>
        <w:rPr>
          <w:rFonts w:ascii="Microsoft Sans Serif" w:hAnsi="Microsoft Sans Serif" w:cs="Microsoft Sans Serif"/>
          <w:lang w:val="sr-Latn-BA"/>
        </w:rPr>
        <w:t xml:space="preserve">Tvrde želatinske kapsule (boja patent plava E131; boja quinoline </w:t>
      </w:r>
      <w:r>
        <w:rPr>
          <w:rFonts w:ascii="Microsoft Sans Serif" w:hAnsi="Microsoft Sans Serif" w:cs="Microsoft Sans Serif"/>
          <w:lang w:val="bs-Latn-BA"/>
        </w:rPr>
        <w:t>žuta</w:t>
      </w:r>
      <w:r>
        <w:rPr>
          <w:rFonts w:ascii="Microsoft Sans Serif" w:hAnsi="Microsoft Sans Serif" w:cs="Microsoft Sans Serif"/>
          <w:lang w:val="sr-Latn-BA"/>
        </w:rPr>
        <w:t xml:space="preserve"> E104, boja sunset </w:t>
      </w:r>
      <w:r>
        <w:rPr>
          <w:rFonts w:ascii="Microsoft Sans Serif" w:hAnsi="Microsoft Sans Serif" w:cs="Microsoft Sans Serif"/>
          <w:lang w:val="bs-Latn-BA"/>
        </w:rPr>
        <w:t>žuta</w:t>
      </w:r>
      <w:r>
        <w:rPr>
          <w:rFonts w:ascii="Microsoft Sans Serif" w:hAnsi="Microsoft Sans Serif" w:cs="Microsoft Sans Serif"/>
          <w:lang w:val="sr-Latn-BA"/>
        </w:rPr>
        <w:t xml:space="preserve"> E110; titan-dioksid E171; želatin)</w:t>
      </w:r>
    </w:p>
    <w:p w14:paraId="38BC0AF7">
      <w:pPr>
        <w:tabs>
          <w:tab w:val="left" w:pos="567"/>
        </w:tabs>
        <w:jc w:val="both"/>
        <w:rPr>
          <w:rFonts w:ascii="Microsoft Sans Serif" w:hAnsi="Microsoft Sans Serif" w:cs="Microsoft Sans Serif"/>
          <w:b/>
          <w:lang w:val="sr-Latn-BA"/>
        </w:rPr>
      </w:pPr>
    </w:p>
    <w:p w14:paraId="20FD80C5">
      <w:pPr>
        <w:jc w:val="both"/>
        <w:rPr>
          <w:rFonts w:ascii="Microsoft Sans Serif" w:hAnsi="Microsoft Sans Serif" w:cs="Microsoft Sans Serif"/>
          <w:b/>
          <w:lang w:val="sr-Latn-BA"/>
        </w:rPr>
      </w:pPr>
      <w:r>
        <w:rPr>
          <w:rFonts w:ascii="Microsoft Sans Serif" w:hAnsi="Microsoft Sans Serif" w:cs="Microsoft Sans Serif"/>
          <w:b/>
          <w:lang w:val="sr-Latn-BA"/>
        </w:rPr>
        <w:t>6.2</w:t>
      </w:r>
      <w:r>
        <w:rPr>
          <w:rFonts w:ascii="Microsoft Sans Serif" w:hAnsi="Microsoft Sans Serif" w:cs="Microsoft Sans Serif"/>
          <w:b/>
          <w:lang w:val="sr-Latn-BA"/>
        </w:rPr>
        <w:tab/>
      </w:r>
      <w:r>
        <w:rPr>
          <w:rFonts w:ascii="Microsoft Sans Serif" w:hAnsi="Microsoft Sans Serif" w:cs="Microsoft Sans Serif"/>
          <w:b/>
          <w:lang w:val="sr-Latn-BA"/>
        </w:rPr>
        <w:t>Inkompatibilnosti</w:t>
      </w:r>
    </w:p>
    <w:p w14:paraId="3841D3A4">
      <w:pPr>
        <w:tabs>
          <w:tab w:val="left" w:pos="567"/>
        </w:tabs>
        <w:jc w:val="both"/>
        <w:rPr>
          <w:rFonts w:ascii="Microsoft Sans Serif" w:hAnsi="Microsoft Sans Serif" w:cs="Microsoft Sans Serif"/>
          <w:b/>
          <w:lang w:val="sr-Latn-BA"/>
        </w:rPr>
      </w:pPr>
    </w:p>
    <w:p w14:paraId="50611EC2">
      <w:pPr>
        <w:tabs>
          <w:tab w:val="left" w:pos="567"/>
        </w:tabs>
        <w:jc w:val="both"/>
        <w:rPr>
          <w:rFonts w:ascii="Microsoft Sans Serif" w:hAnsi="Microsoft Sans Serif" w:cs="Microsoft Sans Serif"/>
          <w:lang w:val="sr-Latn-BA"/>
        </w:rPr>
      </w:pPr>
      <w:r>
        <w:rPr>
          <w:rFonts w:ascii="Microsoft Sans Serif" w:hAnsi="Microsoft Sans Serif" w:cs="Microsoft Sans Serif"/>
          <w:lang w:val="sr-Latn-BA"/>
        </w:rPr>
        <w:t xml:space="preserve">Nije primjenjivo. </w:t>
      </w:r>
    </w:p>
    <w:p w14:paraId="38E5CCB2">
      <w:pPr>
        <w:tabs>
          <w:tab w:val="left" w:pos="567"/>
        </w:tabs>
        <w:jc w:val="both"/>
        <w:rPr>
          <w:rFonts w:ascii="Microsoft Sans Serif" w:hAnsi="Microsoft Sans Serif" w:cs="Microsoft Sans Serif"/>
          <w:b/>
          <w:lang w:val="sr-Latn-BA"/>
        </w:rPr>
      </w:pPr>
    </w:p>
    <w:p w14:paraId="62EAA8CC">
      <w:pPr>
        <w:jc w:val="both"/>
        <w:rPr>
          <w:rFonts w:ascii="Microsoft Sans Serif" w:hAnsi="Microsoft Sans Serif" w:cs="Microsoft Sans Serif"/>
          <w:b/>
          <w:lang w:val="sr-Latn-BA"/>
        </w:rPr>
      </w:pPr>
      <w:r>
        <w:rPr>
          <w:rFonts w:ascii="Microsoft Sans Serif" w:hAnsi="Microsoft Sans Serif" w:cs="Microsoft Sans Serif"/>
          <w:b/>
          <w:lang w:val="sr-Latn-BA"/>
        </w:rPr>
        <w:t>6.3</w:t>
      </w:r>
      <w:r>
        <w:rPr>
          <w:rFonts w:ascii="Microsoft Sans Serif" w:hAnsi="Microsoft Sans Serif" w:cs="Microsoft Sans Serif"/>
          <w:b/>
          <w:lang w:val="sr-Latn-BA"/>
        </w:rPr>
        <w:tab/>
      </w:r>
      <w:r>
        <w:rPr>
          <w:rFonts w:ascii="Microsoft Sans Serif" w:hAnsi="Microsoft Sans Serif" w:cs="Microsoft Sans Serif"/>
          <w:b/>
          <w:lang w:val="sr-Latn-BA"/>
        </w:rPr>
        <w:t>Rok trajanja</w:t>
      </w:r>
    </w:p>
    <w:p w14:paraId="5F5A75AC">
      <w:pPr>
        <w:tabs>
          <w:tab w:val="left" w:pos="567"/>
        </w:tabs>
        <w:jc w:val="both"/>
        <w:rPr>
          <w:rFonts w:ascii="Microsoft Sans Serif" w:hAnsi="Microsoft Sans Serif" w:cs="Microsoft Sans Serif"/>
          <w:b/>
          <w:lang w:val="sr-Latn-BA"/>
        </w:rPr>
      </w:pPr>
    </w:p>
    <w:p w14:paraId="2C611FFA">
      <w:pPr>
        <w:tabs>
          <w:tab w:val="left" w:pos="567"/>
        </w:tabs>
        <w:jc w:val="both"/>
        <w:rPr>
          <w:rFonts w:ascii="Microsoft Sans Serif" w:hAnsi="Microsoft Sans Serif" w:cs="Microsoft Sans Serif"/>
          <w:lang w:val="sr-Latn-BA"/>
        </w:rPr>
      </w:pPr>
      <w:r>
        <w:rPr>
          <w:rFonts w:ascii="Microsoft Sans Serif" w:hAnsi="Microsoft Sans Serif" w:cs="Microsoft Sans Serif"/>
          <w:lang w:val="sr-Latn-BA"/>
        </w:rPr>
        <w:t>3 (tri) godine.</w:t>
      </w:r>
    </w:p>
    <w:p w14:paraId="25148127">
      <w:pPr>
        <w:tabs>
          <w:tab w:val="left" w:pos="567"/>
        </w:tabs>
        <w:jc w:val="both"/>
        <w:rPr>
          <w:rFonts w:ascii="Microsoft Sans Serif" w:hAnsi="Microsoft Sans Serif" w:cs="Microsoft Sans Serif"/>
          <w:lang w:val="sr-Latn-BA"/>
        </w:rPr>
      </w:pPr>
    </w:p>
    <w:p w14:paraId="1EAB8C03">
      <w:pPr>
        <w:tabs>
          <w:tab w:val="left" w:pos="709"/>
        </w:tabs>
        <w:jc w:val="both"/>
        <w:rPr>
          <w:rFonts w:ascii="Microsoft Sans Serif" w:hAnsi="Microsoft Sans Serif" w:cs="Microsoft Sans Serif"/>
          <w:b/>
          <w:lang w:val="sr-Latn-BA"/>
        </w:rPr>
      </w:pPr>
      <w:r>
        <w:rPr>
          <w:rFonts w:ascii="Microsoft Sans Serif" w:hAnsi="Microsoft Sans Serif" w:cs="Microsoft Sans Serif"/>
          <w:b/>
          <w:lang w:val="sr-Latn-BA"/>
        </w:rPr>
        <w:t xml:space="preserve">6.4 </w:t>
      </w:r>
      <w:r>
        <w:rPr>
          <w:rFonts w:ascii="Microsoft Sans Serif" w:hAnsi="Microsoft Sans Serif" w:cs="Microsoft Sans Serif"/>
          <w:b/>
          <w:lang w:val="sr-Latn-BA"/>
        </w:rPr>
        <w:tab/>
      </w:r>
      <w:r>
        <w:rPr>
          <w:rFonts w:ascii="Microsoft Sans Serif" w:hAnsi="Microsoft Sans Serif" w:cs="Microsoft Sans Serif"/>
          <w:b/>
          <w:lang w:val="sr-Latn-BA"/>
        </w:rPr>
        <w:t>Posebne mjere pri čuvanju lijeka</w:t>
      </w:r>
    </w:p>
    <w:p w14:paraId="36271693">
      <w:pPr>
        <w:tabs>
          <w:tab w:val="left" w:pos="567"/>
        </w:tabs>
        <w:jc w:val="both"/>
        <w:rPr>
          <w:rFonts w:ascii="Microsoft Sans Serif" w:hAnsi="Microsoft Sans Serif" w:cs="Microsoft Sans Serif"/>
          <w:b/>
          <w:lang w:val="sr-Latn-BA"/>
        </w:rPr>
      </w:pPr>
      <w:r>
        <w:rPr>
          <w:rFonts w:ascii="Microsoft Sans Serif" w:hAnsi="Microsoft Sans Serif" w:cs="Microsoft Sans Serif"/>
          <w:b/>
          <w:lang w:val="sr-Latn-BA"/>
        </w:rPr>
        <w:tab/>
      </w:r>
    </w:p>
    <w:p w14:paraId="1499C3D2">
      <w:pPr>
        <w:tabs>
          <w:tab w:val="left" w:pos="567"/>
        </w:tabs>
        <w:jc w:val="both"/>
        <w:rPr>
          <w:rFonts w:ascii="Microsoft Sans Serif" w:hAnsi="Microsoft Sans Serif" w:cs="Microsoft Sans Serif"/>
          <w:lang w:val="sr-Latn-BA"/>
        </w:rPr>
      </w:pPr>
      <w:r>
        <w:rPr>
          <w:rFonts w:ascii="Microsoft Sans Serif" w:hAnsi="Microsoft Sans Serif" w:cs="Microsoft Sans Serif"/>
          <w:lang w:val="sr-Latn-BA"/>
        </w:rPr>
        <w:t>Lijek treba čuvati na temperaturi do 25° C, u originalnom pakovanju.</w:t>
      </w:r>
    </w:p>
    <w:p w14:paraId="69FA0E87">
      <w:pPr>
        <w:tabs>
          <w:tab w:val="left" w:pos="567"/>
        </w:tabs>
        <w:jc w:val="both"/>
        <w:rPr>
          <w:rFonts w:ascii="Microsoft Sans Serif" w:hAnsi="Microsoft Sans Serif" w:cs="Microsoft Sans Serif"/>
          <w:b/>
          <w:lang w:val="sr-Latn-BA"/>
        </w:rPr>
      </w:pPr>
    </w:p>
    <w:p w14:paraId="390C3692">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6.5 </w:t>
      </w:r>
      <w:r>
        <w:rPr>
          <w:rFonts w:ascii="Microsoft Sans Serif" w:hAnsi="Microsoft Sans Serif" w:cs="Microsoft Sans Serif"/>
          <w:b/>
          <w:lang w:val="sr-Latn-BA"/>
        </w:rPr>
        <w:tab/>
      </w:r>
      <w:r>
        <w:rPr>
          <w:rFonts w:ascii="Microsoft Sans Serif" w:hAnsi="Microsoft Sans Serif" w:cs="Microsoft Sans Serif"/>
          <w:b/>
          <w:lang w:val="sr-Latn-BA"/>
        </w:rPr>
        <w:t>Vrsta i sadržaj unutrašnjeg pakovanja kontejnera</w:t>
      </w:r>
    </w:p>
    <w:p w14:paraId="24965D9A">
      <w:pPr>
        <w:pStyle w:val="14"/>
        <w:tabs>
          <w:tab w:val="left" w:pos="567"/>
        </w:tabs>
        <w:jc w:val="both"/>
        <w:rPr>
          <w:rFonts w:ascii="Microsoft Sans Serif" w:hAnsi="Microsoft Sans Serif" w:cs="Microsoft Sans Serif"/>
          <w:sz w:val="20"/>
          <w:lang w:val="sr-Latn-BA"/>
        </w:rPr>
      </w:pPr>
    </w:p>
    <w:p w14:paraId="37919943">
      <w:pPr>
        <w:tabs>
          <w:tab w:val="left" w:pos="567"/>
        </w:tabs>
        <w:jc w:val="both"/>
        <w:rPr>
          <w:rFonts w:ascii="Microsoft Sans Serif" w:hAnsi="Microsoft Sans Serif" w:cs="Microsoft Sans Serif"/>
          <w:lang w:val="sr-Latn-BA"/>
        </w:rPr>
      </w:pPr>
      <w:r>
        <w:rPr>
          <w:rFonts w:ascii="Microsoft Sans Serif" w:hAnsi="Microsoft Sans Serif" w:cs="Microsoft Sans Serif"/>
          <w:lang w:val="sr-Latn-BA"/>
        </w:rPr>
        <w:t>Unutra</w:t>
      </w:r>
      <w:r>
        <w:rPr>
          <w:rFonts w:ascii="Microsoft Sans Serif" w:hAnsi="Microsoft Sans Serif" w:cs="Microsoft Sans Serif"/>
          <w:lang w:val="sr-Latn-RS"/>
        </w:rPr>
        <w:t>šnje pakovanje je PVC/Al blister sa 10 tvrdih kapsula sa produženim oslobađanjem</w:t>
      </w:r>
      <w:r>
        <w:rPr>
          <w:rFonts w:ascii="Microsoft Sans Serif" w:hAnsi="Microsoft Sans Serif" w:cs="Microsoft Sans Serif"/>
          <w:lang w:val="sr-Latn-BA"/>
        </w:rPr>
        <w:t>.</w:t>
      </w:r>
    </w:p>
    <w:p w14:paraId="67B181A5">
      <w:pPr>
        <w:jc w:val="both"/>
        <w:rPr>
          <w:rFonts w:ascii="Microsoft Sans Serif" w:hAnsi="Microsoft Sans Serif" w:cs="Microsoft Sans Serif"/>
          <w:lang w:val="sr-Latn-BA"/>
        </w:rPr>
      </w:pPr>
      <w:r>
        <w:rPr>
          <w:rFonts w:ascii="Microsoft Sans Serif" w:hAnsi="Microsoft Sans Serif" w:cs="Microsoft Sans Serif"/>
          <w:lang w:val="sr-Latn-BA"/>
        </w:rPr>
        <w:t xml:space="preserve">Spoljašnje pakovanje je kartonska kutija koja sadrži 30 kapsula </w:t>
      </w:r>
      <w:r>
        <w:rPr>
          <w:rFonts w:ascii="Microsoft Sans Serif" w:hAnsi="Microsoft Sans Serif" w:cs="Microsoft Sans Serif"/>
          <w:lang w:val="hr-HR"/>
        </w:rPr>
        <w:t xml:space="preserve">(3 blistera po 10 kapsula), </w:t>
      </w:r>
      <w:r>
        <w:rPr>
          <w:rFonts w:ascii="Microsoft Sans Serif" w:hAnsi="Microsoft Sans Serif" w:cs="Microsoft Sans Serif"/>
          <w:lang w:val="sr-Latn-BA"/>
        </w:rPr>
        <w:t>uz priloženo Uputstvo za pacijenta.</w:t>
      </w:r>
    </w:p>
    <w:p w14:paraId="1FC77CC5">
      <w:pPr>
        <w:tabs>
          <w:tab w:val="left" w:pos="567"/>
        </w:tabs>
        <w:jc w:val="both"/>
        <w:rPr>
          <w:rFonts w:ascii="Microsoft Sans Serif" w:hAnsi="Microsoft Sans Serif" w:cs="Microsoft Sans Serif"/>
          <w:b/>
          <w:lang w:val="sr-Latn-BA"/>
        </w:rPr>
      </w:pPr>
    </w:p>
    <w:p w14:paraId="6A74B407">
      <w:pPr>
        <w:tabs>
          <w:tab w:val="left" w:pos="567"/>
        </w:tabs>
        <w:jc w:val="both"/>
        <w:rPr>
          <w:rFonts w:ascii="Microsoft Sans Serif" w:hAnsi="Microsoft Sans Serif" w:cs="Microsoft Sans Serif"/>
          <w:b/>
          <w:lang w:val="sr-Latn-BA"/>
        </w:rPr>
      </w:pPr>
    </w:p>
    <w:p w14:paraId="0AC89828">
      <w:pPr>
        <w:tabs>
          <w:tab w:val="left" w:pos="567"/>
        </w:tabs>
        <w:jc w:val="both"/>
        <w:rPr>
          <w:rFonts w:ascii="Microsoft Sans Serif" w:hAnsi="Microsoft Sans Serif" w:cs="Microsoft Sans Serif"/>
          <w:b/>
          <w:lang w:val="sr-Latn-BA"/>
        </w:rPr>
      </w:pPr>
    </w:p>
    <w:p w14:paraId="430A65A3">
      <w:pPr>
        <w:numPr>
          <w:ilvl w:val="1"/>
          <w:numId w:val="6"/>
        </w:numPr>
        <w:ind w:left="0" w:firstLine="0"/>
        <w:jc w:val="both"/>
        <w:rPr>
          <w:rFonts w:ascii="Microsoft Sans Serif" w:hAnsi="Microsoft Sans Serif" w:cs="Microsoft Sans Serif"/>
          <w:b/>
          <w:lang w:val="sr-Latn-BA"/>
        </w:rPr>
      </w:pPr>
      <w:r>
        <w:rPr>
          <w:rFonts w:ascii="Microsoft Sans Serif" w:hAnsi="Microsoft Sans Serif" w:cs="Microsoft Sans Serif"/>
          <w:b/>
          <w:lang w:val="sr-Latn-BA"/>
        </w:rPr>
        <w:t xml:space="preserve">Uputstvo za upotrebu i rukovanje i posebne mjere za uklanjanje neiskorišćenog lijeka, ili otpadnih materija koji potiču od lijeka </w:t>
      </w:r>
    </w:p>
    <w:p w14:paraId="00E9F06A">
      <w:pPr>
        <w:tabs>
          <w:tab w:val="left" w:pos="567"/>
        </w:tabs>
        <w:jc w:val="both"/>
        <w:rPr>
          <w:rFonts w:ascii="Microsoft Sans Serif" w:hAnsi="Microsoft Sans Serif" w:cs="Microsoft Sans Serif"/>
          <w:lang w:val="sr-Latn-BA"/>
        </w:rPr>
      </w:pPr>
    </w:p>
    <w:p w14:paraId="29B8CFF3">
      <w:pPr>
        <w:tabs>
          <w:tab w:val="left" w:pos="567"/>
        </w:tabs>
        <w:jc w:val="both"/>
        <w:rPr>
          <w:rFonts w:ascii="Microsoft Sans Serif" w:hAnsi="Microsoft Sans Serif" w:cs="Microsoft Sans Serif"/>
          <w:lang w:val="sr-Latn-BA"/>
        </w:rPr>
      </w:pPr>
      <w:r>
        <w:rPr>
          <w:rFonts w:ascii="Microsoft Sans Serif" w:hAnsi="Microsoft Sans Serif" w:cs="Microsoft Sans Serif"/>
          <w:lang w:val="sr-Latn-BA"/>
        </w:rPr>
        <w:t xml:space="preserve">Nema posebnih upozorenja. </w:t>
      </w:r>
    </w:p>
    <w:p w14:paraId="320E7505">
      <w:pPr>
        <w:shd w:val="clear" w:color="auto" w:fill="FFFFFF"/>
        <w:jc w:val="both"/>
        <w:rPr>
          <w:rFonts w:ascii="Microsoft Sans Serif" w:hAnsi="Microsoft Sans Serif" w:cs="Microsoft Sans Serif"/>
          <w:lang w:val="sr-Latn-BA"/>
        </w:rPr>
      </w:pPr>
      <w:r>
        <w:rPr>
          <w:rFonts w:ascii="Microsoft Sans Serif" w:hAnsi="Microsoft Sans Serif" w:cs="Microsoft Sans Serif"/>
          <w:lang w:val="sr-Latn-BA"/>
        </w:rPr>
        <w:t>Neiskorišten lijek ili ambalažu odlagati prema lokalnim propisima za odlaganje farmaceuskog otpada.</w:t>
      </w:r>
    </w:p>
    <w:p w14:paraId="6FAC1AB1">
      <w:pPr>
        <w:jc w:val="both"/>
        <w:rPr>
          <w:rFonts w:ascii="Microsoft Sans Serif" w:hAnsi="Microsoft Sans Serif" w:cs="Microsoft Sans Serif"/>
          <w:b/>
          <w:lang w:val="sr-Latn-BA"/>
        </w:rPr>
      </w:pPr>
    </w:p>
    <w:p w14:paraId="3888E0A4">
      <w:pPr>
        <w:numPr>
          <w:ilvl w:val="1"/>
          <w:numId w:val="6"/>
        </w:numPr>
        <w:ind w:left="0" w:firstLine="0"/>
        <w:jc w:val="both"/>
        <w:rPr>
          <w:rFonts w:ascii="Microsoft Sans Serif" w:hAnsi="Microsoft Sans Serif" w:cs="Microsoft Sans Serif"/>
          <w:b/>
          <w:lang w:val="sr-Latn-BA"/>
        </w:rPr>
      </w:pPr>
      <w:r>
        <w:rPr>
          <w:rFonts w:ascii="Microsoft Sans Serif" w:hAnsi="Microsoft Sans Serif" w:cs="Microsoft Sans Serif"/>
          <w:b/>
          <w:lang w:val="sr-Latn-BA"/>
        </w:rPr>
        <w:t>Režim izdavanja</w:t>
      </w:r>
    </w:p>
    <w:p w14:paraId="761EB7D6">
      <w:pPr>
        <w:tabs>
          <w:tab w:val="left" w:pos="567"/>
        </w:tabs>
        <w:jc w:val="both"/>
        <w:rPr>
          <w:rFonts w:ascii="Microsoft Sans Serif" w:hAnsi="Microsoft Sans Serif" w:cs="Microsoft Sans Serif"/>
          <w:lang w:val="sr-Latn-BA"/>
        </w:rPr>
      </w:pPr>
    </w:p>
    <w:p w14:paraId="137F78CB">
      <w:pPr>
        <w:shd w:val="clear" w:color="auto" w:fill="FFFFFF"/>
        <w:jc w:val="both"/>
        <w:rPr>
          <w:rFonts w:ascii="Microsoft Sans Serif" w:hAnsi="Microsoft Sans Serif" w:cs="Microsoft Sans Serif"/>
          <w:lang w:val="sr-Latn-BA"/>
        </w:rPr>
      </w:pPr>
      <w:r>
        <w:rPr>
          <w:rFonts w:ascii="Microsoft Sans Serif" w:hAnsi="Microsoft Sans Serif" w:cs="Microsoft Sans Serif"/>
          <w:lang w:val="sr-Latn-BA"/>
        </w:rPr>
        <w:t>Lijek se izdaje uz ljekarski recept.</w:t>
      </w:r>
    </w:p>
    <w:p w14:paraId="1C49B487">
      <w:pPr>
        <w:tabs>
          <w:tab w:val="left" w:pos="567"/>
        </w:tabs>
        <w:jc w:val="both"/>
        <w:rPr>
          <w:rFonts w:ascii="Microsoft Sans Serif" w:hAnsi="Microsoft Sans Serif" w:cs="Microsoft Sans Serif"/>
          <w:lang w:val="sr-Latn-BA"/>
        </w:rPr>
      </w:pPr>
    </w:p>
    <w:p w14:paraId="529F5C09">
      <w:pPr>
        <w:tabs>
          <w:tab w:val="left" w:pos="567"/>
        </w:tabs>
        <w:jc w:val="both"/>
        <w:rPr>
          <w:rFonts w:ascii="Microsoft Sans Serif" w:hAnsi="Microsoft Sans Serif" w:cs="Microsoft Sans Serif"/>
          <w:lang w:val="sr-Latn-BA"/>
        </w:rPr>
      </w:pPr>
    </w:p>
    <w:p w14:paraId="469A9990">
      <w:pPr>
        <w:tabs>
          <w:tab w:val="left" w:pos="567"/>
        </w:tabs>
        <w:rPr>
          <w:rFonts w:ascii="Microsoft Sans Serif" w:hAnsi="Microsoft Sans Serif" w:cs="Microsoft Sans Serif"/>
          <w:b/>
          <w:lang w:val="sr-Latn-BA"/>
        </w:rPr>
      </w:pPr>
      <w:r>
        <w:rPr>
          <w:rFonts w:ascii="Microsoft Sans Serif" w:hAnsi="Microsoft Sans Serif" w:cs="Microsoft Sans Serif"/>
          <w:b/>
          <w:lang w:val="sr-Latn-BA"/>
        </w:rPr>
        <w:t>7.</w:t>
      </w:r>
      <w:r>
        <w:rPr>
          <w:rFonts w:ascii="Microsoft Sans Serif" w:hAnsi="Microsoft Sans Serif" w:cs="Microsoft Sans Serif"/>
          <w:b/>
          <w:lang w:val="sr-Latn-BA"/>
        </w:rPr>
        <w:tab/>
      </w:r>
      <w:r>
        <w:rPr>
          <w:rFonts w:ascii="Microsoft Sans Serif" w:hAnsi="Microsoft Sans Serif" w:cs="Microsoft Sans Serif"/>
          <w:b/>
          <w:lang w:val="sr-Latn-BA"/>
        </w:rPr>
        <w:tab/>
      </w:r>
      <w:r>
        <w:rPr>
          <w:rFonts w:ascii="Microsoft Sans Serif" w:hAnsi="Microsoft Sans Serif" w:cs="Microsoft Sans Serif"/>
          <w:b/>
          <w:lang w:val="sr-Latn-BA"/>
        </w:rPr>
        <w:t>PROIZVOĐAČ</w:t>
      </w:r>
    </w:p>
    <w:p w14:paraId="3402106A">
      <w:pPr>
        <w:rPr>
          <w:rFonts w:ascii="Microsoft Sans Serif" w:hAnsi="Microsoft Sans Serif" w:cs="Microsoft Sans Serif"/>
          <w:b/>
          <w:lang w:val="sr-Latn-BA"/>
        </w:rPr>
      </w:pPr>
    </w:p>
    <w:p w14:paraId="4E3C89F3">
      <w:pPr>
        <w:rPr>
          <w:rFonts w:ascii="Microsoft Sans Serif" w:hAnsi="Microsoft Sans Serif" w:cs="Microsoft Sans Serif"/>
          <w:lang w:val="sr-Latn-BA"/>
        </w:rPr>
      </w:pPr>
      <w:r>
        <w:rPr>
          <w:rFonts w:ascii="Microsoft Sans Serif" w:hAnsi="Microsoft Sans Serif" w:cs="Microsoft Sans Serif"/>
          <w:lang w:val="sr-Latn-BA"/>
        </w:rPr>
        <w:t>ALKALOID AD Skopje</w:t>
      </w:r>
    </w:p>
    <w:p w14:paraId="7C051D04">
      <w:pPr>
        <w:rPr>
          <w:rFonts w:ascii="Microsoft Sans Serif" w:hAnsi="Microsoft Sans Serif" w:cs="Microsoft Sans Serif"/>
          <w:lang w:val="sr-Latn-BA"/>
        </w:rPr>
      </w:pPr>
      <w:r>
        <w:rPr>
          <w:rFonts w:ascii="Microsoft Sans Serif" w:hAnsi="Microsoft Sans Serif" w:cs="Microsoft Sans Serif"/>
          <w:lang w:val="sr-Latn-BA"/>
        </w:rPr>
        <w:t>Bul. Aleksandar Makedonski 12</w:t>
      </w:r>
    </w:p>
    <w:p w14:paraId="21963741">
      <w:pPr>
        <w:rPr>
          <w:rFonts w:ascii="Microsoft Sans Serif" w:hAnsi="Microsoft Sans Serif" w:cs="Microsoft Sans Serif"/>
          <w:lang w:val="sr-Latn-BA"/>
        </w:rPr>
      </w:pPr>
      <w:r>
        <w:rPr>
          <w:rFonts w:ascii="Microsoft Sans Serif" w:hAnsi="Microsoft Sans Serif" w:cs="Microsoft Sans Serif"/>
          <w:lang w:val="sr-Latn-BA"/>
        </w:rPr>
        <w:t>1000 Skopje, Republika Severna Makedonija</w:t>
      </w:r>
    </w:p>
    <w:p w14:paraId="1AD27ADA">
      <w:pPr>
        <w:rPr>
          <w:rFonts w:ascii="Microsoft Sans Serif" w:hAnsi="Microsoft Sans Serif" w:cs="Microsoft Sans Serif"/>
          <w:b/>
          <w:lang w:val="sr-Latn-BA"/>
        </w:rPr>
      </w:pPr>
    </w:p>
    <w:p w14:paraId="17BFC68E">
      <w:pPr>
        <w:rPr>
          <w:rFonts w:ascii="Microsoft Sans Serif" w:hAnsi="Microsoft Sans Serif" w:cs="Microsoft Sans Serif"/>
          <w:b/>
          <w:lang w:val="sr-Latn-BA"/>
        </w:rPr>
      </w:pPr>
      <w:r>
        <w:rPr>
          <w:rFonts w:ascii="Microsoft Sans Serif" w:hAnsi="Microsoft Sans Serif" w:cs="Microsoft Sans Serif"/>
          <w:b/>
          <w:lang w:val="sr-Latn-BA"/>
        </w:rPr>
        <w:t>Proizvođač gotovog lijeka</w:t>
      </w:r>
    </w:p>
    <w:p w14:paraId="3330E265">
      <w:pPr>
        <w:rPr>
          <w:rFonts w:ascii="Microsoft Sans Serif" w:hAnsi="Microsoft Sans Serif" w:cs="Microsoft Sans Serif"/>
          <w:lang w:val="sr-Latn-BA"/>
        </w:rPr>
      </w:pPr>
      <w:r>
        <w:rPr>
          <w:rFonts w:ascii="Microsoft Sans Serif" w:hAnsi="Microsoft Sans Serif" w:cs="Microsoft Sans Serif"/>
          <w:lang w:val="sr-Latn-BA"/>
        </w:rPr>
        <w:t xml:space="preserve">ALKALOID AD Skopje </w:t>
      </w:r>
    </w:p>
    <w:p w14:paraId="11E78A20">
      <w:pPr>
        <w:rPr>
          <w:rFonts w:ascii="Microsoft Sans Serif" w:hAnsi="Microsoft Sans Serif" w:cs="Microsoft Sans Serif"/>
          <w:lang w:val="sr-Latn-BA"/>
        </w:rPr>
      </w:pPr>
      <w:r>
        <w:rPr>
          <w:rFonts w:ascii="Microsoft Sans Serif" w:hAnsi="Microsoft Sans Serif" w:cs="Microsoft Sans Serif"/>
          <w:lang w:val="sr-Latn-BA"/>
        </w:rPr>
        <w:t>Bul. Aleksandar Makedonski 12</w:t>
      </w:r>
    </w:p>
    <w:p w14:paraId="7FC18A2A">
      <w:pPr>
        <w:rPr>
          <w:rFonts w:ascii="Microsoft Sans Serif" w:hAnsi="Microsoft Sans Serif" w:cs="Microsoft Sans Serif"/>
          <w:lang w:val="sr-Latn-BA"/>
        </w:rPr>
      </w:pPr>
      <w:r>
        <w:rPr>
          <w:rFonts w:ascii="Microsoft Sans Serif" w:hAnsi="Microsoft Sans Serif" w:cs="Microsoft Sans Serif"/>
          <w:lang w:val="sr-Latn-BA"/>
        </w:rPr>
        <w:t>1000 Skopje, Republika Severna Makedonija</w:t>
      </w:r>
    </w:p>
    <w:p w14:paraId="3EDE66DE">
      <w:pPr>
        <w:rPr>
          <w:rFonts w:ascii="Microsoft Sans Serif" w:hAnsi="Microsoft Sans Serif" w:cs="Microsoft Sans Serif"/>
          <w:b/>
          <w:lang w:val="sr-Latn-BA"/>
        </w:rPr>
      </w:pPr>
    </w:p>
    <w:p w14:paraId="751D24FE">
      <w:pPr>
        <w:rPr>
          <w:rFonts w:ascii="Microsoft Sans Serif" w:hAnsi="Microsoft Sans Serif" w:cs="Microsoft Sans Serif"/>
          <w:b/>
          <w:lang w:val="sr-Latn-BA"/>
        </w:rPr>
      </w:pPr>
      <w:r>
        <w:rPr>
          <w:rFonts w:ascii="Microsoft Sans Serif" w:hAnsi="Microsoft Sans Serif" w:cs="Microsoft Sans Serif"/>
          <w:b/>
          <w:lang w:val="sr-Latn-BA"/>
        </w:rPr>
        <w:t>Nosilac dozvole za stavljanje gotovog lijeka u promet</w:t>
      </w:r>
    </w:p>
    <w:p w14:paraId="7A211603">
      <w:pPr>
        <w:pStyle w:val="14"/>
        <w:tabs>
          <w:tab w:val="clear" w:pos="4320"/>
          <w:tab w:val="clear" w:pos="8640"/>
        </w:tabs>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ALKALOID d.o.o. Sarajevo </w:t>
      </w:r>
    </w:p>
    <w:p w14:paraId="6256671A">
      <w:pPr>
        <w:jc w:val="both"/>
        <w:rPr>
          <w:rFonts w:ascii="Microsoft Sans Serif" w:hAnsi="Microsoft Sans Serif" w:cs="Microsoft Sans Serif"/>
          <w:lang w:val="sr-Latn-BA"/>
        </w:rPr>
      </w:pPr>
      <w:r>
        <w:rPr>
          <w:rFonts w:ascii="Microsoft Sans Serif" w:hAnsi="Microsoft Sans Serif" w:cs="Microsoft Sans Serif"/>
          <w:lang w:val="sr-Latn-BA"/>
        </w:rPr>
        <w:t>Isevića sokak 6, Sarajevo</w:t>
      </w:r>
    </w:p>
    <w:p w14:paraId="27BE2D95">
      <w:pPr>
        <w:jc w:val="both"/>
        <w:rPr>
          <w:rFonts w:ascii="Microsoft Sans Serif" w:hAnsi="Microsoft Sans Serif" w:cs="Microsoft Sans Serif"/>
          <w:lang w:val="sr-Latn-BA"/>
        </w:rPr>
      </w:pPr>
      <w:r>
        <w:rPr>
          <w:rFonts w:ascii="Microsoft Sans Serif" w:hAnsi="Microsoft Sans Serif" w:cs="Microsoft Sans Serif"/>
          <w:lang w:val="sr-Latn-BA"/>
        </w:rPr>
        <w:t>Bosna i Hercegovina</w:t>
      </w:r>
    </w:p>
    <w:p w14:paraId="45E77E80">
      <w:pPr>
        <w:jc w:val="both"/>
        <w:rPr>
          <w:rFonts w:ascii="Microsoft Sans Serif" w:hAnsi="Microsoft Sans Serif" w:cs="Microsoft Sans Serif"/>
          <w:lang w:val="sr-Latn-BA"/>
        </w:rPr>
      </w:pPr>
    </w:p>
    <w:p w14:paraId="5CECD861">
      <w:pPr>
        <w:tabs>
          <w:tab w:val="left" w:pos="567"/>
        </w:tabs>
        <w:jc w:val="both"/>
        <w:rPr>
          <w:rFonts w:ascii="Microsoft Sans Serif" w:hAnsi="Microsoft Sans Serif" w:cs="Microsoft Sans Serif"/>
          <w:lang w:val="sr-Latn-BA"/>
        </w:rPr>
      </w:pPr>
    </w:p>
    <w:p w14:paraId="0535DFF4">
      <w:pPr>
        <w:tabs>
          <w:tab w:val="left" w:pos="360"/>
        </w:tabs>
        <w:jc w:val="both"/>
        <w:rPr>
          <w:rFonts w:ascii="Microsoft Sans Serif" w:hAnsi="Microsoft Sans Serif" w:cs="Microsoft Sans Serif"/>
          <w:b/>
          <w:lang w:val="sr-Latn-BA"/>
        </w:rPr>
      </w:pPr>
      <w:r>
        <w:rPr>
          <w:rFonts w:ascii="Microsoft Sans Serif" w:hAnsi="Microsoft Sans Serif" w:cs="Microsoft Sans Serif"/>
          <w:b/>
          <w:lang w:val="sr-Latn-BA"/>
        </w:rPr>
        <w:t>8.</w:t>
      </w:r>
      <w:r>
        <w:rPr>
          <w:rFonts w:ascii="Microsoft Sans Serif" w:hAnsi="Microsoft Sans Serif" w:cs="Microsoft Sans Serif"/>
          <w:b/>
          <w:lang w:val="sr-Latn-BA"/>
        </w:rPr>
        <w:tab/>
      </w:r>
      <w:r>
        <w:rPr>
          <w:rFonts w:ascii="Microsoft Sans Serif" w:hAnsi="Microsoft Sans Serif" w:cs="Microsoft Sans Serif"/>
          <w:b/>
          <w:lang w:val="sr-Latn-BA"/>
        </w:rPr>
        <w:tab/>
      </w:r>
      <w:r>
        <w:rPr>
          <w:rFonts w:ascii="Microsoft Sans Serif" w:hAnsi="Microsoft Sans Serif" w:cs="Microsoft Sans Serif"/>
          <w:b/>
          <w:lang w:val="sr-Latn-BA"/>
        </w:rPr>
        <w:t>BROJ I DATUM RJEŠENJA O DOZVOLI ZA STAVLJANJE GOTOVOG LIJEKA U PROMET</w:t>
      </w:r>
    </w:p>
    <w:p w14:paraId="7EDD3787">
      <w:pPr>
        <w:jc w:val="both"/>
        <w:rPr>
          <w:rFonts w:ascii="Microsoft Sans Serif" w:hAnsi="Microsoft Sans Serif" w:cs="Microsoft Sans Serif"/>
          <w:b/>
          <w:lang w:val="sr-Latn-BA"/>
        </w:rPr>
      </w:pPr>
    </w:p>
    <w:p w14:paraId="5B3E8052">
      <w:pPr>
        <w:autoSpaceDE w:val="0"/>
        <w:autoSpaceDN w:val="0"/>
        <w:adjustRightInd w:val="0"/>
        <w:rPr>
          <w:rFonts w:ascii="Microsoft Sans Serif" w:hAnsi="Microsoft Sans Serif" w:cs="Microsoft Sans Serif"/>
          <w:lang w:val="sv-SE" w:eastAsia="en-US"/>
        </w:rPr>
      </w:pPr>
      <w:r>
        <w:rPr>
          <w:rFonts w:ascii="Microsoft Sans Serif" w:hAnsi="Microsoft Sans Serif" w:cs="Microsoft Sans Serif"/>
          <w:lang w:val="mk-MK" w:eastAsia="en-US"/>
        </w:rPr>
        <w:t>ZANFEXA XR 75 mg,</w:t>
      </w:r>
      <w:r>
        <w:rPr>
          <w:rFonts w:ascii="Microsoft Sans Serif" w:hAnsi="Microsoft Sans Serif" w:cs="Microsoft Sans Serif"/>
          <w:lang w:val="hr-BA" w:eastAsia="en-US"/>
        </w:rPr>
        <w:t xml:space="preserve"> </w:t>
      </w:r>
      <w:r>
        <w:rPr>
          <w:rFonts w:ascii="Microsoft Sans Serif" w:hAnsi="Microsoft Sans Serif" w:cs="Microsoft Sans Serif"/>
          <w:lang w:val="mk-MK" w:eastAsia="en-US"/>
        </w:rPr>
        <w:t>kapsula sa produženim oslobađanjem,</w:t>
      </w:r>
      <w:r>
        <w:rPr>
          <w:rFonts w:ascii="Microsoft Sans Serif" w:hAnsi="Microsoft Sans Serif" w:cs="Microsoft Sans Serif"/>
          <w:lang w:val="hr-BA" w:eastAsia="en-US"/>
        </w:rPr>
        <w:t xml:space="preserve"> </w:t>
      </w:r>
      <w:r>
        <w:rPr>
          <w:rFonts w:ascii="Microsoft Sans Serif" w:hAnsi="Microsoft Sans Serif" w:cs="Microsoft Sans Serif"/>
          <w:lang w:val="mk-MK" w:eastAsia="en-US"/>
        </w:rPr>
        <w:t>tvrda:</w:t>
      </w:r>
      <w:r>
        <w:rPr>
          <w:rFonts w:ascii="MicrosoftSansSerif" w:hAnsi="MicrosoftSansSerif" w:cs="MicrosoftSansSerif"/>
          <w:lang w:val="sv-SE" w:eastAsia="en-US"/>
        </w:rPr>
        <w:t xml:space="preserve"> </w:t>
      </w:r>
      <w:r>
        <w:rPr>
          <w:rFonts w:ascii="Microsoft Sans Serif" w:hAnsi="Microsoft Sans Serif" w:cs="Microsoft Sans Serif"/>
          <w:lang w:val="sr-Latn-BA"/>
        </w:rPr>
        <w:t>04-07.3-2-10323/20 od 05.04.2022.</w:t>
      </w:r>
    </w:p>
    <w:p w14:paraId="07CDA4C1">
      <w:pPr>
        <w:rPr>
          <w:rFonts w:ascii="Microsoft Sans Serif" w:hAnsi="Microsoft Sans Serif" w:cs="Microsoft Sans Serif"/>
          <w:b/>
          <w:i/>
          <w:highlight w:val="yellow"/>
          <w:lang w:val="sv-SE"/>
        </w:rPr>
      </w:pPr>
      <w:r>
        <w:rPr>
          <w:rFonts w:ascii="Microsoft Sans Serif" w:hAnsi="Microsoft Sans Serif" w:cs="Microsoft Sans Serif"/>
          <w:lang w:val="mk-MK" w:eastAsia="en-US"/>
        </w:rPr>
        <w:t>ZANFEXA XR 150 mg,</w:t>
      </w:r>
      <w:r>
        <w:rPr>
          <w:rFonts w:ascii="Microsoft Sans Serif" w:hAnsi="Microsoft Sans Serif" w:cs="Microsoft Sans Serif"/>
          <w:lang w:val="hr-BA" w:eastAsia="en-US"/>
        </w:rPr>
        <w:t xml:space="preserve"> </w:t>
      </w:r>
      <w:r>
        <w:rPr>
          <w:rFonts w:ascii="Microsoft Sans Serif" w:hAnsi="Microsoft Sans Serif" w:cs="Microsoft Sans Serif"/>
          <w:lang w:val="mk-MK" w:eastAsia="en-US"/>
        </w:rPr>
        <w:t>kapsula sa produženim oslobađanjem,</w:t>
      </w:r>
      <w:r>
        <w:rPr>
          <w:rFonts w:ascii="Microsoft Sans Serif" w:hAnsi="Microsoft Sans Serif" w:cs="Microsoft Sans Serif"/>
          <w:lang w:val="hr-BA" w:eastAsia="en-US"/>
        </w:rPr>
        <w:t xml:space="preserve"> </w:t>
      </w:r>
      <w:r>
        <w:rPr>
          <w:rFonts w:ascii="Microsoft Sans Serif" w:hAnsi="Microsoft Sans Serif" w:cs="Microsoft Sans Serif"/>
          <w:lang w:val="mk-MK" w:eastAsia="en-US"/>
        </w:rPr>
        <w:t xml:space="preserve">tvrda: </w:t>
      </w:r>
      <w:r>
        <w:rPr>
          <w:rFonts w:ascii="Microsoft Sans Serif" w:hAnsi="Microsoft Sans Serif" w:cs="Microsoft Sans Serif"/>
          <w:lang w:val="sr-Latn-BA"/>
        </w:rPr>
        <w:t>04-07.3-2-10324/20 od 05.04.2022.</w:t>
      </w:r>
    </w:p>
    <w:p w14:paraId="77364738">
      <w:pPr>
        <w:jc w:val="both"/>
        <w:rPr>
          <w:rFonts w:ascii="Microsoft Sans Serif" w:hAnsi="Microsoft Sans Serif" w:cs="Microsoft Sans Serif"/>
          <w:b/>
          <w:lang w:val="sr-Latn-BA"/>
        </w:rPr>
      </w:pPr>
    </w:p>
    <w:p w14:paraId="785717A4">
      <w:pPr>
        <w:tabs>
          <w:tab w:val="left" w:pos="360"/>
        </w:tabs>
        <w:jc w:val="both"/>
        <w:rPr>
          <w:rFonts w:ascii="Microsoft Sans Serif" w:hAnsi="Microsoft Sans Serif" w:cs="Microsoft Sans Serif"/>
          <w:lang w:val="sr-Latn-BA"/>
        </w:rPr>
      </w:pPr>
      <w:r>
        <w:rPr>
          <w:rFonts w:ascii="Microsoft Sans Serif" w:hAnsi="Microsoft Sans Serif" w:cs="Microsoft Sans Serif"/>
          <w:b/>
          <w:lang w:val="sr-Latn-BA"/>
        </w:rPr>
        <w:t>9.</w:t>
      </w:r>
      <w:r>
        <w:rPr>
          <w:rFonts w:ascii="Microsoft Sans Serif" w:hAnsi="Microsoft Sans Serif" w:cs="Microsoft Sans Serif"/>
          <w:b/>
          <w:lang w:val="sr-Latn-BA"/>
        </w:rPr>
        <w:tab/>
      </w:r>
      <w:r>
        <w:rPr>
          <w:rFonts w:ascii="Microsoft Sans Serif" w:hAnsi="Microsoft Sans Serif" w:cs="Microsoft Sans Serif"/>
          <w:b/>
          <w:lang w:val="sr-Latn-BA"/>
        </w:rPr>
        <w:tab/>
      </w:r>
      <w:r>
        <w:rPr>
          <w:rFonts w:ascii="Microsoft Sans Serif" w:hAnsi="Microsoft Sans Serif" w:cs="Microsoft Sans Serif"/>
          <w:b/>
          <w:lang w:val="sr-Latn-BA"/>
        </w:rPr>
        <w:t>DATUM REVIZIJE SAŽETKA KARAKTERISTIKA LIJEKA</w:t>
      </w:r>
    </w:p>
    <w:p w14:paraId="4032E8C9">
      <w:pPr>
        <w:pStyle w:val="14"/>
        <w:tabs>
          <w:tab w:val="clear" w:pos="4320"/>
          <w:tab w:val="clear" w:pos="8640"/>
        </w:tabs>
        <w:jc w:val="both"/>
        <w:rPr>
          <w:rFonts w:ascii="Microsoft Sans Serif" w:hAnsi="Microsoft Sans Serif" w:cs="Microsoft Sans Serif"/>
          <w:sz w:val="20"/>
          <w:lang w:val="sr-Latn-BA"/>
        </w:rPr>
      </w:pPr>
    </w:p>
    <w:p w14:paraId="7C194ABF">
      <w:pPr>
        <w:jc w:val="both"/>
        <w:rPr>
          <w:rFonts w:ascii="Microsoft Sans Serif" w:hAnsi="Microsoft Sans Serif" w:cs="Microsoft Sans Serif"/>
          <w:lang w:val="sr-Latn-BA"/>
        </w:rPr>
      </w:pPr>
      <w:r>
        <w:rPr>
          <w:rFonts w:ascii="Microsoft Sans Serif" w:hAnsi="Microsoft Sans Serif" w:cs="Microsoft Sans Serif"/>
          <w:lang w:val="sr-Latn-BA"/>
        </w:rPr>
        <w:t>Novembar, 2023. g.</w:t>
      </w:r>
    </w:p>
    <w:sectPr>
      <w:headerReference r:id="rId3" w:type="first"/>
      <w:footerReference r:id="rId6" w:type="first"/>
      <w:footerReference r:id="rId4" w:type="default"/>
      <w:footerReference r:id="rId5" w:type="even"/>
      <w:type w:val="continuous"/>
      <w:pgSz w:w="11907" w:h="16840"/>
      <w:pgMar w:top="2552" w:right="1134" w:bottom="1134" w:left="1418" w:header="737" w:footer="737"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Sans Serif">
    <w:panose1 w:val="020B0604020202020204"/>
    <w:charset w:val="00"/>
    <w:family w:val="swiss"/>
    <w:pitch w:val="default"/>
    <w:sig w:usb0="E5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Perpetua Titling MT">
    <w:altName w:val="PMingLiU-ExtB"/>
    <w:panose1 w:val="02020502060505020804"/>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MicrosoftSansSerif">
    <w:altName w:val="Calibri"/>
    <w:panose1 w:val="00000000000000000000"/>
    <w:charset w:val="00"/>
    <w:family w:val="swiss"/>
    <w:pitch w:val="default"/>
    <w:sig w:usb0="00000000"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2A331">
    <w:pPr>
      <w:pStyle w:val="13"/>
      <w:framePr w:wrap="auto" w:vAnchor="text" w:hAnchor="margin" w:xAlign="right" w:y="1"/>
      <w:rPr>
        <w:rStyle w:val="17"/>
        <w:sz w:val="20"/>
      </w:rPr>
    </w:pPr>
    <w:r>
      <w:rPr>
        <w:rStyle w:val="17"/>
        <w:sz w:val="20"/>
      </w:rPr>
      <w:fldChar w:fldCharType="begin"/>
    </w:r>
    <w:r>
      <w:rPr>
        <w:rStyle w:val="17"/>
        <w:sz w:val="20"/>
      </w:rPr>
      <w:instrText xml:space="preserve">PAGE  </w:instrText>
    </w:r>
    <w:r>
      <w:rPr>
        <w:rStyle w:val="17"/>
        <w:sz w:val="20"/>
      </w:rPr>
      <w:fldChar w:fldCharType="separate"/>
    </w:r>
    <w:r>
      <w:rPr>
        <w:rStyle w:val="17"/>
        <w:sz w:val="20"/>
      </w:rPr>
      <w:t>17</w:t>
    </w:r>
    <w:r>
      <w:rPr>
        <w:rStyle w:val="17"/>
        <w:sz w:val="20"/>
      </w:rPr>
      <w:fldChar w:fldCharType="end"/>
    </w:r>
  </w:p>
  <w:p w14:paraId="5A4B4F50">
    <w:pPr>
      <w:pStyle w:val="13"/>
      <w:jc w:val="cente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34B42">
    <w:pPr>
      <w:pStyle w:val="13"/>
      <w:framePr w:wrap="auto" w:vAnchor="text" w:hAnchor="margin" w:xAlign="right" w:y="1"/>
      <w:rPr>
        <w:rStyle w:val="17"/>
      </w:rPr>
    </w:pPr>
    <w:r>
      <w:rPr>
        <w:rStyle w:val="17"/>
      </w:rPr>
      <w:fldChar w:fldCharType="begin"/>
    </w:r>
    <w:r>
      <w:rPr>
        <w:rStyle w:val="17"/>
      </w:rPr>
      <w:instrText xml:space="preserve">PAGE  </w:instrText>
    </w:r>
    <w:r>
      <w:rPr>
        <w:rStyle w:val="17"/>
      </w:rPr>
      <w:fldChar w:fldCharType="end"/>
    </w:r>
  </w:p>
  <w:p w14:paraId="173B18C4">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48383">
    <w:pPr>
      <w:pStyle w:val="13"/>
      <w:rPr>
        <w:sz w:val="18"/>
        <w:szCs w:val="18"/>
        <w:lang w:val="en-US"/>
      </w:rPr>
    </w:pPr>
    <w:r>
      <w:rPr>
        <w:sz w:val="18"/>
        <w:szCs w:val="18"/>
        <w:lang w:val="en-US"/>
      </w:rPr>
      <w:t xml:space="preserve">September, 2005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F0610">
    <w:pPr>
      <w:pStyle w:val="13"/>
      <w:pBdr>
        <w:bottom w:val="single" w:color="auto" w:sz="6" w:space="1"/>
      </w:pBdr>
      <w:tabs>
        <w:tab w:val="clear" w:pos="4320"/>
        <w:tab w:val="clear" w:pos="8640"/>
      </w:tabs>
      <w:jc w:val="both"/>
      <w:rPr>
        <w:lang w:val="en-US"/>
      </w:rPr>
    </w:pPr>
    <w:r>
      <w:rPr>
        <w:b/>
      </w:rPr>
      <w:t>Venlafaxin</w:t>
    </w:r>
    <w:r>
      <w:rPr>
        <w:b/>
        <w:vertAlign w:val="superscript"/>
      </w:rPr>
      <w:t>®</w:t>
    </w:r>
    <w:r>
      <w:rPr>
        <w:b/>
      </w:rPr>
      <w:tab/>
    </w:r>
    <w:r>
      <w:rPr>
        <w:b/>
      </w:rPr>
      <w:tab/>
    </w:r>
    <w:r>
      <w:rPr>
        <w:b/>
      </w:rPr>
      <w:tab/>
    </w:r>
    <w:r>
      <w:rPr>
        <w:b/>
      </w:rPr>
      <w:tab/>
    </w:r>
    <w:r>
      <w:tab/>
    </w:r>
    <w:r>
      <w:t xml:space="preserve">                                                 </w:t>
    </w:r>
    <w:r>
      <w:rPr>
        <w:sz w:val="20"/>
      </w:rPr>
      <w:object>
        <v:shape id="_x0000_i1025" o:spt="75" type="#_x0000_t75" style="height:30.6pt;width:60pt;" o:ole="t" fillcolor="#FFFFFF" filled="f" o:preferrelative="t" stroked="f" coordsize="21600,21600">
          <v:path/>
          <v:fill on="f" focussize="0,0"/>
          <v:stroke on="f" joinstyle="miter"/>
          <v:imagedata r:id="rId2" o:title=""/>
          <o:lock v:ext="edit" aspectratio="t"/>
          <w10:wrap type="none"/>
          <w10:anchorlock/>
        </v:shape>
        <o:OLEObject Type="Embed" ProgID="Word.Picture.8" ShapeID="_x0000_i1025" DrawAspect="Content" ObjectID="_1468075725" r:id="rId1">
          <o:LockedField>false</o:LockedField>
        </o:OLEObject>
      </w:object>
    </w:r>
    <w:r>
      <w:t xml:space="preserve">                                                                                                                                                             </w:t>
    </w:r>
  </w:p>
  <w:p w14:paraId="19884E7C">
    <w:pPr>
      <w:pStyle w:val="14"/>
      <w:ind w:right="360"/>
      <w:rPr>
        <w:b/>
        <w:sz w:val="18"/>
        <w:szCs w:val="18"/>
      </w:rPr>
    </w:pPr>
    <w:r>
      <w:rPr>
        <w:i/>
        <w:sz w:val="18"/>
        <w:szCs w:val="18"/>
      </w:rPr>
      <w:t>Summary of Product Characteristics</w:t>
    </w:r>
  </w:p>
  <w:p w14:paraId="1D37A724">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CB60ED"/>
    <w:multiLevelType w:val="multilevel"/>
    <w:tmpl w:val="05CB60ED"/>
    <w:lvl w:ilvl="0" w:tentative="0">
      <w:start w:val="4"/>
      <w:numFmt w:val="decimal"/>
      <w:lvlText w:val="%1"/>
      <w:lvlJc w:val="left"/>
      <w:pPr>
        <w:tabs>
          <w:tab w:val="left" w:pos="720"/>
        </w:tabs>
        <w:ind w:left="720" w:hanging="720"/>
      </w:pPr>
      <w:rPr>
        <w:rFonts w:hint="default" w:cs="Times New Roman"/>
      </w:rPr>
    </w:lvl>
    <w:lvl w:ilvl="1" w:tentative="0">
      <w:start w:val="3"/>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440"/>
        </w:tabs>
        <w:ind w:left="1440" w:hanging="1440"/>
      </w:pPr>
      <w:rPr>
        <w:rFonts w:hint="default" w:cs="Times New Roman"/>
      </w:rPr>
    </w:lvl>
  </w:abstractNum>
  <w:abstractNum w:abstractNumId="1">
    <w:nsid w:val="11D728E4"/>
    <w:multiLevelType w:val="multilevel"/>
    <w:tmpl w:val="11D728E4"/>
    <w:lvl w:ilvl="0" w:tentative="0">
      <w:start w:val="0"/>
      <w:numFmt w:val="bullet"/>
      <w:lvlText w:val="-"/>
      <w:lvlJc w:val="left"/>
      <w:pPr>
        <w:ind w:left="720" w:hanging="360"/>
      </w:pPr>
      <w:rPr>
        <w:rFonts w:hint="default" w:ascii="Perpetua Titling MT" w:hAnsi="Perpetua Titling MT" w:cs="Perpetua Titling M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7ED3CDC"/>
    <w:multiLevelType w:val="multilevel"/>
    <w:tmpl w:val="37ED3CDC"/>
    <w:lvl w:ilvl="0" w:tentative="0">
      <w:start w:val="0"/>
      <w:numFmt w:val="bullet"/>
      <w:lvlText w:val="-"/>
      <w:lvlJc w:val="left"/>
      <w:pPr>
        <w:ind w:left="720" w:hanging="360"/>
      </w:pPr>
      <w:rPr>
        <w:rFonts w:hint="default" w:ascii="Perpetua Titling MT" w:hAnsi="Perpetua Titling MT" w:cs="Perpetua Titling M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EA3116A"/>
    <w:multiLevelType w:val="multilevel"/>
    <w:tmpl w:val="4EA3116A"/>
    <w:lvl w:ilvl="0" w:tentative="0">
      <w:start w:val="6"/>
      <w:numFmt w:val="decimal"/>
      <w:lvlText w:val="%1"/>
      <w:lvlJc w:val="left"/>
      <w:pPr>
        <w:tabs>
          <w:tab w:val="left" w:pos="720"/>
        </w:tabs>
        <w:ind w:left="720" w:hanging="720"/>
      </w:pPr>
      <w:rPr>
        <w:rFonts w:hint="default" w:cs="Times New Roman"/>
      </w:rPr>
    </w:lvl>
    <w:lvl w:ilvl="1" w:tentative="0">
      <w:start w:val="6"/>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440"/>
        </w:tabs>
        <w:ind w:left="1440" w:hanging="1440"/>
      </w:pPr>
      <w:rPr>
        <w:rFonts w:hint="default" w:cs="Times New Roman"/>
      </w:rPr>
    </w:lvl>
  </w:abstractNum>
  <w:abstractNum w:abstractNumId="5">
    <w:nsid w:val="652E5381"/>
    <w:multiLevelType w:val="multilevel"/>
    <w:tmpl w:val="652E5381"/>
    <w:lvl w:ilvl="0" w:tentative="0">
      <w:start w:val="4"/>
      <w:numFmt w:val="decimal"/>
      <w:lvlText w:val="%1"/>
      <w:lvlJc w:val="left"/>
      <w:pPr>
        <w:tabs>
          <w:tab w:val="left" w:pos="720"/>
        </w:tabs>
        <w:ind w:left="720" w:hanging="720"/>
      </w:pPr>
      <w:rPr>
        <w:rFonts w:hint="default" w:cs="Times New Roman"/>
      </w:rPr>
    </w:lvl>
    <w:lvl w:ilvl="1" w:tentative="0">
      <w:start w:val="2"/>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oNotHyphenateCaps/>
  <w:displayHorizontalDrawingGridEvery w:val="0"/>
  <w:displayVerticalDrawingGridEvery w:val="0"/>
  <w:doNotUseMarginsForDrawingGridOrigin w:val="1"/>
  <w:drawingGridHorizontalOrigin w:val="1800"/>
  <w:drawingGridVerticalOrigin w:val="1440"/>
  <w:noPunctuationKerning w:val="1"/>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B98"/>
    <w:rsid w:val="00002B9E"/>
    <w:rsid w:val="000079B8"/>
    <w:rsid w:val="00015020"/>
    <w:rsid w:val="000170C4"/>
    <w:rsid w:val="0002376B"/>
    <w:rsid w:val="00023BF9"/>
    <w:rsid w:val="0003299B"/>
    <w:rsid w:val="00034877"/>
    <w:rsid w:val="000374D8"/>
    <w:rsid w:val="000411FF"/>
    <w:rsid w:val="00041D79"/>
    <w:rsid w:val="00042796"/>
    <w:rsid w:val="00043CCB"/>
    <w:rsid w:val="00044148"/>
    <w:rsid w:val="0004494C"/>
    <w:rsid w:val="000463B0"/>
    <w:rsid w:val="0005049F"/>
    <w:rsid w:val="00056A96"/>
    <w:rsid w:val="000578CA"/>
    <w:rsid w:val="00066641"/>
    <w:rsid w:val="00066714"/>
    <w:rsid w:val="00066E5D"/>
    <w:rsid w:val="0007279A"/>
    <w:rsid w:val="00074ED8"/>
    <w:rsid w:val="00074F84"/>
    <w:rsid w:val="00075FAA"/>
    <w:rsid w:val="00077161"/>
    <w:rsid w:val="000819BE"/>
    <w:rsid w:val="00082B86"/>
    <w:rsid w:val="00083F10"/>
    <w:rsid w:val="000846FD"/>
    <w:rsid w:val="000868F2"/>
    <w:rsid w:val="00092959"/>
    <w:rsid w:val="00093059"/>
    <w:rsid w:val="00093331"/>
    <w:rsid w:val="000935A0"/>
    <w:rsid w:val="00093731"/>
    <w:rsid w:val="00096EE0"/>
    <w:rsid w:val="00097233"/>
    <w:rsid w:val="000A2DAD"/>
    <w:rsid w:val="000A60C5"/>
    <w:rsid w:val="000A7311"/>
    <w:rsid w:val="000B165B"/>
    <w:rsid w:val="000B235F"/>
    <w:rsid w:val="000B2997"/>
    <w:rsid w:val="000C0EC1"/>
    <w:rsid w:val="000C448B"/>
    <w:rsid w:val="000C47DB"/>
    <w:rsid w:val="000C4F4B"/>
    <w:rsid w:val="000C5A95"/>
    <w:rsid w:val="000C7B50"/>
    <w:rsid w:val="000D07F8"/>
    <w:rsid w:val="000D0CBA"/>
    <w:rsid w:val="000D1639"/>
    <w:rsid w:val="000D575E"/>
    <w:rsid w:val="000D75A4"/>
    <w:rsid w:val="000D79B6"/>
    <w:rsid w:val="000E4082"/>
    <w:rsid w:val="000E6BAA"/>
    <w:rsid w:val="000F0D13"/>
    <w:rsid w:val="000F11ED"/>
    <w:rsid w:val="000F1C97"/>
    <w:rsid w:val="000F3697"/>
    <w:rsid w:val="000F7930"/>
    <w:rsid w:val="00103BF3"/>
    <w:rsid w:val="00106E64"/>
    <w:rsid w:val="00110AF3"/>
    <w:rsid w:val="0011376E"/>
    <w:rsid w:val="0012190D"/>
    <w:rsid w:val="001219F8"/>
    <w:rsid w:val="00121D62"/>
    <w:rsid w:val="00122251"/>
    <w:rsid w:val="0012555E"/>
    <w:rsid w:val="001257E2"/>
    <w:rsid w:val="00126852"/>
    <w:rsid w:val="00135A07"/>
    <w:rsid w:val="00137C45"/>
    <w:rsid w:val="00143A8F"/>
    <w:rsid w:val="001453D1"/>
    <w:rsid w:val="001478A7"/>
    <w:rsid w:val="00152E32"/>
    <w:rsid w:val="001532FB"/>
    <w:rsid w:val="00154548"/>
    <w:rsid w:val="001610C6"/>
    <w:rsid w:val="0016196B"/>
    <w:rsid w:val="00163146"/>
    <w:rsid w:val="00164E72"/>
    <w:rsid w:val="00164F14"/>
    <w:rsid w:val="00166DAC"/>
    <w:rsid w:val="001676B0"/>
    <w:rsid w:val="00167D19"/>
    <w:rsid w:val="001700D0"/>
    <w:rsid w:val="00174EDA"/>
    <w:rsid w:val="00175690"/>
    <w:rsid w:val="00175750"/>
    <w:rsid w:val="0017673F"/>
    <w:rsid w:val="00181D9D"/>
    <w:rsid w:val="001825F6"/>
    <w:rsid w:val="00185163"/>
    <w:rsid w:val="001853EB"/>
    <w:rsid w:val="001854BC"/>
    <w:rsid w:val="001861F2"/>
    <w:rsid w:val="00187A28"/>
    <w:rsid w:val="00191503"/>
    <w:rsid w:val="00193D34"/>
    <w:rsid w:val="00193FC8"/>
    <w:rsid w:val="001940D7"/>
    <w:rsid w:val="00194C74"/>
    <w:rsid w:val="001976C2"/>
    <w:rsid w:val="001A3D8B"/>
    <w:rsid w:val="001A53FF"/>
    <w:rsid w:val="001A5F8E"/>
    <w:rsid w:val="001B009A"/>
    <w:rsid w:val="001B4DF9"/>
    <w:rsid w:val="001B5D2E"/>
    <w:rsid w:val="001B6451"/>
    <w:rsid w:val="001B6A44"/>
    <w:rsid w:val="001C0D23"/>
    <w:rsid w:val="001C3377"/>
    <w:rsid w:val="001C354B"/>
    <w:rsid w:val="001C618B"/>
    <w:rsid w:val="001C6294"/>
    <w:rsid w:val="001C6C84"/>
    <w:rsid w:val="001C6E5C"/>
    <w:rsid w:val="001C70C7"/>
    <w:rsid w:val="001D7137"/>
    <w:rsid w:val="001E2AC3"/>
    <w:rsid w:val="001E5021"/>
    <w:rsid w:val="001E78AD"/>
    <w:rsid w:val="001F0CD8"/>
    <w:rsid w:val="001F28CC"/>
    <w:rsid w:val="001F372B"/>
    <w:rsid w:val="001F4C20"/>
    <w:rsid w:val="001F5136"/>
    <w:rsid w:val="001F5A06"/>
    <w:rsid w:val="002050D5"/>
    <w:rsid w:val="0020539B"/>
    <w:rsid w:val="002056A8"/>
    <w:rsid w:val="00206821"/>
    <w:rsid w:val="00210428"/>
    <w:rsid w:val="00214493"/>
    <w:rsid w:val="00225514"/>
    <w:rsid w:val="00230B2C"/>
    <w:rsid w:val="00231516"/>
    <w:rsid w:val="002327EC"/>
    <w:rsid w:val="00234546"/>
    <w:rsid w:val="00234E6D"/>
    <w:rsid w:val="00240208"/>
    <w:rsid w:val="00241081"/>
    <w:rsid w:val="002478C6"/>
    <w:rsid w:val="00250CB0"/>
    <w:rsid w:val="002524B6"/>
    <w:rsid w:val="00252600"/>
    <w:rsid w:val="002578C1"/>
    <w:rsid w:val="002601E1"/>
    <w:rsid w:val="00260931"/>
    <w:rsid w:val="00266E79"/>
    <w:rsid w:val="002670D1"/>
    <w:rsid w:val="00273E41"/>
    <w:rsid w:val="00274239"/>
    <w:rsid w:val="002756D9"/>
    <w:rsid w:val="00275CEC"/>
    <w:rsid w:val="00281872"/>
    <w:rsid w:val="00285D8B"/>
    <w:rsid w:val="002933DC"/>
    <w:rsid w:val="00293DED"/>
    <w:rsid w:val="00293EB7"/>
    <w:rsid w:val="00294AD5"/>
    <w:rsid w:val="00294E7E"/>
    <w:rsid w:val="002A2980"/>
    <w:rsid w:val="002A4B7F"/>
    <w:rsid w:val="002A4FFA"/>
    <w:rsid w:val="002A548B"/>
    <w:rsid w:val="002B558B"/>
    <w:rsid w:val="002C155A"/>
    <w:rsid w:val="002C25EF"/>
    <w:rsid w:val="002C2D80"/>
    <w:rsid w:val="002C341D"/>
    <w:rsid w:val="002D47A9"/>
    <w:rsid w:val="002D5902"/>
    <w:rsid w:val="002D6EEF"/>
    <w:rsid w:val="002D7B53"/>
    <w:rsid w:val="002E11D0"/>
    <w:rsid w:val="002E427E"/>
    <w:rsid w:val="002F0A7D"/>
    <w:rsid w:val="002F2933"/>
    <w:rsid w:val="002F2ADA"/>
    <w:rsid w:val="002F336F"/>
    <w:rsid w:val="002F4487"/>
    <w:rsid w:val="002F4D71"/>
    <w:rsid w:val="002F5064"/>
    <w:rsid w:val="002F6B9B"/>
    <w:rsid w:val="002F6F88"/>
    <w:rsid w:val="00300CA2"/>
    <w:rsid w:val="00302CB2"/>
    <w:rsid w:val="0030335C"/>
    <w:rsid w:val="00303407"/>
    <w:rsid w:val="00317E54"/>
    <w:rsid w:val="003308B8"/>
    <w:rsid w:val="003310E2"/>
    <w:rsid w:val="00332A7A"/>
    <w:rsid w:val="00335C8A"/>
    <w:rsid w:val="00341263"/>
    <w:rsid w:val="00342DB6"/>
    <w:rsid w:val="00345976"/>
    <w:rsid w:val="0034653E"/>
    <w:rsid w:val="003506EE"/>
    <w:rsid w:val="00353931"/>
    <w:rsid w:val="00354AD7"/>
    <w:rsid w:val="00357B71"/>
    <w:rsid w:val="00357BFF"/>
    <w:rsid w:val="0036067B"/>
    <w:rsid w:val="00366245"/>
    <w:rsid w:val="003710DC"/>
    <w:rsid w:val="003757D9"/>
    <w:rsid w:val="00376594"/>
    <w:rsid w:val="00376981"/>
    <w:rsid w:val="00382438"/>
    <w:rsid w:val="003863AF"/>
    <w:rsid w:val="00386BC0"/>
    <w:rsid w:val="00386F75"/>
    <w:rsid w:val="00387C1E"/>
    <w:rsid w:val="00387CBF"/>
    <w:rsid w:val="0039423D"/>
    <w:rsid w:val="00394518"/>
    <w:rsid w:val="00394666"/>
    <w:rsid w:val="0039553C"/>
    <w:rsid w:val="00395D90"/>
    <w:rsid w:val="00397140"/>
    <w:rsid w:val="003A2304"/>
    <w:rsid w:val="003A3F8B"/>
    <w:rsid w:val="003B2163"/>
    <w:rsid w:val="003B3180"/>
    <w:rsid w:val="003B3B5C"/>
    <w:rsid w:val="003C046A"/>
    <w:rsid w:val="003C0FBB"/>
    <w:rsid w:val="003C397C"/>
    <w:rsid w:val="003C49BC"/>
    <w:rsid w:val="003C4CE9"/>
    <w:rsid w:val="003C5A6A"/>
    <w:rsid w:val="003C5E4F"/>
    <w:rsid w:val="003D0D98"/>
    <w:rsid w:val="003D5675"/>
    <w:rsid w:val="003D70FE"/>
    <w:rsid w:val="003D7281"/>
    <w:rsid w:val="003D79EF"/>
    <w:rsid w:val="003E128E"/>
    <w:rsid w:val="003E25DF"/>
    <w:rsid w:val="003E28E8"/>
    <w:rsid w:val="003E3F2B"/>
    <w:rsid w:val="003E6D52"/>
    <w:rsid w:val="003F006A"/>
    <w:rsid w:val="003F1A2B"/>
    <w:rsid w:val="003F4340"/>
    <w:rsid w:val="00403383"/>
    <w:rsid w:val="004042EB"/>
    <w:rsid w:val="004118C5"/>
    <w:rsid w:val="00412C2B"/>
    <w:rsid w:val="0041775A"/>
    <w:rsid w:val="00420B3E"/>
    <w:rsid w:val="004214D0"/>
    <w:rsid w:val="0042183E"/>
    <w:rsid w:val="00423D0E"/>
    <w:rsid w:val="00423DD6"/>
    <w:rsid w:val="00425BA0"/>
    <w:rsid w:val="00432F6D"/>
    <w:rsid w:val="0043312D"/>
    <w:rsid w:val="00434F25"/>
    <w:rsid w:val="004370FA"/>
    <w:rsid w:val="00442896"/>
    <w:rsid w:val="0045497E"/>
    <w:rsid w:val="00456565"/>
    <w:rsid w:val="00461C12"/>
    <w:rsid w:val="004627FE"/>
    <w:rsid w:val="00464953"/>
    <w:rsid w:val="00465A45"/>
    <w:rsid w:val="00466023"/>
    <w:rsid w:val="00466145"/>
    <w:rsid w:val="0046762C"/>
    <w:rsid w:val="00477166"/>
    <w:rsid w:val="004802EB"/>
    <w:rsid w:val="0048074C"/>
    <w:rsid w:val="00482DB6"/>
    <w:rsid w:val="004833AE"/>
    <w:rsid w:val="00483BCE"/>
    <w:rsid w:val="00485DCF"/>
    <w:rsid w:val="00486A7E"/>
    <w:rsid w:val="00490DA2"/>
    <w:rsid w:val="00492641"/>
    <w:rsid w:val="00493A2B"/>
    <w:rsid w:val="00493DAB"/>
    <w:rsid w:val="00495049"/>
    <w:rsid w:val="0049668E"/>
    <w:rsid w:val="004971F3"/>
    <w:rsid w:val="00497354"/>
    <w:rsid w:val="004976EC"/>
    <w:rsid w:val="004A1F25"/>
    <w:rsid w:val="004A3466"/>
    <w:rsid w:val="004A7396"/>
    <w:rsid w:val="004B05A8"/>
    <w:rsid w:val="004B30F5"/>
    <w:rsid w:val="004B36E0"/>
    <w:rsid w:val="004B3BF7"/>
    <w:rsid w:val="004B5D24"/>
    <w:rsid w:val="004B64D5"/>
    <w:rsid w:val="004B68BB"/>
    <w:rsid w:val="004C22F2"/>
    <w:rsid w:val="004C49A0"/>
    <w:rsid w:val="004C4CC2"/>
    <w:rsid w:val="004D1283"/>
    <w:rsid w:val="004D24CD"/>
    <w:rsid w:val="004D3643"/>
    <w:rsid w:val="004E27F8"/>
    <w:rsid w:val="004E29E6"/>
    <w:rsid w:val="004E3EC8"/>
    <w:rsid w:val="004E4201"/>
    <w:rsid w:val="004E670C"/>
    <w:rsid w:val="004F20DB"/>
    <w:rsid w:val="004F5FA4"/>
    <w:rsid w:val="004F69A4"/>
    <w:rsid w:val="004F6C5E"/>
    <w:rsid w:val="0050096E"/>
    <w:rsid w:val="0050101F"/>
    <w:rsid w:val="005121F3"/>
    <w:rsid w:val="00513121"/>
    <w:rsid w:val="00513E43"/>
    <w:rsid w:val="00514F3F"/>
    <w:rsid w:val="00515043"/>
    <w:rsid w:val="005163E5"/>
    <w:rsid w:val="0051641E"/>
    <w:rsid w:val="0051683C"/>
    <w:rsid w:val="00516AB8"/>
    <w:rsid w:val="005179ED"/>
    <w:rsid w:val="00521A6C"/>
    <w:rsid w:val="00521D4E"/>
    <w:rsid w:val="00525909"/>
    <w:rsid w:val="00525947"/>
    <w:rsid w:val="00527F88"/>
    <w:rsid w:val="00533E5E"/>
    <w:rsid w:val="00544004"/>
    <w:rsid w:val="00550076"/>
    <w:rsid w:val="005555A6"/>
    <w:rsid w:val="00556419"/>
    <w:rsid w:val="00556E8D"/>
    <w:rsid w:val="00563BB1"/>
    <w:rsid w:val="00570EBF"/>
    <w:rsid w:val="0057122A"/>
    <w:rsid w:val="005716F7"/>
    <w:rsid w:val="00574A52"/>
    <w:rsid w:val="00576591"/>
    <w:rsid w:val="00576FC7"/>
    <w:rsid w:val="00577835"/>
    <w:rsid w:val="00587016"/>
    <w:rsid w:val="00590CFC"/>
    <w:rsid w:val="0059586D"/>
    <w:rsid w:val="005A0E37"/>
    <w:rsid w:val="005A0F47"/>
    <w:rsid w:val="005A12F8"/>
    <w:rsid w:val="005A1572"/>
    <w:rsid w:val="005A346D"/>
    <w:rsid w:val="005A37CE"/>
    <w:rsid w:val="005A7FD5"/>
    <w:rsid w:val="005B1E1B"/>
    <w:rsid w:val="005B1EE7"/>
    <w:rsid w:val="005C005D"/>
    <w:rsid w:val="005C21DC"/>
    <w:rsid w:val="005C4DF8"/>
    <w:rsid w:val="005C5D33"/>
    <w:rsid w:val="005D1968"/>
    <w:rsid w:val="005D3CC4"/>
    <w:rsid w:val="005D423B"/>
    <w:rsid w:val="005D430F"/>
    <w:rsid w:val="005D4877"/>
    <w:rsid w:val="005D4CC2"/>
    <w:rsid w:val="005D5806"/>
    <w:rsid w:val="005D5FB6"/>
    <w:rsid w:val="005D6CBB"/>
    <w:rsid w:val="005E0C9D"/>
    <w:rsid w:val="005E1B08"/>
    <w:rsid w:val="005E2DC6"/>
    <w:rsid w:val="005E30BE"/>
    <w:rsid w:val="005E330F"/>
    <w:rsid w:val="005E4C33"/>
    <w:rsid w:val="005F2C76"/>
    <w:rsid w:val="005F2EF3"/>
    <w:rsid w:val="005F49E9"/>
    <w:rsid w:val="005F6D26"/>
    <w:rsid w:val="00600E66"/>
    <w:rsid w:val="006017A4"/>
    <w:rsid w:val="00602514"/>
    <w:rsid w:val="00602B40"/>
    <w:rsid w:val="006045D4"/>
    <w:rsid w:val="00604A1B"/>
    <w:rsid w:val="006063DD"/>
    <w:rsid w:val="006067A6"/>
    <w:rsid w:val="00606F3F"/>
    <w:rsid w:val="006075A5"/>
    <w:rsid w:val="00611A8B"/>
    <w:rsid w:val="00612D64"/>
    <w:rsid w:val="00613BFD"/>
    <w:rsid w:val="006203F2"/>
    <w:rsid w:val="00623290"/>
    <w:rsid w:val="0062489C"/>
    <w:rsid w:val="0062678D"/>
    <w:rsid w:val="00626C97"/>
    <w:rsid w:val="00627D93"/>
    <w:rsid w:val="006302AE"/>
    <w:rsid w:val="00632725"/>
    <w:rsid w:val="00637DB1"/>
    <w:rsid w:val="006408B0"/>
    <w:rsid w:val="00640AFF"/>
    <w:rsid w:val="00641DB3"/>
    <w:rsid w:val="00643239"/>
    <w:rsid w:val="006439DE"/>
    <w:rsid w:val="00643BCE"/>
    <w:rsid w:val="0064660A"/>
    <w:rsid w:val="00647BA8"/>
    <w:rsid w:val="00653939"/>
    <w:rsid w:val="006542F1"/>
    <w:rsid w:val="0065600C"/>
    <w:rsid w:val="006602ED"/>
    <w:rsid w:val="00663409"/>
    <w:rsid w:val="006637B8"/>
    <w:rsid w:val="00671B09"/>
    <w:rsid w:val="00672913"/>
    <w:rsid w:val="00674D26"/>
    <w:rsid w:val="00674F68"/>
    <w:rsid w:val="006805F4"/>
    <w:rsid w:val="00680664"/>
    <w:rsid w:val="0068475E"/>
    <w:rsid w:val="00686785"/>
    <w:rsid w:val="006905EC"/>
    <w:rsid w:val="00690C00"/>
    <w:rsid w:val="00692DB6"/>
    <w:rsid w:val="00695468"/>
    <w:rsid w:val="00695C8C"/>
    <w:rsid w:val="00697315"/>
    <w:rsid w:val="006A195D"/>
    <w:rsid w:val="006A265C"/>
    <w:rsid w:val="006A41B8"/>
    <w:rsid w:val="006A6740"/>
    <w:rsid w:val="006B0E98"/>
    <w:rsid w:val="006C7BB4"/>
    <w:rsid w:val="006D47DE"/>
    <w:rsid w:val="006D7D1D"/>
    <w:rsid w:val="006E3728"/>
    <w:rsid w:val="006E6337"/>
    <w:rsid w:val="006F1D7C"/>
    <w:rsid w:val="006F1D9A"/>
    <w:rsid w:val="006F620D"/>
    <w:rsid w:val="00710434"/>
    <w:rsid w:val="00710494"/>
    <w:rsid w:val="00712122"/>
    <w:rsid w:val="00713A80"/>
    <w:rsid w:val="00714D71"/>
    <w:rsid w:val="00716ABE"/>
    <w:rsid w:val="0072163F"/>
    <w:rsid w:val="0072177A"/>
    <w:rsid w:val="00723720"/>
    <w:rsid w:val="00724EFB"/>
    <w:rsid w:val="007261AD"/>
    <w:rsid w:val="00727D8B"/>
    <w:rsid w:val="00731502"/>
    <w:rsid w:val="007359D6"/>
    <w:rsid w:val="00736454"/>
    <w:rsid w:val="0073780A"/>
    <w:rsid w:val="00741A01"/>
    <w:rsid w:val="00745ED0"/>
    <w:rsid w:val="00746166"/>
    <w:rsid w:val="007472CF"/>
    <w:rsid w:val="00747F2F"/>
    <w:rsid w:val="00751800"/>
    <w:rsid w:val="00754944"/>
    <w:rsid w:val="00756085"/>
    <w:rsid w:val="00763AE7"/>
    <w:rsid w:val="00763E38"/>
    <w:rsid w:val="007645CA"/>
    <w:rsid w:val="007647F0"/>
    <w:rsid w:val="00765F32"/>
    <w:rsid w:val="0076690A"/>
    <w:rsid w:val="00767251"/>
    <w:rsid w:val="0076752D"/>
    <w:rsid w:val="00770760"/>
    <w:rsid w:val="0077520A"/>
    <w:rsid w:val="00780AAE"/>
    <w:rsid w:val="0078171E"/>
    <w:rsid w:val="00781771"/>
    <w:rsid w:val="007860EE"/>
    <w:rsid w:val="00787624"/>
    <w:rsid w:val="00790452"/>
    <w:rsid w:val="0079088E"/>
    <w:rsid w:val="00794DB4"/>
    <w:rsid w:val="007A1BFC"/>
    <w:rsid w:val="007B2838"/>
    <w:rsid w:val="007B2B5E"/>
    <w:rsid w:val="007B3117"/>
    <w:rsid w:val="007B545C"/>
    <w:rsid w:val="007B6252"/>
    <w:rsid w:val="007B63B1"/>
    <w:rsid w:val="007B651E"/>
    <w:rsid w:val="007B762F"/>
    <w:rsid w:val="007C1587"/>
    <w:rsid w:val="007C3020"/>
    <w:rsid w:val="007C5BA3"/>
    <w:rsid w:val="007D0E74"/>
    <w:rsid w:val="007D44E9"/>
    <w:rsid w:val="007E0732"/>
    <w:rsid w:val="007E1450"/>
    <w:rsid w:val="007E16AE"/>
    <w:rsid w:val="007F140A"/>
    <w:rsid w:val="007F691E"/>
    <w:rsid w:val="00800C7D"/>
    <w:rsid w:val="00801326"/>
    <w:rsid w:val="0080606C"/>
    <w:rsid w:val="00814AFE"/>
    <w:rsid w:val="00816059"/>
    <w:rsid w:val="0081749A"/>
    <w:rsid w:val="008210A7"/>
    <w:rsid w:val="00822352"/>
    <w:rsid w:val="008247FB"/>
    <w:rsid w:val="00824F62"/>
    <w:rsid w:val="008262C6"/>
    <w:rsid w:val="00827960"/>
    <w:rsid w:val="00831B99"/>
    <w:rsid w:val="00833FBB"/>
    <w:rsid w:val="008350AF"/>
    <w:rsid w:val="008356D6"/>
    <w:rsid w:val="008374F7"/>
    <w:rsid w:val="008467D9"/>
    <w:rsid w:val="008548EA"/>
    <w:rsid w:val="00854D29"/>
    <w:rsid w:val="00856799"/>
    <w:rsid w:val="00856C3F"/>
    <w:rsid w:val="008600F0"/>
    <w:rsid w:val="00862776"/>
    <w:rsid w:val="008649F7"/>
    <w:rsid w:val="008674B0"/>
    <w:rsid w:val="008702C3"/>
    <w:rsid w:val="00870C3E"/>
    <w:rsid w:val="008764B0"/>
    <w:rsid w:val="00881076"/>
    <w:rsid w:val="008824CA"/>
    <w:rsid w:val="00884D49"/>
    <w:rsid w:val="00885F20"/>
    <w:rsid w:val="00886586"/>
    <w:rsid w:val="0088721E"/>
    <w:rsid w:val="00892797"/>
    <w:rsid w:val="008954EA"/>
    <w:rsid w:val="00895A04"/>
    <w:rsid w:val="008A2B2B"/>
    <w:rsid w:val="008A3716"/>
    <w:rsid w:val="008A3D7E"/>
    <w:rsid w:val="008A56BD"/>
    <w:rsid w:val="008A60AB"/>
    <w:rsid w:val="008A6791"/>
    <w:rsid w:val="008B17C1"/>
    <w:rsid w:val="008B5006"/>
    <w:rsid w:val="008B6D15"/>
    <w:rsid w:val="008B7609"/>
    <w:rsid w:val="008C14A1"/>
    <w:rsid w:val="008C1651"/>
    <w:rsid w:val="008C362D"/>
    <w:rsid w:val="008D0A36"/>
    <w:rsid w:val="008D3BDB"/>
    <w:rsid w:val="008D541E"/>
    <w:rsid w:val="008D56F4"/>
    <w:rsid w:val="008E2BE8"/>
    <w:rsid w:val="008E3B76"/>
    <w:rsid w:val="008F0E3B"/>
    <w:rsid w:val="008F4E3B"/>
    <w:rsid w:val="008F512D"/>
    <w:rsid w:val="009003D8"/>
    <w:rsid w:val="00900892"/>
    <w:rsid w:val="009021F6"/>
    <w:rsid w:val="00902525"/>
    <w:rsid w:val="00903D74"/>
    <w:rsid w:val="00905432"/>
    <w:rsid w:val="0091086D"/>
    <w:rsid w:val="009142AE"/>
    <w:rsid w:val="00917607"/>
    <w:rsid w:val="009179A9"/>
    <w:rsid w:val="009219F0"/>
    <w:rsid w:val="0092469A"/>
    <w:rsid w:val="00925644"/>
    <w:rsid w:val="00925CD4"/>
    <w:rsid w:val="009312D4"/>
    <w:rsid w:val="00932B36"/>
    <w:rsid w:val="00932EE6"/>
    <w:rsid w:val="00934F6D"/>
    <w:rsid w:val="00936538"/>
    <w:rsid w:val="00936D51"/>
    <w:rsid w:val="00936DED"/>
    <w:rsid w:val="009506CD"/>
    <w:rsid w:val="00953855"/>
    <w:rsid w:val="00954BBF"/>
    <w:rsid w:val="0095783C"/>
    <w:rsid w:val="00963224"/>
    <w:rsid w:val="00967CAA"/>
    <w:rsid w:val="00970829"/>
    <w:rsid w:val="00973C28"/>
    <w:rsid w:val="0097535D"/>
    <w:rsid w:val="00975807"/>
    <w:rsid w:val="00975CDC"/>
    <w:rsid w:val="00981916"/>
    <w:rsid w:val="00981B55"/>
    <w:rsid w:val="00982A60"/>
    <w:rsid w:val="009840E0"/>
    <w:rsid w:val="0098489A"/>
    <w:rsid w:val="00985C4D"/>
    <w:rsid w:val="00995CAB"/>
    <w:rsid w:val="00997451"/>
    <w:rsid w:val="009A1FB8"/>
    <w:rsid w:val="009A4663"/>
    <w:rsid w:val="009A4AA6"/>
    <w:rsid w:val="009A77D2"/>
    <w:rsid w:val="009B0FBE"/>
    <w:rsid w:val="009C2EAB"/>
    <w:rsid w:val="009C2F4D"/>
    <w:rsid w:val="009C3AE6"/>
    <w:rsid w:val="009C41B6"/>
    <w:rsid w:val="009D5FC8"/>
    <w:rsid w:val="009D6D20"/>
    <w:rsid w:val="009E10B5"/>
    <w:rsid w:val="009E40A7"/>
    <w:rsid w:val="009E7A94"/>
    <w:rsid w:val="00A008A4"/>
    <w:rsid w:val="00A01128"/>
    <w:rsid w:val="00A01A14"/>
    <w:rsid w:val="00A03073"/>
    <w:rsid w:val="00A030DB"/>
    <w:rsid w:val="00A0661B"/>
    <w:rsid w:val="00A10230"/>
    <w:rsid w:val="00A107EC"/>
    <w:rsid w:val="00A10C0D"/>
    <w:rsid w:val="00A133BF"/>
    <w:rsid w:val="00A140DB"/>
    <w:rsid w:val="00A204E7"/>
    <w:rsid w:val="00A20752"/>
    <w:rsid w:val="00A20CC5"/>
    <w:rsid w:val="00A21137"/>
    <w:rsid w:val="00A22793"/>
    <w:rsid w:val="00A2393C"/>
    <w:rsid w:val="00A23A50"/>
    <w:rsid w:val="00A31C73"/>
    <w:rsid w:val="00A40D06"/>
    <w:rsid w:val="00A416E1"/>
    <w:rsid w:val="00A44886"/>
    <w:rsid w:val="00A44DC3"/>
    <w:rsid w:val="00A45486"/>
    <w:rsid w:val="00A50699"/>
    <w:rsid w:val="00A516A7"/>
    <w:rsid w:val="00A550C6"/>
    <w:rsid w:val="00A57C54"/>
    <w:rsid w:val="00A60065"/>
    <w:rsid w:val="00A60100"/>
    <w:rsid w:val="00A605FC"/>
    <w:rsid w:val="00A64C92"/>
    <w:rsid w:val="00A664FB"/>
    <w:rsid w:val="00A672E0"/>
    <w:rsid w:val="00A75833"/>
    <w:rsid w:val="00A80E99"/>
    <w:rsid w:val="00A85A46"/>
    <w:rsid w:val="00A85EA4"/>
    <w:rsid w:val="00A90F68"/>
    <w:rsid w:val="00AA0293"/>
    <w:rsid w:val="00AA09F3"/>
    <w:rsid w:val="00AA10F3"/>
    <w:rsid w:val="00AA219D"/>
    <w:rsid w:val="00AA4DF6"/>
    <w:rsid w:val="00AA4FE2"/>
    <w:rsid w:val="00AA71AE"/>
    <w:rsid w:val="00AA7528"/>
    <w:rsid w:val="00AB0D74"/>
    <w:rsid w:val="00AB26C2"/>
    <w:rsid w:val="00AB2AF8"/>
    <w:rsid w:val="00AB67AF"/>
    <w:rsid w:val="00AB7002"/>
    <w:rsid w:val="00AB7C26"/>
    <w:rsid w:val="00AC037F"/>
    <w:rsid w:val="00AC3DBD"/>
    <w:rsid w:val="00AC4428"/>
    <w:rsid w:val="00AC4E7B"/>
    <w:rsid w:val="00AC5A05"/>
    <w:rsid w:val="00AC6C25"/>
    <w:rsid w:val="00AD133C"/>
    <w:rsid w:val="00AD2C31"/>
    <w:rsid w:val="00AD593E"/>
    <w:rsid w:val="00AD5E74"/>
    <w:rsid w:val="00AD6A17"/>
    <w:rsid w:val="00AE0473"/>
    <w:rsid w:val="00AE05AD"/>
    <w:rsid w:val="00AE1901"/>
    <w:rsid w:val="00AE40C4"/>
    <w:rsid w:val="00AE6402"/>
    <w:rsid w:val="00AF1C32"/>
    <w:rsid w:val="00AF3D30"/>
    <w:rsid w:val="00AF3E9B"/>
    <w:rsid w:val="00AF49B7"/>
    <w:rsid w:val="00AF4EBC"/>
    <w:rsid w:val="00B00385"/>
    <w:rsid w:val="00B03E88"/>
    <w:rsid w:val="00B04F36"/>
    <w:rsid w:val="00B10D55"/>
    <w:rsid w:val="00B13A8C"/>
    <w:rsid w:val="00B13DAA"/>
    <w:rsid w:val="00B20868"/>
    <w:rsid w:val="00B2212C"/>
    <w:rsid w:val="00B24603"/>
    <w:rsid w:val="00B273F9"/>
    <w:rsid w:val="00B27DAA"/>
    <w:rsid w:val="00B320CA"/>
    <w:rsid w:val="00B3469B"/>
    <w:rsid w:val="00B37E66"/>
    <w:rsid w:val="00B414EF"/>
    <w:rsid w:val="00B4207E"/>
    <w:rsid w:val="00B44B77"/>
    <w:rsid w:val="00B47222"/>
    <w:rsid w:val="00B521DF"/>
    <w:rsid w:val="00B5654B"/>
    <w:rsid w:val="00B56E0E"/>
    <w:rsid w:val="00B6411F"/>
    <w:rsid w:val="00B6465F"/>
    <w:rsid w:val="00B6591F"/>
    <w:rsid w:val="00B660FA"/>
    <w:rsid w:val="00B67B17"/>
    <w:rsid w:val="00B70DD8"/>
    <w:rsid w:val="00B71E85"/>
    <w:rsid w:val="00B753EB"/>
    <w:rsid w:val="00B76068"/>
    <w:rsid w:val="00B80908"/>
    <w:rsid w:val="00B83335"/>
    <w:rsid w:val="00B8499D"/>
    <w:rsid w:val="00B86618"/>
    <w:rsid w:val="00B93DEB"/>
    <w:rsid w:val="00B94111"/>
    <w:rsid w:val="00BA00EF"/>
    <w:rsid w:val="00BA2918"/>
    <w:rsid w:val="00BA4368"/>
    <w:rsid w:val="00BB3F32"/>
    <w:rsid w:val="00BB731F"/>
    <w:rsid w:val="00BB7676"/>
    <w:rsid w:val="00BC6FED"/>
    <w:rsid w:val="00BC7DB1"/>
    <w:rsid w:val="00BD0030"/>
    <w:rsid w:val="00BD48DB"/>
    <w:rsid w:val="00BD618D"/>
    <w:rsid w:val="00BE0B9A"/>
    <w:rsid w:val="00BE1DC7"/>
    <w:rsid w:val="00BE5F68"/>
    <w:rsid w:val="00BE7ED1"/>
    <w:rsid w:val="00BF0CA2"/>
    <w:rsid w:val="00BF28BF"/>
    <w:rsid w:val="00BF657D"/>
    <w:rsid w:val="00BF7E6B"/>
    <w:rsid w:val="00C00232"/>
    <w:rsid w:val="00C00DD6"/>
    <w:rsid w:val="00C01884"/>
    <w:rsid w:val="00C048C0"/>
    <w:rsid w:val="00C0647F"/>
    <w:rsid w:val="00C10756"/>
    <w:rsid w:val="00C10B98"/>
    <w:rsid w:val="00C11C71"/>
    <w:rsid w:val="00C11D2C"/>
    <w:rsid w:val="00C13299"/>
    <w:rsid w:val="00C13813"/>
    <w:rsid w:val="00C175BC"/>
    <w:rsid w:val="00C24141"/>
    <w:rsid w:val="00C2439F"/>
    <w:rsid w:val="00C24489"/>
    <w:rsid w:val="00C249AC"/>
    <w:rsid w:val="00C261DF"/>
    <w:rsid w:val="00C2757E"/>
    <w:rsid w:val="00C33842"/>
    <w:rsid w:val="00C34749"/>
    <w:rsid w:val="00C34B2B"/>
    <w:rsid w:val="00C40687"/>
    <w:rsid w:val="00C467A2"/>
    <w:rsid w:val="00C47B2D"/>
    <w:rsid w:val="00C508D9"/>
    <w:rsid w:val="00C51241"/>
    <w:rsid w:val="00C51B51"/>
    <w:rsid w:val="00C53394"/>
    <w:rsid w:val="00C54969"/>
    <w:rsid w:val="00C6051E"/>
    <w:rsid w:val="00C629B4"/>
    <w:rsid w:val="00C644FB"/>
    <w:rsid w:val="00C6609F"/>
    <w:rsid w:val="00C67DE8"/>
    <w:rsid w:val="00C702C6"/>
    <w:rsid w:val="00C7077B"/>
    <w:rsid w:val="00C716EB"/>
    <w:rsid w:val="00C71F05"/>
    <w:rsid w:val="00C811F9"/>
    <w:rsid w:val="00C81346"/>
    <w:rsid w:val="00C8406D"/>
    <w:rsid w:val="00C854FA"/>
    <w:rsid w:val="00C904CA"/>
    <w:rsid w:val="00C9242D"/>
    <w:rsid w:val="00C95532"/>
    <w:rsid w:val="00CB1D56"/>
    <w:rsid w:val="00CB2265"/>
    <w:rsid w:val="00CB4112"/>
    <w:rsid w:val="00CC22C5"/>
    <w:rsid w:val="00CC7A62"/>
    <w:rsid w:val="00CD20B8"/>
    <w:rsid w:val="00CD340A"/>
    <w:rsid w:val="00CD36CD"/>
    <w:rsid w:val="00CD492B"/>
    <w:rsid w:val="00CD6357"/>
    <w:rsid w:val="00CD77E7"/>
    <w:rsid w:val="00CE13A7"/>
    <w:rsid w:val="00CE19BB"/>
    <w:rsid w:val="00CE709F"/>
    <w:rsid w:val="00CE7DB6"/>
    <w:rsid w:val="00CF1112"/>
    <w:rsid w:val="00CF757A"/>
    <w:rsid w:val="00D02573"/>
    <w:rsid w:val="00D20EC4"/>
    <w:rsid w:val="00D23E6A"/>
    <w:rsid w:val="00D2495A"/>
    <w:rsid w:val="00D2648F"/>
    <w:rsid w:val="00D26548"/>
    <w:rsid w:val="00D2689D"/>
    <w:rsid w:val="00D276E3"/>
    <w:rsid w:val="00D27BA8"/>
    <w:rsid w:val="00D27C16"/>
    <w:rsid w:val="00D27E99"/>
    <w:rsid w:val="00D33243"/>
    <w:rsid w:val="00D33CE8"/>
    <w:rsid w:val="00D3578D"/>
    <w:rsid w:val="00D414D7"/>
    <w:rsid w:val="00D4310A"/>
    <w:rsid w:val="00D450E0"/>
    <w:rsid w:val="00D47314"/>
    <w:rsid w:val="00D50747"/>
    <w:rsid w:val="00D51E86"/>
    <w:rsid w:val="00D57778"/>
    <w:rsid w:val="00D57E6B"/>
    <w:rsid w:val="00D65096"/>
    <w:rsid w:val="00D658DD"/>
    <w:rsid w:val="00D65AAC"/>
    <w:rsid w:val="00D6727B"/>
    <w:rsid w:val="00D70B64"/>
    <w:rsid w:val="00D70FFC"/>
    <w:rsid w:val="00D733A1"/>
    <w:rsid w:val="00D73C9A"/>
    <w:rsid w:val="00D77B28"/>
    <w:rsid w:val="00D80AC4"/>
    <w:rsid w:val="00D926D4"/>
    <w:rsid w:val="00DA0081"/>
    <w:rsid w:val="00DA5407"/>
    <w:rsid w:val="00DB65FC"/>
    <w:rsid w:val="00DC089B"/>
    <w:rsid w:val="00DC1786"/>
    <w:rsid w:val="00DC5DCD"/>
    <w:rsid w:val="00DD1529"/>
    <w:rsid w:val="00DD1BA0"/>
    <w:rsid w:val="00DD33AC"/>
    <w:rsid w:val="00DD3E87"/>
    <w:rsid w:val="00DD4B88"/>
    <w:rsid w:val="00DD4D86"/>
    <w:rsid w:val="00DD5C7C"/>
    <w:rsid w:val="00DD7CA2"/>
    <w:rsid w:val="00DE082B"/>
    <w:rsid w:val="00DE28B1"/>
    <w:rsid w:val="00DE64C5"/>
    <w:rsid w:val="00DE79D0"/>
    <w:rsid w:val="00DF001A"/>
    <w:rsid w:val="00DF1DA9"/>
    <w:rsid w:val="00DF45FE"/>
    <w:rsid w:val="00DF4945"/>
    <w:rsid w:val="00DF57AD"/>
    <w:rsid w:val="00DF6515"/>
    <w:rsid w:val="00DF794A"/>
    <w:rsid w:val="00E011C9"/>
    <w:rsid w:val="00E03021"/>
    <w:rsid w:val="00E03410"/>
    <w:rsid w:val="00E059C5"/>
    <w:rsid w:val="00E111EB"/>
    <w:rsid w:val="00E13426"/>
    <w:rsid w:val="00E13607"/>
    <w:rsid w:val="00E148FC"/>
    <w:rsid w:val="00E161AE"/>
    <w:rsid w:val="00E163B8"/>
    <w:rsid w:val="00E1672E"/>
    <w:rsid w:val="00E2489F"/>
    <w:rsid w:val="00E31C45"/>
    <w:rsid w:val="00E34D7D"/>
    <w:rsid w:val="00E35C08"/>
    <w:rsid w:val="00E366FD"/>
    <w:rsid w:val="00E4095A"/>
    <w:rsid w:val="00E44910"/>
    <w:rsid w:val="00E449A0"/>
    <w:rsid w:val="00E46763"/>
    <w:rsid w:val="00E51E22"/>
    <w:rsid w:val="00E56432"/>
    <w:rsid w:val="00E608CF"/>
    <w:rsid w:val="00E7148A"/>
    <w:rsid w:val="00E74FF1"/>
    <w:rsid w:val="00E760CE"/>
    <w:rsid w:val="00E840AA"/>
    <w:rsid w:val="00E84DB0"/>
    <w:rsid w:val="00E855C9"/>
    <w:rsid w:val="00E907EB"/>
    <w:rsid w:val="00E91F13"/>
    <w:rsid w:val="00E93193"/>
    <w:rsid w:val="00E94229"/>
    <w:rsid w:val="00E951F5"/>
    <w:rsid w:val="00EA4309"/>
    <w:rsid w:val="00EA6DB2"/>
    <w:rsid w:val="00EA7958"/>
    <w:rsid w:val="00EA7B50"/>
    <w:rsid w:val="00EB5C2C"/>
    <w:rsid w:val="00EC00FC"/>
    <w:rsid w:val="00EC0A24"/>
    <w:rsid w:val="00EC2990"/>
    <w:rsid w:val="00EC4F14"/>
    <w:rsid w:val="00EC52F3"/>
    <w:rsid w:val="00EC76C7"/>
    <w:rsid w:val="00ED2E27"/>
    <w:rsid w:val="00ED47E8"/>
    <w:rsid w:val="00ED5952"/>
    <w:rsid w:val="00ED780E"/>
    <w:rsid w:val="00ED79F8"/>
    <w:rsid w:val="00EE6092"/>
    <w:rsid w:val="00EE6199"/>
    <w:rsid w:val="00EE7148"/>
    <w:rsid w:val="00EF0BF6"/>
    <w:rsid w:val="00EF47C4"/>
    <w:rsid w:val="00EF4BB6"/>
    <w:rsid w:val="00EF5F17"/>
    <w:rsid w:val="00F00570"/>
    <w:rsid w:val="00F00FD7"/>
    <w:rsid w:val="00F01778"/>
    <w:rsid w:val="00F01D7C"/>
    <w:rsid w:val="00F03843"/>
    <w:rsid w:val="00F06384"/>
    <w:rsid w:val="00F11F76"/>
    <w:rsid w:val="00F1225C"/>
    <w:rsid w:val="00F12A1E"/>
    <w:rsid w:val="00F1315E"/>
    <w:rsid w:val="00F13BB4"/>
    <w:rsid w:val="00F1533E"/>
    <w:rsid w:val="00F1616A"/>
    <w:rsid w:val="00F166C8"/>
    <w:rsid w:val="00F17879"/>
    <w:rsid w:val="00F17991"/>
    <w:rsid w:val="00F219CE"/>
    <w:rsid w:val="00F2530F"/>
    <w:rsid w:val="00F27BE8"/>
    <w:rsid w:val="00F370D4"/>
    <w:rsid w:val="00F412AF"/>
    <w:rsid w:val="00F43FBC"/>
    <w:rsid w:val="00F450E1"/>
    <w:rsid w:val="00F452A1"/>
    <w:rsid w:val="00F45CF0"/>
    <w:rsid w:val="00F46D13"/>
    <w:rsid w:val="00F5269B"/>
    <w:rsid w:val="00F578BE"/>
    <w:rsid w:val="00F60506"/>
    <w:rsid w:val="00F61BFE"/>
    <w:rsid w:val="00F638DC"/>
    <w:rsid w:val="00F63B23"/>
    <w:rsid w:val="00F71F33"/>
    <w:rsid w:val="00F7373C"/>
    <w:rsid w:val="00F738AB"/>
    <w:rsid w:val="00F749AD"/>
    <w:rsid w:val="00F80E95"/>
    <w:rsid w:val="00F83302"/>
    <w:rsid w:val="00F834E4"/>
    <w:rsid w:val="00F87DAC"/>
    <w:rsid w:val="00F90D19"/>
    <w:rsid w:val="00F93E54"/>
    <w:rsid w:val="00F93E6F"/>
    <w:rsid w:val="00F94F3A"/>
    <w:rsid w:val="00F96DBE"/>
    <w:rsid w:val="00FA1CCB"/>
    <w:rsid w:val="00FA2E60"/>
    <w:rsid w:val="00FA33C2"/>
    <w:rsid w:val="00FA3667"/>
    <w:rsid w:val="00FA3DF7"/>
    <w:rsid w:val="00FA4AC6"/>
    <w:rsid w:val="00FB009D"/>
    <w:rsid w:val="00FB04A6"/>
    <w:rsid w:val="00FB2168"/>
    <w:rsid w:val="00FB4060"/>
    <w:rsid w:val="00FB56F5"/>
    <w:rsid w:val="00FC138E"/>
    <w:rsid w:val="00FC1928"/>
    <w:rsid w:val="00FC6B5B"/>
    <w:rsid w:val="00FD00DD"/>
    <w:rsid w:val="00FD0D71"/>
    <w:rsid w:val="00FD1DBC"/>
    <w:rsid w:val="00FD5D87"/>
    <w:rsid w:val="00FD7E28"/>
    <w:rsid w:val="00FE14AF"/>
    <w:rsid w:val="00FE4918"/>
    <w:rsid w:val="00FE7F9D"/>
    <w:rsid w:val="00FF1AE9"/>
    <w:rsid w:val="00FF5932"/>
    <w:rsid w:val="00FF6C21"/>
    <w:rsid w:val="781942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nhideWhenUsed="0" w:uiPriority="0"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US" w:eastAsia="en-GB" w:bidi="ar-SA"/>
    </w:rPr>
  </w:style>
  <w:style w:type="paragraph" w:styleId="2">
    <w:name w:val="heading 1"/>
    <w:basedOn w:val="1"/>
    <w:next w:val="1"/>
    <w:link w:val="20"/>
    <w:qFormat/>
    <w:uiPriority w:val="0"/>
    <w:pPr>
      <w:keepNext/>
      <w:jc w:val="both"/>
      <w:outlineLvl w:val="0"/>
    </w:pPr>
    <w:rPr>
      <w:b/>
      <w:sz w:val="22"/>
    </w:rPr>
  </w:style>
  <w:style w:type="paragraph" w:styleId="3">
    <w:name w:val="heading 2"/>
    <w:basedOn w:val="1"/>
    <w:next w:val="1"/>
    <w:link w:val="21"/>
    <w:qFormat/>
    <w:uiPriority w:val="0"/>
    <w:pPr>
      <w:keepNext/>
      <w:jc w:val="both"/>
      <w:outlineLvl w:val="1"/>
    </w:pPr>
    <w:rPr>
      <w:b/>
      <w:i/>
      <w:sz w:val="22"/>
      <w:lang w:val="it-IT"/>
    </w:rPr>
  </w:style>
  <w:style w:type="paragraph" w:styleId="4">
    <w:name w:val="heading 5"/>
    <w:basedOn w:val="1"/>
    <w:next w:val="1"/>
    <w:link w:val="22"/>
    <w:qFormat/>
    <w:uiPriority w:val="0"/>
    <w:pPr>
      <w:keepNext/>
      <w:outlineLvl w:val="4"/>
    </w:pPr>
    <w:rPr>
      <w:sz w:val="24"/>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28"/>
    <w:semiHidden/>
    <w:qFormat/>
    <w:uiPriority w:val="0"/>
    <w:rPr>
      <w:rFonts w:ascii="Tahoma" w:hAnsi="Tahoma" w:cs="Tahoma"/>
      <w:sz w:val="16"/>
      <w:szCs w:val="16"/>
    </w:rPr>
  </w:style>
  <w:style w:type="paragraph" w:styleId="8">
    <w:name w:val="Body Text"/>
    <w:basedOn w:val="1"/>
    <w:link w:val="25"/>
    <w:qFormat/>
    <w:uiPriority w:val="0"/>
    <w:rPr>
      <w:sz w:val="22"/>
    </w:rPr>
  </w:style>
  <w:style w:type="paragraph" w:styleId="9">
    <w:name w:val="Body Text 2"/>
    <w:basedOn w:val="1"/>
    <w:link w:val="26"/>
    <w:qFormat/>
    <w:uiPriority w:val="0"/>
    <w:pPr>
      <w:jc w:val="both"/>
    </w:pPr>
    <w:rPr>
      <w:sz w:val="22"/>
    </w:rPr>
  </w:style>
  <w:style w:type="character" w:styleId="10">
    <w:name w:val="annotation reference"/>
    <w:basedOn w:val="5"/>
    <w:semiHidden/>
    <w:unhideWhenUsed/>
    <w:qFormat/>
    <w:uiPriority w:val="0"/>
    <w:rPr>
      <w:sz w:val="16"/>
      <w:szCs w:val="16"/>
    </w:rPr>
  </w:style>
  <w:style w:type="paragraph" w:styleId="11">
    <w:name w:val="annotation text"/>
    <w:basedOn w:val="1"/>
    <w:link w:val="35"/>
    <w:semiHidden/>
    <w:unhideWhenUsed/>
    <w:qFormat/>
    <w:uiPriority w:val="0"/>
  </w:style>
  <w:style w:type="paragraph" w:styleId="12">
    <w:name w:val="annotation subject"/>
    <w:basedOn w:val="11"/>
    <w:next w:val="11"/>
    <w:link w:val="36"/>
    <w:semiHidden/>
    <w:unhideWhenUsed/>
    <w:qFormat/>
    <w:uiPriority w:val="0"/>
    <w:rPr>
      <w:b/>
      <w:bCs/>
    </w:rPr>
  </w:style>
  <w:style w:type="paragraph" w:styleId="13">
    <w:name w:val="footer"/>
    <w:basedOn w:val="1"/>
    <w:link w:val="23"/>
    <w:qFormat/>
    <w:uiPriority w:val="0"/>
    <w:pPr>
      <w:tabs>
        <w:tab w:val="center" w:pos="4320"/>
        <w:tab w:val="right" w:pos="8640"/>
      </w:tabs>
    </w:pPr>
    <w:rPr>
      <w:sz w:val="24"/>
      <w:lang w:val="en-GB"/>
    </w:rPr>
  </w:style>
  <w:style w:type="paragraph" w:styleId="14">
    <w:name w:val="header"/>
    <w:basedOn w:val="1"/>
    <w:link w:val="24"/>
    <w:qFormat/>
    <w:uiPriority w:val="0"/>
    <w:pPr>
      <w:tabs>
        <w:tab w:val="center" w:pos="4320"/>
        <w:tab w:val="right" w:pos="8640"/>
      </w:tabs>
    </w:pPr>
    <w:rPr>
      <w:sz w:val="24"/>
      <w:lang w:val="en-GB"/>
    </w:rPr>
  </w:style>
  <w:style w:type="character" w:styleId="15">
    <w:name w:val="Hyperlink"/>
    <w:basedOn w:val="5"/>
    <w:qFormat/>
    <w:uiPriority w:val="0"/>
    <w:rPr>
      <w:rFonts w:cs="Times New Roman"/>
      <w:color w:val="0000FF"/>
      <w:u w:val="single"/>
    </w:rPr>
  </w:style>
  <w:style w:type="paragraph" w:styleId="16">
    <w:name w:val="Normal (Web)"/>
    <w:basedOn w:val="1"/>
    <w:qFormat/>
    <w:uiPriority w:val="0"/>
    <w:pPr>
      <w:spacing w:before="100" w:beforeAutospacing="1" w:after="100" w:afterAutospacing="1"/>
    </w:pPr>
    <w:rPr>
      <w:sz w:val="24"/>
      <w:szCs w:val="24"/>
      <w:lang w:val="en-GB"/>
    </w:rPr>
  </w:style>
  <w:style w:type="character" w:styleId="17">
    <w:name w:val="page number"/>
    <w:basedOn w:val="5"/>
    <w:qFormat/>
    <w:uiPriority w:val="0"/>
    <w:rPr>
      <w:rFonts w:cs="Times New Roman"/>
    </w:rPr>
  </w:style>
  <w:style w:type="table" w:styleId="18">
    <w:name w:val="Table Grid"/>
    <w:basedOn w:val="6"/>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9">
    <w:name w:val="Title"/>
    <w:basedOn w:val="1"/>
    <w:link w:val="29"/>
    <w:qFormat/>
    <w:uiPriority w:val="0"/>
    <w:pPr>
      <w:jc w:val="center"/>
    </w:pPr>
    <w:rPr>
      <w:b/>
      <w:sz w:val="24"/>
    </w:rPr>
  </w:style>
  <w:style w:type="character" w:customStyle="1" w:styleId="20">
    <w:name w:val="Heading 1 Char"/>
    <w:basedOn w:val="5"/>
    <w:link w:val="2"/>
    <w:qFormat/>
    <w:locked/>
    <w:uiPriority w:val="0"/>
    <w:rPr>
      <w:rFonts w:ascii="Cambria" w:hAnsi="Cambria" w:cs="Times New Roman"/>
      <w:b/>
      <w:bCs/>
      <w:kern w:val="32"/>
      <w:sz w:val="32"/>
      <w:szCs w:val="32"/>
      <w:lang w:val="zh-CN" w:eastAsia="en-GB"/>
    </w:rPr>
  </w:style>
  <w:style w:type="character" w:customStyle="1" w:styleId="21">
    <w:name w:val="Heading 2 Char"/>
    <w:basedOn w:val="5"/>
    <w:link w:val="3"/>
    <w:semiHidden/>
    <w:qFormat/>
    <w:locked/>
    <w:uiPriority w:val="0"/>
    <w:rPr>
      <w:rFonts w:ascii="Cambria" w:hAnsi="Cambria" w:cs="Times New Roman"/>
      <w:b/>
      <w:bCs/>
      <w:i/>
      <w:iCs/>
      <w:sz w:val="28"/>
      <w:szCs w:val="28"/>
      <w:lang w:val="zh-CN" w:eastAsia="en-GB"/>
    </w:rPr>
  </w:style>
  <w:style w:type="character" w:customStyle="1" w:styleId="22">
    <w:name w:val="Heading 5 Char"/>
    <w:basedOn w:val="5"/>
    <w:link w:val="4"/>
    <w:semiHidden/>
    <w:locked/>
    <w:uiPriority w:val="0"/>
    <w:rPr>
      <w:rFonts w:ascii="Calibri" w:hAnsi="Calibri" w:cs="Times New Roman"/>
      <w:b/>
      <w:bCs/>
      <w:i/>
      <w:iCs/>
      <w:sz w:val="26"/>
      <w:szCs w:val="26"/>
      <w:lang w:val="zh-CN" w:eastAsia="en-GB"/>
    </w:rPr>
  </w:style>
  <w:style w:type="character" w:customStyle="1" w:styleId="23">
    <w:name w:val="Footer Char"/>
    <w:basedOn w:val="5"/>
    <w:link w:val="13"/>
    <w:semiHidden/>
    <w:qFormat/>
    <w:locked/>
    <w:uiPriority w:val="0"/>
    <w:rPr>
      <w:rFonts w:cs="Times New Roman"/>
      <w:sz w:val="20"/>
      <w:szCs w:val="20"/>
      <w:lang w:val="zh-CN" w:eastAsia="en-GB"/>
    </w:rPr>
  </w:style>
  <w:style w:type="character" w:customStyle="1" w:styleId="24">
    <w:name w:val="Header Char"/>
    <w:basedOn w:val="5"/>
    <w:link w:val="14"/>
    <w:locked/>
    <w:uiPriority w:val="0"/>
    <w:rPr>
      <w:rFonts w:cs="Times New Roman"/>
      <w:sz w:val="20"/>
      <w:szCs w:val="20"/>
      <w:lang w:val="zh-CN" w:eastAsia="en-GB"/>
    </w:rPr>
  </w:style>
  <w:style w:type="character" w:customStyle="1" w:styleId="25">
    <w:name w:val="Body Text Char"/>
    <w:basedOn w:val="5"/>
    <w:link w:val="8"/>
    <w:semiHidden/>
    <w:qFormat/>
    <w:locked/>
    <w:uiPriority w:val="0"/>
    <w:rPr>
      <w:rFonts w:cs="Times New Roman"/>
      <w:sz w:val="20"/>
      <w:szCs w:val="20"/>
      <w:lang w:val="zh-CN" w:eastAsia="en-GB"/>
    </w:rPr>
  </w:style>
  <w:style w:type="character" w:customStyle="1" w:styleId="26">
    <w:name w:val="Body Text 2 Char"/>
    <w:basedOn w:val="5"/>
    <w:link w:val="9"/>
    <w:semiHidden/>
    <w:locked/>
    <w:uiPriority w:val="0"/>
    <w:rPr>
      <w:rFonts w:cs="Times New Roman"/>
      <w:sz w:val="20"/>
      <w:szCs w:val="20"/>
      <w:lang w:val="zh-CN" w:eastAsia="en-GB"/>
    </w:rPr>
  </w:style>
  <w:style w:type="paragraph" w:customStyle="1" w:styleId="27">
    <w:name w:val="p0"/>
    <w:basedOn w:val="1"/>
    <w:qFormat/>
    <w:uiPriority w:val="0"/>
    <w:pPr>
      <w:widowControl w:val="0"/>
      <w:tabs>
        <w:tab w:val="left" w:pos="720"/>
      </w:tabs>
      <w:spacing w:line="240" w:lineRule="atLeast"/>
      <w:jc w:val="both"/>
    </w:pPr>
    <w:rPr>
      <w:sz w:val="24"/>
      <w:lang w:eastAsia="en-US"/>
    </w:rPr>
  </w:style>
  <w:style w:type="character" w:customStyle="1" w:styleId="28">
    <w:name w:val="Balloon Text Char"/>
    <w:basedOn w:val="5"/>
    <w:link w:val="7"/>
    <w:semiHidden/>
    <w:qFormat/>
    <w:locked/>
    <w:uiPriority w:val="0"/>
    <w:rPr>
      <w:rFonts w:cs="Times New Roman"/>
      <w:sz w:val="2"/>
      <w:lang w:val="zh-CN" w:eastAsia="en-GB"/>
    </w:rPr>
  </w:style>
  <w:style w:type="character" w:customStyle="1" w:styleId="29">
    <w:name w:val="Title Char"/>
    <w:basedOn w:val="5"/>
    <w:link w:val="19"/>
    <w:qFormat/>
    <w:locked/>
    <w:uiPriority w:val="0"/>
    <w:rPr>
      <w:rFonts w:ascii="Cambria" w:hAnsi="Cambria" w:cs="Times New Roman"/>
      <w:b/>
      <w:bCs/>
      <w:kern w:val="28"/>
      <w:sz w:val="32"/>
      <w:szCs w:val="32"/>
      <w:lang w:val="zh-CN" w:eastAsia="en-GB"/>
    </w:rPr>
  </w:style>
  <w:style w:type="character" w:customStyle="1" w:styleId="30">
    <w:name w:val="hps"/>
    <w:basedOn w:val="5"/>
    <w:qFormat/>
    <w:uiPriority w:val="0"/>
  </w:style>
  <w:style w:type="character" w:customStyle="1" w:styleId="31">
    <w:name w:val="atn"/>
    <w:basedOn w:val="5"/>
    <w:qFormat/>
    <w:uiPriority w:val="0"/>
  </w:style>
  <w:style w:type="paragraph" w:customStyle="1" w:styleId="32">
    <w:name w:val="Char Char Char Char Char Char"/>
    <w:basedOn w:val="1"/>
    <w:qFormat/>
    <w:uiPriority w:val="0"/>
    <w:pPr>
      <w:spacing w:after="160" w:line="240" w:lineRule="exact"/>
    </w:pPr>
    <w:rPr>
      <w:rFonts w:ascii="Tahoma" w:hAnsi="Tahoma"/>
      <w:lang w:eastAsia="en-US"/>
    </w:rPr>
  </w:style>
  <w:style w:type="paragraph" w:styleId="33">
    <w:name w:val="List Paragraph"/>
    <w:basedOn w:val="1"/>
    <w:qFormat/>
    <w:uiPriority w:val="34"/>
    <w:pPr>
      <w:ind w:left="720"/>
      <w:contextualSpacing/>
    </w:pPr>
  </w:style>
  <w:style w:type="paragraph" w:customStyle="1" w:styleId="34">
    <w:name w:val="Default"/>
    <w:qFormat/>
    <w:uiPriority w:val="0"/>
    <w:pPr>
      <w:autoSpaceDE w:val="0"/>
      <w:autoSpaceDN w:val="0"/>
      <w:adjustRightInd w:val="0"/>
    </w:pPr>
    <w:rPr>
      <w:rFonts w:ascii="Verdana" w:hAnsi="Verdana" w:eastAsia="Times New Roman" w:cs="Verdana"/>
      <w:color w:val="000000"/>
      <w:sz w:val="24"/>
      <w:szCs w:val="24"/>
      <w:lang w:val="en-US" w:eastAsia="en-US" w:bidi="ar-SA"/>
    </w:rPr>
  </w:style>
  <w:style w:type="character" w:customStyle="1" w:styleId="35">
    <w:name w:val="Comment Text Char"/>
    <w:basedOn w:val="5"/>
    <w:link w:val="11"/>
    <w:semiHidden/>
    <w:qFormat/>
    <w:uiPriority w:val="0"/>
    <w:rPr>
      <w:lang w:eastAsia="en-GB"/>
    </w:rPr>
  </w:style>
  <w:style w:type="character" w:customStyle="1" w:styleId="36">
    <w:name w:val="Comment Subject Char"/>
    <w:basedOn w:val="35"/>
    <w:link w:val="12"/>
    <w:semiHidden/>
    <w:qFormat/>
    <w:uiPriority w:val="0"/>
    <w:rPr>
      <w:b/>
      <w:bCs/>
      <w:lang w:eastAsia="en-GB"/>
    </w:rPr>
  </w:style>
  <w:style w:type="character" w:customStyle="1" w:styleId="37">
    <w:name w:val="Unresolved Mention1"/>
    <w:basedOn w:val="5"/>
    <w:semiHidden/>
    <w:unhideWhenUsed/>
    <w:qFormat/>
    <w:uiPriority w:val="99"/>
    <w:rPr>
      <w:color w:val="605E5C"/>
      <w:shd w:val="clear" w:color="auto" w:fill="E1DFDD"/>
    </w:rPr>
  </w:style>
  <w:style w:type="paragraph" w:customStyle="1" w:styleId="38">
    <w:name w:val="Revision"/>
    <w:hidden/>
    <w:semiHidden/>
    <w:qFormat/>
    <w:uiPriority w:val="99"/>
    <w:rPr>
      <w:rFonts w:ascii="Times New Roman" w:hAnsi="Times New Roman" w:eastAsia="Times New Roman" w:cs="Times New Roman"/>
      <w:lang w:val="en-US" w:eastAsia="en-GB"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D2578-FA19-4E5C-9972-221417A07C89}">
  <ds:schemaRefs/>
</ds:datastoreItem>
</file>

<file path=docProps/app.xml><?xml version="1.0" encoding="utf-8"?>
<Properties xmlns="http://schemas.openxmlformats.org/officeDocument/2006/extended-properties" xmlns:vt="http://schemas.openxmlformats.org/officeDocument/2006/docPropsVTypes">
  <Template>Normal</Template>
  <Company>Alkaloid AD - Skopje</Company>
  <Pages>17</Pages>
  <Words>8055</Words>
  <Characters>45917</Characters>
  <Lines>382</Lines>
  <Paragraphs>107</Paragraphs>
  <TotalTime>0</TotalTime>
  <ScaleCrop>false</ScaleCrop>
  <LinksUpToDate>false</LinksUpToDate>
  <CharactersWithSpaces>53865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2023-12-04T12:07:00Z</dcterms:created>
  <dc:creator>Alkaloid</dc:creator>
  <cp:lastModifiedBy>Haris</cp:lastModifiedBy>
  <cp:lastPrinted>2020-11-04T12:48:00Z</cp:lastPrinted>
  <dcterms:modified xsi:type="dcterms:W3CDTF">2025-02-21T15:41:27Z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B52C7A24D35943ABA91B2539E628F5BA_13</vt:lpwstr>
  </property>
</Properties>
</file>