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A6FE2">
      <w:pPr>
        <w:rPr>
          <w:rFonts w:ascii="Microsoft Sans Serif" w:hAnsi="Microsoft Sans Serif" w:cs="Microsoft Sans Serif"/>
          <w:sz w:val="20"/>
          <w:szCs w:val="20"/>
        </w:rPr>
      </w:pPr>
      <w:bookmarkStart w:id="0" w:name="_GoBack"/>
      <w:bookmarkEnd w:id="0"/>
    </w:p>
    <w:p w14:paraId="4493004D">
      <w:pPr>
        <w:jc w:val="center"/>
        <w:rPr>
          <w:rFonts w:ascii="Microsoft Sans Serif" w:hAnsi="Microsoft Sans Serif" w:cs="Microsoft Sans Serif"/>
          <w:b/>
          <w:bCs/>
          <w:iCs/>
          <w:sz w:val="20"/>
          <w:szCs w:val="20"/>
          <w:lang w:val="sv-SE"/>
        </w:rPr>
      </w:pPr>
      <w:r>
        <w:rPr>
          <w:rFonts w:ascii="Microsoft Sans Serif" w:hAnsi="Microsoft Sans Serif" w:cs="Microsoft Sans Serif"/>
          <w:b/>
          <w:bCs/>
          <w:iCs/>
          <w:sz w:val="20"/>
          <w:szCs w:val="20"/>
          <w:lang w:val="sv-SE"/>
        </w:rPr>
        <w:t>SAŽETAK KARAKTERISTIKA LIJEKA</w:t>
      </w:r>
    </w:p>
    <w:p w14:paraId="567F6396">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p>
    <w:p w14:paraId="6C6DE8FF">
      <w:pPr>
        <w:rPr>
          <w:rFonts w:ascii="Microsoft Sans Serif" w:hAnsi="Microsoft Sans Serif" w:cs="Microsoft Sans Serif"/>
          <w:b/>
          <w:sz w:val="20"/>
          <w:szCs w:val="20"/>
          <w:lang w:val="sv-SE"/>
        </w:rPr>
      </w:pPr>
    </w:p>
    <w:p w14:paraId="295227A1">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v-SE"/>
        </w:rPr>
        <w:t>1. IME LIJEKA</w:t>
      </w:r>
    </w:p>
    <w:p w14:paraId="4FC7278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Skopryl Combo, 10 mg/5 mg</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tablete</w:t>
      </w:r>
    </w:p>
    <w:p w14:paraId="26433570">
      <w:pPr>
        <w:rPr>
          <w:rFonts w:ascii="Microsoft Sans Serif" w:hAnsi="Microsoft Sans Serif" w:cs="Microsoft Sans Serif"/>
          <w:sz w:val="20"/>
          <w:szCs w:val="20"/>
          <w:lang w:val="sr-Cyrl-RS"/>
        </w:rPr>
      </w:pP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Cyrl-RS"/>
        </w:rPr>
        <w:t xml:space="preserve">, 20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/10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tablete</w:t>
      </w:r>
    </w:p>
    <w:p w14:paraId="7B65DEA7">
      <w:pPr>
        <w:rPr>
          <w:rFonts w:ascii="Microsoft Sans Serif" w:hAnsi="Microsoft Sans Serif" w:cs="Microsoft Sans Serif"/>
          <w:sz w:val="20"/>
          <w:szCs w:val="20"/>
          <w:lang w:val="sr-Cyrl-RS"/>
        </w:rPr>
      </w:pP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Cyrl-RS"/>
        </w:rPr>
        <w:t xml:space="preserve">, 20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/5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tablete</w:t>
      </w:r>
    </w:p>
    <w:p w14:paraId="56A6FA0D">
      <w:pPr>
        <w:rPr>
          <w:rFonts w:ascii="Microsoft Sans Serif" w:hAnsi="Microsoft Sans Serif" w:cs="Microsoft Sans Serif"/>
          <w:b/>
          <w:i/>
          <w:sz w:val="20"/>
          <w:szCs w:val="20"/>
          <w:lang w:val="sr-Cyrl-RS"/>
        </w:rPr>
      </w:pPr>
      <w:r>
        <w:rPr>
          <w:rFonts w:ascii="Microsoft Sans Serif" w:hAnsi="Microsoft Sans Serif" w:cs="Microsoft Sans Serif"/>
          <w:i/>
          <w:sz w:val="20"/>
          <w:szCs w:val="20"/>
        </w:rPr>
        <w:t>lizinopril</w:t>
      </w:r>
      <w:r>
        <w:rPr>
          <w:rFonts w:ascii="Microsoft Sans Serif" w:hAnsi="Microsoft Sans Serif" w:cs="Microsoft Sans Serif"/>
          <w:i/>
          <w:sz w:val="20"/>
          <w:szCs w:val="20"/>
          <w:lang w:val="sr-Cyrl-RS"/>
        </w:rPr>
        <w:t>/</w:t>
      </w:r>
      <w:r>
        <w:rPr>
          <w:rFonts w:ascii="Microsoft Sans Serif" w:hAnsi="Microsoft Sans Serif" w:cs="Microsoft Sans Serif"/>
          <w:i/>
          <w:sz w:val="20"/>
          <w:szCs w:val="20"/>
        </w:rPr>
        <w:t>amlodipin</w:t>
      </w:r>
    </w:p>
    <w:p w14:paraId="5ED3A7ED">
      <w:pPr>
        <w:rPr>
          <w:rFonts w:ascii="Microsoft Sans Serif" w:hAnsi="Microsoft Sans Serif" w:cs="Microsoft Sans Serif"/>
          <w:b/>
          <w:sz w:val="20"/>
          <w:szCs w:val="20"/>
          <w:lang w:val="sr-Cyrl-RS"/>
        </w:rPr>
      </w:pPr>
    </w:p>
    <w:p w14:paraId="79AA455A">
      <w:pPr>
        <w:rPr>
          <w:rFonts w:ascii="Microsoft Sans Serif" w:hAnsi="Microsoft Sans Serif" w:cs="Microsoft Sans Serif"/>
          <w:b/>
          <w:sz w:val="20"/>
          <w:szCs w:val="20"/>
          <w:lang w:val="sr-Cyrl-RS"/>
        </w:rPr>
      </w:pPr>
    </w:p>
    <w:p w14:paraId="78DE1BD1">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2. KVALITATIVNI I KVANTITATIVNI SASTAV</w:t>
      </w:r>
    </w:p>
    <w:p w14:paraId="7BDE104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Jedna tableta sadrži 10</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lizinoprila (u obliku dihidrata) i 5</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amlodipina (u obliku besilata).</w:t>
      </w:r>
    </w:p>
    <w:p w14:paraId="1122FDE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Jedna tableta sadrži 20</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lizinoprila (u obliku dihidrata) i 10</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amlodipina (u obliku besilata).</w:t>
      </w:r>
    </w:p>
    <w:p w14:paraId="06739B3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Jedna tableta sadrži 20</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lizinoprila (u obliku dihidrata) i 5</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amlodipina (u obliku besilata).</w:t>
      </w:r>
    </w:p>
    <w:p w14:paraId="1C15DF47">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listu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svih </w:t>
      </w:r>
      <w:r>
        <w:rPr>
          <w:rFonts w:ascii="Microsoft Sans Serif" w:hAnsi="Microsoft Sans Serif" w:cs="Microsoft Sans Serif"/>
          <w:sz w:val="20"/>
          <w:szCs w:val="20"/>
        </w:rPr>
        <w:t>pomo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supstanci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6.1.</w:t>
      </w:r>
    </w:p>
    <w:p w14:paraId="0E2361EA">
      <w:pPr>
        <w:rPr>
          <w:rFonts w:ascii="Microsoft Sans Serif" w:hAnsi="Microsoft Sans Serif" w:cs="Microsoft Sans Serif"/>
          <w:b/>
          <w:sz w:val="20"/>
          <w:szCs w:val="20"/>
          <w:lang w:val="sr-Cyrl-RS"/>
        </w:rPr>
      </w:pPr>
    </w:p>
    <w:p w14:paraId="6ECAE8A2">
      <w:pPr>
        <w:rPr>
          <w:rFonts w:ascii="Microsoft Sans Serif" w:hAnsi="Microsoft Sans Serif" w:cs="Microsoft Sans Serif"/>
          <w:b/>
          <w:sz w:val="20"/>
          <w:szCs w:val="20"/>
          <w:lang w:val="sr-Cyrl-RS"/>
        </w:rPr>
      </w:pPr>
    </w:p>
    <w:p w14:paraId="7E700D8B">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3. FARMACEUTSKI OBLIK</w:t>
      </w:r>
    </w:p>
    <w:p w14:paraId="2BC48EE6">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Tableta</w:t>
      </w:r>
    </w:p>
    <w:p w14:paraId="2EAADBB5">
      <w:pPr>
        <w:widowControl w:val="0"/>
        <w:rPr>
          <w:rFonts w:ascii="Microsoft Sans Serif" w:hAnsi="Microsoft Sans Serif" w:cs="Microsoft Sans Serif"/>
          <w:sz w:val="20"/>
          <w:szCs w:val="20"/>
          <w:lang w:val="sr-Cyrl-RS"/>
        </w:rPr>
      </w:pPr>
    </w:p>
    <w:p w14:paraId="6BBB7389">
      <w:pPr>
        <w:widowControl w:val="0"/>
        <w:rPr>
          <w:rFonts w:ascii="Microsoft Sans Serif" w:hAnsi="Microsoft Sans Serif" w:cs="Microsoft Sans Serif"/>
          <w:bCs/>
          <w:sz w:val="20"/>
          <w:szCs w:val="20"/>
          <w:u w:val="single"/>
          <w:lang w:val="sr-Cyrl-RS"/>
        </w:rPr>
      </w:pPr>
      <w:r>
        <w:rPr>
          <w:rFonts w:ascii="Microsoft Sans Serif" w:hAnsi="Microsoft Sans Serif" w:cs="Microsoft Sans Serif"/>
          <w:sz w:val="20"/>
          <w:szCs w:val="20"/>
          <w:u w:val="single"/>
          <w:lang w:val="sv-SE"/>
        </w:rPr>
        <w:t>Skopryl Combo</w:t>
      </w:r>
      <w:r>
        <w:rPr>
          <w:rFonts w:ascii="Microsoft Sans Serif" w:hAnsi="Microsoft Sans Serif" w:cs="Microsoft Sans Serif"/>
          <w:sz w:val="20"/>
          <w:szCs w:val="20"/>
          <w:u w:val="single"/>
          <w:lang w:val="mk-MK"/>
        </w:rPr>
        <w:t>,</w:t>
      </w:r>
      <w:r>
        <w:rPr>
          <w:rFonts w:ascii="Microsoft Sans Serif" w:hAnsi="Microsoft Sans Serif" w:cs="Microsoft Sans Serif"/>
          <w:sz w:val="20"/>
          <w:szCs w:val="20"/>
          <w:u w:val="single"/>
          <w:lang w:val="sv-SE"/>
        </w:rPr>
        <w:t xml:space="preserve"> </w:t>
      </w:r>
      <w:r>
        <w:rPr>
          <w:rFonts w:ascii="Microsoft Sans Serif" w:hAnsi="Microsoft Sans Serif" w:cs="Microsoft Sans Serif"/>
          <w:bCs/>
          <w:sz w:val="20"/>
          <w:szCs w:val="20"/>
          <w:u w:val="single"/>
          <w:lang w:val="sv-SE"/>
        </w:rPr>
        <w:t>10 mg/5 mg</w:t>
      </w:r>
      <w:r>
        <w:rPr>
          <w:rFonts w:ascii="Microsoft Sans Serif" w:hAnsi="Microsoft Sans Serif" w:cs="Microsoft Sans Serif"/>
          <w:bCs/>
          <w:sz w:val="20"/>
          <w:szCs w:val="20"/>
          <w:u w:val="single"/>
          <w:lang w:val="sr-Cyrl-RS"/>
        </w:rPr>
        <w:t>, tablete:</w:t>
      </w:r>
    </w:p>
    <w:p w14:paraId="114C453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 xml:space="preserve">krugle, </w:t>
      </w:r>
      <w:r>
        <w:rPr>
          <w:rFonts w:ascii="Microsoft Sans Serif" w:hAnsi="Microsoft Sans Serif" w:cs="Microsoft Sans Serif"/>
          <w:sz w:val="20"/>
          <w:szCs w:val="20"/>
          <w:lang w:val="mk-MK"/>
        </w:rPr>
        <w:t>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ele do skoro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ele boje,</w:t>
      </w:r>
      <w:r>
        <w:rPr>
          <w:rFonts w:ascii="Microsoft Sans Serif" w:hAnsi="Microsoft Sans Serif" w:cs="Microsoft Sans Serif"/>
          <w:sz w:val="20"/>
          <w:szCs w:val="20"/>
          <w:lang w:val="sv-SE"/>
        </w:rPr>
        <w:t xml:space="preserve"> ravne fasetirane tablete,</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sa podionom linijom sa jedne strane i oznakom "</w:t>
      </w:r>
      <w:r>
        <w:rPr>
          <w:rFonts w:ascii="Microsoft Sans Serif" w:hAnsi="Microsoft Sans Serif" w:cs="Microsoft Sans Serif"/>
          <w:sz w:val="20"/>
          <w:szCs w:val="20"/>
          <w:lang w:val="sr-Latn-RS"/>
        </w:rPr>
        <w:t>L A</w:t>
      </w:r>
      <w:r>
        <w:rPr>
          <w:rFonts w:ascii="Microsoft Sans Serif" w:hAnsi="Microsoft Sans Serif" w:cs="Microsoft Sans Serif"/>
          <w:sz w:val="20"/>
          <w:szCs w:val="20"/>
          <w:lang w:val="sv-SE"/>
        </w:rPr>
        <w:t>" sa druge strane.</w:t>
      </w:r>
    </w:p>
    <w:p w14:paraId="3608C90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Podiona linija služi samo da olakša loml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enje da bi se lijek lakše progutao, a ne za podjelu na jednake doze.</w:t>
      </w:r>
    </w:p>
    <w:p w14:paraId="0A147D77">
      <w:pPr>
        <w:widowControl w:val="0"/>
        <w:rPr>
          <w:rFonts w:ascii="Microsoft Sans Serif" w:hAnsi="Microsoft Sans Serif" w:cs="Microsoft Sans Serif"/>
          <w:sz w:val="20"/>
          <w:szCs w:val="20"/>
          <w:lang w:val="sv-SE"/>
        </w:rPr>
      </w:pPr>
    </w:p>
    <w:p w14:paraId="4F1DFDFE">
      <w:pPr>
        <w:widowControl w:val="0"/>
        <w:rPr>
          <w:rFonts w:ascii="Microsoft Sans Serif" w:hAnsi="Microsoft Sans Serif" w:cs="Microsoft Sans Serif"/>
          <w:bCs/>
          <w:sz w:val="20"/>
          <w:szCs w:val="20"/>
          <w:u w:val="single"/>
          <w:lang w:val="mk-MK"/>
        </w:rPr>
      </w:pPr>
      <w:r>
        <w:rPr>
          <w:rFonts w:ascii="Microsoft Sans Serif" w:hAnsi="Microsoft Sans Serif" w:cs="Microsoft Sans Serif"/>
          <w:sz w:val="20"/>
          <w:szCs w:val="20"/>
          <w:u w:val="single"/>
          <w:lang w:val="sv-SE"/>
        </w:rPr>
        <w:t>Skopryl Combo</w:t>
      </w:r>
      <w:r>
        <w:rPr>
          <w:rFonts w:ascii="Microsoft Sans Serif" w:hAnsi="Microsoft Sans Serif" w:cs="Microsoft Sans Serif"/>
          <w:sz w:val="20"/>
          <w:szCs w:val="20"/>
          <w:u w:val="single"/>
          <w:lang w:val="mk-MK"/>
        </w:rPr>
        <w:t>,</w:t>
      </w:r>
      <w:r>
        <w:rPr>
          <w:rFonts w:ascii="Microsoft Sans Serif" w:hAnsi="Microsoft Sans Serif" w:cs="Microsoft Sans Serif"/>
          <w:sz w:val="20"/>
          <w:szCs w:val="20"/>
          <w:u w:val="single"/>
          <w:lang w:val="sv-SE"/>
        </w:rPr>
        <w:t xml:space="preserve"> </w:t>
      </w:r>
      <w:r>
        <w:rPr>
          <w:rFonts w:ascii="Microsoft Sans Serif" w:hAnsi="Microsoft Sans Serif" w:cs="Microsoft Sans Serif"/>
          <w:bCs/>
          <w:sz w:val="20"/>
          <w:szCs w:val="20"/>
          <w:u w:val="single"/>
          <w:lang w:val="sv-SE"/>
        </w:rPr>
        <w:t>20 mg/10 mg, tablete</w:t>
      </w:r>
      <w:r>
        <w:rPr>
          <w:rFonts w:ascii="Microsoft Sans Serif" w:hAnsi="Microsoft Sans Serif" w:cs="Microsoft Sans Serif"/>
          <w:bCs/>
          <w:sz w:val="20"/>
          <w:szCs w:val="20"/>
          <w:u w:val="single"/>
          <w:lang w:val="mk-MK"/>
        </w:rPr>
        <w:t>:</w:t>
      </w:r>
    </w:p>
    <w:p w14:paraId="4CA5E937">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krugle,</w:t>
      </w:r>
      <w:r>
        <w:rPr>
          <w:rFonts w:ascii="Microsoft Sans Serif" w:hAnsi="Microsoft Sans Serif" w:cs="Microsoft Sans Serif"/>
          <w:sz w:val="20"/>
          <w:szCs w:val="20"/>
          <w:lang w:val="mk-MK"/>
        </w:rPr>
        <w:t xml:space="preserve">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ele do skoro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ele boje,</w:t>
      </w:r>
      <w:r>
        <w:rPr>
          <w:rFonts w:ascii="Microsoft Sans Serif" w:hAnsi="Microsoft Sans Serif" w:cs="Microsoft Sans Serif"/>
          <w:sz w:val="20"/>
          <w:szCs w:val="20"/>
          <w:lang w:val="sv-SE"/>
        </w:rPr>
        <w:t xml:space="preserve"> bikonveksne tablete,</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sa podionom linijom sa jedne strane i oznakom "</w:t>
      </w:r>
      <w:r>
        <w:rPr>
          <w:rFonts w:ascii="Microsoft Sans Serif" w:hAnsi="Microsoft Sans Serif" w:cs="Microsoft Sans Serif"/>
          <w:sz w:val="20"/>
          <w:szCs w:val="20"/>
          <w:lang w:val="sr-Latn-RS"/>
        </w:rPr>
        <w:t>L A</w:t>
      </w:r>
      <w:r>
        <w:rPr>
          <w:rFonts w:ascii="Microsoft Sans Serif" w:hAnsi="Microsoft Sans Serif" w:cs="Microsoft Sans Serif"/>
          <w:sz w:val="20"/>
          <w:szCs w:val="20"/>
          <w:lang w:val="sr-Cyrl-RS"/>
        </w:rPr>
        <w:t xml:space="preserve"> 2</w:t>
      </w:r>
      <w:r>
        <w:rPr>
          <w:rFonts w:ascii="Microsoft Sans Serif" w:hAnsi="Microsoft Sans Serif" w:cs="Microsoft Sans Serif"/>
          <w:sz w:val="20"/>
          <w:szCs w:val="20"/>
          <w:lang w:val="sv-SE"/>
        </w:rPr>
        <w:t>" sa druge strane.</w:t>
      </w:r>
    </w:p>
    <w:p w14:paraId="13F0CB0F">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Tableta se mo</w:t>
      </w:r>
      <w:r>
        <w:rPr>
          <w:rFonts w:ascii="Microsoft Sans Serif" w:hAnsi="Microsoft Sans Serif" w:cs="Microsoft Sans Serif"/>
          <w:sz w:val="20"/>
          <w:szCs w:val="20"/>
          <w:lang w:val="sr-Latn-RS"/>
        </w:rPr>
        <w:t>že podijeliti na jednake doze.</w:t>
      </w:r>
    </w:p>
    <w:p w14:paraId="17AABD64">
      <w:pPr>
        <w:widowControl w:val="0"/>
        <w:rPr>
          <w:rFonts w:ascii="Microsoft Sans Serif" w:hAnsi="Microsoft Sans Serif" w:cs="Microsoft Sans Serif"/>
          <w:sz w:val="20"/>
          <w:szCs w:val="20"/>
          <w:lang w:val="sv-SE"/>
        </w:rPr>
      </w:pPr>
    </w:p>
    <w:p w14:paraId="0C306EFC">
      <w:pPr>
        <w:widowControl w:val="0"/>
        <w:rPr>
          <w:rFonts w:ascii="Microsoft Sans Serif" w:hAnsi="Microsoft Sans Serif" w:cs="Microsoft Sans Serif"/>
          <w:bCs/>
          <w:sz w:val="20"/>
          <w:szCs w:val="20"/>
          <w:u w:val="single"/>
          <w:lang w:val="mk-MK"/>
        </w:rPr>
      </w:pPr>
      <w:r>
        <w:rPr>
          <w:rFonts w:ascii="Microsoft Sans Serif" w:hAnsi="Microsoft Sans Serif" w:cs="Microsoft Sans Serif"/>
          <w:sz w:val="20"/>
          <w:szCs w:val="20"/>
          <w:u w:val="single"/>
          <w:lang w:val="sv-SE"/>
        </w:rPr>
        <w:t>Skopryl Combo</w:t>
      </w:r>
      <w:r>
        <w:rPr>
          <w:rFonts w:ascii="Microsoft Sans Serif" w:hAnsi="Microsoft Sans Serif" w:cs="Microsoft Sans Serif"/>
          <w:sz w:val="20"/>
          <w:szCs w:val="20"/>
          <w:u w:val="single"/>
          <w:lang w:val="mk-MK"/>
        </w:rPr>
        <w:t>,</w:t>
      </w:r>
      <w:r>
        <w:rPr>
          <w:rFonts w:ascii="Microsoft Sans Serif" w:hAnsi="Microsoft Sans Serif" w:cs="Microsoft Sans Serif"/>
          <w:sz w:val="20"/>
          <w:szCs w:val="20"/>
          <w:u w:val="single"/>
          <w:lang w:val="sv-SE"/>
        </w:rPr>
        <w:t xml:space="preserve"> </w:t>
      </w:r>
      <w:r>
        <w:rPr>
          <w:rFonts w:ascii="Microsoft Sans Serif" w:hAnsi="Microsoft Sans Serif" w:cs="Microsoft Sans Serif"/>
          <w:bCs/>
          <w:sz w:val="20"/>
          <w:szCs w:val="20"/>
          <w:u w:val="single"/>
          <w:lang w:val="sv-SE"/>
        </w:rPr>
        <w:t>20 mg/5 mg, tablete</w:t>
      </w:r>
      <w:r>
        <w:rPr>
          <w:rFonts w:ascii="Microsoft Sans Serif" w:hAnsi="Microsoft Sans Serif" w:cs="Microsoft Sans Serif"/>
          <w:bCs/>
          <w:sz w:val="20"/>
          <w:szCs w:val="20"/>
          <w:u w:val="single"/>
          <w:lang w:val="mk-MK"/>
        </w:rPr>
        <w:t>:</w:t>
      </w:r>
    </w:p>
    <w:p w14:paraId="391E823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 xml:space="preserve">krugle, </w:t>
      </w:r>
      <w:r>
        <w:rPr>
          <w:rFonts w:ascii="Microsoft Sans Serif" w:hAnsi="Microsoft Sans Serif" w:cs="Microsoft Sans Serif"/>
          <w:sz w:val="20"/>
          <w:szCs w:val="20"/>
          <w:lang w:val="mk-MK"/>
        </w:rPr>
        <w:t>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ele do skoro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ele boje,</w:t>
      </w:r>
      <w:r>
        <w:rPr>
          <w:rFonts w:ascii="Microsoft Sans Serif" w:hAnsi="Microsoft Sans Serif" w:cs="Microsoft Sans Serif"/>
          <w:sz w:val="20"/>
          <w:szCs w:val="20"/>
          <w:lang w:val="sv-SE"/>
        </w:rPr>
        <w:t xml:space="preserve"> bikonveksne tablete</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v-SE"/>
        </w:rPr>
        <w:t xml:space="preserve"> sa podionom linijom sa jedne strane i oznakom "</w:t>
      </w:r>
      <w:r>
        <w:rPr>
          <w:rFonts w:ascii="Microsoft Sans Serif" w:hAnsi="Microsoft Sans Serif" w:cs="Microsoft Sans Serif"/>
          <w:sz w:val="20"/>
          <w:szCs w:val="20"/>
          <w:lang w:val="sr-Latn-RS"/>
        </w:rPr>
        <w:t>L A</w:t>
      </w:r>
      <w:r>
        <w:rPr>
          <w:rFonts w:ascii="Microsoft Sans Serif" w:hAnsi="Microsoft Sans Serif" w:cs="Microsoft Sans Serif"/>
          <w:sz w:val="20"/>
          <w:szCs w:val="20"/>
          <w:lang w:val="sr-Cyrl-RS"/>
        </w:rPr>
        <w:t xml:space="preserve"> 1</w:t>
      </w:r>
      <w:r>
        <w:rPr>
          <w:rFonts w:ascii="Microsoft Sans Serif" w:hAnsi="Microsoft Sans Serif" w:cs="Microsoft Sans Serif"/>
          <w:sz w:val="20"/>
          <w:szCs w:val="20"/>
          <w:lang w:val="sv-SE"/>
        </w:rPr>
        <w:t>" sa</w:t>
      </w:r>
      <w:r>
        <w:rPr>
          <w:rFonts w:ascii="Microsoft Sans Serif" w:hAnsi="Microsoft Sans Serif" w:cs="Microsoft Sans Serif"/>
          <w:sz w:val="20"/>
          <w:szCs w:val="20"/>
          <w:lang w:val="sr-Cyrl-RS"/>
        </w:rPr>
        <w:t xml:space="preserve"> d</w:t>
      </w:r>
      <w:r>
        <w:rPr>
          <w:rFonts w:ascii="Microsoft Sans Serif" w:hAnsi="Microsoft Sans Serif" w:cs="Microsoft Sans Serif"/>
          <w:sz w:val="20"/>
          <w:szCs w:val="20"/>
          <w:lang w:val="sv-SE"/>
        </w:rPr>
        <w:t>ruge strane.</w:t>
      </w:r>
    </w:p>
    <w:p w14:paraId="6276CC4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Podiona linija služi samo da olakša loml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enje da bi se lijek lakše progutao, a ne za podjelu na jednake doze.</w:t>
      </w:r>
    </w:p>
    <w:p w14:paraId="0286A3A6">
      <w:pPr>
        <w:widowControl w:val="0"/>
        <w:rPr>
          <w:rFonts w:ascii="Microsoft Sans Serif" w:hAnsi="Microsoft Sans Serif" w:cs="Microsoft Sans Serif"/>
          <w:sz w:val="20"/>
          <w:szCs w:val="20"/>
          <w:lang w:val="sr-Cyrl-RS"/>
        </w:rPr>
      </w:pPr>
    </w:p>
    <w:p w14:paraId="341E0F8B">
      <w:pPr>
        <w:rPr>
          <w:rFonts w:ascii="Microsoft Sans Serif" w:hAnsi="Microsoft Sans Serif" w:cs="Microsoft Sans Serif"/>
          <w:b/>
          <w:sz w:val="20"/>
          <w:szCs w:val="20"/>
          <w:lang w:val="sr-Cyrl-RS"/>
        </w:rPr>
      </w:pPr>
    </w:p>
    <w:p w14:paraId="0240B61B">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 xml:space="preserve">4. </w:t>
      </w:r>
      <w:r>
        <w:rPr>
          <w:rFonts w:ascii="Microsoft Sans Serif" w:hAnsi="Microsoft Sans Serif" w:cs="Microsoft Sans Serif"/>
          <w:b/>
          <w:sz w:val="20"/>
          <w:szCs w:val="20"/>
        </w:rPr>
        <w:t>KLINI</w:t>
      </w:r>
      <w:r>
        <w:rPr>
          <w:rFonts w:ascii="Microsoft Sans Serif" w:hAnsi="Microsoft Sans Serif" w:cs="Microsoft Sans Serif"/>
          <w:b/>
          <w:sz w:val="20"/>
          <w:szCs w:val="20"/>
          <w:lang w:val="sr-Cyrl-RS"/>
        </w:rPr>
        <w:t>Č</w:t>
      </w:r>
      <w:r>
        <w:rPr>
          <w:rFonts w:ascii="Microsoft Sans Serif" w:hAnsi="Microsoft Sans Serif" w:cs="Microsoft Sans Serif"/>
          <w:b/>
          <w:sz w:val="20"/>
          <w:szCs w:val="20"/>
        </w:rPr>
        <w:t>KI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PODACI</w:t>
      </w:r>
    </w:p>
    <w:p w14:paraId="1FFEA8E5">
      <w:pPr>
        <w:rPr>
          <w:rFonts w:ascii="Microsoft Sans Serif" w:hAnsi="Microsoft Sans Serif" w:cs="Microsoft Sans Serif"/>
          <w:b/>
          <w:sz w:val="20"/>
          <w:szCs w:val="20"/>
          <w:lang w:val="sr-Cyrl-RS"/>
        </w:rPr>
      </w:pPr>
    </w:p>
    <w:p w14:paraId="0796D007">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4.1. </w:t>
      </w:r>
      <w:r>
        <w:rPr>
          <w:rFonts w:ascii="Microsoft Sans Serif" w:hAnsi="Microsoft Sans Serif" w:cs="Microsoft Sans Serif"/>
          <w:b/>
          <w:bCs/>
          <w:sz w:val="20"/>
          <w:szCs w:val="20"/>
        </w:rPr>
        <w:t>Terapijske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indikacije</w:t>
      </w:r>
    </w:p>
    <w:p w14:paraId="3FB75915">
      <w:pPr>
        <w:rPr>
          <w:rFonts w:ascii="Microsoft Sans Serif" w:hAnsi="Microsoft Sans Serif" w:cs="Microsoft Sans Serif"/>
          <w:sz w:val="20"/>
          <w:szCs w:val="20"/>
          <w:lang w:val="sr-Cyrl-RS"/>
        </w:rPr>
      </w:pPr>
    </w:p>
    <w:p w14:paraId="77E143D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esencijalne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hipertenzije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odraslih</w:t>
      </w:r>
      <w:r>
        <w:rPr>
          <w:rFonts w:ascii="Microsoft Sans Serif" w:hAnsi="Microsoft Sans Serif" w:cs="Microsoft Sans Serif"/>
          <w:sz w:val="20"/>
          <w:szCs w:val="20"/>
          <w:lang w:val="sr-Cyrl-RS"/>
        </w:rPr>
        <w:t>.</w:t>
      </w:r>
    </w:p>
    <w:p w14:paraId="17F4E5ED">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indikovan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supstituciona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odraslih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pritisak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adekvatno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kontrolisan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dozama</w:t>
      </w:r>
      <w:r>
        <w:rPr>
          <w:rFonts w:ascii="Microsoft Sans Serif" w:hAnsi="Microsoft Sans Serif" w:cs="Microsoft Sans Serif"/>
          <w:sz w:val="20"/>
          <w:szCs w:val="20"/>
          <w:lang w:val="sr-Cyrl-RS"/>
        </w:rPr>
        <w:t>.</w:t>
      </w:r>
    </w:p>
    <w:p w14:paraId="292585F2">
      <w:pPr>
        <w:rPr>
          <w:rFonts w:ascii="Microsoft Sans Serif" w:hAnsi="Microsoft Sans Serif" w:cs="Microsoft Sans Serif"/>
          <w:sz w:val="20"/>
          <w:szCs w:val="20"/>
          <w:lang w:val="sr-Cyrl-RS"/>
        </w:rPr>
      </w:pPr>
    </w:p>
    <w:p w14:paraId="1F906E61">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4.2. Doziranje i način primjene</w:t>
      </w:r>
    </w:p>
    <w:p w14:paraId="02E75470">
      <w:pPr>
        <w:rPr>
          <w:rFonts w:ascii="Microsoft Sans Serif" w:hAnsi="Microsoft Sans Serif" w:cs="Microsoft Sans Serif"/>
          <w:b/>
          <w:bCs/>
          <w:sz w:val="20"/>
          <w:szCs w:val="20"/>
          <w:lang w:val="sv-SE"/>
        </w:rPr>
      </w:pPr>
    </w:p>
    <w:p w14:paraId="7F9EEDF4">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Doziranje</w:t>
      </w:r>
    </w:p>
    <w:p w14:paraId="0F1B9C5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Preporučena doza je jedna tableta na dan. Maksimalna dnevna doza je jedna tableta.</w:t>
      </w:r>
    </w:p>
    <w:p w14:paraId="314A436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Uopšteno, lijekovi koji predstavl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aju fiksne kombinacije nisu pogodni za inicijalnu terapiju. Lijek Skopryl Combo je indikovan samo kod pacijenata kod kojih je optimalna doza održavanja lizinoprilom i amlodipinom titrirana na 10 mg i 5 mg u slučaju primjene lijeka Skopryl Combo jačine 10 mg/5 mg, i na 20 mg i 10 mg u slučaju primjene lijeka Skopryl Combo jačine 20 mg/10 mg i na 20 mg i 5 mg u slučaju primjene lijeka Skopryl Combo jačine 20 mg/5 mg. </w:t>
      </w:r>
    </w:p>
    <w:p w14:paraId="09096373">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Ako je neophodno prilagođavanje doze, može se razmotriti titracija 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sa individualnim komponentama.</w:t>
      </w:r>
    </w:p>
    <w:p w14:paraId="4838E4C1">
      <w:pPr>
        <w:widowControl w:val="0"/>
        <w:rPr>
          <w:rFonts w:ascii="Microsoft Sans Serif" w:hAnsi="Microsoft Sans Serif" w:cs="Microsoft Sans Serif"/>
          <w:sz w:val="20"/>
          <w:szCs w:val="20"/>
          <w:lang w:val="sv-SE"/>
        </w:rPr>
      </w:pPr>
    </w:p>
    <w:p w14:paraId="49AC9FDF">
      <w:pPr>
        <w:widowControl w:val="0"/>
        <w:rPr>
          <w:rFonts w:ascii="Microsoft Sans Serif" w:hAnsi="Microsoft Sans Serif" w:cs="Microsoft Sans Serif"/>
          <w:i/>
          <w:iCs/>
          <w:sz w:val="20"/>
          <w:szCs w:val="20"/>
          <w:u w:val="single"/>
          <w:lang w:val="sr-Cyrl-RS"/>
        </w:rPr>
      </w:pPr>
      <w:r>
        <w:rPr>
          <w:rFonts w:ascii="Microsoft Sans Serif" w:hAnsi="Microsoft Sans Serif" w:cs="Microsoft Sans Serif"/>
          <w:i/>
          <w:iCs/>
          <w:sz w:val="20"/>
          <w:szCs w:val="20"/>
          <w:u w:val="single"/>
          <w:lang w:val="sr-Cyrl-RS"/>
        </w:rPr>
        <w:t>Specijalne populacije</w:t>
      </w:r>
    </w:p>
    <w:p w14:paraId="7E7E0D18">
      <w:pPr>
        <w:widowControl w:val="0"/>
        <w:rPr>
          <w:rFonts w:ascii="Microsoft Sans Serif" w:hAnsi="Microsoft Sans Serif" w:cs="Microsoft Sans Serif"/>
          <w:i/>
          <w:iCs/>
          <w:sz w:val="20"/>
          <w:szCs w:val="20"/>
          <w:u w:val="single"/>
          <w:lang w:val="sr-Cyrl-RS"/>
        </w:rPr>
      </w:pPr>
    </w:p>
    <w:p w14:paraId="44C93ED0">
      <w:pPr>
        <w:widowControl w:val="0"/>
        <w:rPr>
          <w:rFonts w:ascii="Microsoft Sans Serif" w:hAnsi="Microsoft Sans Serif" w:cs="Microsoft Sans Serif"/>
          <w:i/>
          <w:iCs/>
          <w:sz w:val="20"/>
          <w:szCs w:val="20"/>
          <w:lang w:val="sv-SE"/>
        </w:rPr>
      </w:pPr>
      <w:r>
        <w:rPr>
          <w:rFonts w:ascii="Microsoft Sans Serif" w:hAnsi="Microsoft Sans Serif" w:cs="Microsoft Sans Serif"/>
          <w:i/>
          <w:iCs/>
          <w:sz w:val="20"/>
          <w:szCs w:val="20"/>
          <w:lang w:val="sv-SE"/>
        </w:rPr>
        <w:t>Oštećenje funkcije bubrega</w:t>
      </w:r>
    </w:p>
    <w:p w14:paraId="777B9D62">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Da bi se utvrdila optimalna početna doza i doza održavanja kod pacijenata sa oštećenjem funkcije bubrega,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kod tih pacijenata treba individualno titrirati dozu pojedinačnim komponentama tj. lizinoprilom 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 xml:space="preserve">amlodipinom. Tokom terapije lijekom </w:t>
      </w:r>
      <w:r>
        <w:rPr>
          <w:rFonts w:ascii="Microsoft Sans Serif" w:hAnsi="Microsoft Sans Serif" w:cs="Microsoft Sans Serif"/>
          <w:sz w:val="20"/>
          <w:szCs w:val="20"/>
          <w:lang w:val="sv-SE"/>
        </w:rPr>
        <w:t xml:space="preserve">Skopryl Combo </w:t>
      </w:r>
      <w:r>
        <w:rPr>
          <w:rFonts w:ascii="Microsoft Sans Serif" w:hAnsi="Microsoft Sans Serif" w:cs="Microsoft Sans Serif"/>
          <w:iCs/>
          <w:sz w:val="20"/>
          <w:szCs w:val="20"/>
          <w:lang w:val="sv-SE"/>
        </w:rPr>
        <w:t>potrebno je pratiti funkciju</w:t>
      </w:r>
      <w:r>
        <w:rPr>
          <w:rFonts w:ascii="Microsoft Sans Serif" w:hAnsi="Microsoft Sans Serif" w:cs="Microsoft Sans Serif"/>
          <w:iCs/>
          <w:sz w:val="20"/>
          <w:szCs w:val="20"/>
          <w:lang w:val="sr-Cyrl-RS"/>
        </w:rPr>
        <w:t xml:space="preserve"> bubrega</w:t>
      </w:r>
      <w:r>
        <w:rPr>
          <w:rFonts w:ascii="Microsoft Sans Serif" w:hAnsi="Microsoft Sans Serif" w:cs="Microsoft Sans Serif"/>
          <w:iCs/>
          <w:sz w:val="20"/>
          <w:szCs w:val="20"/>
          <w:lang w:val="sv-SE"/>
        </w:rPr>
        <w:t xml:space="preserve"> i koncentraciju kalijuma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i natrijuma u serumu.</w:t>
      </w:r>
    </w:p>
    <w:p w14:paraId="5C51A10D">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 xml:space="preserve">U slučaju pogoršanja bubrežne funkcije, potrebno je prekinuti terapiju lijekom </w:t>
      </w:r>
      <w:r>
        <w:rPr>
          <w:rFonts w:ascii="Microsoft Sans Serif" w:hAnsi="Microsoft Sans Serif" w:cs="Microsoft Sans Serif"/>
          <w:sz w:val="20"/>
          <w:szCs w:val="20"/>
          <w:lang w:val="sv-SE"/>
        </w:rPr>
        <w:t xml:space="preserve">Skopryl Combo </w:t>
      </w:r>
      <w:r>
        <w:rPr>
          <w:rFonts w:ascii="Microsoft Sans Serif" w:hAnsi="Microsoft Sans Serif" w:cs="Microsoft Sans Serif"/>
          <w:iCs/>
          <w:sz w:val="20"/>
          <w:szCs w:val="20"/>
          <w:lang w:val="sv-SE"/>
        </w:rPr>
        <w:t>i nastaviti terapiju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 xml:space="preserve">pojedinačnim komponentama, u prilagođenim dozama. Amlodipin se ne može ukloniti dijalizom. </w:t>
      </w:r>
    </w:p>
    <w:p w14:paraId="429C51A7">
      <w:pPr>
        <w:widowControl w:val="0"/>
        <w:rPr>
          <w:rFonts w:ascii="Microsoft Sans Serif" w:hAnsi="Microsoft Sans Serif" w:cs="Microsoft Sans Serif"/>
          <w:iCs/>
          <w:sz w:val="20"/>
          <w:szCs w:val="20"/>
          <w:lang w:val="sv-SE"/>
        </w:rPr>
      </w:pPr>
    </w:p>
    <w:p w14:paraId="01F55D05">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Oštećenje funkcije jetre</w:t>
      </w:r>
    </w:p>
    <w:p w14:paraId="3CFE4B2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Preporuke za doziranje nisu ustanovl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ene kod pacijenata sa blagim do umjerenim oštećenjem funkcije jetre; zato dozu treba izabrati sa oprezom i započeti doziranje najnižom dozom (pogledati dio 4.4 i 5.2). Kako bi se odredila optimalna početna doza i doza održavanja kod pacijenata sa oštećenjem funkcije jetre, kod tih pacijenata treba individualno titrirati dozu </w:t>
      </w:r>
      <w:r>
        <w:rPr>
          <w:rFonts w:ascii="Microsoft Sans Serif" w:hAnsi="Microsoft Sans Serif" w:cs="Microsoft Sans Serif"/>
          <w:sz w:val="20"/>
          <w:szCs w:val="20"/>
          <w:lang w:val="sr-Cyrl-RS"/>
        </w:rPr>
        <w:t>koristeći pojedinačne komponente</w:t>
      </w:r>
      <w:r>
        <w:rPr>
          <w:rFonts w:ascii="Microsoft Sans Serif" w:hAnsi="Microsoft Sans Serif" w:cs="Microsoft Sans Serif"/>
          <w:sz w:val="20"/>
          <w:szCs w:val="20"/>
          <w:lang w:val="sv-SE"/>
        </w:rPr>
        <w:t xml:space="preserve"> lizinoprila i amlodipina. Farmakokinetika amlodipina nije ispitivana kod </w:t>
      </w:r>
      <w:r>
        <w:rPr>
          <w:rFonts w:ascii="Microsoft Sans Serif" w:hAnsi="Microsoft Sans Serif" w:cs="Microsoft Sans Serif"/>
          <w:sz w:val="20"/>
          <w:szCs w:val="20"/>
          <w:lang w:val="sr-Cyrl-RS"/>
        </w:rPr>
        <w:t xml:space="preserve">pacijenata sa </w:t>
      </w:r>
      <w:r>
        <w:rPr>
          <w:rFonts w:ascii="Microsoft Sans Serif" w:hAnsi="Microsoft Sans Serif" w:cs="Microsoft Sans Serif"/>
          <w:sz w:val="20"/>
          <w:szCs w:val="20"/>
          <w:lang w:val="sv-SE"/>
        </w:rPr>
        <w:t>tešk</w:t>
      </w:r>
      <w:r>
        <w:rPr>
          <w:rFonts w:ascii="Microsoft Sans Serif" w:hAnsi="Microsoft Sans Serif" w:cs="Microsoft Sans Serif"/>
          <w:sz w:val="20"/>
          <w:szCs w:val="20"/>
          <w:lang w:val="sr-Cyrl-RS"/>
        </w:rPr>
        <w:t>im</w:t>
      </w:r>
      <w:r>
        <w:rPr>
          <w:rFonts w:ascii="Microsoft Sans Serif" w:hAnsi="Microsoft Sans Serif" w:cs="Microsoft Sans Serif"/>
          <w:sz w:val="20"/>
          <w:szCs w:val="20"/>
          <w:lang w:val="sv-SE"/>
        </w:rPr>
        <w:t xml:space="preserve"> oštećenj</w:t>
      </w:r>
      <w:r>
        <w:rPr>
          <w:rFonts w:ascii="Microsoft Sans Serif" w:hAnsi="Microsoft Sans Serif" w:cs="Microsoft Sans Serif"/>
          <w:sz w:val="20"/>
          <w:szCs w:val="20"/>
          <w:lang w:val="sr-Cyrl-RS"/>
        </w:rPr>
        <w:t>em</w:t>
      </w:r>
      <w:r>
        <w:rPr>
          <w:rFonts w:ascii="Microsoft Sans Serif" w:hAnsi="Microsoft Sans Serif" w:cs="Microsoft Sans Serif"/>
          <w:sz w:val="20"/>
          <w:szCs w:val="20"/>
          <w:lang w:val="sv-SE"/>
        </w:rPr>
        <w:t xml:space="preserve"> funkcije jetre. Kod pacijenata sa teškim oštećenjem funkcije jetre, uvođenje amlodipina treba započeti sa najnižom dozom i polako titrirati dozu.</w:t>
      </w:r>
    </w:p>
    <w:p w14:paraId="02950151">
      <w:pPr>
        <w:widowControl w:val="0"/>
        <w:rPr>
          <w:rFonts w:ascii="Microsoft Sans Serif" w:hAnsi="Microsoft Sans Serif" w:cs="Microsoft Sans Serif"/>
          <w:i/>
          <w:sz w:val="20"/>
          <w:szCs w:val="20"/>
          <w:lang w:val="sv-SE"/>
        </w:rPr>
      </w:pPr>
    </w:p>
    <w:p w14:paraId="2960401E">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Pedijatrijska populacija (</w:t>
      </w:r>
      <w:r>
        <w:rPr>
          <w:rFonts w:ascii="Microsoft Sans Serif" w:hAnsi="Microsoft Sans Serif" w:cs="Microsoft Sans Serif"/>
          <w:i/>
          <w:sz w:val="20"/>
          <w:szCs w:val="20"/>
          <w:lang w:val="sr-Cyrl-RS"/>
        </w:rPr>
        <w:t>d</w:t>
      </w:r>
      <w:r>
        <w:rPr>
          <w:rFonts w:ascii="Microsoft Sans Serif" w:hAnsi="Microsoft Sans Serif" w:cs="Microsoft Sans Serif"/>
          <w:i/>
          <w:sz w:val="20"/>
          <w:szCs w:val="20"/>
          <w:lang w:val="sr-Latn-RS"/>
        </w:rPr>
        <w:t>j</w:t>
      </w:r>
      <w:r>
        <w:rPr>
          <w:rFonts w:ascii="Microsoft Sans Serif" w:hAnsi="Microsoft Sans Serif" w:cs="Microsoft Sans Serif"/>
          <w:i/>
          <w:sz w:val="20"/>
          <w:szCs w:val="20"/>
          <w:lang w:val="sr-Cyrl-RS"/>
        </w:rPr>
        <w:t>eca mlađa od</w:t>
      </w:r>
      <w:r>
        <w:rPr>
          <w:rFonts w:ascii="Microsoft Sans Serif" w:hAnsi="Microsoft Sans Serif" w:cs="Microsoft Sans Serif"/>
          <w:i/>
          <w:sz w:val="20"/>
          <w:szCs w:val="20"/>
          <w:lang w:val="sv-SE"/>
        </w:rPr>
        <w:t xml:space="preserve"> 18 godina)</w:t>
      </w:r>
    </w:p>
    <w:p w14:paraId="6C88818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Bezbjednost i efikasnost primjene lijeka Skopryl Combo kod djece </w:t>
      </w:r>
      <w:r>
        <w:rPr>
          <w:rFonts w:ascii="Microsoft Sans Serif" w:hAnsi="Microsoft Sans Serif" w:cs="Microsoft Sans Serif"/>
          <w:sz w:val="20"/>
          <w:szCs w:val="20"/>
          <w:lang w:val="sr-Cyrl-RS"/>
        </w:rPr>
        <w:t xml:space="preserve">mlađe od </w:t>
      </w:r>
      <w:r>
        <w:rPr>
          <w:rFonts w:ascii="Microsoft Sans Serif" w:hAnsi="Microsoft Sans Serif" w:cs="Microsoft Sans Serif"/>
          <w:sz w:val="20"/>
          <w:szCs w:val="20"/>
          <w:lang w:val="sv-SE"/>
        </w:rPr>
        <w:t>18 godina nije ustanovl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w:t>
      </w:r>
    </w:p>
    <w:p w14:paraId="4BDD5B6D">
      <w:pPr>
        <w:widowControl w:val="0"/>
        <w:rPr>
          <w:rFonts w:ascii="Microsoft Sans Serif" w:hAnsi="Microsoft Sans Serif" w:cs="Microsoft Sans Serif"/>
          <w:sz w:val="20"/>
          <w:szCs w:val="20"/>
          <w:lang w:val="sv-SE"/>
        </w:rPr>
      </w:pPr>
    </w:p>
    <w:p w14:paraId="0609408A">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Stariji pacijenti (&gt; 65 godina)</w:t>
      </w:r>
    </w:p>
    <w:p w14:paraId="2BFD9CB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Starije pacijente treba lečiti sa oprezom.</w:t>
      </w:r>
    </w:p>
    <w:p w14:paraId="3B72D7C0">
      <w:pPr>
        <w:widowControl w:val="0"/>
        <w:tabs>
          <w:tab w:val="left" w:pos="142"/>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kliničkim studijama, tokom primjene amlodipina ili lizinoprila nije zabilježena promjena u efikasnosti i bezbjednosti povezana sa uzrast. Da bi se utvrdila optimalna doza održavanja kod starijih pacijenata potrebno je individualno titrirati dozu koristeći pojedinačne komponente lizinopril i amlodipin.</w:t>
      </w:r>
    </w:p>
    <w:p w14:paraId="3FCBB977">
      <w:pPr>
        <w:widowControl w:val="0"/>
        <w:rPr>
          <w:rFonts w:ascii="Microsoft Sans Serif" w:hAnsi="Microsoft Sans Serif" w:cs="Microsoft Sans Serif"/>
          <w:sz w:val="20"/>
          <w:szCs w:val="20"/>
          <w:u w:val="single"/>
          <w:lang w:val="sv-SE"/>
        </w:rPr>
      </w:pPr>
    </w:p>
    <w:p w14:paraId="0596E679">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Način primjene</w:t>
      </w:r>
    </w:p>
    <w:p w14:paraId="09145413">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Oralna upotreba.</w:t>
      </w:r>
    </w:p>
    <w:p w14:paraId="6BEA258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Budući da hrana ne utiče na resorpciju lijeka, lijek Skopryl Combo se može uzimati nezavisno od obroka.</w:t>
      </w:r>
    </w:p>
    <w:p w14:paraId="10ADC672">
      <w:pPr>
        <w:widowControl w:val="0"/>
        <w:rPr>
          <w:rFonts w:ascii="Microsoft Sans Serif" w:hAnsi="Microsoft Sans Serif" w:cs="Microsoft Sans Serif"/>
          <w:sz w:val="20"/>
          <w:szCs w:val="20"/>
          <w:lang w:val="sv-SE"/>
        </w:rPr>
      </w:pPr>
    </w:p>
    <w:p w14:paraId="75A2AB33">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4.3. Kontraindikacije</w:t>
      </w:r>
    </w:p>
    <w:p w14:paraId="7C8EAEAC">
      <w:pPr>
        <w:rPr>
          <w:rFonts w:ascii="Microsoft Sans Serif" w:hAnsi="Microsoft Sans Serif" w:cs="Microsoft Sans Serif"/>
          <w:sz w:val="20"/>
          <w:szCs w:val="20"/>
          <w:lang w:val="sv-SE"/>
        </w:rPr>
      </w:pPr>
    </w:p>
    <w:p w14:paraId="08CFF319">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Vezane za lizinopril</w:t>
      </w:r>
    </w:p>
    <w:p w14:paraId="2CADCE3D">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 na lizinopril ili na bilo koji drugi inhibitor angiotenzin konvertujućeg enzima (ACE inhibitor);</w:t>
      </w:r>
    </w:p>
    <w:p w14:paraId="22CDD0E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angioedem u anamnezi, povezan sa prethodnom primjenom ACE inhibitora;</w:t>
      </w:r>
    </w:p>
    <w:p w14:paraId="4CD4FAF9">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nasljedni ili idiopatski angioedem;</w:t>
      </w:r>
    </w:p>
    <w:p w14:paraId="21AD0B5C">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drugi i treći trimestar trudnoće (pogledati dijelove 4.4 i 4.6);</w:t>
      </w:r>
    </w:p>
    <w:p w14:paraId="0699874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istovremena primjena lijeka Skopryl Combo sa lijekovima koji sadrže aliskiren kontraindikovana je kod pacijenata koji imaju diabetes melitus ili oštećenje funkcije bubrega (GFR &lt; 60 ml/min/1.73 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(pogledati dijelove 4.5 i 5.1)</w:t>
      </w:r>
    </w:p>
    <w:p w14:paraId="4AE7E492">
      <w:pPr>
        <w:pStyle w:val="15"/>
        <w:jc w:val="both"/>
        <w:rPr>
          <w:rFonts w:ascii="Microsoft Sans Serif" w:hAnsi="Microsoft Sans Serif" w:cs="Microsoft Sans Serif"/>
          <w:lang w:val="sr-Cyrl-RS"/>
        </w:rPr>
      </w:pPr>
      <w:r>
        <w:rPr>
          <w:rFonts w:ascii="Microsoft Sans Serif" w:hAnsi="Microsoft Sans Serif" w:cs="Microsoft Sans Serif"/>
          <w:lang w:val="sv-SE"/>
        </w:rPr>
        <w:t>- i</w:t>
      </w:r>
      <w:r>
        <w:rPr>
          <w:rFonts w:ascii="Microsoft Sans Serif" w:hAnsi="Microsoft Sans Serif" w:cs="Microsoft Sans Serif"/>
          <w:lang w:val="sr-Cyrl-RS"/>
        </w:rPr>
        <w:t>stovremena prim</w:t>
      </w:r>
      <w:r>
        <w:rPr>
          <w:rFonts w:ascii="Microsoft Sans Serif" w:hAnsi="Microsoft Sans Serif" w:cs="Microsoft Sans Serif"/>
          <w:lang w:val="sr-Latn-RS"/>
        </w:rPr>
        <w:t>j</w:t>
      </w:r>
      <w:r>
        <w:rPr>
          <w:rFonts w:ascii="Microsoft Sans Serif" w:hAnsi="Microsoft Sans Serif" w:cs="Microsoft Sans Serif"/>
          <w:lang w:val="sr-Cyrl-RS"/>
        </w:rPr>
        <w:t>ena sa sakubitrilom/valsartanom. L</w:t>
      </w:r>
      <w:r>
        <w:rPr>
          <w:rFonts w:ascii="Microsoft Sans Serif" w:hAnsi="Microsoft Sans Serif" w:cs="Microsoft Sans Serif"/>
          <w:lang w:val="sr-Latn-RS"/>
        </w:rPr>
        <w:t>ij</w:t>
      </w:r>
      <w:r>
        <w:rPr>
          <w:rFonts w:ascii="Microsoft Sans Serif" w:hAnsi="Microsoft Sans Serif" w:cs="Microsoft Sans Serif"/>
          <w:lang w:val="sr-Cyrl-RS"/>
        </w:rPr>
        <w:t xml:space="preserve">ek </w:t>
      </w:r>
      <w:r>
        <w:rPr>
          <w:rFonts w:ascii="Microsoft Sans Serif" w:hAnsi="Microsoft Sans Serif" w:cs="Microsoft Sans Serif"/>
        </w:rPr>
        <w:t>Skopryl</w:t>
      </w:r>
      <w:r>
        <w:rPr>
          <w:rFonts w:ascii="Microsoft Sans Serif" w:hAnsi="Microsoft Sans Serif" w:cs="Microsoft Sans Serif"/>
          <w:lang w:val="sr-Cyrl-RS"/>
        </w:rPr>
        <w:t xml:space="preserve"> </w:t>
      </w:r>
      <w:r>
        <w:rPr>
          <w:rFonts w:ascii="Microsoft Sans Serif" w:hAnsi="Microsoft Sans Serif" w:cs="Microsoft Sans Serif"/>
        </w:rPr>
        <w:t>Combo</w:t>
      </w:r>
      <w:r>
        <w:rPr>
          <w:rFonts w:ascii="Microsoft Sans Serif" w:hAnsi="Microsoft Sans Serif" w:cs="Microsoft Sans Serif"/>
          <w:lang w:val="sr-Cyrl-RS"/>
        </w:rPr>
        <w:t xml:space="preserve"> se ne sm</w:t>
      </w:r>
      <w:r>
        <w:rPr>
          <w:rFonts w:ascii="Microsoft Sans Serif" w:hAnsi="Microsoft Sans Serif" w:cs="Microsoft Sans Serif"/>
          <w:lang w:val="sr-Latn-RS"/>
        </w:rPr>
        <w:t>ij</w:t>
      </w:r>
      <w:r>
        <w:rPr>
          <w:rFonts w:ascii="Microsoft Sans Serif" w:hAnsi="Microsoft Sans Serif" w:cs="Microsoft Sans Serif"/>
          <w:lang w:val="sr-Cyrl-RS"/>
        </w:rPr>
        <w:t>e davati ranije od 36 sati nakon zadnje doze sakubitrila/valsartana (</w:t>
      </w:r>
      <w:r>
        <w:rPr>
          <w:rFonts w:ascii="Microsoft Sans Serif" w:hAnsi="Microsoft Sans Serif" w:cs="Microsoft Sans Serif"/>
        </w:rPr>
        <w:t>pogledati</w:t>
      </w:r>
      <w:r>
        <w:rPr>
          <w:rFonts w:ascii="Microsoft Sans Serif" w:hAnsi="Microsoft Sans Serif" w:cs="Microsoft Sans Serif"/>
          <w:lang w:val="sr-Cyrl-RS"/>
        </w:rPr>
        <w:t xml:space="preserve"> </w:t>
      </w:r>
      <w:r>
        <w:rPr>
          <w:rFonts w:ascii="Microsoft Sans Serif" w:hAnsi="Microsoft Sans Serif" w:cs="Microsoft Sans Serif"/>
        </w:rPr>
        <w:t>dijelove</w:t>
      </w:r>
      <w:r>
        <w:rPr>
          <w:rFonts w:ascii="Microsoft Sans Serif" w:hAnsi="Microsoft Sans Serif" w:cs="Microsoft Sans Serif"/>
          <w:lang w:val="sr-Cyrl-RS"/>
        </w:rPr>
        <w:t xml:space="preserve"> 4.4 i 4.5).</w:t>
      </w:r>
    </w:p>
    <w:p w14:paraId="3D3881D7">
      <w:pPr>
        <w:pStyle w:val="20"/>
        <w:widowControl w:val="0"/>
        <w:ind w:left="0"/>
        <w:rPr>
          <w:rFonts w:ascii="Microsoft Sans Serif" w:hAnsi="Microsoft Sans Serif" w:cs="Microsoft Sans Serif"/>
          <w:sz w:val="20"/>
          <w:szCs w:val="20"/>
          <w:lang w:val="sr-Cyrl-RS"/>
        </w:rPr>
      </w:pPr>
    </w:p>
    <w:p w14:paraId="3BD9F5EA">
      <w:pPr>
        <w:pStyle w:val="20"/>
        <w:widowControl w:val="0"/>
        <w:ind w:left="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Vezane za amlodipin</w:t>
      </w:r>
    </w:p>
    <w:p w14:paraId="33BBDF8F">
      <w:pPr>
        <w:widowControl w:val="0"/>
        <w:numPr>
          <w:ilvl w:val="0"/>
          <w:numId w:val="1"/>
        </w:numPr>
        <w:tabs>
          <w:tab w:val="left" w:pos="142"/>
          <w:tab w:val="clear" w:pos="284"/>
        </w:tabs>
        <w:ind w:left="0" w:firstLine="0"/>
        <w:jc w:val="left"/>
        <w:rPr>
          <w:rFonts w:ascii="Microsoft Sans Serif" w:hAnsi="Microsoft Sans Serif" w:cs="Microsoft Sans Serif"/>
          <w:sz w:val="20"/>
          <w:szCs w:val="20"/>
          <w:lang w:val="sv-SE"/>
        </w:rPr>
      </w:pPr>
      <w:r>
        <w:rPr>
          <w:rFonts w:ascii="Microsoft Sans Serif" w:hAnsi="Microsoft Sans Serif" w:cs="Microsoft Sans Serif"/>
          <w:iCs/>
          <w:sz w:val="20"/>
          <w:szCs w:val="20"/>
          <w:lang w:val="sv-SE"/>
        </w:rPr>
        <w:t>p</w:t>
      </w:r>
      <w:r>
        <w:rPr>
          <w:rFonts w:ascii="Microsoft Sans Serif" w:hAnsi="Microsoft Sans Serif" w:cs="Microsoft Sans Serif"/>
          <w:iCs/>
          <w:sz w:val="20"/>
          <w:szCs w:val="20"/>
          <w:lang w:val="sr-Cyrl-RS"/>
        </w:rPr>
        <w:t>reos</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etlјivost na amlodipin ili na neki drugi derivat dihidropiridina</w:t>
      </w:r>
      <w:r>
        <w:rPr>
          <w:rFonts w:ascii="Microsoft Sans Serif" w:hAnsi="Microsoft Sans Serif" w:cs="Microsoft Sans Serif"/>
          <w:iCs/>
          <w:sz w:val="20"/>
          <w:szCs w:val="20"/>
          <w:lang w:val="hr-BA"/>
        </w:rPr>
        <w:t>;</w:t>
      </w:r>
    </w:p>
    <w:p w14:paraId="497C4AB7">
      <w:pPr>
        <w:widowControl w:val="0"/>
        <w:numPr>
          <w:ilvl w:val="0"/>
          <w:numId w:val="1"/>
        </w:numPr>
        <w:tabs>
          <w:tab w:val="left" w:pos="142"/>
          <w:tab w:val="clear" w:pos="284"/>
        </w:tabs>
        <w:ind w:left="0" w:firstLine="0"/>
        <w:jc w:val="left"/>
        <w:rPr>
          <w:rFonts w:ascii="Microsoft Sans Serif" w:hAnsi="Microsoft Sans Serif" w:cs="Microsoft Sans Serif"/>
          <w:sz w:val="20"/>
          <w:szCs w:val="20"/>
          <w:lang w:val="en-GB"/>
        </w:rPr>
      </w:pPr>
      <w:r>
        <w:rPr>
          <w:rFonts w:ascii="Microsoft Sans Serif" w:hAnsi="Microsoft Sans Serif" w:cs="Microsoft Sans Serif"/>
          <w:iCs/>
          <w:sz w:val="20"/>
          <w:szCs w:val="20"/>
        </w:rPr>
        <w:t>t</w:t>
      </w:r>
      <w:r>
        <w:rPr>
          <w:rFonts w:ascii="Microsoft Sans Serif" w:hAnsi="Microsoft Sans Serif" w:cs="Microsoft Sans Serif"/>
          <w:iCs/>
          <w:sz w:val="20"/>
          <w:szCs w:val="20"/>
          <w:lang w:val="sr-Cyrl-RS"/>
        </w:rPr>
        <w:t>eška hipotenzija</w:t>
      </w:r>
      <w:r>
        <w:rPr>
          <w:rFonts w:ascii="Microsoft Sans Serif" w:hAnsi="Microsoft Sans Serif" w:cs="Microsoft Sans Serif"/>
          <w:iCs/>
          <w:sz w:val="20"/>
          <w:szCs w:val="20"/>
          <w:lang w:val="hr-BA"/>
        </w:rPr>
        <w:t>;</w:t>
      </w:r>
    </w:p>
    <w:p w14:paraId="404B192F">
      <w:pPr>
        <w:pStyle w:val="20"/>
        <w:widowControl w:val="0"/>
        <w:numPr>
          <w:ilvl w:val="0"/>
          <w:numId w:val="1"/>
        </w:numPr>
        <w:tabs>
          <w:tab w:val="left" w:pos="142"/>
        </w:tabs>
        <w:ind w:left="0" w:firstLine="0"/>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š</w:t>
      </w:r>
      <w:r>
        <w:rPr>
          <w:rFonts w:ascii="Microsoft Sans Serif" w:hAnsi="Microsoft Sans Serif" w:cs="Microsoft Sans Serif"/>
          <w:sz w:val="20"/>
          <w:szCs w:val="20"/>
          <w:lang w:val="sr-Cyrl-RS"/>
        </w:rPr>
        <w:t>ok (uklјučujući i srčani udar)</w:t>
      </w:r>
      <w:r>
        <w:rPr>
          <w:rFonts w:ascii="Microsoft Sans Serif" w:hAnsi="Microsoft Sans Serif" w:cs="Microsoft Sans Serif"/>
          <w:sz w:val="20"/>
          <w:szCs w:val="20"/>
          <w:lang w:val="hr-BA"/>
        </w:rPr>
        <w:t>;</w:t>
      </w:r>
    </w:p>
    <w:p w14:paraId="1C11FD96">
      <w:pPr>
        <w:widowControl w:val="0"/>
        <w:numPr>
          <w:ilvl w:val="0"/>
          <w:numId w:val="1"/>
        </w:numPr>
        <w:tabs>
          <w:tab w:val="left" w:pos="142"/>
          <w:tab w:val="clear" w:pos="284"/>
        </w:tabs>
        <w:ind w:left="0" w:firstLine="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hr-BA"/>
        </w:rPr>
        <w:t>o</w:t>
      </w:r>
      <w:r>
        <w:rPr>
          <w:rFonts w:ascii="Microsoft Sans Serif" w:hAnsi="Microsoft Sans Serif" w:cs="Microsoft Sans Serif"/>
          <w:sz w:val="20"/>
          <w:szCs w:val="20"/>
          <w:lang w:val="sr-Cyrl-RS"/>
        </w:rPr>
        <w:t>pstrukcija izlaznog trakta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eve komore (aortna stenoza visokog stepena)</w:t>
      </w:r>
      <w:r>
        <w:rPr>
          <w:rFonts w:ascii="Microsoft Sans Serif" w:hAnsi="Microsoft Sans Serif" w:cs="Microsoft Sans Serif"/>
          <w:sz w:val="20"/>
          <w:szCs w:val="20"/>
          <w:lang w:val="hr-BA"/>
        </w:rPr>
        <w:t>;</w:t>
      </w:r>
    </w:p>
    <w:p w14:paraId="793A3157">
      <w:pPr>
        <w:widowControl w:val="0"/>
        <w:numPr>
          <w:ilvl w:val="0"/>
          <w:numId w:val="1"/>
        </w:numPr>
        <w:tabs>
          <w:tab w:val="left" w:pos="142"/>
          <w:tab w:val="clear" w:pos="284"/>
        </w:tabs>
        <w:ind w:left="0" w:firstLine="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hr-BA"/>
        </w:rPr>
        <w:t>h</w:t>
      </w:r>
      <w:r>
        <w:rPr>
          <w:rFonts w:ascii="Microsoft Sans Serif" w:hAnsi="Microsoft Sans Serif" w:cs="Microsoft Sans Serif"/>
          <w:sz w:val="20"/>
          <w:szCs w:val="20"/>
          <w:lang w:val="sr-Cyrl-RS"/>
        </w:rPr>
        <w:t>emodinamska nestabilna srčana insuficijencija nakon akutnog infarkta miokarda.</w:t>
      </w:r>
    </w:p>
    <w:p w14:paraId="4883CC3E">
      <w:pPr>
        <w:widowControl w:val="0"/>
        <w:tabs>
          <w:tab w:val="clear" w:pos="284"/>
        </w:tabs>
        <w:jc w:val="left"/>
        <w:rPr>
          <w:rFonts w:ascii="Microsoft Sans Serif" w:hAnsi="Microsoft Sans Serif" w:cs="Microsoft Sans Serif"/>
          <w:sz w:val="20"/>
          <w:szCs w:val="20"/>
          <w:lang w:val="sv-SE"/>
        </w:rPr>
      </w:pPr>
    </w:p>
    <w:p w14:paraId="033F4743">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v-SE"/>
        </w:rPr>
        <w:t xml:space="preserve">Vezane za lijek </w:t>
      </w:r>
      <w:r>
        <w:rPr>
          <w:rFonts w:ascii="Microsoft Sans Serif" w:hAnsi="Microsoft Sans Serif" w:cs="Microsoft Sans Serif"/>
          <w:sz w:val="20"/>
          <w:szCs w:val="20"/>
          <w:lang w:val="sv-SE"/>
        </w:rPr>
        <w:t xml:space="preserve">Skopryl Combo </w:t>
      </w:r>
    </w:p>
    <w:p w14:paraId="2D9D758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Sve prethodno navedene kontraindikacije koje se odnose na pojedinačne komponente se takođe odnose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na fiksnu kombinaciju lijeka Skopryl Combo</w:t>
      </w:r>
      <w:r>
        <w:rPr>
          <w:rFonts w:ascii="Microsoft Sans Serif" w:hAnsi="Microsoft Sans Serif" w:cs="Microsoft Sans Serif"/>
          <w:sz w:val="20"/>
          <w:szCs w:val="20"/>
          <w:lang w:val="sr-Cyrl-RS"/>
        </w:rPr>
        <w:t>.</w:t>
      </w:r>
    </w:p>
    <w:p w14:paraId="0CB3CCD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preosetl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ivost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pomo</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supstanci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navedenih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dijelu</w:t>
      </w:r>
      <w:r>
        <w:rPr>
          <w:rFonts w:ascii="Microsoft Sans Serif" w:hAnsi="Microsoft Sans Serif" w:cs="Microsoft Sans Serif"/>
          <w:sz w:val="20"/>
          <w:szCs w:val="20"/>
          <w:lang w:val="sr-Cyrl-RS"/>
        </w:rPr>
        <w:t xml:space="preserve"> 6.1.</w:t>
      </w:r>
    </w:p>
    <w:p w14:paraId="68C60F12">
      <w:pPr>
        <w:rPr>
          <w:rFonts w:ascii="Microsoft Sans Serif" w:hAnsi="Microsoft Sans Serif" w:cs="Microsoft Sans Serif"/>
          <w:sz w:val="20"/>
          <w:szCs w:val="20"/>
          <w:lang w:val="sr-Cyrl-RS"/>
        </w:rPr>
      </w:pPr>
    </w:p>
    <w:p w14:paraId="113D23DF">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4.4. </w:t>
      </w:r>
      <w:r>
        <w:rPr>
          <w:rFonts w:ascii="Microsoft Sans Serif" w:hAnsi="Microsoft Sans Serif" w:cs="Microsoft Sans Serif"/>
          <w:b/>
          <w:bCs/>
          <w:sz w:val="20"/>
          <w:szCs w:val="20"/>
          <w:lang w:val="ru-RU"/>
        </w:rPr>
        <w:t>Posebna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upozorenja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mere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opreza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pri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upotrebi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ru-RU"/>
        </w:rPr>
        <w:t>eka</w:t>
      </w:r>
    </w:p>
    <w:p w14:paraId="7195DEED">
      <w:pPr>
        <w:rPr>
          <w:rFonts w:ascii="Microsoft Sans Serif" w:hAnsi="Microsoft Sans Serif" w:cs="Microsoft Sans Serif"/>
          <w:sz w:val="20"/>
          <w:szCs w:val="20"/>
          <w:lang w:val="sr-Cyrl-RS"/>
        </w:rPr>
      </w:pPr>
    </w:p>
    <w:p w14:paraId="1D961DCA">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Sva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upozorenja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opisana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nastavku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odnose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pojedina</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komponente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odnose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tako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fiksnu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kombinaciju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Cyrl-RS"/>
        </w:rPr>
        <w:t>.</w:t>
      </w:r>
    </w:p>
    <w:p w14:paraId="2301933E">
      <w:pPr>
        <w:widowControl w:val="0"/>
        <w:rPr>
          <w:rFonts w:ascii="Microsoft Sans Serif" w:hAnsi="Microsoft Sans Serif" w:cs="Microsoft Sans Serif"/>
          <w:sz w:val="20"/>
          <w:szCs w:val="20"/>
          <w:lang w:val="sr-Cyrl-RS"/>
        </w:rPr>
      </w:pPr>
    </w:p>
    <w:p w14:paraId="0E7A8898">
      <w:pPr>
        <w:widowControl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Vezana za lizinopril</w:t>
      </w:r>
    </w:p>
    <w:p w14:paraId="0DD6E53F">
      <w:pPr>
        <w:widowControl w:val="0"/>
        <w:rPr>
          <w:rFonts w:ascii="Microsoft Sans Serif" w:hAnsi="Microsoft Sans Serif" w:cs="Microsoft Sans Serif"/>
          <w:i/>
          <w:sz w:val="20"/>
          <w:szCs w:val="20"/>
          <w:u w:val="single"/>
          <w:lang w:val="sr-Cyrl-RS"/>
        </w:rPr>
      </w:pPr>
    </w:p>
    <w:p w14:paraId="082553F1">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Simptomatska hipotenzija</w:t>
      </w:r>
    </w:p>
    <w:p w14:paraId="1B1204E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Simptomatska hipotenzija se retko viđa kod pacijenata sa nekomplikovanom hipertenzijom.</w:t>
      </w:r>
    </w:p>
    <w:p w14:paraId="1D535FF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Kod hipertenzivnih pacijenata koji su na terapiji lizinoprilom, veća je verovatnoća da će se hipotenzija javiti ako je kod pacijenata smanjen volumen krvi, usl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 npr. terapije diuretikom, režima ishrane sa smanjenim unosom soli, dijalize, dijareje ili povraćanja, ili ako imaju tešku renin-zavisnu hipertenziju (</w:t>
      </w:r>
      <w:r>
        <w:rPr>
          <w:rFonts w:ascii="Microsoft Sans Serif" w:hAnsi="Microsoft Sans Serif" w:cs="Microsoft Sans Serif"/>
          <w:sz w:val="20"/>
          <w:szCs w:val="20"/>
          <w:lang w:val="sr-Latn-RS"/>
        </w:rPr>
        <w:t>pogledati dijelove</w:t>
      </w:r>
      <w:r>
        <w:rPr>
          <w:rFonts w:ascii="Microsoft Sans Serif" w:hAnsi="Microsoft Sans Serif" w:cs="Microsoft Sans Serif"/>
          <w:sz w:val="20"/>
          <w:szCs w:val="20"/>
          <w:lang w:val="sr-Cyrl-RS"/>
        </w:rPr>
        <w:t xml:space="preserve"> 4.5 i 4.8). Kod pacijenata sa srčanom insuficijencijom sa ili bez povezane renalne insuficijencije,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ećena je simptomatska hipotenzija. Ovo se najčešće javlјa kod pacijenata koji imaju teži oblik srčane insuficijencije, </w:t>
      </w:r>
      <w:r>
        <w:rPr>
          <w:rFonts w:ascii="Microsoft Sans Serif" w:hAnsi="Microsoft Sans Serif" w:cs="Microsoft Sans Serif"/>
          <w:sz w:val="20"/>
          <w:szCs w:val="20"/>
          <w:lang w:val="hr-BA"/>
        </w:rPr>
        <w:t xml:space="preserve">kao odraz </w:t>
      </w:r>
      <w:r>
        <w:rPr>
          <w:rFonts w:ascii="Microsoft Sans Serif" w:hAnsi="Microsoft Sans Serif" w:cs="Microsoft Sans Serif"/>
          <w:sz w:val="20"/>
          <w:szCs w:val="20"/>
          <w:lang w:val="sr-Cyrl-RS"/>
        </w:rPr>
        <w:t>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ene visokih doza diuretika Henleove petlјe, hiponatremiju ili funkcionalno renalno oštećenje. Kod pacijenata sa povećanim rizikom od simptomatske hipotenzije, uvođenje terapije i prilagođavanje doze treba </w:t>
      </w:r>
      <w:r>
        <w:rPr>
          <w:rFonts w:ascii="Microsoft Sans Serif" w:hAnsi="Microsoft Sans Serif" w:cs="Microsoft Sans Serif"/>
          <w:sz w:val="20"/>
          <w:szCs w:val="20"/>
        </w:rPr>
        <w:t>pratiti</w:t>
      </w:r>
      <w:r>
        <w:rPr>
          <w:rFonts w:ascii="Microsoft Sans Serif" w:hAnsi="Microsoft Sans Serif" w:cs="Microsoft Sans Serif"/>
          <w:sz w:val="20"/>
          <w:szCs w:val="20"/>
          <w:lang w:val="sr-Cyrl-RS"/>
        </w:rPr>
        <w:t xml:space="preserve"> pažlјivo. Slično se odnosi i na pacijente sa ishemijskim srčanim ili cerebrovaskularnim obolјenjem kod kojih prekom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eran pad krvnog pritiska može da dovede do infarkta miokarda ili cerebrovaskularnog događaja.</w:t>
      </w:r>
    </w:p>
    <w:p w14:paraId="22959A91">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Ako dođe do hipotenzije, pacijenta treba postaviti u ležeći položaj i ako je neophodno,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eniti intravensku infuziju fiziološkog rastvora. Prolazni hipotenzivni odgovor nije kontraindikacija za naredne doze, koje se mogu dati uobičajeno, bez problema, kada se krvni pritisak poveća usl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 povećanja volumena krvi.</w:t>
      </w:r>
    </w:p>
    <w:p w14:paraId="60576E9C">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Kod nekih pacijenata sa srčanom insuficijencijom koji imaju normalan ili nizak krvni pritisak, može da se javi dodatno sniženje sistemskog krvnog pritiska pri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eni lizinoprila. Ovo dejstvo je očekivano i obično nije razlog da se prekine terapija. Ako hipotenzija postane simptomatska, može biti neophodno smanjenje doze lizinoprila ili prekid terapije.</w:t>
      </w:r>
    </w:p>
    <w:p w14:paraId="153B50E2">
      <w:pPr>
        <w:widowControl w:val="0"/>
        <w:rPr>
          <w:rFonts w:ascii="Microsoft Sans Serif" w:hAnsi="Microsoft Sans Serif" w:cs="Microsoft Sans Serif"/>
          <w:sz w:val="20"/>
          <w:szCs w:val="20"/>
          <w:lang w:val="sr-Cyrl-RS"/>
        </w:rPr>
      </w:pPr>
    </w:p>
    <w:p w14:paraId="1F9AAB65">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Hipotenzija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kod</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akutnog</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infarkta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miokarda</w:t>
      </w:r>
    </w:p>
    <w:p w14:paraId="0BAE0B8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en-GB"/>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zapo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injati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u w:val="single"/>
          <w:lang w:val="en-GB"/>
        </w:rPr>
        <w:t>akutnim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infarktom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miokarda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hemodinamskog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pogor</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poslije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vazodilatatorom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sistolnim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pritiskom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100 </w:t>
      </w:r>
      <w:r>
        <w:rPr>
          <w:rFonts w:ascii="Microsoft Sans Serif" w:hAnsi="Microsoft Sans Serif" w:cs="Microsoft Sans Serif"/>
          <w:sz w:val="20"/>
          <w:szCs w:val="20"/>
          <w:lang w:val="en-GB"/>
        </w:rPr>
        <w:t>mmHg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kardiogenom</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Tokom prva tri dana nakon infarkta, ako je sistolni krvni pritisak 120 mmHg ili niži doza treba da se smanji. Ako je sistolni krvni pritisak 100 mmHg ili niži doza održavanja treba da bude smanjena na 5 mg ili privremeno na 2,5 mg. Ako hipotenzija perzistira (sistolni krvni pritisak je niži od 90 mmHg duže od 1 sata) onda terapiju lizinoprilom treba prekinuti.</w:t>
      </w:r>
    </w:p>
    <w:p w14:paraId="2EFBDDC1">
      <w:pPr>
        <w:widowControl w:val="0"/>
        <w:rPr>
          <w:rFonts w:ascii="Microsoft Sans Serif" w:hAnsi="Microsoft Sans Serif" w:cs="Microsoft Sans Serif"/>
          <w:sz w:val="20"/>
          <w:szCs w:val="20"/>
          <w:lang w:val="sv-SE"/>
        </w:rPr>
      </w:pPr>
    </w:p>
    <w:p w14:paraId="0F770E0E">
      <w:pPr>
        <w:widowControl w:val="0"/>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Stenoza aortnog i mitralnog zaliska, hipertrofična kardiomiopatija</w:t>
      </w:r>
    </w:p>
    <w:p w14:paraId="6562F9D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Kao i druge ACE inhibitore, lizinopril treba oprezno davati pacijentima sa stenozom mitralnog zaliska i opstrukcijom izlaza lijeve komore kao što su aortna stenoza ili hipertrofična kardiomiopatija.</w:t>
      </w:r>
    </w:p>
    <w:p w14:paraId="211877C4">
      <w:pPr>
        <w:widowControl w:val="0"/>
        <w:rPr>
          <w:rFonts w:ascii="Microsoft Sans Serif" w:hAnsi="Microsoft Sans Serif" w:cs="Microsoft Sans Serif"/>
          <w:sz w:val="20"/>
          <w:szCs w:val="20"/>
          <w:lang w:val="sv-SE"/>
        </w:rPr>
      </w:pPr>
    </w:p>
    <w:p w14:paraId="42B763EF">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v-SE"/>
        </w:rPr>
        <w:t xml:space="preserve">Oštećenje funkcije </w:t>
      </w:r>
      <w:r>
        <w:rPr>
          <w:rFonts w:ascii="Microsoft Sans Serif" w:hAnsi="Microsoft Sans Serif" w:cs="Microsoft Sans Serif"/>
          <w:i/>
          <w:sz w:val="20"/>
          <w:szCs w:val="20"/>
          <w:u w:val="single"/>
          <w:lang w:val="sr-Cyrl-RS"/>
        </w:rPr>
        <w:t>bubrega</w:t>
      </w:r>
    </w:p>
    <w:p w14:paraId="1081977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slučajevima oštećenja funkcije bubrega (klirens kreatinina &lt;80 ml/min), početna doza lizinoprila treba 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bude prilagođena prema klirensu kreatinina pacijenta i nakon toga u zavisnosti od pacijentovog odgovora 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terapiju. Rutinsko praćenje koncentracije kalijuma i kreatinina je dio uobičajene medicinske prakse za 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pacijente.</w:t>
      </w:r>
    </w:p>
    <w:p w14:paraId="569CDA04">
      <w:pPr>
        <w:widowControl w:val="0"/>
        <w:rPr>
          <w:rFonts w:ascii="Microsoft Sans Serif" w:hAnsi="Microsoft Sans Serif" w:cs="Microsoft Sans Serif"/>
          <w:sz w:val="20"/>
          <w:szCs w:val="20"/>
          <w:lang w:val="sv-SE"/>
        </w:rPr>
      </w:pPr>
    </w:p>
    <w:p w14:paraId="5A64BC3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Kod pacijenata sa srčanom insuficijencijom,</w:t>
      </w:r>
      <w:r>
        <w:rPr>
          <w:rFonts w:ascii="Microsoft Sans Serif" w:hAnsi="Microsoft Sans Serif" w:cs="Microsoft Sans Serif"/>
          <w:sz w:val="20"/>
          <w:szCs w:val="20"/>
          <w:lang w:val="sv-SE"/>
        </w:rPr>
        <w:t xml:space="preserve"> pojava hipotenzije nakon započinjanja terapije sa ACE</w:t>
      </w:r>
    </w:p>
    <w:p w14:paraId="6595985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inhibitorima može da dovede do dal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eg oštećenja bubrežne funkcije. Akutna bubrežna insuficijencija, obično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reverzibilna,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 je u ovakvim slučajevima.</w:t>
      </w:r>
    </w:p>
    <w:p w14:paraId="3702464E">
      <w:pPr>
        <w:widowControl w:val="0"/>
        <w:rPr>
          <w:rFonts w:ascii="Microsoft Sans Serif" w:hAnsi="Microsoft Sans Serif" w:cs="Microsoft Sans Serif"/>
          <w:sz w:val="20"/>
          <w:szCs w:val="20"/>
          <w:lang w:val="sv-SE"/>
        </w:rPr>
      </w:pPr>
    </w:p>
    <w:p w14:paraId="6D4FEC1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Kod nekih pacijenata sa bilateralnom stenozom bubrežnih arterija ili sa stenozom arterije jedinog funkcionalnog bubrega</w:t>
      </w:r>
      <w:r>
        <w:rPr>
          <w:rFonts w:ascii="Microsoft Sans Serif" w:hAnsi="Microsoft Sans Serif" w:cs="Microsoft Sans Serif"/>
          <w:sz w:val="20"/>
          <w:szCs w:val="20"/>
          <w:lang w:val="sv-SE"/>
        </w:rPr>
        <w:t xml:space="preserve"> koji su bili na terapiji inhibitorima angiotenzin konvertujućeg enzima, uočeno je povećanje koncentracije uree u krvi i povećanje koncentracije kreatinina u serumu, koji su obično reverzibilni nakon prestanka terapije. Ovo je obično vjerovatnije kod pacijenata sa bubrežnom insuficijencijom. Ako je takođe prisutna renovaskularna hipertenzija, postoji povećani rizik za nastanak teške hipotenzije i renalne insuficijencije.</w:t>
      </w:r>
    </w:p>
    <w:p w14:paraId="2E21DCD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ovih pacijenata, terapija treba da počne pod strogim medicinskim na</w:t>
      </w:r>
      <w:r>
        <w:rPr>
          <w:rFonts w:ascii="Microsoft Sans Serif" w:hAnsi="Microsoft Sans Serif" w:cs="Microsoft Sans Serif"/>
          <w:sz w:val="20"/>
          <w:szCs w:val="20"/>
          <w:lang w:val="sr-Cyrl-RS"/>
        </w:rPr>
        <w:t>dz</w:t>
      </w:r>
      <w:r>
        <w:rPr>
          <w:rFonts w:ascii="Microsoft Sans Serif" w:hAnsi="Microsoft Sans Serif" w:cs="Microsoft Sans Serif"/>
          <w:sz w:val="20"/>
          <w:szCs w:val="20"/>
          <w:lang w:val="sv-SE"/>
        </w:rPr>
        <w:t>orom niskim dozama i pažl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ivom titracijom doze. </w:t>
      </w:r>
      <w:r>
        <w:rPr>
          <w:rFonts w:ascii="Microsoft Sans Serif" w:hAnsi="Microsoft Sans Serif" w:cs="Microsoft Sans Serif"/>
          <w:sz w:val="20"/>
          <w:szCs w:val="20"/>
          <w:lang w:val="sr-Cyrl-RS"/>
        </w:rPr>
        <w:t>S obzirom da</w:t>
      </w:r>
      <w:r>
        <w:rPr>
          <w:rFonts w:ascii="Microsoft Sans Serif" w:hAnsi="Microsoft Sans Serif" w:cs="Microsoft Sans Serif"/>
          <w:sz w:val="20"/>
          <w:szCs w:val="20"/>
          <w:lang w:val="sv-SE"/>
        </w:rPr>
        <w:t xml:space="preserve"> terapija diureticima može da doprinese navedenom, treba je prekinuti i renalnu funkciju treba pratiti tokom prvih nekoliko nedel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terapije lizinoprilom.</w:t>
      </w:r>
    </w:p>
    <w:p w14:paraId="642208E2">
      <w:pPr>
        <w:widowControl w:val="0"/>
        <w:rPr>
          <w:rFonts w:ascii="Microsoft Sans Serif" w:hAnsi="Microsoft Sans Serif" w:cs="Microsoft Sans Serif"/>
          <w:sz w:val="20"/>
          <w:szCs w:val="20"/>
          <w:u w:val="single"/>
          <w:lang w:val="sv-SE"/>
        </w:rPr>
      </w:pPr>
    </w:p>
    <w:p w14:paraId="08BBABB5">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Kod nekih hipertenzivnih pacijenata</w:t>
      </w:r>
      <w:r>
        <w:rPr>
          <w:rFonts w:ascii="Microsoft Sans Serif" w:hAnsi="Microsoft Sans Serif" w:cs="Microsoft Sans Serif"/>
          <w:sz w:val="20"/>
          <w:szCs w:val="20"/>
          <w:lang w:val="sv-SE"/>
        </w:rPr>
        <w:t xml:space="preserve"> bez očigledne znaci prethodno postojeće renalne vaskularne bolesti, 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obično malo i prolazno povećanje koncentracije uree u krvi i koncentracije kreatinina u serumu, 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kada se lizinopril daje istovremeno sa diuretikom. Ovo se vjerovatnije 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kod pacijenata sa već postojećim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renalnim oštećenjem. U tim slučajevima može biti potrebno smanjenje doze i/ili prekid terapije diuretikom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i/ili lizinoprilom. </w:t>
      </w:r>
    </w:p>
    <w:p w14:paraId="22B6FDEC">
      <w:pPr>
        <w:widowControl w:val="0"/>
        <w:rPr>
          <w:rFonts w:ascii="Microsoft Sans Serif" w:hAnsi="Microsoft Sans Serif" w:cs="Microsoft Sans Serif"/>
          <w:sz w:val="20"/>
          <w:szCs w:val="20"/>
          <w:u w:val="single"/>
          <w:lang w:val="sv-SE"/>
        </w:rPr>
      </w:pPr>
    </w:p>
    <w:p w14:paraId="6137FEEE">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Kod akutnog infarkta miokarda</w:t>
      </w:r>
      <w:r>
        <w:rPr>
          <w:rFonts w:ascii="Microsoft Sans Serif" w:hAnsi="Microsoft Sans Serif" w:cs="Microsoft Sans Serif"/>
          <w:sz w:val="20"/>
          <w:szCs w:val="20"/>
          <w:lang w:val="sv-SE"/>
        </w:rPr>
        <w:t>, terapiju lizinoprilom ne treba započinjati kod pacijenata sa dokazanom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renalnom disfunkcijom, definisanom koncentracijom kreatinina u serumu većom od 177 micromol/l</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v-SE"/>
        </w:rPr>
        <w:t>i/ili proteinurijom većom od 500 mg/24 sata. Ako se disfunkcija bubrega razvije za vrijeme terapije lizinoprilom (koncentracija kreatinina u serumu iznad 265 micromol/ l ili se dvostruko poveća u odnosu na vrijednosti 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započinjanja terapije), ljekar treba da razmotri prekid terapije lizinoprilom.</w:t>
      </w:r>
    </w:p>
    <w:p w14:paraId="3C3BD324">
      <w:pPr>
        <w:widowControl w:val="0"/>
        <w:rPr>
          <w:rFonts w:ascii="Microsoft Sans Serif" w:hAnsi="Microsoft Sans Serif" w:cs="Microsoft Sans Serif"/>
          <w:i/>
          <w:iCs/>
          <w:sz w:val="20"/>
          <w:szCs w:val="20"/>
          <w:u w:val="single"/>
          <w:lang w:val="sv-SE"/>
        </w:rPr>
      </w:pPr>
    </w:p>
    <w:p w14:paraId="5E1FEE62">
      <w:pPr>
        <w:widowControl w:val="0"/>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Preosetl</w:t>
      </w:r>
      <w:r>
        <w:rPr>
          <w:rFonts w:ascii="Microsoft Sans Serif" w:hAnsi="Microsoft Sans Serif" w:cs="Microsoft Sans Serif"/>
          <w:i/>
          <w:sz w:val="20"/>
          <w:szCs w:val="20"/>
          <w:u w:val="single"/>
          <w:lang w:val="en-GB"/>
        </w:rPr>
        <w:t>ј</w:t>
      </w:r>
      <w:r>
        <w:rPr>
          <w:rFonts w:ascii="Microsoft Sans Serif" w:hAnsi="Microsoft Sans Serif" w:cs="Microsoft Sans Serif"/>
          <w:i/>
          <w:sz w:val="20"/>
          <w:szCs w:val="20"/>
          <w:u w:val="single"/>
          <w:lang w:val="sv-SE"/>
        </w:rPr>
        <w:t>ivost, angioedem</w:t>
      </w:r>
    </w:p>
    <w:p w14:paraId="0A090B6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pacijenata koji su bili na terapiji ACE inhibitorima,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učujući lizinopril zabilježen je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rijetko</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angioedem lica, ekstremiteta, usana, jezika, glotisa i/ili larinksa. Ovo može da se javi u bilo kom trenutku tokom terapije. U takvim slučajevima, terapiju lizinoprilom treba odmah obustaviti i sprovesti odgovarajuću terapiju i na</w:t>
      </w:r>
      <w:r>
        <w:rPr>
          <w:rFonts w:ascii="Microsoft Sans Serif" w:hAnsi="Microsoft Sans Serif" w:cs="Microsoft Sans Serif"/>
          <w:sz w:val="20"/>
          <w:szCs w:val="20"/>
          <w:lang w:val="sr-Cyrl-RS"/>
        </w:rPr>
        <w:t>dz</w:t>
      </w:r>
      <w:r>
        <w:rPr>
          <w:rFonts w:ascii="Microsoft Sans Serif" w:hAnsi="Microsoft Sans Serif" w:cs="Microsoft Sans Serif"/>
          <w:sz w:val="20"/>
          <w:szCs w:val="20"/>
          <w:lang w:val="sv-SE"/>
        </w:rPr>
        <w:t>or, kako bi osigurali potpuno povlačenje svih simptoma, prije otpuštanja pacijenta. Čak i u onim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slučajevima gdje se 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samo oticanje jezika, bez respiratornog distresa, pacijentima je potrebna produžena opservacija sa obzirom da terapija antihistaminicima i kortikosteroidima možda neće biti dovol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na. </w:t>
      </w:r>
    </w:p>
    <w:p w14:paraId="18084F09">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Veoma rijetko,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eni su i smrtni slučajevi usljed angioedema udruženog sa edemom larinksa ili edemom jezika. Pacijenti kod kojih su zahvaćeni jezik, glotis ili larinks vjerovatnije je da dožive opstrukciju disajnih puteva, posebno oni sa operacijom disajnih puteva u anamnezi. U takvim slučajevima odmah treba primjeniti hitnu terapiju. Ovo može da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učuje primjenu adrenalina i/ili održavanje prohodnosti disajnih puteva. Pacijenta treba držati pod strogim medicinskim nadzorom do potpunog i održivog nestanka simptoma.</w:t>
      </w:r>
    </w:p>
    <w:p w14:paraId="11CCB81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Inhibitori angiotenzin konvertujućeg enzima češće izazivaju angioedem kod pacijenata crne rase u odnosu na pacijente drugih rasa.</w:t>
      </w:r>
    </w:p>
    <w:p w14:paraId="75BFA13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Pacijenti sa angioedemom u anamnezi, koji nije povezan sa upotrebom ACE inhibitorima, mogu da budu pod povećanim rizikom za nastanak angioedema dok su na terapiji ACE inhibitorima (pogledati dio 4.3).</w:t>
      </w:r>
    </w:p>
    <w:p w14:paraId="5399EBFD">
      <w:pPr>
        <w:widowControl w:val="0"/>
        <w:rPr>
          <w:rFonts w:ascii="Microsoft Sans Serif" w:hAnsi="Microsoft Sans Serif" w:cs="Microsoft Sans Serif"/>
          <w:color w:val="FF0000"/>
          <w:sz w:val="20"/>
          <w:szCs w:val="20"/>
          <w:lang w:val="sv-SE"/>
        </w:rPr>
      </w:pPr>
    </w:p>
    <w:p w14:paraId="52FF3DB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Istovremena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ena A</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 xml:space="preserve">E inhibitora i kombinacije sakubitril/valsartan je kontraidikovana zbog </w:t>
      </w:r>
      <w:r>
        <w:rPr>
          <w:rFonts w:ascii="Microsoft Sans Serif" w:hAnsi="Microsoft Sans Serif" w:cs="Microsoft Sans Serif"/>
          <w:sz w:val="20"/>
          <w:szCs w:val="20"/>
          <w:lang w:val="sv-SE"/>
        </w:rPr>
        <w:t>pove</w:t>
      </w:r>
      <w:r>
        <w:rPr>
          <w:rFonts w:ascii="Microsoft Sans Serif" w:hAnsi="Microsoft Sans Serif" w:cs="Microsoft Sans Serif"/>
          <w:sz w:val="20"/>
          <w:szCs w:val="20"/>
          <w:lang w:val="hr-BA"/>
        </w:rPr>
        <w:t xml:space="preserve">ćanog </w:t>
      </w:r>
      <w:r>
        <w:rPr>
          <w:rFonts w:ascii="Microsoft Sans Serif" w:hAnsi="Microsoft Sans Serif" w:cs="Microsoft Sans Serif"/>
          <w:sz w:val="20"/>
          <w:szCs w:val="20"/>
          <w:lang w:val="sr-Cyrl-RS"/>
        </w:rPr>
        <w:t>rizika od pojave angioedema. Terapija kombinacijom sakubitril/valsartan se ne sm</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započeti ranije od 36 sati nakon posl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ednje doze lizinoprila. Terapiju lizinoprilom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smije</w:t>
      </w:r>
      <w:r>
        <w:rPr>
          <w:rFonts w:ascii="Microsoft Sans Serif" w:hAnsi="Microsoft Sans Serif" w:cs="Microsoft Sans Serif"/>
          <w:sz w:val="20"/>
          <w:szCs w:val="20"/>
          <w:lang w:val="sr-Cyrl-RS"/>
        </w:rPr>
        <w:t xml:space="preserve"> započeti ranije od 36 sati nakon posl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w:t>
      </w:r>
      <w:r>
        <w:rPr>
          <w:rFonts w:ascii="Microsoft Sans Serif" w:hAnsi="Microsoft Sans Serif" w:cs="Microsoft Sans Serif"/>
          <w:sz w:val="20"/>
          <w:szCs w:val="20"/>
          <w:lang w:val="sr-Latn-RS"/>
        </w:rPr>
        <w:t>nj</w:t>
      </w:r>
      <w:r>
        <w:rPr>
          <w:rFonts w:ascii="Microsoft Sans Serif" w:hAnsi="Microsoft Sans Serif" w:cs="Microsoft Sans Serif"/>
          <w:sz w:val="20"/>
          <w:szCs w:val="20"/>
          <w:lang w:val="sr-Cyrl-RS"/>
        </w:rPr>
        <w:t>e doze kombinacije sakubitril/valsartan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4.3 i 4.5).</w:t>
      </w:r>
    </w:p>
    <w:p w14:paraId="24EFC2DE">
      <w:pPr>
        <w:widowControl w:val="0"/>
        <w:rPr>
          <w:rFonts w:ascii="Microsoft Sans Serif" w:hAnsi="Microsoft Sans Serif" w:cs="Microsoft Sans Serif"/>
          <w:sz w:val="20"/>
          <w:szCs w:val="20"/>
          <w:lang w:val="sr-Cyrl-RS"/>
        </w:rPr>
      </w:pPr>
    </w:p>
    <w:p w14:paraId="1D137E4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ACE</w:t>
      </w:r>
      <w:r>
        <w:rPr>
          <w:rFonts w:ascii="Microsoft Sans Serif" w:hAnsi="Microsoft Sans Serif" w:cs="Microsoft Sans Serif"/>
          <w:sz w:val="20"/>
          <w:szCs w:val="20"/>
          <w:lang w:val="sr-Cyrl-RS"/>
        </w:rPr>
        <w:t xml:space="preserve"> inhibitora sa racekadotrilom, </w:t>
      </w:r>
      <w:r>
        <w:rPr>
          <w:rFonts w:ascii="Microsoft Sans Serif" w:hAnsi="Microsoft Sans Serif" w:cs="Microsoft Sans Serif"/>
          <w:sz w:val="20"/>
          <w:szCs w:val="20"/>
          <w:lang w:val="en-GB"/>
        </w:rPr>
        <w:t>mTOR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w:t>
      </w:r>
      <w:r>
        <w:rPr>
          <w:rFonts w:ascii="Microsoft Sans Serif" w:hAnsi="Microsoft Sans Serif" w:cs="Microsoft Sans Serif"/>
          <w:sz w:val="20"/>
          <w:szCs w:val="20"/>
          <w:lang w:val="sr-Cyrl-RS"/>
        </w:rPr>
        <w:t>ima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sirolimus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everolimus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temsirolimus</w:t>
      </w:r>
      <w:r>
        <w:rPr>
          <w:rFonts w:ascii="Microsoft Sans Serif" w:hAnsi="Microsoft Sans Serif" w:cs="Microsoft Sans Serif"/>
          <w:sz w:val="20"/>
          <w:szCs w:val="20"/>
          <w:lang w:val="sr-Cyrl-RS"/>
        </w:rPr>
        <w:t xml:space="preserve">) i vildagliptinom može povećati rizik od pojave angioedema (npr. oticanje disajnih puteva ili jezika,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bez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respiratorne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4.5).</w:t>
      </w:r>
    </w:p>
    <w:p w14:paraId="0FDFB259">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Potreban je oprez kada se započinje terapija racekadotrilom, </w:t>
      </w:r>
      <w:r>
        <w:rPr>
          <w:rFonts w:ascii="Microsoft Sans Serif" w:hAnsi="Microsoft Sans Serif" w:cs="Microsoft Sans Serif"/>
          <w:sz w:val="20"/>
          <w:szCs w:val="20"/>
          <w:lang w:val="en-GB"/>
        </w:rPr>
        <w:t>mTOR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w:t>
      </w:r>
      <w:r>
        <w:rPr>
          <w:rFonts w:ascii="Microsoft Sans Serif" w:hAnsi="Microsoft Sans Serif" w:cs="Microsoft Sans Serif"/>
          <w:sz w:val="20"/>
          <w:szCs w:val="20"/>
          <w:lang w:val="sr-Cyrl-RS"/>
        </w:rPr>
        <w:t>ima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sirolimus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everolimus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temsirolimus</w:t>
      </w:r>
      <w:r>
        <w:rPr>
          <w:rFonts w:ascii="Microsoft Sans Serif" w:hAnsi="Microsoft Sans Serif" w:cs="Microsoft Sans Serif"/>
          <w:sz w:val="20"/>
          <w:szCs w:val="20"/>
          <w:lang w:val="sr-Cyrl-RS"/>
        </w:rPr>
        <w:t>) i vildagliptinom kod pacijenata koji su već na terapiji A</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E inhibitorom.</w:t>
      </w:r>
    </w:p>
    <w:p w14:paraId="13C9CA4A">
      <w:pPr>
        <w:widowControl w:val="0"/>
        <w:rPr>
          <w:rFonts w:ascii="Microsoft Sans Serif" w:hAnsi="Microsoft Sans Serif" w:cs="Microsoft Sans Serif"/>
          <w:sz w:val="20"/>
          <w:szCs w:val="20"/>
          <w:lang w:val="sr-Cyrl-RS"/>
        </w:rPr>
      </w:pPr>
    </w:p>
    <w:p w14:paraId="3F623713">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Anafilaktoidne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reakcije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kod</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pacijenata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na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hemodijalizi</w:t>
      </w:r>
    </w:p>
    <w:p w14:paraId="35E7A49A">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anafilaktoidne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dijalizi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high</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flux</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membranama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membrane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visoke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propustl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ivosti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w:t>
      </w:r>
      <w:r>
        <w:rPr>
          <w:rFonts w:ascii="Microsoft Sans Serif" w:hAnsi="Microsoft Sans Serif" w:cs="Microsoft Sans Serif"/>
          <w:sz w:val="20"/>
          <w:szCs w:val="20"/>
          <w:lang w:val="sr-Cyrl-RS"/>
        </w:rPr>
        <w:t xml:space="preserve"> 69)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upotrebu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tipa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membrane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dijalizu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grupe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antihipertenzivnih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lijekova</w:t>
      </w:r>
      <w:r>
        <w:rPr>
          <w:rFonts w:ascii="Microsoft Sans Serif" w:hAnsi="Microsoft Sans Serif" w:cs="Microsoft Sans Serif"/>
          <w:sz w:val="20"/>
          <w:szCs w:val="20"/>
          <w:lang w:val="sr-Cyrl-RS"/>
        </w:rPr>
        <w:t>.</w:t>
      </w:r>
    </w:p>
    <w:p w14:paraId="12A2737A">
      <w:pPr>
        <w:widowControl w:val="0"/>
        <w:rPr>
          <w:rFonts w:ascii="Microsoft Sans Serif" w:hAnsi="Microsoft Sans Serif" w:cs="Microsoft Sans Serif"/>
          <w:sz w:val="20"/>
          <w:szCs w:val="20"/>
          <w:lang w:val="sr-Cyrl-RS"/>
        </w:rPr>
      </w:pPr>
    </w:p>
    <w:p w14:paraId="7D34C664">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Anafilaktoidne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reakcije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toku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afereze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lipoproteina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male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gustine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LDL</w:t>
      </w:r>
      <w:r>
        <w:rPr>
          <w:rFonts w:ascii="Microsoft Sans Serif" w:hAnsi="Microsoft Sans Serif" w:cs="Microsoft Sans Serif"/>
          <w:i/>
          <w:sz w:val="20"/>
          <w:szCs w:val="20"/>
          <w:u w:val="single"/>
          <w:lang w:val="sr-Cyrl-RS"/>
        </w:rPr>
        <w:t>)</w:t>
      </w:r>
    </w:p>
    <w:p w14:paraId="6CABD792">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rijetko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aju</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lang w:val="en-GB"/>
        </w:rPr>
        <w:t>ivotno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ugro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avaju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anafilaktoidne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afereze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lipoproteina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male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gustine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LDL</w:t>
      </w:r>
      <w:r>
        <w:rPr>
          <w:rFonts w:ascii="Microsoft Sans Serif" w:hAnsi="Microsoft Sans Serif" w:cs="Microsoft Sans Serif"/>
          <w:sz w:val="20"/>
          <w:szCs w:val="20"/>
          <w:lang w:val="sr-Cyrl-RS"/>
        </w:rPr>
        <w:t xml:space="preserve">) sa </w:t>
      </w:r>
      <w:r>
        <w:rPr>
          <w:rFonts w:ascii="Microsoft Sans Serif" w:hAnsi="Microsoft Sans Serif" w:cs="Microsoft Sans Serif"/>
          <w:sz w:val="20"/>
          <w:szCs w:val="20"/>
          <w:lang w:val="en-GB"/>
        </w:rPr>
        <w:t>dekstran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sulfatom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izbjegavaju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privremenom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obustavom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svake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afereze</w:t>
      </w:r>
      <w:r>
        <w:rPr>
          <w:rFonts w:ascii="Microsoft Sans Serif" w:hAnsi="Microsoft Sans Serif" w:cs="Microsoft Sans Serif"/>
          <w:sz w:val="20"/>
          <w:szCs w:val="20"/>
          <w:lang w:val="sr-Cyrl-RS"/>
        </w:rPr>
        <w:t>.</w:t>
      </w:r>
    </w:p>
    <w:p w14:paraId="1779F5F3">
      <w:pPr>
        <w:widowControl w:val="0"/>
        <w:rPr>
          <w:rFonts w:ascii="Microsoft Sans Serif" w:hAnsi="Microsoft Sans Serif" w:cs="Microsoft Sans Serif"/>
          <w:sz w:val="20"/>
          <w:szCs w:val="20"/>
          <w:lang w:val="sr-Cyrl-RS"/>
        </w:rPr>
      </w:pPr>
    </w:p>
    <w:p w14:paraId="3CDD3322">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Desenzitizacija</w:t>
      </w:r>
    </w:p>
    <w:p w14:paraId="0CFF809D">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vrijeme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desenzitizacije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otrov</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insekata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opnokrilaca</w:t>
      </w:r>
      <w:r>
        <w:rPr>
          <w:rFonts w:ascii="Microsoft Sans Serif" w:hAnsi="Microsoft Sans Serif" w:cs="Microsoft Sans Serif"/>
          <w:sz w:val="20"/>
          <w:szCs w:val="20"/>
          <w:lang w:val="sr-Cyrl-RS"/>
        </w:rPr>
        <w:t xml:space="preserve"> (</w:t>
      </w:r>
      <w:r>
        <w:rPr>
          <w:rFonts w:ascii="Microsoft Sans Serif" w:hAnsi="Microsoft Sans Serif" w:cs="Microsoft Sans Serif"/>
          <w:i/>
          <w:iCs/>
          <w:sz w:val="20"/>
          <w:szCs w:val="20"/>
          <w:lang w:val="en-GB"/>
        </w:rPr>
        <w:t>Hymenoptera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en-GB"/>
        </w:rPr>
        <w:t>venom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produ</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anafilaktoidne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takve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izbje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privremenom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obustavom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ponovo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ponovnog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uzimanja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w:t>
      </w:r>
    </w:p>
    <w:p w14:paraId="40F5B1AB">
      <w:pPr>
        <w:widowControl w:val="0"/>
        <w:rPr>
          <w:rFonts w:ascii="Microsoft Sans Serif" w:hAnsi="Microsoft Sans Serif" w:cs="Microsoft Sans Serif"/>
          <w:i/>
          <w:sz w:val="20"/>
          <w:szCs w:val="20"/>
          <w:u w:val="single"/>
          <w:lang w:val="sr-Cyrl-RS"/>
        </w:rPr>
      </w:pPr>
    </w:p>
    <w:p w14:paraId="2CADD486">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Insuficijencija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jetre</w:t>
      </w:r>
    </w:p>
    <w:p w14:paraId="23BEE5A2">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Veoma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rijetko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povezani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sindromom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zapo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inje</w:t>
      </w:r>
      <w:r>
        <w:rPr>
          <w:rFonts w:ascii="Microsoft Sans Serif" w:hAnsi="Microsoft Sans Serif" w:cs="Microsoft Sans Serif"/>
          <w:sz w:val="20"/>
          <w:szCs w:val="20"/>
          <w:lang w:val="sr-Cyrl-RS"/>
        </w:rPr>
        <w:t xml:space="preserve"> sa </w:t>
      </w:r>
      <w:r>
        <w:rPr>
          <w:rFonts w:ascii="Microsoft Sans Serif" w:hAnsi="Microsoft Sans Serif" w:cs="Microsoft Sans Serif"/>
          <w:sz w:val="20"/>
          <w:szCs w:val="20"/>
          <w:lang w:val="en-GB"/>
        </w:rPr>
        <w:t>holestatskom</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lang w:val="en-GB"/>
        </w:rPr>
        <w:t>uticom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progredira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fulminantne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nekroze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smrtnim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ishodom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Mehanizam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sindroma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razja</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razvije</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lang w:val="en-GB"/>
        </w:rPr>
        <w:t>utica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zna</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vrijednosti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hepati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enzima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redovno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kontrolisati</w:t>
      </w:r>
      <w:r>
        <w:rPr>
          <w:rFonts w:ascii="Microsoft Sans Serif" w:hAnsi="Microsoft Sans Serif" w:cs="Microsoft Sans Serif"/>
          <w:sz w:val="20"/>
          <w:szCs w:val="20"/>
          <w:lang w:val="sr-Cyrl-RS"/>
        </w:rPr>
        <w:t>.</w:t>
      </w:r>
    </w:p>
    <w:p w14:paraId="6D7C403B">
      <w:pPr>
        <w:widowControl w:val="0"/>
        <w:rPr>
          <w:rFonts w:ascii="Microsoft Sans Serif" w:hAnsi="Microsoft Sans Serif" w:cs="Microsoft Sans Serif"/>
          <w:i/>
          <w:color w:val="FF0000"/>
          <w:sz w:val="20"/>
          <w:szCs w:val="20"/>
          <w:u w:val="single"/>
          <w:lang w:val="sr-Cyrl-RS"/>
        </w:rPr>
      </w:pPr>
    </w:p>
    <w:p w14:paraId="52B9031B">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Neutropenija</w:t>
      </w:r>
      <w:r>
        <w:rPr>
          <w:rFonts w:ascii="Microsoft Sans Serif" w:hAnsi="Microsoft Sans Serif" w:cs="Microsoft Sans Serif"/>
          <w:i/>
          <w:sz w:val="20"/>
          <w:szCs w:val="20"/>
          <w:u w:val="single"/>
          <w:lang w:val="sr-Cyrl-RS"/>
        </w:rPr>
        <w:t>/</w:t>
      </w:r>
      <w:r>
        <w:rPr>
          <w:rFonts w:ascii="Microsoft Sans Serif" w:hAnsi="Microsoft Sans Serif" w:cs="Microsoft Sans Serif"/>
          <w:i/>
          <w:sz w:val="20"/>
          <w:szCs w:val="20"/>
          <w:u w:val="single"/>
          <w:lang w:val="en-GB"/>
        </w:rPr>
        <w:t>agranulocitoza</w:t>
      </w:r>
    </w:p>
    <w:p w14:paraId="1EB8FD66">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Neutropenija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agranulocitoza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trombocitopenija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uvanom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bez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komplikuju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faktora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neutropenija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rijetko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Neutropenija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agranulocitoza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reverzibilne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obustave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w:t>
      </w:r>
    </w:p>
    <w:p w14:paraId="39DDFCA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Lizinopril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oprezno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primjenjivati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kolagenskom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vaskularnom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bole</w:t>
      </w:r>
      <w:r>
        <w:rPr>
          <w:rFonts w:ascii="Microsoft Sans Serif" w:hAnsi="Microsoft Sans Serif" w:cs="Microsoft Sans Serif"/>
          <w:sz w:val="20"/>
          <w:szCs w:val="20"/>
          <w:lang w:val="sr-Cyrl-RS"/>
        </w:rPr>
        <w:t>šć</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imunosupresivima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alopurinolom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prokainamidom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kombinacijom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komplikuju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faktora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prisutno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w:t>
      </w:r>
      <w:r>
        <w:rPr>
          <w:rFonts w:ascii="Microsoft Sans Serif" w:hAnsi="Microsoft Sans Serif" w:cs="Microsoft Sans Serif"/>
          <w:sz w:val="20"/>
          <w:szCs w:val="20"/>
          <w:lang w:val="sr-Cyrl-RS"/>
        </w:rPr>
        <w:t xml:space="preserve">ć </w:t>
      </w:r>
      <w:r>
        <w:rPr>
          <w:rFonts w:ascii="Microsoft Sans Serif" w:hAnsi="Microsoft Sans Serif" w:cs="Microsoft Sans Serif"/>
          <w:sz w:val="20"/>
          <w:szCs w:val="20"/>
          <w:lang w:val="en-GB"/>
        </w:rPr>
        <w:t>postoje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razviti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pojedinim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odgovara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intenzivnu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antibiotsku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primjenjuje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takvih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periodi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kontroli</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broj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bijelih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zrnaca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tako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savjetovati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svaki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znak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infekcije</w:t>
      </w:r>
      <w:r>
        <w:rPr>
          <w:rFonts w:ascii="Microsoft Sans Serif" w:hAnsi="Microsoft Sans Serif" w:cs="Microsoft Sans Serif"/>
          <w:sz w:val="20"/>
          <w:szCs w:val="20"/>
          <w:lang w:val="sr-Cyrl-RS"/>
        </w:rPr>
        <w:t>.</w:t>
      </w:r>
    </w:p>
    <w:p w14:paraId="14339C1F">
      <w:pPr>
        <w:widowControl w:val="0"/>
        <w:rPr>
          <w:rFonts w:ascii="Microsoft Sans Serif" w:hAnsi="Microsoft Sans Serif" w:cs="Microsoft Sans Serif"/>
          <w:sz w:val="20"/>
          <w:szCs w:val="20"/>
          <w:lang w:val="sr-Cyrl-RS"/>
        </w:rPr>
      </w:pPr>
    </w:p>
    <w:p w14:paraId="1AF8FCDF">
      <w:pPr>
        <w:widowControl w:val="0"/>
        <w:rPr>
          <w:rFonts w:ascii="Microsoft Sans Serif" w:hAnsi="Microsoft Sans Serif" w:cs="Microsoft Sans Serif"/>
          <w:i/>
          <w:iCs/>
          <w:sz w:val="20"/>
          <w:szCs w:val="20"/>
          <w:u w:val="single"/>
          <w:lang w:val="sv-SE"/>
        </w:rPr>
      </w:pPr>
      <w:r>
        <w:rPr>
          <w:rFonts w:ascii="Microsoft Sans Serif" w:hAnsi="Microsoft Sans Serif" w:cs="Microsoft Sans Serif"/>
          <w:i/>
          <w:iCs/>
          <w:sz w:val="20"/>
          <w:szCs w:val="20"/>
          <w:u w:val="single"/>
          <w:lang w:val="sv-SE"/>
        </w:rPr>
        <w:t>Dvostruka blokada sistema renin-angiotenzin-aldosteron (RAAS)</w:t>
      </w:r>
    </w:p>
    <w:p w14:paraId="5D09C5E9">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Postoje dokazi da istovremena primjena ACE inhibitora, blokatora receptora angiotenzina II ili aliskirena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povećava rizik od nastanka hipotenzije, hiperkalemije i smanjenja funkcije bubrega (ukl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učujući akutnu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 xml:space="preserve">bubrežnu insuficijenciju) </w:t>
      </w:r>
      <w:r>
        <w:rPr>
          <w:rFonts w:ascii="Microsoft Sans Serif" w:hAnsi="Microsoft Sans Serif" w:cs="Microsoft Sans Serif"/>
          <w:iCs/>
          <w:sz w:val="20"/>
          <w:szCs w:val="20"/>
          <w:lang w:val="sr-Cyrl-RS"/>
        </w:rPr>
        <w:t>zbog toga se d</w:t>
      </w:r>
      <w:r>
        <w:rPr>
          <w:rFonts w:ascii="Microsoft Sans Serif" w:hAnsi="Microsoft Sans Serif" w:cs="Microsoft Sans Serif"/>
          <w:iCs/>
          <w:sz w:val="20"/>
          <w:szCs w:val="20"/>
          <w:lang w:val="sv-SE"/>
        </w:rPr>
        <w:t>vostruka blokada sistema RAAS usled kombinovane primjene ACE inhibitora,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blokatora receptora angiotenzina II ili aliskirena ne preporučuje (pogledati dijelove 4.5 i 5.1).</w:t>
      </w:r>
    </w:p>
    <w:p w14:paraId="5AFA5FBF">
      <w:pPr>
        <w:widowControl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v-SE"/>
        </w:rPr>
        <w:t>Ukoliko se smatra da je terapija dvostrukom blokadom aposolutno neophodna, ona treba 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se primjeni samo pod nadzorom ljekara specijaliste uz često, pažl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ivo praćenje funkcije bubrega, koncentracije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elektrolita i vrijednosti krvnog pritiska.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ACE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inhibitore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blokatore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receptora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angiotenzina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istovremeno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primjenjivati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dijabetesnom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nefropatijom</w:t>
      </w:r>
      <w:r>
        <w:rPr>
          <w:rFonts w:ascii="Microsoft Sans Serif" w:hAnsi="Microsoft Sans Serif" w:cs="Microsoft Sans Serif"/>
          <w:iCs/>
          <w:sz w:val="20"/>
          <w:szCs w:val="20"/>
          <w:lang w:val="sr-Cyrl-RS"/>
        </w:rPr>
        <w:t>.</w:t>
      </w:r>
    </w:p>
    <w:p w14:paraId="52381600">
      <w:pPr>
        <w:widowControl w:val="0"/>
        <w:rPr>
          <w:rFonts w:ascii="Microsoft Sans Serif" w:hAnsi="Microsoft Sans Serif" w:cs="Microsoft Sans Serif"/>
          <w:i/>
          <w:iCs/>
          <w:sz w:val="20"/>
          <w:szCs w:val="20"/>
          <w:u w:val="single"/>
          <w:lang w:val="sr-Cyrl-RS"/>
        </w:rPr>
      </w:pPr>
    </w:p>
    <w:p w14:paraId="4CB0E241">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Rasa</w:t>
      </w:r>
    </w:p>
    <w:p w14:paraId="38E4B2CD">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Inhibitori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angiotenzin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konvertuju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enzima</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šć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izazivaju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angioedeme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odnosu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rasa</w:t>
      </w:r>
      <w:r>
        <w:rPr>
          <w:rFonts w:ascii="Microsoft Sans Serif" w:hAnsi="Microsoft Sans Serif" w:cs="Microsoft Sans Serif"/>
          <w:sz w:val="20"/>
          <w:szCs w:val="20"/>
          <w:lang w:val="sr-Cyrl-RS"/>
        </w:rPr>
        <w:t>.</w:t>
      </w:r>
    </w:p>
    <w:p w14:paraId="38AC3E7C">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efektivan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sni</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avanju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pritiska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odnosu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vjerovatno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toga</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populaciji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hipertenzijom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prevalenca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vrijednosti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renina</w:t>
      </w:r>
      <w:r>
        <w:rPr>
          <w:rFonts w:ascii="Microsoft Sans Serif" w:hAnsi="Microsoft Sans Serif" w:cs="Microsoft Sans Serif"/>
          <w:sz w:val="20"/>
          <w:szCs w:val="20"/>
          <w:lang w:val="sr-Cyrl-RS"/>
        </w:rPr>
        <w:t>.</w:t>
      </w:r>
    </w:p>
    <w:p w14:paraId="42E5F6FC">
      <w:pPr>
        <w:widowControl w:val="0"/>
        <w:rPr>
          <w:rFonts w:ascii="Microsoft Sans Serif" w:hAnsi="Microsoft Sans Serif" w:cs="Microsoft Sans Serif"/>
          <w:sz w:val="20"/>
          <w:szCs w:val="20"/>
          <w:lang w:val="sr-Cyrl-RS"/>
        </w:rPr>
      </w:pPr>
    </w:p>
    <w:p w14:paraId="0B40F685">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Ka</w:t>
      </w:r>
      <w:r>
        <w:rPr>
          <w:rFonts w:ascii="Microsoft Sans Serif" w:hAnsi="Microsoft Sans Serif" w:cs="Microsoft Sans Serif"/>
          <w:i/>
          <w:sz w:val="20"/>
          <w:szCs w:val="20"/>
          <w:u w:val="single"/>
          <w:lang w:val="sr-Cyrl-RS"/>
        </w:rPr>
        <w:t>š</w:t>
      </w:r>
      <w:r>
        <w:rPr>
          <w:rFonts w:ascii="Microsoft Sans Serif" w:hAnsi="Microsoft Sans Serif" w:cs="Microsoft Sans Serif"/>
          <w:i/>
          <w:sz w:val="20"/>
          <w:szCs w:val="20"/>
          <w:u w:val="single"/>
          <w:lang w:val="en-GB"/>
        </w:rPr>
        <w:t>al</w:t>
      </w:r>
      <w:r>
        <w:rPr>
          <w:rFonts w:ascii="Microsoft Sans Serif" w:hAnsi="Microsoft Sans Serif" w:cs="Microsoft Sans Serif"/>
          <w:i/>
          <w:sz w:val="20"/>
          <w:szCs w:val="20"/>
          <w:u w:val="single"/>
          <w:lang w:val="sr-Cyrl-RS"/>
        </w:rPr>
        <w:t>ј</w:t>
      </w:r>
    </w:p>
    <w:p w14:paraId="563DFF0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en-GB"/>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pojava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Karakteristično je da je kašal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 neproduktivan,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perzistentan i prestaje nakon obustave terapije. Kašal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 izazvan primjenom ACE inhibitora treba 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prilikom diferencijalne dijagnoze kašl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w:t>
      </w:r>
    </w:p>
    <w:p w14:paraId="236E21B7">
      <w:pPr>
        <w:widowControl w:val="0"/>
        <w:rPr>
          <w:rFonts w:ascii="Microsoft Sans Serif" w:hAnsi="Microsoft Sans Serif" w:cs="Microsoft Sans Serif"/>
          <w:sz w:val="20"/>
          <w:szCs w:val="20"/>
          <w:lang w:val="sv-SE"/>
        </w:rPr>
      </w:pPr>
    </w:p>
    <w:p w14:paraId="53101F5A">
      <w:pPr>
        <w:widowControl w:val="0"/>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Hirurški zahvati/anestezija</w:t>
      </w:r>
    </w:p>
    <w:p w14:paraId="2C8FB08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pacijenata koji se podvrgavaju većim hirurškim zahvatima ili tokom opšte anestezije anesteticima koji izazivaju hipotenziju, lizinopril može da blokira stvaranje angiotenzina II, sekundarno kao posljedica kompenzatornog oslobađanja renina. Ako dođe do pojave hipotenzije, i smatra se da je posljedica ovog mehanizma, ona se može korigovati povećanjem volumena tečnosti.</w:t>
      </w:r>
    </w:p>
    <w:p w14:paraId="1F7466BE">
      <w:pPr>
        <w:widowControl w:val="0"/>
        <w:rPr>
          <w:rFonts w:ascii="Microsoft Sans Serif" w:hAnsi="Microsoft Sans Serif" w:cs="Microsoft Sans Serif"/>
          <w:i/>
          <w:color w:val="FF0000"/>
          <w:sz w:val="20"/>
          <w:szCs w:val="20"/>
          <w:u w:val="single"/>
          <w:lang w:val="sr-Cyrl-RS"/>
        </w:rPr>
      </w:pPr>
    </w:p>
    <w:p w14:paraId="4F963AE0">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Serumski kalijum</w:t>
      </w:r>
    </w:p>
    <w:p w14:paraId="515D7186">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E inhibitori mogu izazvati hiperkalemiju jer inhibiraju oslobađanje aldosterona. Kod pacijenata sa normalnom funkcijom bubrega efekat obično nije značajan. Me</w:t>
      </w:r>
      <w:r>
        <w:rPr>
          <w:rFonts w:ascii="Microsoft Sans Serif" w:hAnsi="Microsoft Sans Serif" w:cs="Microsoft Sans Serif"/>
          <w:sz w:val="20"/>
          <w:szCs w:val="20"/>
          <w:lang w:val="sr-Latn-RS"/>
        </w:rPr>
        <w:t>đ</w:t>
      </w:r>
      <w:r>
        <w:rPr>
          <w:rFonts w:ascii="Microsoft Sans Serif" w:hAnsi="Microsoft Sans Serif" w:cs="Microsoft Sans Serif"/>
          <w:sz w:val="20"/>
          <w:szCs w:val="20"/>
          <w:lang w:val="sr-Cyrl-RS"/>
        </w:rPr>
        <w:t>utim, hiperkalemija se može javiti kod pacijenata sa oštećenom funkcijom bubrega, kod pacijenata sa dijabetes melitusom i/ili kod pacijenata koji istovremeno koriste suplemente kalijuma (uklјučujući i zam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enu za so), </w:t>
      </w:r>
      <w:r>
        <w:rPr>
          <w:rFonts w:ascii="Microsoft Sans Serif" w:hAnsi="Microsoft Sans Serif" w:cs="Microsoft Sans Serif"/>
          <w:sz w:val="20"/>
          <w:szCs w:val="20"/>
          <w:lang w:val="en-GB"/>
        </w:rPr>
        <w:t>diuretike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tede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kalijum</w:t>
      </w:r>
      <w:r>
        <w:rPr>
          <w:rFonts w:ascii="Microsoft Sans Serif" w:hAnsi="Microsoft Sans Serif" w:cs="Microsoft Sans Serif"/>
          <w:sz w:val="20"/>
          <w:szCs w:val="20"/>
          <w:lang w:val="sr-Cyrl-RS"/>
        </w:rPr>
        <w:t xml:space="preserve"> (npr. spironolakton, triamteren ili amilorid), i druge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ekove koji mogu da povećaju koncentraciju kalijuma u serumu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heparin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trimetoprim</w:t>
      </w:r>
      <w:r>
        <w:rPr>
          <w:rFonts w:ascii="Microsoft Sans Serif" w:hAnsi="Microsoft Sans Serif" w:cs="Microsoft Sans Serif"/>
          <w:sz w:val="20"/>
          <w:szCs w:val="20"/>
          <w:lang w:val="sr-Cyrl-RS"/>
        </w:rPr>
        <w:t xml:space="preserve"> i </w:t>
      </w:r>
      <w:r>
        <w:rPr>
          <w:rFonts w:ascii="Microsoft Sans Serif" w:hAnsi="Microsoft Sans Serif" w:cs="Microsoft Sans Serif"/>
          <w:sz w:val="20"/>
          <w:szCs w:val="20"/>
          <w:lang w:val="en-GB"/>
        </w:rPr>
        <w:t>kotrimoksazol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tako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poznat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trimetoprim</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sulfametoksazol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antagoniste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aldosterona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blokatore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angiotenzinskih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receptora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Diuretike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tede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kalijum</w:t>
      </w:r>
      <w:r>
        <w:rPr>
          <w:rFonts w:ascii="Microsoft Sans Serif" w:hAnsi="Microsoft Sans Serif" w:cs="Microsoft Sans Serif"/>
          <w:sz w:val="20"/>
          <w:szCs w:val="20"/>
          <w:lang w:val="sr-Cyrl-RS"/>
        </w:rPr>
        <w:t xml:space="preserve"> i </w:t>
      </w:r>
      <w:r>
        <w:rPr>
          <w:rFonts w:ascii="Microsoft Sans Serif" w:hAnsi="Microsoft Sans Serif" w:cs="Microsoft Sans Serif"/>
          <w:sz w:val="20"/>
          <w:szCs w:val="20"/>
          <w:lang w:val="en-GB"/>
        </w:rPr>
        <w:t>blokatore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angiotenzinskih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receptora</w:t>
      </w:r>
      <w:r>
        <w:rPr>
          <w:rFonts w:ascii="Microsoft Sans Serif" w:hAnsi="Microsoft Sans Serif" w:cs="Microsoft Sans Serif"/>
          <w:sz w:val="20"/>
          <w:szCs w:val="20"/>
          <w:lang w:val="sr-Cyrl-RS"/>
        </w:rPr>
        <w:t xml:space="preserve"> treba koristiti sa oprezom kod pacijenata koji su na terapiji A</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 xml:space="preserve">E inhibitorima i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redovno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nivoa kalijuma u krvi i funkcije bubrega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4.5).</w:t>
      </w:r>
    </w:p>
    <w:p w14:paraId="08D90CD5">
      <w:pPr>
        <w:widowControl w:val="0"/>
        <w:rPr>
          <w:rFonts w:ascii="Microsoft Sans Serif" w:hAnsi="Microsoft Sans Serif" w:cs="Microsoft Sans Serif"/>
          <w:sz w:val="20"/>
          <w:szCs w:val="20"/>
          <w:lang w:val="sr-Cyrl-RS"/>
        </w:rPr>
      </w:pPr>
    </w:p>
    <w:p w14:paraId="09CDF11E">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Pacijenti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sa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dijabetesom</w:t>
      </w:r>
    </w:p>
    <w:p w14:paraId="3CA7C60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dijabetesom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oralnim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antidijabeticima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insulinom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vrijednosti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glikemije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mjeseca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4.5).</w:t>
      </w:r>
    </w:p>
    <w:p w14:paraId="0B656C0A">
      <w:pPr>
        <w:widowControl w:val="0"/>
        <w:rPr>
          <w:rFonts w:ascii="Microsoft Sans Serif" w:hAnsi="Microsoft Sans Serif" w:cs="Microsoft Sans Serif"/>
          <w:sz w:val="20"/>
          <w:szCs w:val="20"/>
          <w:lang w:val="sr-Cyrl-RS"/>
        </w:rPr>
      </w:pPr>
    </w:p>
    <w:p w14:paraId="4CEE7F84">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Litijum</w:t>
      </w:r>
    </w:p>
    <w:p w14:paraId="749EDA85">
      <w:pPr>
        <w:widowControl w:val="0"/>
        <w:rPr>
          <w:rFonts w:ascii="Microsoft Sans Serif" w:hAnsi="Microsoft Sans Serif" w:cs="Microsoft Sans Serif"/>
          <w:color w:val="FF0000"/>
          <w:sz w:val="20"/>
          <w:szCs w:val="20"/>
          <w:lang w:val="sr-Cyrl-RS"/>
        </w:rPr>
      </w:pPr>
      <w:r>
        <w:rPr>
          <w:rFonts w:ascii="Microsoft Sans Serif" w:hAnsi="Microsoft Sans Serif" w:cs="Microsoft Sans Serif"/>
          <w:sz w:val="20"/>
          <w:szCs w:val="20"/>
          <w:lang w:val="en-GB"/>
        </w:rPr>
        <w:t>Kombinacija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generalno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4.5).</w:t>
      </w:r>
    </w:p>
    <w:p w14:paraId="0D320BEB">
      <w:pPr>
        <w:widowControl w:val="0"/>
        <w:rPr>
          <w:rFonts w:ascii="Microsoft Sans Serif" w:hAnsi="Microsoft Sans Serif" w:cs="Microsoft Sans Serif"/>
          <w:color w:val="FF0000"/>
          <w:sz w:val="20"/>
          <w:szCs w:val="20"/>
          <w:lang w:val="sr-Latn-RS"/>
        </w:rPr>
      </w:pPr>
    </w:p>
    <w:p w14:paraId="53FFE38D">
      <w:pPr>
        <w:widowControl w:val="0"/>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Trudnoća</w:t>
      </w:r>
    </w:p>
    <w:p w14:paraId="1AC9865F">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Terapija ACE inhibitorima ne smije da se započinje za vrijeme trudnoće. Osim ukoliko se smatra da je </w:t>
      </w:r>
      <w:r>
        <w:rPr>
          <w:rFonts w:ascii="Microsoft Sans Serif" w:hAnsi="Microsoft Sans Serif" w:cs="Microsoft Sans Serif"/>
          <w:sz w:val="20"/>
          <w:szCs w:val="20"/>
          <w:lang w:val="sr-Cyrl-RS"/>
        </w:rPr>
        <w:t xml:space="preserve">neophodno </w:t>
      </w:r>
      <w:r>
        <w:rPr>
          <w:rFonts w:ascii="Microsoft Sans Serif" w:hAnsi="Microsoft Sans Serif" w:cs="Microsoft Sans Serif"/>
          <w:sz w:val="20"/>
          <w:szCs w:val="20"/>
          <w:lang w:val="sr-Latn-RS"/>
        </w:rPr>
        <w:t>nastaviti terapiju ACE inhibitorima, pacijentkinje koje planiraju trudnoću treba da pređu na alternativne antihipertenzivne terapije koji imaju utvrđen bezbjednosni profil za primjenu tokom trudnoće.</w:t>
      </w:r>
    </w:p>
    <w:p w14:paraId="40349E70">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Kada se utvrdi trudnoća, terapiju ACE inhibitorima treba odmah prekinuti i, ukoliko je potrebno </w:t>
      </w:r>
      <w:r>
        <w:rPr>
          <w:rFonts w:ascii="Microsoft Sans Serif" w:hAnsi="Microsoft Sans Serif" w:cs="Microsoft Sans Serif"/>
          <w:sz w:val="20"/>
          <w:szCs w:val="20"/>
          <w:lang w:val="sr-Cyrl-RS"/>
        </w:rPr>
        <w:t>prebaciti se na</w:t>
      </w:r>
      <w:r>
        <w:rPr>
          <w:rFonts w:ascii="Microsoft Sans Serif" w:hAnsi="Microsoft Sans Serif" w:cs="Microsoft Sans Serif"/>
          <w:sz w:val="20"/>
          <w:szCs w:val="20"/>
          <w:lang w:val="sr-Latn-RS"/>
        </w:rPr>
        <w:t xml:space="preserve"> adekvatnu terapiju (pogledati dijelove 4.3 i 4.6).</w:t>
      </w:r>
    </w:p>
    <w:p w14:paraId="3DAF03CE">
      <w:pPr>
        <w:widowControl w:val="0"/>
        <w:rPr>
          <w:rFonts w:ascii="Microsoft Sans Serif" w:hAnsi="Microsoft Sans Serif" w:cs="Microsoft Sans Serif"/>
          <w:sz w:val="20"/>
          <w:szCs w:val="20"/>
          <w:lang w:val="sr-Latn-RS"/>
        </w:rPr>
      </w:pPr>
    </w:p>
    <w:p w14:paraId="7E31DCDC">
      <w:pPr>
        <w:widowControl w:val="0"/>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Vezana za amlodipin</w:t>
      </w:r>
    </w:p>
    <w:p w14:paraId="59F2DAC2">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Bezbjednost i efikasnost primjene amlodipina u hipertenzivnoj krizi nije ustanovl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ena.</w:t>
      </w:r>
    </w:p>
    <w:p w14:paraId="743E35F7">
      <w:pPr>
        <w:widowControl w:val="0"/>
        <w:rPr>
          <w:rFonts w:ascii="Microsoft Sans Serif" w:hAnsi="Microsoft Sans Serif" w:cs="Microsoft Sans Serif"/>
          <w:sz w:val="20"/>
          <w:szCs w:val="20"/>
          <w:lang w:val="sr-Latn-RS"/>
        </w:rPr>
      </w:pPr>
    </w:p>
    <w:p w14:paraId="54BF219D">
      <w:pPr>
        <w:widowControl w:val="0"/>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Srčana insuficijencija</w:t>
      </w:r>
    </w:p>
    <w:p w14:paraId="43795568">
      <w:pPr>
        <w:widowControl w:val="0"/>
        <w:rPr>
          <w:rFonts w:ascii="Microsoft Sans Serif" w:hAnsi="Microsoft Sans Serif" w:cs="Microsoft Sans Serif"/>
          <w:color w:val="FF0000"/>
          <w:sz w:val="20"/>
          <w:szCs w:val="20"/>
          <w:lang w:val="sr-Latn-RS"/>
        </w:rPr>
      </w:pPr>
      <w:r>
        <w:rPr>
          <w:rFonts w:ascii="Microsoft Sans Serif" w:hAnsi="Microsoft Sans Serif" w:cs="Microsoft Sans Serif"/>
          <w:sz w:val="20"/>
          <w:szCs w:val="20"/>
          <w:lang w:val="sr-Latn-RS"/>
        </w:rPr>
        <w:t>Pacijente sa srčanom insuficijencijom treba liječiti sa oprezom. U dugotrajnoj, placebo kontrolisanoj studiji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kod pacijenata sa teškom srčanom insuficijencijom (NYHA klasa III i IV) incidenca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enih slučajeva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plućnog edema bila je veća u grupi koja je bila na terapiji amlodipinom nego u grupi koja je dobijala placebo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(pogledati dio 5.1). Blokatore kalcijumskih kanala,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učujući amlodipin, treba primjenjivati sa oprezom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kod pacijenta sa kongestivnom srčanom insuficijencijom, jer mogu povećati rizik od budućih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kardiovaskularnih događaja i mortaliteta.</w:t>
      </w:r>
    </w:p>
    <w:p w14:paraId="20CE5AAA">
      <w:pPr>
        <w:widowControl w:val="0"/>
        <w:rPr>
          <w:rFonts w:ascii="Microsoft Sans Serif" w:hAnsi="Microsoft Sans Serif" w:cs="Microsoft Sans Serif"/>
          <w:sz w:val="20"/>
          <w:szCs w:val="20"/>
          <w:lang w:val="sr-Latn-RS"/>
        </w:rPr>
      </w:pPr>
    </w:p>
    <w:p w14:paraId="2778E41B">
      <w:pPr>
        <w:widowControl w:val="0"/>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Oštećenje funkcije jetre</w:t>
      </w:r>
    </w:p>
    <w:p w14:paraId="63D3AA10">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Poluvrijeme eliminacije amlodipina je produženo i vrednosti PIK</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lang w:val="sr-Latn-RS"/>
        </w:rPr>
        <w:t>su veće kod pacijenata sa oštećenom funkcijom jetre, a preporuke za doziranje nisu ustanovl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ene. Terapiju amlodipinom zbog toga treba započeti manjim dozama uz oprez, kako kod uvođenja u terapiju, takođe i kod povećanja doze. Sporo titriranje doze i pažl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ivi na</w:t>
      </w:r>
      <w:r>
        <w:rPr>
          <w:rFonts w:ascii="Microsoft Sans Serif" w:hAnsi="Microsoft Sans Serif" w:cs="Microsoft Sans Serif"/>
          <w:sz w:val="20"/>
          <w:szCs w:val="20"/>
          <w:lang w:val="sr-Cyrl-RS"/>
        </w:rPr>
        <w:t>dz</w:t>
      </w:r>
      <w:r>
        <w:rPr>
          <w:rFonts w:ascii="Microsoft Sans Serif" w:hAnsi="Microsoft Sans Serif" w:cs="Microsoft Sans Serif"/>
          <w:sz w:val="20"/>
          <w:szCs w:val="20"/>
          <w:lang w:val="sr-Latn-RS"/>
        </w:rPr>
        <w:t>or mogu biti potrebni kod pacijenata sa teškim oštećenjem funkcije jetre.</w:t>
      </w:r>
    </w:p>
    <w:p w14:paraId="4A3001E0">
      <w:pPr>
        <w:widowControl w:val="0"/>
        <w:rPr>
          <w:rFonts w:ascii="Microsoft Sans Serif" w:hAnsi="Microsoft Sans Serif" w:cs="Microsoft Sans Serif"/>
          <w:sz w:val="20"/>
          <w:szCs w:val="20"/>
          <w:lang w:val="sr-Latn-RS"/>
        </w:rPr>
      </w:pPr>
    </w:p>
    <w:p w14:paraId="2EC4D4F4">
      <w:pPr>
        <w:widowControl w:val="0"/>
        <w:rPr>
          <w:rFonts w:ascii="Microsoft Sans Serif" w:hAnsi="Microsoft Sans Serif" w:cs="Microsoft Sans Serif"/>
          <w:i/>
          <w:iCs/>
          <w:sz w:val="20"/>
          <w:szCs w:val="20"/>
          <w:u w:val="single"/>
          <w:lang w:val="sr-Latn-RS"/>
        </w:rPr>
      </w:pPr>
      <w:r>
        <w:rPr>
          <w:rFonts w:ascii="Microsoft Sans Serif" w:hAnsi="Microsoft Sans Serif" w:cs="Microsoft Sans Serif"/>
          <w:i/>
          <w:iCs/>
          <w:sz w:val="20"/>
          <w:szCs w:val="20"/>
          <w:u w:val="single"/>
          <w:lang w:val="sr-Latn-RS"/>
        </w:rPr>
        <w:t>Stariji pacijenti</w:t>
      </w:r>
    </w:p>
    <w:p w14:paraId="502A61AB">
      <w:pPr>
        <w:widowControl w:val="0"/>
        <w:rPr>
          <w:rFonts w:ascii="Microsoft Sans Serif" w:hAnsi="Microsoft Sans Serif" w:cs="Microsoft Sans Serif"/>
          <w:iCs/>
          <w:color w:val="FF0000"/>
          <w:sz w:val="20"/>
          <w:szCs w:val="20"/>
          <w:lang w:val="sr-Latn-RS"/>
        </w:rPr>
      </w:pPr>
      <w:r>
        <w:rPr>
          <w:rFonts w:ascii="Microsoft Sans Serif" w:hAnsi="Microsoft Sans Serif" w:cs="Microsoft Sans Serif"/>
          <w:iCs/>
          <w:sz w:val="20"/>
          <w:szCs w:val="20"/>
          <w:lang w:val="sr-Latn-RS"/>
        </w:rPr>
        <w:t>Kod starijih pacijenata povećanje doze treba vršiti pažl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r-Latn-RS"/>
        </w:rPr>
        <w:t xml:space="preserve">ivo (pogledati dijelove 4.2 i 5.2). </w:t>
      </w:r>
    </w:p>
    <w:p w14:paraId="04F1AC79">
      <w:pPr>
        <w:widowControl w:val="0"/>
        <w:rPr>
          <w:rFonts w:ascii="Microsoft Sans Serif" w:hAnsi="Microsoft Sans Serif" w:cs="Microsoft Sans Serif"/>
          <w:i/>
          <w:sz w:val="20"/>
          <w:szCs w:val="20"/>
          <w:u w:val="single"/>
          <w:lang w:val="sr-Latn-RS"/>
        </w:rPr>
      </w:pPr>
    </w:p>
    <w:p w14:paraId="46725F25">
      <w:pPr>
        <w:widowControl w:val="0"/>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Oštećenje funkcije bubrega</w:t>
      </w:r>
    </w:p>
    <w:p w14:paraId="2CB8E955">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Može se primjenjivati uobičajena doza amlodipina kod pacijenata sa oštećenjem funkcije bubrega. Promjene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koncentracijama amlodipina u plazmi nisu u korelaciji sa stepenom oštećenja funkcije bubrega. Amlodipin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se ne može ukloniti dijalizom.</w:t>
      </w:r>
    </w:p>
    <w:p w14:paraId="7E24520F">
      <w:pPr>
        <w:widowControl w:val="0"/>
        <w:autoSpaceDE w:val="0"/>
        <w:autoSpaceDN w:val="0"/>
        <w:adjustRightInd w:val="0"/>
        <w:rPr>
          <w:szCs w:val="20"/>
          <w:lang w:val="sr-Latn-RS"/>
        </w:rPr>
      </w:pPr>
    </w:p>
    <w:p w14:paraId="4F34201F">
      <w:pPr>
        <w:widowControl w:val="0"/>
        <w:rPr>
          <w:rFonts w:ascii="Microsoft Sans Serif" w:hAnsi="Microsoft Sans Serif" w:cs="Microsoft Sans Serif"/>
          <w:sz w:val="20"/>
          <w:szCs w:val="20"/>
          <w:lang w:val="sr-Latn-RS"/>
        </w:rPr>
      </w:pPr>
    </w:p>
    <w:p w14:paraId="4CDC2204">
      <w:pPr>
        <w:rPr>
          <w:rFonts w:ascii="Microsoft Sans Serif" w:hAnsi="Microsoft Sans Serif" w:cs="Microsoft Sans Serif"/>
          <w:sz w:val="20"/>
          <w:szCs w:val="20"/>
          <w:lang w:val="sr-Latn-RS"/>
        </w:rPr>
      </w:pPr>
    </w:p>
    <w:p w14:paraId="3411DFE0">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4.5. Interakcije sa drugim lijekovima i druge vrste interakcija</w:t>
      </w:r>
    </w:p>
    <w:p w14:paraId="2CC667D9">
      <w:pPr>
        <w:rPr>
          <w:rFonts w:ascii="Microsoft Sans Serif" w:hAnsi="Microsoft Sans Serif" w:cs="Microsoft Sans Serif"/>
          <w:sz w:val="20"/>
          <w:szCs w:val="20"/>
          <w:lang w:val="sr-Latn-RS"/>
        </w:rPr>
      </w:pPr>
    </w:p>
    <w:p w14:paraId="528AB0A5">
      <w:pPr>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Interakcije povezane sa lizinoprilom</w:t>
      </w:r>
    </w:p>
    <w:p w14:paraId="2DA7885A">
      <w:pPr>
        <w:rPr>
          <w:rFonts w:ascii="Microsoft Sans Serif" w:hAnsi="Microsoft Sans Serif" w:cs="Microsoft Sans Serif"/>
          <w:i/>
          <w:sz w:val="20"/>
          <w:szCs w:val="20"/>
          <w:lang w:val="sr-Latn-RS"/>
        </w:rPr>
      </w:pPr>
    </w:p>
    <w:p w14:paraId="0F26B971">
      <w:pPr>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Antihipertenzivni lijekovi</w:t>
      </w:r>
    </w:p>
    <w:p w14:paraId="606E2AE0">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Antihipertenzivno dejstvo lizinoprila može se pojačati kada se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enjuje istovremeno sa </w:t>
      </w:r>
      <w:r>
        <w:rPr>
          <w:rFonts w:ascii="Microsoft Sans Serif" w:hAnsi="Microsoft Sans Serif" w:cs="Microsoft Sans Serif"/>
          <w:sz w:val="20"/>
          <w:szCs w:val="20"/>
          <w:lang w:val="sr-Latn-RS"/>
        </w:rPr>
        <w:t xml:space="preserve">drugim antihipertenzivnim lijekovima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RS"/>
        </w:rPr>
        <w:t xml:space="preserve">npr. </w:t>
      </w:r>
      <w:r>
        <w:rPr>
          <w:rFonts w:ascii="Microsoft Sans Serif" w:hAnsi="Microsoft Sans Serif" w:cs="Microsoft Sans Serif"/>
          <w:sz w:val="20"/>
          <w:szCs w:val="20"/>
          <w:lang w:val="sr-Cyrl-RS"/>
        </w:rPr>
        <w:t>g</w:t>
      </w:r>
      <w:r>
        <w:rPr>
          <w:rFonts w:ascii="Microsoft Sans Serif" w:hAnsi="Microsoft Sans Serif" w:cs="Microsoft Sans Serif"/>
          <w:sz w:val="20"/>
          <w:szCs w:val="20"/>
          <w:lang w:val="sr-Latn-RS"/>
        </w:rPr>
        <w:t>liceriltrinitrat i drugi nitrati, ili drugi vazodilatatori</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RS"/>
        </w:rPr>
        <w:t>. Podaci iz kliničkih ispitivanja su pokazali da je dvostruka blokada sistema renin-angiotenzin-aldosteron (RAAS), usled kombinovane primjene ACE inhibitora, blokatora receptora angiotenzina II ili aliskirena, povezana sa većom učestalošću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enih događaja, kao što su hipotenzija, hiperkalemija i oslabl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ena funkcija bubrega (ukl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učujući akutnu bubrežnu insuficijenciju) u poređenju sa primjenom samo jednog lijeka koji djeluje na RAAS (pogledati dijelove 4.3, 4.4 i 5.1).</w:t>
      </w:r>
    </w:p>
    <w:p w14:paraId="7D6FAE7C">
      <w:pPr>
        <w:rPr>
          <w:rFonts w:ascii="Microsoft Sans Serif" w:hAnsi="Microsoft Sans Serif" w:cs="Microsoft Sans Serif"/>
          <w:sz w:val="20"/>
          <w:szCs w:val="20"/>
          <w:lang w:val="sr-Latn-RS"/>
        </w:rPr>
      </w:pPr>
    </w:p>
    <w:p w14:paraId="4085C674">
      <w:pPr>
        <w:tabs>
          <w:tab w:val="left" w:pos="567"/>
        </w:tabs>
        <w:rPr>
          <w:rFonts w:ascii="Microsoft Sans Serif" w:hAnsi="Microsoft Sans Serif" w:cs="Microsoft Sans Serif"/>
          <w:i/>
          <w:iCs/>
          <w:sz w:val="20"/>
          <w:szCs w:val="20"/>
          <w:lang w:val="sr-Cyrl-RS"/>
        </w:rPr>
      </w:pPr>
      <w:r>
        <w:rPr>
          <w:rFonts w:ascii="Microsoft Sans Serif" w:hAnsi="Microsoft Sans Serif" w:cs="Microsoft Sans Serif"/>
          <w:i/>
          <w:iCs/>
          <w:sz w:val="20"/>
          <w:szCs w:val="20"/>
          <w:lang w:val="sr-Cyrl-RS"/>
        </w:rPr>
        <w:t>L</w:t>
      </w:r>
      <w:r>
        <w:rPr>
          <w:rFonts w:ascii="Microsoft Sans Serif" w:hAnsi="Microsoft Sans Serif" w:cs="Microsoft Sans Serif"/>
          <w:i/>
          <w:iCs/>
          <w:sz w:val="20"/>
          <w:szCs w:val="20"/>
          <w:lang w:val="sr-Latn-RS"/>
        </w:rPr>
        <w:t>ij</w:t>
      </w:r>
      <w:r>
        <w:rPr>
          <w:rFonts w:ascii="Microsoft Sans Serif" w:hAnsi="Microsoft Sans Serif" w:cs="Microsoft Sans Serif"/>
          <w:i/>
          <w:iCs/>
          <w:sz w:val="20"/>
          <w:szCs w:val="20"/>
          <w:lang w:val="sr-Cyrl-RS"/>
        </w:rPr>
        <w:t>ekovi koji povećavaju rizik od angioedema</w:t>
      </w:r>
    </w:p>
    <w:p w14:paraId="1917C8F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Istovremena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ena A</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E inhibitora i kombinacije sakubitril/valsartan je kontraidikovana jer se povećava rizik od pojave angioedema (</w:t>
      </w:r>
      <w:r>
        <w:rPr>
          <w:rFonts w:ascii="Microsoft Sans Serif" w:hAnsi="Microsoft Sans Serif" w:cs="Microsoft Sans Serif"/>
          <w:sz w:val="20"/>
          <w:szCs w:val="20"/>
          <w:lang w:val="sr-Latn-RS"/>
        </w:rPr>
        <w:t>pogledati dijelove</w:t>
      </w:r>
      <w:r>
        <w:rPr>
          <w:rFonts w:ascii="Microsoft Sans Serif" w:hAnsi="Microsoft Sans Serif" w:cs="Microsoft Sans Serif"/>
          <w:sz w:val="20"/>
          <w:szCs w:val="20"/>
          <w:lang w:val="sr-Cyrl-RS"/>
        </w:rPr>
        <w:t xml:space="preserve"> 4.3 i 4.4). </w:t>
      </w:r>
    </w:p>
    <w:p w14:paraId="408690C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ACE</w:t>
      </w:r>
      <w:r>
        <w:rPr>
          <w:rFonts w:ascii="Microsoft Sans Serif" w:hAnsi="Microsoft Sans Serif" w:cs="Microsoft Sans Serif"/>
          <w:sz w:val="20"/>
          <w:szCs w:val="20"/>
          <w:lang w:val="sr-Cyrl-RS"/>
        </w:rPr>
        <w:t xml:space="preserve"> inhibitora sa </w:t>
      </w:r>
      <w:r>
        <w:rPr>
          <w:rFonts w:ascii="Microsoft Sans Serif" w:hAnsi="Microsoft Sans Serif" w:cs="Microsoft Sans Serif"/>
          <w:sz w:val="20"/>
          <w:szCs w:val="20"/>
          <w:lang w:val="en-GB"/>
        </w:rPr>
        <w:t>mTOR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w:t>
      </w:r>
      <w:r>
        <w:rPr>
          <w:rFonts w:ascii="Microsoft Sans Serif" w:hAnsi="Microsoft Sans Serif" w:cs="Microsoft Sans Serif"/>
          <w:sz w:val="20"/>
          <w:szCs w:val="20"/>
          <w:lang w:val="sr-Cyrl-RS"/>
        </w:rPr>
        <w:t>ima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sirolimus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everolimus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temsirolimus</w:t>
      </w:r>
      <w:r>
        <w:rPr>
          <w:rFonts w:ascii="Microsoft Sans Serif" w:hAnsi="Microsoft Sans Serif" w:cs="Microsoft Sans Serif"/>
          <w:sz w:val="20"/>
          <w:szCs w:val="20"/>
          <w:lang w:val="sr-Cyrl-RS"/>
        </w:rPr>
        <w:t>) ili inhibitorima neutralne endopeptidaze (</w:t>
      </w:r>
      <w:r>
        <w:rPr>
          <w:rFonts w:ascii="Microsoft Sans Serif" w:hAnsi="Microsoft Sans Serif" w:cs="Microsoft Sans Serif"/>
          <w:sz w:val="20"/>
          <w:szCs w:val="20"/>
          <w:lang w:val="sr-Latn-RS"/>
        </w:rPr>
        <w:t>NEP</w:t>
      </w:r>
      <w:r>
        <w:rPr>
          <w:rFonts w:ascii="Microsoft Sans Serif" w:hAnsi="Microsoft Sans Serif" w:cs="Microsoft Sans Serif"/>
          <w:sz w:val="20"/>
          <w:szCs w:val="20"/>
          <w:lang w:val="sr-Cyrl-RS"/>
        </w:rPr>
        <w:t xml:space="preserve">) (npr. racekadotril),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aktivatorom tkivnog plazminogena i</w:t>
      </w:r>
      <w:r>
        <w:rPr>
          <w:rFonts w:ascii="Microsoft Sans Serif" w:hAnsi="Microsoft Sans Serif" w:cs="Microsoft Sans Serif"/>
          <w:sz w:val="20"/>
          <w:szCs w:val="20"/>
        </w:rPr>
        <w:t>li</w:t>
      </w:r>
      <w:r>
        <w:rPr>
          <w:rFonts w:ascii="Microsoft Sans Serif" w:hAnsi="Microsoft Sans Serif" w:cs="Microsoft Sans Serif"/>
          <w:sz w:val="20"/>
          <w:szCs w:val="20"/>
          <w:lang w:val="sr-Cyrl-RS"/>
        </w:rPr>
        <w:t xml:space="preserve"> vildagliptinom može povećati rizik od pojave angioedema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dijelove</w:t>
      </w:r>
      <w:r>
        <w:rPr>
          <w:rFonts w:ascii="Microsoft Sans Serif" w:hAnsi="Microsoft Sans Serif" w:cs="Microsoft Sans Serif"/>
          <w:sz w:val="20"/>
          <w:szCs w:val="20"/>
          <w:lang w:val="sr-Cyrl-RS"/>
        </w:rPr>
        <w:t xml:space="preserve"> 4.4).</w:t>
      </w:r>
    </w:p>
    <w:p w14:paraId="056C768A">
      <w:pPr>
        <w:tabs>
          <w:tab w:val="left" w:pos="567"/>
        </w:tabs>
        <w:rPr>
          <w:rFonts w:ascii="Microsoft Sans Serif" w:hAnsi="Microsoft Sans Serif" w:cs="Microsoft Sans Serif"/>
          <w:iCs/>
          <w:sz w:val="20"/>
          <w:szCs w:val="20"/>
          <w:lang w:val="sr-Latn-RS"/>
        </w:rPr>
      </w:pPr>
    </w:p>
    <w:p w14:paraId="2D0C3C9D">
      <w:pPr>
        <w:widowControl w:val="0"/>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Diuretici</w:t>
      </w:r>
    </w:p>
    <w:p w14:paraId="02C3D18A">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Kada se diuretik doda terapiji kod pacijenta koji već prima lizinopril, obično dolazi do aditivnog antihipertenzivnog djelovanja. Pacijenti koji su već na terapiji diureticima, a naročito oni kojima je nedavno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uvedena terapija diureticima, mogu povremeno da osjete značajno smanjenje krvnog pritiska nakon uvođenja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lizinoprila. Mogućnost simptomatske hipotenzije pri primjeni lizinoprila može da bude minimizirana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prekidom terapije diuretikom prije uvođenja terapije lizinoprilom (pogledati dijelove 4.4 i 4.2).</w:t>
      </w:r>
    </w:p>
    <w:p w14:paraId="2D4A5A4D">
      <w:pPr>
        <w:widowControl w:val="0"/>
        <w:rPr>
          <w:rFonts w:ascii="Microsoft Sans Serif" w:hAnsi="Microsoft Sans Serif" w:cs="Microsoft Sans Serif"/>
          <w:sz w:val="20"/>
          <w:szCs w:val="20"/>
          <w:lang w:val="sr-Latn-RS"/>
        </w:rPr>
      </w:pPr>
    </w:p>
    <w:p w14:paraId="1876F42D">
      <w:pPr>
        <w:widowControl w:val="0"/>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Cyrl-RS"/>
        </w:rPr>
        <w:t>D</w:t>
      </w:r>
      <w:r>
        <w:rPr>
          <w:rFonts w:ascii="Microsoft Sans Serif" w:hAnsi="Microsoft Sans Serif" w:cs="Microsoft Sans Serif"/>
          <w:i/>
          <w:sz w:val="20"/>
          <w:szCs w:val="20"/>
          <w:lang w:val="sr-Latn-RS"/>
        </w:rPr>
        <w:t>iuretici koji štede kalijum</w:t>
      </w:r>
      <w:r>
        <w:rPr>
          <w:rFonts w:ascii="Microsoft Sans Serif" w:hAnsi="Microsoft Sans Serif" w:cs="Microsoft Sans Serif"/>
          <w:i/>
          <w:sz w:val="20"/>
          <w:szCs w:val="20"/>
          <w:lang w:val="sr-Cyrl-RS"/>
        </w:rPr>
        <w:t>, suplementi kalijuma</w:t>
      </w:r>
      <w:r>
        <w:rPr>
          <w:rFonts w:ascii="Microsoft Sans Serif" w:hAnsi="Microsoft Sans Serif" w:cs="Microsoft Sans Serif"/>
          <w:i/>
          <w:sz w:val="20"/>
          <w:szCs w:val="20"/>
          <w:lang w:val="sr-Latn-RS"/>
        </w:rPr>
        <w:t xml:space="preserve"> ili zamjene za so koje sadrže kalijum</w:t>
      </w:r>
    </w:p>
    <w:p w14:paraId="26820F4E">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Iako koncentracija kalijuma u serumu obično ostaj</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r-Latn-RS"/>
        </w:rPr>
        <w:t xml:space="preserve"> u granicama referentnih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vrijednosti, hiperkalemija se</w:t>
      </w:r>
      <w:r>
        <w:rPr>
          <w:rFonts w:ascii="Microsoft Sans Serif" w:hAnsi="Microsoft Sans Serif" w:cs="Microsoft Sans Serif"/>
          <w:sz w:val="20"/>
          <w:szCs w:val="20"/>
          <w:lang w:val="sr-Cyrl-RS"/>
        </w:rPr>
        <w:t xml:space="preserve"> može</w:t>
      </w:r>
      <w:r>
        <w:rPr>
          <w:rFonts w:ascii="Microsoft Sans Serif" w:hAnsi="Microsoft Sans Serif" w:cs="Microsoft Sans Serif"/>
          <w:sz w:val="20"/>
          <w:szCs w:val="20"/>
          <w:lang w:val="sr-Latn-RS"/>
        </w:rPr>
        <w:t xml:space="preserve"> jav</w:t>
      </w:r>
      <w:r>
        <w:rPr>
          <w:rFonts w:ascii="Microsoft Sans Serif" w:hAnsi="Microsoft Sans Serif" w:cs="Microsoft Sans Serif"/>
          <w:sz w:val="20"/>
          <w:szCs w:val="20"/>
          <w:lang w:val="sr-Cyrl-RS"/>
        </w:rPr>
        <w:t>iti</w:t>
      </w:r>
      <w:r>
        <w:rPr>
          <w:rFonts w:ascii="Microsoft Sans Serif" w:hAnsi="Microsoft Sans Serif" w:cs="Microsoft Sans Serif"/>
          <w:sz w:val="20"/>
          <w:szCs w:val="20"/>
          <w:lang w:val="sr-Latn-RS"/>
        </w:rPr>
        <w:t xml:space="preserve"> kod nekih pacijenata koji su bili na terapiji lizinoprilom.</w:t>
      </w:r>
    </w:p>
    <w:p w14:paraId="6691FC93">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rPr>
        <w:t>Prilikom upotrebe d</w:t>
      </w:r>
      <w:r>
        <w:rPr>
          <w:rFonts w:ascii="Microsoft Sans Serif" w:hAnsi="Microsoft Sans Serif" w:cs="Microsoft Sans Serif"/>
          <w:sz w:val="20"/>
          <w:szCs w:val="20"/>
          <w:lang w:val="en-GB"/>
        </w:rPr>
        <w:t xml:space="preserve">iuretici koji štede kalijum </w:t>
      </w:r>
      <w:r>
        <w:rPr>
          <w:rFonts w:ascii="Microsoft Sans Serif" w:hAnsi="Microsoft Sans Serif" w:cs="Microsoft Sans Serif"/>
          <w:sz w:val="20"/>
          <w:szCs w:val="20"/>
          <w:lang w:val="sr-Cyrl-RS"/>
        </w:rPr>
        <w:t>(npr.spironolakton, triamteren ili amilorid), suplementi kalijuma ili zam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ena za so koja sadrži kalijum </w:t>
      </w:r>
      <w:r>
        <w:rPr>
          <w:rFonts w:ascii="Microsoft Sans Serif" w:hAnsi="Microsoft Sans Serif" w:cs="Microsoft Sans Serif"/>
          <w:sz w:val="20"/>
          <w:szCs w:val="20"/>
        </w:rPr>
        <w:t>mo</w:t>
      </w:r>
      <w:r>
        <w:rPr>
          <w:rFonts w:ascii="Microsoft Sans Serif" w:hAnsi="Microsoft Sans Serif" w:cs="Microsoft Sans Serif"/>
          <w:sz w:val="20"/>
          <w:szCs w:val="20"/>
          <w:lang w:val="hr-BA"/>
        </w:rPr>
        <w:t>že doći</w:t>
      </w:r>
      <w:r>
        <w:rPr>
          <w:rFonts w:ascii="Microsoft Sans Serif" w:hAnsi="Microsoft Sans Serif" w:cs="Microsoft Sans Serif"/>
          <w:sz w:val="20"/>
          <w:szCs w:val="20"/>
          <w:lang w:val="sr-Cyrl-RS"/>
        </w:rPr>
        <w:t xml:space="preserve"> do značajnog povećanja koncentracije kalijuma u serumu. Oprez je takođe potreban kada se lizinopril istovremeno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enjuje sa drugim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ekovima koji mogu da povećaju koncentraciju kalijuma u serumu, kao što je </w:t>
      </w:r>
      <w:r>
        <w:rPr>
          <w:rFonts w:ascii="Microsoft Sans Serif" w:hAnsi="Microsoft Sans Serif" w:cs="Microsoft Sans Serif"/>
          <w:sz w:val="20"/>
          <w:szCs w:val="20"/>
          <w:lang w:val="en-GB"/>
        </w:rPr>
        <w:t>trimetoprim</w:t>
      </w:r>
      <w:r>
        <w:rPr>
          <w:rFonts w:ascii="Microsoft Sans Serif" w:hAnsi="Microsoft Sans Serif" w:cs="Microsoft Sans Serif"/>
          <w:sz w:val="20"/>
          <w:szCs w:val="20"/>
          <w:lang w:val="sr-Cyrl-RS"/>
        </w:rPr>
        <w:t xml:space="preserve"> i </w:t>
      </w:r>
      <w:r>
        <w:rPr>
          <w:rFonts w:ascii="Microsoft Sans Serif" w:hAnsi="Microsoft Sans Serif" w:cs="Microsoft Sans Serif"/>
          <w:sz w:val="20"/>
          <w:szCs w:val="20"/>
          <w:lang w:val="en-GB"/>
        </w:rPr>
        <w:t>kotrimoksazol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trimetoprim</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sulfametoksazol</w:t>
      </w:r>
      <w:r>
        <w:rPr>
          <w:rFonts w:ascii="Microsoft Sans Serif" w:hAnsi="Microsoft Sans Serif" w:cs="Microsoft Sans Serif"/>
          <w:sz w:val="20"/>
          <w:szCs w:val="20"/>
          <w:lang w:val="sr-Cyrl-RS"/>
        </w:rPr>
        <w:t>) jer je poznato da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eluje kao diuretik koji štedi kalijum</w:t>
      </w:r>
      <w:r>
        <w:rPr>
          <w:rFonts w:ascii="Microsoft Sans Serif" w:hAnsi="Microsoft Sans Serif" w:cs="Microsoft Sans Serif"/>
          <w:sz w:val="20"/>
          <w:szCs w:val="20"/>
          <w:lang w:val="hr-BA"/>
        </w:rPr>
        <w:t>,</w:t>
      </w:r>
      <w:r>
        <w:rPr>
          <w:rFonts w:ascii="Microsoft Sans Serif" w:hAnsi="Microsoft Sans Serif" w:cs="Microsoft Sans Serif"/>
          <w:sz w:val="20"/>
          <w:szCs w:val="20"/>
          <w:lang w:val="sr-Cyrl-RS"/>
        </w:rPr>
        <w:t xml:space="preserve"> kao što je amilorid. Zbog toga se ne preporučuje kombinacija lizinoprila sa gore navedenim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ekovima. Ako je istovremena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ena indikovana, treba ih koristiti sa oprezom i čestim praćenjem koncentracije kalijuma u serumu (</w:t>
      </w:r>
      <w:r>
        <w:rPr>
          <w:rFonts w:ascii="Microsoft Sans Serif" w:hAnsi="Microsoft Sans Serif" w:cs="Microsoft Sans Serif"/>
          <w:sz w:val="20"/>
          <w:szCs w:val="20"/>
          <w:lang w:val="sr-Latn-RS"/>
        </w:rPr>
        <w:t>pogledati</w:t>
      </w:r>
      <w:r>
        <w:rPr>
          <w:rFonts w:ascii="Microsoft Sans Serif" w:hAnsi="Microsoft Sans Serif" w:cs="Microsoft Sans Serif"/>
          <w:sz w:val="20"/>
          <w:szCs w:val="20"/>
          <w:lang w:val="sr-Cyrl-RS"/>
        </w:rPr>
        <w:t xml:space="preserve"> dio 4.4).</w:t>
      </w:r>
    </w:p>
    <w:p w14:paraId="09937A0F">
      <w:pPr>
        <w:widowControl w:val="0"/>
        <w:rPr>
          <w:rFonts w:ascii="Microsoft Sans Serif" w:hAnsi="Microsoft Sans Serif" w:cs="Microsoft Sans Serif"/>
          <w:sz w:val="20"/>
          <w:szCs w:val="20"/>
          <w:lang w:val="sr-Latn-RS"/>
        </w:rPr>
      </w:pPr>
    </w:p>
    <w:p w14:paraId="79BE3F14">
      <w:pPr>
        <w:widowControl w:val="0"/>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Ciklosporin: </w:t>
      </w:r>
      <w:r>
        <w:rPr>
          <w:rFonts w:ascii="Microsoft Sans Serif" w:hAnsi="Microsoft Sans Serif" w:cs="Microsoft Sans Serif"/>
          <w:sz w:val="20"/>
          <w:szCs w:val="20"/>
          <w:lang w:val="sr-Cyrl-RS"/>
        </w:rPr>
        <w:t xml:space="preserve">Hiperkalemija se može javiti prilikom istovremene upotrebe </w:t>
      </w:r>
      <w:r>
        <w:rPr>
          <w:rFonts w:ascii="Microsoft Sans Serif" w:hAnsi="Microsoft Sans Serif" w:cs="Microsoft Sans Serif"/>
          <w:sz w:val="20"/>
          <w:szCs w:val="20"/>
          <w:lang w:val="sr-Latn-RS"/>
        </w:rPr>
        <w:t xml:space="preserve">ACE </w:t>
      </w:r>
      <w:r>
        <w:rPr>
          <w:rFonts w:ascii="Microsoft Sans Serif" w:hAnsi="Microsoft Sans Serif" w:cs="Microsoft Sans Serif"/>
          <w:sz w:val="20"/>
          <w:szCs w:val="20"/>
          <w:lang w:val="sr-Cyrl-RS"/>
        </w:rPr>
        <w:t>inhibitora i ciklosporina. Preporučuje se praćenje koncentracije kalijuma u serumu.</w:t>
      </w:r>
    </w:p>
    <w:p w14:paraId="1286D3DC">
      <w:pPr>
        <w:widowControl w:val="0"/>
        <w:rPr>
          <w:rFonts w:ascii="Microsoft Sans Serif" w:hAnsi="Microsoft Sans Serif" w:cs="Microsoft Sans Serif"/>
          <w:sz w:val="20"/>
          <w:szCs w:val="20"/>
          <w:lang w:val="sr-Cyrl-RS"/>
        </w:rPr>
      </w:pPr>
    </w:p>
    <w:p w14:paraId="597A607C">
      <w:pPr>
        <w:widowControl w:val="0"/>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Heparin:</w:t>
      </w:r>
      <w:r>
        <w:rPr>
          <w:rFonts w:ascii="Microsoft Sans Serif" w:hAnsi="Microsoft Sans Serif" w:cs="Microsoft Sans Serif"/>
          <w:sz w:val="20"/>
          <w:szCs w:val="20"/>
          <w:lang w:val="sr-Cyrl-RS"/>
        </w:rPr>
        <w:t xml:space="preserve"> Hiperkalemija se može javiti prilikom istovreme</w:t>
      </w:r>
      <w:r>
        <w:rPr>
          <w:rFonts w:ascii="Microsoft Sans Serif" w:hAnsi="Microsoft Sans Serif" w:cs="Microsoft Sans Serif"/>
          <w:sz w:val="20"/>
          <w:szCs w:val="20"/>
          <w:lang w:val="sr-Latn-RS"/>
        </w:rPr>
        <w:t>ne</w:t>
      </w:r>
      <w:r>
        <w:rPr>
          <w:rFonts w:ascii="Microsoft Sans Serif" w:hAnsi="Microsoft Sans Serif" w:cs="Microsoft Sans Serif"/>
          <w:sz w:val="20"/>
          <w:szCs w:val="20"/>
          <w:lang w:val="sr-Cyrl-RS"/>
        </w:rPr>
        <w:t xml:space="preserve"> upotrebe </w:t>
      </w:r>
      <w:r>
        <w:rPr>
          <w:rFonts w:ascii="Microsoft Sans Serif" w:hAnsi="Microsoft Sans Serif" w:cs="Microsoft Sans Serif"/>
          <w:sz w:val="20"/>
          <w:szCs w:val="20"/>
          <w:lang w:val="sr-Latn-RS"/>
        </w:rPr>
        <w:t xml:space="preserve">ACE </w:t>
      </w:r>
      <w:r>
        <w:rPr>
          <w:rFonts w:ascii="Microsoft Sans Serif" w:hAnsi="Microsoft Sans Serif" w:cs="Microsoft Sans Serif"/>
          <w:sz w:val="20"/>
          <w:szCs w:val="20"/>
          <w:lang w:val="sr-Cyrl-RS"/>
        </w:rPr>
        <w:t>inhibitora i heparina. Preporučuje se praćenje koncentracije kalijuma u serumu.</w:t>
      </w:r>
    </w:p>
    <w:p w14:paraId="46D44C6A">
      <w:pPr>
        <w:widowControl w:val="0"/>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 </w:t>
      </w:r>
    </w:p>
    <w:p w14:paraId="59845067">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Litijum</w:t>
      </w:r>
    </w:p>
    <w:p w14:paraId="5236C75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reverzibilno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serumu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pojava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tiazidnih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diuretika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poja</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w:t>
      </w:r>
      <w:r>
        <w:rPr>
          <w:rFonts w:ascii="Microsoft Sans Serif" w:hAnsi="Microsoft Sans Serif" w:cs="Microsoft Sans Serif"/>
          <w:sz w:val="20"/>
          <w:szCs w:val="20"/>
          <w:lang w:val="sr-Cyrl-RS"/>
        </w:rPr>
        <w:t xml:space="preserve">ć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poka</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kombinacija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neophodna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sprovodi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serumu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4.4).</w:t>
      </w:r>
    </w:p>
    <w:p w14:paraId="1A8A47D9">
      <w:pPr>
        <w:widowControl w:val="0"/>
        <w:rPr>
          <w:rFonts w:ascii="Microsoft Sans Serif" w:hAnsi="Microsoft Sans Serif" w:cs="Microsoft Sans Serif"/>
          <w:sz w:val="20"/>
          <w:szCs w:val="20"/>
          <w:lang w:val="sr-Cyrl-RS"/>
        </w:rPr>
      </w:pPr>
    </w:p>
    <w:p w14:paraId="45F3113F">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Nesteroidni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antiinflamatorni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lijekovi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NSAIL</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ukl</w:t>
      </w:r>
      <w:r>
        <w:rPr>
          <w:rFonts w:ascii="Microsoft Sans Serif" w:hAnsi="Microsoft Sans Serif" w:cs="Microsoft Sans Serif"/>
          <w:i/>
          <w:sz w:val="20"/>
          <w:szCs w:val="20"/>
          <w:lang w:val="sr-Cyrl-RS"/>
        </w:rPr>
        <w:t>ј</w:t>
      </w:r>
      <w:r>
        <w:rPr>
          <w:rFonts w:ascii="Microsoft Sans Serif" w:hAnsi="Microsoft Sans Serif" w:cs="Microsoft Sans Serif"/>
          <w:i/>
          <w:sz w:val="20"/>
          <w:szCs w:val="20"/>
          <w:lang w:val="en-GB"/>
        </w:rPr>
        <w:t>u</w:t>
      </w:r>
      <w:r>
        <w:rPr>
          <w:rFonts w:ascii="Microsoft Sans Serif" w:hAnsi="Microsoft Sans Serif" w:cs="Microsoft Sans Serif"/>
          <w:i/>
          <w:sz w:val="20"/>
          <w:szCs w:val="20"/>
          <w:lang w:val="sr-Cyrl-RS"/>
        </w:rPr>
        <w:t>č</w:t>
      </w:r>
      <w:r>
        <w:rPr>
          <w:rFonts w:ascii="Microsoft Sans Serif" w:hAnsi="Microsoft Sans Serif" w:cs="Microsoft Sans Serif"/>
          <w:i/>
          <w:sz w:val="20"/>
          <w:szCs w:val="20"/>
          <w:lang w:val="en-GB"/>
        </w:rPr>
        <w:t>uju</w:t>
      </w:r>
      <w:r>
        <w:rPr>
          <w:rFonts w:ascii="Microsoft Sans Serif" w:hAnsi="Microsoft Sans Serif" w:cs="Microsoft Sans Serif"/>
          <w:i/>
          <w:sz w:val="20"/>
          <w:szCs w:val="20"/>
          <w:lang w:val="sr-Cyrl-RS"/>
        </w:rPr>
        <w:t>ć</w:t>
      </w:r>
      <w:r>
        <w:rPr>
          <w:rFonts w:ascii="Microsoft Sans Serif" w:hAnsi="Microsoft Sans Serif" w:cs="Microsoft Sans Serif"/>
          <w:i/>
          <w:sz w:val="20"/>
          <w:szCs w:val="20"/>
          <w:lang w:val="en-GB"/>
        </w:rPr>
        <w:t>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acetilsalicilnu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kiselinu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dozi</w:t>
      </w:r>
      <w:r>
        <w:rPr>
          <w:rFonts w:ascii="Microsoft Sans Serif" w:hAnsi="Microsoft Sans Serif" w:cs="Microsoft Sans Serif"/>
          <w:i/>
          <w:sz w:val="20"/>
          <w:szCs w:val="20"/>
          <w:lang w:val="sr-Cyrl-RS"/>
        </w:rPr>
        <w:t xml:space="preserve"> ≥ 3 </w:t>
      </w:r>
      <w:r>
        <w:rPr>
          <w:rFonts w:ascii="Microsoft Sans Serif" w:hAnsi="Microsoft Sans Serif" w:cs="Microsoft Sans Serif"/>
          <w:i/>
          <w:sz w:val="20"/>
          <w:szCs w:val="20"/>
          <w:lang w:val="en-GB"/>
        </w:rPr>
        <w:t>g</w:t>
      </w:r>
      <w:r>
        <w:rPr>
          <w:rFonts w:ascii="Microsoft Sans Serif" w:hAnsi="Microsoft Sans Serif" w:cs="Microsoft Sans Serif"/>
          <w:i/>
          <w:sz w:val="20"/>
          <w:szCs w:val="20"/>
          <w:lang w:val="sr-Cyrl-RS"/>
        </w:rPr>
        <w:t>/</w:t>
      </w:r>
      <w:r>
        <w:rPr>
          <w:rFonts w:ascii="Microsoft Sans Serif" w:hAnsi="Microsoft Sans Serif" w:cs="Microsoft Sans Serif"/>
          <w:i/>
          <w:sz w:val="20"/>
          <w:szCs w:val="20"/>
          <w:lang w:val="en-GB"/>
        </w:rPr>
        <w:t>dan</w:t>
      </w:r>
    </w:p>
    <w:p w14:paraId="18E96752">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primjenjuju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nesteroidnim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antiinflamatornim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acetilsalicilna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kiselina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antiinflamatorno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dejstvo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COX</w:t>
      </w:r>
      <w:r>
        <w:rPr>
          <w:rFonts w:ascii="Microsoft Sans Serif" w:hAnsi="Microsoft Sans Serif" w:cs="Microsoft Sans Serif"/>
          <w:sz w:val="20"/>
          <w:szCs w:val="20"/>
          <w:lang w:val="sr-Cyrl-RS"/>
        </w:rPr>
        <w:t xml:space="preserve">-2 </w:t>
      </w:r>
      <w:r>
        <w:rPr>
          <w:rFonts w:ascii="Microsoft Sans Serif" w:hAnsi="Microsoft Sans Serif" w:cs="Microsoft Sans Serif"/>
          <w:sz w:val="20"/>
          <w:szCs w:val="20"/>
          <w:lang w:val="en-GB"/>
        </w:rPr>
        <w:t>inhibitori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neselektivni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NSAIL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javiti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slabl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antihipertenzivnog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djelovanja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NSAIL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pogor</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xml:space="preserve"> bubrega, </w:t>
      </w:r>
      <w:r>
        <w:rPr>
          <w:rFonts w:ascii="Microsoft Sans Serif" w:hAnsi="Microsoft Sans Serif" w:cs="Microsoft Sans Serif"/>
          <w:sz w:val="20"/>
          <w:szCs w:val="20"/>
          <w:lang w:val="en-GB"/>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akutnu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insuficijenciju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kalijuma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serumu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naro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w:t>
      </w:r>
      <w:r>
        <w:rPr>
          <w:rFonts w:ascii="Microsoft Sans Serif" w:hAnsi="Microsoft Sans Serif" w:cs="Microsoft Sans Serif"/>
          <w:sz w:val="20"/>
          <w:szCs w:val="20"/>
          <w:lang w:val="sr-Cyrl-RS"/>
        </w:rPr>
        <w:t xml:space="preserve">ć </w:t>
      </w:r>
      <w:r>
        <w:rPr>
          <w:rFonts w:ascii="Microsoft Sans Serif" w:hAnsi="Microsoft Sans Serif" w:cs="Microsoft Sans Serif"/>
          <w:sz w:val="20"/>
          <w:szCs w:val="20"/>
          <w:lang w:val="en-GB"/>
        </w:rPr>
        <w:t>oslabl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efekti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reverzibilni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kombinaciju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primjenjivati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oprezom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naro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starijih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adekvatno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hidrirani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zapo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injanja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periodi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w:t>
      </w:r>
      <w:r>
        <w:rPr>
          <w:rFonts w:ascii="Microsoft Sans Serif" w:hAnsi="Microsoft Sans Serif" w:cs="Microsoft Sans Serif"/>
          <w:sz w:val="20"/>
          <w:szCs w:val="20"/>
          <w:lang w:val="sr-Cyrl-RS"/>
        </w:rPr>
        <w:t xml:space="preserve"> tokom terapije.</w:t>
      </w:r>
    </w:p>
    <w:p w14:paraId="4D2D6890">
      <w:pPr>
        <w:widowControl w:val="0"/>
        <w:rPr>
          <w:rFonts w:ascii="Microsoft Sans Serif" w:hAnsi="Microsoft Sans Serif" w:cs="Microsoft Sans Serif"/>
          <w:sz w:val="20"/>
          <w:szCs w:val="20"/>
          <w:lang w:val="sr-Cyrl-RS"/>
        </w:rPr>
      </w:pPr>
    </w:p>
    <w:p w14:paraId="621149DB">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Zlato</w:t>
      </w:r>
    </w:p>
    <w:p w14:paraId="4C4B45D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Nitritoidne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vazodilatacije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crvenilo</w:t>
      </w:r>
      <w:r>
        <w:rPr>
          <w:rFonts w:ascii="Microsoft Sans Serif" w:hAnsi="Microsoft Sans Serif" w:cs="Microsoft Sans Serif"/>
          <w:sz w:val="20"/>
          <w:szCs w:val="20"/>
          <w:lang w:val="sr-Cyrl-RS"/>
        </w:rPr>
        <w:t xml:space="preserve"> lica, </w:t>
      </w:r>
      <w:r>
        <w:rPr>
          <w:rFonts w:ascii="Microsoft Sans Serif" w:hAnsi="Microsoft Sans Serif" w:cs="Microsoft Sans Serif"/>
          <w:sz w:val="20"/>
          <w:szCs w:val="20"/>
          <w:lang w:val="en-GB"/>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vrtoglavicu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hipotenziju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zlata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injekcionom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obliku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natrijum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aurotiomalat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ivane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šć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w:t>
      </w:r>
    </w:p>
    <w:p w14:paraId="7EC2A5BC">
      <w:pPr>
        <w:widowControl w:val="0"/>
        <w:rPr>
          <w:rFonts w:ascii="Microsoft Sans Serif" w:hAnsi="Microsoft Sans Serif" w:cs="Microsoft Sans Serif"/>
          <w:sz w:val="20"/>
          <w:szCs w:val="20"/>
          <w:lang w:val="sr-Cyrl-RS"/>
        </w:rPr>
      </w:pPr>
    </w:p>
    <w:p w14:paraId="0C5D27B1">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Tricikli</w:t>
      </w:r>
      <w:r>
        <w:rPr>
          <w:rFonts w:ascii="Microsoft Sans Serif" w:hAnsi="Microsoft Sans Serif" w:cs="Microsoft Sans Serif"/>
          <w:i/>
          <w:sz w:val="20"/>
          <w:szCs w:val="20"/>
          <w:lang w:val="sr-Cyrl-RS"/>
        </w:rPr>
        <w:t>č</w:t>
      </w:r>
      <w:r>
        <w:rPr>
          <w:rFonts w:ascii="Microsoft Sans Serif" w:hAnsi="Microsoft Sans Serif" w:cs="Microsoft Sans Serif"/>
          <w:i/>
          <w:sz w:val="20"/>
          <w:szCs w:val="20"/>
          <w:lang w:val="en-GB"/>
        </w:rPr>
        <w:t>ni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antidepresivi</w:t>
      </w:r>
      <w:r>
        <w:rPr>
          <w:rFonts w:ascii="Microsoft Sans Serif" w:hAnsi="Microsoft Sans Serif" w:cs="Microsoft Sans Serif"/>
          <w:i/>
          <w:sz w:val="20"/>
          <w:szCs w:val="20"/>
          <w:lang w:val="sr-Cyrl-RS"/>
        </w:rPr>
        <w:t>/</w:t>
      </w:r>
      <w:r>
        <w:rPr>
          <w:rFonts w:ascii="Microsoft Sans Serif" w:hAnsi="Microsoft Sans Serif" w:cs="Microsoft Sans Serif"/>
          <w:i/>
          <w:sz w:val="20"/>
          <w:szCs w:val="20"/>
          <w:lang w:val="en-GB"/>
        </w:rPr>
        <w:t>antipsihotici</w:t>
      </w:r>
      <w:r>
        <w:rPr>
          <w:rFonts w:ascii="Microsoft Sans Serif" w:hAnsi="Microsoft Sans Serif" w:cs="Microsoft Sans Serif"/>
          <w:i/>
          <w:sz w:val="20"/>
          <w:szCs w:val="20"/>
          <w:lang w:val="sr-Cyrl-RS"/>
        </w:rPr>
        <w:t>/</w:t>
      </w:r>
      <w:r>
        <w:rPr>
          <w:rFonts w:ascii="Microsoft Sans Serif" w:hAnsi="Microsoft Sans Serif" w:cs="Microsoft Sans Serif"/>
          <w:i/>
          <w:sz w:val="20"/>
          <w:szCs w:val="20"/>
          <w:lang w:val="en-GB"/>
        </w:rPr>
        <w:t>anestetici</w:t>
      </w:r>
    </w:p>
    <w:p w14:paraId="6CC877A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anestetika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tricikli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antidepresiva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antipsihotika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dodatnog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smanjenja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pritiska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4.4).</w:t>
      </w:r>
    </w:p>
    <w:p w14:paraId="61A3575F">
      <w:pPr>
        <w:widowControl w:val="0"/>
        <w:rPr>
          <w:rFonts w:ascii="Microsoft Sans Serif" w:hAnsi="Microsoft Sans Serif" w:cs="Microsoft Sans Serif"/>
          <w:color w:val="FF0000"/>
          <w:sz w:val="20"/>
          <w:szCs w:val="20"/>
          <w:lang w:val="sr-Cyrl-RS"/>
        </w:rPr>
      </w:pPr>
    </w:p>
    <w:p w14:paraId="525BD4B7">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Simpatomimetici</w:t>
      </w:r>
    </w:p>
    <w:p w14:paraId="27FC5E5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Simpatomimetici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smanjiti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antihipertenzivno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dejstvo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inhibitora</w:t>
      </w:r>
      <w:r>
        <w:rPr>
          <w:rFonts w:ascii="Microsoft Sans Serif" w:hAnsi="Microsoft Sans Serif" w:cs="Microsoft Sans Serif"/>
          <w:sz w:val="20"/>
          <w:szCs w:val="20"/>
          <w:lang w:val="sr-Cyrl-RS"/>
        </w:rPr>
        <w:t>.</w:t>
      </w:r>
    </w:p>
    <w:p w14:paraId="17BB7AEF">
      <w:pPr>
        <w:widowControl w:val="0"/>
        <w:rPr>
          <w:rFonts w:ascii="Microsoft Sans Serif" w:hAnsi="Microsoft Sans Serif" w:cs="Microsoft Sans Serif"/>
          <w:sz w:val="20"/>
          <w:szCs w:val="20"/>
          <w:lang w:val="sr-Cyrl-RS"/>
        </w:rPr>
      </w:pPr>
    </w:p>
    <w:p w14:paraId="0E67E211">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Antidijabetici</w:t>
      </w:r>
    </w:p>
    <w:p w14:paraId="4258655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Epidemiolo</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studije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ukazuju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antidijabetika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insulini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oralni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hipoglikemici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izazvati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dejstvo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smanjenje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glukoze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nastanka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hipoglikemije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fenomen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šć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nedel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kombinovane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bubrega</w:t>
      </w:r>
      <w:r>
        <w:rPr>
          <w:rFonts w:ascii="Microsoft Sans Serif" w:hAnsi="Microsoft Sans Serif" w:cs="Microsoft Sans Serif"/>
          <w:sz w:val="20"/>
          <w:szCs w:val="20"/>
          <w:lang w:val="sr-Cyrl-RS"/>
        </w:rPr>
        <w:t>.</w:t>
      </w:r>
    </w:p>
    <w:p w14:paraId="5434992A">
      <w:pPr>
        <w:widowControl w:val="0"/>
        <w:rPr>
          <w:rFonts w:ascii="Microsoft Sans Serif" w:hAnsi="Microsoft Sans Serif" w:cs="Microsoft Sans Serif"/>
          <w:i/>
          <w:color w:val="FF0000"/>
          <w:sz w:val="20"/>
          <w:szCs w:val="20"/>
          <w:lang w:val="sr-Cyrl-RS"/>
        </w:rPr>
      </w:pPr>
    </w:p>
    <w:p w14:paraId="00E4C2F1">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Acetilsalicilna kiselina, trombolitici, beta-blokatori, nitrati</w:t>
      </w:r>
    </w:p>
    <w:p w14:paraId="10EAEE9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Lizinopril može da se primjenjuje istovremeno sa acetilsalicilnom kiselinom (u dozama koje imaju kardiološko dejstvo), tromboliticima, beta blokatorima i/ili nitratima.</w:t>
      </w:r>
    </w:p>
    <w:p w14:paraId="1FD0697B">
      <w:pPr>
        <w:widowControl w:val="0"/>
        <w:rPr>
          <w:rFonts w:ascii="Microsoft Sans Serif" w:hAnsi="Microsoft Sans Serif" w:cs="Microsoft Sans Serif"/>
          <w:sz w:val="20"/>
          <w:szCs w:val="20"/>
          <w:lang w:val="sv-SE"/>
        </w:rPr>
      </w:pPr>
    </w:p>
    <w:p w14:paraId="196B5DDE">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Interakcije povezane sa amlodipinom</w:t>
      </w:r>
    </w:p>
    <w:p w14:paraId="46FCBA61">
      <w:pPr>
        <w:widowControl w:val="0"/>
        <w:rPr>
          <w:rFonts w:ascii="Microsoft Sans Serif" w:hAnsi="Microsoft Sans Serif" w:cs="Microsoft Sans Serif"/>
          <w:sz w:val="20"/>
          <w:szCs w:val="20"/>
          <w:u w:val="single"/>
          <w:lang w:val="sv-SE"/>
        </w:rPr>
      </w:pPr>
    </w:p>
    <w:p w14:paraId="688705EF">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Djelovanja drugih lijekova na amlodipin</w:t>
      </w:r>
    </w:p>
    <w:p w14:paraId="1EFB94D7">
      <w:pPr>
        <w:widowControl w:val="0"/>
        <w:rPr>
          <w:rFonts w:ascii="Microsoft Sans Serif" w:hAnsi="Microsoft Sans Serif" w:cs="Microsoft Sans Serif"/>
          <w:i/>
          <w:sz w:val="20"/>
          <w:szCs w:val="20"/>
          <w:lang w:val="sv-SE"/>
        </w:rPr>
      </w:pPr>
    </w:p>
    <w:p w14:paraId="3489CEFA">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 xml:space="preserve">Inhibitori </w:t>
      </w:r>
      <w:r>
        <w:rPr>
          <w:rFonts w:ascii="Microsoft Sans Serif" w:hAnsi="Microsoft Sans Serif" w:cs="Microsoft Sans Serif"/>
          <w:i/>
          <w:iCs/>
          <w:sz w:val="20"/>
          <w:szCs w:val="20"/>
          <w:lang w:val="sv-SE"/>
        </w:rPr>
        <w:t>CYP3A4</w:t>
      </w:r>
    </w:p>
    <w:p w14:paraId="25D6229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Istovremena primjena amlodipina sa snažnim ili umjerenim </w:t>
      </w:r>
      <w:r>
        <w:rPr>
          <w:rFonts w:ascii="Microsoft Sans Serif" w:hAnsi="Microsoft Sans Serif" w:cs="Microsoft Sans Serif"/>
          <w:iCs/>
          <w:sz w:val="20"/>
          <w:szCs w:val="20"/>
          <w:lang w:val="sv-SE"/>
        </w:rPr>
        <w:t>CYP3A4</w:t>
      </w:r>
      <w:r>
        <w:rPr>
          <w:rFonts w:ascii="Microsoft Sans Serif" w:hAnsi="Microsoft Sans Serif" w:cs="Microsoft Sans Serif"/>
          <w:sz w:val="20"/>
          <w:szCs w:val="20"/>
          <w:lang w:val="sv-SE"/>
        </w:rPr>
        <w:t xml:space="preserve"> inhibitorima (inhibitori proteaze, azolni antimikotici, makrolidi kao što su eritromicin ili klaritromicin, verapamil ili diltiazem) može da dovede do značajnog povećanja izloženosti amlodipinu što za posljedicu ima povećanje rizika od nastanka hipotenzije. Ova farmakokinetička promjena može imati veći klinički značaj kod starijih osoba. Stoga, se preporučuje kliničko praćenje pacijenata i možda će biti potrebno prilagođavanje doze. </w:t>
      </w:r>
    </w:p>
    <w:p w14:paraId="22FABA0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Klaritromicin je inhibitor </w:t>
      </w:r>
      <w:r>
        <w:rPr>
          <w:rFonts w:ascii="Microsoft Sans Serif" w:hAnsi="Microsoft Sans Serif" w:cs="Microsoft Sans Serif"/>
          <w:iCs/>
          <w:sz w:val="20"/>
          <w:szCs w:val="20"/>
          <w:lang w:val="sv-SE"/>
        </w:rPr>
        <w:t>CYP3A4</w:t>
      </w:r>
      <w:r>
        <w:rPr>
          <w:rFonts w:ascii="Microsoft Sans Serif" w:hAnsi="Microsoft Sans Serif" w:cs="Microsoft Sans Serif"/>
          <w:sz w:val="20"/>
          <w:szCs w:val="20"/>
          <w:lang w:val="sv-SE"/>
        </w:rPr>
        <w:t>. Postoji povećan rizik od nastanka hipotenzije kod pacijenata koji istovremeno uzimaju klaritromicin i amlodipinom. Preporučuje se pažl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ivo praćenje pacijenata kada se amlodipin primjenjuje istovremeno sa klaritromicinom.</w:t>
      </w:r>
    </w:p>
    <w:p w14:paraId="07C05679">
      <w:pPr>
        <w:widowControl w:val="0"/>
        <w:rPr>
          <w:rFonts w:ascii="Microsoft Sans Serif" w:hAnsi="Microsoft Sans Serif" w:cs="Microsoft Sans Serif"/>
          <w:sz w:val="20"/>
          <w:szCs w:val="20"/>
          <w:lang w:val="sv-SE"/>
        </w:rPr>
      </w:pPr>
    </w:p>
    <w:p w14:paraId="78C219F3">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 xml:space="preserve">Induktori </w:t>
      </w:r>
      <w:r>
        <w:rPr>
          <w:rFonts w:ascii="Microsoft Sans Serif" w:hAnsi="Microsoft Sans Serif" w:cs="Microsoft Sans Serif"/>
          <w:i/>
          <w:iCs/>
          <w:sz w:val="20"/>
          <w:szCs w:val="20"/>
          <w:lang w:val="sv-SE"/>
        </w:rPr>
        <w:t>CYP3A4</w:t>
      </w:r>
    </w:p>
    <w:p w14:paraId="496A6FB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Istovremena primjena </w:t>
      </w:r>
      <w:r>
        <w:rPr>
          <w:rFonts w:ascii="Microsoft Sans Serif" w:hAnsi="Microsoft Sans Serif" w:cs="Microsoft Sans Serif"/>
          <w:sz w:val="20"/>
          <w:szCs w:val="20"/>
          <w:lang w:val="sr-Cyrl-RS"/>
        </w:rPr>
        <w:t xml:space="preserve">sa poznatim </w:t>
      </w:r>
      <w:r>
        <w:rPr>
          <w:rFonts w:ascii="Microsoft Sans Serif" w:hAnsi="Microsoft Sans Serif" w:cs="Microsoft Sans Serif"/>
          <w:sz w:val="20"/>
          <w:szCs w:val="20"/>
          <w:lang w:val="sv-SE"/>
        </w:rPr>
        <w:t xml:space="preserve">induktorima </w:t>
      </w:r>
      <w:r>
        <w:rPr>
          <w:rFonts w:ascii="Microsoft Sans Serif" w:hAnsi="Microsoft Sans Serif" w:cs="Microsoft Sans Serif"/>
          <w:iCs/>
          <w:sz w:val="20"/>
          <w:szCs w:val="20"/>
          <w:lang w:val="sv-SE"/>
        </w:rPr>
        <w:t>CYP3A4</w:t>
      </w:r>
      <w:r>
        <w:rPr>
          <w:rFonts w:ascii="Microsoft Sans Serif" w:hAnsi="Microsoft Sans Serif" w:cs="Microsoft Sans Serif"/>
          <w:sz w:val="20"/>
          <w:szCs w:val="20"/>
          <w:lang w:val="sv-SE"/>
        </w:rPr>
        <w:t xml:space="preserve"> može </w:t>
      </w:r>
      <w:r>
        <w:rPr>
          <w:rFonts w:ascii="Microsoft Sans Serif" w:hAnsi="Microsoft Sans Serif" w:cs="Microsoft Sans Serif"/>
          <w:sz w:val="20"/>
          <w:szCs w:val="20"/>
          <w:lang w:val="sr-Cyrl-RS"/>
        </w:rPr>
        <w:t>izm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eniti</w:t>
      </w:r>
      <w:r>
        <w:rPr>
          <w:rFonts w:ascii="Microsoft Sans Serif" w:hAnsi="Microsoft Sans Serif" w:cs="Microsoft Sans Serif"/>
          <w:sz w:val="20"/>
          <w:szCs w:val="20"/>
          <w:lang w:val="sv-SE"/>
        </w:rPr>
        <w:t xml:space="preserve"> koncentracije amlodipina u plazmi. Krvni pritisak treba stoga pratiti i prilagoditi dozu i tokom i nakon istovremene upotrebe, posebno sa moćnim induktorima </w:t>
      </w:r>
      <w:r>
        <w:rPr>
          <w:rFonts w:ascii="Microsoft Sans Serif" w:hAnsi="Microsoft Sans Serif" w:cs="Microsoft Sans Serif"/>
          <w:iCs/>
          <w:sz w:val="20"/>
          <w:szCs w:val="20"/>
          <w:lang w:val="sv-SE"/>
        </w:rPr>
        <w:t>CYP3A4</w:t>
      </w:r>
      <w:r>
        <w:rPr>
          <w:rFonts w:ascii="Microsoft Sans Serif" w:hAnsi="Microsoft Sans Serif" w:cs="Microsoft Sans Serif"/>
          <w:sz w:val="20"/>
          <w:szCs w:val="20"/>
          <w:lang w:val="sv-SE"/>
        </w:rPr>
        <w:t xml:space="preserve"> (npr. rifampicin, kantarion (lat. </w:t>
      </w:r>
      <w:r>
        <w:rPr>
          <w:rFonts w:ascii="Microsoft Sans Serif" w:hAnsi="Microsoft Sans Serif" w:cs="Microsoft Sans Serif"/>
          <w:i/>
          <w:iCs/>
          <w:sz w:val="20"/>
          <w:szCs w:val="20"/>
          <w:lang w:val="sv-SE"/>
        </w:rPr>
        <w:t>Hypericum perforatum</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w:t>
      </w:r>
    </w:p>
    <w:p w14:paraId="134DBE9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Primjena amlodipina sa grejpfrutom ili sokom od grejpfruta se ne preporučuje, jer kod nekih pacijenata može da dođe do povećanja bioraspoloživosti amlodipina što može da pojača dejstvo na sniženje krvnog pritiska.</w:t>
      </w:r>
    </w:p>
    <w:p w14:paraId="28957648">
      <w:pPr>
        <w:widowControl w:val="0"/>
        <w:rPr>
          <w:rFonts w:ascii="Microsoft Sans Serif" w:hAnsi="Microsoft Sans Serif" w:cs="Microsoft Sans Serif"/>
          <w:color w:val="FF0000"/>
          <w:sz w:val="20"/>
          <w:szCs w:val="20"/>
          <w:lang w:val="sv-SE"/>
        </w:rPr>
      </w:pPr>
    </w:p>
    <w:p w14:paraId="08E77051">
      <w:pPr>
        <w:pStyle w:val="21"/>
        <w:widowControl w:val="0"/>
        <w:jc w:val="both"/>
        <w:rPr>
          <w:rFonts w:ascii="Microsoft Sans Serif" w:hAnsi="Microsoft Sans Serif" w:cs="Microsoft Sans Serif"/>
          <w:i/>
          <w:color w:val="auto"/>
          <w:sz w:val="20"/>
          <w:szCs w:val="20"/>
          <w:lang w:val="sv-SE"/>
        </w:rPr>
      </w:pPr>
      <w:r>
        <w:rPr>
          <w:rFonts w:ascii="Microsoft Sans Serif" w:hAnsi="Microsoft Sans Serif" w:cs="Microsoft Sans Serif"/>
          <w:i/>
          <w:color w:val="auto"/>
          <w:sz w:val="20"/>
          <w:szCs w:val="20"/>
          <w:lang w:val="sv-SE"/>
        </w:rPr>
        <w:t>Dantrolen (infuzija)</w:t>
      </w:r>
    </w:p>
    <w:p w14:paraId="31CC83D5">
      <w:pPr>
        <w:pStyle w:val="21"/>
        <w:widowControl w:val="0"/>
        <w:jc w:val="both"/>
        <w:rPr>
          <w:rFonts w:ascii="Microsoft Sans Serif" w:hAnsi="Microsoft Sans Serif" w:cs="Microsoft Sans Serif"/>
          <w:color w:val="auto"/>
          <w:sz w:val="20"/>
          <w:szCs w:val="20"/>
          <w:lang w:val="sv-SE"/>
        </w:rPr>
      </w:pPr>
      <w:r>
        <w:rPr>
          <w:rFonts w:ascii="Microsoft Sans Serif" w:hAnsi="Microsoft Sans Serif" w:cs="Microsoft Sans Serif"/>
          <w:color w:val="auto"/>
          <w:sz w:val="20"/>
          <w:szCs w:val="20"/>
          <w:lang w:val="sv-SE"/>
        </w:rPr>
        <w:t>Kod životinja, letalna ventrikularna fibrilacija i kardiovaskularni kolaps su uočeni udruženi sa</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lang w:val="sv-SE"/>
        </w:rPr>
        <w:t>hiperkalemijom, poslije primjene verapamila i intravenske primjene dantrolena. Zbog rizika od nastanka</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lang w:val="sv-SE"/>
        </w:rPr>
        <w:t>hiperkalemije kod pacijenata podložnih pojavi maligne hipertermije i u toku terapije maligne hipertermije preporučuje se izbjegavanje primjene blokatora kalcijumskih kanala kao što je</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lang w:val="sv-SE"/>
        </w:rPr>
        <w:t>amlodipin.</w:t>
      </w:r>
    </w:p>
    <w:p w14:paraId="0DEA42E5">
      <w:pPr>
        <w:widowControl w:val="0"/>
        <w:rPr>
          <w:rFonts w:ascii="Microsoft Sans Serif" w:hAnsi="Microsoft Sans Serif" w:cs="Microsoft Sans Serif"/>
          <w:sz w:val="20"/>
          <w:szCs w:val="20"/>
          <w:lang w:val="sv-SE"/>
        </w:rPr>
      </w:pPr>
    </w:p>
    <w:p w14:paraId="6F150DBA">
      <w:pPr>
        <w:widowControl w:val="0"/>
        <w:rPr>
          <w:rFonts w:ascii="Microsoft Sans Serif" w:hAnsi="Microsoft Sans Serif" w:cs="Microsoft Sans Serif"/>
          <w:i/>
          <w:iCs/>
          <w:sz w:val="20"/>
          <w:szCs w:val="20"/>
          <w:u w:val="single"/>
          <w:lang w:val="sv-SE"/>
        </w:rPr>
      </w:pPr>
      <w:r>
        <w:rPr>
          <w:rFonts w:ascii="Microsoft Sans Serif" w:hAnsi="Microsoft Sans Serif" w:cs="Microsoft Sans Serif"/>
          <w:i/>
          <w:iCs/>
          <w:sz w:val="20"/>
          <w:szCs w:val="20"/>
          <w:u w:val="single"/>
          <w:lang w:val="sv-SE"/>
        </w:rPr>
        <w:t>Djelovanja amlodipina na druge lijekove</w:t>
      </w:r>
    </w:p>
    <w:p w14:paraId="15BC7DCD">
      <w:pPr>
        <w:widowControl w:val="0"/>
        <w:rPr>
          <w:rFonts w:ascii="Microsoft Sans Serif" w:hAnsi="Microsoft Sans Serif" w:cs="Microsoft Sans Serif"/>
          <w:iCs/>
          <w:sz w:val="20"/>
          <w:szCs w:val="20"/>
          <w:lang w:val="sv-SE"/>
        </w:rPr>
      </w:pPr>
    </w:p>
    <w:p w14:paraId="7B32E43B">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Pri primjeni amlodipina i nekog drugog lijeka sa antihipertenzivnim osobinama, dolazi do aditivnog djelovanja 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sniženje krvnog pritiska.</w:t>
      </w:r>
    </w:p>
    <w:p w14:paraId="6A6AA591">
      <w:pPr>
        <w:widowControl w:val="0"/>
        <w:rPr>
          <w:rFonts w:ascii="Microsoft Sans Serif" w:hAnsi="Microsoft Sans Serif" w:cs="Microsoft Sans Serif"/>
          <w:i/>
          <w:iCs/>
          <w:sz w:val="20"/>
          <w:szCs w:val="20"/>
          <w:lang w:val="sv-SE"/>
        </w:rPr>
      </w:pPr>
    </w:p>
    <w:p w14:paraId="185E8884">
      <w:pPr>
        <w:widowControl w:val="0"/>
        <w:rPr>
          <w:rFonts w:ascii="Microsoft Sans Serif" w:hAnsi="Microsoft Sans Serif" w:cs="Microsoft Sans Serif"/>
          <w:i/>
          <w:iCs/>
          <w:sz w:val="20"/>
          <w:szCs w:val="20"/>
          <w:lang w:val="sv-SE"/>
        </w:rPr>
      </w:pPr>
      <w:r>
        <w:rPr>
          <w:rFonts w:ascii="Microsoft Sans Serif" w:hAnsi="Microsoft Sans Serif" w:cs="Microsoft Sans Serif"/>
          <w:i/>
          <w:iCs/>
          <w:sz w:val="20"/>
          <w:szCs w:val="20"/>
          <w:lang w:val="sv-SE"/>
        </w:rPr>
        <w:t>Takrolimus</w:t>
      </w:r>
    </w:p>
    <w:p w14:paraId="7DA7E573">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Postoji rizik od povećanja koncentracije takrolimusa u krvi kada se primjeni istovremeno sa amlodipinom, ali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farmakokinetički mehanizam ove interakcije nije u potpunosti razjašnjen. Kako bi se izbjegla toksičnost</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takrolimusa, primjena amlodipina kod pacijenta koji je na terapiji takrolimusom zahtjeva praćenje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koncentracije takrolimusa u krvi i po potrebi, prilagođavanje doze takrolimusa</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lang w:val="sv-SE"/>
        </w:rPr>
        <w:t xml:space="preserve"> </w:t>
      </w:r>
    </w:p>
    <w:p w14:paraId="2D1A6124">
      <w:pPr>
        <w:widowControl w:val="0"/>
        <w:rPr>
          <w:rFonts w:ascii="Microsoft Sans Serif" w:hAnsi="Microsoft Sans Serif" w:cs="Microsoft Sans Serif"/>
          <w:i/>
          <w:iCs/>
          <w:sz w:val="20"/>
          <w:szCs w:val="20"/>
          <w:u w:val="single"/>
          <w:lang w:val="sv-SE"/>
        </w:rPr>
      </w:pPr>
    </w:p>
    <w:p w14:paraId="680D7F5D">
      <w:pPr>
        <w:widowControl w:val="0"/>
        <w:rPr>
          <w:rFonts w:ascii="Microsoft Sans Serif" w:hAnsi="Microsoft Sans Serif" w:cs="Microsoft Sans Serif"/>
          <w:i/>
          <w:sz w:val="20"/>
          <w:szCs w:val="20"/>
          <w:lang w:val="sv-SE"/>
        </w:rPr>
      </w:pPr>
      <w:r>
        <w:rPr>
          <w:rFonts w:ascii="Microsoft Sans Serif" w:hAnsi="Microsoft Sans Serif" w:cs="Microsoft Sans Serif"/>
          <w:i/>
          <w:iCs/>
          <w:sz w:val="20"/>
          <w:szCs w:val="20"/>
          <w:lang w:val="sv-SE"/>
        </w:rPr>
        <w:t xml:space="preserve">mTOR (mammalian target of rapamycin) </w:t>
      </w:r>
      <w:r>
        <w:rPr>
          <w:rFonts w:ascii="Microsoft Sans Serif" w:hAnsi="Microsoft Sans Serif" w:cs="Microsoft Sans Serif"/>
          <w:i/>
          <w:iCs/>
          <w:sz w:val="20"/>
          <w:szCs w:val="20"/>
          <w:lang w:val="sr-Cyrl-RS"/>
        </w:rPr>
        <w:t>inhibitori</w:t>
      </w:r>
    </w:p>
    <w:p w14:paraId="68DBF21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mTOR </w:t>
      </w:r>
      <w:r>
        <w:rPr>
          <w:rFonts w:ascii="Microsoft Sans Serif" w:hAnsi="Microsoft Sans Serif" w:cs="Microsoft Sans Serif"/>
          <w:sz w:val="20"/>
          <w:szCs w:val="20"/>
          <w:lang w:val="sr-Cyrl-RS"/>
        </w:rPr>
        <w:t xml:space="preserve">inhibitori kao što su sirolimus, temsirolimus i everolimus su </w:t>
      </w:r>
      <w:r>
        <w:rPr>
          <w:rFonts w:ascii="Microsoft Sans Serif" w:hAnsi="Microsoft Sans Serif" w:cs="Microsoft Sans Serif"/>
          <w:sz w:val="20"/>
          <w:szCs w:val="20"/>
          <w:lang w:val="sv-SE"/>
        </w:rPr>
        <w:t>CYP3A supstrati. Amlodipin je slab CYP3A inhibitor</w:t>
      </w:r>
      <w:r>
        <w:rPr>
          <w:rFonts w:ascii="Microsoft Sans Serif" w:hAnsi="Microsoft Sans Serif" w:cs="Microsoft Sans Serif"/>
          <w:sz w:val="20"/>
          <w:szCs w:val="20"/>
          <w:lang w:val="sr-Cyrl-RS"/>
        </w:rPr>
        <w:t>. Istovremena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ena amlodipina sa </w:t>
      </w:r>
      <w:r>
        <w:rPr>
          <w:rFonts w:ascii="Microsoft Sans Serif" w:hAnsi="Microsoft Sans Serif" w:cs="Microsoft Sans Serif"/>
          <w:sz w:val="20"/>
          <w:szCs w:val="20"/>
          <w:lang w:val="en-GB"/>
        </w:rPr>
        <w:t>mTOR</w:t>
      </w:r>
      <w:r>
        <w:rPr>
          <w:rFonts w:ascii="Microsoft Sans Serif" w:hAnsi="Microsoft Sans Serif" w:cs="Microsoft Sans Serif"/>
          <w:sz w:val="20"/>
          <w:szCs w:val="20"/>
          <w:lang w:val="sr-Cyrl-RS"/>
        </w:rPr>
        <w:t xml:space="preserve"> inhibitorima može povećati izloženost </w:t>
      </w:r>
      <w:r>
        <w:rPr>
          <w:rFonts w:ascii="Microsoft Sans Serif" w:hAnsi="Microsoft Sans Serif" w:cs="Microsoft Sans Serif"/>
          <w:sz w:val="20"/>
          <w:szCs w:val="20"/>
          <w:lang w:val="en-GB"/>
        </w:rPr>
        <w:t>mTOR</w:t>
      </w:r>
      <w:r>
        <w:rPr>
          <w:rFonts w:ascii="Microsoft Sans Serif" w:hAnsi="Microsoft Sans Serif" w:cs="Microsoft Sans Serif"/>
          <w:sz w:val="20"/>
          <w:szCs w:val="20"/>
          <w:lang w:val="sr-Cyrl-RS"/>
        </w:rPr>
        <w:t xml:space="preserve"> inhibitora.</w:t>
      </w:r>
    </w:p>
    <w:p w14:paraId="58E35E5B">
      <w:pPr>
        <w:widowControl w:val="0"/>
        <w:rPr>
          <w:rFonts w:ascii="Microsoft Sans Serif" w:hAnsi="Microsoft Sans Serif" w:cs="Microsoft Sans Serif"/>
          <w:sz w:val="20"/>
          <w:szCs w:val="20"/>
          <w:lang w:val="sr-Cyrl-RS"/>
        </w:rPr>
      </w:pPr>
    </w:p>
    <w:p w14:paraId="25A7A885">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Ciklosporin</w:t>
      </w:r>
    </w:p>
    <w:p w14:paraId="2BF8B98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sprovedena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interakcija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ciklosporinom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zdravim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ispitanicima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populacijama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izuzev</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transplantiranim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varijabilna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prosjeku</w:t>
      </w:r>
      <w:r>
        <w:rPr>
          <w:rFonts w:ascii="Microsoft Sans Serif" w:hAnsi="Microsoft Sans Serif" w:cs="Microsoft Sans Serif"/>
          <w:sz w:val="20"/>
          <w:szCs w:val="20"/>
          <w:lang w:val="sr-Cyrl-RS"/>
        </w:rPr>
        <w:t xml:space="preserve"> 0-40%) </w:t>
      </w:r>
      <w:r>
        <w:rPr>
          <w:rFonts w:ascii="Microsoft Sans Serif" w:hAnsi="Microsoft Sans Serif" w:cs="Microsoft Sans Serif"/>
          <w:sz w:val="20"/>
          <w:szCs w:val="20"/>
          <w:lang w:val="en-GB"/>
        </w:rPr>
        <w:t>ciklosporina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ciklosporina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transplantiranim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ciklosporina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smanjiti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potrebi</w:t>
      </w:r>
      <w:r>
        <w:rPr>
          <w:rFonts w:ascii="Microsoft Sans Serif" w:hAnsi="Microsoft Sans Serif" w:cs="Microsoft Sans Serif"/>
          <w:sz w:val="20"/>
          <w:szCs w:val="20"/>
          <w:lang w:val="sr-Cyrl-RS"/>
        </w:rPr>
        <w:t>.</w:t>
      </w:r>
    </w:p>
    <w:p w14:paraId="7FF24742">
      <w:pPr>
        <w:widowControl w:val="0"/>
        <w:rPr>
          <w:rFonts w:ascii="Microsoft Sans Serif" w:hAnsi="Microsoft Sans Serif" w:cs="Microsoft Sans Serif"/>
          <w:sz w:val="20"/>
          <w:szCs w:val="20"/>
          <w:lang w:val="sr-Cyrl-RS"/>
        </w:rPr>
      </w:pPr>
    </w:p>
    <w:p w14:paraId="0CA4994E">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Simvastatin</w:t>
      </w:r>
    </w:p>
    <w:p w14:paraId="2199EF3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vi</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estrukih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10 </w:t>
      </w:r>
      <w:r>
        <w:rPr>
          <w:rFonts w:ascii="Microsoft Sans Serif" w:hAnsi="Microsoft Sans Serif" w:cs="Microsoft Sans Serif"/>
          <w:sz w:val="20"/>
          <w:szCs w:val="20"/>
          <w:lang w:val="sr-Latn-RS"/>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80 </w:t>
      </w:r>
      <w:r>
        <w:rPr>
          <w:rFonts w:ascii="Microsoft Sans Serif" w:hAnsi="Microsoft Sans Serif" w:cs="Microsoft Sans Serif"/>
          <w:sz w:val="20"/>
          <w:szCs w:val="20"/>
          <w:lang w:val="en-GB"/>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dovela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simvastatinu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77%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odnosu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pojedina</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ograni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20 </w:t>
      </w:r>
      <w:r>
        <w:rPr>
          <w:rFonts w:ascii="Microsoft Sans Serif" w:hAnsi="Microsoft Sans Serif" w:cs="Microsoft Sans Serif"/>
          <w:sz w:val="20"/>
          <w:szCs w:val="20"/>
          <w:lang w:val="en-GB"/>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dnevno</w:t>
      </w:r>
      <w:r>
        <w:rPr>
          <w:rFonts w:ascii="Microsoft Sans Serif" w:hAnsi="Microsoft Sans Serif" w:cs="Microsoft Sans Serif"/>
          <w:sz w:val="20"/>
          <w:szCs w:val="20"/>
          <w:lang w:val="sr-Cyrl-RS"/>
        </w:rPr>
        <w:t>.</w:t>
      </w:r>
    </w:p>
    <w:p w14:paraId="297B25CA">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ispitivanjima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interakcija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uticao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farmakokinetiku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atorvastatina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digoksina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varfarina</w:t>
      </w:r>
      <w:r>
        <w:rPr>
          <w:rFonts w:ascii="Microsoft Sans Serif" w:hAnsi="Microsoft Sans Serif" w:cs="Microsoft Sans Serif"/>
          <w:sz w:val="20"/>
          <w:szCs w:val="20"/>
          <w:lang w:val="sr-Cyrl-RS"/>
        </w:rPr>
        <w:t>.</w:t>
      </w:r>
    </w:p>
    <w:p w14:paraId="7465862E">
      <w:pPr>
        <w:rPr>
          <w:rFonts w:ascii="Microsoft Sans Serif" w:hAnsi="Microsoft Sans Serif" w:cs="Microsoft Sans Serif"/>
          <w:sz w:val="20"/>
          <w:szCs w:val="20"/>
          <w:lang w:val="sr-Cyrl-RS"/>
        </w:rPr>
      </w:pPr>
    </w:p>
    <w:p w14:paraId="75D97DB5">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4.6. </w:t>
      </w:r>
      <w:r>
        <w:rPr>
          <w:rFonts w:ascii="Microsoft Sans Serif" w:hAnsi="Microsoft Sans Serif" w:cs="Microsoft Sans Serif"/>
          <w:b/>
          <w:bCs/>
          <w:sz w:val="20"/>
          <w:szCs w:val="20"/>
        </w:rPr>
        <w:t>Plodnost</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trudno</w:t>
      </w:r>
      <w:r>
        <w:rPr>
          <w:rFonts w:ascii="Microsoft Sans Serif" w:hAnsi="Microsoft Sans Serif" w:cs="Microsoft Sans Serif"/>
          <w:b/>
          <w:bCs/>
          <w:sz w:val="20"/>
          <w:szCs w:val="20"/>
          <w:lang w:val="sr-Cyrl-RS"/>
        </w:rPr>
        <w:t>ć</w:t>
      </w:r>
      <w:r>
        <w:rPr>
          <w:rFonts w:ascii="Microsoft Sans Serif" w:hAnsi="Microsoft Sans Serif" w:cs="Microsoft Sans Serif"/>
          <w:b/>
          <w:bCs/>
          <w:sz w:val="20"/>
          <w:szCs w:val="20"/>
        </w:rPr>
        <w:t>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dojenje</w:t>
      </w:r>
    </w:p>
    <w:p w14:paraId="33B87148">
      <w:pPr>
        <w:widowControl w:val="0"/>
        <w:rPr>
          <w:rFonts w:ascii="Microsoft Sans Serif" w:hAnsi="Microsoft Sans Serif" w:cs="Microsoft Sans Serif"/>
          <w:sz w:val="20"/>
          <w:szCs w:val="20"/>
          <w:u w:val="single"/>
          <w:lang w:val="sr-Cyrl-RS"/>
        </w:rPr>
      </w:pPr>
    </w:p>
    <w:p w14:paraId="45DE999E">
      <w:pPr>
        <w:widowControl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Trudnoća</w:t>
      </w:r>
    </w:p>
    <w:p w14:paraId="07B820A9">
      <w:pPr>
        <w:widowControl w:val="0"/>
        <w:rPr>
          <w:rFonts w:ascii="Microsoft Sans Serif" w:hAnsi="Microsoft Sans Serif" w:cs="Microsoft Sans Serif"/>
          <w:sz w:val="20"/>
          <w:szCs w:val="20"/>
          <w:lang w:val="sr-Cyrl-RS"/>
        </w:rPr>
      </w:pPr>
    </w:p>
    <w:p w14:paraId="3DC9BA34">
      <w:pPr>
        <w:widowControl w:val="0"/>
        <w:pBdr>
          <w:top w:val="single" w:color="auto" w:sz="4" w:space="0"/>
          <w:left w:val="single" w:color="auto" w:sz="4" w:space="4"/>
          <w:bottom w:val="single" w:color="auto" w:sz="4" w:space="1"/>
          <w:right w:val="single" w:color="auto" w:sz="4" w:space="4"/>
        </w:pBd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trimestra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a kontraindikovana je u toku drugog i trećeg trimestra trudnoće.</w:t>
      </w:r>
    </w:p>
    <w:p w14:paraId="7EF92950">
      <w:pPr>
        <w:widowControl w:val="0"/>
        <w:rPr>
          <w:rFonts w:ascii="Microsoft Sans Serif" w:hAnsi="Microsoft Sans Serif" w:cs="Microsoft Sans Serif"/>
          <w:sz w:val="20"/>
          <w:szCs w:val="20"/>
          <w:u w:val="single"/>
          <w:lang w:val="sr-Cyrl-RS"/>
        </w:rPr>
      </w:pPr>
    </w:p>
    <w:p w14:paraId="37B2ECC1">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Nema dostupnih podataka iz adekvatno kontrolisanih kliničkih studija vezano za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enu lizinoprila 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amlodipina kod trudnica. Ipak,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ena ob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 aktivne supstance za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trudnoće ili se ne preporučuje ili 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kontraindikovana (za detalјe vezane za specifičnu supstancu, </w:t>
      </w:r>
      <w:r>
        <w:rPr>
          <w:rFonts w:ascii="Microsoft Sans Serif" w:hAnsi="Microsoft Sans Serif" w:cs="Microsoft Sans Serif"/>
          <w:sz w:val="20"/>
          <w:szCs w:val="20"/>
          <w:lang w:val="hr-BA"/>
        </w:rPr>
        <w:t xml:space="preserve">pogledati </w:t>
      </w:r>
      <w:r>
        <w:rPr>
          <w:rFonts w:ascii="Microsoft Sans Serif" w:hAnsi="Microsoft Sans Serif" w:cs="Microsoft Sans Serif"/>
          <w:sz w:val="20"/>
          <w:szCs w:val="20"/>
          <w:lang w:val="sr-Cyrl-RS"/>
        </w:rPr>
        <w:t>tekst u nastavku).</w:t>
      </w:r>
    </w:p>
    <w:p w14:paraId="66318A58">
      <w:pPr>
        <w:widowControl w:val="0"/>
        <w:rPr>
          <w:rFonts w:ascii="Microsoft Sans Serif" w:hAnsi="Microsoft Sans Serif" w:cs="Microsoft Sans Serif"/>
          <w:sz w:val="20"/>
          <w:szCs w:val="20"/>
          <w:lang w:val="sr-Latn-RS"/>
        </w:rPr>
      </w:pPr>
    </w:p>
    <w:p w14:paraId="159530D5">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Kada je trudnoća ustanovlјena, terapija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ekom </w:t>
      </w:r>
      <w:r>
        <w:rPr>
          <w:rFonts w:ascii="Microsoft Sans Serif" w:hAnsi="Microsoft Sans Serif" w:cs="Microsoft Sans Serif"/>
          <w:sz w:val="20"/>
          <w:szCs w:val="20"/>
          <w:lang w:val="sr-Latn-RS"/>
        </w:rPr>
        <w:t xml:space="preserve">Skopryl Combo </w:t>
      </w:r>
      <w:r>
        <w:rPr>
          <w:rFonts w:ascii="Microsoft Sans Serif" w:hAnsi="Microsoft Sans Serif" w:cs="Microsoft Sans Serif"/>
          <w:sz w:val="20"/>
          <w:szCs w:val="20"/>
          <w:lang w:val="sr-Cyrl-RS"/>
        </w:rPr>
        <w:t>treba odmah da bude prekinuta i, ukoliko 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neophodno, treba se prebaciti na alternativnu terapiju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4.4).</w:t>
      </w:r>
    </w:p>
    <w:p w14:paraId="177F0D36">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ne treba uvoditi tokom trudnoće. Osim ukoliko se smatra da je kontinuirana terapija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ekom</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Cyrl-RS"/>
        </w:rPr>
        <w:t xml:space="preserve"> neophodna, pacijentkinje koje planiraju trudnoću treba prevesti na alternativne antihipertenzivne terapije koje imaju utvrđen bezb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ednosni profil za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enu tokom trudnoće.</w:t>
      </w:r>
    </w:p>
    <w:p w14:paraId="002A7C14">
      <w:pPr>
        <w:widowControl w:val="0"/>
        <w:rPr>
          <w:rFonts w:ascii="Microsoft Sans Serif" w:hAnsi="Microsoft Sans Serif" w:cs="Microsoft Sans Serif"/>
          <w:sz w:val="20"/>
          <w:szCs w:val="20"/>
          <w:u w:val="single"/>
          <w:lang w:val="sr-Cyrl-RS"/>
        </w:rPr>
      </w:pPr>
    </w:p>
    <w:p w14:paraId="78E6CC3A">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Vezano</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za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lizinopril</w:t>
      </w:r>
    </w:p>
    <w:p w14:paraId="2D1718C3">
      <w:pPr>
        <w:widowControl w:val="0"/>
        <w:pBdr>
          <w:top w:val="single" w:color="auto" w:sz="4" w:space="1"/>
          <w:left w:val="single" w:color="auto" w:sz="4" w:space="4"/>
          <w:bottom w:val="single" w:color="auto" w:sz="4" w:space="1"/>
          <w:right w:val="single" w:color="auto" w:sz="4" w:space="4"/>
        </w:pBd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trimestra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4.4). </w:t>
      </w:r>
    </w:p>
    <w:p w14:paraId="6A1DB0FA">
      <w:pPr>
        <w:widowControl w:val="0"/>
        <w:pBdr>
          <w:top w:val="single" w:color="auto" w:sz="4" w:space="1"/>
          <w:left w:val="single" w:color="auto" w:sz="4" w:space="4"/>
          <w:bottom w:val="single" w:color="auto" w:sz="4" w:space="1"/>
          <w:right w:val="single" w:color="auto" w:sz="4" w:space="4"/>
        </w:pBd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Primjena ACE inhibitora</w:t>
      </w:r>
      <w:r>
        <w:rPr>
          <w:rFonts w:ascii="Microsoft Sans Serif" w:hAnsi="Microsoft Sans Serif" w:cs="Microsoft Sans Serif"/>
          <w:sz w:val="20"/>
          <w:szCs w:val="20"/>
          <w:lang w:val="sr-Cyrl-RS"/>
        </w:rPr>
        <w:t xml:space="preserve"> je kontraindikovana</w:t>
      </w:r>
      <w:r>
        <w:rPr>
          <w:rFonts w:ascii="Microsoft Sans Serif" w:hAnsi="Microsoft Sans Serif" w:cs="Microsoft Sans Serif"/>
          <w:sz w:val="20"/>
          <w:szCs w:val="20"/>
          <w:lang w:val="sv-SE"/>
        </w:rPr>
        <w:t xml:space="preserve"> tokom </w:t>
      </w:r>
      <w:r>
        <w:rPr>
          <w:rFonts w:ascii="Microsoft Sans Serif" w:hAnsi="Microsoft Sans Serif" w:cs="Microsoft Sans Serif"/>
          <w:sz w:val="20"/>
          <w:szCs w:val="20"/>
          <w:lang w:val="sr-Cyrl-RS"/>
        </w:rPr>
        <w:t>drugog i trećeg</w:t>
      </w:r>
      <w:r>
        <w:rPr>
          <w:rFonts w:ascii="Microsoft Sans Serif" w:hAnsi="Microsoft Sans Serif" w:cs="Microsoft Sans Serif"/>
          <w:sz w:val="20"/>
          <w:szCs w:val="20"/>
          <w:lang w:val="sv-SE"/>
        </w:rPr>
        <w:t xml:space="preserve"> trimestra trudnoće (pogledati dijelove 4.3 i 4.4).</w:t>
      </w:r>
    </w:p>
    <w:p w14:paraId="101B533F">
      <w:pPr>
        <w:widowControl w:val="0"/>
        <w:autoSpaceDE w:val="0"/>
        <w:autoSpaceDN w:val="0"/>
        <w:adjustRightInd w:val="0"/>
        <w:rPr>
          <w:rFonts w:ascii="Microsoft Sans Serif" w:hAnsi="Microsoft Sans Serif" w:cs="Microsoft Sans Serif"/>
          <w:color w:val="FF0000"/>
          <w:sz w:val="20"/>
          <w:szCs w:val="20"/>
          <w:lang w:val="sv-SE"/>
        </w:rPr>
      </w:pPr>
    </w:p>
    <w:p w14:paraId="035544F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Epidemiološki podaci vezani za rizik od nastanka teratogenosti usljed izloženosti ACE inhibitorima u toku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prvog trimestra trudnoće nisu dovol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ni za donošenje zakl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učaka, međutim malo povećanje rizika se ne može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iskl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učiti. Osim ukoliko se nastavak terapije ACE inhibitorima smatra neophodnim, pacijentkinje 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planiraju trudnoću treba prevesti na alternativne antihipertenzivne terapije, koje imaju utvrđen bezbjednosni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profil za primjenu tokom trudnoće. Kada se utvrdi trudnoća, terapiju ACE inhibitorima treba odmah 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 ukoliko je potrebno, treba započeti sa alternativnom terapijom.</w:t>
      </w:r>
    </w:p>
    <w:p w14:paraId="7944AB7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Poznato je da izloženost ACE inhibitorima u toku drugog i trećeg trimestra trudnoće </w:t>
      </w:r>
      <w:r>
        <w:rPr>
          <w:rFonts w:ascii="Microsoft Sans Serif" w:hAnsi="Microsoft Sans Serif" w:cs="Microsoft Sans Serif"/>
          <w:sz w:val="20"/>
          <w:szCs w:val="20"/>
          <w:lang w:val="sr-Cyrl-RS"/>
        </w:rPr>
        <w:t xml:space="preserve">kod lјudi </w:t>
      </w:r>
      <w:r>
        <w:rPr>
          <w:rFonts w:ascii="Microsoft Sans Serif" w:hAnsi="Microsoft Sans Serif" w:cs="Microsoft Sans Serif"/>
          <w:sz w:val="20"/>
          <w:szCs w:val="20"/>
          <w:lang w:val="sv-SE"/>
        </w:rPr>
        <w:t>izaziva fetotoksičnost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(smanjena bubrežna funkcija, oligohidroamnion, usporeno okoštavanje lobanje) i neonatalnu toksičnost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(bubrežna insuficijencija, hipotenzija, hiperkalemija) (pogledati dio 5.3). Ukoliko je do izloženosti 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inhibitorima došlo od drugog trimestra trudnoće, preporučuje se ultrazvučna provjera bubrežne funkcije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lobanje fetusa. Potrebno je pažl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ivo pratiti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odojčad čije su majke uzimale ACE inhibitore tokom trudnoće, zbog pojave hipotenzije (pogledati dijelove 4.3 i 4.4).</w:t>
      </w:r>
    </w:p>
    <w:p w14:paraId="5A723930">
      <w:pPr>
        <w:widowControl w:val="0"/>
        <w:rPr>
          <w:rFonts w:ascii="Microsoft Sans Serif" w:hAnsi="Microsoft Sans Serif" w:cs="Microsoft Sans Serif"/>
          <w:sz w:val="20"/>
          <w:szCs w:val="20"/>
          <w:lang w:val="sv-SE"/>
        </w:rPr>
      </w:pPr>
    </w:p>
    <w:p w14:paraId="6B08D242">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Vezano za amlodipin</w:t>
      </w:r>
    </w:p>
    <w:p w14:paraId="4C77166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Bezbjednost primjene amlodipina u trudnoći kod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udi nije ustanovl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w:t>
      </w:r>
    </w:p>
    <w:p w14:paraId="0FA4358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U studijama na životinjama, reproduktivna toksičnost je primjećena pri visokim dozama (pogledati dio 5.3).</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jedino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postoji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bezbjednija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alternativa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samo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nosi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majku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fetus</w:t>
      </w:r>
      <w:r>
        <w:rPr>
          <w:rFonts w:ascii="Microsoft Sans Serif" w:hAnsi="Microsoft Sans Serif" w:cs="Microsoft Sans Serif"/>
          <w:sz w:val="20"/>
          <w:szCs w:val="20"/>
          <w:lang w:val="sr-Cyrl-RS"/>
        </w:rPr>
        <w:t>.</w:t>
      </w:r>
    </w:p>
    <w:p w14:paraId="29A66565">
      <w:pPr>
        <w:widowControl w:val="0"/>
        <w:rPr>
          <w:rFonts w:ascii="Microsoft Sans Serif" w:hAnsi="Microsoft Sans Serif" w:cs="Microsoft Sans Serif"/>
          <w:i/>
          <w:iCs/>
          <w:sz w:val="20"/>
          <w:szCs w:val="20"/>
          <w:lang w:val="sr-Cyrl-RS"/>
        </w:rPr>
      </w:pPr>
    </w:p>
    <w:p w14:paraId="6F8C9600">
      <w:pPr>
        <w:widowControl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en-GB"/>
        </w:rPr>
        <w:t>Dojenje</w:t>
      </w:r>
    </w:p>
    <w:p w14:paraId="7F6374A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en-GB"/>
        </w:rPr>
        <w:t>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dostupnih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podataka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vezano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vrijeme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maj</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mlijeko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procjenama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resorbovana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strane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novoro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en</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unutar</w:t>
      </w:r>
      <w:r>
        <w:rPr>
          <w:rFonts w:ascii="Microsoft Sans Serif" w:hAnsi="Microsoft Sans Serif" w:cs="Microsoft Sans Serif"/>
          <w:sz w:val="20"/>
          <w:szCs w:val="20"/>
          <w:lang w:val="sr-Cyrl-RS"/>
        </w:rPr>
        <w:t xml:space="preserve"> 3-7% </w:t>
      </w:r>
      <w:r>
        <w:rPr>
          <w:rFonts w:ascii="Microsoft Sans Serif" w:hAnsi="Microsoft Sans Serif" w:cs="Microsoft Sans Serif"/>
          <w:sz w:val="20"/>
          <w:szCs w:val="20"/>
          <w:lang w:val="en-GB"/>
        </w:rPr>
        <w:t>interkvartalnog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opsega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majke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15%. </w:t>
      </w:r>
      <w:r>
        <w:rPr>
          <w:rFonts w:ascii="Microsoft Sans Serif" w:hAnsi="Microsoft Sans Serif" w:cs="Microsoft Sans Serif"/>
          <w:sz w:val="20"/>
          <w:szCs w:val="20"/>
          <w:lang w:val="en-GB"/>
        </w:rPr>
        <w:t>Efekti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poznati</w:t>
      </w:r>
      <w:r>
        <w:rPr>
          <w:rFonts w:ascii="Microsoft Sans Serif" w:hAnsi="Microsoft Sans Serif" w:cs="Microsoft Sans Serif"/>
          <w:sz w:val="20"/>
          <w:szCs w:val="20"/>
          <w:lang w:val="sr-Cyrl-RS"/>
        </w:rPr>
        <w:t>.</w:t>
      </w:r>
    </w:p>
    <w:p w14:paraId="258052FD">
      <w:pPr>
        <w:widowControl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alternativni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tretmani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utvr</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bezbjednosnim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profilom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novoro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en</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prijevremeno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enog</w:t>
      </w:r>
      <w:r>
        <w:rPr>
          <w:rFonts w:ascii="Microsoft Sans Serif" w:hAnsi="Microsoft Sans Serif" w:cs="Microsoft Sans Serif"/>
          <w:sz w:val="20"/>
          <w:szCs w:val="20"/>
          <w:lang w:val="sr-Cyrl-RS"/>
        </w:rPr>
        <w:t xml:space="preserve">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eteta.</w:t>
      </w:r>
      <w:r>
        <w:rPr>
          <w:rFonts w:ascii="Microsoft Sans Serif" w:hAnsi="Microsoft Sans Serif" w:cs="Microsoft Sans Serif"/>
          <w:sz w:val="20"/>
          <w:szCs w:val="20"/>
          <w:u w:val="single"/>
          <w:lang w:val="sr-Cyrl-RS"/>
        </w:rPr>
        <w:t xml:space="preserve"> </w:t>
      </w:r>
    </w:p>
    <w:p w14:paraId="46FC7FAA">
      <w:pPr>
        <w:widowControl w:val="0"/>
        <w:rPr>
          <w:rFonts w:ascii="Microsoft Sans Serif" w:hAnsi="Microsoft Sans Serif" w:cs="Microsoft Sans Serif"/>
          <w:sz w:val="20"/>
          <w:szCs w:val="20"/>
          <w:u w:val="single"/>
          <w:lang w:val="sr-Cyrl-RS"/>
        </w:rPr>
      </w:pPr>
    </w:p>
    <w:p w14:paraId="5FBA68BC">
      <w:pPr>
        <w:widowControl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en-GB"/>
        </w:rPr>
        <w:t>Plodnost</w:t>
      </w:r>
    </w:p>
    <w:p w14:paraId="0D50D52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Nema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dostupnih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podataka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adekvatno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kontrolisanih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studija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vezano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dejstvo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plodnost</w:t>
      </w:r>
      <w:r>
        <w:rPr>
          <w:rFonts w:ascii="Microsoft Sans Serif" w:hAnsi="Microsoft Sans Serif" w:cs="Microsoft Sans Serif"/>
          <w:sz w:val="20"/>
          <w:szCs w:val="20"/>
          <w:lang w:val="sr-Cyrl-RS"/>
        </w:rPr>
        <w:t xml:space="preserve">. </w:t>
      </w:r>
    </w:p>
    <w:p w14:paraId="710F1A3A">
      <w:pPr>
        <w:widowControl w:val="0"/>
        <w:rPr>
          <w:rFonts w:ascii="Microsoft Sans Serif" w:hAnsi="Microsoft Sans Serif" w:cs="Microsoft Sans Serif"/>
          <w:sz w:val="20"/>
          <w:szCs w:val="20"/>
          <w:u w:val="single"/>
          <w:lang w:val="sr-Cyrl-RS"/>
        </w:rPr>
      </w:pPr>
    </w:p>
    <w:p w14:paraId="6B6E1F13">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Vezano</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za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amlodipin</w:t>
      </w:r>
    </w:p>
    <w:p w14:paraId="0F2EA2E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Reverzibilne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biohemijske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glavi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spermatozoida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blokatorima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kalcijumskih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kanala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podaci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odnose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potencijalni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uticaj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plodnost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nedovol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jednoj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studiji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djelovanja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plodnost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mu</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jedinki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5.3).</w:t>
      </w:r>
    </w:p>
    <w:p w14:paraId="0B2C5A74">
      <w:pPr>
        <w:rPr>
          <w:rFonts w:ascii="Microsoft Sans Serif" w:hAnsi="Microsoft Sans Serif" w:cs="Microsoft Sans Serif"/>
          <w:sz w:val="20"/>
          <w:szCs w:val="20"/>
          <w:lang w:val="sr-Cyrl-RS"/>
        </w:rPr>
      </w:pPr>
    </w:p>
    <w:p w14:paraId="3F96C226">
      <w:pPr>
        <w:rPr>
          <w:rFonts w:ascii="Microsoft Sans Serif" w:hAnsi="Microsoft Sans Serif" w:cs="Microsoft Sans Serif"/>
          <w:sz w:val="20"/>
          <w:szCs w:val="20"/>
          <w:lang w:val="sr-Cyrl-RS"/>
        </w:rPr>
      </w:pPr>
    </w:p>
    <w:p w14:paraId="15A2F384">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4.7. </w:t>
      </w:r>
      <w:r>
        <w:rPr>
          <w:rFonts w:ascii="Microsoft Sans Serif" w:hAnsi="Microsoft Sans Serif" w:cs="Microsoft Sans Serif"/>
          <w:b/>
          <w:bCs/>
          <w:sz w:val="20"/>
          <w:szCs w:val="20"/>
          <w:lang w:val="sr-Latn-CS"/>
        </w:rPr>
        <w:t xml:space="preserve">Uticaj lijeka </w:t>
      </w:r>
      <w:r>
        <w:rPr>
          <w:rFonts w:ascii="Microsoft Sans Serif" w:hAnsi="Microsoft Sans Serif" w:cs="Microsoft Sans Serif"/>
          <w:b/>
          <w:sz w:val="20"/>
          <w:szCs w:val="20"/>
        </w:rPr>
        <w:t>Skopryl</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Combo</w:t>
      </w:r>
      <w:r>
        <w:rPr>
          <w:rFonts w:ascii="Microsoft Sans Serif" w:hAnsi="Microsoft Sans Serif" w:cs="Microsoft Sans Serif"/>
          <w:b/>
          <w:sz w:val="20"/>
          <w:szCs w:val="20"/>
          <w:vertAlign w:val="superscript"/>
          <w:lang w:val="sr-Cyrl-RS"/>
        </w:rPr>
        <w:t xml:space="preserve"> </w:t>
      </w:r>
      <w:r>
        <w:rPr>
          <w:rFonts w:ascii="Microsoft Sans Serif" w:hAnsi="Microsoft Sans Serif" w:cs="Microsoft Sans Serif"/>
          <w:b/>
          <w:bCs/>
          <w:sz w:val="20"/>
          <w:szCs w:val="20"/>
          <w:lang w:val="sr-Latn-CS"/>
        </w:rPr>
        <w:t>na sposobnost upravlјanja vozilima i rukovanja mašinama</w:t>
      </w:r>
    </w:p>
    <w:p w14:paraId="2764BBE9">
      <w:pPr>
        <w:rPr>
          <w:rFonts w:ascii="Microsoft Sans Serif" w:hAnsi="Microsoft Sans Serif" w:cs="Microsoft Sans Serif"/>
          <w:b/>
          <w:color w:val="FF0000"/>
          <w:sz w:val="20"/>
          <w:szCs w:val="20"/>
          <w:lang w:val="sr-Cyrl-RS"/>
        </w:rPr>
      </w:pPr>
    </w:p>
    <w:p w14:paraId="5E89B2E2">
      <w:pPr>
        <w:widowControl w:val="0"/>
        <w:rPr>
          <w:rFonts w:ascii="Microsoft Sans Serif" w:hAnsi="Microsoft Sans Serif" w:cs="Microsoft Sans Serif"/>
          <w:i/>
          <w:iCs/>
          <w:sz w:val="20"/>
          <w:szCs w:val="20"/>
          <w:lang w:val="sr-Cyrl-RS"/>
        </w:rPr>
      </w:pPr>
      <w:r>
        <w:rPr>
          <w:rFonts w:ascii="Microsoft Sans Serif" w:hAnsi="Microsoft Sans Serif" w:cs="Microsoft Sans Serif"/>
          <w:i/>
          <w:iCs/>
          <w:sz w:val="20"/>
          <w:szCs w:val="20"/>
          <w:lang w:val="en-GB"/>
        </w:rPr>
        <w:t>Vezano</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en-GB"/>
        </w:rPr>
        <w:t>za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en-GB"/>
        </w:rPr>
        <w:t>lizinopril</w:t>
      </w:r>
    </w:p>
    <w:p w14:paraId="63A06EC0">
      <w:pPr>
        <w:widowControl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en-GB"/>
        </w:rPr>
        <w:t>Kada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upravl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lang w:val="en-GB"/>
        </w:rPr>
        <w: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vozilima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rukuje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ma</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lang w:val="en-GB"/>
        </w:rPr>
        <w:t>inama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potrebno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uzeti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obzir</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povremeno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mogu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javiti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vrtoglavica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umor</w:t>
      </w:r>
      <w:r>
        <w:rPr>
          <w:rFonts w:ascii="Microsoft Sans Serif" w:hAnsi="Microsoft Sans Serif" w:cs="Microsoft Sans Serif"/>
          <w:iCs/>
          <w:sz w:val="20"/>
          <w:szCs w:val="20"/>
          <w:lang w:val="sr-Cyrl-RS"/>
        </w:rPr>
        <w:t>.</w:t>
      </w:r>
    </w:p>
    <w:p w14:paraId="1CC5B61C">
      <w:pPr>
        <w:widowControl w:val="0"/>
        <w:rPr>
          <w:rFonts w:ascii="Microsoft Sans Serif" w:hAnsi="Microsoft Sans Serif" w:cs="Microsoft Sans Serif"/>
          <w:iCs/>
          <w:sz w:val="20"/>
          <w:szCs w:val="20"/>
          <w:lang w:val="sr-Cyrl-RS"/>
        </w:rPr>
      </w:pPr>
    </w:p>
    <w:p w14:paraId="67E81B66">
      <w:pPr>
        <w:widowControl w:val="0"/>
        <w:rPr>
          <w:rFonts w:ascii="Microsoft Sans Serif" w:hAnsi="Microsoft Sans Serif" w:cs="Microsoft Sans Serif"/>
          <w:i/>
          <w:iCs/>
          <w:sz w:val="20"/>
          <w:szCs w:val="20"/>
          <w:lang w:val="sr-Cyrl-RS"/>
        </w:rPr>
      </w:pPr>
      <w:r>
        <w:rPr>
          <w:rFonts w:ascii="Microsoft Sans Serif" w:hAnsi="Microsoft Sans Serif" w:cs="Microsoft Sans Serif"/>
          <w:i/>
          <w:iCs/>
          <w:sz w:val="20"/>
          <w:szCs w:val="20"/>
          <w:lang w:val="en-GB"/>
        </w:rPr>
        <w:t>Vezano</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en-GB"/>
        </w:rPr>
        <w:t>za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en-GB"/>
        </w:rPr>
        <w:t>amlodipin</w:t>
      </w:r>
    </w:p>
    <w:p w14:paraId="4E6FFFFB">
      <w:pPr>
        <w:widowControl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en-GB"/>
        </w:rPr>
        <w:t>Amlodipin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mo</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lang w:val="en-GB"/>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mali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umjeren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uticaj</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sposobnost</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upravl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lang w:val="en-GB"/>
        </w:rPr>
        <w:t>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vozilima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rukovanja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ma</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lang w:val="en-GB"/>
        </w:rPr>
        <w:t>inama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kojih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javi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vrtoglavica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glavobol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lang w:val="en-GB"/>
        </w:rPr>
        <w: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umor</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lang w:val="en-GB"/>
        </w:rPr>
        <w:t>nina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sposobnost</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reagovanja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mo</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lang w:val="en-GB"/>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biti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naru</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lang w:val="en-GB"/>
        </w:rPr>
        <w:t>ena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Preporu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lang w:val="en-GB"/>
        </w:rPr>
        <w:t>uje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oprez</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posebno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po</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lang w:val="en-GB"/>
        </w:rPr>
        <w:t>etku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terapije</w:t>
      </w:r>
      <w:r>
        <w:rPr>
          <w:rFonts w:ascii="Microsoft Sans Serif" w:hAnsi="Microsoft Sans Serif" w:cs="Microsoft Sans Serif"/>
          <w:iCs/>
          <w:sz w:val="20"/>
          <w:szCs w:val="20"/>
          <w:lang w:val="sr-Cyrl-RS"/>
        </w:rPr>
        <w:t>.</w:t>
      </w:r>
    </w:p>
    <w:p w14:paraId="39BC178D">
      <w:pPr>
        <w:widowControl w:val="0"/>
        <w:rPr>
          <w:rFonts w:ascii="Microsoft Sans Serif" w:hAnsi="Microsoft Sans Serif" w:cs="Microsoft Sans Serif"/>
          <w:iCs/>
          <w:sz w:val="20"/>
          <w:szCs w:val="20"/>
          <w:lang w:val="sr-Cyrl-RS"/>
        </w:rPr>
      </w:pPr>
    </w:p>
    <w:p w14:paraId="7FE04E1E">
      <w:pPr>
        <w:widowControl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en-GB"/>
        </w:rPr>
        <w:t>Prema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navedenom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lijek</w:t>
      </w:r>
      <w:r>
        <w:rPr>
          <w:rFonts w:ascii="Microsoft Sans Serif" w:hAnsi="Microsoft Sans Serif" w:cs="Microsoft Sans Serif"/>
          <w:iCs/>
          <w:sz w:val="20"/>
          <w:szCs w:val="20"/>
          <w:lang w:val="sr-Cyrl-RS"/>
        </w:rPr>
        <w:t xml:space="preserve"> </w:t>
      </w: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mo</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lang w:val="en-GB"/>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uti</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lang w:val="en-GB"/>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sposobnost</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upravl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lang w:val="en-GB"/>
        </w:rPr>
        <w:t>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vozilima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rukovanja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ma</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lang w:val="en-GB"/>
        </w:rPr>
        <w:t>inama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posebno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tokom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inicijalne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faze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terapije</w:t>
      </w:r>
      <w:r>
        <w:rPr>
          <w:rFonts w:ascii="Microsoft Sans Serif" w:hAnsi="Microsoft Sans Serif" w:cs="Microsoft Sans Serif"/>
          <w:iCs/>
          <w:sz w:val="20"/>
          <w:szCs w:val="20"/>
          <w:lang w:val="sr-Cyrl-RS"/>
        </w:rPr>
        <w:t xml:space="preserve">). </w:t>
      </w:r>
    </w:p>
    <w:p w14:paraId="5B21C331">
      <w:pPr>
        <w:rPr>
          <w:rFonts w:ascii="Microsoft Sans Serif" w:hAnsi="Microsoft Sans Serif" w:cs="Microsoft Sans Serif"/>
          <w:sz w:val="20"/>
          <w:szCs w:val="20"/>
          <w:lang w:val="sr-Cyrl-RS"/>
        </w:rPr>
      </w:pPr>
    </w:p>
    <w:p w14:paraId="394A1707">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4.8. </w:t>
      </w:r>
      <w:r>
        <w:rPr>
          <w:rFonts w:ascii="Microsoft Sans Serif" w:hAnsi="Microsoft Sans Serif" w:cs="Microsoft Sans Serif"/>
          <w:b/>
          <w:bCs/>
          <w:sz w:val="20"/>
          <w:szCs w:val="20"/>
        </w:rPr>
        <w:t>Ne</w:t>
      </w:r>
      <w:r>
        <w:rPr>
          <w:rFonts w:ascii="Microsoft Sans Serif" w:hAnsi="Microsoft Sans Serif" w:cs="Microsoft Sans Serif"/>
          <w:b/>
          <w:bCs/>
          <w:sz w:val="20"/>
          <w:szCs w:val="20"/>
          <w:lang w:val="sr-Cyrl-RS"/>
        </w:rPr>
        <w:t>ž</w:t>
      </w:r>
      <w:r>
        <w:rPr>
          <w:rFonts w:ascii="Microsoft Sans Serif" w:hAnsi="Microsoft Sans Serif" w:cs="Microsoft Sans Serif"/>
          <w:b/>
          <w:bCs/>
          <w:sz w:val="20"/>
          <w:szCs w:val="20"/>
        </w:rPr>
        <w:t>el</w:t>
      </w:r>
      <w:r>
        <w:rPr>
          <w:rFonts w:ascii="Microsoft Sans Serif" w:hAnsi="Microsoft Sans Serif" w:cs="Microsoft Sans Serif"/>
          <w:b/>
          <w:bCs/>
          <w:sz w:val="20"/>
          <w:szCs w:val="20"/>
          <w:lang w:val="sr-Cyrl-RS"/>
        </w:rPr>
        <w:t>ј</w:t>
      </w:r>
      <w:r>
        <w:rPr>
          <w:rFonts w:ascii="Microsoft Sans Serif" w:hAnsi="Microsoft Sans Serif" w:cs="Microsoft Sans Serif"/>
          <w:b/>
          <w:bCs/>
          <w:sz w:val="20"/>
          <w:szCs w:val="20"/>
        </w:rPr>
        <w:t>ena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djelovanja</w:t>
      </w:r>
    </w:p>
    <w:p w14:paraId="6A62346B">
      <w:pPr>
        <w:rPr>
          <w:rFonts w:ascii="Microsoft Sans Serif" w:hAnsi="Microsoft Sans Serif" w:cs="Microsoft Sans Serif"/>
          <w:sz w:val="20"/>
          <w:szCs w:val="20"/>
          <w:u w:val="single"/>
          <w:lang w:val="hr-HR"/>
        </w:rPr>
      </w:pPr>
    </w:p>
    <w:p w14:paraId="5481D4A5">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Incidenca pojave neželјenih reakcija tokom kontrolisane kliničke studije (</w:t>
      </w:r>
      <w:r>
        <w:rPr>
          <w:rFonts w:ascii="Microsoft Sans Serif" w:hAnsi="Microsoft Sans Serif" w:cs="Microsoft Sans Serif"/>
          <w:sz w:val="20"/>
          <w:szCs w:val="20"/>
          <w:lang w:val="sr-Latn-RS"/>
        </w:rPr>
        <w:t>n</w:t>
      </w:r>
      <w:r>
        <w:rPr>
          <w:rFonts w:ascii="Microsoft Sans Serif" w:hAnsi="Microsoft Sans Serif" w:cs="Microsoft Sans Serif"/>
          <w:sz w:val="20"/>
          <w:szCs w:val="20"/>
          <w:lang w:val="hr-HR"/>
        </w:rPr>
        <w:t>=195) nije bila veća kod ispitanika koji su istovremeno primali obje aktivne supstance u odnosu na pacijente na monoterapiji. Neželјene reakcije su bile u skladu sa onim ranije prijavlјenim pri primjeni amlodipina i/ili lizinoprila.</w:t>
      </w:r>
    </w:p>
    <w:p w14:paraId="13C7ADBD">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Neželјene reakcije su obično bile blage, prolazne i rijetko su iziskivale obustavu terapije. Najčešće neželјene reakcije pri primjeni ove kombinacije bile su: glavobolјa (8%), kašalј (5%) i vrtoglavica (3%).</w:t>
      </w:r>
    </w:p>
    <w:p w14:paraId="6E60DF6F">
      <w:pPr>
        <w:widowControl w:val="0"/>
        <w:rPr>
          <w:rFonts w:ascii="Microsoft Sans Serif" w:hAnsi="Microsoft Sans Serif" w:cs="Microsoft Sans Serif"/>
          <w:sz w:val="20"/>
          <w:szCs w:val="20"/>
          <w:lang w:val="hr-HR"/>
        </w:rPr>
      </w:pPr>
    </w:p>
    <w:p w14:paraId="156892DF">
      <w:pPr>
        <w:widowControl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Učestalost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hr-HR"/>
        </w:rPr>
        <w:t>enih reakcija je definisana na sljedeći način: veoma često (≥1/10), često (≥ 1/100 do &lt; 1/10), povremeno (≥ 1/1000 do &lt; 1/100), rijetko (≥ 1/10000 do &lt; 1/1000), veoma rijetko (&lt; 1/10000), nepoznato (ne može se procjeniti na osnovu dostupnih podataka). U sklopu svake grupe učestalosti,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hr-HR"/>
        </w:rPr>
        <w:t>ena djelovanja su prikazana po opadajućem redoslijedu ozbil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hr-HR"/>
        </w:rPr>
        <w:t>nosti.</w:t>
      </w:r>
    </w:p>
    <w:p w14:paraId="67D73E11">
      <w:pPr>
        <w:widowControl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Sljedeće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hr-HR"/>
        </w:rPr>
        <w:t>ene reakcije su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hr-HR"/>
        </w:rPr>
        <w:t>ene u toku terapije lizinoprilom i amlodipinom, ponaosob:</w:t>
      </w:r>
    </w:p>
    <w:p w14:paraId="4774EFD6">
      <w:pPr>
        <w:widowControl w:val="0"/>
        <w:rPr>
          <w:rFonts w:ascii="Microsoft Sans Serif" w:hAnsi="Microsoft Sans Serif" w:cs="Microsoft Sans Serif"/>
          <w:sz w:val="20"/>
          <w:szCs w:val="20"/>
          <w:lang w:val="hr-HR"/>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1447"/>
        <w:gridCol w:w="2522"/>
        <w:gridCol w:w="2581"/>
      </w:tblGrid>
      <w:tr w14:paraId="3D04B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6C21C087">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Klasa sistema organa</w:t>
            </w:r>
          </w:p>
        </w:tc>
        <w:tc>
          <w:tcPr>
            <w:tcW w:w="1447" w:type="dxa"/>
            <w:tcBorders>
              <w:bottom w:val="single" w:color="000000" w:sz="4" w:space="0"/>
            </w:tcBorders>
            <w:shd w:val="clear" w:color="auto" w:fill="auto"/>
          </w:tcPr>
          <w:p w14:paraId="65E3E870">
            <w:pPr>
              <w:keepNext/>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Učestalost</w:t>
            </w:r>
          </w:p>
        </w:tc>
        <w:tc>
          <w:tcPr>
            <w:tcW w:w="2522" w:type="dxa"/>
            <w:tcBorders>
              <w:bottom w:val="single" w:color="000000" w:sz="4" w:space="0"/>
            </w:tcBorders>
            <w:shd w:val="clear" w:color="auto" w:fill="auto"/>
          </w:tcPr>
          <w:p w14:paraId="7358F204">
            <w:pPr>
              <w:keepNext/>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Neželјena djelovanja lizinoprila</w:t>
            </w:r>
          </w:p>
        </w:tc>
        <w:tc>
          <w:tcPr>
            <w:tcW w:w="2581" w:type="dxa"/>
            <w:tcBorders>
              <w:bottom w:val="single" w:color="000000" w:sz="4" w:space="0"/>
            </w:tcBorders>
            <w:shd w:val="clear" w:color="auto" w:fill="auto"/>
          </w:tcPr>
          <w:p w14:paraId="364981C8">
            <w:pPr>
              <w:keepNext/>
              <w:widowControl w:val="0"/>
              <w:rPr>
                <w:rFonts w:ascii="Microsoft Sans Serif" w:hAnsi="Microsoft Sans Serif" w:cs="Microsoft Sans Serif"/>
                <w:b/>
                <w:sz w:val="20"/>
                <w:szCs w:val="20"/>
                <w:lang w:val="en-GB"/>
              </w:rPr>
            </w:pPr>
            <w:r>
              <w:rPr>
                <w:rFonts w:ascii="Microsoft Sans Serif" w:hAnsi="Microsoft Sans Serif" w:cs="Microsoft Sans Serif"/>
                <w:b/>
                <w:bCs/>
                <w:sz w:val="20"/>
                <w:szCs w:val="20"/>
                <w:lang w:val="sr-Cyrl-RS"/>
              </w:rPr>
              <w:t>Neželјena djelovanja amlodipina</w:t>
            </w:r>
          </w:p>
        </w:tc>
      </w:tr>
      <w:tr w14:paraId="1D163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793D5C40">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Poremećaji krvi i</w:t>
            </w:r>
          </w:p>
          <w:p w14:paraId="42090C98">
            <w:pPr>
              <w:widowControl w:val="0"/>
              <w:rPr>
                <w:rFonts w:ascii="Microsoft Sans Serif" w:hAnsi="Microsoft Sans Serif" w:cs="Microsoft Sans Serif"/>
                <w:b/>
                <w:sz w:val="20"/>
                <w:szCs w:val="20"/>
                <w:lang w:val="sv-SE"/>
              </w:rPr>
            </w:pPr>
            <w:r>
              <w:rPr>
                <w:rFonts w:ascii="Microsoft Sans Serif" w:hAnsi="Microsoft Sans Serif" w:cs="Microsoft Sans Serif"/>
                <w:b/>
                <w:bCs/>
                <w:sz w:val="20"/>
                <w:szCs w:val="20"/>
                <w:lang w:val="sv-SE"/>
              </w:rPr>
              <w:t>limfnog sistema</w:t>
            </w:r>
          </w:p>
        </w:tc>
        <w:tc>
          <w:tcPr>
            <w:tcW w:w="1447" w:type="dxa"/>
            <w:tcBorders>
              <w:bottom w:val="single" w:color="auto" w:sz="4" w:space="0"/>
            </w:tcBorders>
            <w:shd w:val="clear" w:color="auto" w:fill="auto"/>
          </w:tcPr>
          <w:p w14:paraId="7034FB1B">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tcBorders>
              <w:bottom w:val="single" w:color="auto" w:sz="4" w:space="0"/>
            </w:tcBorders>
            <w:shd w:val="clear" w:color="auto" w:fill="auto"/>
          </w:tcPr>
          <w:p w14:paraId="3B923D7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Smanjenje vrednosti</w:t>
            </w:r>
          </w:p>
          <w:p w14:paraId="744D8F7E">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hemoglobina,</w:t>
            </w:r>
          </w:p>
          <w:p w14:paraId="5E86BF9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Smanjenje vrednosti hematokrita</w:t>
            </w:r>
          </w:p>
        </w:tc>
        <w:tc>
          <w:tcPr>
            <w:tcW w:w="2581" w:type="dxa"/>
            <w:tcBorders>
              <w:bottom w:val="single" w:color="auto" w:sz="4" w:space="0"/>
            </w:tcBorders>
            <w:shd w:val="clear" w:color="auto" w:fill="auto"/>
          </w:tcPr>
          <w:p w14:paraId="7272117F">
            <w:pPr>
              <w:widowControl w:val="0"/>
              <w:rPr>
                <w:rFonts w:ascii="Microsoft Sans Serif" w:hAnsi="Microsoft Sans Serif" w:cs="Microsoft Sans Serif"/>
                <w:sz w:val="20"/>
                <w:szCs w:val="20"/>
                <w:lang w:val="sv-SE"/>
              </w:rPr>
            </w:pPr>
          </w:p>
        </w:tc>
      </w:tr>
      <w:tr w14:paraId="0161E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77D83E9F">
            <w:pPr>
              <w:widowControl w:val="0"/>
              <w:rPr>
                <w:rFonts w:ascii="Microsoft Sans Serif" w:hAnsi="Microsoft Sans Serif" w:cs="Microsoft Sans Serif"/>
                <w:b/>
                <w:sz w:val="20"/>
                <w:szCs w:val="20"/>
                <w:lang w:val="sv-SE"/>
              </w:rPr>
            </w:pPr>
          </w:p>
        </w:tc>
        <w:tc>
          <w:tcPr>
            <w:tcW w:w="1447" w:type="dxa"/>
            <w:tcBorders>
              <w:top w:val="single" w:color="auto" w:sz="4" w:space="0"/>
            </w:tcBorders>
            <w:shd w:val="clear" w:color="auto" w:fill="auto"/>
          </w:tcPr>
          <w:p w14:paraId="3DE760C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tcBorders>
            <w:shd w:val="clear" w:color="auto" w:fill="auto"/>
          </w:tcPr>
          <w:p w14:paraId="7078BEC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Depresija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tane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sr</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w:t>
            </w:r>
          </w:p>
          <w:p w14:paraId="633BEE9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Agranulocitoza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4.4), </w:t>
            </w:r>
            <w:r>
              <w:rPr>
                <w:rFonts w:ascii="Microsoft Sans Serif" w:hAnsi="Microsoft Sans Serif" w:cs="Microsoft Sans Serif"/>
                <w:sz w:val="20"/>
                <w:szCs w:val="20"/>
                <w:lang w:val="en-GB"/>
              </w:rPr>
              <w:t>Leukopenija</w:t>
            </w:r>
            <w:r>
              <w:rPr>
                <w:rFonts w:ascii="Microsoft Sans Serif" w:hAnsi="Microsoft Sans Serif" w:cs="Microsoft Sans Serif"/>
                <w:sz w:val="20"/>
                <w:szCs w:val="20"/>
                <w:lang w:val="sr-Cyrl-RS"/>
              </w:rPr>
              <w:t>,</w:t>
            </w:r>
          </w:p>
          <w:p w14:paraId="0D3D4BD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Neutropenija</w:t>
            </w:r>
            <w:r>
              <w:rPr>
                <w:rFonts w:ascii="Microsoft Sans Serif" w:hAnsi="Microsoft Sans Serif" w:cs="Microsoft Sans Serif"/>
                <w:sz w:val="20"/>
                <w:szCs w:val="20"/>
                <w:lang w:val="sr-Cyrl-RS"/>
              </w:rPr>
              <w:t>,</w:t>
            </w:r>
          </w:p>
          <w:p w14:paraId="0392111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Trombocitopenija</w:t>
            </w:r>
            <w:r>
              <w:rPr>
                <w:rFonts w:ascii="Microsoft Sans Serif" w:hAnsi="Microsoft Sans Serif" w:cs="Microsoft Sans Serif"/>
                <w:sz w:val="20"/>
                <w:szCs w:val="20"/>
                <w:lang w:val="sr-Cyrl-RS"/>
              </w:rPr>
              <w:t>,</w:t>
            </w:r>
          </w:p>
          <w:p w14:paraId="15A5EDA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Hemoliti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anemija</w:t>
            </w:r>
            <w:r>
              <w:rPr>
                <w:rFonts w:ascii="Microsoft Sans Serif" w:hAnsi="Microsoft Sans Serif" w:cs="Microsoft Sans Serif"/>
                <w:sz w:val="20"/>
                <w:szCs w:val="20"/>
                <w:lang w:val="sr-Cyrl-RS"/>
              </w:rPr>
              <w:t>,</w:t>
            </w:r>
          </w:p>
          <w:p w14:paraId="199BF5A5">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Anemija</w:t>
            </w:r>
            <w:r>
              <w:rPr>
                <w:rFonts w:ascii="Microsoft Sans Serif" w:hAnsi="Microsoft Sans Serif" w:cs="Microsoft Sans Serif"/>
                <w:sz w:val="20"/>
                <w:szCs w:val="20"/>
                <w:lang w:val="sr-Cyrl-RS"/>
              </w:rPr>
              <w:t>,</w:t>
            </w:r>
          </w:p>
          <w:p w14:paraId="0F2B6EB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Limfadenopatija</w:t>
            </w:r>
          </w:p>
        </w:tc>
        <w:tc>
          <w:tcPr>
            <w:tcW w:w="2581" w:type="dxa"/>
            <w:tcBorders>
              <w:top w:val="single" w:color="auto" w:sz="4" w:space="0"/>
            </w:tcBorders>
            <w:shd w:val="clear" w:color="auto" w:fill="auto"/>
          </w:tcPr>
          <w:p w14:paraId="1043500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Trombocitopenija, Leukopenija</w:t>
            </w:r>
          </w:p>
        </w:tc>
      </w:tr>
      <w:tr w14:paraId="238A7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23AC3C81">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Poremećaji imunskog sistema</w:t>
            </w:r>
          </w:p>
        </w:tc>
        <w:tc>
          <w:tcPr>
            <w:tcW w:w="1447" w:type="dxa"/>
            <w:shd w:val="clear" w:color="auto" w:fill="auto"/>
          </w:tcPr>
          <w:p w14:paraId="2199DE8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shd w:val="clear" w:color="auto" w:fill="auto"/>
          </w:tcPr>
          <w:p w14:paraId="26FAD931">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Autoimunski poremećaji</w:t>
            </w:r>
          </w:p>
        </w:tc>
        <w:tc>
          <w:tcPr>
            <w:tcW w:w="2581" w:type="dxa"/>
            <w:shd w:val="clear" w:color="auto" w:fill="auto"/>
          </w:tcPr>
          <w:p w14:paraId="006AFD7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Alergijske reakcije</w:t>
            </w:r>
          </w:p>
        </w:tc>
      </w:tr>
      <w:tr w14:paraId="23B41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116E2C0A">
            <w:pPr>
              <w:widowControl w:val="0"/>
              <w:rPr>
                <w:rFonts w:ascii="Microsoft Sans Serif" w:hAnsi="Microsoft Sans Serif" w:cs="Microsoft Sans Serif"/>
                <w:b/>
                <w:sz w:val="20"/>
                <w:szCs w:val="20"/>
                <w:lang w:val="en-GB"/>
              </w:rPr>
            </w:pPr>
          </w:p>
        </w:tc>
        <w:tc>
          <w:tcPr>
            <w:tcW w:w="1447" w:type="dxa"/>
            <w:shd w:val="clear" w:color="auto" w:fill="auto"/>
          </w:tcPr>
          <w:p w14:paraId="4A9C2777">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2522" w:type="dxa"/>
            <w:shd w:val="clear" w:color="auto" w:fill="auto"/>
          </w:tcPr>
          <w:p w14:paraId="63A2E40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Anafilaktičke/anafilaktoidne reakcije</w:t>
            </w:r>
          </w:p>
        </w:tc>
        <w:tc>
          <w:tcPr>
            <w:tcW w:w="2581" w:type="dxa"/>
            <w:shd w:val="clear" w:color="auto" w:fill="auto"/>
          </w:tcPr>
          <w:p w14:paraId="7B130502">
            <w:pPr>
              <w:widowControl w:val="0"/>
              <w:rPr>
                <w:rFonts w:ascii="Microsoft Sans Serif" w:hAnsi="Microsoft Sans Serif" w:cs="Microsoft Sans Serif"/>
                <w:sz w:val="20"/>
                <w:szCs w:val="20"/>
                <w:lang w:val="en-GB"/>
              </w:rPr>
            </w:pPr>
          </w:p>
        </w:tc>
      </w:tr>
      <w:tr w14:paraId="25104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4E353912">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Endokrini poremećaji</w:t>
            </w:r>
          </w:p>
        </w:tc>
        <w:tc>
          <w:tcPr>
            <w:tcW w:w="1447" w:type="dxa"/>
            <w:shd w:val="clear" w:color="auto" w:fill="auto"/>
          </w:tcPr>
          <w:p w14:paraId="6ADB3935">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shd w:val="clear" w:color="auto" w:fill="auto"/>
          </w:tcPr>
          <w:p w14:paraId="772EA60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Sindrom neadekvatne sekrecije</w:t>
            </w:r>
          </w:p>
          <w:p w14:paraId="53A36907">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antidiuretskog hormona (SIADH)</w:t>
            </w:r>
          </w:p>
        </w:tc>
        <w:tc>
          <w:tcPr>
            <w:tcW w:w="2581" w:type="dxa"/>
            <w:shd w:val="clear" w:color="auto" w:fill="auto"/>
          </w:tcPr>
          <w:p w14:paraId="3F010457">
            <w:pPr>
              <w:widowControl w:val="0"/>
              <w:rPr>
                <w:rFonts w:ascii="Microsoft Sans Serif" w:hAnsi="Microsoft Sans Serif" w:cs="Microsoft Sans Serif"/>
                <w:sz w:val="20"/>
                <w:szCs w:val="20"/>
                <w:lang w:val="sv-SE"/>
              </w:rPr>
            </w:pPr>
          </w:p>
        </w:tc>
      </w:tr>
      <w:tr w14:paraId="59050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7D50F518">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Poremećaji metabolizma i ishrane</w:t>
            </w:r>
          </w:p>
        </w:tc>
        <w:tc>
          <w:tcPr>
            <w:tcW w:w="1447" w:type="dxa"/>
            <w:tcBorders>
              <w:bottom w:val="single" w:color="000000" w:sz="4" w:space="0"/>
            </w:tcBorders>
            <w:shd w:val="clear" w:color="auto" w:fill="auto"/>
          </w:tcPr>
          <w:p w14:paraId="25D79175">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bottom w:val="single" w:color="000000" w:sz="4" w:space="0"/>
            </w:tcBorders>
            <w:shd w:val="clear" w:color="auto" w:fill="auto"/>
          </w:tcPr>
          <w:p w14:paraId="59F3F32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Hipoglikemija</w:t>
            </w:r>
          </w:p>
        </w:tc>
        <w:tc>
          <w:tcPr>
            <w:tcW w:w="2581" w:type="dxa"/>
            <w:tcBorders>
              <w:bottom w:val="single" w:color="000000" w:sz="4" w:space="0"/>
            </w:tcBorders>
            <w:shd w:val="clear" w:color="auto" w:fill="auto"/>
          </w:tcPr>
          <w:p w14:paraId="7EC4A543">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Hiperglikemija</w:t>
            </w:r>
          </w:p>
        </w:tc>
      </w:tr>
      <w:tr w14:paraId="19071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31607C28">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Psihijatrijski poremećaji</w:t>
            </w:r>
          </w:p>
        </w:tc>
        <w:tc>
          <w:tcPr>
            <w:tcW w:w="1447" w:type="dxa"/>
            <w:tcBorders>
              <w:bottom w:val="single" w:color="auto" w:sz="4" w:space="0"/>
            </w:tcBorders>
            <w:shd w:val="clear" w:color="auto" w:fill="auto"/>
          </w:tcPr>
          <w:p w14:paraId="5D87CAAB">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2522" w:type="dxa"/>
            <w:tcBorders>
              <w:bottom w:val="single" w:color="auto" w:sz="4" w:space="0"/>
            </w:tcBorders>
            <w:shd w:val="clear" w:color="auto" w:fill="auto"/>
          </w:tcPr>
          <w:p w14:paraId="3D76EE8B">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Promjena raspoloženja,</w:t>
            </w:r>
          </w:p>
          <w:p w14:paraId="16AA1DF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Poremećaji spavanja,</w:t>
            </w:r>
          </w:p>
          <w:p w14:paraId="174C73E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Halucinacije</w:t>
            </w:r>
          </w:p>
        </w:tc>
        <w:tc>
          <w:tcPr>
            <w:tcW w:w="2581" w:type="dxa"/>
            <w:tcBorders>
              <w:bottom w:val="single" w:color="auto" w:sz="4" w:space="0"/>
            </w:tcBorders>
            <w:shd w:val="clear" w:color="auto" w:fill="auto"/>
          </w:tcPr>
          <w:p w14:paraId="6B0769B0">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en-GB"/>
              </w:rPr>
              <w:t>nsomnija,</w:t>
            </w:r>
          </w:p>
          <w:p w14:paraId="166E800C">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Promene raspoloženja</w:t>
            </w:r>
          </w:p>
          <w:p w14:paraId="2833109F">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(uklјučujući anksioznost),</w:t>
            </w:r>
          </w:p>
          <w:p w14:paraId="4A116972">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Depresija</w:t>
            </w:r>
          </w:p>
        </w:tc>
      </w:tr>
      <w:tr w14:paraId="41C98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F339833">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3962B911">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Rijetko</w:t>
            </w:r>
          </w:p>
        </w:tc>
        <w:tc>
          <w:tcPr>
            <w:tcW w:w="2522" w:type="dxa"/>
            <w:tcBorders>
              <w:top w:val="single" w:color="auto" w:sz="4" w:space="0"/>
              <w:bottom w:val="single" w:color="auto" w:sz="4" w:space="0"/>
            </w:tcBorders>
            <w:shd w:val="clear" w:color="auto" w:fill="auto"/>
          </w:tcPr>
          <w:p w14:paraId="1B62812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Mentalna konfuzija</w:t>
            </w:r>
          </w:p>
        </w:tc>
        <w:tc>
          <w:tcPr>
            <w:tcW w:w="2581" w:type="dxa"/>
            <w:tcBorders>
              <w:top w:val="single" w:color="auto" w:sz="4" w:space="0"/>
              <w:bottom w:val="single" w:color="auto" w:sz="4" w:space="0"/>
            </w:tcBorders>
            <w:shd w:val="clear" w:color="auto" w:fill="auto"/>
          </w:tcPr>
          <w:p w14:paraId="2D0206B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Konfuzija</w:t>
            </w:r>
          </w:p>
        </w:tc>
      </w:tr>
      <w:tr w14:paraId="04BFF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6AA94CB9">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7BF13AA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Nepoznato</w:t>
            </w:r>
            <w:r>
              <w:rPr>
                <w:rFonts w:ascii="Microsoft Sans Serif" w:hAnsi="Microsoft Sans Serif" w:cs="Microsoft Sans Serif"/>
                <w:sz w:val="20"/>
                <w:szCs w:val="20"/>
                <w:lang w:val="en-GB"/>
              </w:rPr>
              <w:t xml:space="preserve"> </w:t>
            </w:r>
          </w:p>
        </w:tc>
        <w:tc>
          <w:tcPr>
            <w:tcW w:w="2522" w:type="dxa"/>
            <w:tcBorders>
              <w:top w:val="single" w:color="auto" w:sz="4" w:space="0"/>
              <w:bottom w:val="single" w:color="000000" w:sz="4" w:space="0"/>
            </w:tcBorders>
            <w:shd w:val="clear" w:color="auto" w:fill="auto"/>
          </w:tcPr>
          <w:p w14:paraId="70643CFC">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Depresija</w:t>
            </w:r>
          </w:p>
        </w:tc>
        <w:tc>
          <w:tcPr>
            <w:tcW w:w="2581" w:type="dxa"/>
            <w:tcBorders>
              <w:top w:val="single" w:color="auto" w:sz="4" w:space="0"/>
              <w:bottom w:val="single" w:color="000000" w:sz="4" w:space="0"/>
            </w:tcBorders>
            <w:shd w:val="clear" w:color="auto" w:fill="auto"/>
          </w:tcPr>
          <w:p w14:paraId="5084766C">
            <w:pPr>
              <w:widowControl w:val="0"/>
              <w:rPr>
                <w:rFonts w:ascii="Microsoft Sans Serif" w:hAnsi="Microsoft Sans Serif" w:cs="Microsoft Sans Serif"/>
                <w:sz w:val="20"/>
                <w:szCs w:val="20"/>
                <w:lang w:val="en-GB"/>
              </w:rPr>
            </w:pPr>
          </w:p>
        </w:tc>
      </w:tr>
      <w:tr w14:paraId="3385C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53553B73">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Poremećaji nervnog sistema</w:t>
            </w:r>
          </w:p>
        </w:tc>
        <w:tc>
          <w:tcPr>
            <w:tcW w:w="1447" w:type="dxa"/>
            <w:tcBorders>
              <w:bottom w:val="nil"/>
            </w:tcBorders>
            <w:shd w:val="clear" w:color="auto" w:fill="auto"/>
          </w:tcPr>
          <w:p w14:paraId="07D68FB6">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bottom w:val="nil"/>
            </w:tcBorders>
            <w:shd w:val="clear" w:color="auto" w:fill="auto"/>
          </w:tcPr>
          <w:p w14:paraId="4D53DFE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Vrtoglavica,</w:t>
            </w:r>
          </w:p>
          <w:p w14:paraId="25C28AC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Glavobolјa</w:t>
            </w:r>
          </w:p>
        </w:tc>
        <w:tc>
          <w:tcPr>
            <w:tcW w:w="2581" w:type="dxa"/>
            <w:tcBorders>
              <w:bottom w:val="nil"/>
            </w:tcBorders>
            <w:shd w:val="clear" w:color="auto" w:fill="auto"/>
          </w:tcPr>
          <w:p w14:paraId="3351A0B2">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Pospanost,</w:t>
            </w:r>
          </w:p>
          <w:p w14:paraId="5D8EA84D">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Vrtoglavica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Glavobol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w:t>
            </w:r>
          </w:p>
          <w:p w14:paraId="44DB716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etku</w:t>
            </w:r>
          </w:p>
          <w:p w14:paraId="319B728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terapije) </w:t>
            </w:r>
          </w:p>
        </w:tc>
      </w:tr>
      <w:tr w14:paraId="1827B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2E7C55DF">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72F71C2F">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2522" w:type="dxa"/>
            <w:tcBorders>
              <w:top w:val="single" w:color="auto" w:sz="4" w:space="0"/>
              <w:bottom w:val="single" w:color="auto" w:sz="4" w:space="0"/>
            </w:tcBorders>
            <w:shd w:val="clear" w:color="auto" w:fill="auto"/>
          </w:tcPr>
          <w:p w14:paraId="0D011E8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Vertigo, Parestezija,</w:t>
            </w:r>
            <w:r>
              <w:rPr>
                <w:rFonts w:ascii="Microsoft Sans Serif" w:hAnsi="Microsoft Sans Serif" w:cs="Microsoft Sans Serif"/>
                <w:sz w:val="20"/>
                <w:szCs w:val="20"/>
                <w:lang w:val="sr-Cyrl-RS"/>
              </w:rPr>
              <w:t xml:space="preserve"> Disgeuzija</w:t>
            </w:r>
          </w:p>
          <w:p w14:paraId="7EFDDB37">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auto" w:sz="4" w:space="0"/>
            </w:tcBorders>
            <w:shd w:val="clear" w:color="auto" w:fill="auto"/>
          </w:tcPr>
          <w:p w14:paraId="6BCFBE9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Sinkopa, Tremor,</w:t>
            </w:r>
          </w:p>
          <w:p w14:paraId="1BCECEF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Disgeuzija, Hipoestezija,</w:t>
            </w:r>
          </w:p>
          <w:p w14:paraId="67E6B12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Parestezija</w:t>
            </w:r>
          </w:p>
        </w:tc>
      </w:tr>
      <w:tr w14:paraId="03832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47AB1801">
            <w:pPr>
              <w:widowControl w:val="0"/>
              <w:rPr>
                <w:rFonts w:ascii="Microsoft Sans Serif" w:hAnsi="Microsoft Sans Serif" w:cs="Microsoft Sans Serif"/>
                <w:b/>
                <w:sz w:val="20"/>
                <w:szCs w:val="20"/>
                <w:lang w:val="sv-SE"/>
              </w:rPr>
            </w:pPr>
          </w:p>
        </w:tc>
        <w:tc>
          <w:tcPr>
            <w:tcW w:w="1447" w:type="dxa"/>
            <w:tcBorders>
              <w:top w:val="single" w:color="auto" w:sz="4" w:space="0"/>
              <w:bottom w:val="single" w:color="auto" w:sz="4" w:space="0"/>
            </w:tcBorders>
            <w:shd w:val="clear" w:color="auto" w:fill="auto"/>
          </w:tcPr>
          <w:p w14:paraId="09C4C6F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tcBorders>
              <w:top w:val="single" w:color="auto" w:sz="4" w:space="0"/>
              <w:bottom w:val="single" w:color="auto" w:sz="4" w:space="0"/>
            </w:tcBorders>
            <w:shd w:val="clear" w:color="auto" w:fill="auto"/>
          </w:tcPr>
          <w:p w14:paraId="5D11BB15">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Paro</w:t>
            </w:r>
            <w:r>
              <w:rPr>
                <w:rFonts w:ascii="Microsoft Sans Serif" w:hAnsi="Microsoft Sans Serif" w:cs="Microsoft Sans Serif"/>
                <w:sz w:val="20"/>
                <w:szCs w:val="20"/>
                <w:lang w:val="hr-BA"/>
              </w:rPr>
              <w:t>s</w:t>
            </w:r>
            <w:r>
              <w:rPr>
                <w:rFonts w:ascii="Microsoft Sans Serif" w:hAnsi="Microsoft Sans Serif" w:cs="Microsoft Sans Serif"/>
                <w:sz w:val="20"/>
                <w:szCs w:val="20"/>
                <w:lang w:val="sr-Cyrl-RS"/>
              </w:rPr>
              <w:t>mija (poremećaj osećaja mirisa)</w:t>
            </w:r>
          </w:p>
        </w:tc>
        <w:tc>
          <w:tcPr>
            <w:tcW w:w="2581" w:type="dxa"/>
            <w:tcBorders>
              <w:top w:val="single" w:color="auto" w:sz="4" w:space="0"/>
              <w:bottom w:val="single" w:color="auto" w:sz="4" w:space="0"/>
            </w:tcBorders>
            <w:shd w:val="clear" w:color="auto" w:fill="auto"/>
          </w:tcPr>
          <w:p w14:paraId="0C430E2B">
            <w:pPr>
              <w:widowControl w:val="0"/>
              <w:rPr>
                <w:rFonts w:ascii="Microsoft Sans Serif" w:hAnsi="Microsoft Sans Serif" w:cs="Microsoft Sans Serif"/>
                <w:sz w:val="20"/>
                <w:szCs w:val="20"/>
                <w:lang w:val="en-GB"/>
              </w:rPr>
            </w:pPr>
          </w:p>
        </w:tc>
      </w:tr>
      <w:tr w14:paraId="23C51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5A5158D8">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7DCA29B6">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bottom w:val="single" w:color="auto" w:sz="4" w:space="0"/>
            </w:tcBorders>
            <w:shd w:val="clear" w:color="auto" w:fill="auto"/>
          </w:tcPr>
          <w:p w14:paraId="4FAF23C0">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auto" w:sz="4" w:space="0"/>
            </w:tcBorders>
            <w:shd w:val="clear" w:color="auto" w:fill="auto"/>
          </w:tcPr>
          <w:p w14:paraId="0CFB67AD">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Hipertenzija, Periferna neuropatija</w:t>
            </w:r>
          </w:p>
        </w:tc>
      </w:tr>
      <w:tr w14:paraId="15A75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5A785381">
            <w:pPr>
              <w:widowControl w:val="0"/>
              <w:rPr>
                <w:rFonts w:ascii="Microsoft Sans Serif" w:hAnsi="Microsoft Sans Serif" w:cs="Microsoft Sans Serif"/>
                <w:b/>
                <w:sz w:val="20"/>
                <w:szCs w:val="20"/>
                <w:lang w:val="en-GB"/>
              </w:rPr>
            </w:pPr>
          </w:p>
        </w:tc>
        <w:tc>
          <w:tcPr>
            <w:tcW w:w="1447" w:type="dxa"/>
            <w:tcBorders>
              <w:top w:val="single" w:color="auto" w:sz="4" w:space="0"/>
            </w:tcBorders>
            <w:shd w:val="clear" w:color="auto" w:fill="auto"/>
          </w:tcPr>
          <w:p w14:paraId="552852C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Nepoznato</w:t>
            </w:r>
          </w:p>
        </w:tc>
        <w:tc>
          <w:tcPr>
            <w:tcW w:w="2522" w:type="dxa"/>
            <w:tcBorders>
              <w:top w:val="single" w:color="auto" w:sz="4" w:space="0"/>
            </w:tcBorders>
            <w:shd w:val="clear" w:color="auto" w:fill="auto"/>
          </w:tcPr>
          <w:p w14:paraId="06FC911C">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Sinkopa</w:t>
            </w:r>
          </w:p>
        </w:tc>
        <w:tc>
          <w:tcPr>
            <w:tcW w:w="2581" w:type="dxa"/>
            <w:tcBorders>
              <w:top w:val="single" w:color="auto" w:sz="4" w:space="0"/>
            </w:tcBorders>
            <w:shd w:val="clear" w:color="auto" w:fill="auto"/>
          </w:tcPr>
          <w:p w14:paraId="2257997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Ekstarpiramidalni poremećaj</w:t>
            </w:r>
          </w:p>
        </w:tc>
      </w:tr>
      <w:tr w14:paraId="48F5C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4EBCE342">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Poremećaji oka</w:t>
            </w:r>
          </w:p>
        </w:tc>
        <w:tc>
          <w:tcPr>
            <w:tcW w:w="1447" w:type="dxa"/>
            <w:shd w:val="clear" w:color="auto" w:fill="auto"/>
          </w:tcPr>
          <w:p w14:paraId="3F674B4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shd w:val="clear" w:color="auto" w:fill="auto"/>
          </w:tcPr>
          <w:p w14:paraId="78C060CC">
            <w:pPr>
              <w:widowControl w:val="0"/>
              <w:rPr>
                <w:rFonts w:ascii="Microsoft Sans Serif" w:hAnsi="Microsoft Sans Serif" w:cs="Microsoft Sans Serif"/>
                <w:sz w:val="20"/>
                <w:szCs w:val="20"/>
                <w:lang w:val="en-GB"/>
              </w:rPr>
            </w:pPr>
          </w:p>
        </w:tc>
        <w:tc>
          <w:tcPr>
            <w:tcW w:w="2581" w:type="dxa"/>
            <w:shd w:val="clear" w:color="auto" w:fill="auto"/>
          </w:tcPr>
          <w:p w14:paraId="074E692D">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Smetnje u vidu</w:t>
            </w:r>
          </w:p>
          <w:p w14:paraId="66258896">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(uklјučujući diplopiju)</w:t>
            </w:r>
          </w:p>
        </w:tc>
      </w:tr>
      <w:tr w14:paraId="56457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17DC2852">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Poremećaji uha i labirinta</w:t>
            </w:r>
          </w:p>
        </w:tc>
        <w:tc>
          <w:tcPr>
            <w:tcW w:w="1447" w:type="dxa"/>
            <w:tcBorders>
              <w:bottom w:val="single" w:color="000000" w:sz="4" w:space="0"/>
            </w:tcBorders>
            <w:shd w:val="clear" w:color="auto" w:fill="auto"/>
          </w:tcPr>
          <w:p w14:paraId="74037F31">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bottom w:val="single" w:color="000000" w:sz="4" w:space="0"/>
            </w:tcBorders>
            <w:shd w:val="clear" w:color="auto" w:fill="auto"/>
          </w:tcPr>
          <w:p w14:paraId="45337DDA">
            <w:pPr>
              <w:widowControl w:val="0"/>
              <w:rPr>
                <w:rFonts w:ascii="Microsoft Sans Serif" w:hAnsi="Microsoft Sans Serif" w:cs="Microsoft Sans Serif"/>
                <w:sz w:val="20"/>
                <w:szCs w:val="20"/>
                <w:lang w:val="en-GB"/>
              </w:rPr>
            </w:pPr>
          </w:p>
        </w:tc>
        <w:tc>
          <w:tcPr>
            <w:tcW w:w="2581" w:type="dxa"/>
            <w:tcBorders>
              <w:bottom w:val="single" w:color="000000" w:sz="4" w:space="0"/>
            </w:tcBorders>
            <w:shd w:val="clear" w:color="auto" w:fill="auto"/>
          </w:tcPr>
          <w:p w14:paraId="636FE232">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Tinitus</w:t>
            </w:r>
          </w:p>
        </w:tc>
      </w:tr>
      <w:tr w14:paraId="3306F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41B4BC37">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Kardiološki poremećaji</w:t>
            </w:r>
          </w:p>
        </w:tc>
        <w:tc>
          <w:tcPr>
            <w:tcW w:w="1447" w:type="dxa"/>
            <w:tcBorders>
              <w:bottom w:val="single" w:color="auto" w:sz="4" w:space="0"/>
            </w:tcBorders>
            <w:shd w:val="clear" w:color="auto" w:fill="auto"/>
          </w:tcPr>
          <w:p w14:paraId="4DA569BD">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bottom w:val="single" w:color="auto" w:sz="4" w:space="0"/>
            </w:tcBorders>
            <w:shd w:val="clear" w:color="auto" w:fill="auto"/>
          </w:tcPr>
          <w:p w14:paraId="5DD656BE">
            <w:pPr>
              <w:widowControl w:val="0"/>
              <w:rPr>
                <w:rFonts w:ascii="Microsoft Sans Serif" w:hAnsi="Microsoft Sans Serif" w:cs="Microsoft Sans Serif"/>
                <w:sz w:val="20"/>
                <w:szCs w:val="20"/>
                <w:lang w:val="en-GB"/>
              </w:rPr>
            </w:pPr>
          </w:p>
        </w:tc>
        <w:tc>
          <w:tcPr>
            <w:tcW w:w="2581" w:type="dxa"/>
            <w:tcBorders>
              <w:bottom w:val="single" w:color="auto" w:sz="4" w:space="0"/>
            </w:tcBorders>
            <w:shd w:val="clear" w:color="auto" w:fill="auto"/>
          </w:tcPr>
          <w:p w14:paraId="02CAA42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Palpitacije</w:t>
            </w:r>
          </w:p>
        </w:tc>
      </w:tr>
      <w:tr w14:paraId="7FF4D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2E66C14C">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3712530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top w:val="single" w:color="auto" w:sz="4" w:space="0"/>
              <w:bottom w:val="single" w:color="auto" w:sz="4" w:space="0"/>
            </w:tcBorders>
            <w:shd w:val="clear" w:color="auto" w:fill="auto"/>
          </w:tcPr>
          <w:p w14:paraId="55082C40">
            <w:pPr>
              <w:widowControl w:val="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Infarkt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miokarda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sekundarno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posljedica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izrazite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hipotenzije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visokim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rizikom</w:t>
            </w:r>
          </w:p>
          <w:p w14:paraId="359684FE">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(pogledati dio 4.4), Tahikardija,</w:t>
            </w:r>
          </w:p>
          <w:p w14:paraId="6A78D3C5">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Palpitacije</w:t>
            </w:r>
          </w:p>
        </w:tc>
        <w:tc>
          <w:tcPr>
            <w:tcW w:w="2581" w:type="dxa"/>
            <w:tcBorders>
              <w:top w:val="single" w:color="auto" w:sz="4" w:space="0"/>
              <w:bottom w:val="single" w:color="auto" w:sz="4" w:space="0"/>
            </w:tcBorders>
            <w:shd w:val="clear" w:color="auto" w:fill="auto"/>
          </w:tcPr>
          <w:p w14:paraId="3861220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Aritmije (uklјučujući</w:t>
            </w:r>
          </w:p>
          <w:p w14:paraId="016445BC">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bradikardiju, ventrikularnu</w:t>
            </w:r>
          </w:p>
          <w:p w14:paraId="7ED3FE2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tahikardiju, atrijalnu</w:t>
            </w:r>
          </w:p>
          <w:p w14:paraId="25CB3675">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fibrilaciju)</w:t>
            </w:r>
          </w:p>
        </w:tc>
      </w:tr>
      <w:tr w14:paraId="085F7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6FB73FB7">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64143E9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bottom w:val="single" w:color="000000" w:sz="4" w:space="0"/>
            </w:tcBorders>
            <w:shd w:val="clear" w:color="auto" w:fill="auto"/>
          </w:tcPr>
          <w:p w14:paraId="77B25BCE">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000000" w:sz="4" w:space="0"/>
            </w:tcBorders>
            <w:shd w:val="clear" w:color="auto" w:fill="auto"/>
          </w:tcPr>
          <w:p w14:paraId="1078E11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Infarkt miokarda</w:t>
            </w:r>
          </w:p>
        </w:tc>
      </w:tr>
      <w:tr w14:paraId="10031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526B0562">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Vaskularni poremećaji</w:t>
            </w:r>
          </w:p>
        </w:tc>
        <w:tc>
          <w:tcPr>
            <w:tcW w:w="1447" w:type="dxa"/>
            <w:tcBorders>
              <w:bottom w:val="single" w:color="auto" w:sz="4" w:space="0"/>
            </w:tcBorders>
            <w:shd w:val="clear" w:color="auto" w:fill="auto"/>
          </w:tcPr>
          <w:p w14:paraId="6EBA527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bottom w:val="single" w:color="auto" w:sz="4" w:space="0"/>
            </w:tcBorders>
            <w:shd w:val="clear" w:color="auto" w:fill="auto"/>
          </w:tcPr>
          <w:p w14:paraId="7CFBC06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Ortostatska hipotenzija (uklјučujući hipotenziju)</w:t>
            </w:r>
          </w:p>
        </w:tc>
        <w:tc>
          <w:tcPr>
            <w:tcW w:w="2581" w:type="dxa"/>
            <w:tcBorders>
              <w:bottom w:val="single" w:color="auto" w:sz="4" w:space="0"/>
            </w:tcBorders>
            <w:shd w:val="clear" w:color="auto" w:fill="auto"/>
          </w:tcPr>
          <w:p w14:paraId="6112242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Crvenilo lica</w:t>
            </w:r>
          </w:p>
        </w:tc>
      </w:tr>
      <w:tr w14:paraId="677F8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60E54EB5">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5809616D">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top w:val="single" w:color="auto" w:sz="4" w:space="0"/>
              <w:bottom w:val="single" w:color="auto" w:sz="4" w:space="0"/>
            </w:tcBorders>
            <w:shd w:val="clear" w:color="auto" w:fill="auto"/>
          </w:tcPr>
          <w:p w14:paraId="7AEB6D1C">
            <w:pPr>
              <w:widowControl w:val="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Cerebrovaskularni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doga</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sekundarno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posledica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izrazite</w:t>
            </w:r>
          </w:p>
          <w:p w14:paraId="34C5B532">
            <w:pPr>
              <w:widowControl w:val="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hipotenzije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visokim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4.4), </w:t>
            </w:r>
            <w:r>
              <w:rPr>
                <w:rFonts w:ascii="Microsoft Sans Serif" w:hAnsi="Microsoft Sans Serif" w:cs="Microsoft Sans Serif"/>
                <w:sz w:val="20"/>
                <w:szCs w:val="20"/>
                <w:lang w:val="en-GB"/>
              </w:rPr>
              <w:t>Raynaud</w:t>
            </w:r>
            <w:r>
              <w:rPr>
                <w:rFonts w:ascii="Microsoft Sans Serif" w:hAnsi="Microsoft Sans Serif" w:cs="Microsoft Sans Serif"/>
                <w:sz w:val="20"/>
                <w:szCs w:val="20"/>
                <w:lang w:val="sr-Cyrl-RS"/>
              </w:rPr>
              <w:t xml:space="preserve"> -ov </w:t>
            </w:r>
            <w:r>
              <w:rPr>
                <w:rFonts w:ascii="Microsoft Sans Serif" w:hAnsi="Microsoft Sans Serif" w:cs="Microsoft Sans Serif"/>
                <w:sz w:val="20"/>
                <w:szCs w:val="20"/>
                <w:lang w:val="en-GB"/>
              </w:rPr>
              <w:t>fenomen</w:t>
            </w:r>
          </w:p>
        </w:tc>
        <w:tc>
          <w:tcPr>
            <w:tcW w:w="2581" w:type="dxa"/>
            <w:tcBorders>
              <w:top w:val="single" w:color="auto" w:sz="4" w:space="0"/>
              <w:bottom w:val="single" w:color="auto" w:sz="4" w:space="0"/>
            </w:tcBorders>
            <w:shd w:val="clear" w:color="auto" w:fill="auto"/>
          </w:tcPr>
          <w:p w14:paraId="1FC519E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Hipotenzija</w:t>
            </w:r>
          </w:p>
        </w:tc>
      </w:tr>
      <w:tr w14:paraId="78E14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2316E259">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3FF6430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bottom w:val="single" w:color="000000" w:sz="4" w:space="0"/>
            </w:tcBorders>
            <w:shd w:val="clear" w:color="auto" w:fill="auto"/>
          </w:tcPr>
          <w:p w14:paraId="657737F1">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000000" w:sz="4" w:space="0"/>
            </w:tcBorders>
            <w:shd w:val="clear" w:color="auto" w:fill="auto"/>
          </w:tcPr>
          <w:p w14:paraId="29A9F9C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Vaskulitis</w:t>
            </w:r>
          </w:p>
        </w:tc>
      </w:tr>
      <w:tr w14:paraId="1455C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760EA490">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Respiratorni,</w:t>
            </w:r>
          </w:p>
          <w:p w14:paraId="2ACC1BA1">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torakalni i</w:t>
            </w:r>
          </w:p>
          <w:p w14:paraId="734CB7F1">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medijastinalni</w:t>
            </w:r>
          </w:p>
          <w:p w14:paraId="61398B30">
            <w:pPr>
              <w:widowControl w:val="0"/>
              <w:rPr>
                <w:rFonts w:ascii="Microsoft Sans Serif" w:hAnsi="Microsoft Sans Serif" w:cs="Microsoft Sans Serif"/>
                <w:b/>
                <w:sz w:val="20"/>
                <w:szCs w:val="20"/>
                <w:lang w:val="sv-SE"/>
              </w:rPr>
            </w:pPr>
            <w:r>
              <w:rPr>
                <w:rFonts w:ascii="Microsoft Sans Serif" w:hAnsi="Microsoft Sans Serif" w:cs="Microsoft Sans Serif"/>
                <w:b/>
                <w:bCs/>
                <w:sz w:val="20"/>
                <w:szCs w:val="20"/>
                <w:lang w:val="sv-SE"/>
              </w:rPr>
              <w:t>poremećaji</w:t>
            </w:r>
          </w:p>
        </w:tc>
        <w:tc>
          <w:tcPr>
            <w:tcW w:w="1447" w:type="dxa"/>
            <w:tcBorders>
              <w:bottom w:val="single" w:color="auto" w:sz="4" w:space="0"/>
            </w:tcBorders>
            <w:shd w:val="clear" w:color="auto" w:fill="auto"/>
          </w:tcPr>
          <w:p w14:paraId="779DAD5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bottom w:val="single" w:color="auto" w:sz="4" w:space="0"/>
            </w:tcBorders>
            <w:shd w:val="clear" w:color="auto" w:fill="auto"/>
          </w:tcPr>
          <w:p w14:paraId="770FDAF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Kašalј</w:t>
            </w:r>
          </w:p>
        </w:tc>
        <w:tc>
          <w:tcPr>
            <w:tcW w:w="2581" w:type="dxa"/>
            <w:tcBorders>
              <w:bottom w:val="single" w:color="auto" w:sz="4" w:space="0"/>
            </w:tcBorders>
            <w:shd w:val="clear" w:color="auto" w:fill="auto"/>
          </w:tcPr>
          <w:p w14:paraId="364F1E9A">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Dispneja</w:t>
            </w:r>
          </w:p>
        </w:tc>
      </w:tr>
      <w:tr w14:paraId="08DD7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98E3001">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1ED4773F">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2522" w:type="dxa"/>
            <w:tcBorders>
              <w:top w:val="single" w:color="auto" w:sz="4" w:space="0"/>
              <w:bottom w:val="single" w:color="auto" w:sz="4" w:space="0"/>
            </w:tcBorders>
            <w:shd w:val="clear" w:color="auto" w:fill="auto"/>
          </w:tcPr>
          <w:p w14:paraId="57EF806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Rinitis</w:t>
            </w:r>
          </w:p>
        </w:tc>
        <w:tc>
          <w:tcPr>
            <w:tcW w:w="2581" w:type="dxa"/>
            <w:tcBorders>
              <w:top w:val="single" w:color="auto" w:sz="4" w:space="0"/>
              <w:bottom w:val="single" w:color="auto" w:sz="4" w:space="0"/>
            </w:tcBorders>
            <w:shd w:val="clear" w:color="auto" w:fill="auto"/>
          </w:tcPr>
          <w:p w14:paraId="1A1DEB6D">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Kašalј, Rinitis</w:t>
            </w:r>
          </w:p>
        </w:tc>
      </w:tr>
      <w:tr w14:paraId="5B536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477E9D6">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7752965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bottom w:val="single" w:color="000000" w:sz="4" w:space="0"/>
            </w:tcBorders>
            <w:shd w:val="clear" w:color="auto" w:fill="auto"/>
          </w:tcPr>
          <w:p w14:paraId="365ECBD8">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Bronhospazam, Alergijski</w:t>
            </w:r>
          </w:p>
          <w:p w14:paraId="6DBEEC84">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alveolitis/Eozinofilna</w:t>
            </w:r>
          </w:p>
          <w:p w14:paraId="508475FE">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pneumonija, Sinuzitis</w:t>
            </w:r>
          </w:p>
        </w:tc>
        <w:tc>
          <w:tcPr>
            <w:tcW w:w="2581" w:type="dxa"/>
            <w:tcBorders>
              <w:top w:val="single" w:color="auto" w:sz="4" w:space="0"/>
              <w:bottom w:val="single" w:color="000000" w:sz="4" w:space="0"/>
            </w:tcBorders>
            <w:shd w:val="clear" w:color="auto" w:fill="auto"/>
          </w:tcPr>
          <w:p w14:paraId="04AF7CCD">
            <w:pPr>
              <w:widowControl w:val="0"/>
              <w:rPr>
                <w:rFonts w:ascii="Microsoft Sans Serif" w:hAnsi="Microsoft Sans Serif" w:cs="Microsoft Sans Serif"/>
                <w:sz w:val="20"/>
                <w:szCs w:val="20"/>
                <w:lang w:val="en-GB"/>
              </w:rPr>
            </w:pPr>
          </w:p>
        </w:tc>
      </w:tr>
      <w:tr w14:paraId="461D1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2A30ADD7">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Gastrointestinalni poremećaji</w:t>
            </w:r>
          </w:p>
        </w:tc>
        <w:tc>
          <w:tcPr>
            <w:tcW w:w="1447" w:type="dxa"/>
            <w:tcBorders>
              <w:bottom w:val="single" w:color="auto" w:sz="4" w:space="0"/>
            </w:tcBorders>
            <w:shd w:val="clear" w:color="auto" w:fill="auto"/>
          </w:tcPr>
          <w:p w14:paraId="2889EB05">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2522" w:type="dxa"/>
            <w:tcBorders>
              <w:bottom w:val="single" w:color="auto" w:sz="4" w:space="0"/>
            </w:tcBorders>
            <w:shd w:val="clear" w:color="auto" w:fill="auto"/>
          </w:tcPr>
          <w:p w14:paraId="4E09F775">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Dijareja, Povraćanje</w:t>
            </w:r>
          </w:p>
        </w:tc>
        <w:tc>
          <w:tcPr>
            <w:tcW w:w="2581" w:type="dxa"/>
            <w:tcBorders>
              <w:bottom w:val="single" w:color="auto" w:sz="4" w:space="0"/>
            </w:tcBorders>
            <w:shd w:val="clear" w:color="auto" w:fill="auto"/>
          </w:tcPr>
          <w:p w14:paraId="6F6718C5">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Bol u abdomenu,</w:t>
            </w:r>
          </w:p>
          <w:p w14:paraId="612E3287">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Mučnina, Dispepsija,</w:t>
            </w:r>
          </w:p>
          <w:p w14:paraId="445553B6">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Promjena u pražnjenju</w:t>
            </w:r>
          </w:p>
          <w:p w14:paraId="187951D3">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crijeva (dijareja i</w:t>
            </w:r>
          </w:p>
          <w:p w14:paraId="0144C3ED">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konstipacija) </w:t>
            </w:r>
          </w:p>
        </w:tc>
      </w:tr>
      <w:tr w14:paraId="3F1AF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662373C9">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791DD7A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top w:val="single" w:color="auto" w:sz="4" w:space="0"/>
              <w:bottom w:val="single" w:color="auto" w:sz="4" w:space="0"/>
            </w:tcBorders>
            <w:shd w:val="clear" w:color="auto" w:fill="auto"/>
          </w:tcPr>
          <w:p w14:paraId="08E84379">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Bol u abdomenu, Mučnina,</w:t>
            </w:r>
          </w:p>
          <w:p w14:paraId="517125D7">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 varenja</w:t>
            </w:r>
          </w:p>
        </w:tc>
        <w:tc>
          <w:tcPr>
            <w:tcW w:w="2581" w:type="dxa"/>
            <w:tcBorders>
              <w:top w:val="single" w:color="auto" w:sz="4" w:space="0"/>
              <w:bottom w:val="single" w:color="auto" w:sz="4" w:space="0"/>
            </w:tcBorders>
            <w:shd w:val="clear" w:color="auto" w:fill="auto"/>
          </w:tcPr>
          <w:p w14:paraId="7CC57B60">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Povraćanje, Suva usta</w:t>
            </w:r>
          </w:p>
        </w:tc>
      </w:tr>
      <w:tr w14:paraId="2CAC7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095B4001">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0CB315B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bottom w:val="single" w:color="auto" w:sz="4" w:space="0"/>
            </w:tcBorders>
            <w:shd w:val="clear" w:color="auto" w:fill="auto"/>
          </w:tcPr>
          <w:p w14:paraId="4D5505E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Suva usta</w:t>
            </w:r>
          </w:p>
        </w:tc>
        <w:tc>
          <w:tcPr>
            <w:tcW w:w="2581" w:type="dxa"/>
            <w:tcBorders>
              <w:top w:val="single" w:color="auto" w:sz="4" w:space="0"/>
              <w:bottom w:val="single" w:color="auto" w:sz="4" w:space="0"/>
            </w:tcBorders>
            <w:shd w:val="clear" w:color="auto" w:fill="auto"/>
          </w:tcPr>
          <w:p w14:paraId="51CFD1B2">
            <w:pPr>
              <w:widowControl w:val="0"/>
              <w:rPr>
                <w:rFonts w:ascii="Microsoft Sans Serif" w:hAnsi="Microsoft Sans Serif" w:cs="Microsoft Sans Serif"/>
                <w:sz w:val="20"/>
                <w:szCs w:val="20"/>
                <w:lang w:val="en-GB"/>
              </w:rPr>
            </w:pPr>
          </w:p>
        </w:tc>
      </w:tr>
      <w:tr w14:paraId="36E0B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6FC3A2EE">
            <w:pPr>
              <w:widowControl w:val="0"/>
              <w:rPr>
                <w:rFonts w:ascii="Microsoft Sans Serif" w:hAnsi="Microsoft Sans Serif" w:cs="Microsoft Sans Serif"/>
                <w:b/>
                <w:sz w:val="20"/>
                <w:szCs w:val="20"/>
                <w:lang w:val="en-GB"/>
              </w:rPr>
            </w:pPr>
          </w:p>
        </w:tc>
        <w:tc>
          <w:tcPr>
            <w:tcW w:w="1447" w:type="dxa"/>
            <w:tcBorders>
              <w:top w:val="single" w:color="auto" w:sz="4" w:space="0"/>
            </w:tcBorders>
            <w:shd w:val="clear" w:color="auto" w:fill="auto"/>
          </w:tcPr>
          <w:p w14:paraId="3F4E6532">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tcBorders>
            <w:shd w:val="clear" w:color="auto" w:fill="auto"/>
          </w:tcPr>
          <w:p w14:paraId="3D8CF5D2">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 xml:space="preserve">Pankreatitis, </w:t>
            </w:r>
            <w:r>
              <w:rPr>
                <w:rFonts w:ascii="Microsoft Sans Serif" w:hAnsi="Microsoft Sans Serif" w:cs="Microsoft Sans Serif"/>
                <w:sz w:val="20"/>
                <w:szCs w:val="20"/>
                <w:lang w:val="en-GB"/>
              </w:rPr>
              <w:t>Intestinalni</w:t>
            </w:r>
          </w:p>
          <w:p w14:paraId="63BF5E24">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angioedem</w:t>
            </w:r>
          </w:p>
        </w:tc>
        <w:tc>
          <w:tcPr>
            <w:tcW w:w="2581" w:type="dxa"/>
            <w:tcBorders>
              <w:top w:val="single" w:color="auto" w:sz="4" w:space="0"/>
            </w:tcBorders>
            <w:shd w:val="clear" w:color="auto" w:fill="auto"/>
          </w:tcPr>
          <w:p w14:paraId="3F8B77A6">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Pankreatitis, Gastritis,</w:t>
            </w:r>
          </w:p>
          <w:p w14:paraId="6479FCB6">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Gingivalna hiperplazija</w:t>
            </w:r>
          </w:p>
        </w:tc>
      </w:tr>
      <w:tr w14:paraId="4B6B5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64F51EE1">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Hepatobilijarni poremećaji</w:t>
            </w:r>
          </w:p>
        </w:tc>
        <w:tc>
          <w:tcPr>
            <w:tcW w:w="1447" w:type="dxa"/>
            <w:tcBorders>
              <w:bottom w:val="single" w:color="000000" w:sz="4" w:space="0"/>
            </w:tcBorders>
            <w:shd w:val="clear" w:color="auto" w:fill="auto"/>
          </w:tcPr>
          <w:p w14:paraId="2AAE91C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bottom w:val="single" w:color="000000" w:sz="4" w:space="0"/>
            </w:tcBorders>
            <w:shd w:val="clear" w:color="auto" w:fill="auto"/>
          </w:tcPr>
          <w:p w14:paraId="061C4D2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Hepatitis – hepatocelularni ili</w:t>
            </w:r>
          </w:p>
          <w:p w14:paraId="06C979D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holestatski, Žutica i</w:t>
            </w:r>
          </w:p>
          <w:p w14:paraId="7A52D875">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insuficijencija jetre (pogledati dio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4.4)</w:t>
            </w:r>
          </w:p>
        </w:tc>
        <w:tc>
          <w:tcPr>
            <w:tcW w:w="2581" w:type="dxa"/>
            <w:tcBorders>
              <w:bottom w:val="single" w:color="000000" w:sz="4" w:space="0"/>
            </w:tcBorders>
            <w:shd w:val="clear" w:color="auto" w:fill="auto"/>
          </w:tcPr>
          <w:p w14:paraId="5746EDAC">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Hepatitis</w:t>
            </w:r>
            <w:r>
              <w:rPr>
                <w:rFonts w:ascii="Microsoft Sans Serif" w:hAnsi="Microsoft Sans Serif" w:cs="Microsoft Sans Serif"/>
                <w:sz w:val="20"/>
                <w:szCs w:val="20"/>
                <w:lang w:val="en-GB"/>
              </w:rPr>
              <w:t>,</w:t>
            </w:r>
          </w:p>
          <w:p w14:paraId="5718D25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Žutica,</w:t>
            </w:r>
          </w:p>
          <w:p w14:paraId="6E4A8BA0">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Povećanje vrednosti</w:t>
            </w:r>
          </w:p>
          <w:p w14:paraId="3CDB7D86">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enzima jetre **</w:t>
            </w:r>
          </w:p>
        </w:tc>
      </w:tr>
      <w:tr w14:paraId="578C9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6FCFDD92">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Poremećaji kože i</w:t>
            </w:r>
          </w:p>
          <w:p w14:paraId="14742F7D">
            <w:pPr>
              <w:widowControl w:val="0"/>
              <w:rPr>
                <w:rFonts w:ascii="Microsoft Sans Serif" w:hAnsi="Microsoft Sans Serif" w:cs="Microsoft Sans Serif"/>
                <w:b/>
                <w:sz w:val="20"/>
                <w:szCs w:val="20"/>
                <w:lang w:val="sv-SE"/>
              </w:rPr>
            </w:pPr>
            <w:r>
              <w:rPr>
                <w:rFonts w:ascii="Microsoft Sans Serif" w:hAnsi="Microsoft Sans Serif" w:cs="Microsoft Sans Serif"/>
                <w:b/>
                <w:bCs/>
                <w:sz w:val="20"/>
                <w:szCs w:val="20"/>
                <w:lang w:val="sv-SE"/>
              </w:rPr>
              <w:t>potkožnog tkiva</w:t>
            </w:r>
          </w:p>
        </w:tc>
        <w:tc>
          <w:tcPr>
            <w:tcW w:w="1447" w:type="dxa"/>
            <w:tcBorders>
              <w:bottom w:val="single" w:color="auto" w:sz="4" w:space="0"/>
            </w:tcBorders>
            <w:shd w:val="clear" w:color="auto" w:fill="auto"/>
          </w:tcPr>
          <w:p w14:paraId="484E953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bottom w:val="single" w:color="auto" w:sz="4" w:space="0"/>
            </w:tcBorders>
            <w:shd w:val="clear" w:color="auto" w:fill="auto"/>
          </w:tcPr>
          <w:p w14:paraId="09BF51C6">
            <w:pPr>
              <w:widowControl w:val="0"/>
              <w:rPr>
                <w:rFonts w:ascii="Microsoft Sans Serif" w:hAnsi="Microsoft Sans Serif" w:cs="Microsoft Sans Serif"/>
                <w:sz w:val="20"/>
                <w:szCs w:val="20"/>
                <w:vertAlign w:val="superscript"/>
                <w:lang w:val="sr-Cyrl-RS"/>
              </w:rPr>
            </w:pPr>
            <w:r>
              <w:rPr>
                <w:rFonts w:ascii="Microsoft Sans Serif" w:hAnsi="Microsoft Sans Serif" w:cs="Microsoft Sans Serif"/>
                <w:sz w:val="20"/>
                <w:szCs w:val="20"/>
                <w:lang w:val="sr-Cyrl-RS"/>
              </w:rPr>
              <w:t>Osip, Pruritus</w:t>
            </w:r>
          </w:p>
        </w:tc>
        <w:tc>
          <w:tcPr>
            <w:tcW w:w="2581" w:type="dxa"/>
            <w:tcBorders>
              <w:bottom w:val="single" w:color="auto" w:sz="4" w:space="0"/>
            </w:tcBorders>
            <w:shd w:val="clear" w:color="auto" w:fill="auto"/>
          </w:tcPr>
          <w:p w14:paraId="0BB0D6E6">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Alopecija, Osip,</w:t>
            </w:r>
          </w:p>
          <w:p w14:paraId="1A30F15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Egzantem, Purpura,</w:t>
            </w:r>
          </w:p>
          <w:p w14:paraId="62A7BB39">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Promena boje kože,</w:t>
            </w:r>
          </w:p>
          <w:p w14:paraId="57C65604">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Hiperhidroza, Pruritus,</w:t>
            </w:r>
          </w:p>
          <w:p w14:paraId="6EDECF43">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Urtikarija </w:t>
            </w:r>
          </w:p>
          <w:p w14:paraId="74C2282F">
            <w:pPr>
              <w:widowControl w:val="0"/>
              <w:rPr>
                <w:rFonts w:ascii="Microsoft Sans Serif" w:hAnsi="Microsoft Sans Serif" w:cs="Microsoft Sans Serif"/>
                <w:sz w:val="20"/>
                <w:szCs w:val="20"/>
                <w:lang w:val="en-GB"/>
              </w:rPr>
            </w:pPr>
          </w:p>
        </w:tc>
      </w:tr>
      <w:tr w14:paraId="62841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471D5AFD">
            <w:pPr>
              <w:widowControl w:val="0"/>
              <w:rPr>
                <w:rFonts w:ascii="Microsoft Sans Serif" w:hAnsi="Microsoft Sans Serif" w:cs="Microsoft Sans Serif"/>
                <w:b/>
                <w:sz w:val="20"/>
                <w:szCs w:val="20"/>
                <w:lang w:val="en-GB"/>
              </w:rPr>
            </w:pPr>
          </w:p>
        </w:tc>
        <w:tc>
          <w:tcPr>
            <w:tcW w:w="1447" w:type="dxa"/>
            <w:tcBorders>
              <w:top w:val="single" w:color="auto" w:sz="4" w:space="0"/>
              <w:bottom w:val="nil"/>
            </w:tcBorders>
            <w:shd w:val="clear" w:color="auto" w:fill="auto"/>
          </w:tcPr>
          <w:p w14:paraId="4C38712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tcBorders>
              <w:top w:val="single" w:color="auto" w:sz="4" w:space="0"/>
              <w:bottom w:val="nil"/>
            </w:tcBorders>
            <w:shd w:val="clear" w:color="auto" w:fill="auto"/>
          </w:tcPr>
          <w:p w14:paraId="2C5AC050">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Psorijaza, Urtikarija, Alopecija,</w:t>
            </w:r>
          </w:p>
          <w:p w14:paraId="3090854B">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Preosetlјivost/angioneurotski edem:</w:t>
            </w:r>
          </w:p>
          <w:p w14:paraId="33566BFC">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angio</w:t>
            </w:r>
            <w:r>
              <w:rPr>
                <w:rFonts w:ascii="Microsoft Sans Serif" w:hAnsi="Microsoft Sans Serif" w:cs="Microsoft Sans Serif"/>
                <w:sz w:val="20"/>
                <w:szCs w:val="20"/>
                <w:lang w:val="sr-Cyrl-RS"/>
              </w:rPr>
              <w:t xml:space="preserve">neurotski </w:t>
            </w:r>
            <w:r>
              <w:rPr>
                <w:rFonts w:ascii="Microsoft Sans Serif" w:hAnsi="Microsoft Sans Serif" w:cs="Microsoft Sans Serif"/>
                <w:sz w:val="20"/>
                <w:szCs w:val="20"/>
                <w:lang w:val="sv-SE"/>
              </w:rPr>
              <w:t>edem lica, ekstremiteta,</w:t>
            </w:r>
          </w:p>
          <w:p w14:paraId="15795EF1">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usana, jezika, glotisa i/ili larinksa</w:t>
            </w:r>
          </w:p>
          <w:p w14:paraId="6C3C0676">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(pogledati dio 4.4) </w:t>
            </w:r>
          </w:p>
          <w:p w14:paraId="55D0BE93">
            <w:pPr>
              <w:widowControl w:val="0"/>
              <w:rPr>
                <w:rFonts w:ascii="Microsoft Sans Serif" w:hAnsi="Microsoft Sans Serif" w:cs="Microsoft Sans Serif"/>
                <w:sz w:val="20"/>
                <w:szCs w:val="20"/>
                <w:lang w:val="en-GB"/>
              </w:rPr>
            </w:pPr>
          </w:p>
        </w:tc>
        <w:tc>
          <w:tcPr>
            <w:tcW w:w="2581" w:type="dxa"/>
            <w:tcBorders>
              <w:top w:val="single" w:color="auto" w:sz="4" w:space="0"/>
              <w:bottom w:val="nil"/>
            </w:tcBorders>
            <w:shd w:val="clear" w:color="auto" w:fill="auto"/>
          </w:tcPr>
          <w:p w14:paraId="442BE1D9">
            <w:pPr>
              <w:widowControl w:val="0"/>
              <w:rPr>
                <w:rFonts w:ascii="Microsoft Sans Serif" w:hAnsi="Microsoft Sans Serif" w:cs="Microsoft Sans Serif"/>
                <w:sz w:val="20"/>
                <w:szCs w:val="20"/>
                <w:lang w:val="en-GB"/>
              </w:rPr>
            </w:pPr>
          </w:p>
        </w:tc>
      </w:tr>
      <w:tr w14:paraId="35E31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tcBorders>
              <w:bottom w:val="nil"/>
            </w:tcBorders>
            <w:shd w:val="clear" w:color="auto" w:fill="auto"/>
          </w:tcPr>
          <w:p w14:paraId="7F7A1A6C">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0A54A137">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bottom w:val="single" w:color="000000" w:sz="4" w:space="0"/>
            </w:tcBorders>
            <w:shd w:val="clear" w:color="auto" w:fill="auto"/>
          </w:tcPr>
          <w:p w14:paraId="6BB977BF">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Toksična epidermalna nekroliza,</w:t>
            </w:r>
          </w:p>
          <w:p w14:paraId="4533C024">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Stevens-Johnson -ov sindrom,</w:t>
            </w:r>
          </w:p>
          <w:p w14:paraId="6D5EF254">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Erytema multiforme, Pemfigus,</w:t>
            </w:r>
          </w:p>
          <w:p w14:paraId="6E8364C4">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Hiperhidroza,</w:t>
            </w:r>
            <w:r>
              <w:rPr>
                <w:rFonts w:ascii="Microsoft Sans Serif" w:hAnsi="Microsoft Sans Serif" w:cs="Microsoft Sans Serif"/>
                <w:sz w:val="20"/>
                <w:szCs w:val="20"/>
                <w:lang w:val="sv-SE"/>
              </w:rPr>
              <w:t xml:space="preserve"> Kutani pseudolimfom* </w:t>
            </w:r>
          </w:p>
          <w:p w14:paraId="41BDB4E7">
            <w:pPr>
              <w:widowControl w:val="0"/>
              <w:rPr>
                <w:rFonts w:ascii="Microsoft Sans Serif" w:hAnsi="Microsoft Sans Serif" w:cs="Microsoft Sans Serif"/>
                <w:sz w:val="20"/>
                <w:szCs w:val="20"/>
                <w:lang w:val="sv-SE"/>
              </w:rPr>
            </w:pPr>
          </w:p>
        </w:tc>
        <w:tc>
          <w:tcPr>
            <w:tcW w:w="2581" w:type="dxa"/>
            <w:tcBorders>
              <w:top w:val="single" w:color="auto" w:sz="4" w:space="0"/>
              <w:bottom w:val="single" w:color="000000" w:sz="4" w:space="0"/>
            </w:tcBorders>
            <w:shd w:val="clear" w:color="auto" w:fill="auto"/>
          </w:tcPr>
          <w:p w14:paraId="25D1EBF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Erytema multiforme,</w:t>
            </w:r>
          </w:p>
          <w:p w14:paraId="0155573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Angioedem, Eksfolijativni</w:t>
            </w:r>
          </w:p>
          <w:p w14:paraId="41FFAA9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dermatitis, Stevens-Johnson -ov sindrom,</w:t>
            </w:r>
          </w:p>
          <w:p w14:paraId="083FC231">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Quincke -ov edem,</w:t>
            </w:r>
          </w:p>
          <w:p w14:paraId="11098940">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Fotosenzitivnost</w:t>
            </w:r>
          </w:p>
        </w:tc>
      </w:tr>
      <w:tr w14:paraId="5F398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Borders>
              <w:top w:val="nil"/>
              <w:bottom w:val="single" w:color="auto" w:sz="4" w:space="0"/>
            </w:tcBorders>
            <w:shd w:val="clear" w:color="auto" w:fill="auto"/>
          </w:tcPr>
          <w:p w14:paraId="654088D3">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77CDE8B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Nepoznato</w:t>
            </w:r>
          </w:p>
        </w:tc>
        <w:tc>
          <w:tcPr>
            <w:tcW w:w="2522" w:type="dxa"/>
            <w:tcBorders>
              <w:top w:val="single" w:color="auto" w:sz="4" w:space="0"/>
              <w:bottom w:val="single" w:color="000000" w:sz="4" w:space="0"/>
            </w:tcBorders>
            <w:shd w:val="clear" w:color="auto" w:fill="auto"/>
          </w:tcPr>
          <w:p w14:paraId="31664538">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000000" w:sz="4" w:space="0"/>
            </w:tcBorders>
            <w:shd w:val="clear" w:color="auto" w:fill="auto"/>
          </w:tcPr>
          <w:p w14:paraId="3B7A55C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hr-BA"/>
              </w:rPr>
              <w:t>o</w:t>
            </w:r>
            <w:r>
              <w:rPr>
                <w:rFonts w:ascii="Microsoft Sans Serif" w:hAnsi="Microsoft Sans Serif" w:cs="Microsoft Sans Serif"/>
                <w:sz w:val="20"/>
                <w:szCs w:val="20"/>
                <w:lang w:val="sr-Cyrl-RS"/>
              </w:rPr>
              <w:t>ksična epidermalna nekro</w:t>
            </w:r>
            <w:r>
              <w:rPr>
                <w:rFonts w:ascii="Microsoft Sans Serif" w:hAnsi="Microsoft Sans Serif" w:cs="Microsoft Sans Serif"/>
                <w:sz w:val="20"/>
                <w:szCs w:val="20"/>
              </w:rPr>
              <w:t>li</w:t>
            </w:r>
            <w:r>
              <w:rPr>
                <w:rFonts w:ascii="Microsoft Sans Serif" w:hAnsi="Microsoft Sans Serif" w:cs="Microsoft Sans Serif"/>
                <w:sz w:val="20"/>
                <w:szCs w:val="20"/>
                <w:lang w:val="sr-Cyrl-RS"/>
              </w:rPr>
              <w:t>za</w:t>
            </w:r>
          </w:p>
        </w:tc>
      </w:tr>
      <w:tr w14:paraId="654B9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tcBorders>
              <w:top w:val="single" w:color="auto" w:sz="4" w:space="0"/>
            </w:tcBorders>
            <w:shd w:val="clear" w:color="auto" w:fill="auto"/>
          </w:tcPr>
          <w:p w14:paraId="3C97D228">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Poremećaji mišićnokoštanog sistema i</w:t>
            </w:r>
          </w:p>
          <w:p w14:paraId="2766115D">
            <w:pPr>
              <w:widowControl w:val="0"/>
              <w:rPr>
                <w:rFonts w:ascii="Microsoft Sans Serif" w:hAnsi="Microsoft Sans Serif" w:cs="Microsoft Sans Serif"/>
                <w:b/>
                <w:sz w:val="20"/>
                <w:szCs w:val="20"/>
                <w:lang w:val="sv-SE"/>
              </w:rPr>
            </w:pPr>
            <w:r>
              <w:rPr>
                <w:rFonts w:ascii="Microsoft Sans Serif" w:hAnsi="Microsoft Sans Serif" w:cs="Microsoft Sans Serif"/>
                <w:b/>
                <w:bCs/>
                <w:sz w:val="20"/>
                <w:szCs w:val="20"/>
                <w:lang w:val="sv-SE"/>
              </w:rPr>
              <w:t>vezivnog tkiva</w:t>
            </w:r>
          </w:p>
        </w:tc>
        <w:tc>
          <w:tcPr>
            <w:tcW w:w="1447" w:type="dxa"/>
            <w:tcBorders>
              <w:bottom w:val="single" w:color="auto" w:sz="4" w:space="0"/>
            </w:tcBorders>
            <w:shd w:val="clear" w:color="auto" w:fill="auto"/>
          </w:tcPr>
          <w:p w14:paraId="11B4E58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bottom w:val="single" w:color="auto" w:sz="4" w:space="0"/>
            </w:tcBorders>
            <w:shd w:val="clear" w:color="auto" w:fill="auto"/>
          </w:tcPr>
          <w:p w14:paraId="63D6C748">
            <w:pPr>
              <w:widowControl w:val="0"/>
              <w:rPr>
                <w:rFonts w:ascii="Microsoft Sans Serif" w:hAnsi="Microsoft Sans Serif" w:cs="Microsoft Sans Serif"/>
                <w:sz w:val="20"/>
                <w:szCs w:val="20"/>
                <w:lang w:val="en-GB"/>
              </w:rPr>
            </w:pPr>
          </w:p>
        </w:tc>
        <w:tc>
          <w:tcPr>
            <w:tcW w:w="2581" w:type="dxa"/>
            <w:tcBorders>
              <w:bottom w:val="single" w:color="auto" w:sz="4" w:space="0"/>
            </w:tcBorders>
            <w:shd w:val="clear" w:color="auto" w:fill="auto"/>
          </w:tcPr>
          <w:p w14:paraId="41A8016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Oticanje članaka, Grčevi u mišićima</w:t>
            </w:r>
          </w:p>
        </w:tc>
      </w:tr>
      <w:tr w14:paraId="2BD71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210C3732">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6CAE3075">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top w:val="single" w:color="auto" w:sz="4" w:space="0"/>
              <w:bottom w:val="single" w:color="000000" w:sz="4" w:space="0"/>
            </w:tcBorders>
            <w:shd w:val="clear" w:color="auto" w:fill="auto"/>
          </w:tcPr>
          <w:p w14:paraId="7185FAA7">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000000" w:sz="4" w:space="0"/>
            </w:tcBorders>
            <w:shd w:val="clear" w:color="auto" w:fill="auto"/>
          </w:tcPr>
          <w:p w14:paraId="3BEDC624">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Artralgija, Mijalgija, Bol u leđima</w:t>
            </w:r>
          </w:p>
        </w:tc>
      </w:tr>
      <w:tr w14:paraId="01F1F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7550EE2A">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Poremećaji bubrega i</w:t>
            </w:r>
          </w:p>
          <w:p w14:paraId="3CCDC728">
            <w:pPr>
              <w:widowControl w:val="0"/>
              <w:rPr>
                <w:rFonts w:ascii="Microsoft Sans Serif" w:hAnsi="Microsoft Sans Serif" w:cs="Microsoft Sans Serif"/>
                <w:b/>
                <w:sz w:val="20"/>
                <w:szCs w:val="20"/>
                <w:lang w:val="sv-SE"/>
              </w:rPr>
            </w:pPr>
            <w:r>
              <w:rPr>
                <w:rFonts w:ascii="Microsoft Sans Serif" w:hAnsi="Microsoft Sans Serif" w:cs="Microsoft Sans Serif"/>
                <w:b/>
                <w:bCs/>
                <w:sz w:val="20"/>
                <w:szCs w:val="20"/>
                <w:lang w:val="sv-SE"/>
              </w:rPr>
              <w:t>urinarnog sistema</w:t>
            </w:r>
          </w:p>
        </w:tc>
        <w:tc>
          <w:tcPr>
            <w:tcW w:w="1447" w:type="dxa"/>
            <w:tcBorders>
              <w:bottom w:val="single" w:color="auto" w:sz="4" w:space="0"/>
            </w:tcBorders>
            <w:shd w:val="clear" w:color="auto" w:fill="auto"/>
          </w:tcPr>
          <w:p w14:paraId="3D5E13C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bottom w:val="single" w:color="auto" w:sz="4" w:space="0"/>
            </w:tcBorders>
            <w:shd w:val="clear" w:color="auto" w:fill="auto"/>
          </w:tcPr>
          <w:p w14:paraId="5D29E015">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Poremečaj funkcije bubrega</w:t>
            </w:r>
          </w:p>
        </w:tc>
        <w:tc>
          <w:tcPr>
            <w:tcW w:w="2581" w:type="dxa"/>
            <w:tcBorders>
              <w:bottom w:val="single" w:color="auto" w:sz="4" w:space="0"/>
            </w:tcBorders>
            <w:shd w:val="clear" w:color="auto" w:fill="auto"/>
          </w:tcPr>
          <w:p w14:paraId="2A866C35">
            <w:pPr>
              <w:widowControl w:val="0"/>
              <w:rPr>
                <w:rFonts w:ascii="Microsoft Sans Serif" w:hAnsi="Microsoft Sans Serif" w:cs="Microsoft Sans Serif"/>
                <w:sz w:val="20"/>
                <w:szCs w:val="20"/>
                <w:lang w:val="en-GB"/>
              </w:rPr>
            </w:pPr>
          </w:p>
        </w:tc>
      </w:tr>
      <w:tr w14:paraId="492A3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B1B6B82">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25F81B6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top w:val="single" w:color="auto" w:sz="4" w:space="0"/>
              <w:bottom w:val="single" w:color="auto" w:sz="4" w:space="0"/>
            </w:tcBorders>
            <w:shd w:val="clear" w:color="auto" w:fill="auto"/>
          </w:tcPr>
          <w:p w14:paraId="3A40A366">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auto" w:sz="4" w:space="0"/>
            </w:tcBorders>
            <w:shd w:val="clear" w:color="auto" w:fill="auto"/>
          </w:tcPr>
          <w:p w14:paraId="5CC95D7D">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Poremećaji uriniranja,</w:t>
            </w:r>
          </w:p>
          <w:p w14:paraId="341471A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Nokturija, Povećana</w:t>
            </w:r>
          </w:p>
          <w:p w14:paraId="0F590D6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učestalost uriniranja </w:t>
            </w:r>
          </w:p>
          <w:p w14:paraId="6664EECE">
            <w:pPr>
              <w:widowControl w:val="0"/>
              <w:rPr>
                <w:rFonts w:ascii="Microsoft Sans Serif" w:hAnsi="Microsoft Sans Serif" w:cs="Microsoft Sans Serif"/>
                <w:sz w:val="20"/>
                <w:szCs w:val="20"/>
                <w:lang w:val="en-GB"/>
              </w:rPr>
            </w:pPr>
          </w:p>
        </w:tc>
      </w:tr>
      <w:tr w14:paraId="76E2F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739AE584">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1863E707">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tcBorders>
              <w:top w:val="single" w:color="auto" w:sz="4" w:space="0"/>
              <w:bottom w:val="single" w:color="auto" w:sz="4" w:space="0"/>
            </w:tcBorders>
            <w:shd w:val="clear" w:color="auto" w:fill="auto"/>
          </w:tcPr>
          <w:p w14:paraId="4BA2A493">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Akutna renalna insuficijencija, Uremija</w:t>
            </w:r>
          </w:p>
        </w:tc>
        <w:tc>
          <w:tcPr>
            <w:tcW w:w="2581" w:type="dxa"/>
            <w:tcBorders>
              <w:top w:val="single" w:color="auto" w:sz="4" w:space="0"/>
              <w:bottom w:val="single" w:color="auto" w:sz="4" w:space="0"/>
            </w:tcBorders>
            <w:shd w:val="clear" w:color="auto" w:fill="auto"/>
          </w:tcPr>
          <w:p w14:paraId="39907B9C">
            <w:pPr>
              <w:widowControl w:val="0"/>
              <w:rPr>
                <w:rFonts w:ascii="Microsoft Sans Serif" w:hAnsi="Microsoft Sans Serif" w:cs="Microsoft Sans Serif"/>
                <w:sz w:val="20"/>
                <w:szCs w:val="20"/>
                <w:lang w:val="en-GB"/>
              </w:rPr>
            </w:pPr>
          </w:p>
        </w:tc>
      </w:tr>
      <w:tr w14:paraId="4E2C9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7B728942">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74089731">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retko</w:t>
            </w:r>
          </w:p>
        </w:tc>
        <w:tc>
          <w:tcPr>
            <w:tcW w:w="2522" w:type="dxa"/>
            <w:tcBorders>
              <w:top w:val="single" w:color="auto" w:sz="4" w:space="0"/>
              <w:bottom w:val="single" w:color="000000" w:sz="4" w:space="0"/>
            </w:tcBorders>
            <w:shd w:val="clear" w:color="auto" w:fill="auto"/>
          </w:tcPr>
          <w:p w14:paraId="089D3A8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Oligurija/Anurija</w:t>
            </w:r>
          </w:p>
        </w:tc>
        <w:tc>
          <w:tcPr>
            <w:tcW w:w="2581" w:type="dxa"/>
            <w:tcBorders>
              <w:top w:val="single" w:color="auto" w:sz="4" w:space="0"/>
              <w:bottom w:val="single" w:color="000000" w:sz="4" w:space="0"/>
            </w:tcBorders>
            <w:shd w:val="clear" w:color="auto" w:fill="auto"/>
          </w:tcPr>
          <w:p w14:paraId="12D9F22E">
            <w:pPr>
              <w:widowControl w:val="0"/>
              <w:rPr>
                <w:rFonts w:ascii="Microsoft Sans Serif" w:hAnsi="Microsoft Sans Serif" w:cs="Microsoft Sans Serif"/>
                <w:sz w:val="20"/>
                <w:szCs w:val="20"/>
                <w:lang w:val="en-GB"/>
              </w:rPr>
            </w:pPr>
          </w:p>
        </w:tc>
      </w:tr>
      <w:tr w14:paraId="04EB6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1F00C0CA">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Poremećaji</w:t>
            </w:r>
          </w:p>
          <w:p w14:paraId="7AF0CA9D">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reproduktivnog</w:t>
            </w:r>
          </w:p>
          <w:p w14:paraId="0299E2F3">
            <w:pPr>
              <w:widowControl w:val="0"/>
              <w:rPr>
                <w:rFonts w:ascii="Microsoft Sans Serif" w:hAnsi="Microsoft Sans Serif" w:cs="Microsoft Sans Serif"/>
                <w:b/>
                <w:sz w:val="20"/>
                <w:szCs w:val="20"/>
                <w:lang w:val="sv-SE"/>
              </w:rPr>
            </w:pPr>
            <w:r>
              <w:rPr>
                <w:rFonts w:ascii="Microsoft Sans Serif" w:hAnsi="Microsoft Sans Serif" w:cs="Microsoft Sans Serif"/>
                <w:b/>
                <w:bCs/>
                <w:sz w:val="20"/>
                <w:szCs w:val="20"/>
                <w:lang w:val="sv-SE"/>
              </w:rPr>
              <w:t>sistema i dojki</w:t>
            </w:r>
          </w:p>
        </w:tc>
        <w:tc>
          <w:tcPr>
            <w:tcW w:w="1447" w:type="dxa"/>
            <w:tcBorders>
              <w:bottom w:val="single" w:color="auto" w:sz="4" w:space="0"/>
            </w:tcBorders>
            <w:shd w:val="clear" w:color="auto" w:fill="auto"/>
          </w:tcPr>
          <w:p w14:paraId="64A425C5">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Povremeno</w:t>
            </w:r>
          </w:p>
        </w:tc>
        <w:tc>
          <w:tcPr>
            <w:tcW w:w="2522" w:type="dxa"/>
            <w:tcBorders>
              <w:bottom w:val="single" w:color="auto" w:sz="4" w:space="0"/>
            </w:tcBorders>
            <w:shd w:val="clear" w:color="auto" w:fill="auto"/>
          </w:tcPr>
          <w:p w14:paraId="0849D7D4">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Impotencija</w:t>
            </w:r>
          </w:p>
        </w:tc>
        <w:tc>
          <w:tcPr>
            <w:tcW w:w="2581" w:type="dxa"/>
            <w:tcBorders>
              <w:bottom w:val="single" w:color="auto" w:sz="4" w:space="0"/>
            </w:tcBorders>
            <w:shd w:val="clear" w:color="auto" w:fill="auto"/>
          </w:tcPr>
          <w:p w14:paraId="13E9A1A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Impotencija, Ginekomastija</w:t>
            </w:r>
          </w:p>
        </w:tc>
      </w:tr>
      <w:tr w14:paraId="4C40A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551B8E23">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1D28C363">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tcBorders>
              <w:top w:val="single" w:color="auto" w:sz="4" w:space="0"/>
              <w:bottom w:val="single" w:color="000000" w:sz="4" w:space="0"/>
            </w:tcBorders>
            <w:shd w:val="clear" w:color="auto" w:fill="auto"/>
          </w:tcPr>
          <w:p w14:paraId="3FDC6B4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Ginekomastija</w:t>
            </w:r>
          </w:p>
        </w:tc>
        <w:tc>
          <w:tcPr>
            <w:tcW w:w="2581" w:type="dxa"/>
            <w:tcBorders>
              <w:top w:val="single" w:color="auto" w:sz="4" w:space="0"/>
              <w:bottom w:val="single" w:color="000000" w:sz="4" w:space="0"/>
            </w:tcBorders>
            <w:shd w:val="clear" w:color="auto" w:fill="auto"/>
          </w:tcPr>
          <w:p w14:paraId="060D6DF9">
            <w:pPr>
              <w:widowControl w:val="0"/>
              <w:rPr>
                <w:rFonts w:ascii="Microsoft Sans Serif" w:hAnsi="Microsoft Sans Serif" w:cs="Microsoft Sans Serif"/>
                <w:sz w:val="20"/>
                <w:szCs w:val="20"/>
                <w:lang w:val="en-GB"/>
              </w:rPr>
            </w:pPr>
          </w:p>
        </w:tc>
      </w:tr>
      <w:tr w14:paraId="28165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682FD335">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Opšti poremećaji i</w:t>
            </w:r>
          </w:p>
          <w:p w14:paraId="0DC67E76">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reakcije na mestu</w:t>
            </w:r>
          </w:p>
          <w:p w14:paraId="12EE1F0E">
            <w:pPr>
              <w:widowControl w:val="0"/>
              <w:rPr>
                <w:rFonts w:ascii="Microsoft Sans Serif" w:hAnsi="Microsoft Sans Serif" w:cs="Microsoft Sans Serif"/>
                <w:b/>
                <w:sz w:val="20"/>
                <w:szCs w:val="20"/>
                <w:lang w:val="en-GB"/>
              </w:rPr>
            </w:pPr>
            <w:r>
              <w:rPr>
                <w:rFonts w:ascii="Microsoft Sans Serif" w:hAnsi="Microsoft Sans Serif" w:cs="Microsoft Sans Serif"/>
                <w:b/>
                <w:bCs/>
                <w:sz w:val="20"/>
                <w:szCs w:val="20"/>
                <w:lang w:val="en-GB"/>
              </w:rPr>
              <w:t>primjene</w:t>
            </w:r>
          </w:p>
        </w:tc>
        <w:tc>
          <w:tcPr>
            <w:tcW w:w="1447" w:type="dxa"/>
            <w:tcBorders>
              <w:bottom w:val="single" w:color="auto" w:sz="4" w:space="0"/>
            </w:tcBorders>
            <w:shd w:val="clear" w:color="auto" w:fill="auto"/>
          </w:tcPr>
          <w:p w14:paraId="542A19AD">
            <w:pPr>
              <w:widowControl w:val="0"/>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 xml:space="preserve">Veoma </w:t>
            </w:r>
            <w:r>
              <w:rPr>
                <w:rFonts w:ascii="Microsoft Sans Serif" w:hAnsi="Microsoft Sans Serif" w:cs="Microsoft Sans Serif"/>
                <w:sz w:val="20"/>
                <w:szCs w:val="20"/>
                <w:lang w:val="hr-BA"/>
              </w:rPr>
              <w:t>često</w:t>
            </w:r>
          </w:p>
        </w:tc>
        <w:tc>
          <w:tcPr>
            <w:tcW w:w="2522" w:type="dxa"/>
            <w:tcBorders>
              <w:bottom w:val="single" w:color="auto" w:sz="4" w:space="0"/>
            </w:tcBorders>
            <w:shd w:val="clear" w:color="auto" w:fill="auto"/>
          </w:tcPr>
          <w:p w14:paraId="6E27E786">
            <w:pPr>
              <w:widowControl w:val="0"/>
              <w:rPr>
                <w:rFonts w:ascii="Microsoft Sans Serif" w:hAnsi="Microsoft Sans Serif" w:cs="Microsoft Sans Serif"/>
                <w:sz w:val="20"/>
                <w:szCs w:val="20"/>
                <w:lang w:val="en-GB"/>
              </w:rPr>
            </w:pPr>
          </w:p>
        </w:tc>
        <w:tc>
          <w:tcPr>
            <w:tcW w:w="2581" w:type="dxa"/>
            <w:tcBorders>
              <w:bottom w:val="single" w:color="auto" w:sz="4" w:space="0"/>
            </w:tcBorders>
            <w:shd w:val="clear" w:color="auto" w:fill="auto"/>
          </w:tcPr>
          <w:p w14:paraId="0BE9EC2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Edem</w:t>
            </w:r>
          </w:p>
        </w:tc>
      </w:tr>
      <w:tr w14:paraId="79F68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7BBF8612">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7D8765A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top w:val="single" w:color="auto" w:sz="4" w:space="0"/>
              <w:bottom w:val="single" w:color="auto" w:sz="4" w:space="0"/>
            </w:tcBorders>
            <w:shd w:val="clear" w:color="auto" w:fill="auto"/>
          </w:tcPr>
          <w:p w14:paraId="4E54E23C">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auto" w:sz="4" w:space="0"/>
            </w:tcBorders>
            <w:shd w:val="clear" w:color="auto" w:fill="auto"/>
          </w:tcPr>
          <w:p w14:paraId="2977F4C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Umor, Astenija</w:t>
            </w:r>
          </w:p>
        </w:tc>
      </w:tr>
      <w:tr w14:paraId="50FA2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0190FC44">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322A7460">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Povremeno</w:t>
            </w:r>
          </w:p>
        </w:tc>
        <w:tc>
          <w:tcPr>
            <w:tcW w:w="2522" w:type="dxa"/>
            <w:tcBorders>
              <w:top w:val="single" w:color="auto" w:sz="4" w:space="0"/>
              <w:bottom w:val="single" w:color="000000" w:sz="4" w:space="0"/>
            </w:tcBorders>
            <w:shd w:val="clear" w:color="auto" w:fill="auto"/>
          </w:tcPr>
          <w:p w14:paraId="21BF5F25">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Umor, Astenija</w:t>
            </w:r>
          </w:p>
        </w:tc>
        <w:tc>
          <w:tcPr>
            <w:tcW w:w="2581" w:type="dxa"/>
            <w:tcBorders>
              <w:top w:val="single" w:color="auto" w:sz="4" w:space="0"/>
              <w:bottom w:val="single" w:color="000000" w:sz="4" w:space="0"/>
            </w:tcBorders>
            <w:shd w:val="clear" w:color="auto" w:fill="auto"/>
          </w:tcPr>
          <w:p w14:paraId="45B1CC5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Bol u grudima, Bol, </w:t>
            </w:r>
            <w:r>
              <w:rPr>
                <w:rFonts w:ascii="Microsoft Sans Serif" w:hAnsi="Microsoft Sans Serif" w:cs="Microsoft Sans Serif"/>
                <w:sz w:val="20"/>
                <w:szCs w:val="20"/>
                <w:lang w:val="sr-Cyrl-RS"/>
              </w:rPr>
              <w:t>Malaksalost</w:t>
            </w:r>
          </w:p>
        </w:tc>
      </w:tr>
      <w:tr w14:paraId="52377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27440119">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Ispitivanja</w:t>
            </w:r>
          </w:p>
        </w:tc>
        <w:tc>
          <w:tcPr>
            <w:tcW w:w="1447" w:type="dxa"/>
            <w:tcBorders>
              <w:bottom w:val="single" w:color="auto" w:sz="4" w:space="0"/>
            </w:tcBorders>
            <w:shd w:val="clear" w:color="auto" w:fill="auto"/>
          </w:tcPr>
          <w:p w14:paraId="76EAE18A">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bottom w:val="single" w:color="auto" w:sz="4" w:space="0"/>
            </w:tcBorders>
            <w:shd w:val="clear" w:color="auto" w:fill="auto"/>
          </w:tcPr>
          <w:p w14:paraId="2BDB5396">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Povećanje koncentracije uree u</w:t>
            </w:r>
          </w:p>
          <w:p w14:paraId="18225D1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krvi, Povećanje koncentracije</w:t>
            </w:r>
          </w:p>
          <w:p w14:paraId="7958F1C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kreatinina u serumu,</w:t>
            </w:r>
          </w:p>
          <w:p w14:paraId="644107C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Hiperkalemija, Povećane</w:t>
            </w:r>
          </w:p>
          <w:p w14:paraId="2DD47A6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vrednosti enzima jetre </w:t>
            </w:r>
          </w:p>
          <w:p w14:paraId="4B6930E3">
            <w:pPr>
              <w:widowControl w:val="0"/>
              <w:rPr>
                <w:rFonts w:ascii="Microsoft Sans Serif" w:hAnsi="Microsoft Sans Serif" w:cs="Microsoft Sans Serif"/>
                <w:sz w:val="20"/>
                <w:szCs w:val="20"/>
                <w:lang w:val="sv-SE"/>
              </w:rPr>
            </w:pPr>
          </w:p>
        </w:tc>
        <w:tc>
          <w:tcPr>
            <w:tcW w:w="2581" w:type="dxa"/>
            <w:tcBorders>
              <w:bottom w:val="single" w:color="auto" w:sz="4" w:space="0"/>
            </w:tcBorders>
            <w:shd w:val="clear" w:color="auto" w:fill="auto"/>
          </w:tcPr>
          <w:p w14:paraId="1D856263">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Povećanje telesne mase,</w:t>
            </w:r>
          </w:p>
          <w:p w14:paraId="211C355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Smanjenje telesne mase</w:t>
            </w:r>
          </w:p>
        </w:tc>
      </w:tr>
      <w:tr w14:paraId="3EA7F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522A977">
            <w:pPr>
              <w:widowControl w:val="0"/>
              <w:rPr>
                <w:rFonts w:ascii="Microsoft Sans Serif" w:hAnsi="Microsoft Sans Serif" w:cs="Microsoft Sans Serif"/>
                <w:b/>
                <w:sz w:val="20"/>
                <w:szCs w:val="20"/>
                <w:lang w:val="sv-SE"/>
              </w:rPr>
            </w:pPr>
          </w:p>
        </w:tc>
        <w:tc>
          <w:tcPr>
            <w:tcW w:w="1447" w:type="dxa"/>
            <w:tcBorders>
              <w:top w:val="single" w:color="auto" w:sz="4" w:space="0"/>
            </w:tcBorders>
            <w:shd w:val="clear" w:color="auto" w:fill="auto"/>
          </w:tcPr>
          <w:p w14:paraId="0DCC1546">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tcBorders>
              <w:top w:val="single" w:color="auto" w:sz="4" w:space="0"/>
            </w:tcBorders>
            <w:shd w:val="clear" w:color="auto" w:fill="auto"/>
          </w:tcPr>
          <w:p w14:paraId="6958C62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Povećanje koncentracije</w:t>
            </w:r>
          </w:p>
          <w:p w14:paraId="0DB63743">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bilirubina u serumu,</w:t>
            </w:r>
          </w:p>
          <w:p w14:paraId="2272B333">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Hiponatremij</w:t>
            </w:r>
            <w:r>
              <w:rPr>
                <w:rFonts w:ascii="Microsoft Sans Serif" w:hAnsi="Microsoft Sans Serif" w:cs="Microsoft Sans Serif"/>
                <w:sz w:val="20"/>
                <w:szCs w:val="20"/>
                <w:lang w:val="sr-Cyrl-RS"/>
              </w:rPr>
              <w:t>a</w:t>
            </w:r>
          </w:p>
        </w:tc>
        <w:tc>
          <w:tcPr>
            <w:tcW w:w="2581" w:type="dxa"/>
            <w:tcBorders>
              <w:top w:val="single" w:color="auto" w:sz="4" w:space="0"/>
            </w:tcBorders>
            <w:shd w:val="clear" w:color="auto" w:fill="auto"/>
          </w:tcPr>
          <w:p w14:paraId="2551654D">
            <w:pPr>
              <w:widowControl w:val="0"/>
              <w:rPr>
                <w:rFonts w:ascii="Microsoft Sans Serif" w:hAnsi="Microsoft Sans Serif" w:cs="Microsoft Sans Serif"/>
                <w:sz w:val="20"/>
                <w:szCs w:val="20"/>
                <w:lang w:val="en-GB"/>
              </w:rPr>
            </w:pPr>
          </w:p>
        </w:tc>
      </w:tr>
    </w:tbl>
    <w:p w14:paraId="4BB5A07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Prijavlјen je kompleks simptoma koji mogu da obuhvate jedan ili više sljedećih simptoma: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povišenu tjelesnu temperaturu, vaskulitis, mijalgiju, artralgiju/artritis, pozitivan test na antinuklearna antitela (ANA), povećanu sedimentaciju eritrocita, eozinofiliju i leukocitozu, osip, fotosenzitivnost ili druge dermatološke manifestacije.</w:t>
      </w:r>
    </w:p>
    <w:p w14:paraId="11DA2FA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**Uglavnom povezano sa holestazom.</w:t>
      </w:r>
    </w:p>
    <w:p w14:paraId="7A62F082">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Bezb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ednosni podaci iz kliničkih studija pokazali su da se lizinopril u pedijatrijskoj populacii sa hipertenzijom generalno dobro podnosi, i ima sličan sigurnosni profil kao i kod odraslih.</w:t>
      </w:r>
    </w:p>
    <w:p w14:paraId="40B19912">
      <w:pPr>
        <w:widowControl w:val="0"/>
        <w:rPr>
          <w:rFonts w:ascii="Microsoft Sans Serif" w:hAnsi="Microsoft Sans Serif" w:cs="Microsoft Sans Serif"/>
          <w:sz w:val="20"/>
          <w:szCs w:val="20"/>
          <w:lang w:val="sr-Latn-RS"/>
        </w:rPr>
      </w:pPr>
    </w:p>
    <w:p w14:paraId="784A2C77">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Prijavljivanje sumnje na neželjena djelovanja lijeka</w:t>
      </w:r>
    </w:p>
    <w:p w14:paraId="5098C4C5">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Prijavljivanje sumnje na neželjena djelovanja lijekova, a nakon stavljanja lijeka u promet, je od velike važnosti za formiranje kompletnije slike o bezbjednosnom profile lijeka, odnosno za formiranje što bolje ocjene odnosa korist/rizik pri terapijskoj primjeni lijeka.</w:t>
      </w:r>
    </w:p>
    <w:p w14:paraId="0FC19701">
      <w:pPr>
        <w:rPr>
          <w:rFonts w:ascii="Microsoft Sans Serif" w:hAnsi="Microsoft Sans Serif" w:cs="Microsoft Sans Serif"/>
          <w:sz w:val="20"/>
          <w:szCs w:val="20"/>
        </w:rPr>
      </w:pPr>
      <w:r>
        <w:rPr>
          <w:rFonts w:ascii="Microsoft Sans Serif" w:hAnsi="Microsoft Sans Serif" w:cs="Microsoft Sans Serif"/>
          <w:sz w:val="20"/>
          <w:szCs w:val="20"/>
          <w:lang w:val="sv-SE"/>
        </w:rPr>
        <w:t xml:space="preserve">Proces prijavljivanja sumnji na neželjena djelovanja lijeka doprinosi kontinuiranom praćenju odnosa koristi/rizik i adekvatnoj ocjeni bezbjednosnog profila lijeka. Od zdravstvenih stručnjaka se traži da prijave svaku sumnju na neželjeno dejstvo lijeka direktno ALMBIH. </w:t>
      </w:r>
      <w:r>
        <w:rPr>
          <w:rFonts w:ascii="Microsoft Sans Serif" w:hAnsi="Microsoft Sans Serif" w:cs="Microsoft Sans Serif"/>
          <w:sz w:val="20"/>
          <w:szCs w:val="20"/>
        </w:rPr>
        <w:t>Prijava se može dostaviti:</w:t>
      </w:r>
    </w:p>
    <w:p w14:paraId="10CAC840">
      <w:pPr>
        <w:pStyle w:val="20"/>
        <w:numPr>
          <w:ilvl w:val="0"/>
          <w:numId w:val="2"/>
        </w:numPr>
        <w:tabs>
          <w:tab w:val="left" w:pos="567"/>
        </w:tabs>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putem softverske aplikacije za prijavu neželjenih dejstava lijekova za humanu upotrebu (IS Farmakovigilansa) o kojoj više informacija možete dobiti u našoj Glavnoj kancelariji za farmakovigilansu, ili</w:t>
      </w:r>
    </w:p>
    <w:p w14:paraId="4E70EC48">
      <w:pPr>
        <w:pStyle w:val="20"/>
        <w:numPr>
          <w:ilvl w:val="0"/>
          <w:numId w:val="2"/>
        </w:numPr>
        <w:tabs>
          <w:tab w:val="left" w:pos="567"/>
        </w:tabs>
        <w:ind w:left="0" w:firstLine="0"/>
        <w:jc w:val="both"/>
        <w:rPr>
          <w:rFonts w:ascii="Microsoft Sans Serif" w:hAnsi="Microsoft Sans Serif" w:cs="Microsoft Sans Serif"/>
          <w:sz w:val="20"/>
          <w:szCs w:val="20"/>
          <w:u w:val="single"/>
        </w:rPr>
      </w:pPr>
      <w:r>
        <w:rPr>
          <w:rFonts w:ascii="Microsoft Sans Serif" w:hAnsi="Microsoft Sans Serif" w:cs="Microsoft Sans Serif"/>
          <w:sz w:val="20"/>
          <w:szCs w:val="20"/>
        </w:rPr>
        <w:t xml:space="preserve">putem odgovarajućeg obrasca za prijavljivanje sumnji na neželjena djelovanja lijeka, koji se mogu naći na internet adresi Agencije za lijekve: </w:t>
      </w:r>
      <w:r>
        <w:rPr>
          <w:rFonts w:ascii="Microsoft Sans Serif" w:hAnsi="Microsoft Sans Serif" w:cs="Microsoft Sans Serif"/>
          <w:sz w:val="20"/>
          <w:szCs w:val="20"/>
          <w:u w:val="single"/>
        </w:rPr>
        <w:t>www.almbih.gov.ba</w:t>
      </w:r>
      <w:r>
        <w:rPr>
          <w:rFonts w:ascii="Microsoft Sans Serif" w:hAnsi="Microsoft Sans Serif" w:cs="Microsoft Sans Serif"/>
          <w:sz w:val="20"/>
          <w:szCs w:val="20"/>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cs="Microsoft Sans Serif"/>
          <w:sz w:val="20"/>
          <w:szCs w:val="20"/>
          <w:u w:val="single"/>
        </w:rPr>
        <w:t>ndl@almbih.gov.ba)</w:t>
      </w:r>
    </w:p>
    <w:p w14:paraId="7ED4E050">
      <w:pPr>
        <w:rPr>
          <w:rFonts w:ascii="Microsoft Sans Serif" w:hAnsi="Microsoft Sans Serif" w:cs="Microsoft Sans Serif"/>
          <w:sz w:val="20"/>
          <w:szCs w:val="20"/>
          <w:lang w:val="sr-Latn-CS"/>
        </w:rPr>
      </w:pPr>
    </w:p>
    <w:p w14:paraId="47AE57CB">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4.9. </w:t>
      </w:r>
      <w:r>
        <w:rPr>
          <w:rFonts w:ascii="Microsoft Sans Serif" w:hAnsi="Microsoft Sans Serif" w:cs="Microsoft Sans Serif"/>
          <w:b/>
          <w:bCs/>
          <w:sz w:val="20"/>
          <w:szCs w:val="20"/>
        </w:rPr>
        <w:t>Predoziranje</w:t>
      </w:r>
    </w:p>
    <w:p w14:paraId="066AF4F8">
      <w:pPr>
        <w:rPr>
          <w:rFonts w:ascii="Microsoft Sans Serif" w:hAnsi="Microsoft Sans Serif" w:cs="Microsoft Sans Serif"/>
          <w:sz w:val="20"/>
          <w:szCs w:val="20"/>
          <w:lang w:val="sr-Latn-CS"/>
        </w:rPr>
      </w:pPr>
    </w:p>
    <w:p w14:paraId="504488FD">
      <w:pPr>
        <w:rPr>
          <w:rFonts w:ascii="Microsoft Sans Serif" w:hAnsi="Microsoft Sans Serif" w:cs="Microsoft Sans Serif"/>
          <w:sz w:val="20"/>
          <w:szCs w:val="20"/>
          <w:lang w:val="sr-Latn-CS"/>
        </w:rPr>
      </w:pPr>
      <w:r>
        <w:rPr>
          <w:rFonts w:ascii="Microsoft Sans Serif" w:hAnsi="Microsoft Sans Serif" w:cs="Microsoft Sans Serif"/>
          <w:sz w:val="20"/>
          <w:szCs w:val="20"/>
        </w:rPr>
        <w:t>Nema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dostupnih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podataka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predoziranju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Skopryl</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udi</w:t>
      </w:r>
      <w:r>
        <w:rPr>
          <w:rFonts w:ascii="Microsoft Sans Serif" w:hAnsi="Microsoft Sans Serif" w:cs="Microsoft Sans Serif"/>
          <w:sz w:val="20"/>
          <w:szCs w:val="20"/>
          <w:lang w:val="sr-Latn-CS"/>
        </w:rPr>
        <w:t>.</w:t>
      </w:r>
    </w:p>
    <w:p w14:paraId="704822E8">
      <w:pPr>
        <w:rPr>
          <w:rFonts w:ascii="Microsoft Sans Serif" w:hAnsi="Microsoft Sans Serif" w:cs="Microsoft Sans Serif"/>
          <w:sz w:val="20"/>
          <w:szCs w:val="20"/>
          <w:lang w:val="sr-Latn-CS"/>
        </w:rPr>
      </w:pPr>
    </w:p>
    <w:p w14:paraId="1A7005AF">
      <w:pPr>
        <w:rPr>
          <w:rFonts w:ascii="Microsoft Sans Serif" w:hAnsi="Microsoft Sans Serif" w:cs="Microsoft Sans Serif"/>
          <w:i/>
          <w:sz w:val="20"/>
          <w:szCs w:val="20"/>
          <w:lang w:val="sr-Latn-CS"/>
        </w:rPr>
      </w:pPr>
      <w:r>
        <w:rPr>
          <w:rFonts w:ascii="Microsoft Sans Serif" w:hAnsi="Microsoft Sans Serif" w:cs="Microsoft Sans Serif"/>
          <w:i/>
          <w:sz w:val="20"/>
          <w:szCs w:val="20"/>
        </w:rPr>
        <w:t>Predoziranje</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povezano</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sa</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lizinoprilom</w:t>
      </w:r>
    </w:p>
    <w:p w14:paraId="5696D786">
      <w:pPr>
        <w:rPr>
          <w:rFonts w:ascii="Microsoft Sans Serif" w:hAnsi="Microsoft Sans Serif" w:cs="Microsoft Sans Serif"/>
          <w:sz w:val="20"/>
          <w:szCs w:val="20"/>
          <w:lang w:val="sr-Cyrl-RS"/>
        </w:rPr>
      </w:pPr>
      <w:r>
        <w:rPr>
          <w:rFonts w:ascii="Microsoft Sans Serif" w:hAnsi="Microsoft Sans Serif" w:cs="Microsoft Sans Serif"/>
          <w:sz w:val="20"/>
          <w:szCs w:val="20"/>
        </w:rPr>
        <w:t>Dostupni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ograni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eni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podaci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predoziranju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udi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Simptomi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povezani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predoziranjem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ACE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inhibitorima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ivati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hipotenziju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cirkulatorni</w:t>
      </w:r>
      <w:r>
        <w:rPr>
          <w:rFonts w:ascii="Microsoft Sans Serif" w:hAnsi="Microsoft Sans Serif" w:cs="Microsoft Sans Serif"/>
          <w:sz w:val="20"/>
          <w:szCs w:val="20"/>
          <w:lang w:val="sr-Latn-CS"/>
        </w:rPr>
        <w:t xml:space="preserve"> š</w:t>
      </w:r>
      <w:r>
        <w:rPr>
          <w:rFonts w:ascii="Microsoft Sans Serif" w:hAnsi="Microsoft Sans Serif" w:cs="Microsoft Sans Serif"/>
          <w:sz w:val="20"/>
          <w:szCs w:val="20"/>
        </w:rPr>
        <w:t>ok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elektrolita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insuficijenciju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hiperventilaciju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tahikardiju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palpitacije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bradikardiju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vrtoglavicu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anksioznost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al</w:t>
      </w:r>
      <w:r>
        <w:rPr>
          <w:rFonts w:ascii="Microsoft Sans Serif" w:hAnsi="Microsoft Sans Serif" w:cs="Microsoft Sans Serif"/>
          <w:sz w:val="20"/>
          <w:szCs w:val="20"/>
          <w:lang w:val="sr-Latn-CS"/>
        </w:rPr>
        <w:t>ј.</w:t>
      </w:r>
      <w:r>
        <w:rPr>
          <w:rFonts w:ascii="Microsoft Sans Serif" w:hAnsi="Microsoft Sans Serif" w:cs="Microsoft Sans Serif"/>
          <w:sz w:val="20"/>
          <w:szCs w:val="20"/>
          <w:lang w:val="sr-Cyrl-RS"/>
        </w:rPr>
        <w:t xml:space="preserve"> </w:t>
      </w:r>
    </w:p>
    <w:p w14:paraId="73D71E6C">
      <w:pPr>
        <w:rPr>
          <w:rFonts w:ascii="Microsoft Sans Serif" w:hAnsi="Microsoft Sans Serif" w:cs="Microsoft Sans Serif"/>
          <w:sz w:val="20"/>
          <w:szCs w:val="20"/>
          <w:lang w:val="sv-SE"/>
        </w:rPr>
      </w:pP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podrazumeva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intravensku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infuziju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fiziolo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rastvora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javi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hipotenzija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poziciju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dostupno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tako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infuzijom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angiotenzina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II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intravensku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kateholamina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ingestija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desila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skoro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preduzeti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mjere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lizinopril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elimini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gastri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lava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adsorbenasa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natrijum</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sulfata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Lizinopril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ukloniti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cirkulacije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hemodijalizom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4.4). </w:t>
      </w:r>
      <w:r>
        <w:rPr>
          <w:rFonts w:ascii="Microsoft Sans Serif" w:hAnsi="Microsoft Sans Serif" w:cs="Microsoft Sans Serif"/>
          <w:sz w:val="20"/>
          <w:szCs w:val="20"/>
        </w:rPr>
        <w:t>Pejsmejker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indikovana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bradikardiju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rezistentna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Vitalni znaci,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serumski elektroliti i koncentracije kreatinina treba da se prate što češće.</w:t>
      </w:r>
    </w:p>
    <w:p w14:paraId="1EB700E9">
      <w:pPr>
        <w:rPr>
          <w:rFonts w:ascii="Microsoft Sans Serif" w:hAnsi="Microsoft Sans Serif" w:cs="Microsoft Sans Serif"/>
          <w:sz w:val="20"/>
          <w:szCs w:val="20"/>
          <w:lang w:val="sv-SE"/>
        </w:rPr>
      </w:pPr>
    </w:p>
    <w:p w14:paraId="6DAA9EDE">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Predoziranje povezan sa amlodipinom</w:t>
      </w:r>
    </w:p>
    <w:p w14:paraId="459D9BA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udi, iskustva sa namjernim predoziranjem su ograničena.</w:t>
      </w:r>
    </w:p>
    <w:p w14:paraId="4A68B91F">
      <w:pPr>
        <w:widowControl w:val="0"/>
        <w:rPr>
          <w:rFonts w:ascii="Microsoft Sans Serif" w:hAnsi="Microsoft Sans Serif" w:cs="Microsoft Sans Serif"/>
          <w:sz w:val="20"/>
          <w:szCs w:val="20"/>
          <w:lang w:val="sv-SE"/>
        </w:rPr>
      </w:pPr>
    </w:p>
    <w:p w14:paraId="2E92AC3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Simptomi</w:t>
      </w:r>
    </w:p>
    <w:p w14:paraId="0CE3E979">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Dostupni podaci ukazuju da predoziranje može da rezultira u prekomernoj perifernoj vazodilataciji i mogućoj refleksnoj tahikardiji.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 je izražena i moguće produžena sistemska hipotenzija do šoka i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učujući </w:t>
      </w:r>
      <w:r>
        <w:rPr>
          <w:rFonts w:ascii="Microsoft Sans Serif" w:hAnsi="Microsoft Sans Serif" w:cs="Microsoft Sans Serif"/>
          <w:lang w:val="bs-Latn-BA"/>
        </w:rPr>
        <w:t>je</w:t>
      </w:r>
      <w:r>
        <w:rPr>
          <w:rFonts w:ascii="Microsoft Sans Serif" w:hAnsi="Microsoft Sans Serif" w:cs="Microsoft Sans Serif"/>
          <w:sz w:val="20"/>
          <w:szCs w:val="20"/>
          <w:lang w:val="sv-SE"/>
        </w:rPr>
        <w:t xml:space="preserve"> šok sa fatalnim ishodom. </w:t>
      </w:r>
    </w:p>
    <w:p w14:paraId="5C7FB8C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Rijetko je prijavljen nekardiogeni plućni edem kao posljedica predoziranja amlodipinom koji se može manifestovati sa odloženim početkom (24-48 sati nakon ingestije) i zahtjevati respiratornu podršku. Rane mjere oživljavanja (uključujući preopterećenje tečnošću) za održavanje perfuzije i srčanog minutnog volumena mogu biti precipitirajući faktori.</w:t>
      </w:r>
    </w:p>
    <w:p w14:paraId="44392EF3">
      <w:pPr>
        <w:widowControl w:val="0"/>
        <w:rPr>
          <w:rFonts w:ascii="Microsoft Sans Serif" w:hAnsi="Microsoft Sans Serif" w:cs="Microsoft Sans Serif"/>
          <w:sz w:val="20"/>
          <w:szCs w:val="20"/>
          <w:lang w:val="sv-SE"/>
        </w:rPr>
      </w:pPr>
    </w:p>
    <w:p w14:paraId="2AE02AD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Terapija</w:t>
      </w:r>
    </w:p>
    <w:p w14:paraId="74D7782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Klinički značajna hipotenzija usljed predoziranja amlodipinom zahtjeva aktivnu potporu kardiovaskularne funkcije,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učujući često praćenje srčane i respiratorne funkcije, podizanje ekstremiteta i obraćanje pažnje na volumen cirkulišuće tečnosti i izlučivanje urina.</w:t>
      </w:r>
    </w:p>
    <w:p w14:paraId="092A57E7">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Vazokonstriktor može pomoći u uspostavl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anju vaskularnog tonusa i krvnog pritiska, pod uslovom da ne postoje kontraindikacije za njegovu primjenu. Intravenski primjenjen kalcijum-glukonat može da bude koristan u poništavanju djelovanja blokade kalcijumskih kanala.</w:t>
      </w:r>
    </w:p>
    <w:p w14:paraId="387AEEA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Gastrična lavaža može biti korisna u nekim slučajevima. Pokazano je da upotreba aktivnog ugl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a do 2 sata poslije primjene 10 mg amlodipina kod zdravih ispitanika dovodi do smanjenja stepena resorpcije amlodipina. </w:t>
      </w:r>
      <w:r>
        <w:rPr>
          <w:rFonts w:ascii="Microsoft Sans Serif" w:hAnsi="Microsoft Sans Serif" w:cs="Microsoft Sans Serif"/>
          <w:sz w:val="20"/>
          <w:szCs w:val="20"/>
          <w:lang w:val="sr-Cyrl-RS"/>
        </w:rPr>
        <w:t>S obzirom da</w:t>
      </w:r>
      <w:r>
        <w:rPr>
          <w:rFonts w:ascii="Microsoft Sans Serif" w:hAnsi="Microsoft Sans Serif" w:cs="Microsoft Sans Serif"/>
          <w:sz w:val="20"/>
          <w:szCs w:val="20"/>
          <w:lang w:val="sv-SE"/>
        </w:rPr>
        <w:t xml:space="preserve"> se amlodipin u velikoj mjeri vezuje za proteine plazme, malo je vjerovatno da bi dijaliza bila od koristi.</w:t>
      </w:r>
    </w:p>
    <w:p w14:paraId="5F21EC7B">
      <w:pPr>
        <w:widowControl w:val="0"/>
        <w:rPr>
          <w:rFonts w:ascii="Microsoft Sans Serif" w:hAnsi="Microsoft Sans Serif" w:cs="Microsoft Sans Serif"/>
          <w:sz w:val="20"/>
          <w:szCs w:val="20"/>
          <w:lang w:val="sv-SE"/>
        </w:rPr>
      </w:pPr>
    </w:p>
    <w:p w14:paraId="337A21E5">
      <w:pPr>
        <w:widowControl w:val="0"/>
        <w:rPr>
          <w:rFonts w:ascii="Microsoft Sans Serif" w:hAnsi="Microsoft Sans Serif" w:cs="Microsoft Sans Serif"/>
          <w:sz w:val="20"/>
          <w:szCs w:val="20"/>
          <w:lang w:val="sv-SE"/>
        </w:rPr>
      </w:pPr>
      <w:r>
        <w:rPr>
          <w:rFonts w:ascii="Microsoft Sans Serif" w:hAnsi="Microsoft Sans Serif" w:cs="Microsoft Sans Serif"/>
          <w:i/>
          <w:sz w:val="20"/>
          <w:szCs w:val="20"/>
          <w:lang w:val="sv-SE"/>
        </w:rPr>
        <w:t xml:space="preserve">Predoziranje lijekom </w:t>
      </w:r>
      <w:r>
        <w:rPr>
          <w:rFonts w:ascii="Microsoft Sans Serif" w:hAnsi="Microsoft Sans Serif" w:cs="Microsoft Sans Serif"/>
          <w:sz w:val="20"/>
          <w:szCs w:val="20"/>
          <w:lang w:val="sv-SE"/>
        </w:rPr>
        <w:t>Skopryl Combo može da dovede do povećane periferne vazodilatacije sa izraženom hipotenzijom, cirkulatornim šokom, poremećajem elektrolita, bubrežnom insuficijencijom,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hiperventilacijom, tahikardijom, palpitacijama, bradikardijom, vrtoglavicom, anksioznošću i kašl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simptomatska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postavl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polo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neophodno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potpora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respiratorne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pritiska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balansa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elektrolita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kreatinina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hipotenzije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ekstremitete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podi</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intravensko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dovodi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adekvatnog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odgovora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neophodna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dodatna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suportivna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davanjem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perifernih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vazopresornih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osim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kontraindikovano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dostupno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infuzijom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angiotenzina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Intravenska primjena kalcijum glukonata može biti korisna, jer se njime poništavaju djelovanja blokade kalcijumskih kanala.</w:t>
      </w:r>
    </w:p>
    <w:p w14:paraId="6F7327A7">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Lizinopril se iz sistemske cirkulacije može ukloniti hemodijalizom. Prilikom dijalize treba izbjegavati primjenu poliakrilonitrilnih membran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sa visokom propustljivosti.</w:t>
      </w:r>
    </w:p>
    <w:p w14:paraId="2FC52D3A">
      <w:pPr>
        <w:widowControl w:val="0"/>
        <w:rPr>
          <w:rFonts w:ascii="Microsoft Sans Serif" w:hAnsi="Microsoft Sans Serif" w:cs="Microsoft Sans Serif"/>
          <w:sz w:val="20"/>
          <w:szCs w:val="20"/>
          <w:lang w:val="sv-SE"/>
        </w:rPr>
      </w:pPr>
    </w:p>
    <w:p w14:paraId="354BD400">
      <w:pPr>
        <w:rPr>
          <w:rFonts w:ascii="Microsoft Sans Serif" w:hAnsi="Microsoft Sans Serif" w:cs="Microsoft Sans Serif"/>
          <w:b/>
          <w:sz w:val="20"/>
          <w:szCs w:val="20"/>
          <w:lang w:val="sv-SE"/>
        </w:rPr>
      </w:pPr>
    </w:p>
    <w:p w14:paraId="3A64D1C7">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5. FARMAKOLOŠKI PODACI</w:t>
      </w:r>
    </w:p>
    <w:p w14:paraId="1C13B129">
      <w:pPr>
        <w:rPr>
          <w:rFonts w:ascii="Microsoft Sans Serif" w:hAnsi="Microsoft Sans Serif" w:cs="Microsoft Sans Serif"/>
          <w:b/>
          <w:sz w:val="20"/>
          <w:szCs w:val="20"/>
          <w:lang w:val="sv-SE"/>
        </w:rPr>
      </w:pPr>
    </w:p>
    <w:p w14:paraId="48D0929D">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5.1. Farmakodinamski podaci</w:t>
      </w:r>
    </w:p>
    <w:p w14:paraId="04956A47">
      <w:pPr>
        <w:rPr>
          <w:rFonts w:ascii="Microsoft Sans Serif" w:hAnsi="Microsoft Sans Serif" w:cs="Microsoft Sans Serif"/>
          <w:bCs/>
          <w:sz w:val="20"/>
          <w:szCs w:val="20"/>
          <w:lang w:val="sr-Cyrl-RS"/>
        </w:rPr>
      </w:pPr>
      <w:r>
        <w:rPr>
          <w:rFonts w:ascii="Microsoft Sans Serif" w:hAnsi="Microsoft Sans Serif" w:cs="Microsoft Sans Serif"/>
          <w:b/>
          <w:bCs/>
          <w:sz w:val="20"/>
          <w:szCs w:val="20"/>
          <w:lang w:val="sv-SE"/>
        </w:rPr>
        <w:t xml:space="preserve">Farmakoterapijska grupa: </w:t>
      </w:r>
      <w:r>
        <w:rPr>
          <w:rFonts w:ascii="Microsoft Sans Serif" w:hAnsi="Microsoft Sans Serif" w:cs="Microsoft Sans Serif"/>
          <w:bCs/>
          <w:sz w:val="20"/>
          <w:szCs w:val="20"/>
          <w:lang w:val="sv-SE"/>
        </w:rPr>
        <w:t xml:space="preserve">ACE inhibitori i blokatori kalcijumskih kanala, </w:t>
      </w:r>
      <w:r>
        <w:rPr>
          <w:rFonts w:ascii="Microsoft Sans Serif" w:hAnsi="Microsoft Sans Serif" w:cs="Microsoft Sans Serif"/>
          <w:bCs/>
          <w:sz w:val="20"/>
          <w:szCs w:val="20"/>
          <w:lang w:val="sr-Cyrl-RS"/>
        </w:rPr>
        <w:t>lizinopril i amlodipin</w:t>
      </w:r>
    </w:p>
    <w:p w14:paraId="731AE614">
      <w:pPr>
        <w:rPr>
          <w:rFonts w:ascii="Microsoft Sans Serif" w:hAnsi="Microsoft Sans Serif" w:cs="Microsoft Sans Serif"/>
          <w:sz w:val="20"/>
          <w:szCs w:val="20"/>
          <w:lang w:val="sv-SE"/>
        </w:rPr>
      </w:pPr>
    </w:p>
    <w:p w14:paraId="69F9879F">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ATC šifra:</w:t>
      </w:r>
      <w:r>
        <w:rPr>
          <w:rFonts w:ascii="Microsoft Sans Serif" w:hAnsi="Microsoft Sans Serif" w:cs="Microsoft Sans Serif"/>
          <w:sz w:val="20"/>
          <w:szCs w:val="20"/>
          <w:lang w:val="sv-SE"/>
        </w:rPr>
        <w:t xml:space="preserve"> C09BB03</w:t>
      </w:r>
    </w:p>
    <w:p w14:paraId="24D4D06E">
      <w:pPr>
        <w:widowControl w:val="0"/>
        <w:rPr>
          <w:rFonts w:ascii="Microsoft Sans Serif" w:hAnsi="Microsoft Sans Serif" w:cs="Microsoft Sans Serif"/>
          <w:sz w:val="20"/>
          <w:szCs w:val="20"/>
          <w:lang w:val="sv-SE"/>
        </w:rPr>
      </w:pPr>
    </w:p>
    <w:p w14:paraId="134CD47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 Skopryl Combo je fiksna kombinacija koja sadrži aktivne supstance lizinopril i amlodipin.</w:t>
      </w:r>
    </w:p>
    <w:p w14:paraId="0580B906">
      <w:pPr>
        <w:widowControl w:val="0"/>
        <w:rPr>
          <w:rFonts w:ascii="Microsoft Sans Serif" w:hAnsi="Microsoft Sans Serif" w:cs="Microsoft Sans Serif"/>
          <w:sz w:val="20"/>
          <w:szCs w:val="20"/>
          <w:lang w:val="sv-SE"/>
        </w:rPr>
      </w:pPr>
    </w:p>
    <w:p w14:paraId="3646C717">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Lizinopril</w:t>
      </w:r>
    </w:p>
    <w:p w14:paraId="545081C4">
      <w:pPr>
        <w:widowControl w:val="0"/>
        <w:rPr>
          <w:rFonts w:ascii="Microsoft Sans Serif" w:hAnsi="Microsoft Sans Serif" w:cs="Microsoft Sans Serif"/>
          <w:sz w:val="20"/>
          <w:szCs w:val="20"/>
          <w:u w:val="single"/>
          <w:lang w:val="sv-SE"/>
        </w:rPr>
      </w:pPr>
    </w:p>
    <w:p w14:paraId="2F8F0FD3">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Mehanizam djelovanja</w:t>
      </w:r>
    </w:p>
    <w:p w14:paraId="1E5EE06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Lizinopril je inhibitor peptidil-dipeptidaze. On inhibira angiotenzin konvertujući enzim (ACE), koji katalizuje konverziju angiotenzina I u vazokonstriktorni peptid, angiotenzin II. Angiotenzin II takođe stimuliše sekreciju aldosterona iz adrenalnog korteksa. Inhibicija ACE rezultira smanjenjem koncentracije angiotenzina II što dovodi do smanjenja vazopresorne aktivnosti i smanjenja sekrecije aldosterona, što može da rezultira povećanjem koncentracije kalijuma u serumu.</w:t>
      </w:r>
    </w:p>
    <w:p w14:paraId="38D3A596">
      <w:pPr>
        <w:widowControl w:val="0"/>
        <w:rPr>
          <w:rFonts w:ascii="Microsoft Sans Serif" w:hAnsi="Microsoft Sans Serif" w:cs="Microsoft Sans Serif"/>
          <w:sz w:val="20"/>
          <w:szCs w:val="20"/>
          <w:lang w:val="sv-SE"/>
        </w:rPr>
      </w:pPr>
    </w:p>
    <w:p w14:paraId="2A8440FD">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Farmakodinamska djelovanja</w:t>
      </w:r>
    </w:p>
    <w:p w14:paraId="2EBDE70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Dok se smatra da je mehanizam preko kog lizinopril smanjuje krvni pritisak primarna supresija renin</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angiotenzin-aldosteron sistema, lizinopril djeluje kao antihipertenziv čak i kod hipertenzivnih pacijenata sa niskom koncentracijom renina. ACE je identičan kinazi II, enzimu koji razgrađuje bradikinin. Ostaje da se razjasni da li povećane koncentracije bradikinina, potentnog vazodilatatornog peptida, igr</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ulogu u terapijskim dejstvima lizinoprila</w:t>
      </w:r>
      <w:r>
        <w:rPr>
          <w:rFonts w:ascii="Microsoft Sans Serif" w:hAnsi="Microsoft Sans Serif" w:cs="Microsoft Sans Serif"/>
          <w:sz w:val="20"/>
          <w:szCs w:val="20"/>
          <w:lang w:val="sr-Cyrl-RS"/>
        </w:rPr>
        <w:t>.</w:t>
      </w:r>
    </w:p>
    <w:p w14:paraId="4655BFF4">
      <w:pPr>
        <w:widowControl w:val="0"/>
        <w:rPr>
          <w:rFonts w:ascii="Microsoft Sans Serif" w:hAnsi="Microsoft Sans Serif" w:cs="Microsoft Sans Serif"/>
          <w:sz w:val="20"/>
          <w:szCs w:val="20"/>
          <w:lang w:val="sv-SE"/>
        </w:rPr>
      </w:pPr>
    </w:p>
    <w:p w14:paraId="62B1D280">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Klinička efikasnost i bezbjednost</w:t>
      </w:r>
    </w:p>
    <w:p w14:paraId="5AE550B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Uticaj lizinoprila na mortalitet i morbiditet kod srčane insuficijencije je ispitivan poređenjem velike doze (32,5 mg ili 35 mg jednom dnevno)</w:t>
      </w:r>
      <w:r>
        <w:rPr>
          <w:rFonts w:ascii="Microsoft Sans Serif" w:hAnsi="Microsoft Sans Serif" w:cs="Microsoft Sans Serif"/>
          <w:sz w:val="20"/>
          <w:szCs w:val="20"/>
          <w:lang w:val="sr-Cyrl-RS"/>
        </w:rPr>
        <w:t xml:space="preserve"> sa</w:t>
      </w:r>
      <w:r>
        <w:rPr>
          <w:rFonts w:ascii="Microsoft Sans Serif" w:hAnsi="Microsoft Sans Serif" w:cs="Microsoft Sans Serif"/>
          <w:sz w:val="20"/>
          <w:szCs w:val="20"/>
          <w:lang w:val="sv-SE"/>
        </w:rPr>
        <w:t xml:space="preserve"> malom dozom (2,5 mg ili 5 mg jednom dnevno). U studiji u kojoj je učestvovalo 3164 pacijenta, sa medijanom </w:t>
      </w:r>
      <w:r>
        <w:rPr>
          <w:rFonts w:ascii="Microsoft Sans Serif" w:hAnsi="Microsoft Sans Serif" w:cs="Microsoft Sans Serif"/>
          <w:sz w:val="20"/>
          <w:szCs w:val="20"/>
          <w:lang w:val="sr-Cyrl-RS"/>
        </w:rPr>
        <w:t xml:space="preserve">perioda </w:t>
      </w:r>
      <w:r>
        <w:rPr>
          <w:rFonts w:ascii="Microsoft Sans Serif" w:hAnsi="Microsoft Sans Serif" w:cs="Microsoft Sans Serif"/>
          <w:sz w:val="20"/>
          <w:szCs w:val="20"/>
          <w:lang w:val="sv-SE"/>
        </w:rPr>
        <w:t>praćenja od 46 meseci kod pacijenata koji su preživjeli, velika doza lizinoprila je dovela do smanjenja rizika od 12% za kombinovani parametar praćenja ishoda – mortalitet bez obzira na uzrok i hospitalizaciju bez obzira na uzrok (p=0,002) i smanjenje rizika od 8% za mortalitet bez obzira na uzrok i hospitalizaciju zbog kardiovaskularnih događaja (p=0,036), u poređenju sa malom dozom. Primjećeno je smanjenje rizika od mortaliteta bez obzira na uzrok (8%; p=0,128) i kardiovaskularni mortalitet (10%; p=0,073). U post-hoc analizi, broj hospitalizacija usljed srčane insuficijencije je smanjen za 24% (p=0,002) kod pacijenata koji su primali veliku dozu lizinoprila u poređenju sa malom dozom. Pobol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šanje simptoma je bilo slično kod pacijenata koji su primali velike i male doze lizinoprila.</w:t>
      </w:r>
    </w:p>
    <w:p w14:paraId="2A556820">
      <w:pPr>
        <w:widowControl w:val="0"/>
        <w:rPr>
          <w:rFonts w:ascii="Microsoft Sans Serif" w:hAnsi="Microsoft Sans Serif" w:cs="Microsoft Sans Serif"/>
          <w:sz w:val="20"/>
          <w:szCs w:val="20"/>
          <w:lang w:val="sv-SE"/>
        </w:rPr>
      </w:pPr>
    </w:p>
    <w:p w14:paraId="29885497">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Rezultati studije su pokazali da je sveukupni profil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enih događaja kod pacijenata na terapiji velikim ili malim dozama lizinoprila bio sličan i po prirodi i po broju. Očekivani događaji koji proizilaze iz inhibicije ACE, kao što su hipotenzija ili izmjenjena renalna funkcija, mogli su da se kontrolišu i rijetko su dovodili do prestanka terapije. Kašal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 se rjeđe pojavl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ivao kod pacijenata koji su dobijali velike doze lizinoprila u odnosu na pacijente koji su dobijali male doze lizinoprila.</w:t>
      </w:r>
    </w:p>
    <w:p w14:paraId="6E21EAD6">
      <w:pPr>
        <w:widowControl w:val="0"/>
        <w:rPr>
          <w:rFonts w:ascii="Microsoft Sans Serif" w:hAnsi="Microsoft Sans Serif" w:cs="Microsoft Sans Serif"/>
          <w:sz w:val="20"/>
          <w:szCs w:val="20"/>
          <w:lang w:val="sv-SE"/>
        </w:rPr>
      </w:pPr>
    </w:p>
    <w:p w14:paraId="263B069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GISSI -3 studiji, koja je koristila 2x2 faktorski dizajn da bi se uporedila djelovanja lizinoprila i gliceriltrinitrata (nitroglicerina) primjenjenih samostalno ili u kombinaciji tokom 6 nedel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u odnosu na kontrolnu grupu od 19394 pacijenta koji su primali terapiju u toku 24 sata nakon akutnog infarkta miokarda, lizinopril je doveo do</w:t>
      </w:r>
      <w:r>
        <w:rPr>
          <w:rFonts w:ascii="Microsoft Sans Serif" w:hAnsi="Microsoft Sans Serif" w:cs="Microsoft Sans Serif"/>
          <w:sz w:val="20"/>
          <w:szCs w:val="20"/>
          <w:lang w:val="sr-Cyrl-RS"/>
        </w:rPr>
        <w:t xml:space="preserve"> statistički</w:t>
      </w:r>
      <w:r>
        <w:rPr>
          <w:rFonts w:ascii="Microsoft Sans Serif" w:hAnsi="Microsoft Sans Serif" w:cs="Microsoft Sans Serif"/>
          <w:sz w:val="20"/>
          <w:szCs w:val="20"/>
          <w:lang w:val="sv-SE"/>
        </w:rPr>
        <w:t xml:space="preserve"> značajnog smanjenja rizika od mortaliteta od 11% u odnosu na kontrolnu grupu (2p=0,03). Smanjenje rizika sa gliceriltrinitratom nije bilo značajno ali je kombinovana primjena lizinoprila i gliceril-trinitrata dovela do značajnog smanjenja rizika od mortaliteta od 17% u odnosu na kontrolnu grupu (2p=0,02). U podgrupi starijih pacijenata (starijih od 70 godina) i žena, unapred definisanih kao pacijenti sa visokim rizikom od mortaliteta, značajna korist je primjećena za kombinovani parametar praćenja mortaliteta i srčane funkcije. Kombinovani parametar praćenja ishoda za sve pacijente, kao i visokorizične podgrupe, nakon 6 meseci, takođe je pokazao značajnu korist kod onih koji su dobijali lizinopril ili lizinopril i gliceriltrinitrat tokom 6 nedel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ukazujući na preventivno dejstvo lizinoprila. Kao što bi se očekivalo za svaku vazodilatatornu terapiju, povećana incidenca pojave hipotenzije i poremećaja renalne funkcije je bila povezana sa terapijom lizinoprilom, ali nije bila povezana sa proporcionalnim povećanjem mortaliteta.</w:t>
      </w:r>
    </w:p>
    <w:p w14:paraId="417953AE">
      <w:pPr>
        <w:widowControl w:val="0"/>
        <w:rPr>
          <w:rFonts w:ascii="Microsoft Sans Serif" w:hAnsi="Microsoft Sans Serif" w:cs="Microsoft Sans Serif"/>
          <w:color w:val="FF0000"/>
          <w:sz w:val="20"/>
          <w:szCs w:val="20"/>
          <w:lang w:val="sv-SE"/>
        </w:rPr>
      </w:pPr>
    </w:p>
    <w:p w14:paraId="668C1F36">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duplo slijepoj, randomizovanoj, multicentričnoj studiji koja je poredila dejstvo lizinoprila sa dejstvom blokatora kalcijumskih kanala kod 335 hipertenzivnih ispitanika sa dijabetesom tipa II i početnom nefropatijom koja se odlikuje mikroalbuminurijom, primjenjene doze lizinoprila od 10 mg do 20 mg, jednom dnevno tokom 12 mjeseci, smanjile su sistolni/dijastolni krvni pritisak za 13/10 mmHg i urinarnu ekskreciju albumina za 40%. Kada se uporedi sa dejstvom blokatora kalcijumskih kanala, koji dovode do sličnog smanjenja krvnog pritiska, ispitanici koji su dobijali lizinopril imali su značajno veće smanjenje urinarne ekskrecije albumina, što dokazuje da lizinopril, pored djelovanja na sniženje krvnog pritiska, svojim inhibitornim dejstvom na angiotenzin konvertujući enzim (ACE), dodatno utiče na smanjenje mikroalbuminurije preko direktnog mehanizma djelovanja na renalna tkiva.</w:t>
      </w:r>
    </w:p>
    <w:p w14:paraId="2896552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Terapija lizinoprilom nema uticaja na kontrolu glikemije što je pokazano izostankom značajnog djelovanja na vrijednosti glikoziliranog hemoglobina (HbA</w:t>
      </w:r>
      <w:r>
        <w:rPr>
          <w:rFonts w:ascii="Microsoft Sans Serif" w:hAnsi="Microsoft Sans Serif" w:cs="Microsoft Sans Serif"/>
          <w:sz w:val="20"/>
          <w:szCs w:val="20"/>
          <w:vertAlign w:val="subscript"/>
          <w:lang w:val="sv-SE"/>
        </w:rPr>
        <w:t>1c</w:t>
      </w:r>
      <w:r>
        <w:rPr>
          <w:rFonts w:ascii="Microsoft Sans Serif" w:hAnsi="Microsoft Sans Serif" w:cs="Microsoft Sans Serif"/>
          <w:sz w:val="20"/>
          <w:szCs w:val="20"/>
          <w:lang w:val="sv-SE"/>
        </w:rPr>
        <w:t>).</w:t>
      </w:r>
    </w:p>
    <w:p w14:paraId="2A4C85CB">
      <w:pPr>
        <w:widowControl w:val="0"/>
        <w:rPr>
          <w:rFonts w:ascii="Microsoft Sans Serif" w:hAnsi="Microsoft Sans Serif" w:cs="Microsoft Sans Serif"/>
          <w:sz w:val="20"/>
          <w:szCs w:val="20"/>
          <w:lang w:val="sv-SE"/>
        </w:rPr>
      </w:pPr>
    </w:p>
    <w:p w14:paraId="54B57611">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Lijekovi koji deluju na renin-angiotenzin sistem (RAS)</w:t>
      </w:r>
    </w:p>
    <w:p w14:paraId="507F424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Kombinovana upotreba ACE-inhibitora i blokatora receptora angiotenzina </w:t>
      </w:r>
      <w:r>
        <w:rPr>
          <w:rFonts w:ascii="Microsoft Sans Serif" w:hAnsi="Microsoft Sans Serif" w:cs="Microsoft Sans Serif"/>
          <w:sz w:val="20"/>
          <w:szCs w:val="20"/>
          <w:lang w:val="sr-Latn-RS"/>
        </w:rPr>
        <w:t>II</w:t>
      </w:r>
      <w:r>
        <w:rPr>
          <w:rFonts w:ascii="Microsoft Sans Serif" w:hAnsi="Microsoft Sans Serif" w:cs="Microsoft Sans Serif"/>
          <w:sz w:val="20"/>
          <w:szCs w:val="20"/>
          <w:lang w:val="sv-SE"/>
        </w:rPr>
        <w:t xml:space="preserve"> ispitivana su u dva velika, randomizovana, kontrolisana ispitivanja ONTARGET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ONgoing Telmisartan Alone and in combination with Ramipril Global Endpoint Trial</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VA NEPHRON-D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The Veterans Affairs Nephropathy in Diabetes). Studija ONTARGET je sprovedena na pacijentima sa kardiovaskularnim ili cerebrovaskularnim 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enjem ili sa dijabetes melitusom tipa 2 udruženim sa potvrđenim oštećenjem cil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nih organa u anamnezi. Studija VA NEPHRON-D je sprovedena kod pacijenata sa dijabetes melitusom tip 2 i dijabetesnom nefropatijom.</w:t>
      </w:r>
    </w:p>
    <w:p w14:paraId="3D1F021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Ove studije nisu pokazale značajne korisne efekte na renalni i/ili kardiovaskularni ishod i mortalitet, dok je uočen povećan rizik za nastanak hiperkalemije, akutnog oštećenja bubrega i/ili hipotenzije u poređenju sa monoterapijom. Uzimajući u obzir njihove slične farmakodinamske osobine, ovi rezultati su takođe relevantni i za druge ACE inhibitore i blokatore receptora angiotenzina II. Prema tome, ACE-inhibitore i blokatore receptora angiotenzina II ne treba primjenjivati istovremeno kod pacijenata sa dijabetesnom nefropatijom.</w:t>
      </w:r>
    </w:p>
    <w:p w14:paraId="69A06487">
      <w:pPr>
        <w:widowControl w:val="0"/>
        <w:rPr>
          <w:rFonts w:ascii="Microsoft Sans Serif" w:hAnsi="Microsoft Sans Serif" w:cs="Microsoft Sans Serif"/>
          <w:color w:val="FF0000"/>
          <w:sz w:val="20"/>
          <w:szCs w:val="20"/>
          <w:lang w:val="sv-SE"/>
        </w:rPr>
      </w:pPr>
      <w:r>
        <w:rPr>
          <w:rFonts w:ascii="Microsoft Sans Serif" w:hAnsi="Microsoft Sans Serif" w:cs="Microsoft Sans Serif"/>
          <w:sz w:val="20"/>
          <w:szCs w:val="20"/>
          <w:lang w:val="sv-SE"/>
        </w:rPr>
        <w:t>Dizajn studije ALTITUDE (Aliskiren Trial in Type 2 Diabetes Using Cardiovascular and Renal Disease Endpoints) imao je za cil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 ispitivanje koristi od dodavanja aliskirena standardnoj terapiji ACE inhibitorom ili blokatorom receptora angiotenzina II kod pacijenata sa dijabetes melitusom tipa 2 i hroničnim 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enjem bubrega </w:t>
      </w:r>
      <w:r>
        <w:rPr>
          <w:rFonts w:ascii="Microsoft Sans Serif" w:hAnsi="Microsoft Sans Serif" w:cs="Microsoft Sans Serif"/>
          <w:sz w:val="20"/>
          <w:szCs w:val="20"/>
          <w:lang w:val="sr-Cyrl-RS"/>
        </w:rPr>
        <w:t>ili</w:t>
      </w:r>
      <w:r>
        <w:rPr>
          <w:rFonts w:ascii="Microsoft Sans Serif" w:hAnsi="Microsoft Sans Serif" w:cs="Microsoft Sans Serif"/>
          <w:sz w:val="20"/>
          <w:szCs w:val="20"/>
          <w:lang w:val="sv-SE"/>
        </w:rPr>
        <w:t xml:space="preserve"> kardiovaskularnim 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enjem ili sa oba 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enja. Studija je rano prekinuta, jer je uočen povećan rizik od nastanka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enih ishoda. Smrtnost usljed kardiovaskularnih događaja i moždani udar bili su češći u grupi koja je dobijala aliskiren u odnosu na grupu koja je dobijala placebo, a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eni događaji od zna</w:t>
      </w:r>
      <w:r>
        <w:rPr>
          <w:rFonts w:ascii="Microsoft Sans Serif" w:hAnsi="Microsoft Sans Serif" w:cs="Microsoft Sans Serif"/>
          <w:sz w:val="20"/>
          <w:szCs w:val="20"/>
          <w:lang w:val="hr-BA"/>
        </w:rPr>
        <w:t xml:space="preserve">čaja </w:t>
      </w:r>
      <w:r>
        <w:rPr>
          <w:rFonts w:ascii="Microsoft Sans Serif" w:hAnsi="Microsoft Sans Serif" w:cs="Microsoft Sans Serif"/>
          <w:sz w:val="20"/>
          <w:szCs w:val="20"/>
          <w:lang w:val="sv-SE"/>
        </w:rPr>
        <w:t>i ozbil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ni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eni događaji (hiperkalemija, hipotenzija i poremećaj renalne funkcije) su </w:t>
      </w:r>
      <w:r>
        <w:rPr>
          <w:rFonts w:ascii="Microsoft Sans Serif" w:hAnsi="Microsoft Sans Serif" w:cs="Microsoft Sans Serif"/>
          <w:sz w:val="20"/>
          <w:szCs w:val="20"/>
          <w:lang w:val="sr-Cyrl-RS"/>
        </w:rPr>
        <w:t>takođe</w:t>
      </w:r>
      <w:r>
        <w:rPr>
          <w:rFonts w:ascii="Microsoft Sans Serif" w:hAnsi="Microsoft Sans Serif" w:cs="Microsoft Sans Serif"/>
          <w:sz w:val="20"/>
          <w:szCs w:val="20"/>
          <w:lang w:val="sv-SE"/>
        </w:rPr>
        <w:t xml:space="preserve"> češće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ivani u grupi koja je dobijala aliskiren u odnosu na grupu koja je dobijala placebo</w:t>
      </w:r>
      <w:r>
        <w:rPr>
          <w:rFonts w:ascii="Microsoft Sans Serif" w:hAnsi="Microsoft Sans Serif" w:cs="Microsoft Sans Serif"/>
          <w:color w:val="FF0000"/>
          <w:sz w:val="20"/>
          <w:szCs w:val="20"/>
          <w:lang w:val="sv-SE"/>
        </w:rPr>
        <w:t>.</w:t>
      </w:r>
    </w:p>
    <w:p w14:paraId="493D7B04">
      <w:pPr>
        <w:widowControl w:val="0"/>
        <w:rPr>
          <w:rFonts w:ascii="Microsoft Sans Serif" w:hAnsi="Microsoft Sans Serif" w:cs="Microsoft Sans Serif"/>
          <w:sz w:val="20"/>
          <w:szCs w:val="20"/>
          <w:lang w:val="sv-SE"/>
        </w:rPr>
      </w:pPr>
    </w:p>
    <w:p w14:paraId="56A5187A">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Pedijatrijska populacija</w:t>
      </w:r>
    </w:p>
    <w:p w14:paraId="16A8D9D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kliničkoj studiji koja je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učivala 115 pedijatrijskih pacijenata sa hipertenzijom, uzrasta 6-16 godina, pacijenti čija je telesna masa bila manja od 50 kg, primali su 0,625 mg, 2,5 mg ili 20 mg lizinoprila jednom dnevno, a pacijenti čija je telesna masa bila 50 kg ili veća, primali su 1,25 mg, 5 mg ili 40 mg lizinoprila jednom dnevno. Na kraju druge nedel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 lizinopril koji je primjenjen jednom dnevno smanjio je krvni pritisak na dozno-zavisan način sa konzistentnom antihipertenzivnom efikasnošću u dozama većim od 1,25 mg.</w:t>
      </w:r>
    </w:p>
    <w:p w14:paraId="66BAA915">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Ovo dejstvo je potvrđeno u fazi obustave, kada je dijastolni pritisak porastao za oko 9 mmHg više kod pacijenata koji su u postupku randomizacije određeni da dobijaju placebo, u odnosu na pacijente koji su randomizovani da ostanu na srednjim i velikim dozama lizinoprila. Dozno-zavisno antihipertenzivno dejstvo lizinoprila je bilo konzistentno u nekoliko demografskih podgrupa: starost, Tanner stadijum, pol i rasa.</w:t>
      </w:r>
    </w:p>
    <w:p w14:paraId="21F57481">
      <w:pPr>
        <w:widowControl w:val="0"/>
        <w:rPr>
          <w:rFonts w:ascii="Microsoft Sans Serif" w:hAnsi="Microsoft Sans Serif" w:cs="Microsoft Sans Serif"/>
          <w:sz w:val="20"/>
          <w:szCs w:val="20"/>
          <w:lang w:val="sv-SE"/>
        </w:rPr>
      </w:pPr>
    </w:p>
    <w:p w14:paraId="60834597">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Amlodipin</w:t>
      </w:r>
    </w:p>
    <w:p w14:paraId="27118BB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Amlodipin je inhibitor ulaska kalcijumovih jona (blokator sporih kanala ili antagonista kalcijumovih jona), tipa dihidropiridina. Amlodipin inhibira transmembranski influks kalcijumovih jona u ćelije glatkih mišića miokarda i krvnih sudova.</w:t>
      </w:r>
    </w:p>
    <w:p w14:paraId="6728FD55">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Mehanizam antihipertenzivnog djelovanja amlodipina proizilazi iz njegovog direktnog relaksantnog djelovanja na glatke mišiće krvnih sudova. </w:t>
      </w:r>
    </w:p>
    <w:p w14:paraId="2A8BA5A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Tačan mehanizam kojim amlodipin ublažava anginu nije u potpunosti razjašnjen, ali se zna da amlodipin smanjuje ukupno ishemijsko opterećenje na sljedeća dva načina:</w:t>
      </w:r>
    </w:p>
    <w:p w14:paraId="4A5E0614">
      <w:pPr>
        <w:widowControl w:val="0"/>
        <w:rPr>
          <w:rFonts w:ascii="Microsoft Sans Serif" w:hAnsi="Microsoft Sans Serif" w:cs="Microsoft Sans Serif"/>
          <w:sz w:val="20"/>
          <w:szCs w:val="20"/>
          <w:lang w:val="sv-SE"/>
        </w:rPr>
      </w:pPr>
    </w:p>
    <w:p w14:paraId="141BF905">
      <w:pPr>
        <w:pStyle w:val="20"/>
        <w:widowControl w:val="0"/>
        <w:ind w:left="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Amlodipin dilatira periferne arteriole i tako smanjuje ukupni periferni otpor (eng. afterload) protiv kojeg srce pumpa krv. S obzirom da srčana frekvenca ostaje stabilna, ovo rasterećenje srca smanjuje potrošnju energije i potrebe za kiseonikom u miokardu.</w:t>
      </w:r>
    </w:p>
    <w:p w14:paraId="102D00CC">
      <w:pPr>
        <w:pStyle w:val="20"/>
        <w:widowControl w:val="0"/>
        <w:ind w:left="0"/>
        <w:rPr>
          <w:rFonts w:ascii="Microsoft Sans Serif" w:hAnsi="Microsoft Sans Serif" w:cs="Microsoft Sans Serif"/>
          <w:sz w:val="20"/>
          <w:szCs w:val="20"/>
          <w:lang w:val="sv-SE"/>
        </w:rPr>
      </w:pPr>
    </w:p>
    <w:p w14:paraId="29844CA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Mehanizam djelovanja amlodipina takođe vjerovatno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učuje i dilataciju glavnih koronarnih arterija i arteriola, kako u zdravim, tako i u dijelovima zahvaćenim ishemijom. Ova dilatacija povećava dotok kiseonika u miokard kod pacijenata sa spazmom koronarne arterije (Prin</w:t>
      </w:r>
      <w:r>
        <w:rPr>
          <w:rFonts w:ascii="Microsoft Sans Serif" w:hAnsi="Microsoft Sans Serif" w:cs="Microsoft Sans Serif"/>
          <w:sz w:val="20"/>
          <w:szCs w:val="20"/>
          <w:lang w:val="sr-Cyrl-RS"/>
        </w:rPr>
        <w:t>z</w:t>
      </w:r>
      <w:r>
        <w:rPr>
          <w:rFonts w:ascii="Microsoft Sans Serif" w:hAnsi="Microsoft Sans Serif" w:cs="Microsoft Sans Serif"/>
          <w:sz w:val="20"/>
          <w:szCs w:val="20"/>
          <w:lang w:val="sv-SE"/>
        </w:rPr>
        <w:t>metal-ova angina)</w:t>
      </w:r>
    </w:p>
    <w:p w14:paraId="537C9102">
      <w:pPr>
        <w:pStyle w:val="20"/>
        <w:ind w:left="0"/>
        <w:rPr>
          <w:rFonts w:ascii="Microsoft Sans Serif" w:hAnsi="Microsoft Sans Serif" w:cs="Microsoft Sans Serif"/>
          <w:sz w:val="20"/>
          <w:szCs w:val="20"/>
          <w:lang w:val="sv-SE"/>
        </w:rPr>
      </w:pPr>
    </w:p>
    <w:p w14:paraId="14C73A9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pacijenata sa hipertenzijom, primjena amlodipina jednom dnevno dovodi do klinički značajnog sniženja krvnog pritiska i u ležećem i u stojećem položaju tokom intervala od 24 sata. Usljed sporog početka djelovanja, akutna hipotenzija se ne 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posle primjene amlodipina.</w:t>
      </w:r>
    </w:p>
    <w:p w14:paraId="3A1F8CF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pacijenata sa anginom pektoris, primjena amlodipina jednom dnevno produžava ukupno vrijeme na testu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opterećenja, vrijeme do pojave angine ili pojave depresije ST segmenta za 1 </w:t>
      </w:r>
      <w:r>
        <w:rPr>
          <w:rFonts w:ascii="Microsoft Sans Serif" w:hAnsi="Microsoft Sans Serif" w:cs="Microsoft Sans Serif"/>
          <w:sz w:val="20"/>
          <w:szCs w:val="20"/>
          <w:lang w:val="sr-Latn-RS"/>
        </w:rPr>
        <w:t>mm</w:t>
      </w:r>
      <w:r>
        <w:rPr>
          <w:rFonts w:ascii="Microsoft Sans Serif" w:hAnsi="Microsoft Sans Serif" w:cs="Microsoft Sans Serif"/>
          <w:sz w:val="20"/>
          <w:szCs w:val="20"/>
          <w:lang w:val="sv-SE"/>
        </w:rPr>
        <w:t>, i smanjuje kako učestalost napada angine tako i potrebu od uzimanjem tableta gliceriltrinitrata.</w:t>
      </w:r>
    </w:p>
    <w:p w14:paraId="6770D9D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Amlodipin nije povezan sa bilo kojim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enim metaboličkim dejstvima ili promjenama u vrijednostima lipida u plazmi i pogodan je za primjenu kod pacijenata sa bronhijalnom astmom, dijabetes melitusom i gihtom.</w:t>
      </w:r>
    </w:p>
    <w:p w14:paraId="6F611631">
      <w:pPr>
        <w:widowControl w:val="0"/>
        <w:rPr>
          <w:rFonts w:ascii="Microsoft Sans Serif" w:hAnsi="Microsoft Sans Serif" w:cs="Microsoft Sans Serif"/>
          <w:sz w:val="20"/>
          <w:szCs w:val="20"/>
          <w:lang w:val="sv-SE"/>
        </w:rPr>
      </w:pPr>
    </w:p>
    <w:p w14:paraId="7A9D4BE2">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Srčana insuficijencija</w:t>
      </w:r>
    </w:p>
    <w:p w14:paraId="7F75277E">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Hemodinamske studije i kontrolisane kliničke studije zasnovane na testu opterećenja kod pacijenata sa srčanom insuficijencijom NYHA klase II-IV pokazale su da amlodipin nije doveo do pogoršanja kliničkog </w:t>
      </w:r>
      <w:r>
        <w:rPr>
          <w:rFonts w:ascii="Microsoft Sans Serif" w:hAnsi="Microsoft Sans Serif" w:cs="Microsoft Sans Serif"/>
          <w:sz w:val="20"/>
          <w:szCs w:val="20"/>
          <w:lang w:val="mk-MK"/>
        </w:rPr>
        <w:t>stanja pacijenata</w:t>
      </w:r>
      <w:r>
        <w:rPr>
          <w:rFonts w:ascii="Microsoft Sans Serif" w:hAnsi="Microsoft Sans Serif" w:cs="Microsoft Sans Serif"/>
          <w:sz w:val="20"/>
          <w:szCs w:val="20"/>
          <w:lang w:val="sv-SE"/>
        </w:rPr>
        <w:t>, što je mjereno testom podnošenja opterećenja, ejekcionom frakcijom lijeve komore i kliničkom simptomatologijom.</w:t>
      </w:r>
    </w:p>
    <w:p w14:paraId="4C78F97E">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placebo kontrolisanoj studiji (PRAISE) dizajniranoj da procjeni pacijente sa srčanom insuficijencijom NYHA klase III-IV koji su dobijali digoksin, diuretike i ACE inhibitore, pokazano je da amlodipin nije doveo do povećanja rizika od mortaliteta ili kombinovanog rizika od mortaliteta i morbiditeta kod pacijenata sa srčanom insuficijencijom.</w:t>
      </w:r>
    </w:p>
    <w:p w14:paraId="5808463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dugotrajnoj, placebo-kontrolisanoj studiji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(PRAISE-2) sa amlodipinom kod pacijenata sa srčanom insuficijencijom NYHA klase III-IV bez kliničkih simptoma ili objektivnih nalaza koji ukazuju na postojanje ishemijske bolesti, amlodipin primjenjen sa fiksnim dozama ACE inhibitora, srčanih </w:t>
      </w:r>
      <w:r>
        <w:rPr>
          <w:rFonts w:ascii="Microsoft Sans Serif" w:hAnsi="Microsoft Sans Serif" w:cs="Microsoft Sans Serif"/>
          <w:sz w:val="20"/>
          <w:szCs w:val="20"/>
          <w:lang w:val="sr-Cyrl-RS"/>
        </w:rPr>
        <w:t>glikozida</w:t>
      </w:r>
      <w:r>
        <w:rPr>
          <w:rFonts w:ascii="Microsoft Sans Serif" w:hAnsi="Microsoft Sans Serif" w:cs="Microsoft Sans Serif"/>
          <w:sz w:val="20"/>
          <w:szCs w:val="20"/>
          <w:lang w:val="sv-SE"/>
        </w:rPr>
        <w:t xml:space="preserve"> i diuretika, nije imao uticaj na ukupan</w:t>
      </w:r>
      <w:r>
        <w:rPr>
          <w:rFonts w:ascii="Microsoft Sans Serif" w:hAnsi="Microsoft Sans Serif" w:cs="Microsoft Sans Serif"/>
          <w:sz w:val="20"/>
          <w:szCs w:val="20"/>
          <w:lang w:val="sr-Cyrl-RS"/>
        </w:rPr>
        <w:t xml:space="preserve"> mortalitet ili</w:t>
      </w:r>
      <w:r>
        <w:rPr>
          <w:rFonts w:ascii="Microsoft Sans Serif" w:hAnsi="Microsoft Sans Serif" w:cs="Microsoft Sans Serif"/>
          <w:sz w:val="20"/>
          <w:szCs w:val="20"/>
          <w:lang w:val="sv-SE"/>
        </w:rPr>
        <w:t xml:space="preserve"> kardiovaskularni mortalitet. U ovoj istoj populaciji, primjena amlodipina je bila povezana sa povećanom učestalošću prijave pulmonalnog edema.</w:t>
      </w:r>
    </w:p>
    <w:p w14:paraId="5079A376">
      <w:pPr>
        <w:widowControl w:val="0"/>
        <w:rPr>
          <w:rFonts w:ascii="Microsoft Sans Serif" w:hAnsi="Microsoft Sans Serif" w:cs="Microsoft Sans Serif"/>
          <w:sz w:val="20"/>
          <w:szCs w:val="20"/>
          <w:lang w:val="sv-SE"/>
        </w:rPr>
      </w:pPr>
    </w:p>
    <w:p w14:paraId="6580C1A7">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Studija antihipertenzivne terapije i smanjenja vrijednosti lipida u prevenciji srčanog udara (</w:t>
      </w:r>
      <w:r>
        <w:rPr>
          <w:rFonts w:ascii="Microsoft Sans Serif" w:hAnsi="Microsoft Sans Serif" w:cs="Microsoft Sans Serif"/>
          <w:i/>
          <w:iCs/>
          <w:sz w:val="20"/>
          <w:szCs w:val="20"/>
          <w:lang w:val="sv-SE"/>
        </w:rPr>
        <w:t>ALLHAT)</w:t>
      </w:r>
      <w:r>
        <w:rPr>
          <w:rFonts w:ascii="Microsoft Sans Serif" w:hAnsi="Microsoft Sans Serif" w:cs="Microsoft Sans Serif"/>
          <w:i/>
          <w:sz w:val="20"/>
          <w:szCs w:val="20"/>
          <w:lang w:val="sv-SE"/>
        </w:rPr>
        <w:t>)</w:t>
      </w:r>
    </w:p>
    <w:p w14:paraId="59A57425">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Randomizovana, dvostruko slijepa, studija morbiditeta i mortaliteta pod nazivom ALLHAT (engl.  Antihypertensive and Lipid-Lowering Treatment to Prevent Heart Attack Trial) je sprovedena da bi uporedila novije terapijske opcije: amlodipin 2,5-10 mg/dnevno (blokator kalcijumskih kanala) ili lizinopril 10- 40 mg/dnevno (ACE inhibitor) kao prva linija terapije, u odnosu na tiazidni diuretik</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hlortalidon 12,5- 25 mg/dnevno kod blage do umjerene hipertenzije.</w:t>
      </w:r>
    </w:p>
    <w:p w14:paraId="3B65876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Ukupno je 33357 hipertenzivnih pacijenata starosti 55 godina ili više, bilo je randomizovano i praćeno u prosjeku 4,9 godina. Pacijenti su imali najmanje jedan dodatni faktor rizika za koronarnu bolest srca (KBS)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učujući: prethodni infarkt miokarda ili moždani udar (događaj se desio više od 6 mjeseci prije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učenja u studiju) ili dokumentovana druga aterosklerotska kardiovaskularna 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enja (ukupno 51,5 %), dijabetes tipa 2 (36,1%), HDL-holesterol &lt; 35 mg/dl (11,6%), hipertrofija lijeve komore dijagnostikovana elektrokardiogramom ili ehokardiografijom (20,9%), trenutno konzumiranje cigareta (21,9%). </w:t>
      </w:r>
    </w:p>
    <w:p w14:paraId="4108841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Primarni parametar praćenja ishoda obuhvatao je zbir fatalne KBS ili nefatalnih infarkta miokarda. Nije bilo značajne razlike u primarnom parametru praćenja ishoda između terapije zasnovane na amlodipinu i terapije zasnovane na hlortalidonu: RR (relativni rizik) 0.98; 95% CI: 0.90-1.07; p=0.65. Među sekundarnim parametrima praćenja ishoda, incidenca srčane insuficijencije (komponenta složenog kombinovanog kardiovaskularnog parametra praćenja) bila je značajno veća u grupi koja je dobijala amlodipin u odnosu na grupu koja je dobijala hlortalidon (10.2% na prema 7.7%; RR: 1.38; 95% CI: 1.25</w:t>
      </w:r>
      <w:r>
        <w:rPr>
          <w:rFonts w:ascii="Microsoft Sans Serif" w:hAnsi="Microsoft Sans Serif" w:cs="Microsoft Sans Serif"/>
          <w:sz w:val="20"/>
          <w:szCs w:val="20"/>
          <w:lang w:val="sv-SE"/>
        </w:rPr>
        <w:noBreakHyphen/>
      </w:r>
      <w:r>
        <w:rPr>
          <w:rFonts w:ascii="Microsoft Sans Serif" w:hAnsi="Microsoft Sans Serif" w:cs="Microsoft Sans Serif"/>
          <w:sz w:val="20"/>
          <w:szCs w:val="20"/>
          <w:lang w:val="sv-SE"/>
        </w:rPr>
        <w:t>1.52; p &lt; 0,001). Međutim, nije bilo značajne razlike u mortalitetu usled svih uzroka između terapije zasnovane na amlodipinu i terapije zasnovane na hlortalidonu:  RR 0.96; 95% CI: 0.89-1.02; p=0.20.</w:t>
      </w:r>
    </w:p>
    <w:p w14:paraId="7EBF2723">
      <w:pPr>
        <w:widowControl w:val="0"/>
        <w:rPr>
          <w:rFonts w:ascii="Microsoft Sans Serif" w:hAnsi="Microsoft Sans Serif" w:cs="Microsoft Sans Serif"/>
          <w:color w:val="FF0000"/>
          <w:sz w:val="20"/>
          <w:szCs w:val="20"/>
          <w:lang w:val="sv-SE"/>
        </w:rPr>
      </w:pPr>
    </w:p>
    <w:p w14:paraId="064D54F1">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Pedijatrijska populacija (uzrast od 6 i više godina)</w:t>
      </w:r>
    </w:p>
    <w:p w14:paraId="5FC0525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studiji koja je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učivala 268 djece uzrasta od 6-17 godina sa predominantnom sekundarnom hipertenzijom, koja je upoređivala primjenu amlodipina u dozi od 2,5 mg i 5,0 mg sa placebom, pokazano je da obje doze dovode do značajnog smanjenja sistolnog krvnog pritiska u odnosu na placebo. Razlika između dvije doze nije bila statistički značajna.</w:t>
      </w:r>
    </w:p>
    <w:p w14:paraId="702343DE">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Dugotrajno dejstvo amlodipina na rast, pubertet i opšti razvoj nije ispitivano. Takođe, nije utvrđena dugotrajna efikasnost terapije amlodipinom u detinjstvu, u cil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 smanjenja kardiovaskularnog morbiditeta i mortaliteta u odraslom dobu.</w:t>
      </w:r>
    </w:p>
    <w:p w14:paraId="13EF964F">
      <w:pPr>
        <w:widowControl w:val="0"/>
        <w:rPr>
          <w:rFonts w:ascii="Microsoft Sans Serif" w:hAnsi="Microsoft Sans Serif" w:cs="Microsoft Sans Serif"/>
          <w:sz w:val="20"/>
          <w:szCs w:val="20"/>
          <w:lang w:val="sv-SE"/>
        </w:rPr>
      </w:pPr>
    </w:p>
    <w:p w14:paraId="69661583">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5.2. Farmakokinetički podaci</w:t>
      </w:r>
    </w:p>
    <w:p w14:paraId="0C542101">
      <w:pPr>
        <w:widowControl w:val="0"/>
        <w:rPr>
          <w:rFonts w:ascii="Microsoft Sans Serif" w:hAnsi="Microsoft Sans Serif" w:cs="Microsoft Sans Serif"/>
          <w:i/>
          <w:iCs/>
          <w:sz w:val="20"/>
          <w:szCs w:val="20"/>
          <w:u w:val="single"/>
          <w:lang w:val="sv-SE"/>
        </w:rPr>
      </w:pPr>
    </w:p>
    <w:p w14:paraId="1282D1BF">
      <w:pPr>
        <w:widowControl w:val="0"/>
        <w:rPr>
          <w:rFonts w:ascii="Microsoft Sans Serif" w:hAnsi="Microsoft Sans Serif" w:cs="Microsoft Sans Serif"/>
          <w:i/>
          <w:iCs/>
          <w:sz w:val="20"/>
          <w:szCs w:val="20"/>
          <w:u w:val="single"/>
          <w:lang w:val="sv-SE"/>
        </w:rPr>
      </w:pPr>
      <w:r>
        <w:rPr>
          <w:rFonts w:ascii="Microsoft Sans Serif" w:hAnsi="Microsoft Sans Serif" w:cs="Microsoft Sans Serif"/>
          <w:i/>
          <w:iCs/>
          <w:sz w:val="20"/>
          <w:szCs w:val="20"/>
          <w:u w:val="single"/>
          <w:lang w:val="sv-SE"/>
        </w:rPr>
        <w:t>Lizinopril</w:t>
      </w:r>
    </w:p>
    <w:p w14:paraId="3FB55092">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Lizinopril je oralni aktivni ACE inhibitor koji ne sadrži sulfhidrilnu grupu.</w:t>
      </w:r>
    </w:p>
    <w:p w14:paraId="29E0D61E">
      <w:pPr>
        <w:widowControl w:val="0"/>
        <w:rPr>
          <w:rFonts w:ascii="Microsoft Sans Serif" w:hAnsi="Microsoft Sans Serif" w:cs="Microsoft Sans Serif"/>
          <w:iCs/>
          <w:sz w:val="20"/>
          <w:szCs w:val="20"/>
          <w:lang w:val="sv-SE"/>
        </w:rPr>
      </w:pPr>
    </w:p>
    <w:p w14:paraId="31831803">
      <w:pPr>
        <w:widowControl w:val="0"/>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Resorpcija</w:t>
      </w:r>
    </w:p>
    <w:p w14:paraId="0D3D0023">
      <w:pPr>
        <w:widowControl w:val="0"/>
        <w:rPr>
          <w:rFonts w:ascii="Microsoft Sans Serif" w:hAnsi="Microsoft Sans Serif" w:cs="Microsoft Sans Serif"/>
          <w:i/>
          <w:iCs/>
          <w:sz w:val="20"/>
          <w:szCs w:val="20"/>
          <w:u w:val="single"/>
          <w:lang w:val="sv-SE"/>
        </w:rPr>
      </w:pPr>
      <w:r>
        <w:rPr>
          <w:rFonts w:ascii="Microsoft Sans Serif" w:hAnsi="Microsoft Sans Serif" w:cs="Microsoft Sans Serif"/>
          <w:iCs/>
          <w:sz w:val="20"/>
          <w:szCs w:val="20"/>
          <w:lang w:val="sv-SE"/>
        </w:rPr>
        <w:t>Nakon oralne primjene lizinoprila, maksimalne koncentracije u serumu se postižu posle otprilike 7 sati, iako kod pacijenata sa akutnim infarktom miokarda to vrijeme može biti malo produženo. Na osnovu količine aktivne supstance izlučene putem urina, srednja vrednost stepena resorpcije lizinoprila je otprilike 25%, sa varijabilnošću između pacijenata od 6-60% u okviru raspona ispitivanih doza (5-80 mg). Apsolutna bioraspoloživost je smanjena za oko 16 % kod pacijenata sa srčanom insuficijencijom. Prisustvo hrane ne utiče na resorpciju lizinoprila.</w:t>
      </w:r>
    </w:p>
    <w:p w14:paraId="783AF868">
      <w:pPr>
        <w:widowControl w:val="0"/>
        <w:rPr>
          <w:rFonts w:ascii="Microsoft Sans Serif" w:hAnsi="Microsoft Sans Serif" w:cs="Microsoft Sans Serif"/>
          <w:iCs/>
          <w:sz w:val="20"/>
          <w:szCs w:val="20"/>
          <w:lang w:val="sv-SE"/>
        </w:rPr>
      </w:pPr>
    </w:p>
    <w:p w14:paraId="0958A8BE">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Distribucija</w:t>
      </w:r>
    </w:p>
    <w:p w14:paraId="294E3759">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Lizinopril se vjerovatno vezuje samo za cirkulišući angiotenzin konvertujući enzim (ACE), a ne i za druge serumske proteine. Studije na pacovima ukazuju da lizinopril slabo prolazi kroz krvno-moždanu barijeru.</w:t>
      </w:r>
    </w:p>
    <w:p w14:paraId="38AE1F42">
      <w:pPr>
        <w:widowControl w:val="0"/>
        <w:rPr>
          <w:rFonts w:ascii="Microsoft Sans Serif" w:hAnsi="Microsoft Sans Serif" w:cs="Microsoft Sans Serif"/>
          <w:sz w:val="20"/>
          <w:szCs w:val="20"/>
          <w:u w:val="single"/>
          <w:lang w:val="sv-SE"/>
        </w:rPr>
      </w:pPr>
    </w:p>
    <w:p w14:paraId="0AF1FD39">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Eliminacija</w:t>
      </w:r>
    </w:p>
    <w:p w14:paraId="008C29C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Lizinopril ne podliježe metabolizmu i izlučuje se u potpunosti u nepromjenjenom obliku putem urina. Kod višestrukog doziranja, lizinopril ima efektivno poluvrijeme kumulacije od 12,6 sati. Klirens lizinoprila kod zdravih ispitanika je oko 50 ml/min. Pad serumskih koncentracija pokazuje produženu terminalnu fazu, koja ne doprinosi kumulaciji lijeka. Ova terminalna faza vjerovatno predstavl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saturisano vezivanje za ACE i nije proporcionalna dozi.</w:t>
      </w:r>
    </w:p>
    <w:p w14:paraId="1C2CA339">
      <w:pPr>
        <w:widowControl w:val="0"/>
        <w:rPr>
          <w:rFonts w:ascii="Microsoft Sans Serif" w:hAnsi="Microsoft Sans Serif" w:cs="Microsoft Sans Serif"/>
          <w:sz w:val="20"/>
          <w:szCs w:val="20"/>
          <w:u w:val="single"/>
          <w:lang w:val="sv-SE"/>
        </w:rPr>
      </w:pPr>
    </w:p>
    <w:p w14:paraId="777E7DF3">
      <w:pPr>
        <w:widowControl w:val="0"/>
        <w:rPr>
          <w:rFonts w:ascii="Microsoft Sans Serif" w:hAnsi="Microsoft Sans Serif" w:cs="Microsoft Sans Serif"/>
          <w:i/>
          <w:iCs/>
          <w:sz w:val="20"/>
          <w:szCs w:val="20"/>
          <w:u w:val="single"/>
          <w:lang w:val="sv-SE"/>
        </w:rPr>
      </w:pPr>
      <w:r>
        <w:rPr>
          <w:rFonts w:ascii="Microsoft Sans Serif" w:hAnsi="Microsoft Sans Serif" w:cs="Microsoft Sans Serif"/>
          <w:i/>
          <w:iCs/>
          <w:sz w:val="20"/>
          <w:szCs w:val="20"/>
          <w:u w:val="single"/>
          <w:lang w:val="sv-SE"/>
        </w:rPr>
        <w:t>Farmkokinetičke karakteristike kod posebnih populacija</w:t>
      </w:r>
    </w:p>
    <w:p w14:paraId="4AB2BA1E">
      <w:pPr>
        <w:widowControl w:val="0"/>
        <w:rPr>
          <w:rFonts w:ascii="Microsoft Sans Serif" w:hAnsi="Microsoft Sans Serif" w:cs="Microsoft Sans Serif"/>
          <w:i/>
          <w:iCs/>
          <w:sz w:val="20"/>
          <w:szCs w:val="20"/>
          <w:u w:val="single"/>
          <w:lang w:val="sv-SE"/>
        </w:rPr>
      </w:pPr>
    </w:p>
    <w:p w14:paraId="459AE33F">
      <w:pPr>
        <w:widowControl w:val="0"/>
        <w:rPr>
          <w:rFonts w:ascii="Microsoft Sans Serif" w:hAnsi="Microsoft Sans Serif" w:cs="Microsoft Sans Serif"/>
          <w:i/>
          <w:iCs/>
          <w:sz w:val="20"/>
          <w:szCs w:val="20"/>
          <w:lang w:val="sv-SE"/>
        </w:rPr>
      </w:pPr>
      <w:r>
        <w:rPr>
          <w:rFonts w:ascii="Microsoft Sans Serif" w:hAnsi="Microsoft Sans Serif" w:cs="Microsoft Sans Serif"/>
          <w:i/>
          <w:iCs/>
          <w:sz w:val="20"/>
          <w:szCs w:val="20"/>
          <w:lang w:val="sv-SE"/>
        </w:rPr>
        <w:t>Oštećenje funkcije jetre</w:t>
      </w:r>
    </w:p>
    <w:p w14:paraId="620CB343">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Oštećenje funkcije jetre kod pacijenata sa cirozom dovodi do smanjenja resorpcije lizinoprila (oko 30%, određeno na osnovu količine aktivne supstance izlučene u urinu), ali povećanja izloženosti (oko 50%) u poređenju sa zdravim ispitanicima, usljed smanjenja klirensa.</w:t>
      </w:r>
    </w:p>
    <w:p w14:paraId="1C460734">
      <w:pPr>
        <w:widowControl w:val="0"/>
        <w:rPr>
          <w:rFonts w:ascii="Microsoft Sans Serif" w:hAnsi="Microsoft Sans Serif" w:cs="Microsoft Sans Serif"/>
          <w:iCs/>
          <w:sz w:val="20"/>
          <w:szCs w:val="20"/>
          <w:lang w:val="sv-SE"/>
        </w:rPr>
      </w:pPr>
    </w:p>
    <w:p w14:paraId="458F2504">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Oštećenje funkcije bubrega</w:t>
      </w:r>
    </w:p>
    <w:p w14:paraId="1F8BDD1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Oštećenje funkcije </w:t>
      </w:r>
      <w:r>
        <w:rPr>
          <w:rFonts w:ascii="Microsoft Sans Serif" w:hAnsi="Microsoft Sans Serif" w:cs="Microsoft Sans Serif"/>
          <w:sz w:val="20"/>
          <w:szCs w:val="20"/>
          <w:lang w:val="sr-Cyrl-RS"/>
        </w:rPr>
        <w:t xml:space="preserve">bubrega </w:t>
      </w:r>
      <w:r>
        <w:rPr>
          <w:rFonts w:ascii="Microsoft Sans Serif" w:hAnsi="Microsoft Sans Serif" w:cs="Microsoft Sans Serif"/>
          <w:sz w:val="20"/>
          <w:szCs w:val="20"/>
          <w:lang w:val="sv-SE"/>
        </w:rPr>
        <w:t>smanjuje eliminaciju lizinoprila, koji se izlučuje putem bubrega, ali je ovo smanjenje klinički značajno samo kada je brzina glomerularne filtracije ispod 30 ml/min. Kod blagog i umjerenog oštećenja renalne funkcije (klirens kreatinina 30 do 80 ml/min), srednja vrednost PIK-a je povećana samo za 13%, dok je 4,5 puta veća srednja vrednost PIK-a zabilježena kod teškog oštećenja renalne funkcije (klirens kreatinina između 5 i 30 ml/min). Lizinopril se može ukloniti dijalizom. Za 4 sata hemodijalize, koncentracije lizinoprila u plazmi smanjuju se u prosjeku za 60%, sa klirensom dijalize između 40 i 55 ml/min.</w:t>
      </w:r>
    </w:p>
    <w:p w14:paraId="53ADEF55">
      <w:pPr>
        <w:widowControl w:val="0"/>
        <w:rPr>
          <w:rFonts w:ascii="Microsoft Sans Serif" w:hAnsi="Microsoft Sans Serif" w:cs="Microsoft Sans Serif"/>
          <w:sz w:val="20"/>
          <w:szCs w:val="20"/>
          <w:lang w:val="sr-Latn-RS"/>
        </w:rPr>
      </w:pPr>
    </w:p>
    <w:p w14:paraId="52C37542">
      <w:pPr>
        <w:widowControl w:val="0"/>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Srčana insuficijencija</w:t>
      </w:r>
    </w:p>
    <w:p w14:paraId="2F76359A">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Pacijenti sa srčanom insuficijencijom imaju veću izloženost lizinoprilu u poređenju sa zdravim ispitanicima (povećanje vrednosti PIK u prosjeku od 125%), ali na osnovu količine lizinoprila izlučene u urinu postoji smanjena resorpcija od oko 16% u poređenju sa zdravim ispitanicima.</w:t>
      </w:r>
    </w:p>
    <w:p w14:paraId="64F31981">
      <w:pPr>
        <w:widowControl w:val="0"/>
        <w:rPr>
          <w:rFonts w:ascii="Microsoft Sans Serif" w:hAnsi="Microsoft Sans Serif" w:cs="Microsoft Sans Serif"/>
          <w:sz w:val="20"/>
          <w:szCs w:val="20"/>
          <w:lang w:val="sr-Latn-RS"/>
        </w:rPr>
      </w:pPr>
    </w:p>
    <w:p w14:paraId="5D264B6B">
      <w:pPr>
        <w:widowControl w:val="0"/>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Pedijatrijska populacija</w:t>
      </w:r>
    </w:p>
    <w:p w14:paraId="212834BE">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Farmakokinetički profil lizinoprila je ispitivan kod 29 pedijatrijskih hipertenzivnih pacijenata, uzrasta od 6 do 16 godina, sa GFR iznad 30 ml/min/1,73 m</w:t>
      </w:r>
      <w:r>
        <w:rPr>
          <w:rFonts w:ascii="Microsoft Sans Serif" w:hAnsi="Microsoft Sans Serif" w:cs="Microsoft Sans Serif"/>
          <w:sz w:val="20"/>
          <w:szCs w:val="20"/>
          <w:vertAlign w:val="superscript"/>
          <w:lang w:val="sr-Latn-RS"/>
        </w:rPr>
        <w:t>2</w:t>
      </w:r>
      <w:r>
        <w:rPr>
          <w:rFonts w:ascii="Microsoft Sans Serif" w:hAnsi="Microsoft Sans Serif" w:cs="Microsoft Sans Serif"/>
          <w:sz w:val="20"/>
          <w:szCs w:val="20"/>
          <w:lang w:val="sr-Latn-RS"/>
        </w:rPr>
        <w:t>. Poslije doze od 0,1 do 0,2 mg/kg, maksimalne koncentracije lizinoprila u plazmi u stanju ravnoteže se 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aju u roku od 6 sati, i stepen resorpcije zasnovan na količini lijeka izlučenoj putem urina bio je oko 28%. Ove vrijednosti su slične prethodno dobijenim vrednostima kod odraslih. Vrednosti PIK-a i C</w:t>
      </w:r>
      <w:r>
        <w:rPr>
          <w:rFonts w:ascii="Microsoft Sans Serif" w:hAnsi="Microsoft Sans Serif" w:cs="Microsoft Sans Serif"/>
          <w:sz w:val="20"/>
          <w:szCs w:val="20"/>
          <w:vertAlign w:val="subscript"/>
          <w:lang w:val="sr-Latn-RS"/>
        </w:rPr>
        <w:t>max</w:t>
      </w:r>
      <w:r>
        <w:rPr>
          <w:rFonts w:ascii="Microsoft Sans Serif" w:hAnsi="Microsoft Sans Serif" w:cs="Microsoft Sans Serif"/>
          <w:sz w:val="20"/>
          <w:szCs w:val="20"/>
          <w:lang w:val="sr-Latn-RS"/>
        </w:rPr>
        <w:t xml:space="preserve"> kod djece u ovoj studiji su konzistentne sa onima koje su zabilježene kod odraslih.</w:t>
      </w:r>
    </w:p>
    <w:p w14:paraId="1E7C33F1">
      <w:pPr>
        <w:widowControl w:val="0"/>
        <w:rPr>
          <w:rFonts w:ascii="Microsoft Sans Serif" w:hAnsi="Microsoft Sans Serif" w:cs="Microsoft Sans Serif"/>
          <w:sz w:val="20"/>
          <w:szCs w:val="20"/>
          <w:lang w:val="sr-Latn-RS"/>
        </w:rPr>
      </w:pPr>
    </w:p>
    <w:p w14:paraId="1DE17301">
      <w:pPr>
        <w:widowControl w:val="0"/>
        <w:rPr>
          <w:rFonts w:ascii="Microsoft Sans Serif" w:hAnsi="Microsoft Sans Serif" w:cs="Microsoft Sans Serif"/>
          <w:i/>
          <w:iCs/>
          <w:sz w:val="20"/>
          <w:szCs w:val="20"/>
          <w:lang w:val="sr-Latn-RS"/>
        </w:rPr>
      </w:pPr>
      <w:r>
        <w:rPr>
          <w:rFonts w:ascii="Microsoft Sans Serif" w:hAnsi="Microsoft Sans Serif" w:cs="Microsoft Sans Serif"/>
          <w:i/>
          <w:iCs/>
          <w:sz w:val="20"/>
          <w:szCs w:val="20"/>
          <w:lang w:val="sr-Latn-RS"/>
        </w:rPr>
        <w:t>Stariji pacijenti</w:t>
      </w:r>
    </w:p>
    <w:p w14:paraId="6D05A7A8">
      <w:pPr>
        <w:widowControl w:val="0"/>
        <w:rPr>
          <w:rFonts w:ascii="Microsoft Sans Serif" w:hAnsi="Microsoft Sans Serif" w:cs="Microsoft Sans Serif"/>
          <w:iCs/>
          <w:sz w:val="20"/>
          <w:szCs w:val="20"/>
          <w:lang w:val="sr-Latn-RS"/>
        </w:rPr>
      </w:pPr>
      <w:r>
        <w:rPr>
          <w:rFonts w:ascii="Microsoft Sans Serif" w:hAnsi="Microsoft Sans Serif" w:cs="Microsoft Sans Serif"/>
          <w:iCs/>
          <w:sz w:val="20"/>
          <w:szCs w:val="20"/>
          <w:lang w:val="sr-Latn-RS"/>
        </w:rPr>
        <w:t xml:space="preserve">Stariji pacijenti imaju veće koncentracije u krvi i veće vrednosti PIK-a (povećanje od oko 60%) u poređenju sa mlađim ispitanicima. </w:t>
      </w:r>
    </w:p>
    <w:p w14:paraId="0CFDBE03">
      <w:pPr>
        <w:widowControl w:val="0"/>
        <w:rPr>
          <w:rFonts w:ascii="Microsoft Sans Serif" w:hAnsi="Microsoft Sans Serif" w:cs="Microsoft Sans Serif"/>
          <w:color w:val="FF0000"/>
          <w:sz w:val="20"/>
          <w:szCs w:val="20"/>
          <w:lang w:val="sr-Latn-RS"/>
        </w:rPr>
      </w:pPr>
    </w:p>
    <w:p w14:paraId="7D6F34CE">
      <w:pPr>
        <w:widowControl w:val="0"/>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Amlodipin</w:t>
      </w:r>
    </w:p>
    <w:p w14:paraId="2E49BA20">
      <w:pPr>
        <w:widowControl w:val="0"/>
        <w:rPr>
          <w:rFonts w:ascii="Microsoft Sans Serif" w:hAnsi="Microsoft Sans Serif" w:cs="Microsoft Sans Serif"/>
          <w:i/>
          <w:sz w:val="20"/>
          <w:szCs w:val="20"/>
          <w:u w:val="single"/>
          <w:lang w:val="sr-Latn-RS"/>
        </w:rPr>
      </w:pPr>
    </w:p>
    <w:p w14:paraId="5D7617B1">
      <w:pPr>
        <w:widowControl w:val="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Resorpcija, distribucija i vezivanje za proteine plazme</w:t>
      </w:r>
    </w:p>
    <w:p w14:paraId="1677D8BD">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Nakon oralne primjene terapijskih doza, amlodipin se dobro resorbuje, pri čemu se maksimalna koncentracija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u plazmi postiže 6-12 sati posle unošenja doze. Apsolutna bioraspoloživost je između 64 i 80%.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Volumen distribucije iznosi približno 21 l/kg. U in vitro studijama je pokazano da je otprilike 97,5% amlodipina u cirkulaciji vezano za proteine plazme.</w:t>
      </w:r>
    </w:p>
    <w:p w14:paraId="0EC292A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Hrana ne utiče na bioraspoloživost amlodipina.</w:t>
      </w:r>
    </w:p>
    <w:p w14:paraId="598172F3">
      <w:pPr>
        <w:widowControl w:val="0"/>
        <w:rPr>
          <w:rFonts w:ascii="Microsoft Sans Serif" w:hAnsi="Microsoft Sans Serif" w:cs="Microsoft Sans Serif"/>
          <w:color w:val="FF0000"/>
          <w:sz w:val="20"/>
          <w:szCs w:val="20"/>
          <w:lang w:val="sv-SE"/>
        </w:rPr>
      </w:pPr>
    </w:p>
    <w:p w14:paraId="5623C365">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Biotransformacija i eliminacija</w:t>
      </w:r>
    </w:p>
    <w:p w14:paraId="350BE1D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Terminalno poluvrijeme eliminacije iz plazme je oko 35-50 sati i konzistentno je sa doziranjem jednom</w:t>
      </w:r>
    </w:p>
    <w:p w14:paraId="23E3E16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dnevno. Amlodipin se obimno metaboliše u jetri do inaktivnih metabolita, pri čemu se urinom izlučuje 10% aktivne supstance u nepromjenjenom obliku i 60% metabolita.</w:t>
      </w:r>
    </w:p>
    <w:p w14:paraId="784A0BC5">
      <w:pPr>
        <w:widowControl w:val="0"/>
        <w:rPr>
          <w:rFonts w:ascii="Microsoft Sans Serif" w:hAnsi="Microsoft Sans Serif" w:cs="Microsoft Sans Serif"/>
          <w:sz w:val="20"/>
          <w:szCs w:val="20"/>
          <w:lang w:val="sv-SE"/>
        </w:rPr>
      </w:pPr>
    </w:p>
    <w:p w14:paraId="4BB273FC">
      <w:pPr>
        <w:widowControl w:val="0"/>
        <w:rPr>
          <w:rFonts w:ascii="Microsoft Sans Serif" w:hAnsi="Microsoft Sans Serif" w:eastAsia="Lucida Sans Unicode" w:cs="Microsoft Sans Serif"/>
          <w:i/>
          <w:sz w:val="20"/>
          <w:szCs w:val="20"/>
          <w:u w:val="single"/>
          <w:lang w:val="sv-SE"/>
        </w:rPr>
      </w:pPr>
      <w:r>
        <w:rPr>
          <w:rFonts w:ascii="Microsoft Sans Serif" w:hAnsi="Microsoft Sans Serif" w:eastAsia="Lucida Sans Unicode" w:cs="Microsoft Sans Serif"/>
          <w:i/>
          <w:sz w:val="20"/>
          <w:szCs w:val="20"/>
          <w:u w:val="single"/>
          <w:lang w:val="sv-SE"/>
        </w:rPr>
        <w:t>Farmakokinetičke karakteristike kod posebnih populacija</w:t>
      </w:r>
    </w:p>
    <w:p w14:paraId="18186849">
      <w:pPr>
        <w:widowControl w:val="0"/>
        <w:rPr>
          <w:rFonts w:ascii="Microsoft Sans Serif" w:hAnsi="Microsoft Sans Serif" w:eastAsia="Lucida Sans Unicode" w:cs="Microsoft Sans Serif"/>
          <w:i/>
          <w:sz w:val="20"/>
          <w:szCs w:val="20"/>
          <w:lang w:val="sv-SE"/>
        </w:rPr>
      </w:pPr>
    </w:p>
    <w:p w14:paraId="7B6574E9">
      <w:pPr>
        <w:widowControl w:val="0"/>
        <w:rPr>
          <w:rFonts w:ascii="Microsoft Sans Serif" w:hAnsi="Microsoft Sans Serif" w:eastAsia="Lucida Sans Unicode" w:cs="Microsoft Sans Serif"/>
          <w:i/>
          <w:sz w:val="20"/>
          <w:szCs w:val="20"/>
          <w:lang w:val="sv-SE"/>
        </w:rPr>
      </w:pPr>
      <w:r>
        <w:rPr>
          <w:rFonts w:ascii="Microsoft Sans Serif" w:hAnsi="Microsoft Sans Serif" w:eastAsia="Lucida Sans Unicode" w:cs="Microsoft Sans Serif"/>
          <w:i/>
          <w:sz w:val="20"/>
          <w:szCs w:val="20"/>
          <w:lang w:val="sv-SE"/>
        </w:rPr>
        <w:t>Oštećenje funkcije jetre</w:t>
      </w:r>
    </w:p>
    <w:p w14:paraId="7E42F7EA">
      <w:pPr>
        <w:widowControl w:val="0"/>
        <w:rPr>
          <w:rFonts w:ascii="Microsoft Sans Serif" w:hAnsi="Microsoft Sans Serif" w:eastAsia="Lucida Sans Unicode" w:cs="Microsoft Sans Serif"/>
          <w:sz w:val="20"/>
          <w:szCs w:val="20"/>
          <w:lang w:val="sv-SE"/>
        </w:rPr>
      </w:pPr>
      <w:r>
        <w:rPr>
          <w:rFonts w:ascii="Microsoft Sans Serif" w:hAnsi="Microsoft Sans Serif" w:eastAsia="Lucida Sans Unicode" w:cs="Microsoft Sans Serif"/>
          <w:sz w:val="20"/>
          <w:szCs w:val="20"/>
          <w:lang w:val="sv-SE"/>
        </w:rPr>
        <w:t>Dostupni su veoma ograničeni klinički podaci vezani za primjenu amlodipina kod pacijenata sa oštećenjem funkcije jetre. Pacijenti sa insuficijencijom jetre imaju smanjen klirens amlodipina što dovodi do dužeg poluvremena eliminacije i povećanja vrednosti PIK-a za otprilike 40-60%.</w:t>
      </w:r>
    </w:p>
    <w:p w14:paraId="6A2DD426">
      <w:pPr>
        <w:widowControl w:val="0"/>
        <w:rPr>
          <w:rFonts w:ascii="Microsoft Sans Serif" w:hAnsi="Microsoft Sans Serif" w:eastAsia="Lucida Sans Unicode" w:cs="Microsoft Sans Serif"/>
          <w:sz w:val="20"/>
          <w:szCs w:val="20"/>
          <w:u w:val="single"/>
          <w:lang w:val="sv-SE"/>
        </w:rPr>
      </w:pPr>
    </w:p>
    <w:p w14:paraId="7B30B7A7">
      <w:pPr>
        <w:widowControl w:val="0"/>
        <w:rPr>
          <w:rFonts w:ascii="Microsoft Sans Serif" w:hAnsi="Microsoft Sans Serif" w:cs="Microsoft Sans Serif"/>
          <w:bCs/>
          <w:i/>
          <w:iCs/>
          <w:sz w:val="20"/>
          <w:szCs w:val="20"/>
          <w:lang w:val="sv-SE"/>
        </w:rPr>
      </w:pPr>
      <w:r>
        <w:rPr>
          <w:rFonts w:ascii="Microsoft Sans Serif" w:hAnsi="Microsoft Sans Serif" w:cs="Microsoft Sans Serif"/>
          <w:bCs/>
          <w:i/>
          <w:iCs/>
          <w:sz w:val="20"/>
          <w:szCs w:val="20"/>
          <w:lang w:val="sv-SE"/>
        </w:rPr>
        <w:t>Stariji pacijenti</w:t>
      </w:r>
    </w:p>
    <w:p w14:paraId="1702798E">
      <w:pPr>
        <w:widowControl w:val="0"/>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Vrijeme potrebno da se postigne maksimalna koncentracija amlodipina u plazmi slično je kod starijih i mlađih ispitanika. Klirens amlodipina ima tendenciju da se smanji, što dovodi do povećanja vrednosti PIK i produžavanja poluvremena eliminacije kod starijih pacijenata.</w:t>
      </w:r>
    </w:p>
    <w:p w14:paraId="54FE080A">
      <w:pPr>
        <w:widowControl w:val="0"/>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Povećanje vrednosti PIK</w:t>
      </w:r>
      <w:r>
        <w:rPr>
          <w:rFonts w:ascii="Microsoft Sans Serif" w:hAnsi="Microsoft Sans Serif" w:cs="Microsoft Sans Serif"/>
          <w:bCs/>
          <w:iCs/>
          <w:sz w:val="20"/>
          <w:szCs w:val="20"/>
          <w:lang w:val="sr-Cyrl-RS"/>
        </w:rPr>
        <w:t>-a</w:t>
      </w:r>
      <w:r>
        <w:rPr>
          <w:rFonts w:ascii="Microsoft Sans Serif" w:hAnsi="Microsoft Sans Serif" w:cs="Microsoft Sans Serif"/>
          <w:bCs/>
          <w:iCs/>
          <w:sz w:val="20"/>
          <w:szCs w:val="20"/>
          <w:lang w:val="sv-SE"/>
        </w:rPr>
        <w:t xml:space="preserve"> i poluvremena eliminacije kod pacijenata sa kongestivnom srčanom insuficijencijom je bilo u skladu sa očekivanim za ispitivanu starosnu grupu pacijenata.</w:t>
      </w:r>
    </w:p>
    <w:p w14:paraId="30873E1A">
      <w:pPr>
        <w:widowControl w:val="0"/>
        <w:rPr>
          <w:rFonts w:ascii="Microsoft Sans Serif" w:hAnsi="Microsoft Sans Serif" w:cs="Microsoft Sans Serif"/>
          <w:bCs/>
          <w:iCs/>
          <w:sz w:val="20"/>
          <w:szCs w:val="20"/>
          <w:lang w:val="sv-SE"/>
        </w:rPr>
      </w:pPr>
    </w:p>
    <w:p w14:paraId="4F663673">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Pedijatrijska populacija</w:t>
      </w:r>
    </w:p>
    <w:p w14:paraId="1F43ACC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Populaciona farmakokinetička studija je sprovedena kod 74 hipertenzivna djeteta uzrasta od 12 </w:t>
      </w:r>
      <w:r>
        <w:rPr>
          <w:rFonts w:ascii="Microsoft Sans Serif" w:hAnsi="Microsoft Sans Serif" w:cs="Microsoft Sans Serif"/>
          <w:sz w:val="20"/>
          <w:szCs w:val="20"/>
          <w:lang w:val="sr-Cyrl-RS"/>
        </w:rPr>
        <w:t>meseci</w:t>
      </w:r>
      <w:r>
        <w:rPr>
          <w:rFonts w:ascii="Microsoft Sans Serif" w:hAnsi="Microsoft Sans Serif" w:cs="Microsoft Sans Serif"/>
          <w:sz w:val="20"/>
          <w:szCs w:val="20"/>
          <w:lang w:val="sv-SE"/>
        </w:rPr>
        <w:t xml:space="preserve"> do 17 godina (34 pacijenta uzrasta od 6 do 12 godina i 28 pacijenata uzrasta od 13 do 17 godina) koja su dobijala amlodipin u dozi između 1,25 mg i 20 mg, jednom ili dva puta dnevno. Kod djece uzrasta 6 – 12 godina uobičajena vrednost oralnog klirensa (CL/F) je iznosila 22,5 l/h kod dječaka i 16,4 l/h kod djevojčica, dok su vrijednosti kod adolescenata uzrasta 13 – 17 godina bile 27,4 l/h kod dječaka odnosno 21,3 l/h kod djevojčica. Primjećena je velika varijabilnost u izloženosti između pojedinaca. Podaci zabeleženi kod djece mlađe od 6 godina su ograničeni.</w:t>
      </w:r>
    </w:p>
    <w:p w14:paraId="0248F1D8">
      <w:pPr>
        <w:widowControl w:val="0"/>
        <w:rPr>
          <w:rFonts w:ascii="Microsoft Sans Serif" w:hAnsi="Microsoft Sans Serif" w:cs="Microsoft Sans Serif"/>
          <w:sz w:val="20"/>
          <w:szCs w:val="20"/>
          <w:lang w:val="sv-SE"/>
        </w:rPr>
      </w:pPr>
    </w:p>
    <w:p w14:paraId="437295E1">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Fiksna kombinacija</w:t>
      </w:r>
    </w:p>
    <w:p w14:paraId="1DECAB3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Nisu zabilježene farmakokinetičke interakcije između pojedinačnih aktivnih supstanci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w:t>
      </w:r>
      <w:r>
        <w:rPr>
          <w:rFonts w:ascii="Microsoft Sans Serif" w:hAnsi="Microsoft Sans Serif" w:cs="Microsoft Sans Serif"/>
          <w:sz w:val="20"/>
          <w:szCs w:val="20"/>
          <w:lang w:val="sv-SE"/>
        </w:rPr>
        <w:t xml:space="preserve"> Skopryl Combo. Farmakokinetički parametri (kao što je PIK, C</w:t>
      </w:r>
      <w:r>
        <w:rPr>
          <w:rFonts w:ascii="Microsoft Sans Serif" w:hAnsi="Microsoft Sans Serif" w:cs="Microsoft Sans Serif"/>
          <w:sz w:val="20"/>
          <w:szCs w:val="20"/>
          <w:vertAlign w:val="subscript"/>
          <w:lang w:val="sv-SE"/>
        </w:rPr>
        <w:t>max</w:t>
      </w:r>
      <w:r>
        <w:rPr>
          <w:rFonts w:ascii="Microsoft Sans Serif" w:hAnsi="Microsoft Sans Serif" w:cs="Microsoft Sans Serif"/>
          <w:sz w:val="20"/>
          <w:szCs w:val="20"/>
          <w:lang w:val="sv-SE"/>
        </w:rPr>
        <w:t>, t</w:t>
      </w:r>
      <w:r>
        <w:rPr>
          <w:rFonts w:ascii="Microsoft Sans Serif" w:hAnsi="Microsoft Sans Serif" w:cs="Microsoft Sans Serif"/>
          <w:sz w:val="20"/>
          <w:szCs w:val="20"/>
          <w:vertAlign w:val="subscript"/>
          <w:lang w:val="sv-SE"/>
        </w:rPr>
        <w:t>max</w:t>
      </w:r>
      <w:r>
        <w:rPr>
          <w:rFonts w:ascii="Microsoft Sans Serif" w:hAnsi="Microsoft Sans Serif" w:cs="Microsoft Sans Serif"/>
          <w:sz w:val="20"/>
          <w:szCs w:val="20"/>
          <w:lang w:val="sv-SE"/>
        </w:rPr>
        <w:t>, poluvrijeme eliminacije) se nisu razlikovali od onih koji su zabilježeni nakon primjene pojedinačnih komponenti odvojeno.</w:t>
      </w:r>
    </w:p>
    <w:p w14:paraId="1B720D1E">
      <w:pPr>
        <w:widowControl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lang w:val="sv-SE"/>
        </w:rPr>
        <w:t>Hrana ne utiče na resorpciju lijeka Skopryl Combo iz gastrointestinalnog trakt</w:t>
      </w:r>
      <w:r>
        <w:rPr>
          <w:rFonts w:ascii="Microsoft Sans Serif" w:hAnsi="Microsoft Sans Serif" w:cs="Microsoft Sans Serif"/>
          <w:sz w:val="20"/>
          <w:szCs w:val="20"/>
          <w:lang w:val="sr-Cyrl-RS"/>
        </w:rPr>
        <w:t>a.</w:t>
      </w:r>
    </w:p>
    <w:p w14:paraId="016DF618">
      <w:pPr>
        <w:rPr>
          <w:rFonts w:ascii="Microsoft Sans Serif" w:hAnsi="Microsoft Sans Serif" w:cs="Microsoft Sans Serif"/>
          <w:sz w:val="20"/>
          <w:szCs w:val="20"/>
          <w:lang w:val="sv-SE"/>
        </w:rPr>
      </w:pPr>
    </w:p>
    <w:p w14:paraId="7286A10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v-SE"/>
        </w:rPr>
        <w:t xml:space="preserve">5.3. </w:t>
      </w:r>
      <w:r>
        <w:rPr>
          <w:rFonts w:ascii="Microsoft Sans Serif" w:hAnsi="Microsoft Sans Serif" w:cs="Microsoft Sans Serif"/>
          <w:b/>
          <w:bCs/>
          <w:sz w:val="20"/>
          <w:szCs w:val="20"/>
          <w:lang w:val="sr-Latn-RS"/>
        </w:rPr>
        <w:t>Ne</w:t>
      </w:r>
      <w:r>
        <w:rPr>
          <w:rFonts w:ascii="Microsoft Sans Serif" w:hAnsi="Microsoft Sans Serif" w:cs="Microsoft Sans Serif"/>
          <w:b/>
          <w:bCs/>
          <w:sz w:val="20"/>
          <w:szCs w:val="20"/>
          <w:lang w:val="sv-SE"/>
        </w:rPr>
        <w:t xml:space="preserve">klinički podaci o </w:t>
      </w:r>
      <w:r>
        <w:rPr>
          <w:rFonts w:ascii="Microsoft Sans Serif" w:hAnsi="Microsoft Sans Serif" w:cs="Microsoft Sans Serif"/>
          <w:b/>
          <w:bCs/>
          <w:sz w:val="20"/>
          <w:szCs w:val="20"/>
          <w:lang w:val="sr-Latn-RS"/>
        </w:rPr>
        <w:t>sigurnosti primjene</w:t>
      </w:r>
    </w:p>
    <w:p w14:paraId="31DD619E">
      <w:pPr>
        <w:rPr>
          <w:rFonts w:ascii="Microsoft Sans Serif" w:hAnsi="Microsoft Sans Serif" w:cs="Microsoft Sans Serif"/>
          <w:sz w:val="20"/>
          <w:szCs w:val="20"/>
          <w:lang w:val="sv-SE"/>
        </w:rPr>
      </w:pPr>
    </w:p>
    <w:p w14:paraId="14F6AD03">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Pretkliničke studije sa kombinacijom lizinopril/amlodipin nisu sprovođene.</w:t>
      </w:r>
    </w:p>
    <w:p w14:paraId="565811EC">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Lizinopril</w:t>
      </w:r>
    </w:p>
    <w:p w14:paraId="0BB46FA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Pretklinički podaci dobijeni na osnovu konvencionalnih studija opšte farmakologije, toksičnosti ponovl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enih doza, genotoksičnosti i karcinogenog potencijala, ne ukazuju na posebne rizike pri primjeni lizinoprila kod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udi. ACE inhibitori, kao grupa lijekova, su pokazali da mogu da izazovu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 djelovanja na kasni fetalni razvoj, što dovodi do fetalne smrti i kongenitalnih efekata, posebno na kosti lobanje.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eni su slučajevi fetotoksičnosti, usporenog intrauterinog rasta i otvorenog ductus arteriosus-a. Smatra se da ove razvojne anomalije djelimično nastaju usljed direktnog djelovanja ACE inhibitora na fetalni renin-angiotenzin sistem, a djelimično usljed ishemije nastale zbog pojave hipotenzije kod majke i smanjenja protoka krvi u fetalnoj placenti i dotoka kiseonika/nutrijenata </w:t>
      </w:r>
      <w:r>
        <w:rPr>
          <w:rFonts w:ascii="Microsoft Sans Serif" w:hAnsi="Microsoft Sans Serif" w:cs="Microsoft Sans Serif"/>
          <w:sz w:val="20"/>
          <w:szCs w:val="20"/>
          <w:lang w:val="sr-Cyrl-RS"/>
        </w:rPr>
        <w:t xml:space="preserve">do </w:t>
      </w:r>
      <w:r>
        <w:rPr>
          <w:rFonts w:ascii="Microsoft Sans Serif" w:hAnsi="Microsoft Sans Serif" w:cs="Microsoft Sans Serif"/>
          <w:sz w:val="20"/>
          <w:szCs w:val="20"/>
          <w:lang w:val="sv-SE"/>
        </w:rPr>
        <w:t>fetus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w:t>
      </w:r>
    </w:p>
    <w:p w14:paraId="242C99F0">
      <w:pPr>
        <w:widowControl w:val="0"/>
        <w:rPr>
          <w:rFonts w:ascii="Microsoft Sans Serif" w:hAnsi="Microsoft Sans Serif" w:cs="Microsoft Sans Serif"/>
          <w:sz w:val="20"/>
          <w:szCs w:val="20"/>
          <w:lang w:val="sv-SE"/>
        </w:rPr>
      </w:pPr>
    </w:p>
    <w:p w14:paraId="5E1A431C">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Amlodipin</w:t>
      </w:r>
    </w:p>
    <w:p w14:paraId="308D687B">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Reproduktivna toksičnost</w:t>
      </w:r>
    </w:p>
    <w:p w14:paraId="3BEE125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Studije reproduktivne toksičnosti kod pacova i miševa su pokazale odložen porođaj, produženo trajanje porođaja i smanjeno preživl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avanje mladunaca pri primjeni doza koje su oko 50 puta veće od maksimalnih preporučenih doza za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ude izraženih u mg/kg.</w:t>
      </w:r>
    </w:p>
    <w:p w14:paraId="3741B340">
      <w:pPr>
        <w:widowControl w:val="0"/>
        <w:rPr>
          <w:rFonts w:ascii="Microsoft Sans Serif" w:hAnsi="Microsoft Sans Serif" w:cs="Microsoft Sans Serif"/>
          <w:sz w:val="20"/>
          <w:szCs w:val="20"/>
          <w:lang w:val="sv-SE"/>
        </w:rPr>
      </w:pPr>
    </w:p>
    <w:p w14:paraId="6E866175">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Uticaj na fertilitet</w:t>
      </w:r>
    </w:p>
    <w:p w14:paraId="3455C316">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Nije bilo uticaja na fertilitet kod pacova tretiranih amlodipinom (mužjaci tokom 64 dana i ženke tokom 14 dana prije parenja) pri dozama do 10 mg/kg/dnevno (8 puta* većim od maksimalne preporučene doze za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ude od 10 mg/dnevno na osnovu mg/m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U drugoj studiji na pacovima u kojoj su mužjaci primali amlodipin besilat tokom 30 dana u dozi uporedivoj sa dozom koja se primjenjuje kod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udi na osnovu mg/kg, uočene su smanjene vrijednosti folikulostimulirajućeg hormona i testosterona u plazmi, kao i smanjenje gustine sperme i broja zrelih spermatozoida i Sertolijevih ćelija.</w:t>
      </w:r>
    </w:p>
    <w:p w14:paraId="5929E6F3">
      <w:pPr>
        <w:widowControl w:val="0"/>
        <w:rPr>
          <w:rFonts w:ascii="Microsoft Sans Serif" w:hAnsi="Microsoft Sans Serif" w:cs="Microsoft Sans Serif"/>
          <w:i/>
          <w:sz w:val="20"/>
          <w:szCs w:val="20"/>
          <w:lang w:val="sv-SE"/>
        </w:rPr>
      </w:pPr>
    </w:p>
    <w:p w14:paraId="378DEED1">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Karcinogeneza, mutageneza</w:t>
      </w:r>
    </w:p>
    <w:p w14:paraId="5B0F890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pacova i miševa koji su dobijali amlodipin putem hrane tokom dvije godine, u koncentracijama izračunatim tako da se postignu dnevne doze od 0,5 mg, 1,25 mg i 2,5 mg/kg/dnevno, nisu uočeni dokazi o kancerogenosti. Najveća doza (za miševe slična, a za pacove dva puta* veća od maksimalne preporučene kliničke doze od 10 mg/dnevno na osnovu mg/m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je bila blizu maksimalne podnošl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ive doze za miševe, ali ne i za pacove. Studije mutagenosti nisu ukazale da postoji dejstvo aktivne supstance ni na</w:t>
      </w:r>
      <w:r>
        <w:rPr>
          <w:rFonts w:ascii="Microsoft Sans Serif" w:hAnsi="Microsoft Sans Serif" w:cs="Microsoft Sans Serif"/>
          <w:sz w:val="20"/>
          <w:szCs w:val="20"/>
          <w:lang w:val="sr-Cyrl-RS"/>
        </w:rPr>
        <w:t xml:space="preserve"> nivou</w:t>
      </w:r>
      <w:r>
        <w:rPr>
          <w:rFonts w:ascii="Microsoft Sans Serif" w:hAnsi="Microsoft Sans Serif" w:cs="Microsoft Sans Serif"/>
          <w:sz w:val="20"/>
          <w:szCs w:val="20"/>
          <w:lang w:val="sv-SE"/>
        </w:rPr>
        <w:t xml:space="preserve"> gen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ni na </w:t>
      </w:r>
      <w:r>
        <w:rPr>
          <w:rFonts w:ascii="Microsoft Sans Serif" w:hAnsi="Microsoft Sans Serif" w:cs="Microsoft Sans Serif"/>
          <w:sz w:val="20"/>
          <w:szCs w:val="20"/>
          <w:lang w:val="sr-Cyrl-RS"/>
        </w:rPr>
        <w:t xml:space="preserve">nivou </w:t>
      </w:r>
      <w:r>
        <w:rPr>
          <w:rFonts w:ascii="Microsoft Sans Serif" w:hAnsi="Microsoft Sans Serif" w:cs="Microsoft Sans Serif"/>
          <w:sz w:val="20"/>
          <w:szCs w:val="20"/>
          <w:lang w:val="sv-SE"/>
        </w:rPr>
        <w:t>hromozom</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w:t>
      </w:r>
    </w:p>
    <w:p w14:paraId="7E09188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*Procjenjeno u odnosu na tjelesnu masu pacijenta od 50 kg.</w:t>
      </w:r>
    </w:p>
    <w:p w14:paraId="3DFFC3D9">
      <w:pPr>
        <w:widowControl w:val="0"/>
        <w:rPr>
          <w:rFonts w:ascii="Microsoft Sans Serif" w:hAnsi="Microsoft Sans Serif" w:cs="Microsoft Sans Serif"/>
          <w:sz w:val="20"/>
          <w:szCs w:val="20"/>
          <w:lang w:val="sv-SE"/>
        </w:rPr>
      </w:pPr>
    </w:p>
    <w:p w14:paraId="18092198">
      <w:pPr>
        <w:rPr>
          <w:rFonts w:ascii="Microsoft Sans Serif" w:hAnsi="Microsoft Sans Serif" w:cs="Microsoft Sans Serif"/>
          <w:b/>
          <w:sz w:val="20"/>
          <w:lang w:val="sv-SE"/>
        </w:rPr>
      </w:pPr>
      <w:r>
        <w:rPr>
          <w:rFonts w:ascii="Microsoft Sans Serif" w:hAnsi="Microsoft Sans Serif" w:cs="Microsoft Sans Serif"/>
          <w:b/>
          <w:sz w:val="20"/>
          <w:lang w:val="sv-SE"/>
        </w:rPr>
        <w:t>6. FARMACEUTSKI PODACI</w:t>
      </w:r>
    </w:p>
    <w:p w14:paraId="4A9E3C34">
      <w:pPr>
        <w:rPr>
          <w:rFonts w:ascii="Microsoft Sans Serif" w:hAnsi="Microsoft Sans Serif" w:cs="Microsoft Sans Serif"/>
          <w:b/>
          <w:sz w:val="20"/>
          <w:lang w:val="sv-SE"/>
        </w:rPr>
      </w:pPr>
    </w:p>
    <w:p w14:paraId="315A7BD1">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v-SE"/>
        </w:rPr>
        <w:t>6.1. Spisak pomo</w:t>
      </w:r>
      <w:r>
        <w:rPr>
          <w:rFonts w:ascii="Microsoft Sans Serif" w:hAnsi="Microsoft Sans Serif" w:cs="Microsoft Sans Serif"/>
          <w:b/>
          <w:bCs/>
          <w:sz w:val="20"/>
          <w:szCs w:val="20"/>
          <w:lang w:val="sr-Latn-CS"/>
        </w:rPr>
        <w:t>ćnih supstanci</w:t>
      </w:r>
    </w:p>
    <w:p w14:paraId="774CD238">
      <w:pPr>
        <w:widowControl w:val="0"/>
        <w:rPr>
          <w:rFonts w:ascii="Microsoft Sans Serif" w:hAnsi="Microsoft Sans Serif" w:cs="Microsoft Sans Serif"/>
          <w:sz w:val="20"/>
          <w:szCs w:val="20"/>
          <w:lang w:val="sv-SE"/>
        </w:rPr>
      </w:pPr>
    </w:p>
    <w:p w14:paraId="5929B19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Kalcijum - hidrogenfosfat;</w:t>
      </w:r>
    </w:p>
    <w:p w14:paraId="2F8FDD3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Manitol;</w:t>
      </w:r>
    </w:p>
    <w:p w14:paraId="3D26EA5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Kukuruzni skrob, delimično preželatinizirani;</w:t>
      </w:r>
    </w:p>
    <w:p w14:paraId="18F7DCA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Natirjum-skrobglikolat tip A;</w:t>
      </w:r>
    </w:p>
    <w:p w14:paraId="77D8A11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Magnezijum-stearat.</w:t>
      </w:r>
    </w:p>
    <w:p w14:paraId="4CAA13C7">
      <w:pPr>
        <w:rPr>
          <w:rFonts w:ascii="Microsoft Sans Serif" w:hAnsi="Microsoft Sans Serif" w:cs="Microsoft Sans Serif"/>
          <w:sz w:val="20"/>
          <w:szCs w:val="20"/>
          <w:lang w:val="sv-SE"/>
        </w:rPr>
      </w:pPr>
    </w:p>
    <w:p w14:paraId="33C59A54">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6.2. Inkompatibilnost</w:t>
      </w:r>
    </w:p>
    <w:p w14:paraId="3EBE449C">
      <w:pPr>
        <w:tabs>
          <w:tab w:val="left" w:pos="567"/>
        </w:tabs>
        <w:rPr>
          <w:rFonts w:ascii="Microsoft Sans Serif" w:hAnsi="Microsoft Sans Serif" w:cs="Microsoft Sans Serif"/>
          <w:sz w:val="20"/>
          <w:szCs w:val="20"/>
          <w:lang w:val="sv-SE"/>
        </w:rPr>
      </w:pPr>
    </w:p>
    <w:p w14:paraId="245AE213">
      <w:pPr>
        <w:tabs>
          <w:tab w:val="left" w:pos="567"/>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enjivo.</w:t>
      </w:r>
    </w:p>
    <w:p w14:paraId="4D9FBEBB">
      <w:pPr>
        <w:rPr>
          <w:rFonts w:ascii="Microsoft Sans Serif" w:hAnsi="Microsoft Sans Serif" w:cs="Microsoft Sans Serif"/>
          <w:sz w:val="20"/>
          <w:szCs w:val="20"/>
          <w:lang w:val="sv-SE"/>
        </w:rPr>
      </w:pPr>
    </w:p>
    <w:p w14:paraId="0464DEE2">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6.3. Rok upotrebe</w:t>
      </w:r>
    </w:p>
    <w:p w14:paraId="2CC73A80">
      <w:pPr>
        <w:rPr>
          <w:rFonts w:ascii="Microsoft Sans Serif" w:hAnsi="Microsoft Sans Serif" w:cs="Microsoft Sans Serif"/>
          <w:sz w:val="20"/>
          <w:szCs w:val="20"/>
          <w:lang w:val="sv-SE"/>
        </w:rPr>
      </w:pPr>
    </w:p>
    <w:p w14:paraId="721C1564">
      <w:pPr>
        <w:tabs>
          <w:tab w:val="left" w:pos="567"/>
        </w:tabs>
        <w:rPr>
          <w:rFonts w:ascii="Microsoft Sans Serif" w:hAnsi="Microsoft Sans Serif" w:cs="Microsoft Sans Serif"/>
          <w:sz w:val="20"/>
          <w:szCs w:val="20"/>
          <w:lang w:val="sv-SE"/>
        </w:rPr>
      </w:pPr>
      <w:commentRangeStart w:id="0"/>
      <w:r>
        <w:rPr>
          <w:rFonts w:ascii="Microsoft Sans Serif" w:hAnsi="Microsoft Sans Serif" w:cs="Microsoft Sans Serif"/>
          <w:sz w:val="20"/>
          <w:szCs w:val="20"/>
          <w:lang w:val="sv-SE"/>
        </w:rPr>
        <w:t xml:space="preserve">Tri (3) </w:t>
      </w:r>
      <w:r>
        <w:rPr>
          <w:rFonts w:ascii="Microsoft Sans Serif" w:hAnsi="Microsoft Sans Serif" w:cs="Microsoft Sans Serif"/>
          <w:sz w:val="20"/>
          <w:szCs w:val="20"/>
          <w:lang w:val="sr-Cyrl-RS"/>
        </w:rPr>
        <w:t>godine</w:t>
      </w:r>
      <w:r>
        <w:rPr>
          <w:rFonts w:ascii="Microsoft Sans Serif" w:hAnsi="Microsoft Sans Serif" w:cs="Microsoft Sans Serif"/>
          <w:sz w:val="20"/>
          <w:szCs w:val="20"/>
          <w:lang w:val="sv-SE"/>
        </w:rPr>
        <w:t>.</w:t>
      </w:r>
      <w:commentRangeEnd w:id="0"/>
      <w:r>
        <w:rPr>
          <w:rStyle w:val="10"/>
        </w:rPr>
        <w:commentReference w:id="0"/>
      </w:r>
    </w:p>
    <w:p w14:paraId="3A6D95D0">
      <w:pPr>
        <w:rPr>
          <w:rFonts w:ascii="Microsoft Sans Serif" w:hAnsi="Microsoft Sans Serif" w:cs="Microsoft Sans Serif"/>
          <w:sz w:val="20"/>
          <w:szCs w:val="20"/>
          <w:lang w:val="sv-SE"/>
        </w:rPr>
      </w:pPr>
    </w:p>
    <w:p w14:paraId="19192967">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v-SE"/>
        </w:rPr>
        <w:t>6.4. Posebne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v-SE"/>
        </w:rPr>
        <w:t>ere opreza pri čuvanju</w:t>
      </w:r>
      <w:r>
        <w:rPr>
          <w:rFonts w:ascii="Microsoft Sans Serif" w:hAnsi="Microsoft Sans Serif" w:cs="Microsoft Sans Serif"/>
          <w:b/>
          <w:bCs/>
          <w:sz w:val="20"/>
          <w:szCs w:val="20"/>
          <w:lang w:val="sr-Latn-RS"/>
        </w:rPr>
        <w:t xml:space="preserve"> lijeka</w:t>
      </w:r>
    </w:p>
    <w:p w14:paraId="755609EA">
      <w:pPr>
        <w:rPr>
          <w:rFonts w:ascii="Microsoft Sans Serif" w:hAnsi="Microsoft Sans Serif" w:cs="Microsoft Sans Serif"/>
          <w:sz w:val="20"/>
          <w:szCs w:val="20"/>
          <w:lang w:val="sv-SE"/>
        </w:rPr>
      </w:pPr>
    </w:p>
    <w:p w14:paraId="544B1A9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Lijek treba čuvati na temperaturi do 30⁰C. </w:t>
      </w:r>
    </w:p>
    <w:p w14:paraId="787CFBCB">
      <w:pPr>
        <w:tabs>
          <w:tab w:val="left" w:pos="567"/>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Čuvati u originalnom pakovanju radi zaštite od svjetlosti.</w:t>
      </w:r>
    </w:p>
    <w:p w14:paraId="6DD4A06B">
      <w:pPr>
        <w:rPr>
          <w:rFonts w:ascii="Microsoft Sans Serif" w:hAnsi="Microsoft Sans Serif" w:cs="Microsoft Sans Serif"/>
          <w:sz w:val="20"/>
          <w:szCs w:val="20"/>
          <w:lang w:val="sv-SE"/>
        </w:rPr>
      </w:pPr>
    </w:p>
    <w:p w14:paraId="111B100D">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r-Latn-CS"/>
        </w:rPr>
        <w:t>6.5. Vrsta i sadržaj pakovanja</w:t>
      </w:r>
      <w:r>
        <w:rPr>
          <w:rFonts w:ascii="Microsoft Sans Serif" w:hAnsi="Microsoft Sans Serif" w:cs="Microsoft Sans Serif"/>
          <w:b/>
          <w:bCs/>
          <w:sz w:val="20"/>
          <w:szCs w:val="20"/>
          <w:lang w:val="sv-SE"/>
        </w:rPr>
        <w:t xml:space="preserve"> </w:t>
      </w:r>
    </w:p>
    <w:p w14:paraId="56437AD8">
      <w:pPr>
        <w:rPr>
          <w:rFonts w:ascii="Microsoft Sans Serif" w:hAnsi="Microsoft Sans Serif" w:cs="Microsoft Sans Serif"/>
          <w:sz w:val="20"/>
          <w:szCs w:val="20"/>
          <w:lang w:val="sv-SE"/>
        </w:rPr>
      </w:pPr>
    </w:p>
    <w:p w14:paraId="75CC8C2E">
      <w:pPr>
        <w:widowControl w:val="0"/>
        <w:rPr>
          <w:rFonts w:ascii="Microsoft Sans Serif" w:hAnsi="Microsoft Sans Serif" w:cs="Microsoft Sans Serif"/>
          <w:sz w:val="20"/>
          <w:szCs w:val="20"/>
          <w:u w:val="single"/>
          <w:lang w:val="sv-SE"/>
        </w:rPr>
      </w:pPr>
      <w:r>
        <w:rPr>
          <w:rFonts w:ascii="Microsoft Sans Serif" w:hAnsi="Microsoft Sans Serif" w:cs="Microsoft Sans Serif"/>
          <w:bCs/>
          <w:sz w:val="20"/>
          <w:szCs w:val="20"/>
          <w:u w:val="single"/>
          <w:lang w:val="sv-SE"/>
        </w:rPr>
        <w:t xml:space="preserve">Skopryl Combo </w:t>
      </w:r>
      <w:r>
        <w:rPr>
          <w:rFonts w:ascii="Microsoft Sans Serif" w:hAnsi="Microsoft Sans Serif" w:cs="Microsoft Sans Serif"/>
          <w:sz w:val="20"/>
          <w:szCs w:val="20"/>
          <w:u w:val="single"/>
          <w:lang w:val="sv-SE"/>
        </w:rPr>
        <w:t>10 mg/5 mg tablete:</w:t>
      </w:r>
    </w:p>
    <w:p w14:paraId="432AA723">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Unutrašnje pakovanje: Blister od </w:t>
      </w:r>
      <w:r>
        <w:rPr>
          <w:rFonts w:ascii="Microsoft Sans Serif" w:hAnsi="Microsoft Sans Serif" w:cs="Microsoft Sans Serif"/>
          <w:sz w:val="20"/>
          <w:szCs w:val="20"/>
          <w:lang w:val="sv-SE"/>
        </w:rPr>
        <w:t>PVC/PVDC</w:t>
      </w:r>
      <w:r>
        <w:rPr>
          <w:rFonts w:ascii="Microsoft Sans Serif" w:hAnsi="Microsoft Sans Serif" w:cs="Microsoft Sans Serif"/>
          <w:sz w:val="20"/>
          <w:szCs w:val="20"/>
          <w:lang w:val="sr-Latn-RS"/>
        </w:rPr>
        <w:t>/aluminijumske folije.</w:t>
      </w:r>
      <w:r>
        <w:rPr>
          <w:rFonts w:ascii="Microsoft Sans Serif" w:hAnsi="Microsoft Sans Serif" w:cs="Microsoft Sans Serif"/>
          <w:sz w:val="20"/>
          <w:szCs w:val="20"/>
          <w:lang w:val="sr-Cyrl-RS"/>
        </w:rPr>
        <w:t xml:space="preserve"> Svaki blister sadrži 10 tableta.</w:t>
      </w:r>
    </w:p>
    <w:p w14:paraId="565ACF3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Složiva kartonska kutija koja sadrži 30</w:t>
      </w:r>
      <w:r>
        <w:rPr>
          <w:rFonts w:ascii="Microsoft Sans Serif" w:hAnsi="Microsoft Sans Serif" w:cs="Microsoft Sans Serif"/>
          <w:sz w:val="20"/>
          <w:szCs w:val="20"/>
          <w:lang w:val="sv-SE"/>
        </w:rPr>
        <w:t xml:space="preserve"> ili 90 tableta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3</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ili 9 </w:t>
      </w:r>
      <w:r>
        <w:rPr>
          <w:rFonts w:ascii="Microsoft Sans Serif" w:hAnsi="Microsoft Sans Serif" w:cs="Microsoft Sans Serif"/>
          <w:sz w:val="20"/>
          <w:szCs w:val="20"/>
          <w:lang w:val="sr-Cyrl-RS"/>
        </w:rPr>
        <w:t xml:space="preserve">blistera) i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74CD5C14">
      <w:pPr>
        <w:widowControl w:val="0"/>
        <w:rPr>
          <w:rFonts w:ascii="Microsoft Sans Serif" w:hAnsi="Microsoft Sans Serif" w:cs="Microsoft Sans Serif"/>
          <w:sz w:val="20"/>
          <w:szCs w:val="20"/>
          <w:lang w:val="sv-SE"/>
        </w:rPr>
      </w:pPr>
    </w:p>
    <w:p w14:paraId="05527450">
      <w:pPr>
        <w:widowControl w:val="0"/>
        <w:rPr>
          <w:rFonts w:ascii="Microsoft Sans Serif" w:hAnsi="Microsoft Sans Serif" w:cs="Microsoft Sans Serif"/>
          <w:sz w:val="20"/>
          <w:szCs w:val="20"/>
          <w:u w:val="single"/>
          <w:lang w:val="sv-SE"/>
        </w:rPr>
      </w:pPr>
      <w:r>
        <w:rPr>
          <w:rFonts w:ascii="Microsoft Sans Serif" w:hAnsi="Microsoft Sans Serif" w:cs="Microsoft Sans Serif"/>
          <w:bCs/>
          <w:sz w:val="20"/>
          <w:szCs w:val="20"/>
          <w:u w:val="single"/>
          <w:lang w:val="sv-SE"/>
        </w:rPr>
        <w:t xml:space="preserve">Skopryl Combo </w:t>
      </w:r>
      <w:r>
        <w:rPr>
          <w:rFonts w:ascii="Microsoft Sans Serif" w:hAnsi="Microsoft Sans Serif" w:cs="Microsoft Sans Serif"/>
          <w:sz w:val="20"/>
          <w:szCs w:val="20"/>
          <w:u w:val="single"/>
          <w:lang w:val="sv-SE"/>
        </w:rPr>
        <w:t>20 mg/10 mg tablete:</w:t>
      </w:r>
    </w:p>
    <w:p w14:paraId="4744DD14">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Unutrašnje pakovanje: Blister od </w:t>
      </w:r>
      <w:r>
        <w:rPr>
          <w:rFonts w:ascii="Microsoft Sans Serif" w:hAnsi="Microsoft Sans Serif" w:cs="Microsoft Sans Serif"/>
          <w:sz w:val="20"/>
          <w:szCs w:val="20"/>
          <w:lang w:val="sv-SE"/>
        </w:rPr>
        <w:t>PVC/PVDC</w:t>
      </w:r>
      <w:r>
        <w:rPr>
          <w:rFonts w:ascii="Microsoft Sans Serif" w:hAnsi="Microsoft Sans Serif" w:cs="Microsoft Sans Serif"/>
          <w:sz w:val="20"/>
          <w:szCs w:val="20"/>
          <w:lang w:val="sr-Latn-RS"/>
        </w:rPr>
        <w:t>/aluminijumske folije.</w:t>
      </w:r>
      <w:r>
        <w:rPr>
          <w:rFonts w:ascii="Microsoft Sans Serif" w:hAnsi="Microsoft Sans Serif" w:cs="Microsoft Sans Serif"/>
          <w:sz w:val="20"/>
          <w:szCs w:val="20"/>
          <w:lang w:val="sr-Cyrl-RS"/>
        </w:rPr>
        <w:t xml:space="preserve"> Svaki blister sadrži 15 tableta.</w:t>
      </w:r>
    </w:p>
    <w:p w14:paraId="37E2351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Složiva kartonska kutija koja sadrži 30</w:t>
      </w:r>
      <w:r>
        <w:rPr>
          <w:rFonts w:ascii="Microsoft Sans Serif" w:hAnsi="Microsoft Sans Serif" w:cs="Microsoft Sans Serif"/>
          <w:sz w:val="20"/>
          <w:szCs w:val="20"/>
          <w:lang w:val="sv-SE"/>
        </w:rPr>
        <w:t xml:space="preserve"> ili 90 tableta</w:t>
      </w:r>
      <w:r>
        <w:rPr>
          <w:rFonts w:ascii="Microsoft Sans Serif" w:hAnsi="Microsoft Sans Serif" w:cs="Microsoft Sans Serif"/>
          <w:sz w:val="20"/>
          <w:szCs w:val="20"/>
          <w:lang w:val="sr-Cyrl-RS"/>
        </w:rPr>
        <w:t xml:space="preserve"> (2 </w:t>
      </w:r>
      <w:r>
        <w:rPr>
          <w:rFonts w:ascii="Microsoft Sans Serif" w:hAnsi="Microsoft Sans Serif" w:cs="Microsoft Sans Serif"/>
          <w:sz w:val="20"/>
          <w:szCs w:val="20"/>
          <w:lang w:val="sv-SE"/>
        </w:rPr>
        <w:t xml:space="preserve">ili 6 </w:t>
      </w:r>
      <w:r>
        <w:rPr>
          <w:rFonts w:ascii="Microsoft Sans Serif" w:hAnsi="Microsoft Sans Serif" w:cs="Microsoft Sans Serif"/>
          <w:sz w:val="20"/>
          <w:szCs w:val="20"/>
          <w:lang w:val="sr-Cyrl-RS"/>
        </w:rPr>
        <w:t xml:space="preserve">blistera) i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7C1A76C2">
      <w:pPr>
        <w:widowControl w:val="0"/>
        <w:rPr>
          <w:rFonts w:ascii="Microsoft Sans Serif" w:hAnsi="Microsoft Sans Serif" w:cs="Microsoft Sans Serif"/>
          <w:sz w:val="20"/>
          <w:szCs w:val="20"/>
          <w:lang w:val="sv-SE"/>
        </w:rPr>
      </w:pPr>
    </w:p>
    <w:p w14:paraId="1E4AE96A">
      <w:pPr>
        <w:widowControl w:val="0"/>
        <w:rPr>
          <w:rFonts w:ascii="Microsoft Sans Serif" w:hAnsi="Microsoft Sans Serif" w:cs="Microsoft Sans Serif"/>
          <w:sz w:val="20"/>
          <w:szCs w:val="20"/>
          <w:u w:val="single"/>
          <w:lang w:val="sv-SE"/>
        </w:rPr>
      </w:pPr>
      <w:r>
        <w:rPr>
          <w:rFonts w:ascii="Microsoft Sans Serif" w:hAnsi="Microsoft Sans Serif" w:cs="Microsoft Sans Serif"/>
          <w:bCs/>
          <w:sz w:val="20"/>
          <w:szCs w:val="20"/>
          <w:u w:val="single"/>
          <w:lang w:val="sv-SE"/>
        </w:rPr>
        <w:t xml:space="preserve">Skopryl Combo </w:t>
      </w:r>
      <w:r>
        <w:rPr>
          <w:rFonts w:ascii="Microsoft Sans Serif" w:hAnsi="Microsoft Sans Serif" w:cs="Microsoft Sans Serif"/>
          <w:sz w:val="20"/>
          <w:szCs w:val="20"/>
          <w:u w:val="single"/>
          <w:lang w:val="sv-SE"/>
        </w:rPr>
        <w:t>20 mg/5 mg tablete:</w:t>
      </w:r>
    </w:p>
    <w:p w14:paraId="3AE94194">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Unutrašnje pakovanje: Blister od </w:t>
      </w:r>
      <w:r>
        <w:rPr>
          <w:rFonts w:ascii="Microsoft Sans Serif" w:hAnsi="Microsoft Sans Serif" w:cs="Microsoft Sans Serif"/>
          <w:sz w:val="20"/>
          <w:szCs w:val="20"/>
          <w:lang w:val="sv-SE"/>
        </w:rPr>
        <w:t>PVC/PVDC</w:t>
      </w:r>
      <w:r>
        <w:rPr>
          <w:rFonts w:ascii="Microsoft Sans Serif" w:hAnsi="Microsoft Sans Serif" w:cs="Microsoft Sans Serif"/>
          <w:sz w:val="20"/>
          <w:szCs w:val="20"/>
          <w:lang w:val="sr-Latn-RS"/>
        </w:rPr>
        <w:t>/aluminijumske folije.</w:t>
      </w:r>
      <w:r>
        <w:rPr>
          <w:rFonts w:ascii="Microsoft Sans Serif" w:hAnsi="Microsoft Sans Serif" w:cs="Microsoft Sans Serif"/>
          <w:sz w:val="20"/>
          <w:szCs w:val="20"/>
          <w:lang w:val="sr-Cyrl-RS"/>
        </w:rPr>
        <w:t xml:space="preserve"> Svaki blister sadrži 15 tableta.</w:t>
      </w:r>
    </w:p>
    <w:p w14:paraId="21859BD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Složiva kartonska kutija koja sadrži 30</w:t>
      </w:r>
      <w:r>
        <w:rPr>
          <w:rFonts w:ascii="Microsoft Sans Serif" w:hAnsi="Microsoft Sans Serif" w:cs="Microsoft Sans Serif"/>
          <w:sz w:val="20"/>
          <w:szCs w:val="20"/>
          <w:lang w:val="sv-SE"/>
        </w:rPr>
        <w:t xml:space="preserve"> ili 90 tableta</w:t>
      </w:r>
      <w:r>
        <w:rPr>
          <w:rFonts w:ascii="Microsoft Sans Serif" w:hAnsi="Microsoft Sans Serif" w:cs="Microsoft Sans Serif"/>
          <w:sz w:val="20"/>
          <w:szCs w:val="20"/>
          <w:lang w:val="sr-Cyrl-RS"/>
        </w:rPr>
        <w:t xml:space="preserve"> (2 </w:t>
      </w:r>
      <w:r>
        <w:rPr>
          <w:rFonts w:ascii="Microsoft Sans Serif" w:hAnsi="Microsoft Sans Serif" w:cs="Microsoft Sans Serif"/>
          <w:sz w:val="20"/>
          <w:szCs w:val="20"/>
          <w:lang w:val="sv-SE"/>
        </w:rPr>
        <w:t xml:space="preserve">ili 6 </w:t>
      </w:r>
      <w:r>
        <w:rPr>
          <w:rFonts w:ascii="Microsoft Sans Serif" w:hAnsi="Microsoft Sans Serif" w:cs="Microsoft Sans Serif"/>
          <w:sz w:val="20"/>
          <w:szCs w:val="20"/>
          <w:lang w:val="sr-Cyrl-RS"/>
        </w:rPr>
        <w:t xml:space="preserve">blistera) i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1DB84F1D">
      <w:pPr>
        <w:rPr>
          <w:rFonts w:ascii="Microsoft Sans Serif" w:hAnsi="Microsoft Sans Serif" w:cs="Microsoft Sans Serif"/>
          <w:sz w:val="20"/>
          <w:szCs w:val="20"/>
          <w:lang w:val="sv-SE"/>
        </w:rPr>
      </w:pPr>
    </w:p>
    <w:p w14:paraId="42BFD45E">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v-SE"/>
        </w:rPr>
        <w:t>6.6. Posebne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v-SE"/>
        </w:rPr>
        <w:t>ere opreza pri odlaganju materijala koji treba odbaciti nakon prim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v-SE"/>
        </w:rPr>
        <w:t>ene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v-SE"/>
        </w:rPr>
        <w:t xml:space="preserve">eka </w:t>
      </w:r>
    </w:p>
    <w:p w14:paraId="5442E2E7">
      <w:pPr>
        <w:rPr>
          <w:rFonts w:ascii="Microsoft Sans Serif" w:hAnsi="Microsoft Sans Serif" w:cs="Microsoft Sans Serif"/>
          <w:sz w:val="20"/>
          <w:szCs w:val="20"/>
          <w:lang w:val="sv-SE"/>
        </w:rPr>
      </w:pPr>
    </w:p>
    <w:p w14:paraId="2507A01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CS"/>
        </w:rPr>
        <w:t>Svu neiskorišćenu količinu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CS"/>
        </w:rPr>
        <w:t>eka ili otpadnog materijala nakon njegove upotrebe treba ukloniti u skladu sa važećim propisima.</w:t>
      </w:r>
    </w:p>
    <w:p w14:paraId="30949873">
      <w:pPr>
        <w:rPr>
          <w:rFonts w:ascii="Microsoft Sans Serif" w:hAnsi="Microsoft Sans Serif" w:cs="Microsoft Sans Serif"/>
          <w:sz w:val="20"/>
          <w:szCs w:val="20"/>
          <w:lang w:val="sr-Latn-RS"/>
        </w:rPr>
      </w:pPr>
    </w:p>
    <w:p w14:paraId="4FA9394F">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6.7. Režim izdavanja</w:t>
      </w:r>
    </w:p>
    <w:p w14:paraId="2A087B1F">
      <w:pPr>
        <w:tabs>
          <w:tab w:val="left" w:pos="567"/>
        </w:tabs>
        <w:rPr>
          <w:rFonts w:ascii="Microsoft Sans Serif" w:hAnsi="Microsoft Sans Serif" w:cs="Microsoft Sans Serif"/>
          <w:sz w:val="20"/>
          <w:szCs w:val="20"/>
          <w:highlight w:val="yellow"/>
          <w:lang w:val="sr-Latn-BA"/>
        </w:rPr>
      </w:pPr>
    </w:p>
    <w:p w14:paraId="22680B90">
      <w:pPr>
        <w:rPr>
          <w:rFonts w:ascii="Microsoft Sans Serif" w:hAnsi="Microsoft Sans Serif" w:cs="Microsoft Sans Serif"/>
          <w:sz w:val="20"/>
          <w:szCs w:val="20"/>
          <w:lang w:val="sr-Latn-RS"/>
        </w:rPr>
      </w:pPr>
      <w:r>
        <w:rPr>
          <w:rFonts w:ascii="Microsoft Sans Serif" w:hAnsi="Microsoft Sans Serif" w:cs="Microsoft Sans Serif"/>
          <w:sz w:val="20"/>
          <w:szCs w:val="20"/>
          <w:lang w:val="mk-MK"/>
        </w:rPr>
        <w:t xml:space="preserve">Lijek se izdaje </w:t>
      </w:r>
      <w:r>
        <w:rPr>
          <w:rFonts w:ascii="Microsoft Sans Serif" w:hAnsi="Microsoft Sans Serif" w:cs="Microsoft Sans Serif"/>
          <w:sz w:val="20"/>
          <w:szCs w:val="20"/>
          <w:lang w:val="sr-Latn-RS"/>
        </w:rPr>
        <w:t>uz</w:t>
      </w:r>
      <w:r>
        <w:rPr>
          <w:rFonts w:ascii="Microsoft Sans Serif" w:hAnsi="Microsoft Sans Serif" w:cs="Microsoft Sans Serif"/>
          <w:sz w:val="20"/>
          <w:szCs w:val="20"/>
          <w:lang w:val="mk-MK"/>
        </w:rPr>
        <w:t xml:space="preserve"> ljekarsk</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mk-MK"/>
        </w:rPr>
        <w:t xml:space="preserve"> recept</w:t>
      </w:r>
      <w:r>
        <w:rPr>
          <w:rFonts w:ascii="Microsoft Sans Serif" w:hAnsi="Microsoft Sans Serif" w:cs="Microsoft Sans Serif"/>
          <w:sz w:val="20"/>
          <w:szCs w:val="20"/>
          <w:lang w:val="sr-Latn-RS"/>
        </w:rPr>
        <w:t>.</w:t>
      </w:r>
    </w:p>
    <w:p w14:paraId="0C9048BD">
      <w:pPr>
        <w:rPr>
          <w:rFonts w:ascii="Microsoft Sans Serif" w:hAnsi="Microsoft Sans Serif" w:cs="Microsoft Sans Serif"/>
          <w:b/>
          <w:sz w:val="20"/>
          <w:lang w:val="sr-Cyrl-CS"/>
        </w:rPr>
      </w:pPr>
    </w:p>
    <w:p w14:paraId="164341B2">
      <w:pPr>
        <w:tabs>
          <w:tab w:val="left" w:pos="426"/>
        </w:tabs>
        <w:rPr>
          <w:rFonts w:ascii="Microsoft Sans Serif" w:hAnsi="Microsoft Sans Serif" w:cs="Microsoft Sans Serif"/>
          <w:b/>
          <w:i/>
          <w:sz w:val="20"/>
          <w:lang w:val="sr-Latn-BA"/>
        </w:rPr>
      </w:pPr>
      <w:r>
        <w:rPr>
          <w:rFonts w:ascii="Microsoft Sans Serif" w:hAnsi="Microsoft Sans Serif" w:cs="Microsoft Sans Serif"/>
          <w:b/>
          <w:sz w:val="20"/>
          <w:lang w:val="sr-Latn-BA"/>
        </w:rPr>
        <w:t>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PROIZVOĐAČ </w:t>
      </w:r>
    </w:p>
    <w:p w14:paraId="2D3C04A2">
      <w:pPr>
        <w:pStyle w:val="14"/>
        <w:rPr>
          <w:rFonts w:ascii="Microsoft Sans Serif" w:hAnsi="Microsoft Sans Serif" w:cs="Microsoft Sans Serif"/>
          <w:sz w:val="20"/>
          <w:szCs w:val="20"/>
          <w:lang w:val="sr-Latn-BA"/>
        </w:rPr>
      </w:pPr>
    </w:p>
    <w:p w14:paraId="728A92D1">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6E0FA718">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Bul. Aleksandar Makedonski br. 12, </w:t>
      </w:r>
    </w:p>
    <w:p w14:paraId="698A347C">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5E7E75DB">
      <w:pPr>
        <w:rPr>
          <w:rFonts w:ascii="Microsoft Sans Serif" w:hAnsi="Microsoft Sans Serif" w:cs="Microsoft Sans Serif"/>
          <w:sz w:val="20"/>
          <w:szCs w:val="20"/>
          <w:lang w:val="hr-HR"/>
        </w:rPr>
      </w:pPr>
    </w:p>
    <w:p w14:paraId="347C4BDE">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PROIZVOĐAČ GOTOVOG LIJEKA </w:t>
      </w:r>
    </w:p>
    <w:p w14:paraId="1F776069">
      <w:pPr>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hr-HR"/>
        </w:rPr>
        <w:t xml:space="preserve">ALKALOID AD Skopje </w:t>
      </w:r>
    </w:p>
    <w:p w14:paraId="4787C99F">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Bul. Aleksandar Makedonski br. 12, </w:t>
      </w:r>
    </w:p>
    <w:p w14:paraId="3F4EB30D">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1F32EEF4">
      <w:pPr>
        <w:rPr>
          <w:rFonts w:ascii="Microsoft Sans Serif" w:hAnsi="Microsoft Sans Serif" w:cs="Microsoft Sans Serif"/>
          <w:b/>
          <w:sz w:val="20"/>
          <w:szCs w:val="20"/>
          <w:lang w:val="sr-Latn-BA"/>
        </w:rPr>
      </w:pPr>
    </w:p>
    <w:p w14:paraId="0005BC25">
      <w:pPr>
        <w:rPr>
          <w:rFonts w:ascii="Microsoft Sans Serif" w:hAnsi="Microsoft Sans Serif" w:cs="Microsoft Sans Serif"/>
          <w:b/>
          <w:i/>
          <w:sz w:val="20"/>
          <w:szCs w:val="20"/>
          <w:lang w:val="sr-Latn-BA"/>
        </w:rPr>
      </w:pPr>
      <w:r>
        <w:rPr>
          <w:rFonts w:ascii="Microsoft Sans Serif" w:hAnsi="Microsoft Sans Serif" w:cs="Microsoft Sans Serif"/>
          <w:b/>
          <w:sz w:val="20"/>
          <w:szCs w:val="20"/>
          <w:lang w:val="sr-Latn-BA"/>
        </w:rPr>
        <w:t xml:space="preserve">NOSILAC DOZVOLE ZA STAVLJANJE LIJEKA U PROMET </w:t>
      </w:r>
    </w:p>
    <w:p w14:paraId="770F7F13">
      <w:pPr>
        <w:pStyle w:val="14"/>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288AFF7B">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7777D198">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4AB0B219">
      <w:pPr>
        <w:rPr>
          <w:rFonts w:ascii="Microsoft Sans Serif" w:hAnsi="Microsoft Sans Serif" w:cs="Microsoft Sans Serif"/>
          <w:sz w:val="20"/>
          <w:szCs w:val="20"/>
          <w:lang w:val="sv-SE"/>
        </w:rPr>
      </w:pPr>
    </w:p>
    <w:p w14:paraId="77AD48EA">
      <w:pPr>
        <w:tabs>
          <w:tab w:val="left" w:pos="567"/>
        </w:tabs>
        <w:rPr>
          <w:rFonts w:ascii="Microsoft Sans Serif" w:hAnsi="Microsoft Sans Serif" w:cs="Microsoft Sans Serif"/>
          <w:sz w:val="20"/>
          <w:szCs w:val="20"/>
          <w:lang w:val="sr-Latn-BA"/>
        </w:rPr>
      </w:pPr>
    </w:p>
    <w:p w14:paraId="4DD31F0F">
      <w:pPr>
        <w:tabs>
          <w:tab w:val="left" w:pos="360"/>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8.</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BROJ I DATUM DOZVOLE ZA STAVLJANJE LIJEKA U PROMET</w:t>
      </w:r>
    </w:p>
    <w:p w14:paraId="6CEC3D04">
      <w:pPr>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Skopryl Combo, 10 mg/5 mg</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tablete</w:t>
      </w:r>
      <w:r>
        <w:rPr>
          <w:rFonts w:ascii="Microsoft Sans Serif" w:hAnsi="Microsoft Sans Serif" w:cs="Microsoft Sans Serif"/>
          <w:sz w:val="20"/>
          <w:szCs w:val="20"/>
          <w:lang w:val="sr-Latn-RS"/>
        </w:rPr>
        <w:t>,30 tableta: 04-07.3-1-613/20 od 02.04.2021.</w:t>
      </w:r>
    </w:p>
    <w:p w14:paraId="06BB9563">
      <w:pPr>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Skopryl Combo, 10 mg/5 mg</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tablete</w:t>
      </w:r>
      <w:r>
        <w:rPr>
          <w:rFonts w:ascii="Microsoft Sans Serif" w:hAnsi="Microsoft Sans Serif" w:cs="Microsoft Sans Serif"/>
          <w:sz w:val="20"/>
          <w:szCs w:val="20"/>
          <w:lang w:val="sr-Latn-RS"/>
        </w:rPr>
        <w:t>, 90 tableta: 04-07.3-1-611/20 od 02.04.2021.</w:t>
      </w:r>
    </w:p>
    <w:p w14:paraId="3DEDC5E1">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Skopryl Combo, 20 mg/10 mg, tablete,</w:t>
      </w:r>
      <w:r>
        <w:rPr>
          <w:rFonts w:ascii="Microsoft Sans Serif" w:hAnsi="Microsoft Sans Serif" w:cs="Microsoft Sans Serif"/>
          <w:sz w:val="20"/>
          <w:szCs w:val="20"/>
          <w:lang w:val="sr-Latn-RS"/>
        </w:rPr>
        <w:t xml:space="preserve"> 30 tableta: 04-07.3-1-608/20 od 02.04.2021.</w:t>
      </w:r>
    </w:p>
    <w:p w14:paraId="2EF7A2F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Skopryl Combo, 20 mg/10 mg, tablete,</w:t>
      </w:r>
      <w:r>
        <w:rPr>
          <w:rFonts w:ascii="Microsoft Sans Serif" w:hAnsi="Microsoft Sans Serif" w:cs="Microsoft Sans Serif"/>
          <w:sz w:val="20"/>
          <w:szCs w:val="20"/>
          <w:lang w:val="sr-Latn-RS"/>
        </w:rPr>
        <w:t xml:space="preserve"> 90 tableta: 04-07.3-1-609/20 od 02.04.2021.</w:t>
      </w:r>
    </w:p>
    <w:p w14:paraId="30AD47D6">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Skopryl Combo, 20 mg/5 mg, tablete, </w:t>
      </w:r>
      <w:r>
        <w:rPr>
          <w:rFonts w:ascii="Microsoft Sans Serif" w:hAnsi="Microsoft Sans Serif" w:cs="Microsoft Sans Serif"/>
          <w:sz w:val="20"/>
          <w:szCs w:val="20"/>
          <w:lang w:val="sr-Latn-RS"/>
        </w:rPr>
        <w:t>30 tableta: 04-07.3-1-612/20 od 02.04.2021.</w:t>
      </w:r>
    </w:p>
    <w:p w14:paraId="65CD134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Skopryl Combo, 20 mg/5 mg, tablete, </w:t>
      </w:r>
      <w:r>
        <w:rPr>
          <w:rFonts w:ascii="Microsoft Sans Serif" w:hAnsi="Microsoft Sans Serif" w:cs="Microsoft Sans Serif"/>
          <w:sz w:val="20"/>
          <w:szCs w:val="20"/>
          <w:lang w:val="sr-Latn-RS"/>
        </w:rPr>
        <w:t>90 tableta: 04-07.3-1-610/20 od 02.04.2021.</w:t>
      </w:r>
    </w:p>
    <w:p w14:paraId="375B6B93">
      <w:pPr>
        <w:rPr>
          <w:rFonts w:ascii="Microsoft Sans Serif" w:hAnsi="Microsoft Sans Serif" w:cs="Microsoft Sans Serif"/>
          <w:b/>
          <w:sz w:val="20"/>
          <w:szCs w:val="20"/>
          <w:lang w:val="sv-SE"/>
        </w:rPr>
      </w:pPr>
    </w:p>
    <w:p w14:paraId="55E73028">
      <w:pPr>
        <w:rPr>
          <w:rFonts w:ascii="Microsoft Sans Serif" w:hAnsi="Microsoft Sans Serif" w:cs="Microsoft Sans Serif"/>
          <w:b/>
          <w:sz w:val="20"/>
          <w:szCs w:val="20"/>
          <w:u w:val="single"/>
          <w:lang w:val="mk-MK"/>
        </w:rPr>
      </w:pPr>
    </w:p>
    <w:p w14:paraId="493ABA2C">
      <w:pPr>
        <w:rPr>
          <w:rFonts w:ascii="Microsoft Sans Serif" w:hAnsi="Microsoft Sans Serif" w:cs="Microsoft Sans Serif"/>
          <w:b/>
          <w:sz w:val="20"/>
          <w:szCs w:val="20"/>
        </w:rPr>
      </w:pPr>
      <w:r>
        <w:rPr>
          <w:rFonts w:ascii="Microsoft Sans Serif" w:hAnsi="Microsoft Sans Serif" w:cs="Microsoft Sans Serif"/>
          <w:b/>
          <w:sz w:val="20"/>
          <w:szCs w:val="20"/>
        </w:rPr>
        <w:t>9. DATUM REVIZIJE TEKSTA</w:t>
      </w:r>
    </w:p>
    <w:p w14:paraId="6D0506A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Oktobar, 2023</w:t>
      </w:r>
      <w:r>
        <w:rPr>
          <w:rFonts w:ascii="Microsoft Sans Serif" w:hAnsi="Microsoft Sans Serif" w:cs="Microsoft Sans Serif"/>
          <w:bCs/>
          <w:sz w:val="20"/>
          <w:szCs w:val="20"/>
          <w:lang w:val="sr-Cyrl-RS"/>
        </w:rPr>
        <w:t>.</w:t>
      </w:r>
    </w:p>
    <w:p w14:paraId="74DDC268">
      <w:pPr>
        <w:rPr>
          <w:rFonts w:ascii="Microsoft Sans Serif" w:hAnsi="Microsoft Sans Serif" w:cs="Microsoft Sans Serif"/>
          <w:bCs/>
          <w:sz w:val="20"/>
          <w:szCs w:val="20"/>
        </w:rPr>
      </w:pPr>
    </w:p>
    <w:sectPr>
      <w:footerReference r:id="rId5" w:type="default"/>
      <w:footerReference r:id="rId6" w:type="even"/>
      <w:pgSz w:w="11907" w:h="16840"/>
      <w:pgMar w:top="2552" w:right="1134" w:bottom="1134" w:left="1418" w:header="357" w:footer="805" w:gutter="0"/>
      <w:pgNumType w:start="1"/>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elena Lalic" w:date="2023-11-23T12:19:00Z" w:initials="JL">
    <w:p w14:paraId="1C02E8AA">
      <w:pPr>
        <w:pStyle w:val="11"/>
        <w:jc w:val="left"/>
      </w:pPr>
      <w:r>
        <w:rPr>
          <w:lang w:val="sr-Latn-BA"/>
        </w:rPr>
        <w:t>Odobreni je dvije godine jer nisu izmjenjeni tekstovi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C02E8A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37874">
    <w:pPr>
      <w:pStyle w:val="13"/>
      <w:tabs>
        <w:tab w:val="left" w:pos="5448"/>
      </w:tabs>
      <w:spacing w:before="360"/>
      <w:jc w:val="center"/>
    </w:pPr>
    <w:sdt>
      <w:sdtPr>
        <w:id w:val="25862803"/>
        <w:docPartObj>
          <w:docPartGallery w:val="AutoText"/>
        </w:docPartObj>
      </w:sdtPr>
      <w:sdtContent>
        <w:sdt>
          <w:sdtPr>
            <w:id w:val="565050477"/>
            <w:docPartObj>
              <w:docPartGallery w:val="AutoText"/>
            </w:docPartObj>
          </w:sdtPr>
          <w:sdtContent>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r>
              <w:rPr>
                <w:sz w:val="18"/>
                <w:szCs w:val="18"/>
              </w:rPr>
              <w:t xml:space="preserve"> оd </w:t>
            </w:r>
            <w:r>
              <w:rPr>
                <w:sz w:val="18"/>
                <w:szCs w:val="18"/>
              </w:rPr>
              <w:fldChar w:fldCharType="begin"/>
            </w:r>
            <w:r>
              <w:rPr>
                <w:sz w:val="18"/>
                <w:szCs w:val="18"/>
              </w:rPr>
              <w:instrText xml:space="preserve"> NUMPAGES  </w:instrText>
            </w:r>
            <w:r>
              <w:rPr>
                <w:sz w:val="18"/>
                <w:szCs w:val="18"/>
              </w:rPr>
              <w:fldChar w:fldCharType="separate"/>
            </w:r>
            <w:r>
              <w:rPr>
                <w:sz w:val="18"/>
                <w:szCs w:val="18"/>
              </w:rPr>
              <w:t>22</w:t>
            </w:r>
            <w:r>
              <w:rPr>
                <w:sz w:val="18"/>
                <w:szCs w:val="18"/>
              </w:rPr>
              <w:fldChar w:fldCharType="end"/>
            </w:r>
          </w:sdtContent>
        </w:sdt>
      </w:sdtContent>
    </w:sdt>
  </w:p>
  <w:p w14:paraId="0800E2C8">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D6FBF">
    <w:pPr>
      <w:pStyle w:val="13"/>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14:paraId="0154BFDE">
    <w:pPr>
      <w:pStyle w:val="1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12578C"/>
    <w:multiLevelType w:val="multilevel"/>
    <w:tmpl w:val="3412578C"/>
    <w:lvl w:ilvl="0" w:tentative="0">
      <w:start w:val="4"/>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elena Lalic">
    <w15:presenceInfo w15:providerId="AD" w15:userId="S::jelena.lalic@alkaloid.com.ba::82ec548f-53a5-409c-b07a-06e26d1abb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DA"/>
    <w:rsid w:val="00010CD7"/>
    <w:rsid w:val="0001338F"/>
    <w:rsid w:val="00017801"/>
    <w:rsid w:val="00024E5B"/>
    <w:rsid w:val="00053DEC"/>
    <w:rsid w:val="00064273"/>
    <w:rsid w:val="0008236B"/>
    <w:rsid w:val="00083BE0"/>
    <w:rsid w:val="00083D0F"/>
    <w:rsid w:val="00095FB6"/>
    <w:rsid w:val="0009758B"/>
    <w:rsid w:val="000A0F4A"/>
    <w:rsid w:val="000B0219"/>
    <w:rsid w:val="000D2A90"/>
    <w:rsid w:val="000D5631"/>
    <w:rsid w:val="000D688E"/>
    <w:rsid w:val="000E1692"/>
    <w:rsid w:val="000E75C0"/>
    <w:rsid w:val="000F0C0D"/>
    <w:rsid w:val="00104D89"/>
    <w:rsid w:val="00115375"/>
    <w:rsid w:val="00141639"/>
    <w:rsid w:val="0014180A"/>
    <w:rsid w:val="00143287"/>
    <w:rsid w:val="00152971"/>
    <w:rsid w:val="00153AB9"/>
    <w:rsid w:val="00153FC4"/>
    <w:rsid w:val="001643D0"/>
    <w:rsid w:val="00165733"/>
    <w:rsid w:val="00173D18"/>
    <w:rsid w:val="00175772"/>
    <w:rsid w:val="00175A7E"/>
    <w:rsid w:val="00186E33"/>
    <w:rsid w:val="001A6850"/>
    <w:rsid w:val="001A798E"/>
    <w:rsid w:val="001B2B18"/>
    <w:rsid w:val="001B706A"/>
    <w:rsid w:val="001D10C9"/>
    <w:rsid w:val="001E0A07"/>
    <w:rsid w:val="001E6145"/>
    <w:rsid w:val="001F2D4E"/>
    <w:rsid w:val="001F33DA"/>
    <w:rsid w:val="001F39B6"/>
    <w:rsid w:val="00213F9C"/>
    <w:rsid w:val="00216798"/>
    <w:rsid w:val="00220BA8"/>
    <w:rsid w:val="0022218E"/>
    <w:rsid w:val="0022223A"/>
    <w:rsid w:val="00222C98"/>
    <w:rsid w:val="00230A66"/>
    <w:rsid w:val="0024132F"/>
    <w:rsid w:val="00242DCD"/>
    <w:rsid w:val="00247C5C"/>
    <w:rsid w:val="00256F2E"/>
    <w:rsid w:val="002604B9"/>
    <w:rsid w:val="00262774"/>
    <w:rsid w:val="002711B3"/>
    <w:rsid w:val="00273BE0"/>
    <w:rsid w:val="00273D8A"/>
    <w:rsid w:val="002764A3"/>
    <w:rsid w:val="002768EA"/>
    <w:rsid w:val="0028154D"/>
    <w:rsid w:val="002B0104"/>
    <w:rsid w:val="002B6AA5"/>
    <w:rsid w:val="002B6F6A"/>
    <w:rsid w:val="002C0FBF"/>
    <w:rsid w:val="002D73C0"/>
    <w:rsid w:val="002F5E2F"/>
    <w:rsid w:val="003006BD"/>
    <w:rsid w:val="00301234"/>
    <w:rsid w:val="00312C11"/>
    <w:rsid w:val="00316FC0"/>
    <w:rsid w:val="00317EEA"/>
    <w:rsid w:val="003212DC"/>
    <w:rsid w:val="00327957"/>
    <w:rsid w:val="00330AC2"/>
    <w:rsid w:val="00335187"/>
    <w:rsid w:val="0033749E"/>
    <w:rsid w:val="003452C0"/>
    <w:rsid w:val="0034735E"/>
    <w:rsid w:val="0034740E"/>
    <w:rsid w:val="003617A3"/>
    <w:rsid w:val="00383195"/>
    <w:rsid w:val="00391EA2"/>
    <w:rsid w:val="0039326A"/>
    <w:rsid w:val="00397A2C"/>
    <w:rsid w:val="003A04F0"/>
    <w:rsid w:val="003A06A1"/>
    <w:rsid w:val="003A2DF8"/>
    <w:rsid w:val="003A4361"/>
    <w:rsid w:val="003A5906"/>
    <w:rsid w:val="003B2082"/>
    <w:rsid w:val="003B2F36"/>
    <w:rsid w:val="003B3506"/>
    <w:rsid w:val="003B4314"/>
    <w:rsid w:val="003B727F"/>
    <w:rsid w:val="003B76A9"/>
    <w:rsid w:val="003C18A4"/>
    <w:rsid w:val="003D0C65"/>
    <w:rsid w:val="003E3EC7"/>
    <w:rsid w:val="003E73EB"/>
    <w:rsid w:val="0040775A"/>
    <w:rsid w:val="004123CD"/>
    <w:rsid w:val="004234ED"/>
    <w:rsid w:val="00427D41"/>
    <w:rsid w:val="00432DF3"/>
    <w:rsid w:val="00445097"/>
    <w:rsid w:val="00447F8A"/>
    <w:rsid w:val="00453CB1"/>
    <w:rsid w:val="00457859"/>
    <w:rsid w:val="00460DD8"/>
    <w:rsid w:val="00462C33"/>
    <w:rsid w:val="00465830"/>
    <w:rsid w:val="004845E5"/>
    <w:rsid w:val="00492248"/>
    <w:rsid w:val="00497648"/>
    <w:rsid w:val="004A0860"/>
    <w:rsid w:val="004B347F"/>
    <w:rsid w:val="004B5A11"/>
    <w:rsid w:val="004B62B1"/>
    <w:rsid w:val="004B698C"/>
    <w:rsid w:val="004B7A50"/>
    <w:rsid w:val="004C2E10"/>
    <w:rsid w:val="004D230F"/>
    <w:rsid w:val="004D254B"/>
    <w:rsid w:val="004D37A3"/>
    <w:rsid w:val="004E3160"/>
    <w:rsid w:val="004F078F"/>
    <w:rsid w:val="004F38ED"/>
    <w:rsid w:val="00500A0C"/>
    <w:rsid w:val="00503974"/>
    <w:rsid w:val="005074CC"/>
    <w:rsid w:val="005077DF"/>
    <w:rsid w:val="005140B8"/>
    <w:rsid w:val="005147EC"/>
    <w:rsid w:val="0052099E"/>
    <w:rsid w:val="00521E8C"/>
    <w:rsid w:val="0052230B"/>
    <w:rsid w:val="00525A8A"/>
    <w:rsid w:val="005276F0"/>
    <w:rsid w:val="00530909"/>
    <w:rsid w:val="00532A47"/>
    <w:rsid w:val="00547AB8"/>
    <w:rsid w:val="00557EDE"/>
    <w:rsid w:val="005739B6"/>
    <w:rsid w:val="00585FF5"/>
    <w:rsid w:val="00591A3D"/>
    <w:rsid w:val="00591B48"/>
    <w:rsid w:val="005A14C9"/>
    <w:rsid w:val="005A1A7F"/>
    <w:rsid w:val="005B3388"/>
    <w:rsid w:val="005B6889"/>
    <w:rsid w:val="005C0DC4"/>
    <w:rsid w:val="005C3F73"/>
    <w:rsid w:val="005C7891"/>
    <w:rsid w:val="005D1EEE"/>
    <w:rsid w:val="005D23FC"/>
    <w:rsid w:val="005E77EF"/>
    <w:rsid w:val="005E7860"/>
    <w:rsid w:val="005F7F10"/>
    <w:rsid w:val="00603302"/>
    <w:rsid w:val="00604E4F"/>
    <w:rsid w:val="006054EE"/>
    <w:rsid w:val="00610083"/>
    <w:rsid w:val="006118B6"/>
    <w:rsid w:val="00611A8B"/>
    <w:rsid w:val="0062214D"/>
    <w:rsid w:val="006270C0"/>
    <w:rsid w:val="00627FAC"/>
    <w:rsid w:val="00630195"/>
    <w:rsid w:val="00635BBD"/>
    <w:rsid w:val="00640994"/>
    <w:rsid w:val="006451D3"/>
    <w:rsid w:val="006559AF"/>
    <w:rsid w:val="006607D1"/>
    <w:rsid w:val="006610DF"/>
    <w:rsid w:val="006772DB"/>
    <w:rsid w:val="0067755F"/>
    <w:rsid w:val="006829B9"/>
    <w:rsid w:val="00682F28"/>
    <w:rsid w:val="00693874"/>
    <w:rsid w:val="00693F46"/>
    <w:rsid w:val="006B3A06"/>
    <w:rsid w:val="006B4BB6"/>
    <w:rsid w:val="006C2E6D"/>
    <w:rsid w:val="006E4BB1"/>
    <w:rsid w:val="006F10CF"/>
    <w:rsid w:val="006F158F"/>
    <w:rsid w:val="00704636"/>
    <w:rsid w:val="00706251"/>
    <w:rsid w:val="007123C8"/>
    <w:rsid w:val="00714CB7"/>
    <w:rsid w:val="00732702"/>
    <w:rsid w:val="00732B21"/>
    <w:rsid w:val="00732D10"/>
    <w:rsid w:val="007372E9"/>
    <w:rsid w:val="007453B3"/>
    <w:rsid w:val="00746429"/>
    <w:rsid w:val="00746DF6"/>
    <w:rsid w:val="00750851"/>
    <w:rsid w:val="007540BB"/>
    <w:rsid w:val="00764648"/>
    <w:rsid w:val="007672F3"/>
    <w:rsid w:val="0077047D"/>
    <w:rsid w:val="007773C2"/>
    <w:rsid w:val="00786EC5"/>
    <w:rsid w:val="007878E0"/>
    <w:rsid w:val="007A7A88"/>
    <w:rsid w:val="007B16C4"/>
    <w:rsid w:val="007C1DD6"/>
    <w:rsid w:val="007C2D7E"/>
    <w:rsid w:val="007D17FD"/>
    <w:rsid w:val="007D48C5"/>
    <w:rsid w:val="007E06F0"/>
    <w:rsid w:val="007F41C9"/>
    <w:rsid w:val="007F7B00"/>
    <w:rsid w:val="00801EE4"/>
    <w:rsid w:val="00802DFC"/>
    <w:rsid w:val="0081237F"/>
    <w:rsid w:val="00814781"/>
    <w:rsid w:val="00816D0D"/>
    <w:rsid w:val="008220AC"/>
    <w:rsid w:val="00834DBB"/>
    <w:rsid w:val="00842FFB"/>
    <w:rsid w:val="00856593"/>
    <w:rsid w:val="0086351A"/>
    <w:rsid w:val="00874B61"/>
    <w:rsid w:val="008A48B7"/>
    <w:rsid w:val="008A5033"/>
    <w:rsid w:val="008B3EB5"/>
    <w:rsid w:val="008C2357"/>
    <w:rsid w:val="008C2F9B"/>
    <w:rsid w:val="008C5809"/>
    <w:rsid w:val="008C7F40"/>
    <w:rsid w:val="008D78C9"/>
    <w:rsid w:val="008E0FC9"/>
    <w:rsid w:val="008E4534"/>
    <w:rsid w:val="008F511C"/>
    <w:rsid w:val="00900C5F"/>
    <w:rsid w:val="009124DC"/>
    <w:rsid w:val="00913684"/>
    <w:rsid w:val="00923865"/>
    <w:rsid w:val="0093016E"/>
    <w:rsid w:val="00932A03"/>
    <w:rsid w:val="00934B4D"/>
    <w:rsid w:val="00941B55"/>
    <w:rsid w:val="0094282B"/>
    <w:rsid w:val="0094565C"/>
    <w:rsid w:val="00955C75"/>
    <w:rsid w:val="00967252"/>
    <w:rsid w:val="009677DF"/>
    <w:rsid w:val="00974788"/>
    <w:rsid w:val="009760AE"/>
    <w:rsid w:val="009946F8"/>
    <w:rsid w:val="0099524B"/>
    <w:rsid w:val="00995EA1"/>
    <w:rsid w:val="00996E6B"/>
    <w:rsid w:val="009A058D"/>
    <w:rsid w:val="009A1D64"/>
    <w:rsid w:val="009A3D1B"/>
    <w:rsid w:val="009B1292"/>
    <w:rsid w:val="009B21B2"/>
    <w:rsid w:val="009B2430"/>
    <w:rsid w:val="009B338B"/>
    <w:rsid w:val="009B58AD"/>
    <w:rsid w:val="009B7935"/>
    <w:rsid w:val="009C7BA2"/>
    <w:rsid w:val="009D1161"/>
    <w:rsid w:val="009D667B"/>
    <w:rsid w:val="009E46C1"/>
    <w:rsid w:val="009F4449"/>
    <w:rsid w:val="009F5B2D"/>
    <w:rsid w:val="00A02252"/>
    <w:rsid w:val="00A02646"/>
    <w:rsid w:val="00A03754"/>
    <w:rsid w:val="00A109C1"/>
    <w:rsid w:val="00A127F1"/>
    <w:rsid w:val="00A13F7F"/>
    <w:rsid w:val="00A178C1"/>
    <w:rsid w:val="00A267B8"/>
    <w:rsid w:val="00A2696E"/>
    <w:rsid w:val="00A27130"/>
    <w:rsid w:val="00A27515"/>
    <w:rsid w:val="00A34CB2"/>
    <w:rsid w:val="00A4002A"/>
    <w:rsid w:val="00A457A6"/>
    <w:rsid w:val="00A51200"/>
    <w:rsid w:val="00A627E6"/>
    <w:rsid w:val="00A7147C"/>
    <w:rsid w:val="00A7660B"/>
    <w:rsid w:val="00A8255C"/>
    <w:rsid w:val="00A851B7"/>
    <w:rsid w:val="00A86897"/>
    <w:rsid w:val="00A94B6F"/>
    <w:rsid w:val="00A95733"/>
    <w:rsid w:val="00AA634B"/>
    <w:rsid w:val="00AB5465"/>
    <w:rsid w:val="00AD44C3"/>
    <w:rsid w:val="00AE653D"/>
    <w:rsid w:val="00B03EBB"/>
    <w:rsid w:val="00B06178"/>
    <w:rsid w:val="00B07527"/>
    <w:rsid w:val="00B26FAC"/>
    <w:rsid w:val="00B27DEC"/>
    <w:rsid w:val="00B31AA2"/>
    <w:rsid w:val="00B37F1D"/>
    <w:rsid w:val="00B40257"/>
    <w:rsid w:val="00B62521"/>
    <w:rsid w:val="00B62634"/>
    <w:rsid w:val="00B66FAD"/>
    <w:rsid w:val="00B74C0B"/>
    <w:rsid w:val="00B75FBD"/>
    <w:rsid w:val="00B828E9"/>
    <w:rsid w:val="00B8400D"/>
    <w:rsid w:val="00B93A37"/>
    <w:rsid w:val="00B957D9"/>
    <w:rsid w:val="00BA1819"/>
    <w:rsid w:val="00BA40C0"/>
    <w:rsid w:val="00BA5A22"/>
    <w:rsid w:val="00BB55E5"/>
    <w:rsid w:val="00BC6EF7"/>
    <w:rsid w:val="00BD2DDF"/>
    <w:rsid w:val="00BD725A"/>
    <w:rsid w:val="00BF0548"/>
    <w:rsid w:val="00BF2203"/>
    <w:rsid w:val="00BF3750"/>
    <w:rsid w:val="00BF4D60"/>
    <w:rsid w:val="00C06244"/>
    <w:rsid w:val="00C15DEA"/>
    <w:rsid w:val="00C411CC"/>
    <w:rsid w:val="00C536C2"/>
    <w:rsid w:val="00C55D0C"/>
    <w:rsid w:val="00C55F47"/>
    <w:rsid w:val="00C56E2E"/>
    <w:rsid w:val="00C5766D"/>
    <w:rsid w:val="00C57711"/>
    <w:rsid w:val="00C6036B"/>
    <w:rsid w:val="00C618C0"/>
    <w:rsid w:val="00C62B15"/>
    <w:rsid w:val="00C64A31"/>
    <w:rsid w:val="00C82E8B"/>
    <w:rsid w:val="00CA6A85"/>
    <w:rsid w:val="00CC36D7"/>
    <w:rsid w:val="00CC4C88"/>
    <w:rsid w:val="00CD0B1F"/>
    <w:rsid w:val="00CD1D32"/>
    <w:rsid w:val="00CD3F96"/>
    <w:rsid w:val="00CD66E2"/>
    <w:rsid w:val="00CD6937"/>
    <w:rsid w:val="00CE09F3"/>
    <w:rsid w:val="00CE5730"/>
    <w:rsid w:val="00CE76DA"/>
    <w:rsid w:val="00CF12A7"/>
    <w:rsid w:val="00CF50F8"/>
    <w:rsid w:val="00D00213"/>
    <w:rsid w:val="00D02F6C"/>
    <w:rsid w:val="00D0649D"/>
    <w:rsid w:val="00D11E94"/>
    <w:rsid w:val="00D24DF0"/>
    <w:rsid w:val="00D30389"/>
    <w:rsid w:val="00D31BBD"/>
    <w:rsid w:val="00D337F6"/>
    <w:rsid w:val="00D45235"/>
    <w:rsid w:val="00D46FA3"/>
    <w:rsid w:val="00D52CDB"/>
    <w:rsid w:val="00D61710"/>
    <w:rsid w:val="00D658A2"/>
    <w:rsid w:val="00D6611E"/>
    <w:rsid w:val="00D85B30"/>
    <w:rsid w:val="00D85F37"/>
    <w:rsid w:val="00DA4B32"/>
    <w:rsid w:val="00DB4534"/>
    <w:rsid w:val="00DC0361"/>
    <w:rsid w:val="00DD2A82"/>
    <w:rsid w:val="00DE0099"/>
    <w:rsid w:val="00DE660C"/>
    <w:rsid w:val="00DF3614"/>
    <w:rsid w:val="00DF46E4"/>
    <w:rsid w:val="00E04856"/>
    <w:rsid w:val="00E260B6"/>
    <w:rsid w:val="00E34289"/>
    <w:rsid w:val="00E360E0"/>
    <w:rsid w:val="00E504B4"/>
    <w:rsid w:val="00E50CD3"/>
    <w:rsid w:val="00E56089"/>
    <w:rsid w:val="00E65055"/>
    <w:rsid w:val="00E70ABF"/>
    <w:rsid w:val="00E87BE1"/>
    <w:rsid w:val="00E949D3"/>
    <w:rsid w:val="00E9511C"/>
    <w:rsid w:val="00EA020F"/>
    <w:rsid w:val="00EA1F85"/>
    <w:rsid w:val="00EC344D"/>
    <w:rsid w:val="00EC6243"/>
    <w:rsid w:val="00ED5053"/>
    <w:rsid w:val="00ED735F"/>
    <w:rsid w:val="00EF02FA"/>
    <w:rsid w:val="00F01E6B"/>
    <w:rsid w:val="00F30891"/>
    <w:rsid w:val="00F45D5F"/>
    <w:rsid w:val="00F51CD9"/>
    <w:rsid w:val="00F5775F"/>
    <w:rsid w:val="00F61ADD"/>
    <w:rsid w:val="00F63F24"/>
    <w:rsid w:val="00F63F5E"/>
    <w:rsid w:val="00F6714F"/>
    <w:rsid w:val="00F76A5C"/>
    <w:rsid w:val="00F85055"/>
    <w:rsid w:val="00F95212"/>
    <w:rsid w:val="00FA0315"/>
    <w:rsid w:val="00FA7000"/>
    <w:rsid w:val="00FC48B7"/>
    <w:rsid w:val="00FC6C71"/>
    <w:rsid w:val="00FD33E8"/>
    <w:rsid w:val="00FD72D9"/>
    <w:rsid w:val="00FE1E4D"/>
    <w:rsid w:val="00FE631C"/>
    <w:rsid w:val="00FF0D13"/>
    <w:rsid w:val="75E126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semiHidden/>
    <w:qFormat/>
    <w:uiPriority w:val="0"/>
    <w:rPr>
      <w:rFonts w:ascii="Tahoma" w:hAnsi="Tahoma" w:cs="Tahoma"/>
      <w:sz w:val="16"/>
      <w:szCs w:val="16"/>
    </w:rPr>
  </w:style>
  <w:style w:type="paragraph" w:styleId="9">
    <w:name w:val="Body Text Indent"/>
    <w:basedOn w:val="1"/>
    <w:link w:val="22"/>
    <w:semiHidden/>
    <w:unhideWhenUsed/>
    <w:qFormat/>
    <w:uiPriority w:val="99"/>
    <w:pPr>
      <w:tabs>
        <w:tab w:val="clear" w:pos="284"/>
      </w:tabs>
      <w:spacing w:after="120"/>
      <w:ind w:left="283"/>
      <w:jc w:val="left"/>
    </w:pPr>
    <w:rPr>
      <w:rFonts w:ascii="Calibri" w:hAnsi="Calibri" w:eastAsia="Calibri"/>
      <w:szCs w:val="22"/>
      <w:lang w:val="zh-CN"/>
    </w:rPr>
  </w:style>
  <w:style w:type="character" w:styleId="10">
    <w:name w:val="annotation reference"/>
    <w:uiPriority w:val="0"/>
    <w:rPr>
      <w:sz w:val="16"/>
      <w:szCs w:val="16"/>
    </w:rPr>
  </w:style>
  <w:style w:type="paragraph" w:styleId="11">
    <w:name w:val="annotation text"/>
    <w:basedOn w:val="1"/>
    <w:semiHidden/>
    <w:uiPriority w:val="0"/>
    <w:rPr>
      <w:sz w:val="20"/>
      <w:szCs w:val="20"/>
    </w:rPr>
  </w:style>
  <w:style w:type="paragraph" w:styleId="12">
    <w:name w:val="annotation subject"/>
    <w:basedOn w:val="11"/>
    <w:next w:val="11"/>
    <w:semiHidden/>
    <w:uiPriority w:val="0"/>
    <w:rPr>
      <w:b/>
      <w:bCs/>
    </w:rPr>
  </w:style>
  <w:style w:type="paragraph" w:styleId="13">
    <w:name w:val="footer"/>
    <w:basedOn w:val="1"/>
    <w:link w:val="18"/>
    <w:uiPriority w:val="99"/>
    <w:pPr>
      <w:tabs>
        <w:tab w:val="center" w:pos="4536"/>
        <w:tab w:val="right" w:pos="9072"/>
        <w:tab w:val="clear" w:pos="284"/>
      </w:tabs>
    </w:pPr>
  </w:style>
  <w:style w:type="paragraph" w:styleId="14">
    <w:name w:val="header"/>
    <w:basedOn w:val="1"/>
    <w:link w:val="25"/>
    <w:uiPriority w:val="99"/>
    <w:pPr>
      <w:tabs>
        <w:tab w:val="center" w:pos="4536"/>
        <w:tab w:val="right" w:pos="9072"/>
        <w:tab w:val="clear" w:pos="284"/>
      </w:tabs>
    </w:pPr>
  </w:style>
  <w:style w:type="paragraph" w:styleId="15">
    <w:name w:val="HTML Preformatted"/>
    <w:basedOn w:val="1"/>
    <w:link w:val="2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284"/>
      </w:tabs>
      <w:suppressAutoHyphens/>
      <w:jc w:val="left"/>
    </w:pPr>
    <w:rPr>
      <w:rFonts w:ascii="Courier New" w:hAnsi="Courier New" w:cs="Courier New"/>
      <w:sz w:val="20"/>
      <w:szCs w:val="20"/>
      <w:lang w:eastAsia="ar-SA"/>
    </w:rPr>
  </w:style>
  <w:style w:type="character" w:styleId="16">
    <w:name w:val="Hyperlink"/>
    <w:basedOn w:val="6"/>
    <w:qFormat/>
    <w:uiPriority w:val="0"/>
    <w:rPr>
      <w:color w:val="0000FF" w:themeColor="hyperlink"/>
      <w:u w:val="single"/>
      <w14:textFill>
        <w14:solidFill>
          <w14:schemeClr w14:val="hlink"/>
        </w14:solidFill>
      </w14:textFill>
    </w:rPr>
  </w:style>
  <w:style w:type="character" w:styleId="17">
    <w:name w:val="page number"/>
    <w:basedOn w:val="6"/>
    <w:uiPriority w:val="0"/>
  </w:style>
  <w:style w:type="character" w:customStyle="1" w:styleId="18">
    <w:name w:val="Footer Char"/>
    <w:basedOn w:val="6"/>
    <w:link w:val="13"/>
    <w:qFormat/>
    <w:uiPriority w:val="99"/>
    <w:rPr>
      <w:rFonts w:ascii="Humanist777" w:hAnsi="Humanist777"/>
      <w:sz w:val="24"/>
      <w:szCs w:val="24"/>
    </w:rPr>
  </w:style>
  <w:style w:type="paragraph" w:customStyle="1" w:styleId="19">
    <w:name w:val="NASLOV 123"/>
    <w:basedOn w:val="1"/>
    <w:qFormat/>
    <w:uiPriority w:val="0"/>
    <w:pPr>
      <w:spacing w:before="200" w:after="200"/>
      <w:jc w:val="left"/>
    </w:pPr>
    <w:rPr>
      <w:b/>
      <w:szCs w:val="22"/>
    </w:rPr>
  </w:style>
  <w:style w:type="paragraph" w:styleId="20">
    <w:name w:val="List Paragraph"/>
    <w:basedOn w:val="1"/>
    <w:qFormat/>
    <w:uiPriority w:val="0"/>
    <w:pPr>
      <w:tabs>
        <w:tab w:val="clear" w:pos="284"/>
      </w:tabs>
      <w:ind w:left="720"/>
      <w:contextualSpacing/>
      <w:jc w:val="left"/>
    </w:pPr>
    <w:rPr>
      <w:rFonts w:ascii="Calibri" w:hAnsi="Calibri" w:eastAsia="Calibri"/>
      <w:szCs w:val="22"/>
      <w:lang w:val="hu-HU"/>
    </w:rPr>
  </w:style>
  <w:style w:type="paragraph" w:customStyle="1" w:styleId="21">
    <w:name w:val="Default"/>
    <w:qFormat/>
    <w:uiPriority w:val="0"/>
    <w:pPr>
      <w:autoSpaceDE w:val="0"/>
      <w:autoSpaceDN w:val="0"/>
      <w:adjustRightInd w:val="0"/>
    </w:pPr>
    <w:rPr>
      <w:rFonts w:ascii="Times New Roman" w:hAnsi="Times New Roman" w:eastAsia="Calibri" w:cs="Times New Roman"/>
      <w:color w:val="000000"/>
      <w:sz w:val="24"/>
      <w:szCs w:val="24"/>
      <w:lang w:val="hu-HU" w:eastAsia="hu-HU" w:bidi="ar-SA"/>
    </w:rPr>
  </w:style>
  <w:style w:type="character" w:customStyle="1" w:styleId="22">
    <w:name w:val="Body Text Indent Char"/>
    <w:basedOn w:val="6"/>
    <w:link w:val="9"/>
    <w:semiHidden/>
    <w:qFormat/>
    <w:uiPriority w:val="99"/>
    <w:rPr>
      <w:rFonts w:ascii="Calibri" w:hAnsi="Calibri" w:eastAsia="Calibri"/>
      <w:sz w:val="22"/>
      <w:szCs w:val="22"/>
      <w:lang w:val="zh-CN"/>
    </w:rPr>
  </w:style>
  <w:style w:type="paragraph" w:customStyle="1" w:styleId="23">
    <w:name w:val="List Paragraph1"/>
    <w:basedOn w:val="1"/>
    <w:qFormat/>
    <w:uiPriority w:val="34"/>
    <w:pPr>
      <w:tabs>
        <w:tab w:val="clear" w:pos="284"/>
      </w:tabs>
      <w:suppressAutoHyphens/>
      <w:spacing w:line="260" w:lineRule="exact"/>
      <w:ind w:left="708"/>
      <w:jc w:val="left"/>
    </w:pPr>
    <w:rPr>
      <w:szCs w:val="20"/>
      <w:lang w:val="hu-HU" w:eastAsia="hu-HU"/>
    </w:rPr>
  </w:style>
  <w:style w:type="character" w:customStyle="1" w:styleId="24">
    <w:name w:val="HTML Preformatted Char"/>
    <w:basedOn w:val="6"/>
    <w:link w:val="15"/>
    <w:qFormat/>
    <w:uiPriority w:val="0"/>
    <w:rPr>
      <w:rFonts w:ascii="Courier New" w:hAnsi="Courier New" w:cs="Courier New"/>
      <w:lang w:eastAsia="ar-SA"/>
    </w:rPr>
  </w:style>
  <w:style w:type="character" w:customStyle="1" w:styleId="25">
    <w:name w:val="Header Char"/>
    <w:link w:val="14"/>
    <w:qFormat/>
    <w:locked/>
    <w:uiPriority w:val="99"/>
    <w:rPr>
      <w:sz w:val="22"/>
      <w:szCs w:val="24"/>
    </w:rPr>
  </w:style>
  <w:style w:type="paragraph" w:customStyle="1" w:styleId="26">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BCF83-48DB-48D6-8734-C68F8BE4B9A0}">
  <ds:schemaRefs/>
</ds:datastoreItem>
</file>

<file path=docProps/app.xml><?xml version="1.0" encoding="utf-8"?>
<Properties xmlns="http://schemas.openxmlformats.org/officeDocument/2006/extended-properties" xmlns:vt="http://schemas.openxmlformats.org/officeDocument/2006/docPropsVTypes">
  <Template>Normal</Template>
  <Pages>22</Pages>
  <Words>10576</Words>
  <Characters>60289</Characters>
  <Lines>502</Lines>
  <Paragraphs>141</Paragraphs>
  <TotalTime>0</TotalTime>
  <ScaleCrop>false</ScaleCrop>
  <LinksUpToDate>false</LinksUpToDate>
  <CharactersWithSpaces>70724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2023-12-04T10:44:00Z</dcterms:created>
  <dc:creator>TANJANE</dc:creator>
  <cp:lastModifiedBy>Haris</cp:lastModifiedBy>
  <cp:lastPrinted>2022-11-14T09:14:00Z</cp:lastPrinted>
  <dcterms:modified xsi:type="dcterms:W3CDTF">2025-02-21T15:31:10Z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D02839398A414B369E31A4AFA76F1A5B_13</vt:lpwstr>
  </property>
</Properties>
</file>