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830B5F">
      <w:pPr>
        <w:pStyle w:val="31"/>
        <w:rPr>
          <w:rFonts w:ascii="Microsoft Sans Serif" w:hAnsi="Microsoft Sans Serif" w:cs="Microsoft Sans Serif"/>
          <w:sz w:val="20"/>
          <w:szCs w:val="20"/>
          <w:lang w:val="mk-MK"/>
        </w:rPr>
      </w:pPr>
      <w:bookmarkStart w:id="1" w:name="_GoBack"/>
      <w:bookmarkEnd w:id="1"/>
      <w:r>
        <w:rPr>
          <w:rFonts w:ascii="Microsoft Sans Serif" w:hAnsi="Microsoft Sans Serif" w:cs="Microsoft Sans Serif"/>
          <w:sz w:val="20"/>
          <w:szCs w:val="20"/>
          <w:lang w:val="de-DE"/>
        </w:rPr>
        <w:t>SAŽETAK KARAKTERISTIKA LIJEKA</w:t>
      </w:r>
    </w:p>
    <w:p w14:paraId="42581A12">
      <w:pPr>
        <w:pStyle w:val="31"/>
        <w:jc w:val="both"/>
        <w:rPr>
          <w:rFonts w:ascii="Microsoft Sans Serif" w:hAnsi="Microsoft Sans Serif" w:cs="Microsoft Sans Serif"/>
          <w:sz w:val="20"/>
          <w:szCs w:val="20"/>
          <w:lang w:val="de-DE"/>
        </w:rPr>
      </w:pPr>
    </w:p>
    <w:p w14:paraId="48ED0738">
      <w:pPr>
        <w:pStyle w:val="31"/>
        <w:jc w:val="both"/>
        <w:rPr>
          <w:rFonts w:ascii="Microsoft Sans Serif" w:hAnsi="Microsoft Sans Serif" w:cs="Microsoft Sans Serif"/>
          <w:sz w:val="20"/>
          <w:szCs w:val="20"/>
          <w:lang w:val="de-DE"/>
        </w:rPr>
      </w:pPr>
    </w:p>
    <w:p w14:paraId="483AD1A6">
      <w:pPr>
        <w:jc w:val="both"/>
        <w:rPr>
          <w:rFonts w:ascii="Microsoft Sans Serif" w:hAnsi="Microsoft Sans Serif" w:cs="Microsoft Sans Serif"/>
          <w:b/>
          <w:sz w:val="20"/>
          <w:szCs w:val="20"/>
          <w:lang w:val="de-DE"/>
        </w:rPr>
      </w:pPr>
    </w:p>
    <w:p w14:paraId="1389B323">
      <w:pPr>
        <w:jc w:val="both"/>
        <w:rPr>
          <w:rFonts w:ascii="Microsoft Sans Serif" w:hAnsi="Microsoft Sans Serif" w:cs="Microsoft Sans Serif"/>
          <w:b/>
          <w:sz w:val="20"/>
          <w:szCs w:val="20"/>
          <w:lang w:val="de-DE"/>
        </w:rPr>
      </w:pPr>
      <w:r>
        <w:rPr>
          <w:rFonts w:ascii="Microsoft Sans Serif" w:hAnsi="Microsoft Sans Serif" w:cs="Microsoft Sans Serif"/>
          <w:b/>
          <w:sz w:val="20"/>
          <w:szCs w:val="20"/>
          <w:lang w:val="de-DE"/>
        </w:rPr>
        <w:t xml:space="preserve">1. </w:t>
      </w:r>
      <w:r>
        <w:rPr>
          <w:rFonts w:ascii="Microsoft Sans Serif" w:hAnsi="Microsoft Sans Serif" w:cs="Microsoft Sans Serif"/>
          <w:b/>
          <w:sz w:val="20"/>
          <w:szCs w:val="20"/>
          <w:lang w:val="de-DE"/>
        </w:rPr>
        <w:tab/>
      </w:r>
      <w:r>
        <w:rPr>
          <w:rFonts w:ascii="Microsoft Sans Serif" w:hAnsi="Microsoft Sans Serif" w:cs="Microsoft Sans Serif"/>
          <w:b/>
          <w:sz w:val="20"/>
          <w:szCs w:val="20"/>
          <w:lang w:val="de-DE"/>
        </w:rPr>
        <w:t>NAZIV GOTOVOG LIJEKA</w:t>
      </w:r>
    </w:p>
    <w:p w14:paraId="24A9F36C">
      <w:pPr>
        <w:jc w:val="both"/>
        <w:rPr>
          <w:rFonts w:ascii="Microsoft Sans Serif" w:hAnsi="Microsoft Sans Serif" w:cs="Microsoft Sans Serif"/>
          <w:b/>
          <w:sz w:val="20"/>
          <w:szCs w:val="20"/>
          <w:lang w:val="de-DE"/>
        </w:rPr>
      </w:pPr>
    </w:p>
    <w:p w14:paraId="26EC486F">
      <w:pPr>
        <w:jc w:val="both"/>
        <w:rPr>
          <w:rFonts w:ascii="Microsoft Sans Serif" w:hAnsi="Microsoft Sans Serif" w:cs="Microsoft Sans Serif"/>
          <w:sz w:val="20"/>
          <w:szCs w:val="20"/>
        </w:rPr>
      </w:pPr>
      <w:r>
        <w:rPr>
          <w:rFonts w:ascii="Microsoft Sans Serif" w:hAnsi="Microsoft Sans Serif" w:cs="Microsoft Sans Serif"/>
          <w:sz w:val="20"/>
          <w:szCs w:val="20"/>
        </w:rPr>
        <w:t>RELIKA</w:t>
      </w:r>
      <w:r>
        <w:rPr>
          <w:rFonts w:ascii="Microsoft Sans Serif" w:hAnsi="Microsoft Sans Serif" w:cs="Microsoft Sans Serif"/>
          <w:sz w:val="20"/>
          <w:szCs w:val="20"/>
          <w:lang w:val="mk-MK"/>
        </w:rPr>
        <w:t xml:space="preserve"> </w:t>
      </w:r>
    </w:p>
    <w:p w14:paraId="51A387C4">
      <w:pPr>
        <w:jc w:val="both"/>
        <w:rPr>
          <w:rFonts w:ascii="Microsoft Sans Serif" w:hAnsi="Microsoft Sans Serif" w:cs="Microsoft Sans Serif"/>
          <w:sz w:val="20"/>
          <w:szCs w:val="20"/>
        </w:rPr>
      </w:pPr>
      <w:r>
        <w:rPr>
          <w:rFonts w:ascii="Microsoft Sans Serif" w:hAnsi="Microsoft Sans Serif" w:cs="Microsoft Sans Serif"/>
          <w:sz w:val="20"/>
          <w:szCs w:val="20"/>
        </w:rPr>
        <w:t>2</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rPr>
        <w:t>mg tableta</w:t>
      </w:r>
    </w:p>
    <w:p w14:paraId="099C41F3">
      <w:pPr>
        <w:jc w:val="both"/>
        <w:rPr>
          <w:rFonts w:ascii="Microsoft Sans Serif" w:hAnsi="Microsoft Sans Serif" w:cs="Microsoft Sans Serif"/>
          <w:sz w:val="20"/>
          <w:szCs w:val="20"/>
        </w:rPr>
      </w:pPr>
      <w:r>
        <w:rPr>
          <w:rFonts w:ascii="Microsoft Sans Serif" w:hAnsi="Microsoft Sans Serif" w:cs="Microsoft Sans Serif"/>
          <w:sz w:val="20"/>
          <w:szCs w:val="20"/>
        </w:rPr>
        <w:t>4</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rPr>
        <w:t>mg tableta</w:t>
      </w:r>
    </w:p>
    <w:p w14:paraId="4A9AAF4A">
      <w:pPr>
        <w:jc w:val="both"/>
        <w:rPr>
          <w:rFonts w:ascii="Microsoft Sans Serif" w:hAnsi="Microsoft Sans Serif" w:cs="Microsoft Sans Serif"/>
          <w:sz w:val="20"/>
          <w:szCs w:val="20"/>
        </w:rPr>
      </w:pPr>
      <w:r>
        <w:rPr>
          <w:rFonts w:ascii="Microsoft Sans Serif" w:hAnsi="Microsoft Sans Serif" w:cs="Microsoft Sans Serif"/>
          <w:sz w:val="20"/>
          <w:szCs w:val="20"/>
        </w:rPr>
        <w:t>8</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rPr>
        <w:t>mg tableta</w:t>
      </w:r>
    </w:p>
    <w:p w14:paraId="2B438393">
      <w:pPr>
        <w:jc w:val="both"/>
        <w:rPr>
          <w:rFonts w:ascii="Microsoft Sans Serif" w:hAnsi="Microsoft Sans Serif" w:cs="Microsoft Sans Serif"/>
          <w:i/>
          <w:sz w:val="20"/>
          <w:szCs w:val="20"/>
        </w:rPr>
      </w:pPr>
      <w:r>
        <w:rPr>
          <w:rFonts w:ascii="Microsoft Sans Serif" w:hAnsi="Microsoft Sans Serif" w:cs="Microsoft Sans Serif"/>
          <w:i/>
          <w:sz w:val="20"/>
          <w:szCs w:val="20"/>
        </w:rPr>
        <w:t>perindopril</w:t>
      </w:r>
    </w:p>
    <w:p w14:paraId="581B6223">
      <w:pPr>
        <w:jc w:val="both"/>
        <w:rPr>
          <w:rFonts w:ascii="Microsoft Sans Serif" w:hAnsi="Microsoft Sans Serif" w:cs="Microsoft Sans Serif"/>
          <w:b/>
          <w:sz w:val="20"/>
          <w:szCs w:val="20"/>
        </w:rPr>
      </w:pPr>
    </w:p>
    <w:p w14:paraId="2D90BA59">
      <w:pPr>
        <w:jc w:val="both"/>
        <w:rPr>
          <w:rFonts w:ascii="Microsoft Sans Serif" w:hAnsi="Microsoft Sans Serif" w:cs="Microsoft Sans Serif"/>
          <w:b/>
          <w:sz w:val="20"/>
          <w:szCs w:val="20"/>
        </w:rPr>
      </w:pPr>
    </w:p>
    <w:p w14:paraId="2449B5CF">
      <w:pPr>
        <w:jc w:val="both"/>
        <w:rPr>
          <w:rFonts w:ascii="Microsoft Sans Serif" w:hAnsi="Microsoft Sans Serif" w:cs="Microsoft Sans Serif"/>
          <w:b/>
          <w:sz w:val="20"/>
          <w:szCs w:val="20"/>
        </w:rPr>
      </w:pPr>
      <w:r>
        <w:rPr>
          <w:rFonts w:ascii="Microsoft Sans Serif" w:hAnsi="Microsoft Sans Serif" w:cs="Microsoft Sans Serif"/>
          <w:b/>
          <w:sz w:val="20"/>
          <w:szCs w:val="20"/>
        </w:rPr>
        <w:t xml:space="preserve">2. </w:t>
      </w:r>
      <w:r>
        <w:rPr>
          <w:rFonts w:ascii="Microsoft Sans Serif" w:hAnsi="Microsoft Sans Serif" w:cs="Microsoft Sans Serif"/>
          <w:b/>
          <w:sz w:val="20"/>
          <w:szCs w:val="20"/>
        </w:rPr>
        <w:tab/>
      </w:r>
      <w:r>
        <w:rPr>
          <w:rFonts w:ascii="Microsoft Sans Serif" w:hAnsi="Microsoft Sans Serif" w:cs="Microsoft Sans Serif"/>
          <w:b/>
          <w:sz w:val="20"/>
          <w:szCs w:val="20"/>
        </w:rPr>
        <w:t>KVALITATIVNI</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rPr>
        <w:t>I</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rPr>
        <w:t>KVANTITATIVNI</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rPr>
        <w:t xml:space="preserve">SASTAV </w:t>
      </w:r>
    </w:p>
    <w:p w14:paraId="3AD098FF">
      <w:pPr>
        <w:jc w:val="both"/>
        <w:rPr>
          <w:rFonts w:ascii="Microsoft Sans Serif" w:hAnsi="Microsoft Sans Serif" w:cs="Microsoft Sans Serif"/>
          <w:sz w:val="20"/>
          <w:szCs w:val="20"/>
          <w:lang w:val="mk-MK"/>
        </w:rPr>
      </w:pPr>
    </w:p>
    <w:p w14:paraId="6F8A3D75">
      <w:pPr>
        <w:pStyle w:val="17"/>
        <w:tabs>
          <w:tab w:val="left" w:pos="720"/>
        </w:tabs>
        <w:ind w:left="0"/>
        <w:rPr>
          <w:rFonts w:ascii="Microsoft Sans Serif" w:hAnsi="Microsoft Sans Serif" w:cs="Microsoft Sans Serif"/>
          <w:i/>
          <w:color w:val="auto"/>
          <w:sz w:val="20"/>
          <w:szCs w:val="20"/>
          <w:lang w:val="mk-MK"/>
        </w:rPr>
      </w:pPr>
      <w:r>
        <w:rPr>
          <w:rFonts w:ascii="Microsoft Sans Serif" w:hAnsi="Microsoft Sans Serif" w:cs="Microsoft Sans Serif"/>
          <w:i/>
          <w:color w:val="auto"/>
          <w:sz w:val="20"/>
          <w:szCs w:val="20"/>
          <w:lang w:val="mk-MK"/>
        </w:rPr>
        <w:t>Relika 2 mg tablete</w:t>
      </w:r>
    </w:p>
    <w:p w14:paraId="2564B501">
      <w:pPr>
        <w:pStyle w:val="17"/>
        <w:tabs>
          <w:tab w:val="left" w:pos="720"/>
        </w:tabs>
        <w:ind w:left="0"/>
        <w:rPr>
          <w:rFonts w:ascii="Microsoft Sans Serif" w:hAnsi="Microsoft Sans Serif" w:cs="Microsoft Sans Serif"/>
          <w:color w:val="auto"/>
          <w:sz w:val="20"/>
          <w:szCs w:val="20"/>
        </w:rPr>
      </w:pPr>
      <w:r>
        <w:rPr>
          <w:rFonts w:ascii="Microsoft Sans Serif" w:hAnsi="Microsoft Sans Serif" w:cs="Microsoft Sans Serif"/>
          <w:color w:val="auto"/>
          <w:sz w:val="20"/>
          <w:szCs w:val="20"/>
          <w:lang w:val="mk-MK"/>
        </w:rPr>
        <w:t xml:space="preserve">Jedna tableta sadrži 2 mg </w:t>
      </w:r>
      <w:r>
        <w:rPr>
          <w:rFonts w:ascii="Microsoft Sans Serif" w:hAnsi="Microsoft Sans Serif" w:cs="Microsoft Sans Serif"/>
          <w:color w:val="auto"/>
          <w:sz w:val="20"/>
          <w:szCs w:val="20"/>
        </w:rPr>
        <w:t>perindopril tert-butilamina.</w:t>
      </w:r>
    </w:p>
    <w:p w14:paraId="2380B8D0">
      <w:pPr>
        <w:pStyle w:val="27"/>
        <w:spacing w:before="0" w:beforeAutospacing="0" w:after="0" w:afterAutospacing="0"/>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Pomoćne supstance: jedna tableta sadrži  29,665 mg laktoze, bezvodne.</w:t>
      </w:r>
    </w:p>
    <w:p w14:paraId="1C3EC80D">
      <w:pPr>
        <w:pStyle w:val="17"/>
        <w:tabs>
          <w:tab w:val="left" w:pos="720"/>
        </w:tabs>
        <w:ind w:left="0"/>
        <w:rPr>
          <w:rFonts w:ascii="Microsoft Sans Serif" w:hAnsi="Microsoft Sans Serif" w:cs="Microsoft Sans Serif"/>
          <w:color w:val="auto"/>
          <w:sz w:val="20"/>
          <w:szCs w:val="20"/>
          <w:lang w:val="sr-Cyrl-CS"/>
        </w:rPr>
      </w:pPr>
    </w:p>
    <w:p w14:paraId="2F8D4EF3">
      <w:pPr>
        <w:pStyle w:val="17"/>
        <w:tabs>
          <w:tab w:val="left" w:pos="720"/>
        </w:tabs>
        <w:ind w:left="0"/>
        <w:rPr>
          <w:rFonts w:ascii="Microsoft Sans Serif" w:hAnsi="Microsoft Sans Serif" w:cs="Microsoft Sans Serif"/>
          <w:i/>
          <w:color w:val="auto"/>
          <w:sz w:val="20"/>
          <w:szCs w:val="20"/>
          <w:lang w:val="mk-MK"/>
        </w:rPr>
      </w:pPr>
      <w:r>
        <w:rPr>
          <w:rFonts w:ascii="Microsoft Sans Serif" w:hAnsi="Microsoft Sans Serif" w:cs="Microsoft Sans Serif"/>
          <w:i/>
          <w:color w:val="auto"/>
          <w:sz w:val="20"/>
          <w:szCs w:val="20"/>
          <w:lang w:val="mk-MK"/>
        </w:rPr>
        <w:t xml:space="preserve">Relika </w:t>
      </w:r>
      <w:r>
        <w:rPr>
          <w:rFonts w:ascii="Microsoft Sans Serif" w:hAnsi="Microsoft Sans Serif" w:cs="Microsoft Sans Serif"/>
          <w:i/>
          <w:color w:val="auto"/>
          <w:sz w:val="20"/>
          <w:szCs w:val="20"/>
        </w:rPr>
        <w:t>4</w:t>
      </w:r>
      <w:r>
        <w:rPr>
          <w:rFonts w:ascii="Microsoft Sans Serif" w:hAnsi="Microsoft Sans Serif" w:cs="Microsoft Sans Serif"/>
          <w:i/>
          <w:color w:val="auto"/>
          <w:sz w:val="20"/>
          <w:szCs w:val="20"/>
          <w:lang w:val="mk-MK"/>
        </w:rPr>
        <w:t xml:space="preserve"> mg tablete</w:t>
      </w:r>
    </w:p>
    <w:p w14:paraId="5B1A8AE8">
      <w:pPr>
        <w:pStyle w:val="17"/>
        <w:tabs>
          <w:tab w:val="left" w:pos="720"/>
        </w:tabs>
        <w:ind w:left="0"/>
        <w:rPr>
          <w:rFonts w:ascii="Microsoft Sans Serif" w:hAnsi="Microsoft Sans Serif" w:cs="Microsoft Sans Serif"/>
          <w:color w:val="auto"/>
          <w:sz w:val="20"/>
          <w:szCs w:val="20"/>
        </w:rPr>
      </w:pPr>
      <w:r>
        <w:rPr>
          <w:rFonts w:ascii="Microsoft Sans Serif" w:hAnsi="Microsoft Sans Serif" w:cs="Microsoft Sans Serif"/>
          <w:color w:val="auto"/>
          <w:sz w:val="20"/>
          <w:szCs w:val="20"/>
          <w:lang w:val="mk-MK"/>
        </w:rPr>
        <w:t xml:space="preserve">Jedna tableta sadrži </w:t>
      </w:r>
      <w:r>
        <w:rPr>
          <w:rFonts w:ascii="Microsoft Sans Serif" w:hAnsi="Microsoft Sans Serif" w:cs="Microsoft Sans Serif"/>
          <w:color w:val="auto"/>
          <w:sz w:val="20"/>
          <w:szCs w:val="20"/>
        </w:rPr>
        <w:t>4</w:t>
      </w:r>
      <w:r>
        <w:rPr>
          <w:rFonts w:ascii="Microsoft Sans Serif" w:hAnsi="Microsoft Sans Serif" w:cs="Microsoft Sans Serif"/>
          <w:color w:val="auto"/>
          <w:sz w:val="20"/>
          <w:szCs w:val="20"/>
          <w:lang w:val="mk-MK"/>
        </w:rPr>
        <w:t xml:space="preserve"> mg </w:t>
      </w:r>
      <w:r>
        <w:rPr>
          <w:rFonts w:ascii="Microsoft Sans Serif" w:hAnsi="Microsoft Sans Serif" w:cs="Microsoft Sans Serif"/>
          <w:color w:val="auto"/>
          <w:sz w:val="20"/>
          <w:szCs w:val="20"/>
        </w:rPr>
        <w:t>perindopril tert-butilamina.</w:t>
      </w:r>
    </w:p>
    <w:p w14:paraId="244FBCD3">
      <w:pPr>
        <w:pStyle w:val="27"/>
        <w:spacing w:before="0" w:beforeAutospacing="0" w:after="0" w:afterAutospacing="0"/>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Pomoćne supstance: jedna tableta sadrži  59,330 mg laktoze, bezvodne.</w:t>
      </w:r>
    </w:p>
    <w:p w14:paraId="220BBCA0">
      <w:pPr>
        <w:jc w:val="both"/>
        <w:rPr>
          <w:rFonts w:ascii="Microsoft Sans Serif" w:hAnsi="Microsoft Sans Serif" w:cs="Microsoft Sans Serif"/>
          <w:sz w:val="20"/>
          <w:szCs w:val="20"/>
          <w:lang w:val="pl-PL"/>
        </w:rPr>
      </w:pPr>
    </w:p>
    <w:p w14:paraId="37501506">
      <w:pPr>
        <w:pStyle w:val="17"/>
        <w:tabs>
          <w:tab w:val="left" w:pos="720"/>
        </w:tabs>
        <w:ind w:left="0"/>
        <w:rPr>
          <w:rFonts w:ascii="Microsoft Sans Serif" w:hAnsi="Microsoft Sans Serif" w:cs="Microsoft Sans Serif"/>
          <w:i/>
          <w:color w:val="auto"/>
          <w:sz w:val="20"/>
          <w:szCs w:val="20"/>
          <w:lang w:val="mk-MK"/>
        </w:rPr>
      </w:pPr>
      <w:r>
        <w:rPr>
          <w:rFonts w:ascii="Microsoft Sans Serif" w:hAnsi="Microsoft Sans Serif" w:cs="Microsoft Sans Serif"/>
          <w:i/>
          <w:color w:val="auto"/>
          <w:sz w:val="20"/>
          <w:szCs w:val="20"/>
          <w:lang w:val="mk-MK"/>
        </w:rPr>
        <w:t xml:space="preserve">Relika </w:t>
      </w:r>
      <w:r>
        <w:rPr>
          <w:rFonts w:ascii="Microsoft Sans Serif" w:hAnsi="Microsoft Sans Serif" w:cs="Microsoft Sans Serif"/>
          <w:i/>
          <w:color w:val="auto"/>
          <w:sz w:val="20"/>
          <w:szCs w:val="20"/>
        </w:rPr>
        <w:t>8</w:t>
      </w:r>
      <w:r>
        <w:rPr>
          <w:rFonts w:ascii="Microsoft Sans Serif" w:hAnsi="Microsoft Sans Serif" w:cs="Microsoft Sans Serif"/>
          <w:i/>
          <w:color w:val="auto"/>
          <w:sz w:val="20"/>
          <w:szCs w:val="20"/>
          <w:lang w:val="mk-MK"/>
        </w:rPr>
        <w:t xml:space="preserve"> mg tablete</w:t>
      </w:r>
    </w:p>
    <w:p w14:paraId="16436B49">
      <w:pPr>
        <w:pStyle w:val="17"/>
        <w:tabs>
          <w:tab w:val="left" w:pos="720"/>
        </w:tabs>
        <w:ind w:left="0"/>
        <w:rPr>
          <w:rFonts w:ascii="Microsoft Sans Serif" w:hAnsi="Microsoft Sans Serif" w:cs="Microsoft Sans Serif"/>
          <w:color w:val="auto"/>
          <w:sz w:val="20"/>
          <w:szCs w:val="20"/>
        </w:rPr>
      </w:pPr>
      <w:r>
        <w:rPr>
          <w:rFonts w:ascii="Microsoft Sans Serif" w:hAnsi="Microsoft Sans Serif" w:cs="Microsoft Sans Serif"/>
          <w:color w:val="auto"/>
          <w:sz w:val="20"/>
          <w:szCs w:val="20"/>
          <w:lang w:val="mk-MK"/>
        </w:rPr>
        <w:t xml:space="preserve">Jedna tableta sadrži </w:t>
      </w:r>
      <w:r>
        <w:rPr>
          <w:rFonts w:ascii="Microsoft Sans Serif" w:hAnsi="Microsoft Sans Serif" w:cs="Microsoft Sans Serif"/>
          <w:color w:val="auto"/>
          <w:sz w:val="20"/>
          <w:szCs w:val="20"/>
        </w:rPr>
        <w:t>8</w:t>
      </w:r>
      <w:r>
        <w:rPr>
          <w:rFonts w:ascii="Microsoft Sans Serif" w:hAnsi="Microsoft Sans Serif" w:cs="Microsoft Sans Serif"/>
          <w:color w:val="auto"/>
          <w:sz w:val="20"/>
          <w:szCs w:val="20"/>
          <w:lang w:val="mk-MK"/>
        </w:rPr>
        <w:t xml:space="preserve"> mg </w:t>
      </w:r>
      <w:r>
        <w:rPr>
          <w:rFonts w:ascii="Microsoft Sans Serif" w:hAnsi="Microsoft Sans Serif" w:cs="Microsoft Sans Serif"/>
          <w:color w:val="auto"/>
          <w:sz w:val="20"/>
          <w:szCs w:val="20"/>
        </w:rPr>
        <w:t>perindopril tert-butilamina.</w:t>
      </w:r>
    </w:p>
    <w:p w14:paraId="33779CC6">
      <w:pPr>
        <w:pStyle w:val="27"/>
        <w:spacing w:before="0" w:beforeAutospacing="0" w:after="0" w:afterAutospacing="0"/>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Pomoćne supstance: jedna tableta sadrži  118,660 mg laktoze, bezvodne.</w:t>
      </w:r>
    </w:p>
    <w:p w14:paraId="0EC615D3">
      <w:pPr>
        <w:jc w:val="both"/>
        <w:rPr>
          <w:rFonts w:ascii="Microsoft Sans Serif" w:hAnsi="Microsoft Sans Serif" w:cs="Microsoft Sans Serif"/>
          <w:sz w:val="20"/>
          <w:szCs w:val="20"/>
          <w:lang w:val="pl-PL"/>
        </w:rPr>
      </w:pPr>
    </w:p>
    <w:p w14:paraId="603FF47A">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pl-PL"/>
        </w:rPr>
        <w:t xml:space="preserve">Za potpuni sastav pomoćnih supstanci vidite dio </w:t>
      </w:r>
      <w:r>
        <w:rPr>
          <w:rFonts w:ascii="Microsoft Sans Serif" w:hAnsi="Microsoft Sans Serif" w:cs="Microsoft Sans Serif"/>
          <w:sz w:val="20"/>
          <w:szCs w:val="20"/>
          <w:lang w:val="mk-MK"/>
        </w:rPr>
        <w:t>6.1.</w:t>
      </w:r>
    </w:p>
    <w:p w14:paraId="1092C856">
      <w:pPr>
        <w:jc w:val="both"/>
        <w:rPr>
          <w:rFonts w:ascii="Microsoft Sans Serif" w:hAnsi="Microsoft Sans Serif" w:cs="Microsoft Sans Serif"/>
          <w:sz w:val="20"/>
          <w:szCs w:val="20"/>
          <w:lang w:val="pl-PL"/>
        </w:rPr>
      </w:pPr>
    </w:p>
    <w:p w14:paraId="6A1C40D0">
      <w:pPr>
        <w:pStyle w:val="24"/>
        <w:tabs>
          <w:tab w:val="clear" w:pos="4320"/>
          <w:tab w:val="clear" w:pos="8640"/>
        </w:tabs>
        <w:jc w:val="both"/>
        <w:rPr>
          <w:rFonts w:ascii="Microsoft Sans Serif" w:hAnsi="Microsoft Sans Serif" w:cs="Microsoft Sans Serif"/>
          <w:sz w:val="20"/>
          <w:szCs w:val="20"/>
          <w:lang w:val="mk-MK"/>
        </w:rPr>
      </w:pPr>
    </w:p>
    <w:p w14:paraId="58EF66E5">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 xml:space="preserve">3.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mk-MK"/>
        </w:rPr>
        <w:t xml:space="preserve">FARMACEUTSKI OBLIK </w:t>
      </w:r>
    </w:p>
    <w:p w14:paraId="734B3847">
      <w:pPr>
        <w:jc w:val="both"/>
        <w:rPr>
          <w:rFonts w:ascii="Microsoft Sans Serif" w:hAnsi="Microsoft Sans Serif" w:cs="Microsoft Sans Serif"/>
          <w:sz w:val="20"/>
          <w:szCs w:val="20"/>
          <w:lang w:val="mk-MK"/>
        </w:rPr>
      </w:pPr>
    </w:p>
    <w:p w14:paraId="27BAFAE0">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w:t>
      </w:r>
      <w:r>
        <w:rPr>
          <w:rFonts w:ascii="Microsoft Sans Serif" w:hAnsi="Microsoft Sans Serif" w:cs="Microsoft Sans Serif"/>
          <w:sz w:val="20"/>
          <w:szCs w:val="20"/>
          <w:lang w:val="mk-MK"/>
        </w:rPr>
        <w:tab/>
      </w:r>
      <w:r>
        <w:rPr>
          <w:rFonts w:ascii="Microsoft Sans Serif" w:hAnsi="Microsoft Sans Serif" w:cs="Microsoft Sans Serif"/>
          <w:sz w:val="20"/>
          <w:szCs w:val="20"/>
          <w:lang w:val="mk-MK"/>
        </w:rPr>
        <w:t xml:space="preserve">tableta  </w:t>
      </w:r>
    </w:p>
    <w:p w14:paraId="70C55250">
      <w:pPr>
        <w:pStyle w:val="17"/>
        <w:tabs>
          <w:tab w:val="left" w:pos="720"/>
        </w:tabs>
        <w:ind w:left="0"/>
        <w:rPr>
          <w:rFonts w:ascii="Microsoft Sans Serif" w:hAnsi="Microsoft Sans Serif" w:cs="Microsoft Sans Serif"/>
          <w:i/>
          <w:color w:val="auto"/>
          <w:sz w:val="20"/>
          <w:szCs w:val="20"/>
          <w:lang w:val="pl-PL"/>
        </w:rPr>
      </w:pPr>
      <w:r>
        <w:rPr>
          <w:rFonts w:ascii="Microsoft Sans Serif" w:hAnsi="Microsoft Sans Serif" w:cs="Microsoft Sans Serif"/>
          <w:i/>
          <w:color w:val="auto"/>
          <w:sz w:val="20"/>
          <w:szCs w:val="20"/>
          <w:lang w:val="mk-MK" w:eastAsia="en-GB"/>
        </w:rPr>
        <w:t>Relika</w:t>
      </w:r>
      <w:r>
        <w:rPr>
          <w:rFonts w:ascii="Microsoft Sans Serif" w:hAnsi="Microsoft Sans Serif" w:cs="Microsoft Sans Serif"/>
          <w:i/>
          <w:iCs/>
          <w:color w:val="auto"/>
          <w:sz w:val="20"/>
          <w:szCs w:val="20"/>
          <w:lang w:val="mk-MK"/>
        </w:rPr>
        <w:t xml:space="preserve"> 2 mg </w:t>
      </w:r>
      <w:r>
        <w:rPr>
          <w:rFonts w:ascii="Microsoft Sans Serif" w:hAnsi="Microsoft Sans Serif" w:cs="Microsoft Sans Serif"/>
          <w:i/>
          <w:iCs/>
          <w:color w:val="auto"/>
          <w:sz w:val="20"/>
          <w:szCs w:val="20"/>
          <w:lang w:val="sr-Cyrl-CS"/>
        </w:rPr>
        <w:t xml:space="preserve"> </w:t>
      </w:r>
      <w:r>
        <w:rPr>
          <w:rFonts w:ascii="Microsoft Sans Serif" w:hAnsi="Microsoft Sans Serif" w:cs="Microsoft Sans Serif"/>
          <w:i/>
          <w:iCs/>
          <w:color w:val="auto"/>
          <w:sz w:val="20"/>
          <w:szCs w:val="20"/>
          <w:lang w:val="mk-MK"/>
        </w:rPr>
        <w:t>tablete</w:t>
      </w:r>
      <w:r>
        <w:rPr>
          <w:rFonts w:ascii="Microsoft Sans Serif" w:hAnsi="Microsoft Sans Serif" w:cs="Microsoft Sans Serif"/>
          <w:i/>
          <w:color w:val="auto"/>
          <w:sz w:val="20"/>
          <w:szCs w:val="20"/>
          <w:lang w:val="pl-PL"/>
        </w:rPr>
        <w:t xml:space="preserve"> </w:t>
      </w:r>
    </w:p>
    <w:p w14:paraId="4B371940">
      <w:pPr>
        <w:pStyle w:val="17"/>
        <w:tabs>
          <w:tab w:val="left" w:pos="720"/>
        </w:tabs>
        <w:ind w:left="0"/>
        <w:rPr>
          <w:rFonts w:ascii="Microsoft Sans Serif" w:hAnsi="Microsoft Sans Serif" w:cs="Microsoft Sans Serif"/>
          <w:color w:val="auto"/>
          <w:sz w:val="20"/>
          <w:szCs w:val="20"/>
          <w:lang w:val="pl-PL"/>
        </w:rPr>
      </w:pPr>
      <w:r>
        <w:rPr>
          <w:rFonts w:ascii="Microsoft Sans Serif" w:hAnsi="Microsoft Sans Serif" w:cs="Microsoft Sans Serif"/>
          <w:color w:val="auto"/>
          <w:sz w:val="20"/>
          <w:szCs w:val="20"/>
          <w:lang w:val="pl-PL"/>
        </w:rPr>
        <w:t>Bijele do skoro bijele, okrugle, bikonveksne tablete sa utisnutom oznakom ”D” na jednoj strani i oznakom ”57” na drugoj strani.</w:t>
      </w:r>
    </w:p>
    <w:p w14:paraId="47317538">
      <w:pPr>
        <w:pStyle w:val="17"/>
        <w:tabs>
          <w:tab w:val="left" w:pos="720"/>
        </w:tabs>
        <w:ind w:left="0"/>
        <w:rPr>
          <w:rFonts w:ascii="Microsoft Sans Serif" w:hAnsi="Microsoft Sans Serif" w:cs="Microsoft Sans Serif"/>
          <w:i/>
          <w:color w:val="auto"/>
          <w:sz w:val="20"/>
          <w:szCs w:val="20"/>
          <w:lang w:val="mk-MK" w:eastAsia="en-GB"/>
        </w:rPr>
      </w:pPr>
    </w:p>
    <w:p w14:paraId="23B4B1C3">
      <w:pPr>
        <w:pStyle w:val="17"/>
        <w:tabs>
          <w:tab w:val="left" w:pos="720"/>
        </w:tabs>
        <w:ind w:left="0"/>
        <w:rPr>
          <w:rFonts w:ascii="Microsoft Sans Serif" w:hAnsi="Microsoft Sans Serif" w:cs="Microsoft Sans Serif"/>
          <w:i/>
          <w:color w:val="auto"/>
          <w:sz w:val="20"/>
          <w:szCs w:val="20"/>
          <w:lang w:val="pl-PL"/>
        </w:rPr>
      </w:pPr>
      <w:r>
        <w:rPr>
          <w:rFonts w:ascii="Microsoft Sans Serif" w:hAnsi="Microsoft Sans Serif" w:cs="Microsoft Sans Serif"/>
          <w:i/>
          <w:color w:val="auto"/>
          <w:sz w:val="20"/>
          <w:szCs w:val="20"/>
          <w:lang w:val="mk-MK" w:eastAsia="en-GB"/>
        </w:rPr>
        <w:t>Relika</w:t>
      </w:r>
      <w:r>
        <w:rPr>
          <w:rFonts w:ascii="Microsoft Sans Serif" w:hAnsi="Microsoft Sans Serif" w:cs="Microsoft Sans Serif"/>
          <w:i/>
          <w:iCs/>
          <w:color w:val="auto"/>
          <w:sz w:val="20"/>
          <w:szCs w:val="20"/>
          <w:lang w:val="mk-MK"/>
        </w:rPr>
        <w:t xml:space="preserve"> </w:t>
      </w:r>
      <w:r>
        <w:rPr>
          <w:rFonts w:ascii="Microsoft Sans Serif" w:hAnsi="Microsoft Sans Serif" w:cs="Microsoft Sans Serif"/>
          <w:i/>
          <w:iCs/>
          <w:color w:val="auto"/>
          <w:sz w:val="20"/>
          <w:szCs w:val="20"/>
          <w:lang w:val="pl-PL"/>
        </w:rPr>
        <w:t>4</w:t>
      </w:r>
      <w:r>
        <w:rPr>
          <w:rFonts w:ascii="Microsoft Sans Serif" w:hAnsi="Microsoft Sans Serif" w:cs="Microsoft Sans Serif"/>
          <w:i/>
          <w:iCs/>
          <w:color w:val="auto"/>
          <w:sz w:val="20"/>
          <w:szCs w:val="20"/>
          <w:lang w:val="mk-MK"/>
        </w:rPr>
        <w:t xml:space="preserve"> mg </w:t>
      </w:r>
      <w:r>
        <w:rPr>
          <w:rFonts w:ascii="Microsoft Sans Serif" w:hAnsi="Microsoft Sans Serif" w:cs="Microsoft Sans Serif"/>
          <w:i/>
          <w:color w:val="auto"/>
          <w:sz w:val="20"/>
          <w:szCs w:val="20"/>
          <w:lang w:val="pl-PL"/>
        </w:rPr>
        <w:t>tablete</w:t>
      </w:r>
    </w:p>
    <w:p w14:paraId="1BD076BB">
      <w:pPr>
        <w:pStyle w:val="17"/>
        <w:tabs>
          <w:tab w:val="left" w:pos="720"/>
        </w:tabs>
        <w:ind w:left="0"/>
        <w:rPr>
          <w:rFonts w:ascii="Microsoft Sans Serif" w:hAnsi="Microsoft Sans Serif" w:cs="Microsoft Sans Serif"/>
          <w:color w:val="auto"/>
          <w:sz w:val="20"/>
          <w:szCs w:val="20"/>
          <w:lang w:val="pl-PL"/>
        </w:rPr>
      </w:pPr>
      <w:r>
        <w:rPr>
          <w:rFonts w:ascii="Microsoft Sans Serif" w:hAnsi="Microsoft Sans Serif" w:cs="Microsoft Sans Serif"/>
          <w:color w:val="auto"/>
          <w:sz w:val="20"/>
          <w:szCs w:val="20"/>
          <w:lang w:val="pl-PL"/>
        </w:rPr>
        <w:t>Bijele do skoro bijele tablete, oblika kapsule, sa utisnutom oznakom ”D” na jednoj strani i oznakama ”5” i ”8” na drugoj strani, razdvojene prelomnom crtom.</w:t>
      </w:r>
    </w:p>
    <w:p w14:paraId="191F1372">
      <w:pPr>
        <w:pStyle w:val="17"/>
        <w:tabs>
          <w:tab w:val="left" w:pos="720"/>
        </w:tabs>
        <w:ind w:left="0"/>
        <w:rPr>
          <w:rFonts w:ascii="Microsoft Sans Serif" w:hAnsi="Microsoft Sans Serif" w:cs="Microsoft Sans Serif"/>
          <w:i/>
          <w:color w:val="auto"/>
          <w:sz w:val="20"/>
          <w:szCs w:val="20"/>
          <w:lang w:val="mk-MK" w:eastAsia="en-GB"/>
        </w:rPr>
      </w:pPr>
    </w:p>
    <w:p w14:paraId="39C7A080">
      <w:pPr>
        <w:pStyle w:val="17"/>
        <w:tabs>
          <w:tab w:val="left" w:pos="720"/>
        </w:tabs>
        <w:ind w:left="0"/>
        <w:rPr>
          <w:rFonts w:ascii="Microsoft Sans Serif" w:hAnsi="Microsoft Sans Serif" w:cs="Microsoft Sans Serif"/>
          <w:i/>
          <w:iCs/>
          <w:color w:val="auto"/>
          <w:sz w:val="20"/>
          <w:szCs w:val="20"/>
          <w:lang w:val="sr-Latn-RS"/>
        </w:rPr>
      </w:pPr>
      <w:r>
        <w:rPr>
          <w:rFonts w:ascii="Microsoft Sans Serif" w:hAnsi="Microsoft Sans Serif" w:cs="Microsoft Sans Serif"/>
          <w:i/>
          <w:color w:val="auto"/>
          <w:sz w:val="20"/>
          <w:szCs w:val="20"/>
          <w:lang w:val="mk-MK" w:eastAsia="en-GB"/>
        </w:rPr>
        <w:t>Relika</w:t>
      </w:r>
      <w:r>
        <w:rPr>
          <w:rFonts w:ascii="Microsoft Sans Serif" w:hAnsi="Microsoft Sans Serif" w:cs="Microsoft Sans Serif"/>
          <w:i/>
          <w:iCs/>
          <w:color w:val="auto"/>
          <w:sz w:val="20"/>
          <w:szCs w:val="20"/>
          <w:lang w:val="mk-MK"/>
        </w:rPr>
        <w:t xml:space="preserve"> </w:t>
      </w:r>
      <w:r>
        <w:rPr>
          <w:rFonts w:ascii="Microsoft Sans Serif" w:hAnsi="Microsoft Sans Serif" w:cs="Microsoft Sans Serif"/>
          <w:i/>
          <w:iCs/>
          <w:color w:val="auto"/>
          <w:sz w:val="20"/>
          <w:szCs w:val="20"/>
          <w:lang w:val="pl-PL"/>
        </w:rPr>
        <w:t>8</w:t>
      </w:r>
      <w:r>
        <w:rPr>
          <w:rFonts w:ascii="Microsoft Sans Serif" w:hAnsi="Microsoft Sans Serif" w:cs="Microsoft Sans Serif"/>
          <w:i/>
          <w:iCs/>
          <w:color w:val="auto"/>
          <w:sz w:val="20"/>
          <w:szCs w:val="20"/>
          <w:lang w:val="mk-MK"/>
        </w:rPr>
        <w:t xml:space="preserve"> mg </w:t>
      </w:r>
      <w:r>
        <w:rPr>
          <w:rFonts w:ascii="Microsoft Sans Serif" w:hAnsi="Microsoft Sans Serif" w:cs="Microsoft Sans Serif"/>
          <w:i/>
          <w:iCs/>
          <w:color w:val="auto"/>
          <w:sz w:val="20"/>
          <w:szCs w:val="20"/>
          <w:lang w:val="sr-Latn-RS"/>
        </w:rPr>
        <w:t>tablete</w:t>
      </w:r>
    </w:p>
    <w:p w14:paraId="2767AC8A">
      <w:pPr>
        <w:pStyle w:val="17"/>
        <w:tabs>
          <w:tab w:val="left" w:pos="720"/>
        </w:tabs>
        <w:ind w:left="0"/>
        <w:rPr>
          <w:rFonts w:ascii="Microsoft Sans Serif" w:hAnsi="Microsoft Sans Serif" w:cs="Microsoft Sans Serif"/>
          <w:color w:val="auto"/>
          <w:sz w:val="20"/>
          <w:szCs w:val="20"/>
          <w:lang w:val="pl-PL"/>
        </w:rPr>
      </w:pPr>
      <w:r>
        <w:rPr>
          <w:rFonts w:ascii="Microsoft Sans Serif" w:hAnsi="Microsoft Sans Serif" w:cs="Microsoft Sans Serif"/>
          <w:color w:val="auto"/>
          <w:sz w:val="20"/>
          <w:szCs w:val="20"/>
          <w:lang w:val="pl-PL"/>
        </w:rPr>
        <w:t>Bijele do skoro bijele, okrugle, bikonveksne tablete sa utisnutom oznakom ”D” na jednoj strani i oznakama ”5” i ”9” na drugoj strani, razdvojene prelomnom crtom.</w:t>
      </w:r>
    </w:p>
    <w:p w14:paraId="4F530459">
      <w:pPr>
        <w:autoSpaceDE w:val="0"/>
        <w:autoSpaceDN w:val="0"/>
        <w:adjustRightInd w:val="0"/>
        <w:jc w:val="both"/>
        <w:rPr>
          <w:rFonts w:ascii="Microsoft Sans Serif" w:hAnsi="Microsoft Sans Serif" w:cs="Microsoft Sans Serif"/>
          <w:sz w:val="20"/>
          <w:szCs w:val="20"/>
          <w:lang w:val="pl-PL" w:eastAsia="en-GB"/>
        </w:rPr>
      </w:pPr>
    </w:p>
    <w:p w14:paraId="3EDA987C">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Tableta može biti podijeljena u dvije jednake doze.</w:t>
      </w:r>
    </w:p>
    <w:p w14:paraId="631891D4">
      <w:pPr>
        <w:jc w:val="both"/>
        <w:rPr>
          <w:rFonts w:ascii="Microsoft Sans Serif" w:hAnsi="Microsoft Sans Serif" w:cs="Microsoft Sans Serif"/>
          <w:b/>
          <w:sz w:val="20"/>
          <w:szCs w:val="20"/>
          <w:lang w:val="es-MX"/>
        </w:rPr>
      </w:pPr>
    </w:p>
    <w:p w14:paraId="409F687A">
      <w:pPr>
        <w:jc w:val="both"/>
        <w:rPr>
          <w:rFonts w:ascii="Microsoft Sans Serif" w:hAnsi="Microsoft Sans Serif" w:cs="Microsoft Sans Serif"/>
          <w:b/>
          <w:sz w:val="20"/>
          <w:szCs w:val="20"/>
          <w:lang w:val="es-MX"/>
        </w:rPr>
      </w:pPr>
    </w:p>
    <w:p w14:paraId="3E77F0D4">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 xml:space="preserve">4.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mk-MK"/>
        </w:rPr>
        <w:t>KLINIČK</w:t>
      </w:r>
      <w:r>
        <w:rPr>
          <w:rFonts w:ascii="Microsoft Sans Serif" w:hAnsi="Microsoft Sans Serif" w:cs="Microsoft Sans Serif"/>
          <w:b/>
          <w:sz w:val="20"/>
          <w:szCs w:val="20"/>
          <w:lang w:val="es-MX"/>
        </w:rPr>
        <w:t>I</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lang w:val="es-MX"/>
        </w:rPr>
        <w:t>PODACI</w:t>
      </w:r>
      <w:r>
        <w:rPr>
          <w:rFonts w:ascii="Microsoft Sans Serif" w:hAnsi="Microsoft Sans Serif" w:cs="Microsoft Sans Serif"/>
          <w:b/>
          <w:sz w:val="20"/>
          <w:szCs w:val="20"/>
          <w:lang w:val="mk-MK"/>
        </w:rPr>
        <w:t xml:space="preserve">  </w:t>
      </w:r>
    </w:p>
    <w:p w14:paraId="1A5ECD0F">
      <w:pPr>
        <w:jc w:val="both"/>
        <w:rPr>
          <w:rFonts w:ascii="Microsoft Sans Serif" w:hAnsi="Microsoft Sans Serif" w:cs="Microsoft Sans Serif"/>
          <w:b/>
          <w:sz w:val="20"/>
          <w:szCs w:val="20"/>
          <w:lang w:val="mk-MK"/>
        </w:rPr>
      </w:pPr>
    </w:p>
    <w:p w14:paraId="41ED7C56">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4.1</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es-MX"/>
        </w:rPr>
        <w:t>T</w:t>
      </w:r>
      <w:r>
        <w:rPr>
          <w:rFonts w:ascii="Microsoft Sans Serif" w:hAnsi="Microsoft Sans Serif" w:cs="Microsoft Sans Serif"/>
          <w:b/>
          <w:sz w:val="20"/>
          <w:szCs w:val="20"/>
          <w:lang w:val="mk-MK"/>
        </w:rPr>
        <w:t xml:space="preserve">erapijske indikacije </w:t>
      </w:r>
    </w:p>
    <w:p w14:paraId="4EC7B872">
      <w:pPr>
        <w:shd w:val="clear" w:color="auto" w:fill="FFFFFF"/>
        <w:jc w:val="both"/>
        <w:rPr>
          <w:rFonts w:ascii="Microsoft Sans Serif" w:hAnsi="Microsoft Sans Serif" w:cs="Microsoft Sans Serif"/>
          <w:iCs/>
          <w:sz w:val="20"/>
          <w:szCs w:val="20"/>
          <w:lang w:val="hr-HR"/>
        </w:rPr>
      </w:pPr>
    </w:p>
    <w:p w14:paraId="5EFBD902">
      <w:pPr>
        <w:jc w:val="both"/>
        <w:rPr>
          <w:rFonts w:ascii="Microsoft Sans Serif" w:hAnsi="Microsoft Sans Serif" w:cs="Microsoft Sans Serif"/>
          <w:b/>
          <w:sz w:val="20"/>
          <w:szCs w:val="20"/>
          <w:lang w:val="es-MX"/>
        </w:rPr>
      </w:pPr>
      <w:r>
        <w:rPr>
          <w:rFonts w:ascii="Microsoft Sans Serif" w:hAnsi="Microsoft Sans Serif" w:cs="Microsoft Sans Serif"/>
          <w:b/>
          <w:sz w:val="20"/>
          <w:szCs w:val="20"/>
          <w:lang w:val="es-MX"/>
        </w:rPr>
        <w:t>Hipertenzija</w:t>
      </w:r>
    </w:p>
    <w:p w14:paraId="7EC11BA2">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es-MX"/>
        </w:rPr>
        <w:t xml:space="preserve">Terapija hipertenzije. </w:t>
      </w:r>
    </w:p>
    <w:p w14:paraId="514E03FF">
      <w:pPr>
        <w:jc w:val="both"/>
        <w:rPr>
          <w:rFonts w:ascii="Microsoft Sans Serif" w:hAnsi="Microsoft Sans Serif" w:cs="Microsoft Sans Serif"/>
          <w:sz w:val="20"/>
          <w:szCs w:val="20"/>
          <w:lang w:val="es-MX"/>
        </w:rPr>
      </w:pPr>
    </w:p>
    <w:p w14:paraId="38FC2813">
      <w:pPr>
        <w:jc w:val="both"/>
        <w:rPr>
          <w:rFonts w:ascii="Microsoft Sans Serif" w:hAnsi="Microsoft Sans Serif" w:cs="Microsoft Sans Serif"/>
          <w:b/>
          <w:sz w:val="20"/>
          <w:szCs w:val="20"/>
          <w:lang w:val="es-MX"/>
        </w:rPr>
      </w:pPr>
      <w:r>
        <w:rPr>
          <w:rFonts w:ascii="Microsoft Sans Serif" w:hAnsi="Microsoft Sans Serif" w:cs="Microsoft Sans Serif"/>
          <w:b/>
          <w:sz w:val="20"/>
          <w:szCs w:val="20"/>
          <w:lang w:val="es-MX"/>
        </w:rPr>
        <w:t>Srčana slabost</w:t>
      </w:r>
    </w:p>
    <w:p w14:paraId="3C9A43F5">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Terapija manifestne srčane slabosti.</w:t>
      </w:r>
    </w:p>
    <w:p w14:paraId="052DECCB">
      <w:pPr>
        <w:jc w:val="both"/>
        <w:rPr>
          <w:rFonts w:ascii="Microsoft Sans Serif" w:hAnsi="Microsoft Sans Serif" w:cs="Microsoft Sans Serif"/>
          <w:sz w:val="20"/>
          <w:szCs w:val="20"/>
          <w:lang w:val="es-MX"/>
        </w:rPr>
      </w:pPr>
    </w:p>
    <w:p w14:paraId="4DE1D29B">
      <w:pPr>
        <w:jc w:val="both"/>
        <w:rPr>
          <w:rFonts w:ascii="Microsoft Sans Serif" w:hAnsi="Microsoft Sans Serif" w:cs="Microsoft Sans Serif"/>
          <w:b/>
          <w:sz w:val="20"/>
          <w:szCs w:val="20"/>
          <w:lang w:val="es-MX"/>
        </w:rPr>
      </w:pPr>
      <w:r>
        <w:rPr>
          <w:rFonts w:ascii="Microsoft Sans Serif" w:hAnsi="Microsoft Sans Serif" w:cs="Microsoft Sans Serif"/>
          <w:b/>
          <w:sz w:val="20"/>
          <w:szCs w:val="20"/>
          <w:lang w:val="es-MX"/>
        </w:rPr>
        <w:t>Stabilna koronarna arterijska bolest</w:t>
      </w:r>
    </w:p>
    <w:p w14:paraId="6B595A40">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mk-MK"/>
        </w:rPr>
        <w:t>Smanjenje rizika od pojave srčanih poremećaja kod pacijenata sa miokardnim infarktom i/ili revaskularizacijom u anamnezi.</w:t>
      </w:r>
    </w:p>
    <w:p w14:paraId="55E30F87">
      <w:pPr>
        <w:jc w:val="both"/>
        <w:rPr>
          <w:rFonts w:ascii="Microsoft Sans Serif" w:hAnsi="Microsoft Sans Serif" w:cs="Microsoft Sans Serif"/>
          <w:sz w:val="20"/>
          <w:szCs w:val="20"/>
          <w:lang w:val="es-MX"/>
        </w:rPr>
      </w:pPr>
    </w:p>
    <w:p w14:paraId="02D7A08A">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4.2</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mk-MK"/>
        </w:rPr>
        <w:t xml:space="preserve">Doziranje i način primjene  </w:t>
      </w:r>
    </w:p>
    <w:p w14:paraId="2536703A">
      <w:pPr>
        <w:pStyle w:val="24"/>
        <w:tabs>
          <w:tab w:val="clear" w:pos="4320"/>
          <w:tab w:val="clear" w:pos="8640"/>
        </w:tabs>
        <w:jc w:val="both"/>
        <w:rPr>
          <w:rFonts w:ascii="Microsoft Sans Serif" w:hAnsi="Microsoft Sans Serif" w:cs="Microsoft Sans Serif"/>
          <w:sz w:val="20"/>
          <w:szCs w:val="20"/>
          <w:lang w:val="mk-MK"/>
        </w:rPr>
      </w:pPr>
    </w:p>
    <w:p w14:paraId="347C2D5A">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Doziranje</w:t>
      </w:r>
    </w:p>
    <w:p w14:paraId="1AE49CBB">
      <w:pPr>
        <w:jc w:val="both"/>
        <w:rPr>
          <w:rFonts w:ascii="Microsoft Sans Serif" w:hAnsi="Microsoft Sans Serif" w:cs="Microsoft Sans Serif"/>
          <w:sz w:val="20"/>
          <w:szCs w:val="20"/>
          <w:lang w:val="es-MX"/>
        </w:rPr>
      </w:pPr>
    </w:p>
    <w:p w14:paraId="4F5D6CE7">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Doza se određuje individualno za svaki pacijent (</w:t>
      </w:r>
      <w:r>
        <w:rPr>
          <w:rFonts w:ascii="Microsoft Sans Serif" w:hAnsi="Microsoft Sans Serif" w:cs="Microsoft Sans Serif"/>
          <w:sz w:val="20"/>
          <w:szCs w:val="20"/>
          <w:lang w:val="es-MX"/>
        </w:rPr>
        <w:t>pogledati</w:t>
      </w:r>
      <w:r>
        <w:rPr>
          <w:rFonts w:ascii="Microsoft Sans Serif" w:hAnsi="Microsoft Sans Serif" w:cs="Microsoft Sans Serif"/>
          <w:sz w:val="20"/>
          <w:szCs w:val="20"/>
          <w:lang w:val="mk-MK"/>
        </w:rPr>
        <w:t xml:space="preserve"> dio 4.4.), u zavisnosti njegovog stanja ili efekta terapije krvnog pritiska.</w:t>
      </w:r>
    </w:p>
    <w:p w14:paraId="4E27B1E2">
      <w:pPr>
        <w:jc w:val="both"/>
        <w:rPr>
          <w:rFonts w:ascii="Microsoft Sans Serif" w:hAnsi="Microsoft Sans Serif" w:cs="Microsoft Sans Serif"/>
          <w:b/>
          <w:sz w:val="20"/>
          <w:szCs w:val="20"/>
          <w:u w:val="single"/>
          <w:lang w:val="mk-MK"/>
        </w:rPr>
      </w:pPr>
    </w:p>
    <w:p w14:paraId="63E00E61">
      <w:pPr>
        <w:jc w:val="both"/>
        <w:rPr>
          <w:rFonts w:ascii="Microsoft Sans Serif" w:hAnsi="Microsoft Sans Serif" w:cs="Microsoft Sans Serif"/>
          <w:sz w:val="20"/>
          <w:szCs w:val="20"/>
          <w:lang w:val="mk-MK"/>
        </w:rPr>
      </w:pPr>
      <w:r>
        <w:rPr>
          <w:rFonts w:ascii="Microsoft Sans Serif" w:hAnsi="Microsoft Sans Serif" w:cs="Microsoft Sans Serif"/>
          <w:sz w:val="20"/>
          <w:szCs w:val="20"/>
          <w:u w:val="single"/>
          <w:lang w:val="mk-MK"/>
        </w:rPr>
        <w:t>Hipertenzija</w:t>
      </w:r>
    </w:p>
    <w:p w14:paraId="259492EE">
      <w:pPr>
        <w:jc w:val="both"/>
        <w:rPr>
          <w:rFonts w:ascii="Microsoft Sans Serif" w:hAnsi="Microsoft Sans Serif" w:cs="Microsoft Sans Serif"/>
          <w:sz w:val="20"/>
          <w:szCs w:val="20"/>
          <w:lang w:val="mk-MK"/>
        </w:rPr>
      </w:pPr>
      <w:r>
        <w:rPr>
          <w:rFonts w:ascii="Microsoft Sans Serif" w:hAnsi="Microsoft Sans Serif" w:cs="Microsoft Sans Serif"/>
          <w:sz w:val="20"/>
          <w:szCs w:val="20"/>
        </w:rPr>
        <w:t xml:space="preserve">Lijek </w:t>
      </w:r>
      <w:r>
        <w:rPr>
          <w:rFonts w:ascii="Microsoft Sans Serif" w:hAnsi="Microsoft Sans Serif" w:cs="Microsoft Sans Serif"/>
          <w:sz w:val="20"/>
          <w:szCs w:val="20"/>
          <w:lang w:val="mk-MK"/>
        </w:rPr>
        <w:t xml:space="preserve">Relika se može koristiti kao monoterapija ili u kombinaciju sa drugim antihipertenzivima </w:t>
      </w:r>
      <w:r>
        <w:rPr>
          <w:rFonts w:ascii="Microsoft Sans Serif" w:hAnsi="Microsoft Sans Serif" w:cs="Microsoft Sans Serif"/>
          <w:color w:val="000000"/>
          <w:sz w:val="20"/>
          <w:szCs w:val="20"/>
          <w:lang w:val="mk-MK"/>
        </w:rPr>
        <w:t>(pogledati dijelove 4.3, 4.4, 4.5 i 5.1)</w:t>
      </w:r>
      <w:r>
        <w:rPr>
          <w:rFonts w:ascii="Microsoft Sans Serif" w:hAnsi="Microsoft Sans Serif" w:cs="Microsoft Sans Serif"/>
          <w:sz w:val="20"/>
          <w:szCs w:val="20"/>
          <w:lang w:val="mk-MK"/>
        </w:rPr>
        <w:t>.</w:t>
      </w:r>
    </w:p>
    <w:p w14:paraId="4FD57952">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 xml:space="preserve">Preporučena početna doza je 4 mg </w:t>
      </w:r>
      <w:r>
        <w:rPr>
          <w:rFonts w:ascii="Microsoft Sans Serif" w:hAnsi="Microsoft Sans Serif" w:cs="Microsoft Sans Serif"/>
          <w:sz w:val="20"/>
          <w:szCs w:val="20"/>
        </w:rPr>
        <w:t xml:space="preserve">jednom dnevno i to </w:t>
      </w:r>
      <w:r>
        <w:rPr>
          <w:rFonts w:ascii="Microsoft Sans Serif" w:hAnsi="Microsoft Sans Serif" w:cs="Microsoft Sans Serif"/>
          <w:sz w:val="20"/>
          <w:szCs w:val="20"/>
          <w:lang w:val="es-MX"/>
        </w:rPr>
        <w:t xml:space="preserve">ujutro. Kod pacijenata sa jako aktiviranim renin-angiotenzin-aldosteron sistemom (renovaskularna hipertenzija, pri nedostatkom soli i/ili dehidratacija, dekompenzacija srca ili teška hipertenzija) moguća je pojava jakog pada krvnog pritiska primjenom inicijalne doze od 4 mg pa se zato kod ovih pacijenata preporučuje početak terapije sa dozom 2 mg i pod ljekarskim nadzorom. </w:t>
      </w:r>
    </w:p>
    <w:p w14:paraId="4B9C15DB">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Nakon jednog mjeseca, ukoliko je potrebno doza se može povećati do 8 mg, jednom dnevno.</w:t>
      </w:r>
    </w:p>
    <w:p w14:paraId="3DFF4EF2">
      <w:pPr>
        <w:jc w:val="both"/>
        <w:rPr>
          <w:rFonts w:ascii="Microsoft Sans Serif" w:hAnsi="Microsoft Sans Serif" w:cs="Microsoft Sans Serif"/>
          <w:sz w:val="20"/>
          <w:szCs w:val="20"/>
          <w:lang w:val="es-MX"/>
        </w:rPr>
      </w:pPr>
    </w:p>
    <w:p w14:paraId="06847255">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Nakon inicijalne doze, naročito kod pacijenata koji uzimaju diuretike i kod dehidriranih pacijenata sa elektrolitnim disbalansom, moguća je pojava simptomatske hipotenzije. Kako ti pacijenti mogu imati manjak volumena (tekućine) i soli treba na njih obratiti posebnu pažnju.</w:t>
      </w:r>
    </w:p>
    <w:p w14:paraId="2222E73F">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Ukoliko je moguće, 2 do 3 dana prije davanja inicijalne doze perindoprila, treba terapiju sa diureticima prekinuti (pogledati dio 4.4.)</w:t>
      </w:r>
    </w:p>
    <w:p w14:paraId="300E107D">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hipertenzivnih pacijenata u kojih se ne može prekinuti terapija diureticima, prva doza lijeka Relika treba da bude 2 mg. Potrebno je pratiti renalnu funkciju i nivo kalijuma u serumu. Dalje doziranje Relike treba prilagoditi u skladu sa odgovorom na terapiju krvnog pritiska. Ako je to potrebno, može se nastaviti liječenjem diureticima.</w:t>
      </w:r>
    </w:p>
    <w:p w14:paraId="269B5285">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starijih pacijenata terapija počinje sa 2 mg, a za mjesec dana doza se povećava do 4 mg, a zatim se može povećati do 8 mg ako je potrebno, u zavisnosti od renalne funkcije (pogledati tabelu niže).</w:t>
      </w:r>
    </w:p>
    <w:p w14:paraId="2FB97A41">
      <w:pPr>
        <w:jc w:val="both"/>
        <w:rPr>
          <w:rFonts w:ascii="Microsoft Sans Serif" w:hAnsi="Microsoft Sans Serif" w:cs="Microsoft Sans Serif"/>
          <w:sz w:val="20"/>
          <w:szCs w:val="20"/>
          <w:lang w:val="es-MX"/>
        </w:rPr>
      </w:pPr>
    </w:p>
    <w:p w14:paraId="7993E374">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Manifestna srčana slabost</w:t>
      </w:r>
    </w:p>
    <w:p w14:paraId="3989E329">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 xml:space="preserve">Preporučuje se terapiju lijekom Relika početi pod medicinski nadzor i dozom od 2 mg kod pacijenata koji uzimaju i diuretike i/ili digoksin i/ili beta bloker. Nakon dvije sedmice, doza se može povećati do 4 mg jednom dnevno, ako se dobro podnosi. U zavisnosti od kliničkog odgovora, doza se prilagođava svakom pacijentu, individualno. </w:t>
      </w:r>
    </w:p>
    <w:p w14:paraId="79DC65D8">
      <w:pPr>
        <w:jc w:val="both"/>
        <w:rPr>
          <w:rFonts w:ascii="Microsoft Sans Serif" w:hAnsi="Microsoft Sans Serif" w:cs="Microsoft Sans Serif"/>
          <w:sz w:val="20"/>
          <w:szCs w:val="20"/>
          <w:lang w:val="es-MX" w:eastAsia="en-GB"/>
        </w:rPr>
      </w:pPr>
      <w:r>
        <w:rPr>
          <w:rFonts w:ascii="Microsoft Sans Serif" w:hAnsi="Microsoft Sans Serif" w:cs="Microsoft Sans Serif"/>
          <w:sz w:val="20"/>
          <w:szCs w:val="20"/>
          <w:lang w:val="es-MX" w:eastAsia="en-GB"/>
        </w:rPr>
        <w:t>Kod pacijenata sa teškom srčanom insuficijencijom i kod drugih pacijenata sa povećanim rizikom (pacijenti sa poremećenom renalnom funkcijom, i tendencijom za elektrolitni disbalas, pacijenti koji istovremeno primaju diuretike i/ili vazodilatatore) terapiju lijekom Relika treba početi pod strogom kontrolom (pogledati dio 4.4.).</w:t>
      </w:r>
    </w:p>
    <w:p w14:paraId="173C1A63">
      <w:pPr>
        <w:jc w:val="both"/>
        <w:rPr>
          <w:rFonts w:ascii="Microsoft Sans Serif" w:hAnsi="Microsoft Sans Serif" w:cs="Microsoft Sans Serif"/>
          <w:sz w:val="20"/>
          <w:szCs w:val="20"/>
          <w:lang w:val="es-MX" w:eastAsia="en-GB"/>
        </w:rPr>
      </w:pPr>
      <w:r>
        <w:rPr>
          <w:rFonts w:ascii="Microsoft Sans Serif" w:hAnsi="Microsoft Sans Serif" w:cs="Microsoft Sans Serif"/>
          <w:sz w:val="20"/>
          <w:szCs w:val="20"/>
          <w:lang w:val="es-MX" w:eastAsia="en-GB"/>
        </w:rPr>
        <w:t>Kod pacijenata sa visokim rizikom za razvoj simptomatske hipotenzije (npr. dehidrirani, sa elektrolitnim disbalansom sa ili bez pojave hiponatremije, pacijenti sa hipovolemijom ili pacijenti koji primaju visoke doze diuretika) potrebno je korigovati to stanje prije početka terapije lijekom Relika ukoliko je mogu</w:t>
      </w:r>
      <w:r>
        <w:rPr>
          <w:rFonts w:ascii="Microsoft Sans Serif" w:hAnsi="Microsoft Sans Serif" w:cs="Microsoft Sans Serif"/>
          <w:sz w:val="20"/>
          <w:szCs w:val="20"/>
          <w:lang w:val="hr-BA" w:eastAsia="en-GB"/>
        </w:rPr>
        <w:t>će</w:t>
      </w:r>
      <w:r>
        <w:rPr>
          <w:rFonts w:ascii="Microsoft Sans Serif" w:hAnsi="Microsoft Sans Serif" w:cs="Microsoft Sans Serif"/>
          <w:sz w:val="20"/>
          <w:szCs w:val="20"/>
          <w:lang w:val="es-MX" w:eastAsia="en-GB"/>
        </w:rPr>
        <w:t>. Krvni pritisak, renalna funkcija i nivo kalijuma u serumu treba redovno pratiti prije i nakon početak terapije lijekom Relika (pogledati dio 4.4.)</w:t>
      </w:r>
    </w:p>
    <w:p w14:paraId="77CD18CF">
      <w:pPr>
        <w:jc w:val="both"/>
        <w:rPr>
          <w:rFonts w:ascii="Microsoft Sans Serif" w:hAnsi="Microsoft Sans Serif" w:cs="Microsoft Sans Serif"/>
          <w:sz w:val="20"/>
          <w:szCs w:val="20"/>
          <w:lang w:val="es-MX"/>
        </w:rPr>
      </w:pPr>
    </w:p>
    <w:p w14:paraId="123DBD08">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Stabilna koronarna arterijska bolest</w:t>
      </w:r>
    </w:p>
    <w:p w14:paraId="65898AE2">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Terapija lijekom Relika može početi u dozi 4 mg jednom dnevno u toku dvije sedmice, zatim se doza može povećati do 8 mg jednom dnevno u zavisnosti od bubrežne funkcije i da li se 4 mg doza dobro podnosi.</w:t>
      </w:r>
    </w:p>
    <w:p w14:paraId="68A1FC08">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starijih pacijenata terapija počinje sa 2 mg jednom dnevno prve sedmice, zatim 4 mg jednom dnevno u toku sljedeće sedmice, pa u zavisnosti od renalne funkcije povećava se do 8 mg jednom dnevno (pogledati tabelu 1 – Prilagođavanje doze kod bubrežna oštećenja).</w:t>
      </w:r>
    </w:p>
    <w:p w14:paraId="294EA962">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Doza se može povećati samo ukoliko prethodnu nižu dozu pacijent dobro podnosi.</w:t>
      </w:r>
    </w:p>
    <w:p w14:paraId="49C4CC59">
      <w:pPr>
        <w:jc w:val="both"/>
        <w:rPr>
          <w:rFonts w:ascii="Microsoft Sans Serif" w:hAnsi="Microsoft Sans Serif" w:cs="Microsoft Sans Serif"/>
          <w:sz w:val="20"/>
          <w:szCs w:val="20"/>
          <w:lang w:val="es-MX"/>
        </w:rPr>
      </w:pPr>
    </w:p>
    <w:p w14:paraId="1DE05191">
      <w:pPr>
        <w:pStyle w:val="27"/>
        <w:spacing w:before="0" w:beforeAutospacing="0" w:after="0" w:afterAutospacing="0"/>
        <w:jc w:val="both"/>
        <w:rPr>
          <w:rFonts w:ascii="Microsoft Sans Serif" w:hAnsi="Microsoft Sans Serif" w:cs="Microsoft Sans Serif"/>
          <w:b/>
          <w:sz w:val="20"/>
          <w:szCs w:val="20"/>
          <w:u w:val="single"/>
          <w:lang w:val="es-MX"/>
        </w:rPr>
      </w:pPr>
      <w:r>
        <w:rPr>
          <w:rFonts w:ascii="Microsoft Sans Serif" w:hAnsi="Microsoft Sans Serif" w:cs="Microsoft Sans Serif"/>
          <w:b/>
          <w:sz w:val="20"/>
          <w:szCs w:val="20"/>
          <w:u w:val="single"/>
          <w:lang w:val="es-MX"/>
        </w:rPr>
        <w:t>Posebne populacije</w:t>
      </w:r>
    </w:p>
    <w:p w14:paraId="41A5FC58">
      <w:pPr>
        <w:pStyle w:val="27"/>
        <w:spacing w:before="0" w:beforeAutospacing="0" w:after="0" w:afterAutospacing="0"/>
        <w:jc w:val="both"/>
        <w:rPr>
          <w:rFonts w:ascii="Microsoft Sans Serif" w:hAnsi="Microsoft Sans Serif" w:cs="Microsoft Sans Serif"/>
          <w:sz w:val="20"/>
          <w:szCs w:val="20"/>
          <w:u w:val="single"/>
          <w:lang w:val="es-MX"/>
        </w:rPr>
      </w:pPr>
    </w:p>
    <w:p w14:paraId="17CE9F8D">
      <w:pPr>
        <w:pStyle w:val="27"/>
        <w:spacing w:before="0" w:beforeAutospacing="0" w:after="0" w:afterAutospacing="0"/>
        <w:jc w:val="both"/>
        <w:rPr>
          <w:rFonts w:ascii="Microsoft Sans Serif" w:hAnsi="Microsoft Sans Serif" w:cs="Microsoft Sans Serif"/>
          <w:sz w:val="20"/>
          <w:szCs w:val="20"/>
          <w:u w:val="single"/>
          <w:lang w:val="hr-HR"/>
        </w:rPr>
      </w:pPr>
      <w:r>
        <w:rPr>
          <w:rFonts w:ascii="Microsoft Sans Serif" w:hAnsi="Microsoft Sans Serif" w:cs="Microsoft Sans Serif"/>
          <w:sz w:val="20"/>
          <w:szCs w:val="20"/>
          <w:u w:val="single"/>
          <w:lang w:val="es-MX"/>
        </w:rPr>
        <w:t>Prilagođavanje doze kod o</w:t>
      </w:r>
      <w:r>
        <w:rPr>
          <w:rFonts w:ascii="Microsoft Sans Serif" w:hAnsi="Microsoft Sans Serif" w:cs="Microsoft Sans Serif"/>
          <w:bCs/>
          <w:sz w:val="20"/>
          <w:szCs w:val="20"/>
          <w:u w:val="single"/>
          <w:lang w:val="hr-HR"/>
        </w:rPr>
        <w:t>š</w:t>
      </w:r>
      <w:r>
        <w:rPr>
          <w:rFonts w:ascii="Microsoft Sans Serif" w:hAnsi="Microsoft Sans Serif" w:cs="Microsoft Sans Serif"/>
          <w:bCs/>
          <w:sz w:val="20"/>
          <w:szCs w:val="20"/>
          <w:u w:val="single"/>
          <w:lang w:val="mk-MK"/>
        </w:rPr>
        <w:t>te</w:t>
      </w:r>
      <w:r>
        <w:rPr>
          <w:rFonts w:ascii="Microsoft Sans Serif" w:hAnsi="Microsoft Sans Serif" w:cs="Microsoft Sans Serif"/>
          <w:bCs/>
          <w:sz w:val="20"/>
          <w:szCs w:val="20"/>
          <w:u w:val="single"/>
          <w:lang w:val="hr-HR"/>
        </w:rPr>
        <w:t>ć</w:t>
      </w:r>
      <w:r>
        <w:rPr>
          <w:rFonts w:ascii="Microsoft Sans Serif" w:hAnsi="Microsoft Sans Serif" w:cs="Microsoft Sans Serif"/>
          <w:bCs/>
          <w:sz w:val="20"/>
          <w:szCs w:val="20"/>
          <w:u w:val="single"/>
          <w:lang w:val="mk-MK"/>
        </w:rPr>
        <w:t>enje</w:t>
      </w:r>
      <w:r>
        <w:rPr>
          <w:rFonts w:ascii="Microsoft Sans Serif" w:hAnsi="Microsoft Sans Serif" w:cs="Microsoft Sans Serif"/>
          <w:bCs/>
          <w:sz w:val="20"/>
          <w:szCs w:val="20"/>
          <w:u w:val="single"/>
          <w:lang w:val="hr-HR"/>
        </w:rPr>
        <w:t xml:space="preserve"> </w:t>
      </w:r>
      <w:r>
        <w:rPr>
          <w:rFonts w:ascii="Microsoft Sans Serif" w:hAnsi="Microsoft Sans Serif" w:cs="Microsoft Sans Serif"/>
          <w:bCs/>
          <w:sz w:val="20"/>
          <w:szCs w:val="20"/>
          <w:u w:val="single"/>
          <w:lang w:val="mk-MK"/>
        </w:rPr>
        <w:t>bubrega</w:t>
      </w:r>
    </w:p>
    <w:p w14:paraId="6CCBA70E">
      <w:pPr>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Kod pacijenata sa oštećenjem bubrega doza se bazira na klirens kreatinina, kao što je prikazano u tabelu 1.</w:t>
      </w:r>
    </w:p>
    <w:p w14:paraId="4133FFC2">
      <w:pPr>
        <w:jc w:val="both"/>
        <w:rPr>
          <w:rFonts w:ascii="Microsoft Sans Serif" w:hAnsi="Microsoft Sans Serif" w:cs="Microsoft Sans Serif"/>
          <w:sz w:val="20"/>
          <w:szCs w:val="20"/>
          <w:lang w:val="hr-HR"/>
        </w:rPr>
      </w:pPr>
    </w:p>
    <w:p w14:paraId="02E7983C">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mk-MK"/>
        </w:rPr>
        <w:t xml:space="preserve">Tabela 1: Prilagođavanje doze kod  </w:t>
      </w:r>
      <w:r>
        <w:rPr>
          <w:rFonts w:ascii="Microsoft Sans Serif" w:hAnsi="Microsoft Sans Serif" w:cs="Microsoft Sans Serif"/>
          <w:sz w:val="20"/>
          <w:szCs w:val="20"/>
          <w:lang w:val="es-MX"/>
        </w:rPr>
        <w:t>renalne insuficijencije</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40E6A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261" w:type="dxa"/>
          </w:tcPr>
          <w:p w14:paraId="09C7F8B6">
            <w:pPr>
              <w:jc w:val="both"/>
              <w:rPr>
                <w:rFonts w:ascii="Microsoft Sans Serif" w:hAnsi="Microsoft Sans Serif" w:cs="Microsoft Sans Serif"/>
                <w:b/>
                <w:bCs/>
                <w:sz w:val="20"/>
                <w:szCs w:val="20"/>
              </w:rPr>
            </w:pPr>
            <w:r>
              <w:rPr>
                <w:rFonts w:ascii="Microsoft Sans Serif" w:hAnsi="Microsoft Sans Serif" w:cs="Microsoft Sans Serif"/>
                <w:b/>
                <w:bCs/>
                <w:sz w:val="20"/>
                <w:szCs w:val="20"/>
              </w:rPr>
              <w:t xml:space="preserve">Kreatinin klirens </w:t>
            </w:r>
            <w:r>
              <w:rPr>
                <w:rFonts w:ascii="Microsoft Sans Serif" w:hAnsi="Microsoft Sans Serif" w:cs="Microsoft Sans Serif"/>
                <w:b/>
                <w:bCs/>
                <w:sz w:val="20"/>
                <w:szCs w:val="20"/>
                <w:lang w:val="ru-RU"/>
              </w:rPr>
              <w:t>(</w:t>
            </w:r>
            <w:r>
              <w:rPr>
                <w:rFonts w:ascii="Microsoft Sans Serif" w:hAnsi="Microsoft Sans Serif" w:cs="Microsoft Sans Serif"/>
                <w:b/>
                <w:bCs/>
                <w:sz w:val="20"/>
                <w:szCs w:val="20"/>
              </w:rPr>
              <w:t>ml</w:t>
            </w:r>
            <w:r>
              <w:rPr>
                <w:rFonts w:ascii="Microsoft Sans Serif" w:hAnsi="Microsoft Sans Serif" w:cs="Microsoft Sans Serif"/>
                <w:b/>
                <w:bCs/>
                <w:sz w:val="20"/>
                <w:szCs w:val="20"/>
                <w:lang w:val="ru-RU"/>
              </w:rPr>
              <w:t>/</w:t>
            </w:r>
            <w:r>
              <w:rPr>
                <w:rFonts w:ascii="Microsoft Sans Serif" w:hAnsi="Microsoft Sans Serif" w:cs="Microsoft Sans Serif"/>
                <w:b/>
                <w:bCs/>
                <w:sz w:val="20"/>
                <w:szCs w:val="20"/>
              </w:rPr>
              <w:t>min</w:t>
            </w:r>
            <w:r>
              <w:rPr>
                <w:rFonts w:ascii="Microsoft Sans Serif" w:hAnsi="Microsoft Sans Serif" w:cs="Microsoft Sans Serif"/>
                <w:b/>
                <w:bCs/>
                <w:sz w:val="20"/>
                <w:szCs w:val="20"/>
                <w:lang w:val="ru-RU"/>
              </w:rPr>
              <w:t xml:space="preserve">) </w:t>
            </w:r>
          </w:p>
        </w:tc>
        <w:tc>
          <w:tcPr>
            <w:tcW w:w="4261" w:type="dxa"/>
          </w:tcPr>
          <w:p w14:paraId="579D1976">
            <w:pPr>
              <w:jc w:val="both"/>
              <w:rPr>
                <w:rFonts w:ascii="Microsoft Sans Serif" w:hAnsi="Microsoft Sans Serif" w:cs="Microsoft Sans Serif"/>
                <w:b/>
                <w:bCs/>
                <w:sz w:val="20"/>
                <w:szCs w:val="20"/>
                <w:lang w:val="ru-RU"/>
              </w:rPr>
            </w:pPr>
            <w:r>
              <w:rPr>
                <w:rFonts w:ascii="Microsoft Sans Serif" w:hAnsi="Microsoft Sans Serif" w:cs="Microsoft Sans Serif"/>
                <w:b/>
                <w:bCs/>
                <w:sz w:val="20"/>
                <w:szCs w:val="20"/>
              </w:rPr>
              <w:t>Preporučena doza</w:t>
            </w:r>
          </w:p>
        </w:tc>
      </w:tr>
      <w:tr w14:paraId="4B5C6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6CE02005">
            <w:pPr>
              <w:jc w:val="both"/>
              <w:rPr>
                <w:rFonts w:ascii="Microsoft Sans Serif" w:hAnsi="Microsoft Sans Serif" w:cs="Microsoft Sans Serif"/>
                <w:bCs/>
                <w:sz w:val="20"/>
                <w:szCs w:val="20"/>
              </w:rPr>
            </w:pPr>
            <w:r>
              <w:rPr>
                <w:rFonts w:ascii="Microsoft Sans Serif" w:hAnsi="Microsoft Sans Serif" w:cs="Microsoft Sans Serif"/>
                <w:bCs/>
                <w:sz w:val="20"/>
                <w:szCs w:val="20"/>
              </w:rPr>
              <w:t xml:space="preserve">Clcr </w:t>
            </w:r>
            <w:r>
              <w:rPr>
                <w:rFonts w:ascii="Microsoft Sans Serif" w:hAnsi="Microsoft Sans Serif" w:cs="Microsoft Sans Serif"/>
                <w:bCs/>
                <w:sz w:val="20"/>
                <w:szCs w:val="20"/>
                <w:u w:val="single"/>
              </w:rPr>
              <w:t xml:space="preserve">&gt; </w:t>
            </w:r>
            <w:r>
              <w:rPr>
                <w:rFonts w:ascii="Microsoft Sans Serif" w:hAnsi="Microsoft Sans Serif" w:cs="Microsoft Sans Serif"/>
                <w:bCs/>
                <w:sz w:val="20"/>
                <w:szCs w:val="20"/>
              </w:rPr>
              <w:t>60</w:t>
            </w:r>
          </w:p>
        </w:tc>
        <w:tc>
          <w:tcPr>
            <w:tcW w:w="4261" w:type="dxa"/>
          </w:tcPr>
          <w:p w14:paraId="6D39541A">
            <w:pPr>
              <w:jc w:val="both"/>
              <w:rPr>
                <w:rFonts w:ascii="Microsoft Sans Serif" w:hAnsi="Microsoft Sans Serif" w:cs="Microsoft Sans Serif"/>
                <w:b/>
                <w:bCs/>
                <w:sz w:val="20"/>
                <w:szCs w:val="20"/>
              </w:rPr>
            </w:pPr>
            <w:r>
              <w:rPr>
                <w:rFonts w:ascii="Microsoft Sans Serif" w:hAnsi="Microsoft Sans Serif" w:cs="Microsoft Sans Serif"/>
                <w:sz w:val="20"/>
                <w:szCs w:val="20"/>
              </w:rPr>
              <w:t>4 mg dnevno</w:t>
            </w:r>
          </w:p>
        </w:tc>
      </w:tr>
      <w:tr w14:paraId="2D4E5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2C3DD43">
            <w:pPr>
              <w:jc w:val="both"/>
              <w:rPr>
                <w:rFonts w:ascii="Microsoft Sans Serif" w:hAnsi="Microsoft Sans Serif" w:cs="Microsoft Sans Serif"/>
                <w:bCs/>
                <w:sz w:val="20"/>
                <w:szCs w:val="20"/>
              </w:rPr>
            </w:pPr>
            <w:r>
              <w:rPr>
                <w:rFonts w:ascii="Microsoft Sans Serif" w:hAnsi="Microsoft Sans Serif" w:cs="Microsoft Sans Serif"/>
                <w:bCs/>
                <w:sz w:val="20"/>
                <w:szCs w:val="20"/>
              </w:rPr>
              <w:t>30&lt; Clcr &lt;60</w:t>
            </w:r>
          </w:p>
        </w:tc>
        <w:tc>
          <w:tcPr>
            <w:tcW w:w="4261" w:type="dxa"/>
          </w:tcPr>
          <w:p w14:paraId="1F0C1355">
            <w:pPr>
              <w:jc w:val="both"/>
              <w:rPr>
                <w:rFonts w:ascii="Microsoft Sans Serif" w:hAnsi="Microsoft Sans Serif" w:cs="Microsoft Sans Serif"/>
                <w:b/>
                <w:bCs/>
                <w:sz w:val="20"/>
                <w:szCs w:val="20"/>
              </w:rPr>
            </w:pPr>
            <w:r>
              <w:rPr>
                <w:rFonts w:ascii="Microsoft Sans Serif" w:hAnsi="Microsoft Sans Serif" w:cs="Microsoft Sans Serif"/>
                <w:sz w:val="20"/>
                <w:szCs w:val="20"/>
              </w:rPr>
              <w:t>2 mg dnevno</w:t>
            </w:r>
          </w:p>
        </w:tc>
      </w:tr>
      <w:tr w14:paraId="7D707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22C47B7">
            <w:pPr>
              <w:jc w:val="both"/>
              <w:rPr>
                <w:rFonts w:ascii="Microsoft Sans Serif" w:hAnsi="Microsoft Sans Serif" w:cs="Microsoft Sans Serif"/>
                <w:bCs/>
                <w:sz w:val="20"/>
                <w:szCs w:val="20"/>
              </w:rPr>
            </w:pPr>
            <w:r>
              <w:rPr>
                <w:rFonts w:ascii="Microsoft Sans Serif" w:hAnsi="Microsoft Sans Serif" w:cs="Microsoft Sans Serif"/>
                <w:bCs/>
                <w:sz w:val="20"/>
                <w:szCs w:val="20"/>
              </w:rPr>
              <w:t>15&lt; Clcr &lt;30</w:t>
            </w:r>
          </w:p>
        </w:tc>
        <w:tc>
          <w:tcPr>
            <w:tcW w:w="4261" w:type="dxa"/>
          </w:tcPr>
          <w:p w14:paraId="67C7F78B">
            <w:pPr>
              <w:jc w:val="both"/>
              <w:rPr>
                <w:rFonts w:ascii="Microsoft Sans Serif" w:hAnsi="Microsoft Sans Serif" w:cs="Microsoft Sans Serif"/>
                <w:b/>
                <w:bCs/>
                <w:sz w:val="20"/>
                <w:szCs w:val="20"/>
              </w:rPr>
            </w:pPr>
            <w:r>
              <w:rPr>
                <w:rFonts w:ascii="Microsoft Sans Serif" w:hAnsi="Microsoft Sans Serif" w:cs="Microsoft Sans Serif"/>
                <w:sz w:val="20"/>
                <w:szCs w:val="20"/>
              </w:rPr>
              <w:t>2 mg svaki drugi dan</w:t>
            </w:r>
          </w:p>
        </w:tc>
      </w:tr>
      <w:tr w14:paraId="74C3E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E4365DE">
            <w:pPr>
              <w:jc w:val="both"/>
              <w:rPr>
                <w:rFonts w:ascii="Microsoft Sans Serif" w:hAnsi="Microsoft Sans Serif" w:cs="Microsoft Sans Serif"/>
                <w:bCs/>
                <w:sz w:val="20"/>
                <w:szCs w:val="20"/>
              </w:rPr>
            </w:pPr>
            <w:r>
              <w:rPr>
                <w:rFonts w:ascii="Microsoft Sans Serif" w:hAnsi="Microsoft Sans Serif" w:cs="Microsoft Sans Serif"/>
                <w:sz w:val="20"/>
                <w:szCs w:val="20"/>
              </w:rPr>
              <w:t>Pacijenti na hemodijalizi*</w:t>
            </w:r>
          </w:p>
        </w:tc>
        <w:tc>
          <w:tcPr>
            <w:tcW w:w="4261" w:type="dxa"/>
          </w:tcPr>
          <w:p w14:paraId="5AA7DC86">
            <w:pPr>
              <w:jc w:val="both"/>
              <w:rPr>
                <w:rFonts w:ascii="Microsoft Sans Serif" w:hAnsi="Microsoft Sans Serif" w:cs="Microsoft Sans Serif"/>
                <w:b/>
                <w:bCs/>
                <w:sz w:val="20"/>
                <w:szCs w:val="20"/>
              </w:rPr>
            </w:pPr>
          </w:p>
        </w:tc>
      </w:tr>
      <w:tr w14:paraId="0F454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4261" w:type="dxa"/>
          </w:tcPr>
          <w:p w14:paraId="1AE4B7FF">
            <w:pPr>
              <w:jc w:val="both"/>
              <w:rPr>
                <w:rFonts w:ascii="Microsoft Sans Serif" w:hAnsi="Microsoft Sans Serif" w:cs="Microsoft Sans Serif"/>
                <w:sz w:val="20"/>
                <w:szCs w:val="20"/>
              </w:rPr>
            </w:pPr>
            <w:r>
              <w:rPr>
                <w:rFonts w:ascii="Microsoft Sans Serif" w:hAnsi="Microsoft Sans Serif" w:cs="Microsoft Sans Serif"/>
                <w:bCs/>
                <w:sz w:val="20"/>
                <w:szCs w:val="20"/>
              </w:rPr>
              <w:t>Clcr&lt; 15</w:t>
            </w:r>
          </w:p>
        </w:tc>
        <w:tc>
          <w:tcPr>
            <w:tcW w:w="4261" w:type="dxa"/>
          </w:tcPr>
          <w:p w14:paraId="53737466">
            <w:pPr>
              <w:jc w:val="both"/>
              <w:rPr>
                <w:rFonts w:ascii="Microsoft Sans Serif" w:hAnsi="Microsoft Sans Serif" w:cs="Microsoft Sans Serif"/>
                <w:b/>
                <w:bCs/>
                <w:sz w:val="20"/>
                <w:szCs w:val="20"/>
                <w:lang w:val="ru-RU"/>
              </w:rPr>
            </w:pPr>
            <w:r>
              <w:rPr>
                <w:rFonts w:ascii="Microsoft Sans Serif" w:hAnsi="Microsoft Sans Serif" w:cs="Microsoft Sans Serif"/>
                <w:sz w:val="20"/>
                <w:szCs w:val="20"/>
                <w:lang w:val="ru-RU"/>
              </w:rPr>
              <w:t xml:space="preserve">2 </w:t>
            </w:r>
            <w:r>
              <w:rPr>
                <w:rFonts w:ascii="Microsoft Sans Serif" w:hAnsi="Microsoft Sans Serif" w:cs="Microsoft Sans Serif"/>
                <w:sz w:val="20"/>
                <w:szCs w:val="20"/>
              </w:rPr>
              <w:t>mg</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 xml:space="preserve">na dan dijalize </w:t>
            </w:r>
            <w:r>
              <w:rPr>
                <w:rFonts w:ascii="Microsoft Sans Serif" w:hAnsi="Microsoft Sans Serif" w:cs="Microsoft Sans Serif"/>
                <w:sz w:val="20"/>
                <w:szCs w:val="20"/>
                <w:lang w:val="ru-RU"/>
              </w:rPr>
              <w:t xml:space="preserve"> </w:t>
            </w:r>
          </w:p>
        </w:tc>
      </w:tr>
    </w:tbl>
    <w:p w14:paraId="6ED4BB56">
      <w:pPr>
        <w:jc w:val="both"/>
        <w:rPr>
          <w:rFonts w:ascii="Microsoft Sans Serif" w:hAnsi="Microsoft Sans Serif" w:cs="Microsoft Sans Serif"/>
          <w:sz w:val="20"/>
          <w:szCs w:val="20"/>
          <w:lang w:val="ru-RU"/>
        </w:rPr>
      </w:pPr>
      <w:r>
        <w:rPr>
          <w:rFonts w:ascii="Microsoft Sans Serif" w:hAnsi="Microsoft Sans Serif" w:cs="Microsoft Sans Serif"/>
          <w:sz w:val="20"/>
          <w:szCs w:val="20"/>
          <w:lang w:val="ru-RU"/>
        </w:rPr>
        <w:t>*</w:t>
      </w:r>
      <w:r>
        <w:rPr>
          <w:rFonts w:ascii="Microsoft Sans Serif" w:hAnsi="Microsoft Sans Serif" w:cs="Microsoft Sans Serif"/>
          <w:sz w:val="20"/>
          <w:szCs w:val="20"/>
          <w:lang w:val="de-AT"/>
        </w:rPr>
        <w:t>Dijaliza</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de-AT"/>
        </w:rPr>
        <w:t>klirens</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de-AT"/>
        </w:rPr>
        <w:t>perindoprila</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lang w:val="de-AT"/>
        </w:rPr>
        <w:t>je</w:t>
      </w:r>
      <w:r>
        <w:rPr>
          <w:rFonts w:ascii="Microsoft Sans Serif" w:hAnsi="Microsoft Sans Serif" w:cs="Microsoft Sans Serif"/>
          <w:sz w:val="20"/>
          <w:szCs w:val="20"/>
          <w:lang w:val="ru-RU"/>
        </w:rPr>
        <w:t xml:space="preserve"> 70 </w:t>
      </w:r>
      <w:r>
        <w:rPr>
          <w:rFonts w:ascii="Microsoft Sans Serif" w:hAnsi="Microsoft Sans Serif" w:cs="Microsoft Sans Serif"/>
          <w:sz w:val="20"/>
          <w:szCs w:val="20"/>
          <w:lang w:val="de-AT"/>
        </w:rPr>
        <w:t>ml</w:t>
      </w:r>
      <w:r>
        <w:rPr>
          <w:rFonts w:ascii="Microsoft Sans Serif" w:hAnsi="Microsoft Sans Serif" w:cs="Microsoft Sans Serif"/>
          <w:sz w:val="20"/>
          <w:szCs w:val="20"/>
          <w:lang w:val="ru-RU"/>
        </w:rPr>
        <w:t>/</w:t>
      </w:r>
      <w:r>
        <w:rPr>
          <w:rFonts w:ascii="Microsoft Sans Serif" w:hAnsi="Microsoft Sans Serif" w:cs="Microsoft Sans Serif"/>
          <w:sz w:val="20"/>
          <w:szCs w:val="20"/>
          <w:lang w:val="de-AT"/>
        </w:rPr>
        <w:t>min</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Pacijenti</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hemodijalizi</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lijek</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uzimaju</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nakon</w:t>
      </w:r>
      <w:r>
        <w:rPr>
          <w:rFonts w:ascii="Microsoft Sans Serif" w:hAnsi="Microsoft Sans Serif" w:cs="Microsoft Sans Serif"/>
          <w:sz w:val="20"/>
          <w:szCs w:val="20"/>
          <w:lang w:val="ru-RU"/>
        </w:rPr>
        <w:t xml:space="preserve"> </w:t>
      </w:r>
      <w:r>
        <w:rPr>
          <w:rFonts w:ascii="Microsoft Sans Serif" w:hAnsi="Microsoft Sans Serif" w:cs="Microsoft Sans Serif"/>
          <w:sz w:val="20"/>
          <w:szCs w:val="20"/>
        </w:rPr>
        <w:t>hemodijalize</w:t>
      </w:r>
      <w:r>
        <w:rPr>
          <w:rFonts w:ascii="Microsoft Sans Serif" w:hAnsi="Microsoft Sans Serif" w:cs="Microsoft Sans Serif"/>
          <w:sz w:val="20"/>
          <w:szCs w:val="20"/>
          <w:lang w:val="ru-RU"/>
        </w:rPr>
        <w:t>.</w:t>
      </w:r>
    </w:p>
    <w:p w14:paraId="7223C687">
      <w:pPr>
        <w:jc w:val="both"/>
        <w:rPr>
          <w:rFonts w:ascii="Microsoft Sans Serif" w:hAnsi="Microsoft Sans Serif" w:cs="Microsoft Sans Serif"/>
          <w:sz w:val="20"/>
          <w:szCs w:val="20"/>
          <w:lang w:val="ru-RU"/>
        </w:rPr>
      </w:pPr>
    </w:p>
    <w:p w14:paraId="618425A6">
      <w:pPr>
        <w:pStyle w:val="27"/>
        <w:spacing w:before="0" w:beforeAutospacing="0" w:after="0" w:afterAutospacing="0"/>
        <w:jc w:val="both"/>
        <w:rPr>
          <w:rFonts w:ascii="Microsoft Sans Serif" w:hAnsi="Microsoft Sans Serif" w:cs="Microsoft Sans Serif"/>
          <w:sz w:val="20"/>
          <w:szCs w:val="20"/>
          <w:u w:val="single"/>
          <w:lang w:val="mk-MK"/>
        </w:rPr>
      </w:pPr>
      <w:r>
        <w:rPr>
          <w:rFonts w:ascii="Microsoft Sans Serif" w:hAnsi="Microsoft Sans Serif" w:cs="Microsoft Sans Serif"/>
          <w:sz w:val="20"/>
          <w:szCs w:val="20"/>
          <w:u w:val="single"/>
          <w:lang w:val="mk-MK"/>
        </w:rPr>
        <w:t>Prilagođavanje doze kod o</w:t>
      </w:r>
      <w:r>
        <w:rPr>
          <w:rFonts w:ascii="Microsoft Sans Serif" w:hAnsi="Microsoft Sans Serif" w:cs="Microsoft Sans Serif"/>
          <w:bCs/>
          <w:sz w:val="20"/>
          <w:szCs w:val="20"/>
          <w:u w:val="single"/>
          <w:lang w:val="hr-HR"/>
        </w:rPr>
        <w:t>š</w:t>
      </w:r>
      <w:r>
        <w:rPr>
          <w:rFonts w:ascii="Microsoft Sans Serif" w:hAnsi="Microsoft Sans Serif" w:cs="Microsoft Sans Serif"/>
          <w:bCs/>
          <w:sz w:val="20"/>
          <w:szCs w:val="20"/>
          <w:u w:val="single"/>
          <w:lang w:val="mk-MK"/>
        </w:rPr>
        <w:t>te</w:t>
      </w:r>
      <w:r>
        <w:rPr>
          <w:rFonts w:ascii="Microsoft Sans Serif" w:hAnsi="Microsoft Sans Serif" w:cs="Microsoft Sans Serif"/>
          <w:bCs/>
          <w:sz w:val="20"/>
          <w:szCs w:val="20"/>
          <w:u w:val="single"/>
          <w:lang w:val="hr-HR"/>
        </w:rPr>
        <w:t>ć</w:t>
      </w:r>
      <w:r>
        <w:rPr>
          <w:rFonts w:ascii="Microsoft Sans Serif" w:hAnsi="Microsoft Sans Serif" w:cs="Microsoft Sans Serif"/>
          <w:bCs/>
          <w:sz w:val="20"/>
          <w:szCs w:val="20"/>
          <w:u w:val="single"/>
          <w:lang w:val="mk-MK"/>
        </w:rPr>
        <w:t>enja</w:t>
      </w:r>
      <w:r>
        <w:rPr>
          <w:rFonts w:ascii="Microsoft Sans Serif" w:hAnsi="Microsoft Sans Serif" w:cs="Microsoft Sans Serif"/>
          <w:bCs/>
          <w:sz w:val="20"/>
          <w:szCs w:val="20"/>
          <w:u w:val="single"/>
          <w:lang w:val="hr-HR"/>
        </w:rPr>
        <w:t xml:space="preserve"> </w:t>
      </w:r>
      <w:r>
        <w:rPr>
          <w:rFonts w:ascii="Microsoft Sans Serif" w:hAnsi="Microsoft Sans Serif" w:cs="Microsoft Sans Serif"/>
          <w:bCs/>
          <w:sz w:val="20"/>
          <w:szCs w:val="20"/>
          <w:u w:val="single"/>
          <w:lang w:val="mk-MK"/>
        </w:rPr>
        <w:t>jetre</w:t>
      </w:r>
    </w:p>
    <w:p w14:paraId="25A52DD8">
      <w:pPr>
        <w:pStyle w:val="27"/>
        <w:spacing w:before="0" w:beforeAutospacing="0" w:after="0" w:afterAutospacing="0"/>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mk-MK"/>
        </w:rPr>
        <w:t>Nije</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potrebno</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prilago</w:t>
      </w:r>
      <w:r>
        <w:rPr>
          <w:rFonts w:ascii="Microsoft Sans Serif" w:hAnsi="Microsoft Sans Serif" w:cs="Microsoft Sans Serif"/>
          <w:sz w:val="20"/>
          <w:szCs w:val="20"/>
          <w:lang w:val="hr-HR"/>
        </w:rPr>
        <w:t>đ</w:t>
      </w:r>
      <w:r>
        <w:rPr>
          <w:rFonts w:ascii="Microsoft Sans Serif" w:hAnsi="Microsoft Sans Serif" w:cs="Microsoft Sans Serif"/>
          <w:sz w:val="20"/>
          <w:szCs w:val="20"/>
          <w:lang w:val="mk-MK"/>
        </w:rPr>
        <w:t>avanje</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doze</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u</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slu</w:t>
      </w:r>
      <w:r>
        <w:rPr>
          <w:rFonts w:ascii="Microsoft Sans Serif" w:hAnsi="Microsoft Sans Serif" w:cs="Microsoft Sans Serif"/>
          <w:sz w:val="20"/>
          <w:szCs w:val="20"/>
          <w:lang w:val="hr-HR"/>
        </w:rPr>
        <w:t>č</w:t>
      </w:r>
      <w:r>
        <w:rPr>
          <w:rFonts w:ascii="Microsoft Sans Serif" w:hAnsi="Microsoft Sans Serif" w:cs="Microsoft Sans Serif"/>
          <w:sz w:val="20"/>
          <w:szCs w:val="20"/>
          <w:lang w:val="mk-MK"/>
        </w:rPr>
        <w:t>aju</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o</w:t>
      </w:r>
      <w:r>
        <w:rPr>
          <w:rFonts w:ascii="Microsoft Sans Serif" w:hAnsi="Microsoft Sans Serif" w:cs="Microsoft Sans Serif"/>
          <w:sz w:val="20"/>
          <w:szCs w:val="20"/>
          <w:lang w:val="hr-HR"/>
        </w:rPr>
        <w:t>š</w:t>
      </w:r>
      <w:r>
        <w:rPr>
          <w:rFonts w:ascii="Microsoft Sans Serif" w:hAnsi="Microsoft Sans Serif" w:cs="Microsoft Sans Serif"/>
          <w:sz w:val="20"/>
          <w:szCs w:val="20"/>
          <w:lang w:val="mk-MK"/>
        </w:rPr>
        <w:t>te</w:t>
      </w:r>
      <w:r>
        <w:rPr>
          <w:rFonts w:ascii="Microsoft Sans Serif" w:hAnsi="Microsoft Sans Serif" w:cs="Microsoft Sans Serif"/>
          <w:sz w:val="20"/>
          <w:szCs w:val="20"/>
          <w:lang w:val="hr-HR"/>
        </w:rPr>
        <w:t>ć</w:t>
      </w:r>
      <w:r>
        <w:rPr>
          <w:rFonts w:ascii="Microsoft Sans Serif" w:hAnsi="Microsoft Sans Serif" w:cs="Microsoft Sans Serif"/>
          <w:sz w:val="20"/>
          <w:szCs w:val="20"/>
          <w:lang w:val="mk-MK"/>
        </w:rPr>
        <w:t>enja</w:t>
      </w:r>
      <w:r>
        <w:rPr>
          <w:rFonts w:ascii="Microsoft Sans Serif" w:hAnsi="Microsoft Sans Serif" w:cs="Microsoft Sans Serif"/>
          <w:sz w:val="20"/>
          <w:szCs w:val="20"/>
          <w:lang w:val="hr-HR"/>
        </w:rPr>
        <w:t xml:space="preserve"> </w:t>
      </w:r>
      <w:r>
        <w:rPr>
          <w:rFonts w:ascii="Microsoft Sans Serif" w:hAnsi="Microsoft Sans Serif" w:cs="Microsoft Sans Serif"/>
          <w:sz w:val="20"/>
          <w:szCs w:val="20"/>
          <w:lang w:val="mk-MK"/>
        </w:rPr>
        <w:t>jetre</w:t>
      </w:r>
      <w:r>
        <w:rPr>
          <w:rFonts w:ascii="Microsoft Sans Serif" w:hAnsi="Microsoft Sans Serif" w:cs="Microsoft Sans Serif"/>
          <w:sz w:val="20"/>
          <w:szCs w:val="20"/>
          <w:lang w:val="pl-PL"/>
        </w:rPr>
        <w:t xml:space="preserve"> (pogledati dio 4.4. i dio 5.2.).</w:t>
      </w:r>
    </w:p>
    <w:p w14:paraId="4CDC7775">
      <w:pPr>
        <w:jc w:val="both"/>
        <w:rPr>
          <w:rFonts w:ascii="Microsoft Sans Serif" w:hAnsi="Microsoft Sans Serif" w:cs="Microsoft Sans Serif"/>
          <w:sz w:val="20"/>
          <w:szCs w:val="20"/>
          <w:lang w:val="es-MX"/>
        </w:rPr>
      </w:pPr>
    </w:p>
    <w:p w14:paraId="40DFA1FD">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Pedijatrijska populacija</w:t>
      </w:r>
    </w:p>
    <w:p w14:paraId="5E56429F">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 xml:space="preserve">Bezbjednost i efikasnost peridoprila kod djece i adolescenata ispod 18 godina nije dovoljno utvrđena. </w:t>
      </w:r>
      <w:r>
        <w:rPr>
          <w:rStyle w:val="33"/>
          <w:rFonts w:ascii="Microsoft Sans Serif" w:hAnsi="Microsoft Sans Serif" w:cs="Microsoft Sans Serif"/>
          <w:color w:val="222222"/>
          <w:sz w:val="20"/>
          <w:szCs w:val="20"/>
          <w:lang w:val="es-MX"/>
        </w:rPr>
        <w:t>Trenutno</w:t>
      </w:r>
      <w:r>
        <w:rPr>
          <w:rFonts w:ascii="Microsoft Sans Serif" w:hAnsi="Microsoft Sans Serif" w:cs="Microsoft Sans Serif"/>
          <w:color w:val="222222"/>
          <w:sz w:val="20"/>
          <w:szCs w:val="20"/>
          <w:lang w:val="es-MX"/>
        </w:rPr>
        <w:t xml:space="preserve"> </w:t>
      </w:r>
      <w:r>
        <w:rPr>
          <w:rStyle w:val="33"/>
          <w:rFonts w:ascii="Microsoft Sans Serif" w:hAnsi="Microsoft Sans Serif" w:cs="Microsoft Sans Serif"/>
          <w:color w:val="222222"/>
          <w:sz w:val="20"/>
          <w:szCs w:val="20"/>
          <w:lang w:val="es-MX"/>
        </w:rPr>
        <w:t>dostupni podaci</w:t>
      </w:r>
      <w:r>
        <w:rPr>
          <w:rFonts w:ascii="Microsoft Sans Serif" w:hAnsi="Microsoft Sans Serif" w:cs="Microsoft Sans Serif"/>
          <w:color w:val="222222"/>
          <w:sz w:val="20"/>
          <w:szCs w:val="20"/>
          <w:lang w:val="es-MX"/>
        </w:rPr>
        <w:t xml:space="preserve"> </w:t>
      </w:r>
      <w:r>
        <w:rPr>
          <w:rStyle w:val="33"/>
          <w:rFonts w:ascii="Microsoft Sans Serif" w:hAnsi="Microsoft Sans Serif" w:cs="Microsoft Sans Serif"/>
          <w:color w:val="222222"/>
          <w:sz w:val="20"/>
          <w:szCs w:val="20"/>
          <w:lang w:val="es-MX"/>
        </w:rPr>
        <w:t>su</w:t>
      </w:r>
      <w:r>
        <w:rPr>
          <w:rFonts w:ascii="Microsoft Sans Serif" w:hAnsi="Microsoft Sans Serif" w:cs="Microsoft Sans Serif"/>
          <w:color w:val="222222"/>
          <w:sz w:val="20"/>
          <w:szCs w:val="20"/>
          <w:lang w:val="es-MX"/>
        </w:rPr>
        <w:t xml:space="preserve"> </w:t>
      </w:r>
      <w:r>
        <w:rPr>
          <w:rStyle w:val="33"/>
          <w:rFonts w:ascii="Microsoft Sans Serif" w:hAnsi="Microsoft Sans Serif" w:cs="Microsoft Sans Serif"/>
          <w:color w:val="222222"/>
          <w:sz w:val="20"/>
          <w:szCs w:val="20"/>
          <w:lang w:val="es-MX"/>
        </w:rPr>
        <w:t>opisani</w:t>
      </w:r>
      <w:r>
        <w:rPr>
          <w:rFonts w:ascii="Microsoft Sans Serif" w:hAnsi="Microsoft Sans Serif" w:cs="Microsoft Sans Serif"/>
          <w:color w:val="222222"/>
          <w:sz w:val="20"/>
          <w:szCs w:val="20"/>
          <w:lang w:val="es-MX"/>
        </w:rPr>
        <w:t xml:space="preserve"> </w:t>
      </w:r>
      <w:r>
        <w:rPr>
          <w:rStyle w:val="33"/>
          <w:rFonts w:ascii="Microsoft Sans Serif" w:hAnsi="Microsoft Sans Serif" w:cs="Microsoft Sans Serif"/>
          <w:color w:val="222222"/>
          <w:sz w:val="20"/>
          <w:szCs w:val="20"/>
          <w:lang w:val="es-MX"/>
        </w:rPr>
        <w:t>u dijelu</w:t>
      </w:r>
      <w:r>
        <w:rPr>
          <w:rFonts w:ascii="Microsoft Sans Serif" w:hAnsi="Microsoft Sans Serif" w:cs="Microsoft Sans Serif"/>
          <w:color w:val="222222"/>
          <w:sz w:val="20"/>
          <w:szCs w:val="20"/>
          <w:lang w:val="es-MX"/>
        </w:rPr>
        <w:t xml:space="preserve"> </w:t>
      </w:r>
      <w:r>
        <w:rPr>
          <w:rStyle w:val="33"/>
          <w:rFonts w:ascii="Microsoft Sans Serif" w:hAnsi="Microsoft Sans Serif" w:cs="Microsoft Sans Serif"/>
          <w:color w:val="222222"/>
          <w:sz w:val="20"/>
          <w:szCs w:val="20"/>
          <w:lang w:val="es-MX"/>
        </w:rPr>
        <w:t>5.1</w:t>
      </w:r>
      <w:r>
        <w:rPr>
          <w:rFonts w:ascii="Microsoft Sans Serif" w:hAnsi="Microsoft Sans Serif" w:cs="Microsoft Sans Serif"/>
          <w:color w:val="222222"/>
          <w:sz w:val="20"/>
          <w:szCs w:val="20"/>
          <w:lang w:val="es-MX"/>
        </w:rPr>
        <w:t xml:space="preserve">, ali nije moguće dati </w:t>
      </w:r>
      <w:r>
        <w:rPr>
          <w:rStyle w:val="33"/>
          <w:rFonts w:ascii="Microsoft Sans Serif" w:hAnsi="Microsoft Sans Serif" w:cs="Microsoft Sans Serif"/>
          <w:color w:val="222222"/>
          <w:sz w:val="20"/>
          <w:szCs w:val="20"/>
          <w:lang w:val="es-MX"/>
        </w:rPr>
        <w:t>preporuke o</w:t>
      </w:r>
      <w:r>
        <w:rPr>
          <w:rFonts w:ascii="Microsoft Sans Serif" w:hAnsi="Microsoft Sans Serif" w:cs="Microsoft Sans Serif"/>
          <w:color w:val="222222"/>
          <w:sz w:val="20"/>
          <w:szCs w:val="20"/>
          <w:lang w:val="es-MX"/>
        </w:rPr>
        <w:t xml:space="preserve"> </w:t>
      </w:r>
      <w:r>
        <w:rPr>
          <w:rStyle w:val="33"/>
          <w:rFonts w:ascii="Microsoft Sans Serif" w:hAnsi="Microsoft Sans Serif" w:cs="Microsoft Sans Serif"/>
          <w:color w:val="222222"/>
          <w:sz w:val="20"/>
          <w:szCs w:val="20"/>
          <w:lang w:val="es-MX"/>
        </w:rPr>
        <w:t xml:space="preserve">doziranju. </w:t>
      </w:r>
      <w:r>
        <w:rPr>
          <w:rFonts w:ascii="Microsoft Sans Serif" w:hAnsi="Microsoft Sans Serif" w:cs="Microsoft Sans Serif"/>
          <w:sz w:val="20"/>
          <w:szCs w:val="20"/>
          <w:lang w:val="es-MX"/>
        </w:rPr>
        <w:t>Zbog toga, ne preporučuje se primjena lijeka kod djece i kod adolecenata.</w:t>
      </w:r>
    </w:p>
    <w:p w14:paraId="2E46B431">
      <w:pPr>
        <w:jc w:val="both"/>
        <w:rPr>
          <w:rFonts w:ascii="Microsoft Sans Serif" w:hAnsi="Microsoft Sans Serif" w:cs="Microsoft Sans Serif"/>
          <w:sz w:val="20"/>
          <w:szCs w:val="20"/>
          <w:lang w:val="pl-PL"/>
        </w:rPr>
      </w:pPr>
    </w:p>
    <w:p w14:paraId="697B7AE3">
      <w:pPr>
        <w:rPr>
          <w:rFonts w:ascii="Microsoft Sans Serif" w:hAnsi="Microsoft Sans Serif" w:cs="Microsoft Sans Serif"/>
          <w:snapToGrid w:val="0"/>
          <w:sz w:val="20"/>
          <w:szCs w:val="20"/>
          <w:u w:val="single"/>
          <w:lang w:val="de-AT"/>
        </w:rPr>
      </w:pPr>
      <w:r>
        <w:rPr>
          <w:rFonts w:ascii="Microsoft Sans Serif" w:hAnsi="Microsoft Sans Serif" w:cs="Microsoft Sans Serif"/>
          <w:snapToGrid w:val="0"/>
          <w:sz w:val="20"/>
          <w:szCs w:val="20"/>
          <w:u w:val="single"/>
          <w:lang w:val="de-AT"/>
        </w:rPr>
        <w:t>Način primjene</w:t>
      </w:r>
    </w:p>
    <w:p w14:paraId="4126546B">
      <w:pPr>
        <w:tabs>
          <w:tab w:val="left" w:pos="426"/>
        </w:tabs>
        <w:rPr>
          <w:rFonts w:ascii="Microsoft Sans Serif" w:hAnsi="Microsoft Sans Serif" w:cs="Microsoft Sans Serif"/>
          <w:sz w:val="20"/>
          <w:szCs w:val="20"/>
          <w:lang w:val="de-DE"/>
        </w:rPr>
      </w:pPr>
    </w:p>
    <w:p w14:paraId="768173AB">
      <w:pPr>
        <w:tabs>
          <w:tab w:val="left" w:pos="426"/>
        </w:tabs>
        <w:rPr>
          <w:rFonts w:ascii="Microsoft Sans Serif" w:hAnsi="Microsoft Sans Serif" w:cs="Microsoft Sans Serif"/>
          <w:sz w:val="20"/>
          <w:szCs w:val="20"/>
          <w:lang w:val="de-AT"/>
        </w:rPr>
      </w:pPr>
      <w:r>
        <w:rPr>
          <w:rFonts w:ascii="Microsoft Sans Serif" w:hAnsi="Microsoft Sans Serif" w:cs="Microsoft Sans Serif"/>
          <w:sz w:val="20"/>
          <w:szCs w:val="20"/>
          <w:lang w:val="de-DE"/>
        </w:rPr>
        <w:t>Za oralnu primjenu.</w:t>
      </w:r>
    </w:p>
    <w:p w14:paraId="5F3F6F6A">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mk-MK"/>
        </w:rPr>
        <w:t xml:space="preserve">Preporučuje se uzimanje </w:t>
      </w:r>
      <w:r>
        <w:rPr>
          <w:rFonts w:ascii="Microsoft Sans Serif" w:hAnsi="Microsoft Sans Serif" w:cs="Microsoft Sans Serif"/>
          <w:sz w:val="20"/>
          <w:szCs w:val="20"/>
        </w:rPr>
        <w:t xml:space="preserve">lijeka </w:t>
      </w:r>
      <w:r>
        <w:rPr>
          <w:rFonts w:ascii="Microsoft Sans Serif" w:hAnsi="Microsoft Sans Serif" w:cs="Microsoft Sans Serif"/>
          <w:sz w:val="20"/>
          <w:szCs w:val="20"/>
          <w:lang w:val="mk-MK"/>
        </w:rPr>
        <w:t>Relik</w:t>
      </w:r>
      <w:r>
        <w:rPr>
          <w:rFonts w:ascii="Microsoft Sans Serif" w:hAnsi="Microsoft Sans Serif" w:cs="Microsoft Sans Serif"/>
          <w:sz w:val="20"/>
          <w:szCs w:val="20"/>
        </w:rPr>
        <w:t>a</w:t>
      </w:r>
      <w:r>
        <w:rPr>
          <w:rFonts w:ascii="Microsoft Sans Serif" w:hAnsi="Microsoft Sans Serif" w:cs="Microsoft Sans Serif"/>
          <w:sz w:val="20"/>
          <w:szCs w:val="20"/>
          <w:lang w:val="mk-MK"/>
        </w:rPr>
        <w:t xml:space="preserve"> jedan put dnevno, ujutro, prije doručka.</w:t>
      </w:r>
    </w:p>
    <w:p w14:paraId="1FA21EEF">
      <w:pPr>
        <w:jc w:val="both"/>
        <w:rPr>
          <w:rFonts w:ascii="Microsoft Sans Serif" w:hAnsi="Microsoft Sans Serif" w:cs="Microsoft Sans Serif"/>
          <w:sz w:val="20"/>
          <w:szCs w:val="20"/>
          <w:lang w:val="pl-PL"/>
        </w:rPr>
      </w:pPr>
    </w:p>
    <w:p w14:paraId="2989801B">
      <w:pPr>
        <w:numPr>
          <w:ilvl w:val="1"/>
          <w:numId w:val="2"/>
        </w:numPr>
        <w:ind w:left="0" w:firstLine="0"/>
        <w:jc w:val="both"/>
        <w:rPr>
          <w:rFonts w:ascii="Microsoft Sans Serif" w:hAnsi="Microsoft Sans Serif" w:cs="Microsoft Sans Serif"/>
          <w:b/>
          <w:sz w:val="20"/>
          <w:szCs w:val="20"/>
        </w:rPr>
      </w:pPr>
      <w:r>
        <w:rPr>
          <w:rFonts w:ascii="Microsoft Sans Serif" w:hAnsi="Microsoft Sans Serif" w:cs="Microsoft Sans Serif"/>
          <w:b/>
          <w:sz w:val="20"/>
          <w:szCs w:val="20"/>
        </w:rPr>
        <w:t>Kontraindikacije</w:t>
      </w:r>
    </w:p>
    <w:p w14:paraId="1B045803">
      <w:pPr>
        <w:jc w:val="both"/>
        <w:rPr>
          <w:rFonts w:ascii="Microsoft Sans Serif" w:hAnsi="Microsoft Sans Serif" w:cs="Microsoft Sans Serif"/>
          <w:sz w:val="20"/>
          <w:szCs w:val="20"/>
        </w:rPr>
      </w:pPr>
    </w:p>
    <w:p w14:paraId="10B13A84">
      <w:pPr>
        <w:pStyle w:val="18"/>
        <w:numPr>
          <w:ilvl w:val="0"/>
          <w:numId w:val="3"/>
        </w:numPr>
        <w:ind w:left="0" w:firstLine="0"/>
        <w:rPr>
          <w:rFonts w:ascii="Microsoft Sans Serif" w:hAnsi="Microsoft Sans Serif" w:cs="Microsoft Sans Serif"/>
          <w:color w:val="auto"/>
          <w:sz w:val="20"/>
          <w:szCs w:val="20"/>
          <w:lang w:val="pl-PL"/>
        </w:rPr>
      </w:pPr>
      <w:r>
        <w:rPr>
          <w:rFonts w:ascii="Microsoft Sans Serif" w:hAnsi="Microsoft Sans Serif" w:cs="Microsoft Sans Serif"/>
          <w:color w:val="auto"/>
          <w:sz w:val="20"/>
          <w:szCs w:val="20"/>
          <w:lang w:val="pl-PL"/>
        </w:rPr>
        <w:t xml:space="preserve">Preosjetljivost na perindopril, </w:t>
      </w:r>
      <w:r>
        <w:rPr>
          <w:rFonts w:ascii="Microsoft Sans Serif" w:hAnsi="Microsoft Sans Serif" w:cs="Microsoft Sans Serif"/>
          <w:sz w:val="20"/>
          <w:szCs w:val="20"/>
          <w:lang w:val="bs-Latn-BA"/>
        </w:rPr>
        <w:t xml:space="preserve">ili na bilo koju od pomoćnih supstanci ovog lijeka (navedenih u dijelu 6.1.) </w:t>
      </w:r>
      <w:r>
        <w:rPr>
          <w:rFonts w:ascii="Microsoft Sans Serif" w:hAnsi="Microsoft Sans Serif" w:cs="Microsoft Sans Serif"/>
          <w:color w:val="auto"/>
          <w:sz w:val="20"/>
          <w:szCs w:val="20"/>
          <w:lang w:val="pl-PL"/>
        </w:rPr>
        <w:t>ili na bilo koji ACE inhibitor.</w:t>
      </w:r>
    </w:p>
    <w:p w14:paraId="7A1EA21B">
      <w:pPr>
        <w:pStyle w:val="18"/>
        <w:numPr>
          <w:ilvl w:val="0"/>
          <w:numId w:val="3"/>
        </w:numPr>
        <w:tabs>
          <w:tab w:val="left" w:pos="284"/>
          <w:tab w:val="clear" w:pos="567"/>
        </w:tabs>
        <w:ind w:left="0" w:firstLine="0"/>
        <w:rPr>
          <w:rFonts w:ascii="Microsoft Sans Serif" w:hAnsi="Microsoft Sans Serif" w:cs="Microsoft Sans Serif"/>
          <w:color w:val="auto"/>
          <w:sz w:val="20"/>
          <w:szCs w:val="20"/>
          <w:lang w:val="pl-PL"/>
        </w:rPr>
      </w:pPr>
      <w:r>
        <w:rPr>
          <w:rFonts w:ascii="Microsoft Sans Serif" w:hAnsi="Microsoft Sans Serif" w:cs="Microsoft Sans Serif"/>
          <w:color w:val="auto"/>
          <w:sz w:val="20"/>
          <w:szCs w:val="20"/>
          <w:lang w:val="pl-PL"/>
        </w:rPr>
        <w:t>Anamneza angioedema povezanog sa prethodnom primjenom ACE inhibitora (pogledajte dio 4.4).</w:t>
      </w:r>
    </w:p>
    <w:p w14:paraId="043DE2F1">
      <w:pPr>
        <w:pStyle w:val="18"/>
        <w:numPr>
          <w:ilvl w:val="0"/>
          <w:numId w:val="3"/>
        </w:numPr>
        <w:tabs>
          <w:tab w:val="left" w:pos="284"/>
          <w:tab w:val="clear" w:pos="567"/>
        </w:tabs>
        <w:ind w:left="0" w:firstLine="0"/>
        <w:rPr>
          <w:rFonts w:ascii="Microsoft Sans Serif" w:hAnsi="Microsoft Sans Serif" w:cs="Microsoft Sans Serif"/>
          <w:color w:val="auto"/>
          <w:sz w:val="20"/>
          <w:szCs w:val="20"/>
          <w:lang w:val="pl-PL"/>
        </w:rPr>
      </w:pPr>
      <w:r>
        <w:rPr>
          <w:rFonts w:ascii="Microsoft Sans Serif" w:hAnsi="Microsoft Sans Serif" w:cs="Microsoft Sans Serif"/>
          <w:color w:val="auto"/>
          <w:sz w:val="20"/>
          <w:szCs w:val="20"/>
          <w:lang w:val="pl-PL"/>
        </w:rPr>
        <w:t>Hereditarni ili idiopatski angioedem.</w:t>
      </w:r>
    </w:p>
    <w:p w14:paraId="5537F837">
      <w:pPr>
        <w:pStyle w:val="18"/>
        <w:numPr>
          <w:ilvl w:val="0"/>
          <w:numId w:val="4"/>
        </w:numPr>
        <w:tabs>
          <w:tab w:val="left" w:pos="284"/>
          <w:tab w:val="clear" w:pos="567"/>
        </w:tabs>
        <w:ind w:left="0" w:firstLine="0"/>
        <w:rPr>
          <w:rFonts w:ascii="Microsoft Sans Serif" w:hAnsi="Microsoft Sans Serif" w:cs="Microsoft Sans Serif"/>
          <w:sz w:val="20"/>
          <w:szCs w:val="20"/>
          <w:lang w:val="bs-Latn-BA"/>
        </w:rPr>
      </w:pPr>
      <w:r>
        <w:rPr>
          <w:rFonts w:ascii="Microsoft Sans Serif" w:hAnsi="Microsoft Sans Serif" w:cs="Microsoft Sans Serif"/>
          <w:color w:val="auto"/>
          <w:sz w:val="20"/>
          <w:szCs w:val="20"/>
          <w:lang w:val="pl-PL"/>
        </w:rPr>
        <w:t>Drugi i treći trimestar trudnoće (pogledati dijelove 4.4. i 4.6.)</w:t>
      </w:r>
    </w:p>
    <w:p w14:paraId="5F3A2674">
      <w:pPr>
        <w:pStyle w:val="18"/>
        <w:numPr>
          <w:ilvl w:val="0"/>
          <w:numId w:val="4"/>
        </w:numPr>
        <w:ind w:left="270" w:hanging="270"/>
        <w:rPr>
          <w:rFonts w:ascii="Microsoft Sans Serif" w:hAnsi="Microsoft Sans Serif" w:cs="Microsoft Sans Serif"/>
          <w:sz w:val="20"/>
          <w:szCs w:val="20"/>
          <w:lang w:val="bs-Latn-BA"/>
        </w:rPr>
      </w:pPr>
      <w:r>
        <w:rPr>
          <w:rFonts w:ascii="Microsoft Sans Serif" w:hAnsi="Microsoft Sans Serif" w:cs="Microsoft Sans Serif"/>
          <w:color w:val="222222"/>
          <w:sz w:val="20"/>
          <w:szCs w:val="20"/>
        </w:rPr>
        <w:t xml:space="preserve">Istovremena upotreba sa sakubitrilom/valsartanom. Relika se ne smije početi davati prije isteka 36 sati od posljednje doze sakubitril/valsartan (pogledati dijelove 4.4 i 4.5); </w:t>
      </w:r>
    </w:p>
    <w:p w14:paraId="54E20D20">
      <w:pPr>
        <w:pStyle w:val="18"/>
        <w:numPr>
          <w:ilvl w:val="0"/>
          <w:numId w:val="4"/>
        </w:numPr>
        <w:tabs>
          <w:tab w:val="left" w:pos="270"/>
          <w:tab w:val="clear" w:pos="567"/>
        </w:tabs>
        <w:ind w:left="270" w:hanging="270"/>
        <w:rPr>
          <w:rFonts w:ascii="Microsoft Sans Serif" w:hAnsi="Microsoft Sans Serif" w:cs="Microsoft Sans Serif"/>
          <w:sz w:val="20"/>
          <w:szCs w:val="20"/>
          <w:lang w:val="bs-Latn-BA"/>
        </w:rPr>
      </w:pPr>
      <w:r>
        <w:rPr>
          <w:rFonts w:ascii="Microsoft Sans Serif" w:hAnsi="Microsoft Sans Serif" w:cs="Microsoft Sans Serif"/>
          <w:color w:val="222222"/>
          <w:sz w:val="20"/>
          <w:szCs w:val="20"/>
        </w:rPr>
        <w:t>Ekstrakorporalni tretman koji dovodi do kontakta krvi sa negativno naelektrisanim površinama (pogledati dio 4.5);</w:t>
      </w:r>
    </w:p>
    <w:p w14:paraId="7F1E6E6C">
      <w:pPr>
        <w:pStyle w:val="18"/>
        <w:numPr>
          <w:ilvl w:val="0"/>
          <w:numId w:val="4"/>
        </w:numPr>
        <w:tabs>
          <w:tab w:val="left" w:pos="270"/>
          <w:tab w:val="clear" w:pos="567"/>
        </w:tabs>
        <w:ind w:left="270" w:hanging="270"/>
        <w:rPr>
          <w:rFonts w:ascii="Microsoft Sans Serif" w:hAnsi="Microsoft Sans Serif" w:cs="Microsoft Sans Serif"/>
          <w:sz w:val="20"/>
          <w:szCs w:val="20"/>
          <w:lang w:val="bs-Latn-BA"/>
        </w:rPr>
      </w:pPr>
      <w:r>
        <w:rPr>
          <w:rFonts w:ascii="Microsoft Sans Serif" w:hAnsi="Microsoft Sans Serif" w:cs="Microsoft Sans Serif"/>
          <w:color w:val="222222"/>
          <w:sz w:val="20"/>
          <w:szCs w:val="20"/>
        </w:rPr>
        <w:t>Značajna bilateralna stenoza renalne arterije ili stenoza arterije na jedan funkcionalni bubreg (pogledati dio 4.4).</w:t>
      </w:r>
    </w:p>
    <w:p w14:paraId="1EC9AE19">
      <w:pPr>
        <w:pStyle w:val="18"/>
        <w:numPr>
          <w:ilvl w:val="0"/>
          <w:numId w:val="4"/>
        </w:numPr>
        <w:tabs>
          <w:tab w:val="left" w:pos="284"/>
          <w:tab w:val="clear" w:pos="567"/>
        </w:tabs>
        <w:ind w:left="284" w:hanging="284"/>
        <w:rPr>
          <w:rFonts w:ascii="Microsoft Sans Serif" w:hAnsi="Microsoft Sans Serif" w:cs="Microsoft Sans Serif"/>
          <w:sz w:val="20"/>
          <w:szCs w:val="20"/>
          <w:lang w:val="bs-Latn-BA"/>
        </w:rPr>
      </w:pPr>
      <w:r>
        <w:rPr>
          <w:rFonts w:ascii="Microsoft Sans Serif" w:hAnsi="Microsoft Sans Serif" w:cs="Microsoft Sans Serif"/>
          <w:sz w:val="20"/>
          <w:szCs w:val="20"/>
        </w:rPr>
        <w:t>Istovremena</w:t>
      </w:r>
      <w:r>
        <w:rPr>
          <w:rFonts w:ascii="Microsoft Sans Serif" w:hAnsi="Microsoft Sans Serif" w:cs="Microsoft Sans Serif"/>
          <w:sz w:val="20"/>
          <w:szCs w:val="20"/>
          <w:lang w:val="bs-Latn-BA"/>
        </w:rPr>
        <w:t xml:space="preserve"> primjena lijeka Relika sa lijekovima koji sadrže aliskiren kontraindikovana je kod pacijenata sa šećernom bolešću ili oštećenjem bubrega (GFR &lt; 60 ml/min/1,73 m2) (pogledati dijelove 4.5 i 5.1).</w:t>
      </w:r>
    </w:p>
    <w:p w14:paraId="3A28A6FC">
      <w:pPr>
        <w:pStyle w:val="18"/>
        <w:tabs>
          <w:tab w:val="left" w:pos="0"/>
          <w:tab w:val="left" w:pos="284"/>
        </w:tabs>
        <w:ind w:left="0" w:firstLine="0"/>
        <w:rPr>
          <w:rFonts w:ascii="Microsoft Sans Serif" w:hAnsi="Microsoft Sans Serif" w:cs="Microsoft Sans Serif"/>
          <w:color w:val="auto"/>
          <w:sz w:val="20"/>
          <w:szCs w:val="20"/>
          <w:lang w:val="pl-PL"/>
        </w:rPr>
      </w:pPr>
    </w:p>
    <w:p w14:paraId="449AEA56">
      <w:pPr>
        <w:jc w:val="both"/>
        <w:rPr>
          <w:rFonts w:ascii="Microsoft Sans Serif" w:hAnsi="Microsoft Sans Serif" w:cs="Microsoft Sans Serif"/>
          <w:sz w:val="20"/>
          <w:szCs w:val="20"/>
          <w:lang w:val="mk-MK"/>
        </w:rPr>
      </w:pPr>
      <w:r>
        <w:rPr>
          <w:rFonts w:ascii="Microsoft Sans Serif" w:hAnsi="Microsoft Sans Serif" w:cs="Microsoft Sans Serif"/>
          <w:b/>
          <w:sz w:val="20"/>
          <w:szCs w:val="20"/>
          <w:lang w:val="mk-MK"/>
        </w:rPr>
        <w:t xml:space="preserve">4.4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 xml:space="preserve">Posebna upozorenja i mjere opreza pri upotrebi </w:t>
      </w:r>
      <w:r>
        <w:rPr>
          <w:rFonts w:ascii="Microsoft Sans Serif" w:hAnsi="Microsoft Sans Serif" w:cs="Microsoft Sans Serif"/>
          <w:b/>
          <w:sz w:val="20"/>
          <w:szCs w:val="20"/>
          <w:lang w:val="mk-MK"/>
        </w:rPr>
        <w:t xml:space="preserve"> </w:t>
      </w:r>
    </w:p>
    <w:p w14:paraId="061CC873">
      <w:pPr>
        <w:shd w:val="clear" w:color="auto" w:fill="FFFFFF"/>
        <w:jc w:val="both"/>
        <w:rPr>
          <w:rFonts w:ascii="Microsoft Sans Serif" w:hAnsi="Microsoft Sans Serif" w:cs="Microsoft Sans Serif"/>
          <w:sz w:val="20"/>
          <w:szCs w:val="20"/>
          <w:lang w:val="hr-HR"/>
        </w:rPr>
      </w:pPr>
    </w:p>
    <w:p w14:paraId="1942AA23">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sz w:val="20"/>
          <w:szCs w:val="20"/>
          <w:u w:val="single"/>
          <w:lang w:val="hr-HR"/>
        </w:rPr>
        <w:t>Stabilna koronarna bolest</w:t>
      </w:r>
    </w:p>
    <w:p w14:paraId="2D85C9B2">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Ukoliko se javi epizoda nestabilne angine pektoris u toku prvog mjeseca terapije perindoprilom, potrebno je preispitati odnos korist-rizik terapije prije nego se produži sa terapijom.</w:t>
      </w:r>
    </w:p>
    <w:p w14:paraId="0097885C">
      <w:pPr>
        <w:jc w:val="both"/>
        <w:rPr>
          <w:rFonts w:ascii="Microsoft Sans Serif" w:hAnsi="Microsoft Sans Serif" w:cs="Microsoft Sans Serif"/>
          <w:sz w:val="20"/>
          <w:szCs w:val="20"/>
          <w:u w:val="single"/>
          <w:lang w:val="hr-HR"/>
        </w:rPr>
      </w:pPr>
    </w:p>
    <w:p w14:paraId="5056EAF7">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Hipotenzija</w:t>
      </w:r>
    </w:p>
    <w:p w14:paraId="3180F2C1">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ACE inhibuitori mogu izazvati pad krvnog pritiska. Simptomatska hipotenzija rjeđe se javlja kod pacijenata koji imaju nekomplikovanu hipertenziju, a vjerovatnije je da će se javiti kod pacijenata sa hipovolemijom, npr. pacijenti na diuretskoj terapiji, na režimu ishrane sa ograničenim unosom soli, pacijenti na dijalizi, pacijenti sa dijarejom i povraćanjem ili pacijenti sa teškom renin-zavisnom hipertenzijom (pogledati dio 4.5. i dio 4.8.). Kod pacijenata sa manifestnom srčanom slabošću, sa ili bez propratne bubrežne insuficijencije, moguća je pojava simptomatske hipotenzije. Ovo se naročito dešava pacijentima sa težim stepenima srčane slabosti, koji primjenjuju visoke doze diuretika Henleove petlje, imaju hiponatrijemiju ili poremećenu bubrežnu funkciju. Kod pacijenata sa povećanim rizikom za simptomatsku hipotenziju, početak terapije i prilagođavanje doze moraju biti pod nadzorom (pogledati dijelove 4.2 i 4.8). Naročito je važno pratiti pacijente sa ishemičnom bolesti srca i pacijente sa anamnezom cerebrovaskularnog insulta. Kod ovih pacijenata hipotenzija može biti rezultat miokardnog ili cerebrovaskularnog infarkta.</w:t>
      </w:r>
    </w:p>
    <w:p w14:paraId="3AEDA011">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Ukoliko se hipotenzija javi, pacijenta treba staviti u ležeći položaj i po potrebi, dati intravensku infuziju 9 mg/ml (0,9%) rastvor natrijum hlorida. Ovaj tranzitorni hipotenzivni odgovor nije kontraindikacija za sljedeće doze, koje se obično daju bez poteškoća kada se krvni pritisak poveća nakon povećanja volumena.</w:t>
      </w:r>
    </w:p>
    <w:p w14:paraId="492290BB">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nekih pacijenata sa kongestivnom srčanom slabošću, koji imaju normalan ili nizak krvni pritisak, dopunsko smanjenje pritiska se može javiti nakon primjene lijeka Relika. Ovaj efekat je očekivan i obično nije razlog za prekid terapije. Međutim, ukoliko hipotenzija postane simptomatska, može biti neophodno da se doza smanji ili da se terapija prekine.</w:t>
      </w:r>
    </w:p>
    <w:p w14:paraId="4E1726A1">
      <w:pPr>
        <w:jc w:val="both"/>
        <w:rPr>
          <w:rFonts w:ascii="Microsoft Sans Serif" w:hAnsi="Microsoft Sans Serif" w:cs="Microsoft Sans Serif"/>
          <w:sz w:val="20"/>
          <w:szCs w:val="20"/>
          <w:lang w:val="es-MX"/>
        </w:rPr>
      </w:pPr>
    </w:p>
    <w:p w14:paraId="6931E061">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Aortna i mitralna stenoza/hipertrofička kardiomiopatija</w:t>
      </w:r>
    </w:p>
    <w:p w14:paraId="3979C6AD">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 xml:space="preserve">Kao i drugi ACE inhibitori, lijek Relika treba davati sa naročitom pažnjom pacijentima sa mitralnom stenozom i obstrukcijom levoventrikularnog izlivanja kao aortna stenoza ili hipertrofična kardiomiopatija. </w:t>
      </w:r>
    </w:p>
    <w:p w14:paraId="0FC7A1BC">
      <w:pPr>
        <w:jc w:val="both"/>
        <w:rPr>
          <w:rFonts w:ascii="Microsoft Sans Serif" w:hAnsi="Microsoft Sans Serif" w:cs="Microsoft Sans Serif"/>
          <w:sz w:val="20"/>
          <w:szCs w:val="20"/>
          <w:u w:val="single"/>
          <w:lang w:val="es-MX"/>
        </w:rPr>
      </w:pPr>
    </w:p>
    <w:p w14:paraId="78945653">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Renalno oštećenje</w:t>
      </w:r>
    </w:p>
    <w:p w14:paraId="6DC0B4B9">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U slučaju renalne disfunkcije (kreatinin klirens &lt; 60 ml/min)</w:t>
      </w:r>
      <w:r>
        <w:rPr>
          <w:rFonts w:ascii="Microsoft Sans Serif" w:hAnsi="Microsoft Sans Serif" w:cs="Microsoft Sans Serif"/>
          <w:sz w:val="20"/>
          <w:szCs w:val="20"/>
          <w:lang w:val="mk-MK"/>
        </w:rPr>
        <w:t>,</w:t>
      </w:r>
      <w:r>
        <w:rPr>
          <w:rFonts w:ascii="Microsoft Sans Serif" w:hAnsi="Microsoft Sans Serif" w:cs="Microsoft Sans Serif"/>
          <w:sz w:val="20"/>
          <w:szCs w:val="20"/>
          <w:lang w:val="es-MX"/>
        </w:rPr>
        <w:t xml:space="preserve"> početnu dozu perindoprila treba prilagoditi klirensom kreatinina pacijenta (pogledati dio 4.2), a zatim se doza adaptira prema terapijskom odgovoru pacijenta. Redovna kontrola kalijuma u serumu i kreatinina je potrebna kod ovih pacijenata (pogledati dio 4.8). </w:t>
      </w:r>
    </w:p>
    <w:p w14:paraId="14E1FFBE">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pacijenta sa manifestnom srčanom slabošću, hipotenzija nakon početnog uzimanja ACE inhibitora, može da izazove dopunsko oštećenje renalne funkcije. Akutna renalna insuficijencija, obično reverzibilna, je prijavljena u ovo stanje.</w:t>
      </w:r>
    </w:p>
    <w:p w14:paraId="3D1CCA1B">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nekih pacijenata sa bilateralnom stenozom renalnih arterija ili stenozom renalne arterije pri solitarnom bubregu, liječenih ACE inhibitorima, primjećeno je povećanje nivoa uree i kreatinina u serumu, obično reverzibilno po prekidu terapije. Ovo se naročito odnosi za pacijente sa renalnom insuficijencijom. Ukoliko postoji i renovaskularna hipertenzija, rizik od teške hipotenzije i renalne insuficijencije je povećan. U ovih pacijenata, liječenje treba početi pod strogim medicinskim nadzorom i sa niskim dozama, koji se postepeno titriraju. Zbog toga što diuretici mogu biti dodatni faktor, terapiju sa diureticima treba prekinuti i pratiti renalnu funckiju u prvih sedmica terapije lijekom Relika.</w:t>
      </w:r>
    </w:p>
    <w:p w14:paraId="14823C7C">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Kod nekih pacijenata sa hipertenzijom, bez renovaskularne bolesti, može se javiti povećanje uree i kreatinina u serumu, obično blago i prolazno, naročito ako se lijek Relika daje istovremeno sa diureticima. Ovo je vjeroratnije da se desi pacijentima sa postojećim renalnim oštećenjem. Smanjenje doze i/ili prekid terapije diuretikom i/ili lijekom Relika može biti potrebno.</w:t>
      </w:r>
    </w:p>
    <w:p w14:paraId="6357303F">
      <w:pPr>
        <w:jc w:val="both"/>
        <w:rPr>
          <w:rFonts w:ascii="Microsoft Sans Serif" w:hAnsi="Microsoft Sans Serif" w:cs="Microsoft Sans Serif"/>
          <w:sz w:val="20"/>
          <w:szCs w:val="20"/>
          <w:lang w:val="es-MX"/>
        </w:rPr>
      </w:pPr>
    </w:p>
    <w:p w14:paraId="22E2BA81">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Pacijenti na hemodijalizi</w:t>
      </w:r>
    </w:p>
    <w:p w14:paraId="6F19A3A1">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Anafilaktoidne reakcije su primjećene kod pacijenata na hemodijalizi sa visokoprotočnim membranama i liječeni zajedno sa ACE inhibitorom. Kod ovih pacijenata neophodno je primijeniti drugi tip dijalizne membrane ili drugu vrstu antihipertenzivnog lijeka.</w:t>
      </w:r>
    </w:p>
    <w:p w14:paraId="45A73D3E">
      <w:pPr>
        <w:jc w:val="both"/>
        <w:rPr>
          <w:rFonts w:ascii="Microsoft Sans Serif" w:hAnsi="Microsoft Sans Serif" w:cs="Microsoft Sans Serif"/>
          <w:sz w:val="20"/>
          <w:szCs w:val="20"/>
          <w:lang w:val="es-MX"/>
        </w:rPr>
      </w:pPr>
    </w:p>
    <w:p w14:paraId="3BE540C6">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Transplantacija bubrega</w:t>
      </w:r>
    </w:p>
    <w:p w14:paraId="64F2D02F">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Ne postoji iskustvo upotrebe ovog lijeka kod pacijenata kojima je nedavno transplantiran bubreg.</w:t>
      </w:r>
    </w:p>
    <w:p w14:paraId="5010C54F">
      <w:pPr>
        <w:jc w:val="both"/>
        <w:rPr>
          <w:rFonts w:ascii="Microsoft Sans Serif" w:hAnsi="Microsoft Sans Serif" w:cs="Microsoft Sans Serif"/>
          <w:sz w:val="20"/>
          <w:szCs w:val="20"/>
          <w:lang w:val="es-MX"/>
        </w:rPr>
      </w:pPr>
    </w:p>
    <w:p w14:paraId="0D4475D7">
      <w:pPr>
        <w:autoSpaceDE w:val="0"/>
        <w:autoSpaceDN w:val="0"/>
        <w:adjustRightInd w:val="0"/>
        <w:jc w:val="both"/>
        <w:rPr>
          <w:rFonts w:ascii="Microsoft Sans Serif" w:hAnsi="Microsoft Sans Serif" w:eastAsia="ArialMT" w:cs="Microsoft Sans Serif"/>
          <w:sz w:val="20"/>
          <w:szCs w:val="20"/>
        </w:rPr>
      </w:pPr>
      <w:r>
        <w:rPr>
          <w:rFonts w:ascii="Microsoft Sans Serif" w:hAnsi="Microsoft Sans Serif" w:eastAsia="ArialMT" w:cs="Microsoft Sans Serif"/>
          <w:sz w:val="20"/>
          <w:szCs w:val="20"/>
        </w:rPr>
        <w:t>Renovaskularna hipertenzija:</w:t>
      </w:r>
    </w:p>
    <w:p w14:paraId="5FA7F621">
      <w:pPr>
        <w:autoSpaceDE w:val="0"/>
        <w:autoSpaceDN w:val="0"/>
        <w:adjustRightInd w:val="0"/>
        <w:jc w:val="both"/>
        <w:rPr>
          <w:rFonts w:ascii="Microsoft Sans Serif" w:hAnsi="Microsoft Sans Serif" w:cs="Microsoft Sans Serif"/>
          <w:sz w:val="20"/>
          <w:szCs w:val="20"/>
          <w:lang w:val="es-MX"/>
        </w:rPr>
      </w:pPr>
      <w:r>
        <w:rPr>
          <w:rFonts w:ascii="Microsoft Sans Serif" w:hAnsi="Microsoft Sans Serif" w:eastAsia="ArialMT" w:cs="Microsoft Sans Serif"/>
          <w:sz w:val="20"/>
          <w:szCs w:val="20"/>
        </w:rPr>
        <w:t>Postoji povećan rizik od hipotenzije i renalne insuficijencije kada su pacijenti sa bilateralnom stenozom renalne arterije ili sa stenozom arterije na jednofunkcionalnom bubregu na terapiji sa ACE inhibitorom (pogledati dio 4.3.). Terapija sa diureticima moze biti faktor koji doprinosi tome. Gubitak renalne funkcije se može pojaviti sa čak i sa malim promjenama u serumskom kreatininu čak i kod pacijenata da jednostranom bubrežnom arterijskom stenozom.</w:t>
      </w:r>
    </w:p>
    <w:p w14:paraId="52297643">
      <w:pPr>
        <w:jc w:val="both"/>
        <w:rPr>
          <w:rFonts w:ascii="Microsoft Sans Serif" w:hAnsi="Microsoft Sans Serif" w:cs="Microsoft Sans Serif"/>
          <w:sz w:val="20"/>
          <w:szCs w:val="20"/>
          <w:u w:val="single"/>
          <w:lang w:val="es-MX"/>
        </w:rPr>
      </w:pPr>
    </w:p>
    <w:p w14:paraId="1BAAC45B">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Hipersenzitivnost/angioedem</w:t>
      </w:r>
    </w:p>
    <w:p w14:paraId="013B8CA3">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 xml:space="preserve">Prijavljeni su slučajevi sa angioedemom lica, usta, mukoznih membrana, jezika, glotisa i laringsa kod pacijenata na terapiji s ACE inhibitorima, uključujući i perindopril (pogledati dio 4.8). Ovo se može desiti u bilo koje vrijeme terapije. U ovakvim slučajevima, upotrebu peridnoprila treba prekinuti i početi adekvatno praćenje pacijenta sve do povlačenje simptoma. Kod pacijenata kod kojih je angioedem na licu i usnama stanje se najčešće poboljšava bez terapije, iako </w:t>
      </w:r>
      <w:r>
        <w:rPr>
          <w:rFonts w:ascii="Microsoft Sans Serif" w:hAnsi="Microsoft Sans Serif" w:cs="Microsoft Sans Serif"/>
          <w:sz w:val="20"/>
          <w:szCs w:val="20"/>
          <w:lang w:val="sr-Latn-BA"/>
        </w:rPr>
        <w:t xml:space="preserve">je </w:t>
      </w:r>
      <w:r>
        <w:rPr>
          <w:rFonts w:ascii="Microsoft Sans Serif" w:hAnsi="Microsoft Sans Serif" w:cs="Microsoft Sans Serif"/>
          <w:sz w:val="20"/>
          <w:szCs w:val="20"/>
          <w:lang w:val="es-MX"/>
        </w:rPr>
        <w:t xml:space="preserve">primjena antihistaminika korisna za olakšanje simptoma. </w:t>
      </w:r>
    </w:p>
    <w:p w14:paraId="648EF7D1">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Angioedem praćen sa laringealnim edemom može biti fatalan. Kod pacijenata sa edemom jezika, glotisa ili laringsa, zbog rizik od obstrukcije dišnih puteva, brzo se aplicira hitna terapija. To obuhvata adrenalin i/ili održavanje prohodnost dišnih puteva. Pacijent treba biti pod strogim medicinskim nadzorom sve do potpuno i održivo povlačenje simptoma.</w:t>
      </w:r>
    </w:p>
    <w:p w14:paraId="5BC60C61">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 xml:space="preserve">Kod pacijenata sa istorijom za angioedem koji nije povezan sa upotrebom ACE inhibitora postoji povećan rizik za razvoj angioedema kao posljedica ove terapije (pogledati dio 4.3). </w:t>
      </w:r>
    </w:p>
    <w:p w14:paraId="57D5C96B">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Intestinalni angioedem javlja se rijetko kod pacijenata koji primaju ACE inhibitore. Može biti praćen abdominalnom bolu (sa ili bez gađenja i povraćanja); u određenim slučajevima nije bilo facijalnog angioedema ili povišenje vrijednosti C1-esteraze u anamnezi. Angioedem je bio dijagnosticiran s abdominalnim KT-skeniranjem, ili sa ultrazvukom ili hirurškom intervencijom. Simptomi abdominalnog angioedema povlače se prekidom terapije ACE inhibitorom. Intestinalni angioedem treba biti obuhvaćen u diferencijalnoj dijagnozi kod pacijenata koji primaju ACE inhibitor i imaju abdominalni bol.</w:t>
      </w:r>
    </w:p>
    <w:p w14:paraId="3F9CE217">
      <w:pPr>
        <w:jc w:val="both"/>
        <w:rPr>
          <w:rFonts w:ascii="Microsoft Sans Serif" w:hAnsi="Microsoft Sans Serif" w:cs="Microsoft Sans Serif"/>
          <w:sz w:val="20"/>
          <w:szCs w:val="20"/>
          <w:highlight w:val="lightGray"/>
          <w:lang w:val="es-MX"/>
        </w:rPr>
      </w:pPr>
      <w:r>
        <w:rPr>
          <w:rStyle w:val="33"/>
          <w:rFonts w:ascii="Microsoft Sans Serif" w:hAnsi="Microsoft Sans Serif" w:cs="Microsoft Sans Serif"/>
          <w:sz w:val="20"/>
          <w:lang w:val="bs-Latn-BA"/>
        </w:rPr>
        <w:t>Istovremena upotreba ACE inhibitora sa sakubitril/valsartanom je kontraindikovana zbog povišenog rizika od angioedema (pogledati dio 4.3).</w:t>
      </w:r>
      <w:r>
        <w:rPr>
          <w:rFonts w:ascii="Microsoft Sans Serif" w:hAnsi="Microsoft Sans Serif" w:cs="Microsoft Sans Serif"/>
          <w:sz w:val="20"/>
          <w:lang w:val="bs-Latn-BA"/>
        </w:rPr>
        <w:t xml:space="preserve"> </w:t>
      </w:r>
      <w:r>
        <w:rPr>
          <w:rStyle w:val="33"/>
          <w:rFonts w:ascii="Microsoft Sans Serif" w:hAnsi="Microsoft Sans Serif" w:cs="Microsoft Sans Serif"/>
          <w:sz w:val="20"/>
          <w:lang w:val="bs-Latn-BA"/>
        </w:rPr>
        <w:t xml:space="preserve">Terapija sa sakubitril/valsartanom ne smije se započeti prije isteka od 36 sati od posljednje doze perindoprila. Terapija sa perindoprilom se ne smije započeti prije isteka od 36 sati od posljednje doze sakubitril/valsartana (pogledati dio 4.3 i 4.5) </w:t>
      </w:r>
    </w:p>
    <w:p w14:paraId="34EA72F3">
      <w:pPr>
        <w:jc w:val="both"/>
        <w:rPr>
          <w:rFonts w:ascii="Microsoft Sans Serif" w:hAnsi="Microsoft Sans Serif" w:cs="Microsoft Sans Serif"/>
          <w:sz w:val="20"/>
          <w:szCs w:val="20"/>
          <w:u w:val="single"/>
          <w:lang w:val="hr-HR"/>
        </w:rPr>
      </w:pPr>
      <w:r>
        <w:rPr>
          <w:rFonts w:ascii="Microsoft Sans Serif" w:hAnsi="Microsoft Sans Serif" w:cs="Microsoft Sans Serif"/>
          <w:sz w:val="20"/>
          <w:lang w:val="bs-Latn-BA"/>
        </w:rPr>
        <w:t>Istovremena upotreba</w:t>
      </w:r>
      <w:r>
        <w:rPr>
          <w:rFonts w:ascii="Microsoft Sans Serif" w:hAnsi="Microsoft Sans Serif" w:cs="Microsoft Sans Serif"/>
          <w:color w:val="222222"/>
          <w:sz w:val="20"/>
        </w:rPr>
        <w:t xml:space="preserve">  ACE inhibitora sa</w:t>
      </w:r>
      <w:r>
        <w:rPr>
          <w:rFonts w:ascii="Microsoft Sans Serif" w:hAnsi="Microsoft Sans Serif" w:cs="Microsoft Sans Serif"/>
          <w:sz w:val="20"/>
          <w:lang w:val="bs-Latn-BA"/>
        </w:rPr>
        <w:t xml:space="preserve"> racecadotrilom,</w:t>
      </w:r>
      <w:r>
        <w:rPr>
          <w:rFonts w:ascii="Microsoft Sans Serif" w:hAnsi="Microsoft Sans Serif" w:cs="Microsoft Sans Serif"/>
          <w:sz w:val="20"/>
          <w:szCs w:val="20"/>
          <w:lang w:val="hr-HR"/>
        </w:rPr>
        <w:t xml:space="preserve"> inhibitorima mTOR-a (npr. sirolimus, everolimus, temsirolimus) i vildagliptinom može </w:t>
      </w:r>
      <w:r>
        <w:rPr>
          <w:rFonts w:ascii="Microsoft Sans Serif" w:hAnsi="Microsoft Sans Serif" w:cs="Microsoft Sans Serif"/>
          <w:sz w:val="20"/>
          <w:lang w:val="bs-Latn-BA"/>
        </w:rPr>
        <w:t>dovesti do</w:t>
      </w:r>
      <w:r>
        <w:rPr>
          <w:rFonts w:ascii="Microsoft Sans Serif" w:hAnsi="Microsoft Sans Serif" w:cs="Microsoft Sans Serif"/>
          <w:sz w:val="20"/>
          <w:szCs w:val="20"/>
          <w:lang w:val="hr-HR"/>
        </w:rPr>
        <w:t xml:space="preserve">  povećanog rizika od angioedema (npr. oticanje dišnih putova ili jezika, sa ili bez oštećenja respiratorne funkcije) (pogledati dio 4.5). </w:t>
      </w:r>
      <w:r>
        <w:rPr>
          <w:rFonts w:ascii="Microsoft Sans Serif" w:hAnsi="Microsoft Sans Serif" w:cs="Microsoft Sans Serif"/>
          <w:sz w:val="20"/>
          <w:lang w:val="bs-Latn-BA"/>
        </w:rPr>
        <w:t>Treba biti na oprezu kada se počinje sa terapijom racecadotrila, mTOR inhibitorima (npr. sirolimus, everolimus, temsirolimus) i vildagliptinom kod pacijenata koji vec koriste ACE inhibitore.</w:t>
      </w:r>
      <w:r>
        <w:rPr>
          <w:rFonts w:ascii="Microsoft Sans Serif" w:hAnsi="Microsoft Sans Serif" w:cs="Microsoft Sans Serif"/>
          <w:sz w:val="20"/>
          <w:szCs w:val="20"/>
          <w:highlight w:val="lightGray"/>
          <w:u w:val="single"/>
          <w:lang w:val="hr-HR"/>
        </w:rPr>
        <w:t xml:space="preserve"> </w:t>
      </w:r>
    </w:p>
    <w:p w14:paraId="33229EDA">
      <w:pPr>
        <w:jc w:val="both"/>
        <w:rPr>
          <w:rFonts w:ascii="Microsoft Sans Serif" w:hAnsi="Microsoft Sans Serif" w:cs="Microsoft Sans Serif"/>
          <w:sz w:val="20"/>
          <w:szCs w:val="20"/>
          <w:lang w:val="es-MX"/>
        </w:rPr>
      </w:pPr>
    </w:p>
    <w:p w14:paraId="2148A713">
      <w:pPr>
        <w:jc w:val="both"/>
        <w:rPr>
          <w:rFonts w:ascii="Microsoft Sans Serif" w:hAnsi="Microsoft Sans Serif" w:cs="Microsoft Sans Serif"/>
          <w:sz w:val="20"/>
          <w:szCs w:val="20"/>
          <w:u w:val="single"/>
          <w:lang w:val="es-MX"/>
        </w:rPr>
      </w:pPr>
      <w:r>
        <w:rPr>
          <w:rFonts w:ascii="Microsoft Sans Serif" w:hAnsi="Microsoft Sans Serif" w:cs="Microsoft Sans Serif"/>
          <w:sz w:val="20"/>
          <w:szCs w:val="20"/>
          <w:u w:val="single"/>
          <w:lang w:val="es-MX"/>
        </w:rPr>
        <w:t>Anafilaktoidne reakcije tokom LDL-afereze</w:t>
      </w:r>
    </w:p>
    <w:p w14:paraId="7B3E52B9">
      <w:pPr>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es-MX"/>
        </w:rPr>
        <w:t>Rijetko, kod pacijenata koji primaju ACE inhibitor tokom LDL-afereze sa dekstran sulfatom moguća je pojava anafilaktoidne reakcije opasne po život. Ove reakcije se mogu izbjeći sa privremenim kratkotrajnim prekidom upotrebe ACE inhibitora prije afereze.</w:t>
      </w:r>
    </w:p>
    <w:p w14:paraId="20F886B5">
      <w:pPr>
        <w:jc w:val="both"/>
        <w:rPr>
          <w:rFonts w:ascii="Microsoft Sans Serif" w:hAnsi="Microsoft Sans Serif" w:cs="Microsoft Sans Serif"/>
          <w:sz w:val="20"/>
          <w:szCs w:val="20"/>
          <w:lang w:val="es-MX"/>
        </w:rPr>
      </w:pPr>
    </w:p>
    <w:p w14:paraId="79549F33">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u w:val="single"/>
          <w:lang w:val="hr-HR"/>
        </w:rPr>
        <w:t>Anafilaktičke reakcije tokom desenzibilizacije</w:t>
      </w:r>
    </w:p>
    <w:p w14:paraId="3E6C5260">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Pacijenti koji primaju ACE inhibitore tokom desenzibilizacije (npr. sa </w:t>
      </w:r>
      <w:r>
        <w:rPr>
          <w:rFonts w:ascii="Microsoft Sans Serif" w:hAnsi="Microsoft Sans Serif" w:cs="Microsoft Sans Serif"/>
          <w:i/>
          <w:iCs/>
          <w:sz w:val="20"/>
          <w:szCs w:val="20"/>
          <w:lang w:val="hr-HR"/>
        </w:rPr>
        <w:t xml:space="preserve">Hymenoptera </w:t>
      </w:r>
      <w:r>
        <w:rPr>
          <w:rFonts w:ascii="Microsoft Sans Serif" w:hAnsi="Microsoft Sans Serif" w:cs="Microsoft Sans Serif"/>
          <w:sz w:val="20"/>
          <w:szCs w:val="20"/>
          <w:lang w:val="hr-HR"/>
        </w:rPr>
        <w:t>otrovom) iskusili su anafilaktičke reakcije. U ovih se pacijenata ove reakcije mogu izbjeći privremenim prekidom uzimanja ACE inhibitora, dok traje desenzibilizacija.</w:t>
      </w:r>
    </w:p>
    <w:p w14:paraId="5CA1079D">
      <w:pPr>
        <w:shd w:val="clear" w:color="auto" w:fill="FFFFFF"/>
        <w:jc w:val="both"/>
        <w:rPr>
          <w:rFonts w:ascii="Microsoft Sans Serif" w:hAnsi="Microsoft Sans Serif" w:cs="Microsoft Sans Serif"/>
          <w:sz w:val="20"/>
          <w:szCs w:val="20"/>
          <w:u w:val="single"/>
          <w:lang w:val="hr-HR"/>
        </w:rPr>
      </w:pPr>
    </w:p>
    <w:p w14:paraId="28ADEA9A">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Hepatalna insuficijencija:</w:t>
      </w:r>
    </w:p>
    <w:p w14:paraId="330DE43F">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Rijetko su ACE inhibitori povezani sa sindromom koji počinje holestatskom žuticom i napreduje do fulminantne jetrene nekroze i (ponekad) smrti. Mehanizam nastanka ovog sindroma nije poznat. Kod pacijenata koji primaju ACE inhibitore i kod kojih se pojavi žutica ili dođe do izraženog porasta jetrenih enzima treba prekinuti sa uzimanjem ACE inhibitora te ih se mora pažljivo nadzirati (pogledati dio 4.8).</w:t>
      </w:r>
    </w:p>
    <w:p w14:paraId="36FA179C">
      <w:pPr>
        <w:jc w:val="both"/>
        <w:rPr>
          <w:rFonts w:ascii="Microsoft Sans Serif" w:hAnsi="Microsoft Sans Serif" w:cs="Microsoft Sans Serif"/>
          <w:sz w:val="20"/>
          <w:szCs w:val="20"/>
          <w:lang w:val="hr-HR"/>
        </w:rPr>
      </w:pPr>
    </w:p>
    <w:p w14:paraId="33688387">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Neutropenija/agranulocitoza/trombocitopenija/anemija:</w:t>
      </w:r>
    </w:p>
    <w:p w14:paraId="4B8AB34D">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Neutropenija/agranulocitoza, trombocitopenija i anemija opisani su u pacijenata koji su primali ACE inhibitore. U pacijenta sa normalnom funkcijom bubrega i bez drugih komplicirajućih faktora, neutropenija se rijetko javlja. </w:t>
      </w:r>
    </w:p>
    <w:p w14:paraId="230D61F9">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Perindopril se mora primijeniti sa izuzetnim oprezom u pacijentima sa kolagenom vaskularnom bolešću, pacijentima liječenih imunosupresivima, pacijentima liječenih alopurinolom ili prokainamidom, ili pacijentima sa kombinacijom ovih komplicirajućih faktora, osobito uz postojeće oštećenje funkcije bubrega. Neki od ovih pacijenata razviju teške infekcije koje u malom broju slučajeva ne odgovaraju na intenzivno antibiotsko liječenje. Ako se perindopril koristi u ovih pacijenata, savjetuje se povremena kontrola broja bjelih krvnih zrnaca, a pacijenti se upućuju da izvijeste o bilo kojem znaku infekcije, (npr. grlobolja, groznica).</w:t>
      </w:r>
    </w:p>
    <w:p w14:paraId="53744E7E">
      <w:pPr>
        <w:shd w:val="clear" w:color="auto" w:fill="FFFFFF"/>
        <w:jc w:val="both"/>
        <w:rPr>
          <w:rFonts w:ascii="Microsoft Sans Serif" w:hAnsi="Microsoft Sans Serif" w:cs="Microsoft Sans Serif"/>
          <w:sz w:val="20"/>
          <w:szCs w:val="20"/>
          <w:u w:val="single"/>
          <w:lang w:val="hr-HR"/>
        </w:rPr>
      </w:pPr>
    </w:p>
    <w:p w14:paraId="2FF42B17">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u w:val="single"/>
          <w:lang w:val="hr-HR"/>
        </w:rPr>
        <w:t>Rasa</w:t>
      </w:r>
    </w:p>
    <w:p w14:paraId="4525D9BC">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ACE inhibitori češće uzrokuju angioedem u crne, nego u drugih rasa. Kao i drugi ACE inhibitori, perindopril može biti manje efikasan u snižavanju krvnog pritiska u crne, nego u drugih rasa, moguće zbog veće prevalencije niskog nivoa renina u hipotenzivnoj populaciji crne rase.</w:t>
      </w:r>
    </w:p>
    <w:p w14:paraId="581EECF8">
      <w:pPr>
        <w:jc w:val="both"/>
        <w:rPr>
          <w:rFonts w:ascii="Microsoft Sans Serif" w:hAnsi="Microsoft Sans Serif" w:cs="Microsoft Sans Serif"/>
          <w:sz w:val="20"/>
          <w:szCs w:val="20"/>
          <w:lang w:val="hr-HR"/>
        </w:rPr>
      </w:pPr>
    </w:p>
    <w:p w14:paraId="3575C09C">
      <w:pPr>
        <w:jc w:val="both"/>
        <w:rPr>
          <w:rFonts w:ascii="Microsoft Sans Serif" w:hAnsi="Microsoft Sans Serif" w:cs="Microsoft Sans Serif"/>
          <w:sz w:val="20"/>
          <w:szCs w:val="20"/>
          <w:u w:val="single"/>
          <w:lang w:val="hr-HR"/>
        </w:rPr>
      </w:pPr>
      <w:r>
        <w:rPr>
          <w:rFonts w:ascii="Microsoft Sans Serif" w:hAnsi="Microsoft Sans Serif" w:cs="Microsoft Sans Serif"/>
          <w:sz w:val="20"/>
          <w:szCs w:val="20"/>
          <w:u w:val="single"/>
          <w:lang w:val="hr-HR"/>
        </w:rPr>
        <w:t xml:space="preserve">Kašalj </w:t>
      </w:r>
    </w:p>
    <w:p w14:paraId="016AE456">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Kašalj je opisan kod primjene ACE inhibitora. Karakteristično, kašalj nije produktivan, trajan je i prestaje nakon prekida liječenja. ACE inhibitorom-izazvani kašalj treba uzeti u obzir u diferencijalnoj dijagnozi kašlja.</w:t>
      </w:r>
    </w:p>
    <w:p w14:paraId="7CC66B8A">
      <w:pPr>
        <w:jc w:val="both"/>
        <w:rPr>
          <w:rFonts w:ascii="Microsoft Sans Serif" w:hAnsi="Microsoft Sans Serif" w:cs="Microsoft Sans Serif"/>
          <w:sz w:val="20"/>
          <w:szCs w:val="20"/>
          <w:lang w:val="hr-HR"/>
        </w:rPr>
      </w:pPr>
    </w:p>
    <w:p w14:paraId="63188518">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Hiruški zahvati/anestezija</w:t>
      </w:r>
    </w:p>
    <w:p w14:paraId="3EB6C7C1">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U pacijenata koji su izloženi većem operacijskom zahvatu ili tokom anestezije sa lijekovima koji dovode do hipotenzije, perindopril može blokirati stvaranje angiotenzina II sekundarno po kompenzatornim oslobađanju renina. Liječenje treba prekinuti dan prije operacijskog zahvata. Ako se hipotenzija pojavi i ako se može objasniti ovim mehanizmom tada se može ispraviti povećanjem volumena.</w:t>
      </w:r>
    </w:p>
    <w:p w14:paraId="051A0F62">
      <w:pPr>
        <w:jc w:val="both"/>
        <w:rPr>
          <w:rFonts w:ascii="Microsoft Sans Serif" w:hAnsi="Microsoft Sans Serif" w:cs="Microsoft Sans Serif"/>
          <w:sz w:val="20"/>
          <w:szCs w:val="20"/>
          <w:lang w:val="hr-HR"/>
        </w:rPr>
      </w:pPr>
    </w:p>
    <w:p w14:paraId="53CCD507">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Kalijum u serumu</w:t>
      </w:r>
    </w:p>
    <w:p w14:paraId="741550BF">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lang w:val="bs-Latn-BA"/>
        </w:rPr>
        <w:t>ACE inhibitori mogu izazvati hiperkalijemiju jer inhibiraju oslobadjanje aldosterona. Posljedica ovoga uobičajeno nije značajna kod pacijenata sa normalnom renalnom funkcijom.</w:t>
      </w:r>
      <w:r>
        <w:rPr>
          <w:rFonts w:ascii="Microsoft Sans Serif" w:hAnsi="Microsoft Sans Serif" w:cs="Microsoft Sans Serif"/>
          <w:sz w:val="20"/>
          <w:szCs w:val="20"/>
          <w:lang w:val="hr-HR"/>
        </w:rPr>
        <w:t xml:space="preserve"> Međutim, kod pacijenata sa pogoršanjem renalne funkcije, u starijoj dobi (&gt; 70 godina), dijabetes melitusom, interkurentnim događajima, a osobito dehidratacijom, akutnom kardijalnom dekompenzacijom, metaboličkom acidozom i/ili oni koji uzimaju suplemente kalijuma (uključujući zamjene za so), diuretike koji štede kalijum, heparin</w:t>
      </w:r>
      <w:r>
        <w:rPr>
          <w:rFonts w:ascii="Microsoft Sans Serif" w:hAnsi="Microsoft Sans Serif" w:cs="Microsoft Sans Serif"/>
          <w:sz w:val="20"/>
          <w:szCs w:val="20"/>
          <w:lang w:val="bs-Latn-BA"/>
        </w:rPr>
        <w:t>,</w:t>
      </w:r>
      <w:r>
        <w:rPr>
          <w:rFonts w:ascii="Microsoft Sans Serif" w:hAnsi="Microsoft Sans Serif" w:cs="Microsoft Sans Serif"/>
          <w:sz w:val="20"/>
          <w:szCs w:val="20"/>
          <w:lang w:val="hr-HR"/>
        </w:rPr>
        <w:t xml:space="preserve"> trimetoprim ili </w:t>
      </w:r>
      <w:r>
        <w:rPr>
          <w:rFonts w:ascii="Microsoft Sans Serif" w:hAnsi="Microsoft Sans Serif" w:cs="Microsoft Sans Serif"/>
          <w:sz w:val="20"/>
          <w:szCs w:val="20"/>
          <w:lang w:val="bs-Latn-BA"/>
        </w:rPr>
        <w:t>kotrimoksazol takođe poznat kao trimetoprim/sulfametoksazol</w:t>
      </w:r>
      <w:r>
        <w:rPr>
          <w:rFonts w:ascii="Microsoft Sans Serif" w:hAnsi="Microsoft Sans Serif" w:cs="Microsoft Sans Serif"/>
          <w:sz w:val="20"/>
          <w:szCs w:val="20"/>
          <w:lang w:val="hr-HR"/>
        </w:rPr>
        <w:t xml:space="preserve"> </w:t>
      </w:r>
      <w:r>
        <w:rPr>
          <w:rFonts w:ascii="Microsoft Sans Serif" w:hAnsi="Microsoft Sans Serif" w:cs="Microsoft Sans Serif"/>
          <w:sz w:val="20"/>
          <w:lang w:val="bs-Latn-BA"/>
        </w:rPr>
        <w:t>i naročito antagoniste aldosterona ili blokatore angitenzin receptora, hiperkalijemija se može pojaviti.</w:t>
      </w:r>
      <w:r>
        <w:rPr>
          <w:rFonts w:ascii="Microsoft Sans Serif" w:hAnsi="Microsoft Sans Serif" w:cs="Microsoft Sans Serif"/>
          <w:sz w:val="20"/>
          <w:szCs w:val="20"/>
          <w:lang w:val="hr-HR"/>
        </w:rPr>
        <w:t xml:space="preserve"> </w:t>
      </w:r>
    </w:p>
    <w:p w14:paraId="70C79C1B">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Primjena suplemenata kalijuma, diuretika koji štede kalijum, ili zamjene za  so koji sadrže kalijum, osobito kod pacijenata sa oštećenom renalnom funkcijom može dovesti do značajno povišenog nivoa kalijuma u serumu. Hiperkalemija može uzrokovati ozbiljne, ponekad smrtonosne aritmije. </w:t>
      </w:r>
    </w:p>
    <w:p w14:paraId="34BCA73A">
      <w:pPr>
        <w:jc w:val="both"/>
        <w:rPr>
          <w:rFonts w:ascii="Microsoft Sans Serif" w:hAnsi="Microsoft Sans Serif" w:cs="Microsoft Sans Serif"/>
          <w:sz w:val="20"/>
          <w:lang w:val="bs-Latn-BA"/>
        </w:rPr>
      </w:pPr>
      <w:r>
        <w:rPr>
          <w:rFonts w:ascii="Microsoft Sans Serif" w:hAnsi="Microsoft Sans Serif" w:cs="Microsoft Sans Serif"/>
          <w:sz w:val="20"/>
          <w:lang w:val="bs-Latn-BA"/>
        </w:rPr>
        <w:t>Diuretici koji štede kalijum i blokatori angiotenzin receptora trebaju da se koriste sa oprezom kod pacijenata koji koriste ACE inhibitore i potrebno je pratiti funkciju bubrega i nivo kalijuma u serumu (pogledati dio 4.5).</w:t>
      </w:r>
    </w:p>
    <w:p w14:paraId="446839CE">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highlight w:val="lightGray"/>
          <w:lang w:val="hr-HR"/>
        </w:rPr>
        <w:t xml:space="preserve"> </w:t>
      </w:r>
    </w:p>
    <w:p w14:paraId="6D7E7697">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Ako se procijeni da je istovremena primjena gore navedenih sredstava odgovarajuća, treba ih primjenjivati s oprezom i uz često nadziranje serumskog kalija (pogledati dio 4.5).</w:t>
      </w:r>
    </w:p>
    <w:p w14:paraId="27986822">
      <w:pPr>
        <w:pStyle w:val="17"/>
        <w:ind w:left="0"/>
        <w:rPr>
          <w:rFonts w:ascii="Microsoft Sans Serif" w:hAnsi="Microsoft Sans Serif" w:cs="Microsoft Sans Serif"/>
          <w:color w:val="auto"/>
          <w:sz w:val="20"/>
          <w:szCs w:val="20"/>
          <w:lang w:val="hr-HR"/>
        </w:rPr>
      </w:pPr>
    </w:p>
    <w:p w14:paraId="1CDF9BC6">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Pacijenti sa dijabetesom</w:t>
      </w:r>
    </w:p>
    <w:p w14:paraId="4967AFFB">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U pacijentima oboljelih od šećerne bolesti liječenih oralnim antidijabetičkim lijekovima ili insulinom, nivo glukoze u krvi mora se pažljivo nadzirati tokom prvog mjeseca liječenja sa ACE inhibitorom (pogledati dio 4.5).</w:t>
      </w:r>
    </w:p>
    <w:p w14:paraId="29D6FABD">
      <w:pPr>
        <w:pStyle w:val="17"/>
        <w:ind w:left="0"/>
        <w:rPr>
          <w:rFonts w:ascii="Microsoft Sans Serif" w:hAnsi="Microsoft Sans Serif" w:cs="Microsoft Sans Serif"/>
          <w:color w:val="auto"/>
          <w:sz w:val="20"/>
          <w:szCs w:val="20"/>
          <w:lang w:val="hr-HR"/>
        </w:rPr>
      </w:pPr>
    </w:p>
    <w:p w14:paraId="375DF43C">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u w:val="single"/>
          <w:lang w:val="hr-HR"/>
        </w:rPr>
        <w:t>Litijum</w:t>
      </w:r>
    </w:p>
    <w:p w14:paraId="2A6F77E4">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Kombinacija litijuma i perindoprila se ne preporučuje (pogledati dio 4.5).</w:t>
      </w:r>
    </w:p>
    <w:p w14:paraId="1157345B">
      <w:pPr>
        <w:pStyle w:val="34"/>
        <w:widowControl/>
        <w:spacing w:line="240" w:lineRule="auto"/>
        <w:rPr>
          <w:rStyle w:val="35"/>
          <w:rFonts w:ascii="Microsoft Sans Serif" w:hAnsi="Microsoft Sans Serif" w:cs="Microsoft Sans Serif"/>
          <w:sz w:val="20"/>
          <w:szCs w:val="20"/>
          <w:u w:val="single"/>
        </w:rPr>
      </w:pPr>
    </w:p>
    <w:p w14:paraId="59804852">
      <w:pPr>
        <w:pStyle w:val="34"/>
        <w:widowControl/>
        <w:spacing w:line="240" w:lineRule="auto"/>
        <w:rPr>
          <w:rStyle w:val="35"/>
          <w:rFonts w:ascii="Microsoft Sans Serif" w:hAnsi="Microsoft Sans Serif" w:cs="Microsoft Sans Serif"/>
          <w:sz w:val="20"/>
          <w:szCs w:val="20"/>
          <w:u w:val="single"/>
        </w:rPr>
      </w:pPr>
      <w:r>
        <w:rPr>
          <w:rStyle w:val="35"/>
          <w:rFonts w:ascii="Microsoft Sans Serif" w:hAnsi="Microsoft Sans Serif" w:cs="Microsoft Sans Serif"/>
          <w:sz w:val="20"/>
          <w:szCs w:val="20"/>
          <w:u w:val="single"/>
        </w:rPr>
        <w:t>Diuretici koji štede kalijum, suplementi kalijuma ili suplementi soli koje sadrže kalijum</w:t>
      </w:r>
    </w:p>
    <w:p w14:paraId="296353A6">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Uopšteno se ne preporučuje kombinacija perindoprila i diuretika koji štede kalijum, suplementi kalijuma ili suplementi soli koje sadrže kalijum (pogledati dio 4.5).</w:t>
      </w:r>
    </w:p>
    <w:p w14:paraId="628CC352">
      <w:pPr>
        <w:pStyle w:val="34"/>
        <w:widowControl/>
        <w:spacing w:line="240" w:lineRule="auto"/>
        <w:rPr>
          <w:rFonts w:ascii="Microsoft Sans Serif" w:hAnsi="Microsoft Sans Serif" w:cs="Microsoft Sans Serif"/>
          <w:sz w:val="20"/>
          <w:szCs w:val="20"/>
        </w:rPr>
      </w:pPr>
    </w:p>
    <w:p w14:paraId="4D2E0D96">
      <w:pPr>
        <w:pStyle w:val="36"/>
        <w:jc w:val="both"/>
        <w:rPr>
          <w:rFonts w:ascii="Microsoft Sans Serif" w:hAnsi="Microsoft Sans Serif" w:cs="Microsoft Sans Serif"/>
          <w:sz w:val="20"/>
          <w:szCs w:val="20"/>
          <w:lang w:val="de-AT"/>
        </w:rPr>
      </w:pPr>
      <w:r>
        <w:rPr>
          <w:rFonts w:ascii="Microsoft Sans Serif" w:hAnsi="Microsoft Sans Serif" w:cs="Microsoft Sans Serif"/>
          <w:color w:val="auto"/>
          <w:sz w:val="20"/>
          <w:szCs w:val="20"/>
          <w:u w:val="single"/>
          <w:lang w:val="hr-HR"/>
        </w:rPr>
        <w:t>Dvostruka blokada renin-angiotenzin-aldosteronskog sistema (RAAS)</w:t>
      </w:r>
      <w:r>
        <w:rPr>
          <w:rFonts w:ascii="Microsoft Sans Serif" w:hAnsi="Microsoft Sans Serif" w:cs="Microsoft Sans Serif"/>
          <w:i/>
          <w:iCs/>
          <w:sz w:val="20"/>
          <w:szCs w:val="20"/>
          <w:lang w:val="de-AT"/>
        </w:rPr>
        <w:t xml:space="preserve"> </w:t>
      </w:r>
    </w:p>
    <w:p w14:paraId="7ACC0370">
      <w:pPr>
        <w:autoSpaceDE w:val="0"/>
        <w:autoSpaceDN w:val="0"/>
        <w:adjustRightInd w:val="0"/>
        <w:jc w:val="both"/>
        <w:rPr>
          <w:rFonts w:ascii="Microsoft Sans Serif" w:hAnsi="Microsoft Sans Serif" w:cs="Microsoft Sans Serif"/>
          <w:sz w:val="20"/>
          <w:szCs w:val="20"/>
          <w:lang w:val="de-AT"/>
        </w:rPr>
      </w:pPr>
      <w:r>
        <w:rPr>
          <w:rFonts w:ascii="Microsoft Sans Serif" w:hAnsi="Microsoft Sans Serif" w:cs="Microsoft Sans Serif"/>
          <w:sz w:val="20"/>
          <w:szCs w:val="20"/>
          <w:lang w:val="de-AT"/>
        </w:rPr>
        <w:t xml:space="preserve">Postoje dokazi da istovremena primjena ACE inhibitora, blokatora angiotenzin II receptora ili aliskirena povećava rizik od hipotenzije, hiperkalemije i smanjene bubrežne funkcije (uključujući akutna insuficijencija bubrega). Dvostruka blokada RAAS-a kombiniranom primjenom ACE inhibitora, blokatora angiotenzin II receptora ili aliskirena stoga se ne preporučuje (pogledati dijelove 4.5 i 5.1). </w:t>
      </w:r>
    </w:p>
    <w:p w14:paraId="7FACD89E">
      <w:pPr>
        <w:autoSpaceDE w:val="0"/>
        <w:autoSpaceDN w:val="0"/>
        <w:adjustRightInd w:val="0"/>
        <w:jc w:val="both"/>
        <w:rPr>
          <w:rFonts w:ascii="Microsoft Sans Serif" w:hAnsi="Microsoft Sans Serif" w:cs="Microsoft Sans Serif"/>
          <w:sz w:val="20"/>
          <w:szCs w:val="20"/>
          <w:lang w:val="de-AT"/>
        </w:rPr>
      </w:pPr>
      <w:r>
        <w:rPr>
          <w:rFonts w:ascii="Microsoft Sans Serif" w:hAnsi="Microsoft Sans Serif" w:cs="Microsoft Sans Serif"/>
          <w:sz w:val="20"/>
          <w:szCs w:val="20"/>
          <w:lang w:val="de-AT"/>
        </w:rPr>
        <w:t xml:space="preserve">Ako se terapija dvostrukom blokadom smatra apsolutno nužnom, smije se samo provoditi pod nadzorom specijalista i uz pažljivo praćenje bubrežne funkcije, elektrolita i krvnog pritiska. </w:t>
      </w:r>
    </w:p>
    <w:p w14:paraId="24FF2C32">
      <w:pPr>
        <w:autoSpaceDE w:val="0"/>
        <w:autoSpaceDN w:val="0"/>
        <w:adjustRightInd w:val="0"/>
        <w:jc w:val="both"/>
        <w:rPr>
          <w:rFonts w:ascii="Microsoft Sans Serif" w:hAnsi="Microsoft Sans Serif" w:cs="Microsoft Sans Serif"/>
          <w:sz w:val="20"/>
          <w:szCs w:val="20"/>
          <w:lang w:val="de-AT"/>
        </w:rPr>
      </w:pPr>
      <w:r>
        <w:rPr>
          <w:rFonts w:ascii="Microsoft Sans Serif" w:hAnsi="Microsoft Sans Serif" w:cs="Microsoft Sans Serif"/>
          <w:sz w:val="20"/>
          <w:szCs w:val="20"/>
          <w:lang w:val="de-AT"/>
        </w:rPr>
        <w:t>ACE inhibitori i blokatori angiotenzin II receptora ne smiju se primjenjivati istovremeno kod pacijenata sa dijabetičkom nefropatijom.</w:t>
      </w:r>
    </w:p>
    <w:p w14:paraId="6C4F4B4F">
      <w:pPr>
        <w:pStyle w:val="17"/>
        <w:ind w:left="0"/>
        <w:rPr>
          <w:rFonts w:ascii="Microsoft Sans Serif" w:hAnsi="Microsoft Sans Serif" w:cs="Microsoft Sans Serif"/>
          <w:color w:val="auto"/>
          <w:sz w:val="20"/>
          <w:szCs w:val="20"/>
          <w:lang w:val="es-MX"/>
        </w:rPr>
      </w:pPr>
    </w:p>
    <w:p w14:paraId="38F83065">
      <w:pPr>
        <w:pStyle w:val="17"/>
        <w:ind w:left="0"/>
        <w:rPr>
          <w:rFonts w:ascii="Microsoft Sans Serif" w:hAnsi="Microsoft Sans Serif" w:cs="Microsoft Sans Serif"/>
          <w:color w:val="222222"/>
          <w:sz w:val="20"/>
          <w:szCs w:val="20"/>
          <w:u w:val="single"/>
        </w:rPr>
      </w:pPr>
    </w:p>
    <w:p w14:paraId="39090B0A">
      <w:pPr>
        <w:pStyle w:val="17"/>
        <w:ind w:left="0"/>
        <w:rPr>
          <w:rFonts w:ascii="Microsoft Sans Serif" w:hAnsi="Microsoft Sans Serif" w:cs="Microsoft Sans Serif"/>
          <w:color w:val="222222"/>
          <w:sz w:val="20"/>
          <w:szCs w:val="20"/>
          <w:u w:val="single"/>
        </w:rPr>
      </w:pPr>
      <w:r>
        <w:rPr>
          <w:rFonts w:ascii="Microsoft Sans Serif" w:hAnsi="Microsoft Sans Serif" w:cs="Microsoft Sans Serif"/>
          <w:color w:val="222222"/>
          <w:sz w:val="20"/>
          <w:szCs w:val="20"/>
          <w:u w:val="single"/>
        </w:rPr>
        <w:t>Primarni aldosteronizam:</w:t>
      </w:r>
    </w:p>
    <w:p w14:paraId="2AF9437E">
      <w:pPr>
        <w:pStyle w:val="17"/>
        <w:ind w:left="0"/>
        <w:rPr>
          <w:rFonts w:ascii="Microsoft Sans Serif" w:hAnsi="Microsoft Sans Serif" w:cs="Microsoft Sans Serif"/>
          <w:color w:val="222222"/>
          <w:sz w:val="20"/>
          <w:szCs w:val="20"/>
        </w:rPr>
      </w:pPr>
      <w:r>
        <w:rPr>
          <w:rFonts w:ascii="Microsoft Sans Serif" w:hAnsi="Microsoft Sans Serif" w:cs="Microsoft Sans Serif"/>
          <w:color w:val="222222"/>
          <w:sz w:val="20"/>
          <w:szCs w:val="20"/>
        </w:rPr>
        <w:t>Pacijenti sa primarnim hiperaldosteronizmom generalno neće reagovati na anti-hipertenzivne lijekove koji djeluju kroz inhibiciju renin-angiotenzin sistema. Zbog toga se ne preporučuje korišćenje ovog proizvoda.</w:t>
      </w:r>
    </w:p>
    <w:p w14:paraId="379F0FD7">
      <w:pPr>
        <w:pStyle w:val="17"/>
        <w:ind w:left="0"/>
        <w:rPr>
          <w:rFonts w:ascii="Microsoft Sans Serif" w:hAnsi="Microsoft Sans Serif" w:cs="Microsoft Sans Serif"/>
          <w:color w:val="auto"/>
          <w:sz w:val="20"/>
          <w:szCs w:val="20"/>
          <w:lang w:val="es-MX"/>
        </w:rPr>
      </w:pPr>
    </w:p>
    <w:p w14:paraId="6C2F877D">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u w:val="single"/>
          <w:lang w:val="hr-HR"/>
        </w:rPr>
        <w:t>Trudnoća</w:t>
      </w:r>
    </w:p>
    <w:p w14:paraId="766DC530">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Liječenje ACE inhibitorima ne smije se započeti tokom trudnoće. Osim ako je kontinuirana terapija ACE inhibitorom neophodna, pacijentima koje planiraju trudnoću treba u zamjenu dati alternativnu antihipertenzivnu terapiju koja ima utvrđeni profil sigurnosti za primjenu u trudnoći. Kada se trudnoća dijagnosticira, liječenje ACE inhibitorima treba odmah prekinuti, i ukoliko je odgovarajuće, započeti s alternativnom terapijom (pogledati dijelove 4.3 i 4.6)</w:t>
      </w:r>
    </w:p>
    <w:p w14:paraId="6C32A929">
      <w:pPr>
        <w:pStyle w:val="17"/>
        <w:ind w:left="0"/>
        <w:rPr>
          <w:rFonts w:ascii="Microsoft Sans Serif" w:hAnsi="Microsoft Sans Serif" w:cs="Microsoft Sans Serif"/>
          <w:color w:val="auto"/>
          <w:sz w:val="20"/>
          <w:szCs w:val="20"/>
          <w:lang w:val="hr-HR"/>
        </w:rPr>
      </w:pPr>
    </w:p>
    <w:p w14:paraId="6E908B4B">
      <w:pPr>
        <w:tabs>
          <w:tab w:val="left" w:pos="709"/>
        </w:tabs>
        <w:jc w:val="both"/>
        <w:rPr>
          <w:rFonts w:ascii="Microsoft Sans Serif" w:hAnsi="Microsoft Sans Serif" w:cs="Microsoft Sans Serif"/>
          <w:bCs/>
          <w:sz w:val="20"/>
          <w:szCs w:val="20"/>
          <w:u w:val="single"/>
          <w:lang w:val="bs-Latn-BA"/>
        </w:rPr>
      </w:pPr>
      <w:r>
        <w:rPr>
          <w:rFonts w:ascii="Microsoft Sans Serif" w:hAnsi="Microsoft Sans Serif" w:cs="Microsoft Sans Serif"/>
          <w:bCs/>
          <w:sz w:val="20"/>
          <w:szCs w:val="20"/>
          <w:u w:val="single"/>
          <w:lang w:val="bs-Latn-BA"/>
        </w:rPr>
        <w:t>Pomoćne supstance</w:t>
      </w:r>
    </w:p>
    <w:p w14:paraId="3A3CB0C3">
      <w:pPr>
        <w:tabs>
          <w:tab w:val="left" w:pos="709"/>
        </w:tabs>
        <w:jc w:val="both"/>
        <w:rPr>
          <w:rFonts w:ascii="Microsoft Sans Serif" w:hAnsi="Microsoft Sans Serif" w:cs="Microsoft Sans Serif"/>
          <w:sz w:val="20"/>
          <w:szCs w:val="20"/>
          <w:lang w:val="bs-Latn-BA"/>
        </w:rPr>
      </w:pPr>
      <w:r>
        <w:rPr>
          <w:rFonts w:ascii="Microsoft Sans Serif" w:hAnsi="Microsoft Sans Serif" w:cs="Microsoft Sans Serif"/>
          <w:bCs/>
          <w:sz w:val="20"/>
          <w:szCs w:val="20"/>
          <w:lang w:val="bs-Latn-BA"/>
        </w:rPr>
        <w:t>Lijek Relika sadrži laktozu. Pacijenti sa rijetkim nasljednim poremećajem nepodnošenja galaktoze, nedostatkom laktaze ili glukoza-galaktoza malapsorpcijom ne bi trebalo da uzimaju ovaj lijek.</w:t>
      </w:r>
    </w:p>
    <w:p w14:paraId="4555EDB3">
      <w:pPr>
        <w:pStyle w:val="17"/>
        <w:ind w:left="0"/>
        <w:rPr>
          <w:rFonts w:ascii="Microsoft Sans Serif" w:hAnsi="Microsoft Sans Serif" w:cs="Microsoft Sans Serif"/>
          <w:color w:val="auto"/>
          <w:sz w:val="20"/>
          <w:szCs w:val="20"/>
          <w:lang w:val="hr-HR"/>
        </w:rPr>
      </w:pPr>
    </w:p>
    <w:p w14:paraId="0C8CC319">
      <w:pPr>
        <w:jc w:val="both"/>
        <w:rPr>
          <w:rFonts w:ascii="Microsoft Sans Serif" w:hAnsi="Microsoft Sans Serif" w:cs="Microsoft Sans Serif"/>
          <w:b/>
          <w:sz w:val="20"/>
          <w:szCs w:val="20"/>
          <w:lang w:val="pl-PL"/>
        </w:rPr>
      </w:pPr>
      <w:r>
        <w:rPr>
          <w:rFonts w:ascii="Microsoft Sans Serif" w:hAnsi="Microsoft Sans Serif" w:cs="Microsoft Sans Serif"/>
          <w:b/>
          <w:sz w:val="20"/>
          <w:szCs w:val="20"/>
          <w:lang w:val="mk-MK"/>
        </w:rPr>
        <w:t xml:space="preserve">4.5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 xml:space="preserve">Interakcije s drugim lijekovima i  drugi oblici interakcija </w:t>
      </w:r>
    </w:p>
    <w:p w14:paraId="0F254C1C">
      <w:pPr>
        <w:rPr>
          <w:rFonts w:ascii="Microsoft Sans Serif" w:hAnsi="Microsoft Sans Serif" w:cs="Microsoft Sans Serif"/>
          <w:b/>
          <w:bCs/>
          <w:i/>
          <w:iCs/>
          <w:color w:val="000000"/>
          <w:sz w:val="20"/>
          <w:szCs w:val="20"/>
          <w:u w:val="single"/>
          <w:lang w:val="hr-HR"/>
        </w:rPr>
      </w:pPr>
    </w:p>
    <w:p w14:paraId="24E5803A">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Podaci iz kliničkih ispitivanja pokazali su da je dvostruka blokada renin-angiotenzin-aldosteronskog sistema (RAAS) kombiniranom primjenom ACE inhibitora, blokatora angiotenzin II receptora ili aliskirena povezana sa većom učestalošću štetnih događaja kao što su hipotenzija, hiperkalemija i smanjena bubrežna funkcija (uključujući akutna insuficijencija bubrega) u usporedbi sa primjenom samo jednog lijeka koji djeluje na RAAS (pogledati dijelove 4.3, 4.4 i 5.1).</w:t>
      </w:r>
    </w:p>
    <w:p w14:paraId="1374F170">
      <w:pPr>
        <w:jc w:val="both"/>
        <w:rPr>
          <w:rFonts w:ascii="Microsoft Sans Serif" w:hAnsi="Microsoft Sans Serif" w:cs="Microsoft Sans Serif"/>
          <w:b/>
          <w:bCs/>
          <w:i/>
          <w:iCs/>
          <w:color w:val="000000"/>
          <w:sz w:val="20"/>
          <w:szCs w:val="20"/>
          <w:u w:val="single"/>
          <w:lang w:val="hr-HR"/>
        </w:rPr>
      </w:pPr>
    </w:p>
    <w:p w14:paraId="085F0A4A">
      <w:pPr>
        <w:jc w:val="both"/>
        <w:rPr>
          <w:rFonts w:ascii="Microsoft Sans Serif" w:hAnsi="Microsoft Sans Serif" w:cs="Microsoft Sans Serif"/>
          <w:color w:val="000000"/>
          <w:sz w:val="20"/>
          <w:szCs w:val="20"/>
          <w:lang w:val="hr-HR"/>
        </w:rPr>
      </w:pPr>
      <w:r>
        <w:rPr>
          <w:rFonts w:ascii="Microsoft Sans Serif" w:hAnsi="Microsoft Sans Serif" w:cs="Microsoft Sans Serif"/>
          <w:b/>
          <w:bCs/>
          <w:i/>
          <w:iCs/>
          <w:color w:val="000000"/>
          <w:sz w:val="20"/>
          <w:szCs w:val="20"/>
          <w:u w:val="single"/>
          <w:lang w:val="hr-HR"/>
        </w:rPr>
        <w:t>Lijekovi koji izazivaju hiperkalemiju</w:t>
      </w:r>
    </w:p>
    <w:p w14:paraId="411A7FFD">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lang w:val="hr-HR"/>
        </w:rPr>
        <w:t>Neki lijekovi ili klasa lijekova može povećati pojavu hiperkalemije: aliskiren, soli kalijuma, diuretici koji štede kalijum, ACE inhibitori, antagonisti angiotenzin-II receptora, NSAIL, heparini, imunosupresivni lijekovi kao ciklosporin ili takrolimus, trimetoprim,</w:t>
      </w:r>
      <w:r>
        <w:rPr>
          <w:rFonts w:ascii="Microsoft Sans Serif" w:hAnsi="Microsoft Sans Serif" w:cs="Microsoft Sans Serif"/>
          <w:sz w:val="20"/>
          <w:szCs w:val="20"/>
          <w:lang w:val="hr-HR"/>
        </w:rPr>
        <w:t xml:space="preserve"> </w:t>
      </w:r>
      <w:r>
        <w:rPr>
          <w:rFonts w:ascii="Microsoft Sans Serif" w:hAnsi="Microsoft Sans Serif" w:cs="Microsoft Sans Serif"/>
          <w:color w:val="000000"/>
          <w:sz w:val="20"/>
          <w:szCs w:val="20"/>
          <w:lang w:val="hr-HR"/>
        </w:rPr>
        <w:t>kotrimoksazol takođe poznat kao trimetoprim/sulfametoksazol. Kombinacija ovih lijekova povećava rizik od pojavu hiperkalemije.</w:t>
      </w:r>
    </w:p>
    <w:p w14:paraId="30ACF536">
      <w:pPr>
        <w:shd w:val="clear" w:color="auto" w:fill="FFFFFF"/>
        <w:jc w:val="both"/>
        <w:rPr>
          <w:rFonts w:ascii="Microsoft Sans Serif" w:hAnsi="Microsoft Sans Serif" w:cs="Microsoft Sans Serif"/>
          <w:sz w:val="20"/>
          <w:szCs w:val="20"/>
          <w:u w:val="single"/>
          <w:lang w:val="hr-HR"/>
        </w:rPr>
      </w:pPr>
    </w:p>
    <w:p w14:paraId="7647EC75">
      <w:pPr>
        <w:jc w:val="both"/>
        <w:rPr>
          <w:rFonts w:ascii="Microsoft Sans Serif" w:hAnsi="Microsoft Sans Serif" w:cs="Microsoft Sans Serif"/>
          <w:color w:val="000000"/>
          <w:sz w:val="20"/>
          <w:szCs w:val="20"/>
          <w:lang w:val="hr-HR"/>
        </w:rPr>
      </w:pPr>
      <w:r>
        <w:rPr>
          <w:rFonts w:ascii="Microsoft Sans Serif" w:hAnsi="Microsoft Sans Serif" w:cs="Microsoft Sans Serif"/>
          <w:b/>
          <w:bCs/>
          <w:i/>
          <w:iCs/>
          <w:color w:val="000000"/>
          <w:sz w:val="20"/>
          <w:szCs w:val="20"/>
          <w:u w:val="single"/>
          <w:lang w:val="hr-HR"/>
        </w:rPr>
        <w:t>Istovremena primjena je kontraindikovana (pogledati dio 4.3):</w:t>
      </w:r>
    </w:p>
    <w:p w14:paraId="40474E86">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u w:val="single"/>
          <w:lang w:val="hr-HR"/>
        </w:rPr>
        <w:t>Aliskiren:</w:t>
      </w:r>
    </w:p>
    <w:p w14:paraId="0A9C34A3">
      <w:pPr>
        <w:jc w:val="both"/>
        <w:rPr>
          <w:rFonts w:ascii="Microsoft Sans Serif" w:hAnsi="Microsoft Sans Serif" w:cs="Microsoft Sans Serif"/>
          <w:bCs/>
          <w:iCs/>
          <w:color w:val="000000"/>
          <w:sz w:val="20"/>
          <w:szCs w:val="20"/>
          <w:lang w:val="hr-HR"/>
        </w:rPr>
      </w:pPr>
      <w:r>
        <w:rPr>
          <w:rFonts w:ascii="Microsoft Sans Serif" w:hAnsi="Microsoft Sans Serif" w:cs="Microsoft Sans Serif"/>
          <w:bCs/>
          <w:iCs/>
          <w:color w:val="000000"/>
          <w:sz w:val="20"/>
          <w:szCs w:val="20"/>
          <w:lang w:val="hr-HR"/>
        </w:rPr>
        <w:t xml:space="preserve">Kod pacijenata sa dijabetesom ili oštećenjem bubrega povećava rizik od hiperkalemiju, pogoršanja renalne funkcije i povećanje kardiovaskulanog morbiditeta i mortaliteta. </w:t>
      </w:r>
    </w:p>
    <w:p w14:paraId="259C0F68">
      <w:pPr>
        <w:jc w:val="both"/>
        <w:rPr>
          <w:rFonts w:ascii="Microsoft Sans Serif" w:hAnsi="Microsoft Sans Serif" w:cs="Microsoft Sans Serif"/>
          <w:bCs/>
          <w:iCs/>
          <w:color w:val="000000"/>
          <w:sz w:val="20"/>
          <w:szCs w:val="20"/>
          <w:u w:val="single"/>
        </w:rPr>
      </w:pPr>
    </w:p>
    <w:p w14:paraId="6F07D97A">
      <w:pPr>
        <w:jc w:val="both"/>
        <w:rPr>
          <w:rFonts w:ascii="Microsoft Sans Serif" w:hAnsi="Microsoft Sans Serif" w:cs="Microsoft Sans Serif"/>
          <w:color w:val="222222"/>
          <w:sz w:val="20"/>
          <w:szCs w:val="20"/>
        </w:rPr>
      </w:pPr>
      <w:r>
        <w:rPr>
          <w:rFonts w:ascii="Microsoft Sans Serif" w:hAnsi="Microsoft Sans Serif" w:cs="Microsoft Sans Serif"/>
          <w:color w:val="222222"/>
          <w:sz w:val="20"/>
          <w:szCs w:val="20"/>
          <w:u w:val="single"/>
        </w:rPr>
        <w:t>Ekstrakorporalni tretmani</w:t>
      </w:r>
      <w:r>
        <w:rPr>
          <w:rFonts w:ascii="Microsoft Sans Serif" w:hAnsi="Microsoft Sans Serif" w:cs="Microsoft Sans Serif"/>
          <w:color w:val="222222"/>
          <w:sz w:val="20"/>
          <w:szCs w:val="20"/>
        </w:rPr>
        <w:t>:</w:t>
      </w:r>
    </w:p>
    <w:p w14:paraId="1B2F0F37">
      <w:pPr>
        <w:jc w:val="both"/>
        <w:rPr>
          <w:rFonts w:ascii="Microsoft Sans Serif" w:hAnsi="Microsoft Sans Serif" w:cs="Microsoft Sans Serif"/>
          <w:color w:val="222222"/>
          <w:sz w:val="20"/>
          <w:szCs w:val="20"/>
        </w:rPr>
      </w:pPr>
      <w:r>
        <w:rPr>
          <w:rFonts w:ascii="Microsoft Sans Serif" w:hAnsi="Microsoft Sans Serif" w:cs="Microsoft Sans Serif"/>
          <w:color w:val="222222"/>
          <w:sz w:val="20"/>
          <w:szCs w:val="20"/>
        </w:rPr>
        <w:t>Ekstrakorporalni tretman koji dovodi do kontakta krvi sa negativno naelektrisanim površinama kao što je dijaliza ili hemofiltracija sa određenim membranama visokog fluksa (npr. poliakrilonitrilne membrane) i afereze lipoproteina niske gustine sa dekstran sulfatom zbog povećanog rizika od teških anafilaktoidnih reakcija (pogledati dio 4.3). Ako je takav tretman potreban, treba obratiti pažnju na upotrebu različite vrste dijalizne membrane ili drugu klasu antihipertenzivnih sredstava.</w:t>
      </w:r>
      <w:r>
        <w:rPr>
          <w:rFonts w:ascii="Microsoft Sans Serif" w:hAnsi="Microsoft Sans Serif" w:cs="Microsoft Sans Serif"/>
          <w:color w:val="222222"/>
          <w:sz w:val="20"/>
          <w:szCs w:val="20"/>
          <w:highlight w:val="yellow"/>
        </w:rPr>
        <w:br w:type="textWrapping"/>
      </w:r>
      <w:r>
        <w:rPr>
          <w:rFonts w:ascii="Microsoft Sans Serif" w:hAnsi="Microsoft Sans Serif" w:cs="Microsoft Sans Serif"/>
          <w:color w:val="222222"/>
          <w:sz w:val="20"/>
          <w:szCs w:val="20"/>
        </w:rPr>
        <w:br w:type="textWrapping"/>
      </w:r>
      <w:r>
        <w:rPr>
          <w:rFonts w:ascii="Microsoft Sans Serif" w:hAnsi="Microsoft Sans Serif" w:cs="Microsoft Sans Serif"/>
          <w:bCs/>
          <w:iCs/>
          <w:color w:val="000000"/>
          <w:sz w:val="20"/>
          <w:szCs w:val="20"/>
          <w:u w:val="single"/>
          <w:lang w:val="hr-HR"/>
        </w:rPr>
        <w:t xml:space="preserve">Lijekovi koji povećavaju rizik od angioedema: </w:t>
      </w:r>
    </w:p>
    <w:p w14:paraId="7767680D">
      <w:pPr>
        <w:jc w:val="both"/>
        <w:rPr>
          <w:rFonts w:ascii="Microsoft Sans Serif" w:hAnsi="Microsoft Sans Serif" w:cs="Microsoft Sans Serif"/>
          <w:bCs/>
          <w:iCs/>
          <w:color w:val="000000"/>
          <w:sz w:val="20"/>
          <w:szCs w:val="20"/>
          <w:u w:val="single"/>
        </w:rPr>
      </w:pPr>
      <w:r>
        <w:rPr>
          <w:rFonts w:ascii="Microsoft Sans Serif" w:hAnsi="Microsoft Sans Serif" w:cs="Microsoft Sans Serif"/>
          <w:color w:val="222222"/>
          <w:sz w:val="20"/>
          <w:szCs w:val="20"/>
        </w:rPr>
        <w:t>Istovremena upotreba ACE inhibitora  sa sakubitrilom/valsartanom je kontraindikovana, jer ovo povećava rizik od angioedema (pogledati dijelove 4.3 i 4.4).</w:t>
      </w:r>
    </w:p>
    <w:p w14:paraId="550FA7F8">
      <w:pPr>
        <w:jc w:val="both"/>
        <w:rPr>
          <w:rFonts w:ascii="Microsoft Sans Serif" w:hAnsi="Microsoft Sans Serif" w:cs="Microsoft Sans Serif"/>
          <w:bCs/>
          <w:iCs/>
          <w:color w:val="000000"/>
          <w:sz w:val="20"/>
          <w:szCs w:val="20"/>
        </w:rPr>
      </w:pPr>
    </w:p>
    <w:p w14:paraId="54ABA8A3">
      <w:pPr>
        <w:jc w:val="both"/>
        <w:rPr>
          <w:rFonts w:ascii="Microsoft Sans Serif" w:hAnsi="Microsoft Sans Serif" w:cs="Microsoft Sans Serif"/>
          <w:color w:val="000000"/>
          <w:sz w:val="20"/>
          <w:szCs w:val="20"/>
          <w:lang w:val="hr-HR"/>
        </w:rPr>
      </w:pPr>
      <w:r>
        <w:rPr>
          <w:rFonts w:ascii="Microsoft Sans Serif" w:hAnsi="Microsoft Sans Serif" w:cs="Microsoft Sans Serif"/>
          <w:b/>
          <w:bCs/>
          <w:i/>
          <w:iCs/>
          <w:color w:val="000000"/>
          <w:sz w:val="20"/>
          <w:szCs w:val="20"/>
          <w:u w:val="single"/>
          <w:lang w:val="hr-HR"/>
        </w:rPr>
        <w:t>Istovremena primjena se ne preporučuje (pogledati dio 4.4):</w:t>
      </w:r>
    </w:p>
    <w:p w14:paraId="5871635C">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u w:val="single"/>
          <w:lang w:val="hr-HR"/>
        </w:rPr>
        <w:t>Aliskiren:</w:t>
      </w:r>
    </w:p>
    <w:p w14:paraId="10FD9AB7">
      <w:pPr>
        <w:jc w:val="both"/>
        <w:rPr>
          <w:rFonts w:ascii="Microsoft Sans Serif" w:hAnsi="Microsoft Sans Serif" w:cs="Microsoft Sans Serif"/>
          <w:color w:val="000000"/>
          <w:sz w:val="20"/>
          <w:szCs w:val="20"/>
          <w:u w:val="single"/>
          <w:lang w:val="hr-HR"/>
        </w:rPr>
      </w:pPr>
      <w:r>
        <w:rPr>
          <w:rFonts w:ascii="Microsoft Sans Serif" w:hAnsi="Microsoft Sans Serif" w:cs="Microsoft Sans Serif"/>
          <w:color w:val="000000"/>
          <w:sz w:val="20"/>
          <w:szCs w:val="20"/>
          <w:lang w:val="hr-HR"/>
        </w:rPr>
        <w:t xml:space="preserve">Kod ostalih pacijenata (ne samo pacijenata sa dijabetesom ili oštećenjem bubrega) </w:t>
      </w:r>
      <w:r>
        <w:rPr>
          <w:rFonts w:ascii="Microsoft Sans Serif" w:hAnsi="Microsoft Sans Serif" w:cs="Microsoft Sans Serif"/>
          <w:bCs/>
          <w:iCs/>
          <w:color w:val="000000"/>
          <w:sz w:val="20"/>
          <w:szCs w:val="20"/>
          <w:lang w:val="hr-HR"/>
        </w:rPr>
        <w:t>rizik od hiperkalemiju, pogoršanja renalne funkcije i povećanje kardiovaskulanog morbiditeta i mortaliteta može biti povećan.</w:t>
      </w:r>
      <w:r>
        <w:rPr>
          <w:rFonts w:ascii="Microsoft Sans Serif" w:hAnsi="Microsoft Sans Serif" w:cs="Microsoft Sans Serif"/>
          <w:color w:val="000000"/>
          <w:sz w:val="20"/>
          <w:szCs w:val="20"/>
          <w:u w:val="single"/>
          <w:lang w:val="hr-HR"/>
        </w:rPr>
        <w:t xml:space="preserve"> </w:t>
      </w:r>
    </w:p>
    <w:p w14:paraId="6C250D3C">
      <w:pPr>
        <w:rPr>
          <w:rFonts w:ascii="Microsoft Sans Serif" w:hAnsi="Microsoft Sans Serif" w:cs="Microsoft Sans Serif"/>
          <w:color w:val="000000"/>
          <w:sz w:val="20"/>
          <w:szCs w:val="20"/>
          <w:u w:val="single"/>
          <w:lang w:val="hr-HR"/>
        </w:rPr>
      </w:pPr>
    </w:p>
    <w:p w14:paraId="64799DD2">
      <w:pPr>
        <w:jc w:val="both"/>
        <w:rPr>
          <w:rFonts w:ascii="Microsoft Sans Serif" w:hAnsi="Microsoft Sans Serif" w:cs="Microsoft Sans Serif"/>
          <w:color w:val="222222"/>
          <w:sz w:val="20"/>
          <w:szCs w:val="20"/>
          <w:u w:val="single"/>
          <w:lang w:val="hr-HR"/>
        </w:rPr>
      </w:pPr>
      <w:r>
        <w:rPr>
          <w:rStyle w:val="33"/>
          <w:rFonts w:ascii="Microsoft Sans Serif" w:hAnsi="Microsoft Sans Serif" w:cs="Microsoft Sans Serif"/>
          <w:color w:val="222222"/>
          <w:sz w:val="20"/>
          <w:szCs w:val="20"/>
          <w:u w:val="single"/>
          <w:lang w:val="hr-HR"/>
        </w:rPr>
        <w:t>Istovremena</w:t>
      </w:r>
      <w:r>
        <w:rPr>
          <w:rFonts w:ascii="Microsoft Sans Serif" w:hAnsi="Microsoft Sans Serif" w:cs="Microsoft Sans Serif"/>
          <w:color w:val="222222"/>
          <w:sz w:val="20"/>
          <w:szCs w:val="20"/>
          <w:u w:val="single"/>
          <w:lang w:val="hr-HR"/>
        </w:rPr>
        <w:t xml:space="preserve"> </w:t>
      </w:r>
      <w:r>
        <w:rPr>
          <w:rStyle w:val="33"/>
          <w:rFonts w:ascii="Microsoft Sans Serif" w:hAnsi="Microsoft Sans Serif" w:cs="Microsoft Sans Serif"/>
          <w:color w:val="222222"/>
          <w:sz w:val="20"/>
          <w:szCs w:val="20"/>
          <w:u w:val="single"/>
          <w:lang w:val="hr-HR"/>
        </w:rPr>
        <w:t>terapija</w:t>
      </w:r>
      <w:r>
        <w:rPr>
          <w:rFonts w:ascii="Microsoft Sans Serif" w:hAnsi="Microsoft Sans Serif" w:cs="Microsoft Sans Serif"/>
          <w:color w:val="222222"/>
          <w:sz w:val="20"/>
          <w:szCs w:val="20"/>
          <w:u w:val="single"/>
          <w:lang w:val="hr-HR"/>
        </w:rPr>
        <w:t xml:space="preserve"> </w:t>
      </w:r>
      <w:r>
        <w:rPr>
          <w:rStyle w:val="33"/>
          <w:rFonts w:ascii="Microsoft Sans Serif" w:hAnsi="Microsoft Sans Serif" w:cs="Microsoft Sans Serif"/>
          <w:color w:val="222222"/>
          <w:sz w:val="20"/>
          <w:szCs w:val="20"/>
          <w:u w:val="single"/>
          <w:lang w:val="hr-HR"/>
        </w:rPr>
        <w:t>ACE</w:t>
      </w:r>
      <w:r>
        <w:rPr>
          <w:rFonts w:ascii="Microsoft Sans Serif" w:hAnsi="Microsoft Sans Serif" w:cs="Microsoft Sans Serif"/>
          <w:color w:val="222222"/>
          <w:sz w:val="20"/>
          <w:szCs w:val="20"/>
          <w:u w:val="single"/>
          <w:lang w:val="hr-HR"/>
        </w:rPr>
        <w:t xml:space="preserve"> </w:t>
      </w:r>
      <w:r>
        <w:rPr>
          <w:rStyle w:val="33"/>
          <w:rFonts w:ascii="Microsoft Sans Serif" w:hAnsi="Microsoft Sans Serif" w:cs="Microsoft Sans Serif"/>
          <w:color w:val="222222"/>
          <w:sz w:val="20"/>
          <w:szCs w:val="20"/>
          <w:u w:val="single"/>
          <w:lang w:val="hr-HR"/>
        </w:rPr>
        <w:t>inhibitorima</w:t>
      </w:r>
      <w:r>
        <w:rPr>
          <w:rFonts w:ascii="Microsoft Sans Serif" w:hAnsi="Microsoft Sans Serif" w:cs="Microsoft Sans Serif"/>
          <w:color w:val="222222"/>
          <w:sz w:val="20"/>
          <w:szCs w:val="20"/>
          <w:u w:val="single"/>
          <w:lang w:val="hr-HR"/>
        </w:rPr>
        <w:t xml:space="preserve"> </w:t>
      </w:r>
      <w:r>
        <w:rPr>
          <w:rStyle w:val="33"/>
          <w:rFonts w:ascii="Microsoft Sans Serif" w:hAnsi="Microsoft Sans Serif" w:cs="Microsoft Sans Serif"/>
          <w:color w:val="222222"/>
          <w:sz w:val="20"/>
          <w:szCs w:val="20"/>
          <w:u w:val="single"/>
          <w:lang w:val="hr-HR"/>
        </w:rPr>
        <w:t>i</w:t>
      </w:r>
      <w:r>
        <w:rPr>
          <w:rFonts w:ascii="Microsoft Sans Serif" w:hAnsi="Microsoft Sans Serif" w:cs="Microsoft Sans Serif"/>
          <w:color w:val="222222"/>
          <w:sz w:val="20"/>
          <w:szCs w:val="20"/>
          <w:u w:val="single"/>
          <w:lang w:val="hr-HR"/>
        </w:rPr>
        <w:t xml:space="preserve"> blokatorima </w:t>
      </w:r>
      <w:r>
        <w:rPr>
          <w:rStyle w:val="33"/>
          <w:rFonts w:ascii="Microsoft Sans Serif" w:hAnsi="Microsoft Sans Serif" w:cs="Microsoft Sans Serif"/>
          <w:color w:val="222222"/>
          <w:sz w:val="20"/>
          <w:szCs w:val="20"/>
          <w:u w:val="single"/>
          <w:lang w:val="hr-HR"/>
        </w:rPr>
        <w:t>angiotenzinskih</w:t>
      </w:r>
      <w:r>
        <w:rPr>
          <w:rStyle w:val="39"/>
          <w:rFonts w:ascii="Microsoft Sans Serif" w:hAnsi="Microsoft Sans Serif" w:cs="Microsoft Sans Serif"/>
          <w:color w:val="222222"/>
          <w:sz w:val="20"/>
          <w:szCs w:val="20"/>
          <w:u w:val="single"/>
          <w:lang w:val="hr-HR"/>
        </w:rPr>
        <w:t>-</w:t>
      </w:r>
      <w:r>
        <w:rPr>
          <w:rFonts w:ascii="Microsoft Sans Serif" w:hAnsi="Microsoft Sans Serif" w:cs="Microsoft Sans Serif"/>
          <w:color w:val="222222"/>
          <w:sz w:val="20"/>
          <w:szCs w:val="20"/>
          <w:u w:val="single"/>
          <w:lang w:val="hr-HR"/>
        </w:rPr>
        <w:t>receptora:</w:t>
      </w:r>
    </w:p>
    <w:p w14:paraId="28A87834">
      <w:pPr>
        <w:jc w:val="both"/>
        <w:rPr>
          <w:rFonts w:ascii="Microsoft Sans Serif" w:hAnsi="Microsoft Sans Serif" w:cs="Microsoft Sans Serif"/>
          <w:sz w:val="20"/>
          <w:szCs w:val="20"/>
          <w:lang w:val="hr-HR"/>
        </w:rPr>
      </w:pPr>
      <w:r>
        <w:rPr>
          <w:rStyle w:val="33"/>
          <w:rFonts w:ascii="Microsoft Sans Serif" w:hAnsi="Microsoft Sans Serif" w:cs="Microsoft Sans Serif"/>
          <w:color w:val="222222"/>
          <w:sz w:val="20"/>
          <w:szCs w:val="20"/>
          <w:lang w:val="hr-HR"/>
        </w:rPr>
        <w:t>U literaturi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je prijavljeno</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da kod</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pacijenata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sa utvrđenom</w:t>
      </w:r>
      <w:r>
        <w:rPr>
          <w:rFonts w:ascii="Microsoft Sans Serif" w:hAnsi="Microsoft Sans Serif" w:cs="Microsoft Sans Serif"/>
          <w:color w:val="222222"/>
          <w:sz w:val="20"/>
          <w:szCs w:val="20"/>
          <w:lang w:val="hr-HR"/>
        </w:rPr>
        <w:t xml:space="preserve"> bolešću </w:t>
      </w:r>
      <w:r>
        <w:rPr>
          <w:rStyle w:val="33"/>
          <w:rFonts w:ascii="Microsoft Sans Serif" w:hAnsi="Microsoft Sans Serif" w:cs="Microsoft Sans Serif"/>
          <w:color w:val="222222"/>
          <w:sz w:val="20"/>
          <w:szCs w:val="20"/>
          <w:lang w:val="hr-HR"/>
        </w:rPr>
        <w:t>ateroskleroze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insuficijenciju srca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ili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dijabetesom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sa oštećenjem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organa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istovremena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terapija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inhibitorima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w:t>
      </w:r>
      <w:r>
        <w:rPr>
          <w:rFonts w:ascii="Microsoft Sans Serif" w:hAnsi="Microsoft Sans Serif" w:cs="Microsoft Sans Serif"/>
          <w:color w:val="222222"/>
          <w:sz w:val="20"/>
          <w:szCs w:val="20"/>
          <w:lang w:val="hr-HR"/>
        </w:rPr>
        <w:t xml:space="preserve"> blokatorima </w:t>
      </w:r>
      <w:r>
        <w:rPr>
          <w:rStyle w:val="33"/>
          <w:rFonts w:ascii="Microsoft Sans Serif" w:hAnsi="Microsoft Sans Serif" w:cs="Microsoft Sans Serif"/>
          <w:color w:val="222222"/>
          <w:sz w:val="20"/>
          <w:szCs w:val="20"/>
          <w:lang w:val="hr-HR"/>
        </w:rPr>
        <w:t xml:space="preserve">angiotenzinskih </w:t>
      </w:r>
      <w:r>
        <w:rPr>
          <w:rFonts w:ascii="Microsoft Sans Serif" w:hAnsi="Microsoft Sans Serif" w:cs="Microsoft Sans Serif"/>
          <w:color w:val="222222"/>
          <w:sz w:val="20"/>
          <w:szCs w:val="20"/>
          <w:lang w:val="hr-HR"/>
        </w:rPr>
        <w:t xml:space="preserve">receptora </w:t>
      </w:r>
      <w:r>
        <w:rPr>
          <w:rStyle w:val="33"/>
          <w:rFonts w:ascii="Microsoft Sans Serif" w:hAnsi="Microsoft Sans Serif" w:cs="Microsoft Sans Serif"/>
          <w:color w:val="222222"/>
          <w:sz w:val="20"/>
          <w:szCs w:val="20"/>
          <w:lang w:val="hr-HR"/>
        </w:rPr>
        <w:t>je povezana sa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većom učestalosti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hipotenzije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sinkope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hiperkalijemije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pogoršanje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funkcije bubrega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 xml:space="preserve">uključujući </w:t>
      </w:r>
      <w:r>
        <w:rPr>
          <w:rStyle w:val="33"/>
          <w:rFonts w:ascii="Microsoft Sans Serif" w:hAnsi="Microsoft Sans Serif" w:cs="Microsoft Sans Serif"/>
          <w:color w:val="222222"/>
          <w:sz w:val="20"/>
          <w:szCs w:val="20"/>
          <w:lang w:val="hr-HR"/>
        </w:rPr>
        <w:t>akutnu insuficijenciju bubrega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u odnosu 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korištenje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jednog</w:t>
      </w:r>
      <w:r>
        <w:rPr>
          <w:rFonts w:ascii="Microsoft Sans Serif" w:hAnsi="Microsoft Sans Serif" w:cs="Microsoft Sans Serif"/>
          <w:color w:val="222222"/>
          <w:sz w:val="20"/>
          <w:szCs w:val="20"/>
          <w:lang w:val="hr-HR"/>
        </w:rPr>
        <w:t xml:space="preserve"> lijeka </w:t>
      </w:r>
      <w:r>
        <w:rPr>
          <w:rStyle w:val="33"/>
          <w:rFonts w:ascii="Microsoft Sans Serif" w:hAnsi="Microsoft Sans Serif" w:cs="Microsoft Sans Serif"/>
          <w:color w:val="222222"/>
          <w:sz w:val="20"/>
          <w:szCs w:val="20"/>
          <w:lang w:val="hr-HR"/>
        </w:rPr>
        <w:t>renin</w:t>
      </w:r>
      <w:r>
        <w:rPr>
          <w:rStyle w:val="39"/>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angiotenzin</w:t>
      </w:r>
      <w:r>
        <w:rPr>
          <w:rStyle w:val="39"/>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 xml:space="preserve">aldosteron </w:t>
      </w:r>
      <w:r>
        <w:rPr>
          <w:rStyle w:val="33"/>
          <w:rFonts w:ascii="Microsoft Sans Serif" w:hAnsi="Microsoft Sans Serif" w:cs="Microsoft Sans Serif"/>
          <w:color w:val="222222"/>
          <w:sz w:val="20"/>
          <w:szCs w:val="20"/>
          <w:lang w:val="hr-HR"/>
        </w:rPr>
        <w:t>sistema.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Dvostruka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blokada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 xml:space="preserve">npr. </w:t>
      </w:r>
      <w:r>
        <w:rPr>
          <w:rStyle w:val="33"/>
          <w:rFonts w:ascii="Microsoft Sans Serif" w:hAnsi="Microsoft Sans Serif" w:cs="Microsoft Sans Serif"/>
          <w:color w:val="222222"/>
          <w:sz w:val="20"/>
          <w:szCs w:val="20"/>
          <w:lang w:val="hr-HR"/>
        </w:rPr>
        <w:t>kombinacijom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antagonistima receptora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angiotenzina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treba ograničiti 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pojedinačno</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određenim slučajevima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sa bliskim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praćenjem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funkcije bubrega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nivo kalijuma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krvni pritisak.</w:t>
      </w:r>
    </w:p>
    <w:p w14:paraId="6218207B">
      <w:pPr>
        <w:rPr>
          <w:rFonts w:ascii="Microsoft Sans Serif" w:hAnsi="Microsoft Sans Serif" w:cs="Microsoft Sans Serif"/>
          <w:color w:val="000000"/>
          <w:sz w:val="20"/>
          <w:szCs w:val="20"/>
          <w:u w:val="single"/>
          <w:lang w:val="hr-HR"/>
        </w:rPr>
      </w:pPr>
    </w:p>
    <w:p w14:paraId="52A2F45C">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u w:val="single"/>
          <w:lang w:val="hr-HR"/>
        </w:rPr>
        <w:t>Estramustin:</w:t>
      </w:r>
    </w:p>
    <w:p w14:paraId="508559EB">
      <w:pPr>
        <w:jc w:val="both"/>
        <w:rPr>
          <w:rFonts w:ascii="Microsoft Sans Serif" w:hAnsi="Microsoft Sans Serif" w:cs="Microsoft Sans Serif"/>
          <w:color w:val="000000"/>
          <w:sz w:val="20"/>
          <w:szCs w:val="20"/>
          <w:u w:val="single"/>
          <w:lang w:val="hr-HR"/>
        </w:rPr>
      </w:pPr>
      <w:r>
        <w:rPr>
          <w:rStyle w:val="33"/>
          <w:rFonts w:ascii="Microsoft Sans Serif" w:hAnsi="Microsoft Sans Serif" w:cs="Microsoft Sans Serif"/>
          <w:color w:val="222222"/>
          <w:sz w:val="20"/>
          <w:szCs w:val="20"/>
          <w:lang w:val="hr-HR"/>
        </w:rPr>
        <w:t>Rizik od</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povećanje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neželjenih efekata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kao što su</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angioneurotski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edem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angioedem).</w:t>
      </w:r>
    </w:p>
    <w:p w14:paraId="26D766D0">
      <w:pPr>
        <w:shd w:val="clear" w:color="auto" w:fill="FFFFFF"/>
        <w:jc w:val="both"/>
        <w:rPr>
          <w:rFonts w:ascii="Microsoft Sans Serif" w:hAnsi="Microsoft Sans Serif" w:cs="Microsoft Sans Serif"/>
          <w:sz w:val="20"/>
          <w:szCs w:val="20"/>
          <w:u w:val="single"/>
          <w:lang w:val="hr-HR"/>
        </w:rPr>
      </w:pPr>
    </w:p>
    <w:p w14:paraId="308FF641">
      <w:pPr>
        <w:shd w:val="clear" w:color="auto" w:fill="FFFFFF"/>
        <w:jc w:val="both"/>
        <w:rPr>
          <w:rFonts w:ascii="Microsoft Sans Serif" w:hAnsi="Microsoft Sans Serif" w:cs="Microsoft Sans Serif"/>
          <w:color w:val="222222"/>
          <w:sz w:val="20"/>
          <w:szCs w:val="20"/>
          <w:u w:val="single"/>
        </w:rPr>
      </w:pPr>
      <w:r>
        <w:rPr>
          <w:rFonts w:ascii="Microsoft Sans Serif" w:hAnsi="Microsoft Sans Serif" w:cs="Microsoft Sans Serif"/>
          <w:color w:val="222222"/>
          <w:sz w:val="20"/>
          <w:szCs w:val="20"/>
          <w:u w:val="single"/>
        </w:rPr>
        <w:t>Ko-trimoksazol (trimetoprim / sulfametoksazol):</w:t>
      </w:r>
    </w:p>
    <w:p w14:paraId="1DE6FA66">
      <w:pPr>
        <w:shd w:val="clear" w:color="auto" w:fill="FFFFFF"/>
        <w:jc w:val="both"/>
        <w:rPr>
          <w:rFonts w:ascii="Microsoft Sans Serif" w:hAnsi="Microsoft Sans Serif" w:cs="Microsoft Sans Serif"/>
          <w:color w:val="222222"/>
          <w:sz w:val="20"/>
          <w:szCs w:val="20"/>
        </w:rPr>
      </w:pPr>
      <w:r>
        <w:rPr>
          <w:rFonts w:ascii="Microsoft Sans Serif" w:hAnsi="Microsoft Sans Serif" w:cs="Microsoft Sans Serif"/>
          <w:color w:val="222222"/>
          <w:sz w:val="20"/>
          <w:szCs w:val="20"/>
        </w:rPr>
        <w:t>Pacijenti koji uzimaju istovremeno ko-trimoksazol (trimetoprim/sulfametoksazol) mogu imati povećan rizik za hiperkalemiju (pogledati dio 4.4).</w:t>
      </w:r>
    </w:p>
    <w:p w14:paraId="4120EC47">
      <w:pPr>
        <w:shd w:val="clear" w:color="auto" w:fill="FFFFFF"/>
        <w:jc w:val="both"/>
        <w:rPr>
          <w:rFonts w:ascii="Microsoft Sans Serif" w:hAnsi="Microsoft Sans Serif" w:cs="Microsoft Sans Serif"/>
          <w:sz w:val="20"/>
          <w:szCs w:val="20"/>
          <w:highlight w:val="yellow"/>
          <w:u w:val="single"/>
        </w:rPr>
      </w:pPr>
    </w:p>
    <w:p w14:paraId="73BB543F">
      <w:pPr>
        <w:jc w:val="both"/>
        <w:rPr>
          <w:rFonts w:ascii="Microsoft Sans Serif" w:hAnsi="Microsoft Sans Serif" w:cs="Microsoft Sans Serif"/>
          <w:sz w:val="20"/>
          <w:szCs w:val="20"/>
          <w:u w:val="single"/>
          <w:lang w:val="hr-HR"/>
        </w:rPr>
      </w:pPr>
      <w:r>
        <w:rPr>
          <w:rFonts w:ascii="Microsoft Sans Serif" w:hAnsi="Microsoft Sans Serif" w:cs="Microsoft Sans Serif"/>
          <w:sz w:val="20"/>
          <w:szCs w:val="20"/>
          <w:u w:val="single"/>
          <w:lang w:val="hr-HR"/>
        </w:rPr>
        <w:t>Diuretici koji štede kalijum, suplementi kalijuma ili zamjene za so koje sadrže kalijum</w:t>
      </w:r>
    </w:p>
    <w:p w14:paraId="749BE4C0">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lang w:val="hr-HR"/>
        </w:rPr>
        <w:t>Iako nivo kalijuma u serumu obično ostane u normalnim granicama, hiperkalemija se može pojaviti kod pacijenata na terapiji sa perindoprilom. Hiperkalemija (potencijalno letalna), mo</w:t>
      </w:r>
      <w:r>
        <w:rPr>
          <w:rFonts w:ascii="Microsoft Sans Serif" w:hAnsi="Microsoft Sans Serif" w:cs="Microsoft Sans Serif"/>
          <w:color w:val="000000"/>
          <w:sz w:val="20"/>
          <w:szCs w:val="20"/>
          <w:lang w:val="hr-BA"/>
        </w:rPr>
        <w:t xml:space="preserve">že se javiti </w:t>
      </w:r>
      <w:r>
        <w:rPr>
          <w:rFonts w:ascii="Microsoft Sans Serif" w:hAnsi="Microsoft Sans Serif" w:cs="Microsoft Sans Serif"/>
          <w:color w:val="000000"/>
          <w:sz w:val="20"/>
          <w:szCs w:val="20"/>
          <w:lang w:val="hr-HR"/>
        </w:rPr>
        <w:t xml:space="preserve">naročito u sprezi sa oštećenjem bubrega (dodatni hiperkalemični efekti). </w:t>
      </w:r>
    </w:p>
    <w:p w14:paraId="6F6FAAB6">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lang w:val="hr-HR"/>
        </w:rPr>
        <w:t xml:space="preserve">Diuretici koji štede kalijum (npr.spironolakton, triamteren ili amilorid), suplementi kalijuma, ili zamjene za so koje sadrže kalijum mogu dovesti do značajnog povećanja nivoa kalijuma u serumu. Sa oprezom treba primjenjivati perindopril zajedno sa drugim lijekovima koji povećavaju nivo kalijuma u serumu kao što su trimetoprim i kotrimoksazol (trimetoprim/sulfametoksazol), jer je poznato da se trimetoprim ponaša kao diuretik koji štedi kalijum kao što je amilorid. Zbog svega navedenog, kombinacija perindoprila sa gore pomenutim lijekovima se ne preporučuje (pogledati dio 4.4). Ukoliko je istovremena  primjena kombinacije indikovana, primjena treba da bude uz poseban oprez i sa čestim praćenjem koncentracije kalijuma u serumu.  </w:t>
      </w:r>
    </w:p>
    <w:p w14:paraId="29F4FA9C">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lang w:val="hr-HR"/>
        </w:rPr>
        <w:t>Za upotrebu spirinolaktona kod srčane slabosti pogledati niže.</w:t>
      </w:r>
    </w:p>
    <w:p w14:paraId="363EFB21">
      <w:pPr>
        <w:jc w:val="both"/>
        <w:rPr>
          <w:rFonts w:ascii="Microsoft Sans Serif" w:hAnsi="Microsoft Sans Serif" w:cs="Microsoft Sans Serif"/>
          <w:sz w:val="20"/>
          <w:szCs w:val="20"/>
          <w:lang w:val="hr-HR"/>
        </w:rPr>
      </w:pPr>
    </w:p>
    <w:p w14:paraId="2934ED44">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Litijum:</w:t>
      </w:r>
    </w:p>
    <w:p w14:paraId="6E7F2018">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Reverzibilni porast koncentracije i toksičnosti litijuma u serumu opisan je tokom istovremene primjene litijuma i ACE inhibitora. Primjena litijuma sa perindoprilom ne preporučuje se, ali u slučaju da je istovremeno liječenje neophodno potrebno, treba pažljivo nadzirati nivo litijuma u serumu (pogledati dio 4.4).</w:t>
      </w:r>
    </w:p>
    <w:p w14:paraId="1DFF231F">
      <w:pPr>
        <w:shd w:val="clear" w:color="auto" w:fill="FFFFFF"/>
        <w:jc w:val="both"/>
        <w:rPr>
          <w:rFonts w:ascii="Microsoft Sans Serif" w:hAnsi="Microsoft Sans Serif" w:cs="Microsoft Sans Serif"/>
          <w:sz w:val="20"/>
          <w:szCs w:val="20"/>
          <w:lang w:val="hr-HR"/>
        </w:rPr>
      </w:pPr>
    </w:p>
    <w:p w14:paraId="5FF30D0A">
      <w:pPr>
        <w:rPr>
          <w:rFonts w:ascii="Microsoft Sans Serif" w:hAnsi="Microsoft Sans Serif" w:cs="Microsoft Sans Serif"/>
          <w:color w:val="000000"/>
          <w:sz w:val="20"/>
          <w:szCs w:val="20"/>
          <w:lang w:val="hr-HR"/>
        </w:rPr>
      </w:pPr>
      <w:r>
        <w:rPr>
          <w:rFonts w:ascii="Microsoft Sans Serif" w:hAnsi="Microsoft Sans Serif" w:cs="Microsoft Sans Serif"/>
          <w:b/>
          <w:bCs/>
          <w:i/>
          <w:iCs/>
          <w:color w:val="000000"/>
          <w:sz w:val="20"/>
          <w:szCs w:val="20"/>
          <w:u w:val="single"/>
          <w:lang w:val="hr-HR"/>
        </w:rPr>
        <w:t>Istovremena primjena koja zahtjeva poseban oprez:</w:t>
      </w:r>
    </w:p>
    <w:p w14:paraId="0A481BFE">
      <w:pPr>
        <w:jc w:val="both"/>
        <w:rPr>
          <w:rFonts w:ascii="Microsoft Sans Serif" w:hAnsi="Microsoft Sans Serif" w:cs="Microsoft Sans Serif"/>
          <w:sz w:val="20"/>
          <w:szCs w:val="20"/>
          <w:lang w:val="hr-HR"/>
        </w:rPr>
      </w:pPr>
    </w:p>
    <w:p w14:paraId="0B668D35">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Antidijabetički lijekovi (insulin, oralni hipoglikemijski lijekovi):</w:t>
      </w:r>
    </w:p>
    <w:p w14:paraId="7843EAFD">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Epidemiološke studije upućuju na to da istovremena primjena ACE inhibitora i antidijabetičkih lijekova (insulin, oralni hipoglikemijski lijekovi) može povećati efekat sniženja glukoze u krvi sa rizikom od hipoglikemije. </w:t>
      </w:r>
    </w:p>
    <w:p w14:paraId="609AE9B7">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Pojava ovog fenomena vjerovatnija je tokom prvih sedmica istovremenog liječenja u pacijenata sa insuficijencijom bubrega.</w:t>
      </w:r>
    </w:p>
    <w:p w14:paraId="3204EA6C">
      <w:pPr>
        <w:rPr>
          <w:rFonts w:ascii="Microsoft Sans Serif" w:hAnsi="Microsoft Sans Serif" w:cs="Microsoft Sans Serif"/>
          <w:color w:val="000000"/>
          <w:sz w:val="20"/>
          <w:szCs w:val="20"/>
          <w:lang w:val="hr-HR"/>
        </w:rPr>
      </w:pPr>
    </w:p>
    <w:p w14:paraId="01A1FC04">
      <w:pPr>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u w:val="single"/>
          <w:lang w:val="hr-HR"/>
        </w:rPr>
        <w:t xml:space="preserve">Baklofen: </w:t>
      </w:r>
    </w:p>
    <w:p w14:paraId="3E4DE392">
      <w:pPr>
        <w:rPr>
          <w:rFonts w:ascii="Microsoft Sans Serif" w:hAnsi="Microsoft Sans Serif" w:cs="Microsoft Sans Serif"/>
          <w:color w:val="222222"/>
          <w:sz w:val="20"/>
          <w:szCs w:val="20"/>
          <w:lang w:val="hr-HR"/>
        </w:rPr>
      </w:pPr>
      <w:r>
        <w:rPr>
          <w:rStyle w:val="33"/>
          <w:rFonts w:ascii="Microsoft Sans Serif" w:hAnsi="Microsoft Sans Serif" w:cs="Microsoft Sans Serif"/>
          <w:color w:val="222222"/>
          <w:sz w:val="20"/>
          <w:szCs w:val="20"/>
          <w:lang w:val="hr-HR"/>
        </w:rPr>
        <w:t>Povećan</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antihipertenzivni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efekat</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Potrebno je pratiti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krvni pritisak</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 prilagoditi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antihipertenzivnu</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dozu</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ako je potrebno</w:t>
      </w:r>
      <w:r>
        <w:rPr>
          <w:rFonts w:ascii="Microsoft Sans Serif" w:hAnsi="Microsoft Sans Serif" w:cs="Microsoft Sans Serif"/>
          <w:color w:val="222222"/>
          <w:sz w:val="20"/>
          <w:szCs w:val="20"/>
          <w:lang w:val="hr-HR"/>
        </w:rPr>
        <w:t>.</w:t>
      </w:r>
    </w:p>
    <w:p w14:paraId="4D2021C5">
      <w:pPr>
        <w:shd w:val="clear" w:color="auto" w:fill="FFFFFF"/>
        <w:jc w:val="both"/>
        <w:rPr>
          <w:rFonts w:ascii="Microsoft Sans Serif" w:hAnsi="Microsoft Sans Serif" w:cs="Microsoft Sans Serif"/>
          <w:sz w:val="20"/>
          <w:szCs w:val="20"/>
          <w:u w:val="single"/>
          <w:lang w:val="hr-HR"/>
        </w:rPr>
      </w:pPr>
    </w:p>
    <w:p w14:paraId="64BC5DAD">
      <w:pPr>
        <w:shd w:val="clear" w:color="auto" w:fill="FFFFFF"/>
        <w:jc w:val="both"/>
        <w:rPr>
          <w:rFonts w:ascii="Microsoft Sans Serif" w:hAnsi="Microsoft Sans Serif" w:cs="Microsoft Sans Serif"/>
          <w:sz w:val="20"/>
          <w:szCs w:val="20"/>
          <w:lang w:val="pl-PL"/>
        </w:rPr>
      </w:pPr>
      <w:r>
        <w:rPr>
          <w:rFonts w:ascii="Microsoft Sans Serif" w:hAnsi="Microsoft Sans Serif" w:cs="Microsoft Sans Serif"/>
          <w:sz w:val="20"/>
          <w:szCs w:val="20"/>
          <w:u w:val="single"/>
          <w:lang w:val="hr-HR"/>
        </w:rPr>
        <w:t>Diuretici koji ne štede kalijum</w:t>
      </w:r>
    </w:p>
    <w:p w14:paraId="2962B142">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Pacijenti koji primaju diuretike, osobito oni koji su hipovolemični ili koji imaju smanjeni unos soli, mogu iskusiti jako sniženje krvnog pritiska nakon započinjanja liječenja ACE inhibitorom. Vjerovatnoća pojave hipotenzivnih efekata može se smanjiti prekidom liječenja diureticima, povećanjem unosa tekućine ili soli prije započinjanja liječenja sa malim i progresivnim dozama perindoprila.</w:t>
      </w:r>
    </w:p>
    <w:p w14:paraId="4A36EAAC">
      <w:pPr>
        <w:rPr>
          <w:rFonts w:ascii="Microsoft Sans Serif" w:hAnsi="Microsoft Sans Serif" w:cs="Microsoft Sans Serif"/>
          <w:color w:val="000000"/>
          <w:sz w:val="20"/>
          <w:szCs w:val="20"/>
          <w:u w:val="single"/>
          <w:lang w:val="hr-HR"/>
        </w:rPr>
      </w:pPr>
    </w:p>
    <w:p w14:paraId="37D59D14">
      <w:pPr>
        <w:jc w:val="both"/>
        <w:rPr>
          <w:rStyle w:val="33"/>
          <w:rFonts w:ascii="Microsoft Sans Serif" w:hAnsi="Microsoft Sans Serif" w:cs="Microsoft Sans Serif"/>
          <w:color w:val="222222"/>
          <w:sz w:val="20"/>
          <w:szCs w:val="20"/>
          <w:lang w:val="hr-HR"/>
        </w:rPr>
      </w:pPr>
      <w:r>
        <w:rPr>
          <w:rStyle w:val="33"/>
          <w:rFonts w:ascii="Microsoft Sans Serif" w:hAnsi="Microsoft Sans Serif" w:cs="Microsoft Sans Serif"/>
          <w:i/>
          <w:color w:val="222222"/>
          <w:sz w:val="20"/>
          <w:szCs w:val="20"/>
          <w:lang w:val="hr-HR"/>
        </w:rPr>
        <w:t>Kod</w:t>
      </w:r>
      <w:r>
        <w:rPr>
          <w:rFonts w:ascii="Microsoft Sans Serif" w:hAnsi="Microsoft Sans Serif" w:cs="Microsoft Sans Serif"/>
          <w:i/>
          <w:color w:val="222222"/>
          <w:sz w:val="20"/>
          <w:szCs w:val="20"/>
          <w:lang w:val="hr-HR"/>
        </w:rPr>
        <w:t xml:space="preserve"> </w:t>
      </w:r>
      <w:r>
        <w:rPr>
          <w:rStyle w:val="33"/>
          <w:rFonts w:ascii="Microsoft Sans Serif" w:hAnsi="Microsoft Sans Serif" w:cs="Microsoft Sans Serif"/>
          <w:i/>
          <w:color w:val="222222"/>
          <w:sz w:val="20"/>
          <w:szCs w:val="20"/>
          <w:lang w:val="hr-HR"/>
        </w:rPr>
        <w:t>arterijske hipertenzije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kada je</w:t>
      </w:r>
      <w:r>
        <w:rPr>
          <w:rFonts w:ascii="Microsoft Sans Serif" w:hAnsi="Microsoft Sans Serif" w:cs="Microsoft Sans Serif"/>
          <w:color w:val="222222"/>
          <w:sz w:val="20"/>
          <w:szCs w:val="20"/>
          <w:lang w:val="hr-HR"/>
        </w:rPr>
        <w:t xml:space="preserve"> prethodna </w:t>
      </w:r>
      <w:r>
        <w:rPr>
          <w:rStyle w:val="33"/>
          <w:rFonts w:ascii="Microsoft Sans Serif" w:hAnsi="Microsoft Sans Serif" w:cs="Microsoft Sans Serif"/>
          <w:color w:val="222222"/>
          <w:sz w:val="20"/>
          <w:szCs w:val="20"/>
          <w:lang w:val="hr-HR"/>
        </w:rPr>
        <w:t>terapija diuretikom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izazvala hipovolemiju ili smanjeni unos soli</w:t>
      </w:r>
      <w:r>
        <w:rPr>
          <w:rFonts w:ascii="Microsoft Sans Serif" w:hAnsi="Microsoft Sans Serif" w:cs="Microsoft Sans Serif"/>
          <w:color w:val="222222"/>
          <w:sz w:val="20"/>
          <w:szCs w:val="20"/>
          <w:lang w:val="hr-HR"/>
        </w:rPr>
        <w:t xml:space="preserve">, potrebno je prekinuti terapiju </w:t>
      </w:r>
      <w:r>
        <w:rPr>
          <w:rStyle w:val="33"/>
          <w:rFonts w:ascii="Microsoft Sans Serif" w:hAnsi="Microsoft Sans Serif" w:cs="Microsoft Sans Serif"/>
          <w:color w:val="222222"/>
          <w:sz w:val="20"/>
          <w:szCs w:val="20"/>
          <w:lang w:val="hr-HR"/>
        </w:rPr>
        <w:t>diuretikom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prije početka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u kom slučaju</w:t>
      </w:r>
      <w:r>
        <w:rPr>
          <w:rFonts w:ascii="Microsoft Sans Serif" w:hAnsi="Microsoft Sans Serif" w:cs="Microsoft Sans Serif"/>
          <w:color w:val="222222"/>
          <w:sz w:val="20"/>
          <w:szCs w:val="20"/>
          <w:lang w:val="hr-HR"/>
        </w:rPr>
        <w:t xml:space="preserve"> diuretik koji ne štedi kalijum </w:t>
      </w:r>
      <w:r>
        <w:rPr>
          <w:rStyle w:val="33"/>
          <w:rFonts w:ascii="Microsoft Sans Serif" w:hAnsi="Microsoft Sans Serif" w:cs="Microsoft Sans Serif"/>
          <w:color w:val="222222"/>
          <w:sz w:val="20"/>
          <w:szCs w:val="20"/>
          <w:lang w:val="hr-HR"/>
        </w:rPr>
        <w:t>može se</w:t>
      </w:r>
      <w:r>
        <w:rPr>
          <w:rFonts w:ascii="Microsoft Sans Serif" w:hAnsi="Microsoft Sans Serif" w:cs="Microsoft Sans Serif"/>
          <w:color w:val="222222"/>
          <w:sz w:val="20"/>
          <w:szCs w:val="20"/>
          <w:lang w:val="hr-HR"/>
        </w:rPr>
        <w:t xml:space="preserve"> ponovo uvesti </w:t>
      </w:r>
      <w:r>
        <w:rPr>
          <w:rStyle w:val="33"/>
          <w:rFonts w:ascii="Microsoft Sans Serif" w:hAnsi="Microsoft Sans Serif" w:cs="Microsoft Sans Serif"/>
          <w:color w:val="222222"/>
          <w:sz w:val="20"/>
          <w:szCs w:val="20"/>
          <w:lang w:val="hr-HR"/>
        </w:rPr>
        <w:t>nakon toga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ili</w:t>
      </w:r>
      <w:r>
        <w:rPr>
          <w:rFonts w:ascii="Microsoft Sans Serif" w:hAnsi="Microsoft Sans Serif" w:cs="Microsoft Sans Serif"/>
          <w:color w:val="222222"/>
          <w:sz w:val="20"/>
          <w:szCs w:val="20"/>
          <w:lang w:val="hr-HR"/>
        </w:rPr>
        <w:t xml:space="preserve"> terapija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mora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se pokrenuti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niskom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dozom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progresivno</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povećavati.</w:t>
      </w:r>
    </w:p>
    <w:p w14:paraId="1A610192">
      <w:pPr>
        <w:jc w:val="both"/>
        <w:rPr>
          <w:rFonts w:ascii="Microsoft Sans Serif" w:hAnsi="Microsoft Sans Serif" w:cs="Microsoft Sans Serif"/>
          <w:color w:val="222222"/>
          <w:sz w:val="20"/>
          <w:szCs w:val="20"/>
          <w:lang w:val="hr-HR"/>
        </w:rPr>
      </w:pPr>
      <w:r>
        <w:rPr>
          <w:rStyle w:val="33"/>
          <w:rFonts w:ascii="Microsoft Sans Serif" w:hAnsi="Microsoft Sans Serif" w:cs="Microsoft Sans Serif"/>
          <w:i/>
          <w:color w:val="222222"/>
          <w:sz w:val="20"/>
          <w:szCs w:val="20"/>
          <w:lang w:val="hr-HR"/>
        </w:rPr>
        <w:t xml:space="preserve">Kod kongestivne srčane slabosti </w:t>
      </w:r>
      <w:r>
        <w:rPr>
          <w:rFonts w:ascii="Microsoft Sans Serif" w:hAnsi="Microsoft Sans Serif" w:cs="Microsoft Sans Serif"/>
          <w:i/>
          <w:color w:val="222222"/>
          <w:sz w:val="20"/>
          <w:szCs w:val="20"/>
          <w:lang w:val="hr-HR"/>
        </w:rPr>
        <w:t>tretiranu diuretikom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treba pokrenuti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na vrlo niskom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dozom</w:t>
      </w:r>
      <w:r>
        <w:rPr>
          <w:rFonts w:ascii="Microsoft Sans Serif" w:hAnsi="Microsoft Sans Serif" w:cs="Microsoft Sans Serif"/>
          <w:color w:val="222222"/>
          <w:sz w:val="20"/>
          <w:szCs w:val="20"/>
          <w:lang w:val="hr-HR"/>
        </w:rPr>
        <w:t xml:space="preserve">, po mogućnosti </w:t>
      </w:r>
      <w:r>
        <w:rPr>
          <w:rStyle w:val="33"/>
          <w:rFonts w:ascii="Microsoft Sans Serif" w:hAnsi="Microsoft Sans Serif" w:cs="Microsoft Sans Serif"/>
          <w:color w:val="222222"/>
          <w:sz w:val="20"/>
          <w:szCs w:val="20"/>
          <w:lang w:val="hr-HR"/>
        </w:rPr>
        <w:t>nakon</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smanjenja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doze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pridružnog</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diuretika koji ne štedi kalijum</w:t>
      </w:r>
      <w:r>
        <w:rPr>
          <w:rFonts w:ascii="Microsoft Sans Serif" w:hAnsi="Microsoft Sans Serif" w:cs="Microsoft Sans Serif"/>
          <w:color w:val="222222"/>
          <w:sz w:val="20"/>
          <w:szCs w:val="20"/>
          <w:lang w:val="hr-HR"/>
        </w:rPr>
        <w:t xml:space="preserve">. </w:t>
      </w:r>
    </w:p>
    <w:p w14:paraId="51D6DADE">
      <w:pPr>
        <w:jc w:val="both"/>
        <w:rPr>
          <w:rFonts w:ascii="Microsoft Sans Serif" w:hAnsi="Microsoft Sans Serif" w:cs="Microsoft Sans Serif"/>
          <w:color w:val="222222"/>
          <w:sz w:val="20"/>
          <w:szCs w:val="20"/>
          <w:lang w:val="hr-HR"/>
        </w:rPr>
      </w:pPr>
    </w:p>
    <w:p w14:paraId="18F7E4E1">
      <w:pPr>
        <w:jc w:val="both"/>
        <w:rPr>
          <w:rFonts w:ascii="Microsoft Sans Serif" w:hAnsi="Microsoft Sans Serif" w:cs="Microsoft Sans Serif"/>
          <w:color w:val="222222"/>
          <w:sz w:val="20"/>
          <w:szCs w:val="20"/>
          <w:lang w:val="hr-HR"/>
        </w:rPr>
      </w:pPr>
      <w:r>
        <w:rPr>
          <w:rStyle w:val="33"/>
          <w:rFonts w:ascii="Microsoft Sans Serif" w:hAnsi="Microsoft Sans Serif" w:cs="Microsoft Sans Serif"/>
          <w:color w:val="222222"/>
          <w:sz w:val="20"/>
          <w:szCs w:val="20"/>
          <w:lang w:val="hr-HR"/>
        </w:rPr>
        <w:t>U svim slučajevima</w:t>
      </w:r>
      <w:r>
        <w:rPr>
          <w:rFonts w:ascii="Microsoft Sans Serif" w:hAnsi="Microsoft Sans Serif" w:cs="Microsoft Sans Serif"/>
          <w:color w:val="222222"/>
          <w:sz w:val="20"/>
          <w:szCs w:val="20"/>
          <w:lang w:val="hr-HR"/>
        </w:rPr>
        <w:t xml:space="preserve">, funkcija </w:t>
      </w:r>
      <w:r>
        <w:rPr>
          <w:rStyle w:val="33"/>
          <w:rFonts w:ascii="Microsoft Sans Serif" w:hAnsi="Microsoft Sans Serif" w:cs="Microsoft Sans Serif"/>
          <w:color w:val="222222"/>
          <w:sz w:val="20"/>
          <w:szCs w:val="20"/>
          <w:lang w:val="hr-HR"/>
        </w:rPr>
        <w:t>bubrega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 xml:space="preserve">(nivo </w:t>
      </w:r>
      <w:r>
        <w:rPr>
          <w:rFonts w:ascii="Microsoft Sans Serif" w:hAnsi="Microsoft Sans Serif" w:cs="Microsoft Sans Serif"/>
          <w:color w:val="222222"/>
          <w:sz w:val="20"/>
          <w:szCs w:val="20"/>
          <w:lang w:val="hr-HR"/>
        </w:rPr>
        <w:t>kreatinin</w:t>
      </w:r>
      <w:r>
        <w:rPr>
          <w:rStyle w:val="33"/>
          <w:rFonts w:ascii="Microsoft Sans Serif" w:hAnsi="Microsoft Sans Serif" w:cs="Microsoft Sans Serif"/>
          <w:color w:val="222222"/>
          <w:sz w:val="20"/>
          <w:szCs w:val="20"/>
          <w:lang w:val="hr-HR"/>
        </w:rPr>
        <w:t>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mora se pratiti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tokom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prvih nekoliko</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nedjelja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terapije ACE inhibitorima</w:t>
      </w:r>
      <w:r>
        <w:rPr>
          <w:rFonts w:ascii="Microsoft Sans Serif" w:hAnsi="Microsoft Sans Serif" w:cs="Microsoft Sans Serif"/>
          <w:color w:val="222222"/>
          <w:sz w:val="20"/>
          <w:szCs w:val="20"/>
          <w:lang w:val="hr-HR"/>
        </w:rPr>
        <w:t>.</w:t>
      </w:r>
    </w:p>
    <w:p w14:paraId="791452B1">
      <w:pPr>
        <w:jc w:val="both"/>
        <w:rPr>
          <w:rFonts w:ascii="Microsoft Sans Serif" w:hAnsi="Microsoft Sans Serif" w:cs="Microsoft Sans Serif"/>
          <w:color w:val="000000"/>
          <w:sz w:val="20"/>
          <w:szCs w:val="20"/>
          <w:u w:val="single"/>
          <w:lang w:val="hr-HR"/>
        </w:rPr>
      </w:pPr>
    </w:p>
    <w:p w14:paraId="1BB55108">
      <w:pPr>
        <w:jc w:val="both"/>
        <w:rPr>
          <w:rFonts w:ascii="Microsoft Sans Serif" w:hAnsi="Microsoft Sans Serif" w:cs="Microsoft Sans Serif"/>
          <w:color w:val="000000"/>
          <w:sz w:val="20"/>
          <w:szCs w:val="20"/>
          <w:lang w:val="hr-HR"/>
        </w:rPr>
      </w:pPr>
      <w:r>
        <w:rPr>
          <w:rFonts w:ascii="Microsoft Sans Serif" w:hAnsi="Microsoft Sans Serif" w:cs="Microsoft Sans Serif"/>
          <w:color w:val="000000"/>
          <w:sz w:val="20"/>
          <w:szCs w:val="20"/>
          <w:u w:val="single"/>
          <w:lang w:val="hr-HR"/>
        </w:rPr>
        <w:t>Diuretici koji štede kalijum (eplerenon, spironolakton):</w:t>
      </w:r>
    </w:p>
    <w:p w14:paraId="15F255C8">
      <w:pPr>
        <w:jc w:val="both"/>
        <w:rPr>
          <w:rFonts w:ascii="Microsoft Sans Serif" w:hAnsi="Microsoft Sans Serif" w:cs="Microsoft Sans Serif"/>
          <w:color w:val="222222"/>
          <w:sz w:val="20"/>
          <w:szCs w:val="20"/>
          <w:lang w:val="hr-HR"/>
        </w:rPr>
      </w:pPr>
      <w:r>
        <w:rPr>
          <w:rFonts w:ascii="Microsoft Sans Serif" w:hAnsi="Microsoft Sans Serif" w:cs="Microsoft Sans Serif"/>
          <w:color w:val="222222"/>
          <w:sz w:val="20"/>
          <w:szCs w:val="20"/>
          <w:lang w:val="hr-HR"/>
        </w:rPr>
        <w:t>Sa eplerenonom ili spironolaktonom u dozama od 12,5 mg do 50 mg dnevno i sa niskim dozama ACE inhibitora:</w:t>
      </w:r>
      <w:r>
        <w:rPr>
          <w:rFonts w:ascii="Microsoft Sans Serif" w:hAnsi="Microsoft Sans Serif" w:cs="Microsoft Sans Serif"/>
          <w:color w:val="222222"/>
          <w:sz w:val="20"/>
          <w:szCs w:val="20"/>
          <w:lang w:val="hr-HR"/>
        </w:rPr>
        <w:br w:type="textWrapping"/>
      </w:r>
      <w:r>
        <w:rPr>
          <w:rFonts w:ascii="Microsoft Sans Serif" w:hAnsi="Microsoft Sans Serif" w:cs="Microsoft Sans Serif"/>
          <w:color w:val="222222"/>
          <w:sz w:val="20"/>
          <w:szCs w:val="20"/>
          <w:lang w:val="hr-HR"/>
        </w:rPr>
        <w:t>U liječenju insuficijencije srca (NYHA)  klase II-IV sa frakcijom izbacivanja &lt;40%, a prethodno tretirana ACE inhibitorima i diureticima Henleove petlje, rizik od hiperkalijemije, potencijalno smrtonosna, posebno u slučajevima nepoštovanja preporuka o ovu kombinaciju. Prije početka kombinacije, potrebno je provjeriti odsustvo hiperkalijemije i oštećenje bubrega. Pažljivo praćenje kalemije i kreatininemije se preporučuje u prvom mjesecu tretmana jednom nedjeljno na početku i jednom mjesečno nakon toga.</w:t>
      </w:r>
    </w:p>
    <w:p w14:paraId="0CD1A423">
      <w:pPr>
        <w:jc w:val="both"/>
        <w:rPr>
          <w:rFonts w:ascii="Microsoft Sans Serif" w:hAnsi="Microsoft Sans Serif" w:cs="Microsoft Sans Serif"/>
          <w:sz w:val="20"/>
          <w:szCs w:val="20"/>
          <w:u w:val="single"/>
          <w:lang w:val="hr-HR"/>
        </w:rPr>
      </w:pPr>
    </w:p>
    <w:p w14:paraId="61929B52">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sz w:val="20"/>
          <w:szCs w:val="20"/>
          <w:u w:val="single"/>
          <w:lang w:val="hr-HR"/>
        </w:rPr>
        <w:t>Nesteroidni antiinflamatorni lijekovi (NSAIL), uključujući aspirin 3 g/dnevno</w:t>
      </w:r>
    </w:p>
    <w:p w14:paraId="505D7301">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Kod istovremene primjene ACE-inhibitora sa nesteroidnim antiinflamatornim lijekovima (kao acetilsalicilne kiseline u dozama antiinflamatornog djelovanja, COX-2 inhibitori i neselektivni NSAIL) može doći do smanjenja antihipertenzinog efekta. Istovremena primjena ACE-inhibitora i NSAIL može dovesti do povećanog rizika od pogoršanja renalne funkcije, uključujući mogućnost akutne insuficijencije bubrega, te porasta serumskog kalijuma, osobito kod pacijenata sa već postojećom slabom funkcijom bubrega. Ovu kombinaciju treba primjenjivati sa oprezom, osobito kod starijih osoba. Pacijente treba adekvatno hidrirati uz pomno nadziranje funkcije bubrega nakon započinjanja istovremene terapije, te periodično nakon toga.</w:t>
      </w:r>
    </w:p>
    <w:p w14:paraId="2C11BB84">
      <w:pPr>
        <w:shd w:val="clear" w:color="auto" w:fill="FFFFFF"/>
        <w:jc w:val="both"/>
        <w:rPr>
          <w:rFonts w:ascii="Microsoft Sans Serif" w:hAnsi="Microsoft Sans Serif" w:cs="Microsoft Sans Serif"/>
          <w:sz w:val="20"/>
          <w:szCs w:val="20"/>
          <w:lang w:val="hr-HR"/>
        </w:rPr>
      </w:pPr>
    </w:p>
    <w:p w14:paraId="187A9E97">
      <w:pPr>
        <w:jc w:val="both"/>
        <w:rPr>
          <w:rFonts w:ascii="Microsoft Sans Serif" w:hAnsi="Microsoft Sans Serif" w:cs="Microsoft Sans Serif"/>
          <w:sz w:val="20"/>
          <w:szCs w:val="20"/>
          <w:u w:val="single"/>
          <w:lang w:val="hr-HR"/>
        </w:rPr>
      </w:pPr>
      <w:r>
        <w:rPr>
          <w:rFonts w:ascii="Microsoft Sans Serif" w:hAnsi="Microsoft Sans Serif" w:cs="Microsoft Sans Serif"/>
          <w:bCs/>
          <w:iCs/>
          <w:color w:val="000000"/>
          <w:sz w:val="20"/>
          <w:szCs w:val="20"/>
          <w:u w:val="single"/>
          <w:lang w:val="hr-HR"/>
        </w:rPr>
        <w:t>Lijekovi koji povećavaju rizik od angioedema</w:t>
      </w:r>
    </w:p>
    <w:p w14:paraId="3322D63E">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Istovremena upotreba ACE inhibitora sa racecadotrilom, inhibitorima mTOR-a (npr. sirolimus, everolimus, temsirolimus) i vildagliptinom može dovesti do povećanog rizika za nastanak angioedema (pogledati dio 4.4).</w:t>
      </w:r>
    </w:p>
    <w:p w14:paraId="5A81E060">
      <w:pPr>
        <w:jc w:val="both"/>
        <w:rPr>
          <w:rFonts w:ascii="Microsoft Sans Serif" w:hAnsi="Microsoft Sans Serif" w:cs="Microsoft Sans Serif"/>
          <w:color w:val="222222"/>
          <w:sz w:val="20"/>
          <w:szCs w:val="20"/>
          <w:lang w:val="hr-HR"/>
        </w:rPr>
      </w:pPr>
      <w:r>
        <w:rPr>
          <w:rStyle w:val="33"/>
          <w:rFonts w:ascii="Microsoft Sans Serif" w:hAnsi="Microsoft Sans Serif" w:cs="Microsoft Sans Serif"/>
          <w:color w:val="222222"/>
          <w:sz w:val="20"/>
          <w:szCs w:val="20"/>
          <w:lang w:val="hr-HR"/>
        </w:rPr>
        <w:t>Postoji povećan rizik od</w:t>
      </w:r>
      <w:r>
        <w:rPr>
          <w:rFonts w:ascii="Microsoft Sans Serif" w:hAnsi="Microsoft Sans Serif" w:cs="Microsoft Sans Serif"/>
          <w:color w:val="222222"/>
          <w:sz w:val="20"/>
          <w:szCs w:val="20"/>
          <w:lang w:val="hr-HR"/>
        </w:rPr>
        <w:t xml:space="preserve"> pojave </w:t>
      </w:r>
      <w:r>
        <w:rPr>
          <w:rStyle w:val="33"/>
          <w:rFonts w:ascii="Microsoft Sans Serif" w:hAnsi="Microsoft Sans Serif" w:cs="Microsoft Sans Serif"/>
          <w:color w:val="222222"/>
          <w:sz w:val="20"/>
          <w:szCs w:val="20"/>
          <w:lang w:val="hr-HR"/>
        </w:rPr>
        <w:t>angioedema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zbog</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smanjene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aktivnosti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dipeptidil</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peptidaze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IV</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DPP</w:t>
      </w:r>
      <w:r>
        <w:rPr>
          <w:rStyle w:val="39"/>
          <w:rFonts w:ascii="Microsoft Sans Serif" w:hAnsi="Microsoft Sans Serif" w:cs="Microsoft Sans Serif"/>
          <w:color w:val="222222"/>
          <w:sz w:val="20"/>
          <w:szCs w:val="20"/>
          <w:lang w:val="hr-HR"/>
        </w:rPr>
        <w:t>-</w:t>
      </w:r>
      <w:r>
        <w:rPr>
          <w:rFonts w:ascii="Microsoft Sans Serif" w:hAnsi="Microsoft Sans Serif" w:cs="Microsoft Sans Serif"/>
          <w:color w:val="222222"/>
          <w:sz w:val="20"/>
          <w:szCs w:val="20"/>
          <w:lang w:val="hr-HR"/>
        </w:rPr>
        <w:t xml:space="preserve">IV) </w:t>
      </w:r>
      <w:r>
        <w:rPr>
          <w:rStyle w:val="33"/>
          <w:rFonts w:ascii="Microsoft Sans Serif" w:hAnsi="Microsoft Sans Serif" w:cs="Microsoft Sans Serif"/>
          <w:color w:val="222222"/>
          <w:sz w:val="20"/>
          <w:szCs w:val="20"/>
          <w:lang w:val="hr-HR"/>
        </w:rPr>
        <w:t>od strane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gliptina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kod pacijenata</w:t>
      </w:r>
      <w:r>
        <w:rPr>
          <w:rFonts w:ascii="Microsoft Sans Serif" w:hAnsi="Microsoft Sans Serif" w:cs="Microsoft Sans Serif"/>
          <w:color w:val="222222"/>
          <w:sz w:val="20"/>
          <w:szCs w:val="20"/>
          <w:lang w:val="hr-HR"/>
        </w:rPr>
        <w:t xml:space="preserve"> koji su </w:t>
      </w:r>
      <w:r>
        <w:rPr>
          <w:rStyle w:val="33"/>
          <w:rFonts w:ascii="Microsoft Sans Serif" w:hAnsi="Microsoft Sans Serif" w:cs="Microsoft Sans Serif"/>
          <w:color w:val="222222"/>
          <w:sz w:val="20"/>
          <w:szCs w:val="20"/>
          <w:lang w:val="hr-HR"/>
        </w:rPr>
        <w:t>istovremeno na terapiji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inhibitorima</w:t>
      </w:r>
      <w:r>
        <w:rPr>
          <w:rFonts w:ascii="Microsoft Sans Serif" w:hAnsi="Microsoft Sans Serif" w:cs="Microsoft Sans Serif"/>
          <w:color w:val="222222"/>
          <w:sz w:val="20"/>
          <w:szCs w:val="20"/>
          <w:lang w:val="hr-HR"/>
        </w:rPr>
        <w:t>.</w:t>
      </w:r>
    </w:p>
    <w:p w14:paraId="4389AEE2">
      <w:pPr>
        <w:shd w:val="clear" w:color="auto" w:fill="FFFFFF"/>
        <w:jc w:val="both"/>
        <w:rPr>
          <w:rFonts w:ascii="Microsoft Sans Serif" w:hAnsi="Microsoft Sans Serif" w:cs="Microsoft Sans Serif"/>
          <w:sz w:val="20"/>
          <w:szCs w:val="20"/>
          <w:lang w:val="hr-HR"/>
        </w:rPr>
      </w:pPr>
    </w:p>
    <w:p w14:paraId="1406FAC2">
      <w:pPr>
        <w:jc w:val="both"/>
        <w:rPr>
          <w:rStyle w:val="45"/>
          <w:rFonts w:ascii="Microsoft Sans Serif" w:hAnsi="Microsoft Sans Serif" w:cs="Microsoft Sans Serif"/>
          <w:sz w:val="20"/>
          <w:lang w:val="bs-Latn-BA"/>
        </w:rPr>
      </w:pPr>
      <w:r>
        <w:rPr>
          <w:rStyle w:val="45"/>
          <w:rFonts w:ascii="Microsoft Sans Serif" w:hAnsi="Microsoft Sans Serif" w:cs="Microsoft Sans Serif"/>
          <w:b/>
          <w:sz w:val="20"/>
          <w:lang w:val="bs-Latn-BA"/>
        </w:rPr>
        <w:t>Ciklosporin</w:t>
      </w:r>
    </w:p>
    <w:p w14:paraId="6ACE921B">
      <w:pPr>
        <w:jc w:val="both"/>
        <w:rPr>
          <w:rStyle w:val="45"/>
          <w:rFonts w:ascii="Microsoft Sans Serif" w:hAnsi="Microsoft Sans Serif" w:cs="Microsoft Sans Serif"/>
          <w:sz w:val="20"/>
          <w:lang w:val="bs-Latn-BA"/>
        </w:rPr>
      </w:pPr>
      <w:r>
        <w:rPr>
          <w:rStyle w:val="45"/>
          <w:rFonts w:ascii="Microsoft Sans Serif" w:hAnsi="Microsoft Sans Serif" w:cs="Microsoft Sans Serif"/>
          <w:sz w:val="20"/>
          <w:lang w:val="bs-Latn-BA"/>
        </w:rPr>
        <w:t>Hiperkalijemija se može primjetiti tokom istovremene upotrebe ACE inhibitora sa ciklosporinima. Preporučeno je praćenje serumskog kalijuma.</w:t>
      </w:r>
    </w:p>
    <w:p w14:paraId="11C80767">
      <w:pPr>
        <w:jc w:val="both"/>
        <w:rPr>
          <w:rStyle w:val="45"/>
          <w:rFonts w:ascii="Microsoft Sans Serif" w:hAnsi="Microsoft Sans Serif" w:cs="Microsoft Sans Serif"/>
          <w:sz w:val="20"/>
          <w:lang w:val="bs-Latn-BA"/>
        </w:rPr>
      </w:pPr>
    </w:p>
    <w:p w14:paraId="41D0BBFB">
      <w:pPr>
        <w:jc w:val="both"/>
        <w:rPr>
          <w:rStyle w:val="45"/>
          <w:rFonts w:ascii="Microsoft Sans Serif" w:hAnsi="Microsoft Sans Serif" w:cs="Microsoft Sans Serif"/>
          <w:sz w:val="20"/>
          <w:lang w:val="bs-Latn-BA"/>
        </w:rPr>
      </w:pPr>
      <w:r>
        <w:rPr>
          <w:rStyle w:val="45"/>
          <w:rFonts w:ascii="Microsoft Sans Serif" w:hAnsi="Microsoft Sans Serif" w:cs="Microsoft Sans Serif"/>
          <w:b/>
          <w:sz w:val="20"/>
          <w:lang w:val="bs-Latn-BA"/>
        </w:rPr>
        <w:t>Heparin</w:t>
      </w:r>
    </w:p>
    <w:p w14:paraId="7FC8638C">
      <w:pPr>
        <w:jc w:val="both"/>
        <w:rPr>
          <w:rStyle w:val="45"/>
          <w:rFonts w:ascii="Microsoft Sans Serif" w:hAnsi="Microsoft Sans Serif" w:cs="Microsoft Sans Serif"/>
          <w:sz w:val="20"/>
          <w:lang w:val="bs-Latn-BA"/>
        </w:rPr>
      </w:pPr>
      <w:r>
        <w:rPr>
          <w:rStyle w:val="45"/>
          <w:rFonts w:ascii="Microsoft Sans Serif" w:hAnsi="Microsoft Sans Serif" w:cs="Microsoft Sans Serif"/>
          <w:sz w:val="20"/>
          <w:lang w:val="bs-Latn-BA"/>
        </w:rPr>
        <w:t>Hiperkalijemija se može primjetiti tokom istovremene upotrebe ACE inhibitora sa heparinom. Preporučeno je praćenje serumskog kalijuma</w:t>
      </w:r>
    </w:p>
    <w:p w14:paraId="6B5BF140">
      <w:pPr>
        <w:shd w:val="clear" w:color="auto" w:fill="FFFFFF"/>
        <w:jc w:val="both"/>
        <w:rPr>
          <w:rFonts w:ascii="Microsoft Sans Serif" w:hAnsi="Microsoft Sans Serif" w:cs="Microsoft Sans Serif"/>
          <w:sz w:val="20"/>
          <w:szCs w:val="20"/>
          <w:lang w:val="hr-HR"/>
        </w:rPr>
      </w:pPr>
    </w:p>
    <w:p w14:paraId="41431E15">
      <w:pPr>
        <w:rPr>
          <w:rFonts w:ascii="Microsoft Sans Serif" w:hAnsi="Microsoft Sans Serif" w:cs="Microsoft Sans Serif"/>
          <w:sz w:val="20"/>
          <w:szCs w:val="20"/>
          <w:lang w:val="hr-HR"/>
        </w:rPr>
      </w:pPr>
      <w:r>
        <w:rPr>
          <w:rFonts w:ascii="Microsoft Sans Serif" w:hAnsi="Microsoft Sans Serif" w:cs="Microsoft Sans Serif"/>
          <w:b/>
          <w:bCs/>
          <w:i/>
          <w:iCs/>
          <w:color w:val="000000"/>
          <w:sz w:val="20"/>
          <w:szCs w:val="20"/>
          <w:u w:val="single"/>
          <w:lang w:val="hr-HR"/>
        </w:rPr>
        <w:t>Istovremena primjena koja zahtjeva neki oprez:</w:t>
      </w:r>
    </w:p>
    <w:p w14:paraId="46E5F2F4">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Antihipertenzivni lijekovi i vazodilatatori</w:t>
      </w:r>
    </w:p>
    <w:p w14:paraId="7EA666FC">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Istovremena primjena ovih lijekova može povećati hipotenzivni efekat perindoprila. Istovremena primjena nitroglicerina i drugih nitrata, ili drugih vazodilatatora, može još više sniziti krvni pritisak.</w:t>
      </w:r>
    </w:p>
    <w:p w14:paraId="50C9C469">
      <w:pPr>
        <w:rPr>
          <w:rFonts w:ascii="Microsoft Sans Serif" w:hAnsi="Microsoft Sans Serif" w:cs="Microsoft Sans Serif"/>
          <w:color w:val="000000"/>
          <w:sz w:val="20"/>
          <w:szCs w:val="20"/>
          <w:u w:val="single"/>
          <w:lang w:val="hr-HR"/>
        </w:rPr>
      </w:pPr>
    </w:p>
    <w:p w14:paraId="47F35CF8">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Triciklički antidepresivi/antipsihotici/anestetici</w:t>
      </w:r>
    </w:p>
    <w:p w14:paraId="5E4275C7">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Istovremena primjena pojedinih anestetika, tricikličkih antidepresiva i antipsihotika sa ACE inhibitorima može dovesti do daljnjeg sniženja krvnog pritiska (pogledati dio 4.4).</w:t>
      </w:r>
    </w:p>
    <w:p w14:paraId="36AD2B69">
      <w:pPr>
        <w:jc w:val="both"/>
        <w:rPr>
          <w:rFonts w:ascii="Microsoft Sans Serif" w:hAnsi="Microsoft Sans Serif" w:cs="Microsoft Sans Serif"/>
          <w:sz w:val="20"/>
          <w:szCs w:val="20"/>
          <w:lang w:val="hr-HR"/>
        </w:rPr>
      </w:pPr>
    </w:p>
    <w:p w14:paraId="2C672600">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u w:val="single"/>
          <w:lang w:val="hr-HR"/>
        </w:rPr>
        <w:t>Simpatomimetici:</w:t>
      </w:r>
    </w:p>
    <w:p w14:paraId="0C299316">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Simpatomimetici mogu smanjiti antihipertenzivni efekat ACE inhibitora.</w:t>
      </w:r>
    </w:p>
    <w:p w14:paraId="31FC789A">
      <w:pPr>
        <w:shd w:val="clear" w:color="auto" w:fill="FFFFFF"/>
        <w:jc w:val="both"/>
        <w:rPr>
          <w:rFonts w:ascii="Microsoft Sans Serif" w:hAnsi="Microsoft Sans Serif" w:cs="Microsoft Sans Serif"/>
          <w:sz w:val="20"/>
          <w:szCs w:val="20"/>
          <w:u w:val="single"/>
          <w:lang w:val="hr-HR"/>
        </w:rPr>
      </w:pPr>
    </w:p>
    <w:p w14:paraId="3DAB7BF8">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u w:val="single"/>
          <w:lang w:val="hr-HR"/>
        </w:rPr>
        <w:t>Zlato:</w:t>
      </w:r>
    </w:p>
    <w:p w14:paraId="76BFB2A1">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Nitritoidne reakcije (simptomi uključuju crvenilo lica, mučninu, povraćanje i hipotenziju) su rijetko prijavljivane kod pacijenata na terapiji injektabilnim zlatom (natrijev aurotiomalat) i istovremenom terapijom ACE inhibitorom, ukjučujući perindopril.</w:t>
      </w:r>
    </w:p>
    <w:p w14:paraId="3334CD04">
      <w:pPr>
        <w:jc w:val="both"/>
        <w:rPr>
          <w:rFonts w:ascii="Microsoft Sans Serif" w:hAnsi="Microsoft Sans Serif" w:cs="Microsoft Sans Serif"/>
          <w:sz w:val="20"/>
          <w:szCs w:val="20"/>
          <w:lang w:val="hr-HR"/>
        </w:rPr>
      </w:pPr>
    </w:p>
    <w:p w14:paraId="150614FE">
      <w:pPr>
        <w:jc w:val="both"/>
        <w:rPr>
          <w:rFonts w:ascii="Microsoft Sans Serif" w:hAnsi="Microsoft Sans Serif" w:cs="Microsoft Sans Serif"/>
          <w:b/>
          <w:sz w:val="20"/>
          <w:szCs w:val="20"/>
          <w:lang w:val="mk-MK"/>
        </w:rPr>
      </w:pPr>
    </w:p>
    <w:p w14:paraId="308789BE">
      <w:pPr>
        <w:jc w:val="both"/>
        <w:rPr>
          <w:rFonts w:ascii="Microsoft Sans Serif" w:hAnsi="Microsoft Sans Serif" w:cs="Microsoft Sans Serif"/>
          <w:b/>
          <w:sz w:val="20"/>
          <w:szCs w:val="20"/>
          <w:lang w:val="mk-MK"/>
        </w:rPr>
      </w:pPr>
    </w:p>
    <w:p w14:paraId="68ED814E">
      <w:pPr>
        <w:jc w:val="both"/>
        <w:rPr>
          <w:rFonts w:ascii="Microsoft Sans Serif" w:hAnsi="Microsoft Sans Serif" w:cs="Microsoft Sans Serif"/>
          <w:b/>
          <w:sz w:val="20"/>
          <w:szCs w:val="20"/>
          <w:lang w:val="mk-MK"/>
        </w:rPr>
      </w:pPr>
    </w:p>
    <w:p w14:paraId="1BD55240">
      <w:pPr>
        <w:jc w:val="both"/>
        <w:rPr>
          <w:rFonts w:ascii="Microsoft Sans Serif" w:hAnsi="Microsoft Sans Serif" w:cs="Microsoft Sans Serif"/>
          <w:b/>
          <w:sz w:val="20"/>
          <w:szCs w:val="20"/>
          <w:lang w:val="mk-MK"/>
        </w:rPr>
      </w:pPr>
    </w:p>
    <w:p w14:paraId="0BA9D61E">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 xml:space="preserve">4.6 </w:t>
      </w:r>
      <w:r>
        <w:rPr>
          <w:rFonts w:ascii="Microsoft Sans Serif" w:hAnsi="Microsoft Sans Serif" w:cs="Microsoft Sans Serif"/>
          <w:b/>
          <w:sz w:val="20"/>
          <w:szCs w:val="20"/>
          <w:lang w:val="mk-MK"/>
        </w:rPr>
        <w:tab/>
      </w:r>
      <w:r>
        <w:rPr>
          <w:rFonts w:ascii="Microsoft Sans Serif" w:hAnsi="Microsoft Sans Serif" w:cs="Microsoft Sans Serif"/>
          <w:b/>
          <w:sz w:val="20"/>
          <w:szCs w:val="20"/>
        </w:rPr>
        <w:t xml:space="preserve">Plodnost, </w:t>
      </w:r>
      <w:r>
        <w:rPr>
          <w:rFonts w:ascii="Microsoft Sans Serif" w:hAnsi="Microsoft Sans Serif" w:cs="Microsoft Sans Serif"/>
          <w:b/>
          <w:sz w:val="20"/>
          <w:szCs w:val="20"/>
          <w:lang w:val="pl-PL"/>
        </w:rPr>
        <w:t xml:space="preserve">trudnoća i dojenje </w:t>
      </w:r>
    </w:p>
    <w:p w14:paraId="0D87F134">
      <w:pPr>
        <w:pStyle w:val="24"/>
        <w:tabs>
          <w:tab w:val="clear" w:pos="4320"/>
          <w:tab w:val="clear" w:pos="8640"/>
        </w:tabs>
        <w:jc w:val="both"/>
        <w:rPr>
          <w:rFonts w:ascii="Microsoft Sans Serif" w:hAnsi="Microsoft Sans Serif" w:cs="Microsoft Sans Serif"/>
          <w:sz w:val="20"/>
          <w:szCs w:val="20"/>
          <w:lang w:val="mk-MK"/>
        </w:rPr>
      </w:pPr>
    </w:p>
    <w:p w14:paraId="333D0320">
      <w:pPr>
        <w:shd w:val="clear" w:color="auto" w:fill="FFFFFF"/>
        <w:jc w:val="both"/>
        <w:rPr>
          <w:rFonts w:ascii="Microsoft Sans Serif" w:hAnsi="Microsoft Sans Serif" w:cs="Microsoft Sans Serif"/>
          <w:i/>
          <w:sz w:val="20"/>
          <w:szCs w:val="20"/>
          <w:lang w:val="sv-SE"/>
        </w:rPr>
      </w:pPr>
      <w:r>
        <w:rPr>
          <w:rFonts w:ascii="Microsoft Sans Serif" w:hAnsi="Microsoft Sans Serif" w:cs="Microsoft Sans Serif"/>
          <w:bCs/>
          <w:i/>
          <w:iCs/>
          <w:sz w:val="20"/>
          <w:szCs w:val="20"/>
          <w:lang w:val="hr-HR"/>
        </w:rPr>
        <w:t xml:space="preserve">Trudnoća </w:t>
      </w:r>
    </w:p>
    <w:p w14:paraId="46ADB50C">
      <w:pPr>
        <w:jc w:val="both"/>
        <w:rPr>
          <w:rFonts w:ascii="Microsoft Sans Serif" w:hAnsi="Microsoft Sans Serif" w:cs="Microsoft Sans Serif"/>
          <w:sz w:val="20"/>
          <w:szCs w:val="20"/>
          <w:lang w:val="hr-HR"/>
        </w:rPr>
      </w:pPr>
    </w:p>
    <w:p w14:paraId="11075FB5">
      <w:pPr>
        <w:pBdr>
          <w:top w:val="single" w:color="auto" w:sz="4" w:space="1"/>
          <w:left w:val="single" w:color="auto" w:sz="4" w:space="4"/>
          <w:bottom w:val="single" w:color="auto" w:sz="4" w:space="1"/>
          <w:right w:val="single" w:color="auto" w:sz="4" w:space="4"/>
        </w:pBd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Primjena ACE inhibitora se ne preporučuje tokom prvog tromjesečja trudnoće (pogledati dio 4.4). </w:t>
      </w:r>
    </w:p>
    <w:p w14:paraId="62EF6E21">
      <w:pPr>
        <w:pBdr>
          <w:top w:val="single" w:color="auto" w:sz="4" w:space="1"/>
          <w:left w:val="single" w:color="auto" w:sz="4" w:space="4"/>
          <w:bottom w:val="single" w:color="auto" w:sz="4" w:space="1"/>
          <w:right w:val="single" w:color="auto" w:sz="4" w:space="4"/>
        </w:pBd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Primjena ACE inhibitora je kontraindicirana tokom drugog i trećeg tromjesečja trudnoće (pogledati dijelove 4.3. i 4.4).</w:t>
      </w:r>
    </w:p>
    <w:p w14:paraId="1660DDDA">
      <w:pPr>
        <w:shd w:val="clear" w:color="auto" w:fill="FFFFFF"/>
        <w:jc w:val="both"/>
        <w:rPr>
          <w:rFonts w:ascii="Microsoft Sans Serif" w:hAnsi="Microsoft Sans Serif" w:cs="Microsoft Sans Serif"/>
          <w:sz w:val="20"/>
          <w:szCs w:val="20"/>
          <w:lang w:val="hr-HR"/>
        </w:rPr>
      </w:pPr>
    </w:p>
    <w:p w14:paraId="1D2BC352">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Epidemiološki dokaz koji se odnosi na rizik od teratogenosti nakon izloženosti ACE inhibitorima tokom prvog tromjesečja trudnoće nije uvjerljiv; dakako, mali porast rizika se ne može isključiti. </w:t>
      </w:r>
    </w:p>
    <w:p w14:paraId="32F0F370">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Osim u slučaju kada se nastavak liječenja ACE inhibitorom smatra neophodnim, kod liječenja pacijentica koje planiraju trudnoću treba primijeniti alternativno antihipertenzivno liječenje, koje ima utvrđen profil sigurnosti za primjenu tokom trudnoće. Kada se ustanovi trudnoća, liječenje ACE inhibitorima treba odmah prekinuti te uključiti alternativno liječenje, ukoliko je odgovarajuće.</w:t>
      </w:r>
    </w:p>
    <w:p w14:paraId="60B7D093">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Poznato je da izloženost terapiji ACE inhibitorom tokom drugog i trećeg tromjesečja trudnoće inducira fetotoksičnost kod ljudi (smanjena bubrežna funkcija, oligohidramnion, usporavanje okoštavanja lobanje) i neonatalnu toksičnost (insuficijenciju bubrega, hipotenzija, hiperkalemija) (pogledati dio 5.3). Ako je došlo do izloženosti ACE inhibitoru od drugog tromjesečja trudnoće, preporučuje se ultrazvučni pregled bubrežne funkcije i kostiju lobanje. Djeca majki, koje su uzimale ACE inhibitore, trebaju se pažljivo pratiti zbog mogućnosti pojave hipotenzije (pogledati dijelove 4.3. i 4.4).</w:t>
      </w:r>
    </w:p>
    <w:p w14:paraId="06C97CC9">
      <w:pPr>
        <w:jc w:val="both"/>
        <w:rPr>
          <w:rFonts w:ascii="Microsoft Sans Serif" w:hAnsi="Microsoft Sans Serif" w:cs="Microsoft Sans Serif"/>
          <w:i/>
          <w:iCs/>
          <w:sz w:val="20"/>
          <w:szCs w:val="20"/>
          <w:lang w:val="hr-HR"/>
        </w:rPr>
      </w:pPr>
    </w:p>
    <w:p w14:paraId="7AC4D547">
      <w:pPr>
        <w:jc w:val="both"/>
        <w:rPr>
          <w:rFonts w:ascii="Microsoft Sans Serif" w:hAnsi="Microsoft Sans Serif" w:cs="Microsoft Sans Serif"/>
          <w:sz w:val="20"/>
          <w:szCs w:val="20"/>
          <w:lang w:val="sr-Latn-CS"/>
        </w:rPr>
      </w:pPr>
      <w:r>
        <w:rPr>
          <w:rFonts w:ascii="Microsoft Sans Serif" w:hAnsi="Microsoft Sans Serif" w:cs="Microsoft Sans Serif"/>
          <w:i/>
          <w:iCs/>
          <w:sz w:val="20"/>
          <w:szCs w:val="20"/>
          <w:lang w:val="hr-HR"/>
        </w:rPr>
        <w:t>Dojenje</w:t>
      </w:r>
    </w:p>
    <w:p w14:paraId="6C36EFB7">
      <w:pPr>
        <w:shd w:val="clear" w:color="auto" w:fill="FFFFFF"/>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hr-HR"/>
        </w:rPr>
        <w:t>Obzirom na nedostupnost informacija o primjeni perindoprila za vrijeme dojenja, perindopril se tokom dojenja ne preporučuje, te prednost treba dati alternativnim terapijama sa bolje utvrđenim profilom sigurnosti za vrijeme dojenja, osobito ako se radi o novorođenčetu ili prijevremeno rođenom djetetu.</w:t>
      </w:r>
    </w:p>
    <w:p w14:paraId="1297211D">
      <w:pPr>
        <w:jc w:val="both"/>
        <w:rPr>
          <w:rFonts w:ascii="Microsoft Sans Serif" w:hAnsi="Microsoft Sans Serif" w:cs="Microsoft Sans Serif"/>
          <w:color w:val="000000"/>
          <w:sz w:val="20"/>
          <w:szCs w:val="20"/>
          <w:u w:val="single"/>
          <w:lang w:val="hr-HR"/>
        </w:rPr>
      </w:pPr>
    </w:p>
    <w:p w14:paraId="4ADE2316">
      <w:pPr>
        <w:jc w:val="both"/>
        <w:rPr>
          <w:rFonts w:ascii="Microsoft Sans Serif" w:hAnsi="Microsoft Sans Serif" w:cs="Microsoft Sans Serif"/>
          <w:i/>
          <w:sz w:val="20"/>
          <w:szCs w:val="20"/>
          <w:lang w:val="de-AT"/>
        </w:rPr>
      </w:pPr>
      <w:r>
        <w:rPr>
          <w:rFonts w:ascii="Microsoft Sans Serif" w:hAnsi="Microsoft Sans Serif" w:cs="Microsoft Sans Serif"/>
          <w:i/>
          <w:sz w:val="20"/>
          <w:szCs w:val="20"/>
          <w:lang w:val="de-AT"/>
        </w:rPr>
        <w:t>Plodnost</w:t>
      </w:r>
    </w:p>
    <w:p w14:paraId="46F4DCC2">
      <w:pPr>
        <w:jc w:val="both"/>
        <w:rPr>
          <w:rFonts w:ascii="Microsoft Sans Serif" w:hAnsi="Microsoft Sans Serif" w:cs="Microsoft Sans Serif"/>
          <w:sz w:val="20"/>
          <w:szCs w:val="20"/>
          <w:lang w:val="de-AT"/>
        </w:rPr>
      </w:pPr>
      <w:r>
        <w:rPr>
          <w:rFonts w:ascii="Microsoft Sans Serif" w:hAnsi="Microsoft Sans Serif" w:cs="Microsoft Sans Serif"/>
          <w:sz w:val="20"/>
          <w:szCs w:val="20"/>
          <w:lang w:val="de-AT"/>
        </w:rPr>
        <w:t>Nije bilo nikakvog uticaja na reproduktivne sposobnosti ili fertilnosti.</w:t>
      </w:r>
    </w:p>
    <w:p w14:paraId="3AC5C92E">
      <w:pPr>
        <w:jc w:val="both"/>
        <w:rPr>
          <w:rFonts w:ascii="Microsoft Sans Serif" w:hAnsi="Microsoft Sans Serif" w:cs="Microsoft Sans Serif"/>
          <w:b/>
          <w:sz w:val="20"/>
          <w:szCs w:val="20"/>
          <w:lang w:val="de-AT"/>
        </w:rPr>
      </w:pPr>
    </w:p>
    <w:p w14:paraId="50C3C739">
      <w:pPr>
        <w:jc w:val="both"/>
        <w:rPr>
          <w:rFonts w:ascii="Microsoft Sans Serif" w:hAnsi="Microsoft Sans Serif" w:cs="Microsoft Sans Serif"/>
          <w:b/>
          <w:sz w:val="20"/>
          <w:szCs w:val="20"/>
          <w:lang w:val="pl-PL"/>
        </w:rPr>
      </w:pPr>
      <w:r>
        <w:rPr>
          <w:rFonts w:ascii="Microsoft Sans Serif" w:hAnsi="Microsoft Sans Serif" w:cs="Microsoft Sans Serif"/>
          <w:b/>
          <w:sz w:val="20"/>
          <w:szCs w:val="20"/>
          <w:lang w:val="mk-MK"/>
        </w:rPr>
        <w:t xml:space="preserve">4.7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Uticaj na sposobnosti upravljanja vozilima i rada na mašinama</w:t>
      </w:r>
    </w:p>
    <w:p w14:paraId="01BEA390">
      <w:pPr>
        <w:shd w:val="clear" w:color="auto" w:fill="FFFFFF"/>
        <w:jc w:val="both"/>
        <w:rPr>
          <w:rFonts w:ascii="Microsoft Sans Serif" w:hAnsi="Microsoft Sans Serif" w:cs="Microsoft Sans Serif"/>
          <w:sz w:val="20"/>
          <w:szCs w:val="20"/>
          <w:lang w:val="hr-HR"/>
        </w:rPr>
      </w:pPr>
    </w:p>
    <w:p w14:paraId="0995743A">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pl-PL"/>
        </w:rPr>
        <w:t>Lijek Relika</w:t>
      </w:r>
      <w:r>
        <w:rPr>
          <w:rFonts w:ascii="Microsoft Sans Serif" w:hAnsi="Microsoft Sans Serif" w:cs="Microsoft Sans Serif"/>
          <w:sz w:val="20"/>
          <w:szCs w:val="20"/>
          <w:lang w:val="sr-Cyrl-CS"/>
        </w:rPr>
        <w:t xml:space="preserve"> </w:t>
      </w:r>
      <w:r>
        <w:rPr>
          <w:rFonts w:ascii="Microsoft Sans Serif" w:hAnsi="Microsoft Sans Serif" w:cs="Microsoft Sans Serif"/>
          <w:sz w:val="20"/>
          <w:szCs w:val="20"/>
          <w:lang w:val="hr-HR"/>
        </w:rPr>
        <w:t>nema direktnog uticaja na sposobnost upravljanja vozilima i rada na mašinama, ali individualne reakcije povezane sa niskim krvnim pritiskom mogu se javiti kod pojedinih pacijenata, osobito na početku liječenja ili u kombinaciji sa drugim antihpertenzivnim lijekovima. Rezultat toga može biti smanjenje sposobnosti upravljanja vozilima ili rukovanja mašinama.</w:t>
      </w:r>
    </w:p>
    <w:p w14:paraId="45988F4B">
      <w:pPr>
        <w:shd w:val="clear" w:color="auto" w:fill="FFFFFF"/>
        <w:jc w:val="both"/>
        <w:rPr>
          <w:rFonts w:ascii="Microsoft Sans Serif" w:hAnsi="Microsoft Sans Serif" w:cs="Microsoft Sans Serif"/>
          <w:sz w:val="20"/>
          <w:szCs w:val="20"/>
          <w:lang w:val="hr-HR"/>
        </w:rPr>
      </w:pPr>
    </w:p>
    <w:p w14:paraId="08BDFFE4">
      <w:pPr>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mk-MK"/>
        </w:rPr>
        <w:t>4.8</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es-MX"/>
        </w:rPr>
        <w:t>Neželjena djelovanja</w:t>
      </w:r>
    </w:p>
    <w:p w14:paraId="7C0E753D">
      <w:pPr>
        <w:jc w:val="both"/>
        <w:rPr>
          <w:rFonts w:ascii="Microsoft Sans Serif" w:hAnsi="Microsoft Sans Serif" w:cs="Microsoft Sans Serif"/>
          <w:sz w:val="20"/>
          <w:szCs w:val="20"/>
          <w:lang w:val="hr-HR"/>
        </w:rPr>
      </w:pPr>
    </w:p>
    <w:p w14:paraId="51B493D4">
      <w:pPr>
        <w:pStyle w:val="16"/>
        <w:rPr>
          <w:rStyle w:val="33"/>
          <w:rFonts w:ascii="Microsoft Sans Serif" w:hAnsi="Microsoft Sans Serif" w:cs="Microsoft Sans Serif"/>
          <w:color w:val="222222"/>
          <w:sz w:val="20"/>
          <w:szCs w:val="20"/>
          <w:lang w:val="hr-HR"/>
        </w:rPr>
      </w:pPr>
      <w:r>
        <w:rPr>
          <w:rStyle w:val="33"/>
          <w:rFonts w:ascii="Microsoft Sans Serif" w:hAnsi="Microsoft Sans Serif" w:cs="Microsoft Sans Serif"/>
          <w:color w:val="222222"/>
          <w:sz w:val="20"/>
          <w:szCs w:val="20"/>
          <w:lang w:val="hr-HR"/>
        </w:rPr>
        <w:t>Sažetak</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sigurnosnog profila</w:t>
      </w:r>
    </w:p>
    <w:p w14:paraId="179810CC">
      <w:pPr>
        <w:pStyle w:val="16"/>
        <w:rPr>
          <w:rFonts w:ascii="Microsoft Sans Serif" w:hAnsi="Microsoft Sans Serif" w:cs="Microsoft Sans Serif"/>
          <w:color w:val="222222"/>
          <w:sz w:val="20"/>
          <w:szCs w:val="20"/>
          <w:lang w:val="hr-HR"/>
        </w:rPr>
      </w:pPr>
      <w:r>
        <w:rPr>
          <w:rStyle w:val="33"/>
          <w:rFonts w:ascii="Microsoft Sans Serif" w:hAnsi="Microsoft Sans Serif" w:cs="Microsoft Sans Serif"/>
          <w:color w:val="222222"/>
          <w:sz w:val="20"/>
          <w:szCs w:val="20"/>
          <w:lang w:val="hr-HR"/>
        </w:rPr>
        <w:t>Sigurnosni profil</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perindoprila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je u skladu sa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sigurnosnim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profilom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ACE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inhibitora</w:t>
      </w:r>
      <w:r>
        <w:rPr>
          <w:rFonts w:ascii="Microsoft Sans Serif" w:hAnsi="Microsoft Sans Serif" w:cs="Microsoft Sans Serif"/>
          <w:color w:val="222222"/>
          <w:sz w:val="20"/>
          <w:szCs w:val="20"/>
          <w:lang w:val="hr-HR"/>
        </w:rPr>
        <w:t xml:space="preserve">: </w:t>
      </w:r>
    </w:p>
    <w:p w14:paraId="3FC92159">
      <w:pPr>
        <w:pStyle w:val="16"/>
        <w:rPr>
          <w:rFonts w:ascii="Microsoft Sans Serif" w:hAnsi="Microsoft Sans Serif" w:cs="Microsoft Sans Serif"/>
          <w:color w:val="222222"/>
          <w:sz w:val="20"/>
          <w:szCs w:val="20"/>
          <w:lang w:val="hr-HR"/>
        </w:rPr>
      </w:pPr>
      <w:r>
        <w:rPr>
          <w:rStyle w:val="33"/>
          <w:rFonts w:ascii="Microsoft Sans Serif" w:hAnsi="Microsoft Sans Serif" w:cs="Microsoft Sans Serif"/>
          <w:color w:val="222222"/>
          <w:sz w:val="20"/>
          <w:szCs w:val="20"/>
          <w:lang w:val="hr-HR"/>
        </w:rPr>
        <w:t>Najčešća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neželjena djelovanja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prijavljena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u kliničkim ispitivanjima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zabilježena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perindoprilom</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su</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vrtoglavica</w:t>
      </w:r>
      <w:r>
        <w:rPr>
          <w:rFonts w:ascii="Microsoft Sans Serif" w:hAnsi="Microsoft Sans Serif" w:cs="Microsoft Sans Serif"/>
          <w:color w:val="222222"/>
          <w:sz w:val="20"/>
          <w:szCs w:val="20"/>
          <w:lang w:val="hr-HR"/>
        </w:rPr>
        <w:t xml:space="preserve">, glavobolja, </w:t>
      </w:r>
      <w:r>
        <w:rPr>
          <w:rStyle w:val="33"/>
          <w:rFonts w:ascii="Microsoft Sans Serif" w:hAnsi="Microsoft Sans Serif" w:cs="Microsoft Sans Serif"/>
          <w:color w:val="222222"/>
          <w:sz w:val="20"/>
          <w:szCs w:val="20"/>
          <w:lang w:val="hr-HR"/>
        </w:rPr>
        <w:t>parestezije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vertigo</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smetnje vida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tinitus</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hipotenzija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kašalj</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dispneja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bol u trbuhu</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konstipacija,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proliv</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dizguzija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dispepsija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mučnina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povraćanje</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svrbež,</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osip</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grčevi u mišićima</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i</w:t>
      </w:r>
      <w:r>
        <w:rPr>
          <w:rFonts w:ascii="Microsoft Sans Serif" w:hAnsi="Microsoft Sans Serif" w:cs="Microsoft Sans Serif"/>
          <w:color w:val="222222"/>
          <w:sz w:val="20"/>
          <w:szCs w:val="20"/>
          <w:lang w:val="hr-HR"/>
        </w:rPr>
        <w:t xml:space="preserve"> </w:t>
      </w:r>
      <w:r>
        <w:rPr>
          <w:rStyle w:val="33"/>
          <w:rFonts w:ascii="Microsoft Sans Serif" w:hAnsi="Microsoft Sans Serif" w:cs="Microsoft Sans Serif"/>
          <w:color w:val="222222"/>
          <w:sz w:val="20"/>
          <w:szCs w:val="20"/>
          <w:lang w:val="hr-HR"/>
        </w:rPr>
        <w:t>astenija</w:t>
      </w:r>
      <w:r>
        <w:rPr>
          <w:rFonts w:ascii="Microsoft Sans Serif" w:hAnsi="Microsoft Sans Serif" w:cs="Microsoft Sans Serif"/>
          <w:color w:val="222222"/>
          <w:sz w:val="20"/>
          <w:szCs w:val="20"/>
          <w:lang w:val="hr-HR"/>
        </w:rPr>
        <w:t>.</w:t>
      </w:r>
    </w:p>
    <w:p w14:paraId="221138DD">
      <w:pPr>
        <w:pStyle w:val="16"/>
        <w:rPr>
          <w:rFonts w:ascii="Microsoft Sans Serif" w:hAnsi="Microsoft Sans Serif" w:cs="Microsoft Sans Serif"/>
          <w:bCs/>
          <w:color w:val="auto"/>
          <w:sz w:val="20"/>
          <w:szCs w:val="20"/>
          <w:lang w:val="pl-PL"/>
        </w:rPr>
      </w:pPr>
    </w:p>
    <w:p w14:paraId="09BF2E7C">
      <w:pPr>
        <w:rPr>
          <w:rFonts w:ascii="Microsoft Sans Serif" w:hAnsi="Microsoft Sans Serif" w:cs="Microsoft Sans Serif"/>
          <w:color w:val="000000"/>
          <w:sz w:val="20"/>
          <w:szCs w:val="20"/>
          <w:lang w:val="pl-PL"/>
        </w:rPr>
      </w:pPr>
      <w:r>
        <w:rPr>
          <w:rFonts w:ascii="Microsoft Sans Serif" w:hAnsi="Microsoft Sans Serif" w:cs="Microsoft Sans Serif"/>
          <w:color w:val="000000"/>
          <w:sz w:val="20"/>
          <w:szCs w:val="20"/>
          <w:lang w:val="pl-PL"/>
        </w:rPr>
        <w:t xml:space="preserve">Tabelarni prikaz neželjenih reakcija </w:t>
      </w:r>
    </w:p>
    <w:p w14:paraId="0667075E">
      <w:pPr>
        <w:pStyle w:val="16"/>
        <w:rPr>
          <w:rFonts w:ascii="Microsoft Sans Serif" w:hAnsi="Microsoft Sans Serif" w:cs="Microsoft Sans Serif"/>
          <w:bCs/>
          <w:color w:val="auto"/>
          <w:sz w:val="20"/>
          <w:szCs w:val="20"/>
          <w:lang w:val="pl-PL"/>
        </w:rPr>
      </w:pPr>
      <w:r>
        <w:rPr>
          <w:rFonts w:ascii="Microsoft Sans Serif" w:hAnsi="Microsoft Sans Serif" w:eastAsia="ArialMT" w:cs="Microsoft Sans Serif"/>
          <w:color w:val="auto"/>
          <w:sz w:val="20"/>
          <w:szCs w:val="20"/>
        </w:rPr>
        <w:t>Sljedeće</w:t>
      </w:r>
      <w:r>
        <w:rPr>
          <w:rFonts w:ascii="Microsoft Sans Serif" w:hAnsi="Microsoft Sans Serif" w:eastAsia="ArialMT" w:cs="Microsoft Sans Serif"/>
          <w:sz w:val="20"/>
          <w:szCs w:val="20"/>
        </w:rPr>
        <w:t xml:space="preserve"> </w:t>
      </w:r>
      <w:r>
        <w:rPr>
          <w:rFonts w:ascii="Microsoft Sans Serif" w:hAnsi="Microsoft Sans Serif" w:cs="Microsoft Sans Serif"/>
          <w:bCs/>
          <w:color w:val="auto"/>
          <w:sz w:val="20"/>
          <w:szCs w:val="20"/>
          <w:lang w:val="pl-PL"/>
        </w:rPr>
        <w:t xml:space="preserve">neželjene reakcije koje su primjećene tokom kliničkih studija i/ili postmarketinške upotrebe perindoprila </w:t>
      </w:r>
      <w:r>
        <w:rPr>
          <w:rFonts w:ascii="Microsoft Sans Serif" w:hAnsi="Microsoft Sans Serif" w:cs="Microsoft Sans Serif"/>
          <w:color w:val="auto"/>
          <w:sz w:val="20"/>
          <w:szCs w:val="20"/>
          <w:lang w:val="hr-HR"/>
        </w:rPr>
        <w:t>su navedene prema učestalosti u sljedećim kategorijama:</w:t>
      </w:r>
      <w:r>
        <w:rPr>
          <w:rFonts w:ascii="Microsoft Sans Serif" w:hAnsi="Microsoft Sans Serif" w:cs="Microsoft Sans Serif"/>
          <w:bCs/>
          <w:color w:val="auto"/>
          <w:sz w:val="20"/>
          <w:szCs w:val="20"/>
          <w:lang w:val="pl-PL"/>
        </w:rPr>
        <w:t xml:space="preserve"> vrlo često </w:t>
      </w:r>
      <w:r>
        <w:rPr>
          <w:rFonts w:ascii="Microsoft Sans Serif" w:hAnsi="Microsoft Sans Serif" w:cs="Microsoft Sans Serif"/>
          <w:color w:val="auto"/>
          <w:sz w:val="20"/>
          <w:szCs w:val="20"/>
          <w:lang w:val="pl-PL"/>
        </w:rPr>
        <w:t>(&gt; 1/10)</w:t>
      </w:r>
      <w:r>
        <w:rPr>
          <w:rFonts w:ascii="Microsoft Sans Serif" w:hAnsi="Microsoft Sans Serif" w:cs="Microsoft Sans Serif"/>
          <w:bCs/>
          <w:color w:val="auto"/>
          <w:sz w:val="20"/>
          <w:szCs w:val="20"/>
          <w:lang w:val="pl-PL"/>
        </w:rPr>
        <w:t>; često (≥1/100 i &lt;1/10); povremeno (≥1/1.000 i &lt;1/100); rijetko (≥1/10.000 i &lt;1/1.000) i vrlo rijetko (&lt;1/10.000); nepoznato (ne može se procijeniti na osnovu dostupnih podataka). Unutar svake grupe učestalosti su prikazane u padajućem nizu prema ozbiljnosti.</w:t>
      </w:r>
    </w:p>
    <w:p w14:paraId="39925D17">
      <w:pPr>
        <w:rPr>
          <w:rFonts w:ascii="Microsoft Sans Serif" w:hAnsi="Microsoft Sans Serif" w:cs="Microsoft Sans Serif"/>
          <w:color w:val="000000"/>
          <w:sz w:val="20"/>
          <w:szCs w:val="20"/>
          <w:lang w:val="pl-PL"/>
        </w:rPr>
      </w:pPr>
    </w:p>
    <w:tbl>
      <w:tblPr>
        <w:tblStyle w:val="12"/>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09"/>
        <w:gridCol w:w="5184"/>
        <w:gridCol w:w="1596"/>
      </w:tblGrid>
      <w:tr w14:paraId="51D6D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3F0A212F">
            <w:pPr>
              <w:rPr>
                <w:rFonts w:ascii="Microsoft Sans Serif" w:hAnsi="Microsoft Sans Serif" w:cs="Microsoft Sans Serif"/>
                <w:color w:val="000000"/>
                <w:sz w:val="20"/>
                <w:szCs w:val="20"/>
              </w:rPr>
            </w:pPr>
            <w:r>
              <w:rPr>
                <w:rFonts w:ascii="Microsoft Sans Serif" w:hAnsi="Microsoft Sans Serif" w:cs="Microsoft Sans Serif"/>
                <w:b/>
                <w:bCs/>
                <w:color w:val="000000"/>
                <w:sz w:val="20"/>
                <w:szCs w:val="20"/>
              </w:rPr>
              <w:t>Klasifikacija po organskih sistema</w:t>
            </w:r>
          </w:p>
        </w:tc>
        <w:tc>
          <w:tcPr>
            <w:tcW w:w="2621" w:type="pct"/>
            <w:shd w:val="clear" w:color="auto" w:fill="auto"/>
          </w:tcPr>
          <w:p w14:paraId="02A7DC26">
            <w:pPr>
              <w:rPr>
                <w:rFonts w:ascii="Microsoft Sans Serif" w:hAnsi="Microsoft Sans Serif" w:cs="Microsoft Sans Serif"/>
                <w:color w:val="000000"/>
                <w:sz w:val="20"/>
                <w:szCs w:val="20"/>
              </w:rPr>
            </w:pPr>
            <w:r>
              <w:rPr>
                <w:rFonts w:ascii="Microsoft Sans Serif" w:hAnsi="Microsoft Sans Serif" w:cs="Microsoft Sans Serif"/>
                <w:b/>
                <w:bCs/>
                <w:color w:val="000000"/>
                <w:sz w:val="20"/>
                <w:szCs w:val="20"/>
              </w:rPr>
              <w:t>Neželjena djelovanja</w:t>
            </w:r>
          </w:p>
        </w:tc>
        <w:tc>
          <w:tcPr>
            <w:tcW w:w="807" w:type="pct"/>
            <w:shd w:val="clear" w:color="auto" w:fill="auto"/>
          </w:tcPr>
          <w:p w14:paraId="7CB549A2">
            <w:pPr>
              <w:rPr>
                <w:rFonts w:ascii="Microsoft Sans Serif" w:hAnsi="Microsoft Sans Serif" w:cs="Microsoft Sans Serif"/>
                <w:color w:val="000000"/>
                <w:sz w:val="20"/>
                <w:szCs w:val="20"/>
              </w:rPr>
            </w:pPr>
            <w:r>
              <w:rPr>
                <w:rFonts w:ascii="Microsoft Sans Serif" w:hAnsi="Microsoft Sans Serif" w:cs="Microsoft Sans Serif"/>
                <w:b/>
                <w:bCs/>
                <w:color w:val="000000"/>
                <w:sz w:val="20"/>
                <w:szCs w:val="20"/>
              </w:rPr>
              <w:t>Učestalost</w:t>
            </w:r>
          </w:p>
        </w:tc>
      </w:tr>
      <w:tr w14:paraId="353BE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39DD6CA3">
            <w:pPr>
              <w:pStyle w:val="31"/>
              <w:jc w:val="left"/>
              <w:rPr>
                <w:rFonts w:ascii="Microsoft Sans Serif" w:hAnsi="Microsoft Sans Serif" w:cs="Microsoft Sans Serif"/>
                <w:b w:val="0"/>
                <w:sz w:val="20"/>
                <w:szCs w:val="20"/>
                <w:u w:val="single"/>
                <w:lang w:val="da-DK"/>
              </w:rPr>
            </w:pPr>
            <w:r>
              <w:rPr>
                <w:rFonts w:ascii="Microsoft Sans Serif" w:hAnsi="Microsoft Sans Serif" w:cs="Microsoft Sans Serif"/>
                <w:b w:val="0"/>
                <w:sz w:val="20"/>
                <w:szCs w:val="20"/>
                <w:u w:val="single"/>
                <w:lang w:val="da-DK"/>
              </w:rPr>
              <w:t>Poremećaji krvi i limfnog sistema</w:t>
            </w:r>
          </w:p>
          <w:p w14:paraId="7E9D757D">
            <w:pPr>
              <w:pStyle w:val="31"/>
              <w:jc w:val="left"/>
              <w:rPr>
                <w:rFonts w:ascii="Microsoft Sans Serif" w:hAnsi="Microsoft Sans Serif" w:cs="Microsoft Sans Serif"/>
                <w:color w:val="000000"/>
                <w:sz w:val="20"/>
                <w:szCs w:val="20"/>
              </w:rPr>
            </w:pPr>
          </w:p>
        </w:tc>
        <w:tc>
          <w:tcPr>
            <w:tcW w:w="2621" w:type="pct"/>
            <w:shd w:val="clear" w:color="auto" w:fill="auto"/>
          </w:tcPr>
          <w:p w14:paraId="79B1392A">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eozinofilija </w:t>
            </w:r>
          </w:p>
        </w:tc>
        <w:tc>
          <w:tcPr>
            <w:tcW w:w="807" w:type="pct"/>
            <w:shd w:val="clear" w:color="auto" w:fill="auto"/>
          </w:tcPr>
          <w:p w14:paraId="1EEAEAB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5A3F1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55F7F31A">
            <w:pPr>
              <w:rPr>
                <w:rFonts w:ascii="Microsoft Sans Serif" w:hAnsi="Microsoft Sans Serif" w:cs="Microsoft Sans Serif"/>
                <w:color w:val="000000"/>
                <w:sz w:val="20"/>
                <w:szCs w:val="20"/>
              </w:rPr>
            </w:pPr>
          </w:p>
        </w:tc>
        <w:tc>
          <w:tcPr>
            <w:tcW w:w="2621" w:type="pct"/>
            <w:shd w:val="clear" w:color="auto" w:fill="auto"/>
          </w:tcPr>
          <w:p w14:paraId="2435FCFF">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agranulocitoza ili pancitopenija</w:t>
            </w:r>
          </w:p>
        </w:tc>
        <w:tc>
          <w:tcPr>
            <w:tcW w:w="807" w:type="pct"/>
            <w:shd w:val="clear" w:color="auto" w:fill="auto"/>
          </w:tcPr>
          <w:p w14:paraId="4637803A">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Vrlo rijetko </w:t>
            </w:r>
          </w:p>
        </w:tc>
      </w:tr>
      <w:tr w14:paraId="6C14E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415889E2">
            <w:pPr>
              <w:rPr>
                <w:rFonts w:ascii="Microsoft Sans Serif" w:hAnsi="Microsoft Sans Serif" w:cs="Microsoft Sans Serif"/>
                <w:color w:val="000000"/>
                <w:sz w:val="20"/>
                <w:szCs w:val="20"/>
              </w:rPr>
            </w:pPr>
          </w:p>
        </w:tc>
        <w:tc>
          <w:tcPr>
            <w:tcW w:w="2621" w:type="pct"/>
            <w:shd w:val="clear" w:color="auto" w:fill="auto"/>
          </w:tcPr>
          <w:p w14:paraId="7CAE7D89">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smanjenje hemoglobina i hematokrita</w:t>
            </w:r>
          </w:p>
        </w:tc>
        <w:tc>
          <w:tcPr>
            <w:tcW w:w="807" w:type="pct"/>
            <w:shd w:val="clear" w:color="auto" w:fill="auto"/>
          </w:tcPr>
          <w:p w14:paraId="4D12FA3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560D6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83D35AB">
            <w:pPr>
              <w:rPr>
                <w:rFonts w:ascii="Microsoft Sans Serif" w:hAnsi="Microsoft Sans Serif" w:cs="Microsoft Sans Serif"/>
                <w:color w:val="000000"/>
                <w:sz w:val="20"/>
                <w:szCs w:val="20"/>
              </w:rPr>
            </w:pPr>
          </w:p>
        </w:tc>
        <w:tc>
          <w:tcPr>
            <w:tcW w:w="2621" w:type="pct"/>
            <w:shd w:val="clear" w:color="auto" w:fill="auto"/>
          </w:tcPr>
          <w:p w14:paraId="5F40D555">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leukopenija/neutropenija</w:t>
            </w:r>
          </w:p>
        </w:tc>
        <w:tc>
          <w:tcPr>
            <w:tcW w:w="807" w:type="pct"/>
            <w:shd w:val="clear" w:color="auto" w:fill="auto"/>
          </w:tcPr>
          <w:p w14:paraId="5545139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3FC9A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5C77C3AB">
            <w:pPr>
              <w:rPr>
                <w:rFonts w:ascii="Microsoft Sans Serif" w:hAnsi="Microsoft Sans Serif" w:cs="Microsoft Sans Serif"/>
                <w:color w:val="000000"/>
                <w:sz w:val="20"/>
                <w:szCs w:val="20"/>
              </w:rPr>
            </w:pPr>
          </w:p>
        </w:tc>
        <w:tc>
          <w:tcPr>
            <w:tcW w:w="2621" w:type="pct"/>
            <w:shd w:val="clear" w:color="auto" w:fill="auto"/>
          </w:tcPr>
          <w:p w14:paraId="799A5D9F">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hemolitička anemija kod pacijenata sa kongenitalnom deficijencijom G-6PDH</w:t>
            </w:r>
            <w:r>
              <w:rPr>
                <w:rFonts w:ascii="Microsoft Sans Serif" w:hAnsi="Microsoft Sans Serif" w:cs="Microsoft Sans Serif"/>
                <w:color w:val="000000"/>
                <w:sz w:val="20"/>
                <w:szCs w:val="20"/>
              </w:rPr>
              <w:t xml:space="preserve"> (</w:t>
            </w:r>
            <w:r>
              <w:rPr>
                <w:rFonts w:ascii="Microsoft Sans Serif" w:hAnsi="Microsoft Sans Serif" w:cs="Microsoft Sans Serif"/>
                <w:sz w:val="20"/>
                <w:szCs w:val="20"/>
                <w:lang w:val="hr-HR"/>
              </w:rPr>
              <w:t xml:space="preserve">pogledati dio </w:t>
            </w:r>
            <w:r>
              <w:rPr>
                <w:rFonts w:ascii="Microsoft Sans Serif" w:hAnsi="Microsoft Sans Serif" w:cs="Microsoft Sans Serif"/>
                <w:color w:val="000000"/>
                <w:sz w:val="20"/>
                <w:szCs w:val="20"/>
              </w:rPr>
              <w:t xml:space="preserve">4.4) </w:t>
            </w:r>
          </w:p>
        </w:tc>
        <w:tc>
          <w:tcPr>
            <w:tcW w:w="807" w:type="pct"/>
            <w:shd w:val="clear" w:color="auto" w:fill="auto"/>
          </w:tcPr>
          <w:p w14:paraId="3206892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4CCE8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596D28B">
            <w:pPr>
              <w:rPr>
                <w:rFonts w:ascii="Microsoft Sans Serif" w:hAnsi="Microsoft Sans Serif" w:cs="Microsoft Sans Serif"/>
                <w:color w:val="000000"/>
                <w:sz w:val="20"/>
                <w:szCs w:val="20"/>
              </w:rPr>
            </w:pPr>
          </w:p>
        </w:tc>
        <w:tc>
          <w:tcPr>
            <w:tcW w:w="2621" w:type="pct"/>
            <w:shd w:val="clear" w:color="auto" w:fill="auto"/>
          </w:tcPr>
          <w:p w14:paraId="7617F8C8">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trombocitopenija</w:t>
            </w:r>
          </w:p>
        </w:tc>
        <w:tc>
          <w:tcPr>
            <w:tcW w:w="807" w:type="pct"/>
            <w:shd w:val="clear" w:color="auto" w:fill="auto"/>
          </w:tcPr>
          <w:p w14:paraId="10B00C2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43829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26612276">
            <w:pPr>
              <w:shd w:val="clear" w:color="auto" w:fill="FFFFFF"/>
              <w:rPr>
                <w:rFonts w:ascii="Microsoft Sans Serif" w:hAnsi="Microsoft Sans Serif" w:cs="Microsoft Sans Serif"/>
                <w:iCs/>
                <w:sz w:val="20"/>
                <w:szCs w:val="20"/>
                <w:u w:val="single"/>
                <w:lang w:val="hr-HR"/>
              </w:rPr>
            </w:pPr>
            <w:r>
              <w:rPr>
                <w:rFonts w:ascii="Microsoft Sans Serif" w:hAnsi="Microsoft Sans Serif" w:cs="Microsoft Sans Serif"/>
                <w:iCs/>
                <w:sz w:val="20"/>
                <w:szCs w:val="20"/>
                <w:u w:val="single"/>
                <w:lang w:val="hr-HR"/>
              </w:rPr>
              <w:t>Endokrini poremećaji</w:t>
            </w:r>
          </w:p>
        </w:tc>
        <w:tc>
          <w:tcPr>
            <w:tcW w:w="2621" w:type="pct"/>
            <w:shd w:val="clear" w:color="auto" w:fill="auto"/>
          </w:tcPr>
          <w:p w14:paraId="7773BFA3">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Sindrom neodgovarajućeg lučenja antidiuretskog hormona (SIADH, eng. </w:t>
            </w:r>
            <w:r>
              <w:rPr>
                <w:rFonts w:ascii="Microsoft Sans Serif" w:hAnsi="Microsoft Sans Serif" w:cs="Microsoft Sans Serif"/>
                <w:color w:val="000000"/>
                <w:sz w:val="20"/>
                <w:szCs w:val="20"/>
              </w:rPr>
              <w:t>syndrome of inappropriate antidiuretic hormone secretion</w:t>
            </w:r>
            <w:r>
              <w:rPr>
                <w:rFonts w:ascii="Microsoft Sans Serif" w:hAnsi="Microsoft Sans Serif" w:cs="Microsoft Sans Serif"/>
                <w:sz w:val="20"/>
                <w:szCs w:val="20"/>
                <w:lang w:val="hr-HR"/>
              </w:rPr>
              <w:t>)</w:t>
            </w:r>
          </w:p>
        </w:tc>
        <w:tc>
          <w:tcPr>
            <w:tcW w:w="807" w:type="pct"/>
            <w:shd w:val="clear" w:color="auto" w:fill="auto"/>
          </w:tcPr>
          <w:p w14:paraId="2E8BC7F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Rijetko</w:t>
            </w:r>
          </w:p>
        </w:tc>
      </w:tr>
      <w:tr w14:paraId="22E82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29542680">
            <w:pPr>
              <w:shd w:val="clear" w:color="auto" w:fill="FFFFFF"/>
              <w:rPr>
                <w:rFonts w:ascii="Microsoft Sans Serif" w:hAnsi="Microsoft Sans Serif" w:cs="Microsoft Sans Serif"/>
                <w:sz w:val="20"/>
                <w:szCs w:val="20"/>
                <w:u w:val="single"/>
                <w:lang w:val="hr-HR"/>
              </w:rPr>
            </w:pPr>
            <w:r>
              <w:rPr>
                <w:rFonts w:ascii="Microsoft Sans Serif" w:hAnsi="Microsoft Sans Serif" w:cs="Microsoft Sans Serif"/>
                <w:iCs/>
                <w:sz w:val="20"/>
                <w:szCs w:val="20"/>
                <w:u w:val="single"/>
                <w:lang w:val="hr-HR"/>
              </w:rPr>
              <w:t>Poremećaji metabolizma i prehrane</w:t>
            </w:r>
          </w:p>
          <w:p w14:paraId="1C55B320">
            <w:pPr>
              <w:rPr>
                <w:rFonts w:ascii="Microsoft Sans Serif" w:hAnsi="Microsoft Sans Serif" w:cs="Microsoft Sans Serif"/>
                <w:color w:val="000000"/>
                <w:sz w:val="20"/>
                <w:szCs w:val="20"/>
              </w:rPr>
            </w:pPr>
          </w:p>
        </w:tc>
        <w:tc>
          <w:tcPr>
            <w:tcW w:w="2621" w:type="pct"/>
            <w:shd w:val="clear" w:color="auto" w:fill="auto"/>
          </w:tcPr>
          <w:p w14:paraId="1EC59610">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 xml:space="preserve">hipoglikemija </w:t>
            </w:r>
            <w:r>
              <w:rPr>
                <w:rFonts w:ascii="Microsoft Sans Serif" w:hAnsi="Microsoft Sans Serif" w:cs="Microsoft Sans Serif"/>
                <w:color w:val="000000"/>
                <w:sz w:val="20"/>
                <w:szCs w:val="20"/>
              </w:rPr>
              <w:t xml:space="preserve">(pogledati dijelove  4.4 i 4.5) </w:t>
            </w:r>
          </w:p>
        </w:tc>
        <w:tc>
          <w:tcPr>
            <w:tcW w:w="807" w:type="pct"/>
            <w:shd w:val="clear" w:color="auto" w:fill="auto"/>
          </w:tcPr>
          <w:p w14:paraId="1D1AA993">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75D82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EB9E54C">
            <w:pPr>
              <w:rPr>
                <w:rFonts w:ascii="Microsoft Sans Serif" w:hAnsi="Microsoft Sans Serif" w:cs="Microsoft Sans Serif"/>
                <w:color w:val="000000"/>
                <w:sz w:val="20"/>
                <w:szCs w:val="20"/>
              </w:rPr>
            </w:pPr>
          </w:p>
        </w:tc>
        <w:tc>
          <w:tcPr>
            <w:tcW w:w="2621" w:type="pct"/>
            <w:shd w:val="clear" w:color="auto" w:fill="auto"/>
          </w:tcPr>
          <w:p w14:paraId="7C9E7184">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hiperkalijemija koja je reverzibilna po prekidu uzimanja lijeka</w:t>
            </w:r>
            <w:r>
              <w:rPr>
                <w:rFonts w:ascii="Microsoft Sans Serif" w:hAnsi="Microsoft Sans Serif" w:cs="Microsoft Sans Serif"/>
                <w:color w:val="000000"/>
                <w:sz w:val="20"/>
                <w:szCs w:val="20"/>
              </w:rPr>
              <w:t xml:space="preserve"> (pogledati dio 4.4) </w:t>
            </w:r>
          </w:p>
        </w:tc>
        <w:tc>
          <w:tcPr>
            <w:tcW w:w="807" w:type="pct"/>
            <w:shd w:val="clear" w:color="auto" w:fill="auto"/>
          </w:tcPr>
          <w:p w14:paraId="6575DE2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04B9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F93F407">
            <w:pPr>
              <w:rPr>
                <w:rFonts w:ascii="Microsoft Sans Serif" w:hAnsi="Microsoft Sans Serif" w:cs="Microsoft Sans Serif"/>
                <w:color w:val="000000"/>
                <w:sz w:val="20"/>
                <w:szCs w:val="20"/>
              </w:rPr>
            </w:pPr>
          </w:p>
        </w:tc>
        <w:tc>
          <w:tcPr>
            <w:tcW w:w="2621" w:type="pct"/>
            <w:shd w:val="clear" w:color="auto" w:fill="auto"/>
          </w:tcPr>
          <w:p w14:paraId="6A05A7C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hiponatremija </w:t>
            </w:r>
          </w:p>
        </w:tc>
        <w:tc>
          <w:tcPr>
            <w:tcW w:w="807" w:type="pct"/>
            <w:shd w:val="clear" w:color="auto" w:fill="auto"/>
          </w:tcPr>
          <w:p w14:paraId="760170A6">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1D6FF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5E4CB90A">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iCs/>
                <w:sz w:val="20"/>
                <w:szCs w:val="20"/>
                <w:u w:val="single"/>
                <w:lang w:val="hr-HR"/>
              </w:rPr>
              <w:t>Psihijatrijski poremećaji</w:t>
            </w:r>
          </w:p>
          <w:p w14:paraId="40638F4C">
            <w:pPr>
              <w:rPr>
                <w:rFonts w:ascii="Microsoft Sans Serif" w:hAnsi="Microsoft Sans Serif" w:cs="Microsoft Sans Serif"/>
                <w:color w:val="000000"/>
                <w:sz w:val="20"/>
                <w:szCs w:val="20"/>
              </w:rPr>
            </w:pPr>
          </w:p>
        </w:tc>
        <w:tc>
          <w:tcPr>
            <w:tcW w:w="2621" w:type="pct"/>
            <w:shd w:val="clear" w:color="auto" w:fill="auto"/>
          </w:tcPr>
          <w:p w14:paraId="467D2835">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poremećaji raspoloženja</w:t>
            </w:r>
          </w:p>
        </w:tc>
        <w:tc>
          <w:tcPr>
            <w:tcW w:w="807" w:type="pct"/>
            <w:shd w:val="clear" w:color="auto" w:fill="auto"/>
          </w:tcPr>
          <w:p w14:paraId="4A7C4BAD">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2418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C778F8A">
            <w:pPr>
              <w:rPr>
                <w:rFonts w:ascii="Microsoft Sans Serif" w:hAnsi="Microsoft Sans Serif" w:cs="Microsoft Sans Serif"/>
                <w:color w:val="000000"/>
                <w:sz w:val="20"/>
                <w:szCs w:val="20"/>
              </w:rPr>
            </w:pPr>
          </w:p>
        </w:tc>
        <w:tc>
          <w:tcPr>
            <w:tcW w:w="2621" w:type="pct"/>
            <w:shd w:val="clear" w:color="auto" w:fill="auto"/>
          </w:tcPr>
          <w:p w14:paraId="41CA96F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poremećaji spavanja </w:t>
            </w:r>
          </w:p>
        </w:tc>
        <w:tc>
          <w:tcPr>
            <w:tcW w:w="807" w:type="pct"/>
            <w:shd w:val="clear" w:color="auto" w:fill="auto"/>
          </w:tcPr>
          <w:p w14:paraId="140F83D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F596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4306F777">
            <w:pPr>
              <w:rPr>
                <w:rFonts w:ascii="Microsoft Sans Serif" w:hAnsi="Microsoft Sans Serif" w:cs="Microsoft Sans Serif"/>
                <w:color w:val="000000"/>
                <w:sz w:val="20"/>
                <w:szCs w:val="20"/>
              </w:rPr>
            </w:pPr>
          </w:p>
        </w:tc>
        <w:tc>
          <w:tcPr>
            <w:tcW w:w="2621" w:type="pct"/>
            <w:shd w:val="clear" w:color="auto" w:fill="auto"/>
          </w:tcPr>
          <w:p w14:paraId="7D505E8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depresija</w:t>
            </w:r>
          </w:p>
        </w:tc>
        <w:tc>
          <w:tcPr>
            <w:tcW w:w="807" w:type="pct"/>
            <w:shd w:val="clear" w:color="auto" w:fill="auto"/>
          </w:tcPr>
          <w:p w14:paraId="0F475A21">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Povremeno</w:t>
            </w:r>
          </w:p>
        </w:tc>
      </w:tr>
      <w:tr w14:paraId="3CFA7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1632C031">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iCs/>
                <w:sz w:val="20"/>
                <w:szCs w:val="20"/>
                <w:u w:val="single"/>
                <w:lang w:val="hr-HR"/>
              </w:rPr>
              <w:t>Poremećaji nervnog sistema</w:t>
            </w:r>
          </w:p>
          <w:p w14:paraId="3403D731">
            <w:pPr>
              <w:shd w:val="clear" w:color="auto" w:fill="FFFFFF"/>
              <w:jc w:val="both"/>
              <w:rPr>
                <w:rFonts w:ascii="Microsoft Sans Serif" w:hAnsi="Microsoft Sans Serif" w:cs="Microsoft Sans Serif"/>
                <w:color w:val="000000"/>
                <w:sz w:val="20"/>
                <w:szCs w:val="20"/>
              </w:rPr>
            </w:pPr>
          </w:p>
        </w:tc>
        <w:tc>
          <w:tcPr>
            <w:tcW w:w="2621" w:type="pct"/>
            <w:shd w:val="clear" w:color="auto" w:fill="auto"/>
          </w:tcPr>
          <w:p w14:paraId="12633FE8">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vrtoglavica</w:t>
            </w:r>
          </w:p>
        </w:tc>
        <w:tc>
          <w:tcPr>
            <w:tcW w:w="807" w:type="pct"/>
            <w:shd w:val="clear" w:color="auto" w:fill="auto"/>
          </w:tcPr>
          <w:p w14:paraId="0497573D">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Često </w:t>
            </w:r>
          </w:p>
        </w:tc>
      </w:tr>
      <w:tr w14:paraId="6B3A0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07C9855">
            <w:pPr>
              <w:rPr>
                <w:rFonts w:ascii="Microsoft Sans Serif" w:hAnsi="Microsoft Sans Serif" w:cs="Microsoft Sans Serif"/>
                <w:color w:val="000000"/>
                <w:sz w:val="20"/>
                <w:szCs w:val="20"/>
              </w:rPr>
            </w:pPr>
          </w:p>
        </w:tc>
        <w:tc>
          <w:tcPr>
            <w:tcW w:w="2621" w:type="pct"/>
            <w:shd w:val="clear" w:color="auto" w:fill="auto"/>
          </w:tcPr>
          <w:p w14:paraId="76ECD7DB">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glavobolja</w:t>
            </w:r>
          </w:p>
        </w:tc>
        <w:tc>
          <w:tcPr>
            <w:tcW w:w="807" w:type="pct"/>
            <w:shd w:val="clear" w:color="auto" w:fill="auto"/>
          </w:tcPr>
          <w:p w14:paraId="7721EAC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1EFE1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C9C87C5">
            <w:pPr>
              <w:rPr>
                <w:rFonts w:ascii="Microsoft Sans Serif" w:hAnsi="Microsoft Sans Serif" w:cs="Microsoft Sans Serif"/>
                <w:color w:val="000000"/>
                <w:sz w:val="20"/>
                <w:szCs w:val="20"/>
              </w:rPr>
            </w:pPr>
          </w:p>
        </w:tc>
        <w:tc>
          <w:tcPr>
            <w:tcW w:w="2621" w:type="pct"/>
            <w:shd w:val="clear" w:color="auto" w:fill="auto"/>
          </w:tcPr>
          <w:p w14:paraId="0C1157FA">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parestezije</w:t>
            </w:r>
          </w:p>
        </w:tc>
        <w:tc>
          <w:tcPr>
            <w:tcW w:w="807" w:type="pct"/>
            <w:shd w:val="clear" w:color="auto" w:fill="auto"/>
          </w:tcPr>
          <w:p w14:paraId="1068C94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62124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16087DC1">
            <w:pPr>
              <w:rPr>
                <w:rFonts w:ascii="Microsoft Sans Serif" w:hAnsi="Microsoft Sans Serif" w:cs="Microsoft Sans Serif"/>
                <w:color w:val="000000"/>
                <w:sz w:val="20"/>
                <w:szCs w:val="20"/>
              </w:rPr>
            </w:pPr>
          </w:p>
        </w:tc>
        <w:tc>
          <w:tcPr>
            <w:tcW w:w="2621" w:type="pct"/>
            <w:shd w:val="clear" w:color="auto" w:fill="auto"/>
          </w:tcPr>
          <w:p w14:paraId="5ECD10D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vertigo </w:t>
            </w:r>
          </w:p>
        </w:tc>
        <w:tc>
          <w:tcPr>
            <w:tcW w:w="807" w:type="pct"/>
            <w:shd w:val="clear" w:color="auto" w:fill="auto"/>
          </w:tcPr>
          <w:p w14:paraId="7C0B8C4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Često </w:t>
            </w:r>
          </w:p>
        </w:tc>
      </w:tr>
      <w:tr w14:paraId="35832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223D4ED">
            <w:pPr>
              <w:rPr>
                <w:rFonts w:ascii="Microsoft Sans Serif" w:hAnsi="Microsoft Sans Serif" w:cs="Microsoft Sans Serif"/>
                <w:color w:val="000000"/>
                <w:sz w:val="20"/>
                <w:szCs w:val="20"/>
              </w:rPr>
            </w:pPr>
          </w:p>
        </w:tc>
        <w:tc>
          <w:tcPr>
            <w:tcW w:w="2621" w:type="pct"/>
            <w:shd w:val="clear" w:color="auto" w:fill="auto"/>
          </w:tcPr>
          <w:p w14:paraId="63AC7D6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pospanost </w:t>
            </w:r>
          </w:p>
        </w:tc>
        <w:tc>
          <w:tcPr>
            <w:tcW w:w="807" w:type="pct"/>
            <w:shd w:val="clear" w:color="auto" w:fill="auto"/>
          </w:tcPr>
          <w:p w14:paraId="6B54F68B">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23103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04D273A3">
            <w:pPr>
              <w:rPr>
                <w:rFonts w:ascii="Microsoft Sans Serif" w:hAnsi="Microsoft Sans Serif" w:cs="Microsoft Sans Serif"/>
                <w:color w:val="000000"/>
                <w:sz w:val="20"/>
                <w:szCs w:val="20"/>
              </w:rPr>
            </w:pPr>
          </w:p>
        </w:tc>
        <w:tc>
          <w:tcPr>
            <w:tcW w:w="2621" w:type="pct"/>
            <w:shd w:val="clear" w:color="auto" w:fill="auto"/>
          </w:tcPr>
          <w:p w14:paraId="18AAF43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sinkopa </w:t>
            </w:r>
          </w:p>
        </w:tc>
        <w:tc>
          <w:tcPr>
            <w:tcW w:w="807" w:type="pct"/>
            <w:shd w:val="clear" w:color="auto" w:fill="auto"/>
          </w:tcPr>
          <w:p w14:paraId="71674D5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2641D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40315BEB">
            <w:pPr>
              <w:rPr>
                <w:rFonts w:ascii="Microsoft Sans Serif" w:hAnsi="Microsoft Sans Serif" w:cs="Microsoft Sans Serif"/>
                <w:color w:val="000000"/>
                <w:sz w:val="20"/>
                <w:szCs w:val="20"/>
              </w:rPr>
            </w:pPr>
          </w:p>
        </w:tc>
        <w:tc>
          <w:tcPr>
            <w:tcW w:w="2621" w:type="pct"/>
            <w:shd w:val="clear" w:color="auto" w:fill="auto"/>
          </w:tcPr>
          <w:p w14:paraId="40A02BD3">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konfuzija</w:t>
            </w:r>
          </w:p>
        </w:tc>
        <w:tc>
          <w:tcPr>
            <w:tcW w:w="807" w:type="pct"/>
            <w:shd w:val="clear" w:color="auto" w:fill="auto"/>
          </w:tcPr>
          <w:p w14:paraId="5BBE153E">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Vrlo rijetko </w:t>
            </w:r>
          </w:p>
        </w:tc>
      </w:tr>
      <w:tr w14:paraId="5F406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462E9C15">
            <w:pPr>
              <w:shd w:val="clear" w:color="auto" w:fill="FFFFFF"/>
              <w:jc w:val="both"/>
              <w:rPr>
                <w:rFonts w:ascii="Microsoft Sans Serif" w:hAnsi="Microsoft Sans Serif" w:cs="Microsoft Sans Serif"/>
                <w:color w:val="000000"/>
                <w:sz w:val="20"/>
                <w:szCs w:val="20"/>
              </w:rPr>
            </w:pPr>
            <w:r>
              <w:rPr>
                <w:rFonts w:ascii="Microsoft Sans Serif" w:hAnsi="Microsoft Sans Serif" w:cs="Microsoft Sans Serif"/>
                <w:iCs/>
                <w:sz w:val="20"/>
                <w:szCs w:val="20"/>
                <w:u w:val="single"/>
                <w:lang w:val="hr-HR"/>
              </w:rPr>
              <w:t>Poremećaji oka</w:t>
            </w:r>
          </w:p>
        </w:tc>
        <w:tc>
          <w:tcPr>
            <w:tcW w:w="2621" w:type="pct"/>
            <w:shd w:val="clear" w:color="auto" w:fill="auto"/>
          </w:tcPr>
          <w:p w14:paraId="0526BAFB">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poremećaj vida</w:t>
            </w:r>
          </w:p>
        </w:tc>
        <w:tc>
          <w:tcPr>
            <w:tcW w:w="807" w:type="pct"/>
            <w:shd w:val="clear" w:color="auto" w:fill="auto"/>
          </w:tcPr>
          <w:p w14:paraId="39DFF17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5AB31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2AF1B90D">
            <w:pPr>
              <w:shd w:val="clear" w:color="auto" w:fill="FFFFFF"/>
              <w:jc w:val="both"/>
              <w:rPr>
                <w:rFonts w:ascii="Microsoft Sans Serif" w:hAnsi="Microsoft Sans Serif" w:cs="Microsoft Sans Serif"/>
                <w:color w:val="000000"/>
                <w:sz w:val="20"/>
                <w:szCs w:val="20"/>
              </w:rPr>
            </w:pPr>
            <w:r>
              <w:rPr>
                <w:rFonts w:ascii="Microsoft Sans Serif" w:hAnsi="Microsoft Sans Serif" w:cs="Microsoft Sans Serif"/>
                <w:iCs/>
                <w:sz w:val="20"/>
                <w:szCs w:val="20"/>
                <w:u w:val="single"/>
                <w:lang w:val="hr-HR"/>
              </w:rPr>
              <w:t>Poremećaji uha i labirinta</w:t>
            </w:r>
          </w:p>
        </w:tc>
        <w:tc>
          <w:tcPr>
            <w:tcW w:w="2621" w:type="pct"/>
            <w:shd w:val="clear" w:color="auto" w:fill="auto"/>
          </w:tcPr>
          <w:p w14:paraId="1654ECB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tinitus </w:t>
            </w:r>
          </w:p>
        </w:tc>
        <w:tc>
          <w:tcPr>
            <w:tcW w:w="807" w:type="pct"/>
            <w:shd w:val="clear" w:color="auto" w:fill="auto"/>
          </w:tcPr>
          <w:p w14:paraId="530AA6F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3F5EF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23DFAB0C">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iCs/>
                <w:sz w:val="20"/>
                <w:szCs w:val="20"/>
                <w:u w:val="single"/>
                <w:lang w:val="hr-HR"/>
              </w:rPr>
              <w:t>Srčani poremećaji</w:t>
            </w:r>
          </w:p>
          <w:p w14:paraId="56B1A4AE">
            <w:pPr>
              <w:shd w:val="clear" w:color="auto" w:fill="FFFFFF"/>
              <w:jc w:val="both"/>
              <w:rPr>
                <w:rFonts w:ascii="Microsoft Sans Serif" w:hAnsi="Microsoft Sans Serif" w:cs="Microsoft Sans Serif"/>
                <w:color w:val="000000"/>
                <w:sz w:val="20"/>
                <w:szCs w:val="20"/>
              </w:rPr>
            </w:pPr>
          </w:p>
        </w:tc>
        <w:tc>
          <w:tcPr>
            <w:tcW w:w="2621" w:type="pct"/>
            <w:shd w:val="clear" w:color="auto" w:fill="auto"/>
          </w:tcPr>
          <w:p w14:paraId="78077F53">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palpitacije </w:t>
            </w:r>
          </w:p>
        </w:tc>
        <w:tc>
          <w:tcPr>
            <w:tcW w:w="807" w:type="pct"/>
            <w:shd w:val="clear" w:color="auto" w:fill="auto"/>
          </w:tcPr>
          <w:p w14:paraId="52AC845E">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5CEDC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9039410">
            <w:pPr>
              <w:rPr>
                <w:rFonts w:ascii="Microsoft Sans Serif" w:hAnsi="Microsoft Sans Serif" w:cs="Microsoft Sans Serif"/>
                <w:color w:val="000000"/>
                <w:sz w:val="20"/>
                <w:szCs w:val="20"/>
              </w:rPr>
            </w:pPr>
          </w:p>
        </w:tc>
        <w:tc>
          <w:tcPr>
            <w:tcW w:w="2621" w:type="pct"/>
            <w:shd w:val="clear" w:color="auto" w:fill="auto"/>
          </w:tcPr>
          <w:p w14:paraId="5953F5B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tahikardija </w:t>
            </w:r>
          </w:p>
        </w:tc>
        <w:tc>
          <w:tcPr>
            <w:tcW w:w="807" w:type="pct"/>
            <w:shd w:val="clear" w:color="auto" w:fill="auto"/>
          </w:tcPr>
          <w:p w14:paraId="05064766">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4AE7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8DE8026">
            <w:pPr>
              <w:rPr>
                <w:rFonts w:ascii="Microsoft Sans Serif" w:hAnsi="Microsoft Sans Serif" w:cs="Microsoft Sans Serif"/>
                <w:color w:val="000000"/>
                <w:sz w:val="20"/>
                <w:szCs w:val="20"/>
              </w:rPr>
            </w:pPr>
          </w:p>
        </w:tc>
        <w:tc>
          <w:tcPr>
            <w:tcW w:w="2621" w:type="pct"/>
            <w:shd w:val="clear" w:color="auto" w:fill="auto"/>
          </w:tcPr>
          <w:p w14:paraId="7AE70067">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angina pektoris</w:t>
            </w:r>
            <w:r>
              <w:rPr>
                <w:rFonts w:ascii="Microsoft Sans Serif" w:hAnsi="Microsoft Sans Serif" w:cs="Microsoft Sans Serif"/>
                <w:color w:val="000000"/>
                <w:sz w:val="20"/>
                <w:szCs w:val="20"/>
              </w:rPr>
              <w:t xml:space="preserve"> (pogledati dio 4.4) </w:t>
            </w:r>
          </w:p>
        </w:tc>
        <w:tc>
          <w:tcPr>
            <w:tcW w:w="807" w:type="pct"/>
            <w:shd w:val="clear" w:color="auto" w:fill="auto"/>
          </w:tcPr>
          <w:p w14:paraId="0B075E0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5069A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4115F69">
            <w:pPr>
              <w:rPr>
                <w:rFonts w:ascii="Microsoft Sans Serif" w:hAnsi="Microsoft Sans Serif" w:cs="Microsoft Sans Serif"/>
                <w:color w:val="000000"/>
                <w:sz w:val="20"/>
                <w:szCs w:val="20"/>
              </w:rPr>
            </w:pPr>
          </w:p>
        </w:tc>
        <w:tc>
          <w:tcPr>
            <w:tcW w:w="2621" w:type="pct"/>
            <w:shd w:val="clear" w:color="auto" w:fill="auto"/>
          </w:tcPr>
          <w:p w14:paraId="4986020E">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aritmija</w:t>
            </w:r>
          </w:p>
        </w:tc>
        <w:tc>
          <w:tcPr>
            <w:tcW w:w="807" w:type="pct"/>
            <w:shd w:val="clear" w:color="auto" w:fill="auto"/>
          </w:tcPr>
          <w:p w14:paraId="3509B4CB">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7A596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FCCBA79">
            <w:pPr>
              <w:rPr>
                <w:rFonts w:ascii="Microsoft Sans Serif" w:hAnsi="Microsoft Sans Serif" w:cs="Microsoft Sans Serif"/>
                <w:color w:val="000000"/>
                <w:sz w:val="20"/>
                <w:szCs w:val="20"/>
              </w:rPr>
            </w:pPr>
          </w:p>
        </w:tc>
        <w:tc>
          <w:tcPr>
            <w:tcW w:w="2621" w:type="pct"/>
            <w:shd w:val="clear" w:color="auto" w:fill="auto"/>
          </w:tcPr>
          <w:p w14:paraId="6C1AA984">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infarkt miokarda, ponekad sekundarno nakon jake hipotenzije u visokorizičnih pacijenata</w:t>
            </w:r>
            <w:r>
              <w:rPr>
                <w:rFonts w:ascii="Microsoft Sans Serif" w:hAnsi="Microsoft Sans Serif" w:cs="Microsoft Sans Serif"/>
                <w:color w:val="000000"/>
                <w:sz w:val="20"/>
                <w:szCs w:val="20"/>
              </w:rPr>
              <w:t xml:space="preserve"> (pogledati dio  4.4) </w:t>
            </w:r>
          </w:p>
        </w:tc>
        <w:tc>
          <w:tcPr>
            <w:tcW w:w="807" w:type="pct"/>
            <w:shd w:val="clear" w:color="auto" w:fill="auto"/>
          </w:tcPr>
          <w:p w14:paraId="55E62D01">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3C02B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5332955E">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iCs/>
                <w:sz w:val="20"/>
                <w:szCs w:val="20"/>
                <w:u w:val="single"/>
                <w:lang w:val="hr-HR"/>
              </w:rPr>
              <w:t>Vaskularni poremećaji</w:t>
            </w:r>
          </w:p>
          <w:p w14:paraId="569926DE">
            <w:pPr>
              <w:shd w:val="clear" w:color="auto" w:fill="FFFFFF"/>
              <w:jc w:val="both"/>
              <w:rPr>
                <w:rFonts w:ascii="Microsoft Sans Serif" w:hAnsi="Microsoft Sans Serif" w:cs="Microsoft Sans Serif"/>
                <w:color w:val="000000"/>
                <w:sz w:val="20"/>
                <w:szCs w:val="20"/>
              </w:rPr>
            </w:pPr>
          </w:p>
        </w:tc>
        <w:tc>
          <w:tcPr>
            <w:tcW w:w="2621" w:type="pct"/>
            <w:shd w:val="clear" w:color="auto" w:fill="auto"/>
          </w:tcPr>
          <w:p w14:paraId="4C74E5D2">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 xml:space="preserve">hipotenzija (i efekti povezani sa hipotenzijom) </w:t>
            </w:r>
          </w:p>
        </w:tc>
        <w:tc>
          <w:tcPr>
            <w:tcW w:w="807" w:type="pct"/>
            <w:shd w:val="clear" w:color="auto" w:fill="auto"/>
          </w:tcPr>
          <w:p w14:paraId="3BA17498">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Često </w:t>
            </w:r>
          </w:p>
        </w:tc>
      </w:tr>
      <w:tr w14:paraId="521DE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4EB69FFF">
            <w:pPr>
              <w:rPr>
                <w:rFonts w:ascii="Microsoft Sans Serif" w:hAnsi="Microsoft Sans Serif" w:cs="Microsoft Sans Serif"/>
                <w:color w:val="000000"/>
                <w:sz w:val="20"/>
                <w:szCs w:val="20"/>
              </w:rPr>
            </w:pPr>
          </w:p>
        </w:tc>
        <w:tc>
          <w:tcPr>
            <w:tcW w:w="2621" w:type="pct"/>
            <w:shd w:val="clear" w:color="auto" w:fill="auto"/>
          </w:tcPr>
          <w:p w14:paraId="4F24CBE8">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vaskulitis</w:t>
            </w:r>
          </w:p>
        </w:tc>
        <w:tc>
          <w:tcPr>
            <w:tcW w:w="807" w:type="pct"/>
            <w:shd w:val="clear" w:color="auto" w:fill="auto"/>
          </w:tcPr>
          <w:p w14:paraId="51AF6E0E">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5970F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5F8F0880">
            <w:pPr>
              <w:rPr>
                <w:rFonts w:ascii="Microsoft Sans Serif" w:hAnsi="Microsoft Sans Serif" w:cs="Microsoft Sans Serif"/>
                <w:color w:val="000000"/>
                <w:sz w:val="20"/>
                <w:szCs w:val="20"/>
              </w:rPr>
            </w:pPr>
          </w:p>
        </w:tc>
        <w:tc>
          <w:tcPr>
            <w:tcW w:w="2621" w:type="pct"/>
            <w:shd w:val="clear" w:color="auto" w:fill="auto"/>
          </w:tcPr>
          <w:p w14:paraId="0D461309">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 xml:space="preserve">moždani udar koji može biti posljedica izrazite hipotenzije kod visokorizičnih pacijenata (pogledati dio 4.4). </w:t>
            </w:r>
          </w:p>
        </w:tc>
        <w:tc>
          <w:tcPr>
            <w:tcW w:w="807" w:type="pct"/>
            <w:shd w:val="clear" w:color="auto" w:fill="auto"/>
          </w:tcPr>
          <w:p w14:paraId="5454EF66">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6489A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5A9278BB">
            <w:pPr>
              <w:rPr>
                <w:rFonts w:ascii="Microsoft Sans Serif" w:hAnsi="Microsoft Sans Serif" w:cs="Microsoft Sans Serif"/>
                <w:color w:val="000000"/>
                <w:sz w:val="20"/>
                <w:szCs w:val="20"/>
              </w:rPr>
            </w:pPr>
          </w:p>
        </w:tc>
        <w:tc>
          <w:tcPr>
            <w:tcW w:w="2621" w:type="pct"/>
            <w:shd w:val="clear" w:color="auto" w:fill="auto"/>
          </w:tcPr>
          <w:p w14:paraId="402E7467">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crvenilo lica</w:t>
            </w:r>
          </w:p>
        </w:tc>
        <w:tc>
          <w:tcPr>
            <w:tcW w:w="807" w:type="pct"/>
            <w:shd w:val="clear" w:color="auto" w:fill="auto"/>
          </w:tcPr>
          <w:p w14:paraId="5134756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Rijetko</w:t>
            </w:r>
          </w:p>
        </w:tc>
      </w:tr>
      <w:tr w14:paraId="16A8B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5F08F32E">
            <w:pPr>
              <w:rPr>
                <w:rFonts w:ascii="Microsoft Sans Serif" w:hAnsi="Microsoft Sans Serif" w:cs="Microsoft Sans Serif"/>
                <w:color w:val="000000"/>
                <w:sz w:val="20"/>
                <w:szCs w:val="20"/>
              </w:rPr>
            </w:pPr>
          </w:p>
        </w:tc>
        <w:tc>
          <w:tcPr>
            <w:tcW w:w="2621" w:type="pct"/>
            <w:shd w:val="clear" w:color="auto" w:fill="auto"/>
          </w:tcPr>
          <w:p w14:paraId="75660A91">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Rejnaudov fenomen</w:t>
            </w:r>
          </w:p>
        </w:tc>
        <w:tc>
          <w:tcPr>
            <w:tcW w:w="807" w:type="pct"/>
            <w:shd w:val="clear" w:color="auto" w:fill="auto"/>
          </w:tcPr>
          <w:p w14:paraId="66B05B3A">
            <w:pPr>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Nepoznato</w:t>
            </w:r>
          </w:p>
        </w:tc>
      </w:tr>
      <w:tr w14:paraId="029C4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61B45CCF">
            <w:pPr>
              <w:shd w:val="clear" w:color="auto" w:fill="FFFFFF"/>
              <w:rPr>
                <w:rFonts w:ascii="Microsoft Sans Serif" w:hAnsi="Microsoft Sans Serif" w:cs="Microsoft Sans Serif"/>
                <w:sz w:val="20"/>
                <w:szCs w:val="20"/>
                <w:u w:val="single"/>
              </w:rPr>
            </w:pPr>
            <w:r>
              <w:rPr>
                <w:rFonts w:ascii="Microsoft Sans Serif" w:hAnsi="Microsoft Sans Serif" w:cs="Microsoft Sans Serif"/>
                <w:sz w:val="20"/>
                <w:szCs w:val="20"/>
                <w:u w:val="single"/>
                <w:lang w:val="da-DK"/>
              </w:rPr>
              <w:t xml:space="preserve">Respiratorni, torakalni i medijastinalni poremećaji </w:t>
            </w:r>
          </w:p>
        </w:tc>
        <w:tc>
          <w:tcPr>
            <w:tcW w:w="2621" w:type="pct"/>
            <w:shd w:val="clear" w:color="auto" w:fill="auto"/>
          </w:tcPr>
          <w:p w14:paraId="5F59596C">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kašalj</w:t>
            </w:r>
          </w:p>
        </w:tc>
        <w:tc>
          <w:tcPr>
            <w:tcW w:w="807" w:type="pct"/>
            <w:shd w:val="clear" w:color="auto" w:fill="auto"/>
          </w:tcPr>
          <w:p w14:paraId="01C8777A">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03D1A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4005A9BB">
            <w:pPr>
              <w:rPr>
                <w:rFonts w:ascii="Microsoft Sans Serif" w:hAnsi="Microsoft Sans Serif" w:cs="Microsoft Sans Serif"/>
                <w:sz w:val="20"/>
                <w:szCs w:val="20"/>
              </w:rPr>
            </w:pPr>
          </w:p>
        </w:tc>
        <w:tc>
          <w:tcPr>
            <w:tcW w:w="2621" w:type="pct"/>
            <w:shd w:val="clear" w:color="auto" w:fill="auto"/>
          </w:tcPr>
          <w:p w14:paraId="344D35B5">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dispneja</w:t>
            </w:r>
          </w:p>
        </w:tc>
        <w:tc>
          <w:tcPr>
            <w:tcW w:w="807" w:type="pct"/>
            <w:shd w:val="clear" w:color="auto" w:fill="auto"/>
          </w:tcPr>
          <w:p w14:paraId="11123D98">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498E4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1CCF51D9">
            <w:pPr>
              <w:rPr>
                <w:rFonts w:ascii="Microsoft Sans Serif" w:hAnsi="Microsoft Sans Serif" w:cs="Microsoft Sans Serif"/>
                <w:sz w:val="20"/>
                <w:szCs w:val="20"/>
              </w:rPr>
            </w:pPr>
          </w:p>
        </w:tc>
        <w:tc>
          <w:tcPr>
            <w:tcW w:w="2621" w:type="pct"/>
            <w:shd w:val="clear" w:color="auto" w:fill="auto"/>
          </w:tcPr>
          <w:p w14:paraId="5883A8AE">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bronhospazam</w:t>
            </w:r>
          </w:p>
        </w:tc>
        <w:tc>
          <w:tcPr>
            <w:tcW w:w="807" w:type="pct"/>
            <w:shd w:val="clear" w:color="auto" w:fill="auto"/>
          </w:tcPr>
          <w:p w14:paraId="4DEAF38D">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Povremeno</w:t>
            </w:r>
          </w:p>
        </w:tc>
      </w:tr>
      <w:tr w14:paraId="3FAF2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26C4744">
            <w:pPr>
              <w:rPr>
                <w:rFonts w:ascii="Microsoft Sans Serif" w:hAnsi="Microsoft Sans Serif" w:cs="Microsoft Sans Serif"/>
                <w:sz w:val="20"/>
                <w:szCs w:val="20"/>
              </w:rPr>
            </w:pPr>
          </w:p>
        </w:tc>
        <w:tc>
          <w:tcPr>
            <w:tcW w:w="2621" w:type="pct"/>
            <w:shd w:val="clear" w:color="auto" w:fill="auto"/>
          </w:tcPr>
          <w:p w14:paraId="3EF6E8CD">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eozinofilna pneumonija</w:t>
            </w:r>
          </w:p>
        </w:tc>
        <w:tc>
          <w:tcPr>
            <w:tcW w:w="807" w:type="pct"/>
            <w:shd w:val="clear" w:color="auto" w:fill="auto"/>
          </w:tcPr>
          <w:p w14:paraId="214DC5E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247AB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D01836D">
            <w:pPr>
              <w:rPr>
                <w:rFonts w:ascii="Microsoft Sans Serif" w:hAnsi="Microsoft Sans Serif" w:cs="Microsoft Sans Serif"/>
                <w:sz w:val="20"/>
                <w:szCs w:val="20"/>
              </w:rPr>
            </w:pPr>
          </w:p>
        </w:tc>
        <w:tc>
          <w:tcPr>
            <w:tcW w:w="2621" w:type="pct"/>
            <w:shd w:val="clear" w:color="auto" w:fill="auto"/>
          </w:tcPr>
          <w:p w14:paraId="7E1BC802">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rinitis </w:t>
            </w:r>
          </w:p>
        </w:tc>
        <w:tc>
          <w:tcPr>
            <w:tcW w:w="807" w:type="pct"/>
            <w:shd w:val="clear" w:color="auto" w:fill="auto"/>
          </w:tcPr>
          <w:p w14:paraId="0AD4E5A6">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Vrlo rijetko</w:t>
            </w:r>
          </w:p>
        </w:tc>
      </w:tr>
      <w:tr w14:paraId="5D237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13550FEB">
            <w:pPr>
              <w:pStyle w:val="2"/>
              <w:jc w:val="both"/>
              <w:rPr>
                <w:rFonts w:ascii="Microsoft Sans Serif" w:hAnsi="Microsoft Sans Serif" w:cs="Microsoft Sans Serif"/>
                <w:b w:val="0"/>
                <w:color w:val="auto"/>
                <w:sz w:val="20"/>
                <w:szCs w:val="20"/>
                <w:u w:val="single"/>
                <w:lang w:val="hr-HR"/>
              </w:rPr>
            </w:pPr>
            <w:r>
              <w:rPr>
                <w:rFonts w:ascii="Microsoft Sans Serif" w:hAnsi="Microsoft Sans Serif" w:cs="Microsoft Sans Serif"/>
                <w:b w:val="0"/>
                <w:color w:val="auto"/>
                <w:sz w:val="20"/>
                <w:szCs w:val="20"/>
                <w:u w:val="single"/>
              </w:rPr>
              <w:t>Gastrointestinalni</w:t>
            </w:r>
            <w:r>
              <w:rPr>
                <w:rFonts w:ascii="Microsoft Sans Serif" w:hAnsi="Microsoft Sans Serif" w:cs="Microsoft Sans Serif"/>
                <w:b w:val="0"/>
                <w:color w:val="auto"/>
                <w:sz w:val="20"/>
                <w:szCs w:val="20"/>
                <w:u w:val="single"/>
                <w:lang w:val="hr-HR"/>
              </w:rPr>
              <w:t xml:space="preserve"> </w:t>
            </w:r>
            <w:r>
              <w:rPr>
                <w:rFonts w:ascii="Microsoft Sans Serif" w:hAnsi="Microsoft Sans Serif" w:cs="Microsoft Sans Serif"/>
                <w:b w:val="0"/>
                <w:color w:val="auto"/>
                <w:sz w:val="20"/>
                <w:szCs w:val="20"/>
                <w:u w:val="single"/>
              </w:rPr>
              <w:t>poreme</w:t>
            </w:r>
            <w:r>
              <w:rPr>
                <w:rFonts w:ascii="Microsoft Sans Serif" w:hAnsi="Microsoft Sans Serif" w:cs="Microsoft Sans Serif"/>
                <w:b w:val="0"/>
                <w:color w:val="auto"/>
                <w:sz w:val="20"/>
                <w:szCs w:val="20"/>
                <w:u w:val="single"/>
                <w:lang w:val="hr-HR"/>
              </w:rPr>
              <w:t>ć</w:t>
            </w:r>
            <w:r>
              <w:rPr>
                <w:rFonts w:ascii="Microsoft Sans Serif" w:hAnsi="Microsoft Sans Serif" w:cs="Microsoft Sans Serif"/>
                <w:b w:val="0"/>
                <w:color w:val="auto"/>
                <w:sz w:val="20"/>
                <w:szCs w:val="20"/>
                <w:u w:val="single"/>
              </w:rPr>
              <w:t>aji</w:t>
            </w:r>
          </w:p>
          <w:p w14:paraId="415074C6">
            <w:pPr>
              <w:pStyle w:val="2"/>
              <w:jc w:val="both"/>
              <w:rPr>
                <w:rFonts w:ascii="Microsoft Sans Serif" w:hAnsi="Microsoft Sans Serif" w:cs="Microsoft Sans Serif"/>
                <w:color w:val="auto"/>
                <w:sz w:val="20"/>
                <w:szCs w:val="20"/>
              </w:rPr>
            </w:pPr>
          </w:p>
        </w:tc>
        <w:tc>
          <w:tcPr>
            <w:tcW w:w="2621" w:type="pct"/>
            <w:shd w:val="clear" w:color="auto" w:fill="auto"/>
          </w:tcPr>
          <w:p w14:paraId="469CB7EE">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abdominalna bol</w:t>
            </w:r>
          </w:p>
        </w:tc>
        <w:tc>
          <w:tcPr>
            <w:tcW w:w="807" w:type="pct"/>
            <w:shd w:val="clear" w:color="auto" w:fill="auto"/>
          </w:tcPr>
          <w:p w14:paraId="054903CD">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68BA8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494AAC6">
            <w:pPr>
              <w:rPr>
                <w:rFonts w:ascii="Microsoft Sans Serif" w:hAnsi="Microsoft Sans Serif" w:cs="Microsoft Sans Serif"/>
                <w:sz w:val="20"/>
                <w:szCs w:val="20"/>
              </w:rPr>
            </w:pPr>
          </w:p>
        </w:tc>
        <w:tc>
          <w:tcPr>
            <w:tcW w:w="2621" w:type="pct"/>
            <w:shd w:val="clear" w:color="auto" w:fill="auto"/>
          </w:tcPr>
          <w:p w14:paraId="46682C45">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opstipacija</w:t>
            </w:r>
          </w:p>
        </w:tc>
        <w:tc>
          <w:tcPr>
            <w:tcW w:w="807" w:type="pct"/>
            <w:shd w:val="clear" w:color="auto" w:fill="auto"/>
          </w:tcPr>
          <w:p w14:paraId="257731B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18EBA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57409008">
            <w:pPr>
              <w:rPr>
                <w:rFonts w:ascii="Microsoft Sans Serif" w:hAnsi="Microsoft Sans Serif" w:cs="Microsoft Sans Serif"/>
                <w:sz w:val="20"/>
                <w:szCs w:val="20"/>
              </w:rPr>
            </w:pPr>
          </w:p>
        </w:tc>
        <w:tc>
          <w:tcPr>
            <w:tcW w:w="2621" w:type="pct"/>
            <w:shd w:val="clear" w:color="auto" w:fill="auto"/>
          </w:tcPr>
          <w:p w14:paraId="62E2691B">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proliv</w:t>
            </w:r>
          </w:p>
        </w:tc>
        <w:tc>
          <w:tcPr>
            <w:tcW w:w="807" w:type="pct"/>
            <w:shd w:val="clear" w:color="auto" w:fill="auto"/>
          </w:tcPr>
          <w:p w14:paraId="22E727B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76E42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2AAF4CA">
            <w:pPr>
              <w:rPr>
                <w:rFonts w:ascii="Microsoft Sans Serif" w:hAnsi="Microsoft Sans Serif" w:cs="Microsoft Sans Serif"/>
                <w:sz w:val="20"/>
                <w:szCs w:val="20"/>
              </w:rPr>
            </w:pPr>
          </w:p>
        </w:tc>
        <w:tc>
          <w:tcPr>
            <w:tcW w:w="2621" w:type="pct"/>
            <w:shd w:val="clear" w:color="auto" w:fill="auto"/>
          </w:tcPr>
          <w:p w14:paraId="137DAF85">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poremećaj osjeta okusa</w:t>
            </w:r>
          </w:p>
        </w:tc>
        <w:tc>
          <w:tcPr>
            <w:tcW w:w="807" w:type="pct"/>
            <w:shd w:val="clear" w:color="auto" w:fill="auto"/>
          </w:tcPr>
          <w:p w14:paraId="57C3356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164B6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8BB2E63">
            <w:pPr>
              <w:rPr>
                <w:rFonts w:ascii="Microsoft Sans Serif" w:hAnsi="Microsoft Sans Serif" w:cs="Microsoft Sans Serif"/>
                <w:sz w:val="20"/>
                <w:szCs w:val="20"/>
              </w:rPr>
            </w:pPr>
          </w:p>
        </w:tc>
        <w:tc>
          <w:tcPr>
            <w:tcW w:w="2621" w:type="pct"/>
            <w:shd w:val="clear" w:color="auto" w:fill="auto"/>
          </w:tcPr>
          <w:p w14:paraId="2FEF5D43">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dispepsija</w:t>
            </w:r>
          </w:p>
        </w:tc>
        <w:tc>
          <w:tcPr>
            <w:tcW w:w="807" w:type="pct"/>
            <w:shd w:val="clear" w:color="auto" w:fill="auto"/>
          </w:tcPr>
          <w:p w14:paraId="0CD9B041">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19B3C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6317182">
            <w:pPr>
              <w:rPr>
                <w:rFonts w:ascii="Microsoft Sans Serif" w:hAnsi="Microsoft Sans Serif" w:cs="Microsoft Sans Serif"/>
                <w:sz w:val="20"/>
                <w:szCs w:val="20"/>
              </w:rPr>
            </w:pPr>
          </w:p>
        </w:tc>
        <w:tc>
          <w:tcPr>
            <w:tcW w:w="2621" w:type="pct"/>
            <w:shd w:val="clear" w:color="auto" w:fill="auto"/>
          </w:tcPr>
          <w:p w14:paraId="11DC65D1">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mučnina</w:t>
            </w:r>
          </w:p>
        </w:tc>
        <w:tc>
          <w:tcPr>
            <w:tcW w:w="807" w:type="pct"/>
            <w:shd w:val="clear" w:color="auto" w:fill="auto"/>
          </w:tcPr>
          <w:p w14:paraId="4F3AB161">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02E8F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1031813">
            <w:pPr>
              <w:rPr>
                <w:rFonts w:ascii="Microsoft Sans Serif" w:hAnsi="Microsoft Sans Serif" w:cs="Microsoft Sans Serif"/>
                <w:sz w:val="20"/>
                <w:szCs w:val="20"/>
              </w:rPr>
            </w:pPr>
          </w:p>
        </w:tc>
        <w:tc>
          <w:tcPr>
            <w:tcW w:w="2621" w:type="pct"/>
            <w:shd w:val="clear" w:color="auto" w:fill="auto"/>
          </w:tcPr>
          <w:p w14:paraId="0EBF4608">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povraćanje</w:t>
            </w:r>
          </w:p>
        </w:tc>
        <w:tc>
          <w:tcPr>
            <w:tcW w:w="807" w:type="pct"/>
            <w:shd w:val="clear" w:color="auto" w:fill="auto"/>
          </w:tcPr>
          <w:p w14:paraId="5AEE4C1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6DAF8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DD73DF5">
            <w:pPr>
              <w:rPr>
                <w:rFonts w:ascii="Microsoft Sans Serif" w:hAnsi="Microsoft Sans Serif" w:cs="Microsoft Sans Serif"/>
                <w:sz w:val="20"/>
                <w:szCs w:val="20"/>
              </w:rPr>
            </w:pPr>
          </w:p>
        </w:tc>
        <w:tc>
          <w:tcPr>
            <w:tcW w:w="2621" w:type="pct"/>
            <w:shd w:val="clear" w:color="auto" w:fill="auto"/>
          </w:tcPr>
          <w:p w14:paraId="0570AB03">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suhoća usta</w:t>
            </w:r>
          </w:p>
        </w:tc>
        <w:tc>
          <w:tcPr>
            <w:tcW w:w="807" w:type="pct"/>
            <w:shd w:val="clear" w:color="auto" w:fill="auto"/>
          </w:tcPr>
          <w:p w14:paraId="4E5D55C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06E8C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0104911C">
            <w:pPr>
              <w:rPr>
                <w:rFonts w:ascii="Microsoft Sans Serif" w:hAnsi="Microsoft Sans Serif" w:cs="Microsoft Sans Serif"/>
                <w:sz w:val="20"/>
                <w:szCs w:val="20"/>
              </w:rPr>
            </w:pPr>
          </w:p>
        </w:tc>
        <w:tc>
          <w:tcPr>
            <w:tcW w:w="2621" w:type="pct"/>
            <w:shd w:val="clear" w:color="auto" w:fill="auto"/>
          </w:tcPr>
          <w:p w14:paraId="273F8B4E">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pankreatitis</w:t>
            </w:r>
          </w:p>
        </w:tc>
        <w:tc>
          <w:tcPr>
            <w:tcW w:w="807" w:type="pct"/>
            <w:shd w:val="clear" w:color="auto" w:fill="auto"/>
          </w:tcPr>
          <w:p w14:paraId="4BD008A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Vrlo rijetko </w:t>
            </w:r>
          </w:p>
        </w:tc>
      </w:tr>
      <w:tr w14:paraId="4A09C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2A515129">
            <w:pPr>
              <w:pStyle w:val="2"/>
              <w:jc w:val="both"/>
              <w:rPr>
                <w:rFonts w:ascii="Microsoft Sans Serif" w:hAnsi="Microsoft Sans Serif" w:cs="Microsoft Sans Serif"/>
                <w:b w:val="0"/>
                <w:color w:val="auto"/>
                <w:sz w:val="20"/>
                <w:szCs w:val="20"/>
                <w:u w:val="single"/>
                <w:lang w:val="mk-MK"/>
              </w:rPr>
            </w:pPr>
            <w:r>
              <w:rPr>
                <w:rFonts w:ascii="Microsoft Sans Serif" w:hAnsi="Microsoft Sans Serif" w:cs="Microsoft Sans Serif"/>
                <w:b w:val="0"/>
                <w:color w:val="auto"/>
                <w:sz w:val="20"/>
                <w:szCs w:val="20"/>
                <w:u w:val="single"/>
                <w:lang w:val="pl-PL"/>
              </w:rPr>
              <w:t>Hepatobilijarni po</w:t>
            </w:r>
            <w:r>
              <w:rPr>
                <w:rFonts w:ascii="Microsoft Sans Serif" w:hAnsi="Microsoft Sans Serif" w:cs="Microsoft Sans Serif"/>
                <w:b w:val="0"/>
                <w:color w:val="auto"/>
                <w:sz w:val="20"/>
                <w:szCs w:val="20"/>
                <w:u w:val="single"/>
                <w:lang w:val="mk-MK"/>
              </w:rPr>
              <w:t xml:space="preserve">remećaji </w:t>
            </w:r>
          </w:p>
          <w:p w14:paraId="0CA34E37">
            <w:pPr>
              <w:shd w:val="clear" w:color="auto" w:fill="FFFFFF"/>
              <w:jc w:val="both"/>
              <w:rPr>
                <w:rFonts w:ascii="Microsoft Sans Serif" w:hAnsi="Microsoft Sans Serif" w:cs="Microsoft Sans Serif"/>
                <w:sz w:val="20"/>
                <w:szCs w:val="20"/>
              </w:rPr>
            </w:pPr>
          </w:p>
        </w:tc>
        <w:tc>
          <w:tcPr>
            <w:tcW w:w="2621" w:type="pct"/>
            <w:shd w:val="clear" w:color="auto" w:fill="auto"/>
          </w:tcPr>
          <w:p w14:paraId="6FFC4FEC">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 xml:space="preserve">citolitički ili holestatski hepatitis </w:t>
            </w:r>
            <w:r>
              <w:rPr>
                <w:rFonts w:ascii="Microsoft Sans Serif" w:hAnsi="Microsoft Sans Serif" w:cs="Microsoft Sans Serif"/>
                <w:color w:val="000000"/>
                <w:sz w:val="20"/>
                <w:szCs w:val="20"/>
              </w:rPr>
              <w:t xml:space="preserve">(pogledati dio 4.4) </w:t>
            </w:r>
          </w:p>
        </w:tc>
        <w:tc>
          <w:tcPr>
            <w:tcW w:w="807" w:type="pct"/>
            <w:shd w:val="clear" w:color="auto" w:fill="auto"/>
          </w:tcPr>
          <w:p w14:paraId="3D92F69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Vrlo rijetko </w:t>
            </w:r>
          </w:p>
        </w:tc>
      </w:tr>
      <w:tr w14:paraId="4C1A9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740F4FAA">
            <w:pPr>
              <w:shd w:val="clear" w:color="auto" w:fill="FFFFFF"/>
              <w:rPr>
                <w:rFonts w:ascii="Microsoft Sans Serif" w:hAnsi="Microsoft Sans Serif" w:cs="Microsoft Sans Serif"/>
                <w:sz w:val="20"/>
                <w:szCs w:val="20"/>
                <w:u w:val="single"/>
              </w:rPr>
            </w:pPr>
            <w:r>
              <w:rPr>
                <w:rFonts w:ascii="Microsoft Sans Serif" w:hAnsi="Microsoft Sans Serif" w:cs="Microsoft Sans Serif"/>
                <w:sz w:val="20"/>
                <w:szCs w:val="20"/>
                <w:u w:val="single"/>
                <w:lang w:val="da-DK"/>
              </w:rPr>
              <w:t xml:space="preserve">Poremećaji kože i potkožnog tkiva </w:t>
            </w:r>
          </w:p>
        </w:tc>
        <w:tc>
          <w:tcPr>
            <w:tcW w:w="2621" w:type="pct"/>
            <w:shd w:val="clear" w:color="auto" w:fill="auto"/>
          </w:tcPr>
          <w:p w14:paraId="0A7032CF">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svrbež</w:t>
            </w:r>
          </w:p>
        </w:tc>
        <w:tc>
          <w:tcPr>
            <w:tcW w:w="807" w:type="pct"/>
            <w:shd w:val="clear" w:color="auto" w:fill="auto"/>
          </w:tcPr>
          <w:p w14:paraId="0D59E108">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01D61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3C7261D">
            <w:pPr>
              <w:rPr>
                <w:rFonts w:ascii="Microsoft Sans Serif" w:hAnsi="Microsoft Sans Serif" w:cs="Microsoft Sans Serif"/>
                <w:sz w:val="20"/>
                <w:szCs w:val="20"/>
              </w:rPr>
            </w:pPr>
          </w:p>
        </w:tc>
        <w:tc>
          <w:tcPr>
            <w:tcW w:w="2621" w:type="pct"/>
            <w:shd w:val="clear" w:color="auto" w:fill="auto"/>
          </w:tcPr>
          <w:p w14:paraId="7A0DEC84">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osip</w:t>
            </w:r>
          </w:p>
        </w:tc>
        <w:tc>
          <w:tcPr>
            <w:tcW w:w="807" w:type="pct"/>
            <w:shd w:val="clear" w:color="auto" w:fill="auto"/>
          </w:tcPr>
          <w:p w14:paraId="033776D2">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Često</w:t>
            </w:r>
          </w:p>
        </w:tc>
      </w:tr>
      <w:tr w14:paraId="7F11C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0DE2179E">
            <w:pPr>
              <w:rPr>
                <w:rFonts w:ascii="Microsoft Sans Serif" w:hAnsi="Microsoft Sans Serif" w:cs="Microsoft Sans Serif"/>
                <w:sz w:val="20"/>
                <w:szCs w:val="20"/>
              </w:rPr>
            </w:pPr>
          </w:p>
        </w:tc>
        <w:tc>
          <w:tcPr>
            <w:tcW w:w="2621" w:type="pct"/>
            <w:shd w:val="clear" w:color="auto" w:fill="auto"/>
          </w:tcPr>
          <w:p w14:paraId="35B0CD2E">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 xml:space="preserve">koprivnjača </w:t>
            </w:r>
            <w:r>
              <w:rPr>
                <w:rFonts w:ascii="Microsoft Sans Serif" w:hAnsi="Microsoft Sans Serif" w:cs="Microsoft Sans Serif"/>
                <w:color w:val="000000"/>
                <w:sz w:val="20"/>
                <w:szCs w:val="20"/>
              </w:rPr>
              <w:t xml:space="preserve">(pogledati dio  4.4) </w:t>
            </w:r>
          </w:p>
        </w:tc>
        <w:tc>
          <w:tcPr>
            <w:tcW w:w="807" w:type="pct"/>
            <w:shd w:val="clear" w:color="auto" w:fill="auto"/>
          </w:tcPr>
          <w:p w14:paraId="5ABC262F">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1901A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7932F73">
            <w:pPr>
              <w:rPr>
                <w:rFonts w:ascii="Microsoft Sans Serif" w:hAnsi="Microsoft Sans Serif" w:cs="Microsoft Sans Serif"/>
                <w:sz w:val="20"/>
                <w:szCs w:val="20"/>
              </w:rPr>
            </w:pPr>
          </w:p>
        </w:tc>
        <w:tc>
          <w:tcPr>
            <w:tcW w:w="2621" w:type="pct"/>
            <w:shd w:val="clear" w:color="auto" w:fill="auto"/>
          </w:tcPr>
          <w:p w14:paraId="149043E5">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angioedem lica, ekstremiteti, usana, sluznica, jezika, glotisa i/ili grkljana</w:t>
            </w:r>
            <w:r>
              <w:rPr>
                <w:rFonts w:ascii="Microsoft Sans Serif" w:hAnsi="Microsoft Sans Serif" w:cs="Microsoft Sans Serif"/>
                <w:color w:val="000000"/>
                <w:sz w:val="20"/>
                <w:szCs w:val="20"/>
              </w:rPr>
              <w:t xml:space="preserve"> (pogledati dio 4.4) </w:t>
            </w:r>
          </w:p>
        </w:tc>
        <w:tc>
          <w:tcPr>
            <w:tcW w:w="807" w:type="pct"/>
            <w:shd w:val="clear" w:color="auto" w:fill="auto"/>
          </w:tcPr>
          <w:p w14:paraId="7D8957FE">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55CAE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F758091">
            <w:pPr>
              <w:rPr>
                <w:rFonts w:ascii="Microsoft Sans Serif" w:hAnsi="Microsoft Sans Serif" w:cs="Microsoft Sans Serif"/>
                <w:sz w:val="20"/>
                <w:szCs w:val="20"/>
              </w:rPr>
            </w:pPr>
          </w:p>
        </w:tc>
        <w:tc>
          <w:tcPr>
            <w:tcW w:w="2621" w:type="pct"/>
            <w:shd w:val="clear" w:color="auto" w:fill="auto"/>
          </w:tcPr>
          <w:p w14:paraId="09D223E1">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fotosenzitivne reakcije </w:t>
            </w:r>
          </w:p>
        </w:tc>
        <w:tc>
          <w:tcPr>
            <w:tcW w:w="807" w:type="pct"/>
            <w:shd w:val="clear" w:color="auto" w:fill="auto"/>
          </w:tcPr>
          <w:p w14:paraId="5DB7231D">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A342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436FBBE">
            <w:pPr>
              <w:rPr>
                <w:rFonts w:ascii="Microsoft Sans Serif" w:hAnsi="Microsoft Sans Serif" w:cs="Microsoft Sans Serif"/>
                <w:sz w:val="20"/>
                <w:szCs w:val="20"/>
              </w:rPr>
            </w:pPr>
          </w:p>
        </w:tc>
        <w:tc>
          <w:tcPr>
            <w:tcW w:w="2621" w:type="pct"/>
            <w:shd w:val="clear" w:color="auto" w:fill="auto"/>
          </w:tcPr>
          <w:p w14:paraId="2C64A11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pemfigoid </w:t>
            </w:r>
          </w:p>
        </w:tc>
        <w:tc>
          <w:tcPr>
            <w:tcW w:w="807" w:type="pct"/>
            <w:shd w:val="clear" w:color="auto" w:fill="auto"/>
          </w:tcPr>
          <w:p w14:paraId="2B857708">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BC54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E0E1177">
            <w:pPr>
              <w:rPr>
                <w:rFonts w:ascii="Microsoft Sans Serif" w:hAnsi="Microsoft Sans Serif" w:cs="Microsoft Sans Serif"/>
                <w:sz w:val="20"/>
                <w:szCs w:val="20"/>
              </w:rPr>
            </w:pPr>
          </w:p>
        </w:tc>
        <w:tc>
          <w:tcPr>
            <w:tcW w:w="2621" w:type="pct"/>
            <w:shd w:val="clear" w:color="auto" w:fill="auto"/>
          </w:tcPr>
          <w:p w14:paraId="7CC10FFE">
            <w:pPr>
              <w:rPr>
                <w:rFonts w:ascii="Microsoft Sans Serif" w:hAnsi="Microsoft Sans Serif" w:cs="Microsoft Sans Serif"/>
                <w:color w:val="000000"/>
                <w:sz w:val="20"/>
                <w:szCs w:val="20"/>
              </w:rPr>
            </w:pPr>
            <w:r>
              <w:rPr>
                <w:rStyle w:val="35"/>
                <w:rFonts w:ascii="Microsoft Sans Serif" w:hAnsi="Microsoft Sans Serif" w:cs="Microsoft Sans Serif"/>
                <w:sz w:val="20"/>
                <w:szCs w:val="20"/>
              </w:rPr>
              <w:t>pogoršanje psorijaze</w:t>
            </w:r>
          </w:p>
        </w:tc>
        <w:tc>
          <w:tcPr>
            <w:tcW w:w="807" w:type="pct"/>
            <w:shd w:val="clear" w:color="auto" w:fill="auto"/>
          </w:tcPr>
          <w:p w14:paraId="158F769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Rijetko*</w:t>
            </w:r>
          </w:p>
        </w:tc>
      </w:tr>
      <w:tr w14:paraId="709E2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1A4D9458">
            <w:pPr>
              <w:rPr>
                <w:rFonts w:ascii="Microsoft Sans Serif" w:hAnsi="Microsoft Sans Serif" w:cs="Microsoft Sans Serif"/>
                <w:sz w:val="20"/>
                <w:szCs w:val="20"/>
              </w:rPr>
            </w:pPr>
          </w:p>
        </w:tc>
        <w:tc>
          <w:tcPr>
            <w:tcW w:w="2621" w:type="pct"/>
            <w:shd w:val="clear" w:color="auto" w:fill="auto"/>
          </w:tcPr>
          <w:p w14:paraId="2D40A40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hiperhidroza </w:t>
            </w:r>
          </w:p>
        </w:tc>
        <w:tc>
          <w:tcPr>
            <w:tcW w:w="807" w:type="pct"/>
            <w:shd w:val="clear" w:color="auto" w:fill="auto"/>
          </w:tcPr>
          <w:p w14:paraId="23E0580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43F2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E81277F">
            <w:pPr>
              <w:rPr>
                <w:rFonts w:ascii="Microsoft Sans Serif" w:hAnsi="Microsoft Sans Serif" w:cs="Microsoft Sans Serif"/>
                <w:sz w:val="20"/>
                <w:szCs w:val="20"/>
              </w:rPr>
            </w:pPr>
          </w:p>
        </w:tc>
        <w:tc>
          <w:tcPr>
            <w:tcW w:w="2621" w:type="pct"/>
            <w:shd w:val="clear" w:color="auto" w:fill="auto"/>
          </w:tcPr>
          <w:p w14:paraId="3BD52DF2">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erithema multiforme</w:t>
            </w:r>
          </w:p>
        </w:tc>
        <w:tc>
          <w:tcPr>
            <w:tcW w:w="807" w:type="pct"/>
            <w:shd w:val="clear" w:color="auto" w:fill="auto"/>
          </w:tcPr>
          <w:p w14:paraId="7C506BA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Vrlo rijetko </w:t>
            </w:r>
          </w:p>
        </w:tc>
      </w:tr>
      <w:tr w14:paraId="6EBD5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76F80FBD">
            <w:pPr>
              <w:shd w:val="clear" w:color="auto" w:fill="FFFFFF"/>
              <w:rPr>
                <w:rFonts w:ascii="Microsoft Sans Serif" w:hAnsi="Microsoft Sans Serif" w:cs="Microsoft Sans Serif"/>
                <w:sz w:val="20"/>
                <w:szCs w:val="20"/>
                <w:u w:val="single"/>
              </w:rPr>
            </w:pPr>
            <w:r>
              <w:rPr>
                <w:rFonts w:ascii="Microsoft Sans Serif" w:hAnsi="Microsoft Sans Serif" w:cs="Microsoft Sans Serif"/>
                <w:sz w:val="20"/>
                <w:szCs w:val="20"/>
                <w:u w:val="single"/>
                <w:lang w:val="da-DK"/>
              </w:rPr>
              <w:t xml:space="preserve">Poremećaji mišićno-koštanog sistema i vezivnog tkiva </w:t>
            </w:r>
          </w:p>
        </w:tc>
        <w:tc>
          <w:tcPr>
            <w:tcW w:w="2621" w:type="pct"/>
            <w:shd w:val="clear" w:color="auto" w:fill="auto"/>
          </w:tcPr>
          <w:p w14:paraId="2580B71B">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mišićni grčevi</w:t>
            </w:r>
          </w:p>
        </w:tc>
        <w:tc>
          <w:tcPr>
            <w:tcW w:w="807" w:type="pct"/>
            <w:shd w:val="clear" w:color="auto" w:fill="auto"/>
          </w:tcPr>
          <w:p w14:paraId="55FD3A9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Često  </w:t>
            </w:r>
          </w:p>
        </w:tc>
      </w:tr>
      <w:tr w14:paraId="2618D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03FDCC0">
            <w:pPr>
              <w:rPr>
                <w:rFonts w:ascii="Microsoft Sans Serif" w:hAnsi="Microsoft Sans Serif" w:cs="Microsoft Sans Serif"/>
                <w:color w:val="000000"/>
                <w:sz w:val="20"/>
                <w:szCs w:val="20"/>
              </w:rPr>
            </w:pPr>
          </w:p>
        </w:tc>
        <w:tc>
          <w:tcPr>
            <w:tcW w:w="2621" w:type="pct"/>
            <w:shd w:val="clear" w:color="auto" w:fill="auto"/>
          </w:tcPr>
          <w:p w14:paraId="5D04A7E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artralgija </w:t>
            </w:r>
          </w:p>
        </w:tc>
        <w:tc>
          <w:tcPr>
            <w:tcW w:w="807" w:type="pct"/>
            <w:shd w:val="clear" w:color="auto" w:fill="auto"/>
          </w:tcPr>
          <w:p w14:paraId="16AA80B8">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512C5748">
        <w:tblPrEx>
          <w:tblCellMar>
            <w:top w:w="0" w:type="dxa"/>
            <w:left w:w="108" w:type="dxa"/>
            <w:bottom w:w="0" w:type="dxa"/>
            <w:right w:w="108" w:type="dxa"/>
          </w:tblCellMar>
        </w:tblPrEx>
        <w:tc>
          <w:tcPr>
            <w:tcW w:w="0" w:type="auto"/>
            <w:vMerge w:val="continue"/>
            <w:shd w:val="clear" w:color="auto" w:fill="auto"/>
          </w:tcPr>
          <w:p w14:paraId="22BBC416">
            <w:pPr>
              <w:rPr>
                <w:rFonts w:ascii="Microsoft Sans Serif" w:hAnsi="Microsoft Sans Serif" w:cs="Microsoft Sans Serif"/>
                <w:color w:val="000000"/>
                <w:sz w:val="20"/>
                <w:szCs w:val="20"/>
              </w:rPr>
            </w:pPr>
          </w:p>
        </w:tc>
        <w:tc>
          <w:tcPr>
            <w:tcW w:w="2621" w:type="pct"/>
            <w:shd w:val="clear" w:color="auto" w:fill="auto"/>
          </w:tcPr>
          <w:p w14:paraId="185E57A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mijalgija </w:t>
            </w:r>
          </w:p>
        </w:tc>
        <w:tc>
          <w:tcPr>
            <w:tcW w:w="807" w:type="pct"/>
            <w:shd w:val="clear" w:color="auto" w:fill="auto"/>
          </w:tcPr>
          <w:p w14:paraId="7655B5C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2C561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2D1D4EE2">
            <w:pPr>
              <w:pStyle w:val="6"/>
              <w:jc w:val="left"/>
              <w:rPr>
                <w:rFonts w:ascii="Microsoft Sans Serif" w:hAnsi="Microsoft Sans Serif" w:cs="Microsoft Sans Serif"/>
                <w:i w:val="0"/>
                <w:color w:val="auto"/>
                <w:sz w:val="20"/>
                <w:szCs w:val="20"/>
                <w:u w:val="single"/>
              </w:rPr>
            </w:pPr>
            <w:r>
              <w:rPr>
                <w:rFonts w:ascii="Microsoft Sans Serif" w:hAnsi="Microsoft Sans Serif" w:cs="Microsoft Sans Serif"/>
                <w:i w:val="0"/>
                <w:color w:val="auto"/>
                <w:sz w:val="20"/>
                <w:szCs w:val="20"/>
                <w:u w:val="single"/>
                <w:lang w:val="da-DK"/>
              </w:rPr>
              <w:t>Poremećaji bubrega i urinarnog sistema</w:t>
            </w:r>
          </w:p>
        </w:tc>
        <w:tc>
          <w:tcPr>
            <w:tcW w:w="2621" w:type="pct"/>
            <w:shd w:val="clear" w:color="auto" w:fill="auto"/>
          </w:tcPr>
          <w:p w14:paraId="5867F2E4">
            <w:pPr>
              <w:shd w:val="clear" w:color="auto" w:fill="FFFFFF"/>
              <w:jc w:val="both"/>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insuficijencija bubrega</w:t>
            </w:r>
          </w:p>
        </w:tc>
        <w:tc>
          <w:tcPr>
            <w:tcW w:w="807" w:type="pct"/>
            <w:shd w:val="clear" w:color="auto" w:fill="auto"/>
          </w:tcPr>
          <w:p w14:paraId="26DDF6E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4BB8A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E1FB01B">
            <w:pPr>
              <w:rPr>
                <w:rFonts w:ascii="Microsoft Sans Serif" w:hAnsi="Microsoft Sans Serif" w:cs="Microsoft Sans Serif"/>
                <w:sz w:val="20"/>
                <w:szCs w:val="20"/>
              </w:rPr>
            </w:pPr>
          </w:p>
        </w:tc>
        <w:tc>
          <w:tcPr>
            <w:tcW w:w="2621" w:type="pct"/>
            <w:shd w:val="clear" w:color="auto" w:fill="auto"/>
          </w:tcPr>
          <w:p w14:paraId="3287800B">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akutna insuficijencija bubrega</w:t>
            </w:r>
          </w:p>
        </w:tc>
        <w:tc>
          <w:tcPr>
            <w:tcW w:w="807" w:type="pct"/>
            <w:shd w:val="clear" w:color="auto" w:fill="auto"/>
          </w:tcPr>
          <w:p w14:paraId="1347FCC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Rijetko </w:t>
            </w:r>
          </w:p>
        </w:tc>
      </w:tr>
      <w:tr w14:paraId="1CF06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B0FB43F">
            <w:pPr>
              <w:rPr>
                <w:rFonts w:ascii="Microsoft Sans Serif" w:hAnsi="Microsoft Sans Serif" w:cs="Microsoft Sans Serif"/>
                <w:sz w:val="20"/>
                <w:szCs w:val="20"/>
              </w:rPr>
            </w:pPr>
          </w:p>
        </w:tc>
        <w:tc>
          <w:tcPr>
            <w:tcW w:w="2621" w:type="pct"/>
            <w:shd w:val="clear" w:color="auto" w:fill="auto"/>
          </w:tcPr>
          <w:p w14:paraId="2482CBCD">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anurija/oligurija</w:t>
            </w:r>
          </w:p>
        </w:tc>
        <w:tc>
          <w:tcPr>
            <w:tcW w:w="807" w:type="pct"/>
            <w:shd w:val="clear" w:color="auto" w:fill="auto"/>
          </w:tcPr>
          <w:p w14:paraId="48D13523">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Rijetko</w:t>
            </w:r>
          </w:p>
        </w:tc>
      </w:tr>
      <w:tr w14:paraId="49941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06A07462">
            <w:pPr>
              <w:shd w:val="clear" w:color="auto" w:fill="FFFFFF"/>
              <w:rPr>
                <w:rFonts w:ascii="Microsoft Sans Serif" w:hAnsi="Microsoft Sans Serif" w:cs="Microsoft Sans Serif"/>
                <w:iCs/>
                <w:sz w:val="20"/>
                <w:szCs w:val="20"/>
                <w:u w:val="single"/>
                <w:lang w:val="hr-HR"/>
              </w:rPr>
            </w:pPr>
            <w:r>
              <w:rPr>
                <w:rFonts w:ascii="Microsoft Sans Serif" w:hAnsi="Microsoft Sans Serif" w:cs="Microsoft Sans Serif"/>
                <w:sz w:val="20"/>
                <w:szCs w:val="20"/>
                <w:u w:val="single"/>
                <w:lang w:val="da-DK"/>
              </w:rPr>
              <w:t>Poremećaji reproduktivnog sistema i dojki</w:t>
            </w:r>
            <w:r>
              <w:rPr>
                <w:rFonts w:ascii="Microsoft Sans Serif" w:hAnsi="Microsoft Sans Serif" w:cs="Microsoft Sans Serif"/>
                <w:iCs/>
                <w:sz w:val="20"/>
                <w:szCs w:val="20"/>
                <w:u w:val="single"/>
                <w:lang w:val="hr-HR"/>
              </w:rPr>
              <w:t xml:space="preserve"> </w:t>
            </w:r>
          </w:p>
          <w:p w14:paraId="549D9277">
            <w:pPr>
              <w:shd w:val="clear" w:color="auto" w:fill="FFFFFF"/>
              <w:jc w:val="both"/>
              <w:rPr>
                <w:rFonts w:ascii="Microsoft Sans Serif" w:hAnsi="Microsoft Sans Serif" w:cs="Microsoft Sans Serif"/>
                <w:sz w:val="20"/>
                <w:szCs w:val="20"/>
              </w:rPr>
            </w:pPr>
          </w:p>
        </w:tc>
        <w:tc>
          <w:tcPr>
            <w:tcW w:w="2621" w:type="pct"/>
            <w:shd w:val="clear" w:color="auto" w:fill="auto"/>
          </w:tcPr>
          <w:p w14:paraId="3C08C848">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erektilna disfunkcija </w:t>
            </w:r>
          </w:p>
        </w:tc>
        <w:tc>
          <w:tcPr>
            <w:tcW w:w="807" w:type="pct"/>
            <w:shd w:val="clear" w:color="auto" w:fill="auto"/>
          </w:tcPr>
          <w:p w14:paraId="37F83EF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36DA1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5248821D">
            <w:pPr>
              <w:rPr>
                <w:rFonts w:ascii="Microsoft Sans Serif" w:hAnsi="Microsoft Sans Serif" w:cs="Microsoft Sans Serif"/>
                <w:sz w:val="20"/>
                <w:szCs w:val="20"/>
                <w:u w:val="single"/>
              </w:rPr>
            </w:pPr>
            <w:r>
              <w:rPr>
                <w:rFonts w:ascii="Microsoft Sans Serif" w:hAnsi="Microsoft Sans Serif" w:cs="Microsoft Sans Serif"/>
                <w:sz w:val="20"/>
                <w:szCs w:val="20"/>
                <w:u w:val="single"/>
                <w:lang w:val="da-DK"/>
              </w:rPr>
              <w:t xml:space="preserve">Opšti poremećaji i reakcije na mjestu primjene  </w:t>
            </w:r>
          </w:p>
        </w:tc>
        <w:tc>
          <w:tcPr>
            <w:tcW w:w="2621" w:type="pct"/>
            <w:shd w:val="clear" w:color="auto" w:fill="auto"/>
          </w:tcPr>
          <w:p w14:paraId="42B46C4D">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astenija</w:t>
            </w:r>
          </w:p>
        </w:tc>
        <w:tc>
          <w:tcPr>
            <w:tcW w:w="807" w:type="pct"/>
            <w:shd w:val="clear" w:color="auto" w:fill="auto"/>
          </w:tcPr>
          <w:p w14:paraId="1EAB90AE">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često </w:t>
            </w:r>
          </w:p>
        </w:tc>
      </w:tr>
      <w:tr w14:paraId="1A4AD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8320945">
            <w:pPr>
              <w:rPr>
                <w:rFonts w:ascii="Microsoft Sans Serif" w:hAnsi="Microsoft Sans Serif" w:cs="Microsoft Sans Serif"/>
                <w:sz w:val="20"/>
                <w:szCs w:val="20"/>
              </w:rPr>
            </w:pPr>
          </w:p>
        </w:tc>
        <w:tc>
          <w:tcPr>
            <w:tcW w:w="2621" w:type="pct"/>
            <w:shd w:val="clear" w:color="auto" w:fill="auto"/>
          </w:tcPr>
          <w:p w14:paraId="629A91B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bol u grudima </w:t>
            </w:r>
          </w:p>
        </w:tc>
        <w:tc>
          <w:tcPr>
            <w:tcW w:w="807" w:type="pct"/>
            <w:shd w:val="clear" w:color="auto" w:fill="auto"/>
          </w:tcPr>
          <w:p w14:paraId="5ED486F9">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4D4F8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451F045C">
            <w:pPr>
              <w:rPr>
                <w:rFonts w:ascii="Microsoft Sans Serif" w:hAnsi="Microsoft Sans Serif" w:cs="Microsoft Sans Serif"/>
                <w:sz w:val="20"/>
                <w:szCs w:val="20"/>
              </w:rPr>
            </w:pPr>
          </w:p>
        </w:tc>
        <w:tc>
          <w:tcPr>
            <w:tcW w:w="2621" w:type="pct"/>
            <w:shd w:val="clear" w:color="auto" w:fill="auto"/>
          </w:tcPr>
          <w:p w14:paraId="51F70700">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slabost </w:t>
            </w:r>
          </w:p>
        </w:tc>
        <w:tc>
          <w:tcPr>
            <w:tcW w:w="807" w:type="pct"/>
            <w:shd w:val="clear" w:color="auto" w:fill="auto"/>
          </w:tcPr>
          <w:p w14:paraId="0CD4731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15189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EB60BE8">
            <w:pPr>
              <w:rPr>
                <w:rFonts w:ascii="Microsoft Sans Serif" w:hAnsi="Microsoft Sans Serif" w:cs="Microsoft Sans Serif"/>
                <w:sz w:val="20"/>
                <w:szCs w:val="20"/>
              </w:rPr>
            </w:pPr>
          </w:p>
        </w:tc>
        <w:tc>
          <w:tcPr>
            <w:tcW w:w="2621" w:type="pct"/>
            <w:shd w:val="clear" w:color="auto" w:fill="auto"/>
          </w:tcPr>
          <w:p w14:paraId="28F3B25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periferni edemi </w:t>
            </w:r>
          </w:p>
        </w:tc>
        <w:tc>
          <w:tcPr>
            <w:tcW w:w="807" w:type="pct"/>
            <w:shd w:val="clear" w:color="auto" w:fill="auto"/>
          </w:tcPr>
          <w:p w14:paraId="280CFB7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111E8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6C26025E">
            <w:pPr>
              <w:rPr>
                <w:rFonts w:ascii="Microsoft Sans Serif" w:hAnsi="Microsoft Sans Serif" w:cs="Microsoft Sans Serif"/>
                <w:sz w:val="20"/>
                <w:szCs w:val="20"/>
              </w:rPr>
            </w:pPr>
          </w:p>
        </w:tc>
        <w:tc>
          <w:tcPr>
            <w:tcW w:w="2621" w:type="pct"/>
            <w:shd w:val="clear" w:color="auto" w:fill="auto"/>
          </w:tcPr>
          <w:p w14:paraId="0935C3D7">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pireksija </w:t>
            </w:r>
          </w:p>
        </w:tc>
        <w:tc>
          <w:tcPr>
            <w:tcW w:w="807" w:type="pct"/>
            <w:shd w:val="clear" w:color="auto" w:fill="auto"/>
          </w:tcPr>
          <w:p w14:paraId="6EA6D3F6">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63ADE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vMerge w:val="restart"/>
            <w:shd w:val="clear" w:color="auto" w:fill="auto"/>
          </w:tcPr>
          <w:p w14:paraId="5A664BA5">
            <w:pPr>
              <w:shd w:val="clear" w:color="auto" w:fill="FFFFFF"/>
              <w:jc w:val="both"/>
              <w:rPr>
                <w:rFonts w:ascii="Microsoft Sans Serif" w:hAnsi="Microsoft Sans Serif" w:cs="Microsoft Sans Serif"/>
                <w:sz w:val="20"/>
                <w:szCs w:val="20"/>
                <w:u w:val="single"/>
                <w:lang w:val="es-MX"/>
              </w:rPr>
            </w:pPr>
            <w:r>
              <w:rPr>
                <w:rFonts w:ascii="Microsoft Sans Serif" w:hAnsi="Microsoft Sans Serif" w:cs="Microsoft Sans Serif"/>
                <w:iCs/>
                <w:sz w:val="20"/>
                <w:szCs w:val="20"/>
                <w:u w:val="single"/>
                <w:lang w:val="hr-HR"/>
              </w:rPr>
              <w:t>Pretrage</w:t>
            </w:r>
          </w:p>
          <w:p w14:paraId="2170DF4C">
            <w:pPr>
              <w:shd w:val="clear" w:color="auto" w:fill="FFFFFF"/>
              <w:jc w:val="both"/>
              <w:rPr>
                <w:rFonts w:ascii="Microsoft Sans Serif" w:hAnsi="Microsoft Sans Serif" w:cs="Microsoft Sans Serif"/>
                <w:sz w:val="20"/>
                <w:szCs w:val="20"/>
              </w:rPr>
            </w:pPr>
          </w:p>
        </w:tc>
        <w:tc>
          <w:tcPr>
            <w:tcW w:w="2621" w:type="pct"/>
            <w:shd w:val="clear" w:color="auto" w:fill="auto"/>
          </w:tcPr>
          <w:p w14:paraId="02331EBC">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porast nivoa ureje u krvi</w:t>
            </w:r>
          </w:p>
        </w:tc>
        <w:tc>
          <w:tcPr>
            <w:tcW w:w="807" w:type="pct"/>
            <w:shd w:val="clear" w:color="auto" w:fill="auto"/>
          </w:tcPr>
          <w:p w14:paraId="7E2EC7A4">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40FB2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222B719B">
            <w:pPr>
              <w:rPr>
                <w:rFonts w:ascii="Microsoft Sans Serif" w:hAnsi="Microsoft Sans Serif" w:cs="Microsoft Sans Serif"/>
                <w:sz w:val="20"/>
                <w:szCs w:val="20"/>
              </w:rPr>
            </w:pPr>
          </w:p>
        </w:tc>
        <w:tc>
          <w:tcPr>
            <w:tcW w:w="2621" w:type="pct"/>
            <w:shd w:val="clear" w:color="auto" w:fill="auto"/>
          </w:tcPr>
          <w:p w14:paraId="77B215D5">
            <w:pPr>
              <w:rPr>
                <w:rFonts w:ascii="Microsoft Sans Serif" w:hAnsi="Microsoft Sans Serif" w:cs="Microsoft Sans Serif"/>
                <w:color w:val="000000"/>
                <w:sz w:val="20"/>
                <w:szCs w:val="20"/>
              </w:rPr>
            </w:pPr>
            <w:r>
              <w:rPr>
                <w:rFonts w:ascii="Microsoft Sans Serif" w:hAnsi="Microsoft Sans Serif" w:cs="Microsoft Sans Serif"/>
                <w:sz w:val="20"/>
                <w:szCs w:val="20"/>
                <w:lang w:val="hr-HR"/>
              </w:rPr>
              <w:t>porast nivoa kreatinina u krvi</w:t>
            </w:r>
          </w:p>
        </w:tc>
        <w:tc>
          <w:tcPr>
            <w:tcW w:w="807" w:type="pct"/>
            <w:shd w:val="clear" w:color="auto" w:fill="auto"/>
          </w:tcPr>
          <w:p w14:paraId="05FC7402">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r w14:paraId="054B8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7EDF2297">
            <w:pPr>
              <w:rPr>
                <w:rFonts w:ascii="Microsoft Sans Serif" w:hAnsi="Microsoft Sans Serif" w:cs="Microsoft Sans Serif"/>
                <w:sz w:val="20"/>
                <w:szCs w:val="20"/>
              </w:rPr>
            </w:pPr>
          </w:p>
        </w:tc>
        <w:tc>
          <w:tcPr>
            <w:tcW w:w="2621" w:type="pct"/>
            <w:shd w:val="clear" w:color="auto" w:fill="auto"/>
          </w:tcPr>
          <w:p w14:paraId="513F09E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porast bilirubin u krvi </w:t>
            </w:r>
          </w:p>
        </w:tc>
        <w:tc>
          <w:tcPr>
            <w:tcW w:w="807" w:type="pct"/>
            <w:shd w:val="clear" w:color="auto" w:fill="auto"/>
          </w:tcPr>
          <w:p w14:paraId="7A6B6696">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Rijetko  </w:t>
            </w:r>
          </w:p>
        </w:tc>
      </w:tr>
      <w:tr w14:paraId="24339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Merge w:val="continue"/>
            <w:shd w:val="clear" w:color="auto" w:fill="auto"/>
          </w:tcPr>
          <w:p w14:paraId="3D354CEF">
            <w:pPr>
              <w:rPr>
                <w:rFonts w:ascii="Microsoft Sans Serif" w:hAnsi="Microsoft Sans Serif" w:cs="Microsoft Sans Serif"/>
                <w:sz w:val="20"/>
                <w:szCs w:val="20"/>
              </w:rPr>
            </w:pPr>
          </w:p>
        </w:tc>
        <w:tc>
          <w:tcPr>
            <w:tcW w:w="2621" w:type="pct"/>
            <w:shd w:val="clear" w:color="auto" w:fill="auto"/>
          </w:tcPr>
          <w:p w14:paraId="40D53235">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porast hepatalnih enzima </w:t>
            </w:r>
          </w:p>
        </w:tc>
        <w:tc>
          <w:tcPr>
            <w:tcW w:w="807" w:type="pct"/>
            <w:shd w:val="clear" w:color="auto" w:fill="auto"/>
          </w:tcPr>
          <w:p w14:paraId="4DF3FCB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Rijetko  </w:t>
            </w:r>
          </w:p>
        </w:tc>
      </w:tr>
      <w:tr w14:paraId="5C12D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2" w:type="pct"/>
            <w:shd w:val="clear" w:color="auto" w:fill="auto"/>
          </w:tcPr>
          <w:p w14:paraId="6B48E590">
            <w:pPr>
              <w:pStyle w:val="31"/>
              <w:jc w:val="left"/>
              <w:rPr>
                <w:rFonts w:ascii="Microsoft Sans Serif" w:hAnsi="Microsoft Sans Serif" w:cs="Microsoft Sans Serif"/>
                <w:b w:val="0"/>
                <w:sz w:val="20"/>
                <w:szCs w:val="20"/>
                <w:lang w:val="da-DK"/>
              </w:rPr>
            </w:pPr>
            <w:r>
              <w:rPr>
                <w:rFonts w:ascii="Microsoft Sans Serif" w:hAnsi="Microsoft Sans Serif" w:cs="Microsoft Sans Serif"/>
                <w:b w:val="0"/>
                <w:sz w:val="20"/>
                <w:szCs w:val="20"/>
                <w:lang w:val="da-DK"/>
              </w:rPr>
              <w:t xml:space="preserve">Ozljede, trovanja i proceduralne komplikacije </w:t>
            </w:r>
          </w:p>
          <w:p w14:paraId="669BB9C0">
            <w:pPr>
              <w:rPr>
                <w:rFonts w:ascii="Microsoft Sans Serif" w:hAnsi="Microsoft Sans Serif" w:cs="Microsoft Sans Serif"/>
                <w:sz w:val="20"/>
                <w:szCs w:val="20"/>
              </w:rPr>
            </w:pPr>
          </w:p>
        </w:tc>
        <w:tc>
          <w:tcPr>
            <w:tcW w:w="2621" w:type="pct"/>
            <w:shd w:val="clear" w:color="auto" w:fill="auto"/>
          </w:tcPr>
          <w:p w14:paraId="7F31DF13">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pad </w:t>
            </w:r>
          </w:p>
        </w:tc>
        <w:tc>
          <w:tcPr>
            <w:tcW w:w="807" w:type="pct"/>
            <w:shd w:val="clear" w:color="auto" w:fill="auto"/>
          </w:tcPr>
          <w:p w14:paraId="3747E46C">
            <w:pPr>
              <w:rPr>
                <w:rFonts w:ascii="Microsoft Sans Serif" w:hAnsi="Microsoft Sans Serif" w:cs="Microsoft Sans Serif"/>
                <w:color w:val="000000"/>
                <w:sz w:val="20"/>
                <w:szCs w:val="20"/>
              </w:rPr>
            </w:pPr>
            <w:r>
              <w:rPr>
                <w:rFonts w:ascii="Microsoft Sans Serif" w:hAnsi="Microsoft Sans Serif" w:cs="Microsoft Sans Serif"/>
                <w:color w:val="000000"/>
                <w:sz w:val="20"/>
                <w:szCs w:val="20"/>
              </w:rPr>
              <w:t xml:space="preserve">Povremeno* </w:t>
            </w:r>
          </w:p>
        </w:tc>
      </w:tr>
    </w:tbl>
    <w:p w14:paraId="5A72F6AD">
      <w:pPr>
        <w:pStyle w:val="27"/>
        <w:spacing w:before="0" w:beforeAutospacing="0" w:after="0" w:afterAutospacing="0"/>
        <w:jc w:val="both"/>
        <w:rPr>
          <w:rFonts w:ascii="Microsoft Sans Serif" w:hAnsi="Microsoft Sans Serif" w:cs="Microsoft Sans Serif"/>
          <w:sz w:val="20"/>
          <w:szCs w:val="20"/>
          <w:lang w:val="pl-PL"/>
        </w:rPr>
      </w:pPr>
      <w:r>
        <w:rPr>
          <w:rStyle w:val="33"/>
          <w:rFonts w:ascii="Microsoft Sans Serif" w:hAnsi="Microsoft Sans Serif" w:cs="Microsoft Sans Serif"/>
          <w:i/>
          <w:color w:val="222222"/>
          <w:sz w:val="20"/>
          <w:szCs w:val="20"/>
        </w:rPr>
        <w:t>*</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Učestalost</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izračunata iz</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kliničkih ispitivanja</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za</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neželjene</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događaje</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izspontanih</w:t>
      </w:r>
      <w:r>
        <w:rPr>
          <w:rFonts w:ascii="Microsoft Sans Serif" w:hAnsi="Microsoft Sans Serif" w:cs="Microsoft Sans Serif"/>
          <w:i/>
          <w:color w:val="222222"/>
          <w:sz w:val="20"/>
          <w:szCs w:val="20"/>
        </w:rPr>
        <w:t xml:space="preserve"> </w:t>
      </w:r>
      <w:r>
        <w:rPr>
          <w:rStyle w:val="33"/>
          <w:rFonts w:ascii="Microsoft Sans Serif" w:hAnsi="Microsoft Sans Serif" w:cs="Microsoft Sans Serif"/>
          <w:i/>
          <w:color w:val="222222"/>
          <w:sz w:val="20"/>
          <w:szCs w:val="20"/>
        </w:rPr>
        <w:t>izvještaja</w:t>
      </w:r>
    </w:p>
    <w:p w14:paraId="076E3A6B">
      <w:pPr>
        <w:shd w:val="clear" w:color="auto" w:fill="FFFFFF"/>
        <w:jc w:val="both"/>
        <w:rPr>
          <w:rFonts w:ascii="Microsoft Sans Serif" w:hAnsi="Microsoft Sans Serif" w:cs="Microsoft Sans Serif"/>
          <w:i/>
          <w:iCs/>
          <w:sz w:val="20"/>
          <w:szCs w:val="20"/>
          <w:lang w:val="hr-HR"/>
        </w:rPr>
      </w:pPr>
    </w:p>
    <w:p w14:paraId="37793F5B">
      <w:pPr>
        <w:shd w:val="clear" w:color="auto" w:fill="FFFFFF"/>
        <w:jc w:val="both"/>
        <w:rPr>
          <w:rFonts w:ascii="Microsoft Sans Serif" w:hAnsi="Microsoft Sans Serif" w:cs="Microsoft Sans Serif"/>
          <w:iCs/>
          <w:sz w:val="20"/>
          <w:szCs w:val="20"/>
          <w:lang w:val="en-GB"/>
        </w:rPr>
      </w:pPr>
    </w:p>
    <w:p w14:paraId="41804DD7">
      <w:pPr>
        <w:shd w:val="clear" w:color="auto" w:fill="FFFFFF"/>
        <w:jc w:val="both"/>
        <w:rPr>
          <w:rFonts w:ascii="Microsoft Sans Serif" w:hAnsi="Microsoft Sans Serif" w:cs="Microsoft Sans Serif"/>
          <w:sz w:val="20"/>
          <w:szCs w:val="20"/>
          <w:u w:val="single"/>
          <w:lang w:val="hr-HR"/>
        </w:rPr>
      </w:pPr>
      <w:r>
        <w:rPr>
          <w:rFonts w:ascii="Microsoft Sans Serif" w:hAnsi="Microsoft Sans Serif" w:cs="Microsoft Sans Serif"/>
          <w:iCs/>
          <w:sz w:val="20"/>
          <w:szCs w:val="20"/>
          <w:u w:val="single"/>
          <w:lang w:val="hr-HR"/>
        </w:rPr>
        <w:t>Klinička ispitivanja</w:t>
      </w:r>
    </w:p>
    <w:p w14:paraId="72370B64">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Tokom randimizacionim periodom u studiji EUROPA prikupljeni su samo podaci o pojavi teških neželjenih djelovanja. Mali broj pacijenata je iskusio teška neželjena djelovanja: 16 (0,3%) od 6.122 pacijenata koji su primali perindopril i 12 (0,2%) od 6.107 pacijenata koji su primali placebo. Među pacijentima liječenim perindoprilom hipotenzija je primjećena u 6 pacijenta, angioedem u 3 pacijenta i iznenadni zastoj rada srca u 1 pacijent. Veći broj pacijenta prestao je sa liječenjem zbog kašlja, hipotenzije ili drugih oblika nepodnošljivosti lijeka u skupini liječenoj perindoprilom nego u onoj liječenoj placebom, 6,0% (n=366) u odnosu na 2,1% (n=129).</w:t>
      </w:r>
    </w:p>
    <w:p w14:paraId="44BCF6CF">
      <w:pPr>
        <w:jc w:val="both"/>
        <w:rPr>
          <w:rFonts w:ascii="Microsoft Sans Serif" w:hAnsi="Microsoft Sans Serif" w:cs="Microsoft Sans Serif"/>
          <w:b/>
          <w:sz w:val="20"/>
          <w:szCs w:val="20"/>
          <w:lang w:val="hr-HR"/>
        </w:rPr>
      </w:pPr>
    </w:p>
    <w:p w14:paraId="20554A3A">
      <w:pPr>
        <w:jc w:val="both"/>
        <w:rPr>
          <w:rFonts w:ascii="Microsoft Sans Serif" w:hAnsi="Microsoft Sans Serif" w:cs="Microsoft Sans Serif"/>
          <w:sz w:val="20"/>
          <w:szCs w:val="20"/>
          <w:u w:val="single"/>
          <w:lang w:val="bs-Latn-BA" w:eastAsia="en-GB"/>
        </w:rPr>
      </w:pPr>
      <w:r>
        <w:rPr>
          <w:rFonts w:ascii="Microsoft Sans Serif" w:hAnsi="Microsoft Sans Serif" w:cs="Microsoft Sans Serif"/>
          <w:sz w:val="20"/>
          <w:szCs w:val="20"/>
          <w:u w:val="single"/>
          <w:lang w:val="bs-Latn-BA" w:eastAsia="en-GB"/>
        </w:rPr>
        <w:t>Prijavljivanje sumnje na neželjena djelovanja lijeka</w:t>
      </w:r>
    </w:p>
    <w:p w14:paraId="030D638C">
      <w:pPr>
        <w:jc w:val="both"/>
        <w:rPr>
          <w:rFonts w:ascii="Microsoft Sans Serif" w:hAnsi="Microsoft Sans Serif" w:cs="Microsoft Sans Serif"/>
          <w:sz w:val="20"/>
          <w:szCs w:val="20"/>
          <w:lang w:val="bs-Latn-BA" w:eastAsia="en-GB"/>
        </w:rPr>
      </w:pPr>
      <w:r>
        <w:rPr>
          <w:rFonts w:ascii="Microsoft Sans Serif" w:hAnsi="Microsoft Sans Serif" w:cs="Microsoft Sans Serif"/>
          <w:sz w:val="20"/>
          <w:szCs w:val="20"/>
          <w:lang w:val="bs-Latn-BA" w:eastAsia="en-GB"/>
        </w:rPr>
        <w:t>Prijavljivanje sumnje na neželjena djelovanja lijekova, a nakon stavljanja lijeka u promet je od velike važnosti za formiranje kompletnije slike o bezbjednosnom profilu lijeka, odnosno za formiranje što bolje ocjene odnosa korist/rizik pri terapijskoj primjeni lijeka.</w:t>
      </w:r>
    </w:p>
    <w:p w14:paraId="33B0A87C">
      <w:pPr>
        <w:jc w:val="both"/>
        <w:rPr>
          <w:rFonts w:ascii="Microsoft Sans Serif" w:hAnsi="Microsoft Sans Serif" w:cs="Microsoft Sans Serif"/>
          <w:sz w:val="20"/>
          <w:szCs w:val="20"/>
          <w:lang w:val="bs-Latn-BA" w:eastAsia="en-GB"/>
        </w:rPr>
      </w:pPr>
      <w:r>
        <w:rPr>
          <w:rFonts w:ascii="Microsoft Sans Serif" w:hAnsi="Microsoft Sans Serif" w:cs="Microsoft Sans Serif"/>
          <w:sz w:val="20"/>
          <w:szCs w:val="20"/>
          <w:lang w:val="bs-Latn-BA" w:eastAsia="en-GB"/>
        </w:rPr>
        <w:t>Proces prijavljivanja sumnji na neželjena djelovanja lijeka doprinosi kontinuiranom praćenju odnosa koristi/rizik i adekvatnoj ocjeni bezbjednosnog profila lijeka. Od zdravstvenih stručnjaka se traži da prijave svaku sumnju na neželjeno dejstvo lijeka direktno ALMBiH. Prijava se može dostaviti:</w:t>
      </w:r>
    </w:p>
    <w:p w14:paraId="1B3C607D">
      <w:pPr>
        <w:numPr>
          <w:ilvl w:val="0"/>
          <w:numId w:val="5"/>
        </w:numPr>
        <w:tabs>
          <w:tab w:val="left" w:pos="567"/>
        </w:tabs>
        <w:ind w:left="0" w:firstLine="0"/>
        <w:contextualSpacing/>
        <w:jc w:val="both"/>
        <w:rPr>
          <w:rFonts w:ascii="Microsoft Sans Serif" w:hAnsi="Microsoft Sans Serif" w:eastAsia="Calibri" w:cs="Microsoft Sans Serif"/>
          <w:sz w:val="20"/>
          <w:szCs w:val="20"/>
          <w:lang w:val="bs-Latn-BA"/>
        </w:rPr>
      </w:pPr>
      <w:r>
        <w:rPr>
          <w:rFonts w:ascii="Microsoft Sans Serif" w:hAnsi="Microsoft Sans Serif" w:eastAsia="Calibri" w:cs="Microsoft Sans Serif"/>
          <w:sz w:val="20"/>
          <w:szCs w:val="20"/>
          <w:lang w:val="bs-Latn-BA"/>
        </w:rPr>
        <w:t>posredstvom softverske aplikacije za prijavu neželjenih djelovanja lijekova za humanu upotrebu (IS Farmakovigilansa) o kojoj više informacija možete dobiti u našoj Glavnoj kancelariji za farmakovigilansu ili</w:t>
      </w:r>
    </w:p>
    <w:p w14:paraId="764E51CE">
      <w:pPr>
        <w:numPr>
          <w:ilvl w:val="0"/>
          <w:numId w:val="5"/>
        </w:numPr>
        <w:tabs>
          <w:tab w:val="left" w:pos="567"/>
        </w:tabs>
        <w:ind w:left="0" w:firstLine="0"/>
        <w:contextualSpacing/>
        <w:jc w:val="both"/>
        <w:rPr>
          <w:rFonts w:ascii="Microsoft Sans Serif" w:hAnsi="Microsoft Sans Serif" w:eastAsia="Calibri" w:cs="Microsoft Sans Serif"/>
          <w:sz w:val="20"/>
          <w:szCs w:val="20"/>
          <w:lang w:val="bs-Latn-BA"/>
        </w:rPr>
      </w:pPr>
      <w:r>
        <w:rPr>
          <w:rFonts w:ascii="Microsoft Sans Serif" w:hAnsi="Microsoft Sans Serif" w:eastAsia="Calibri" w:cs="Microsoft Sans Serif"/>
          <w:sz w:val="20"/>
          <w:szCs w:val="20"/>
          <w:lang w:val="bs-Latn-BA"/>
        </w:rPr>
        <w:t xml:space="preserve">posredstvom odgovarajućeg obrasca za prijavljivanje sumnji na neželjena djelovanja lijeka, koji se mogu naći na internet stranici Agencije za lijekove: </w:t>
      </w:r>
      <w:r>
        <w:fldChar w:fldCharType="begin"/>
      </w:r>
      <w:r>
        <w:instrText xml:space="preserve"> HYPERLINK "http://www.almbih.gov.ba" </w:instrText>
      </w:r>
      <w:r>
        <w:fldChar w:fldCharType="separate"/>
      </w:r>
      <w:r>
        <w:rPr>
          <w:rFonts w:ascii="Microsoft Sans Serif" w:hAnsi="Microsoft Sans Serif" w:eastAsia="Calibri" w:cs="Microsoft Sans Serif"/>
          <w:sz w:val="20"/>
          <w:szCs w:val="20"/>
          <w:u w:val="single"/>
          <w:lang w:val="bs-Latn-BA"/>
        </w:rPr>
        <w:t>www.almbih.gov.ba</w:t>
      </w:r>
      <w:r>
        <w:rPr>
          <w:rFonts w:ascii="Microsoft Sans Serif" w:hAnsi="Microsoft Sans Serif" w:eastAsia="Calibri" w:cs="Microsoft Sans Serif"/>
          <w:sz w:val="20"/>
          <w:szCs w:val="20"/>
          <w:u w:val="single"/>
          <w:lang w:val="bs-Latn-BA"/>
        </w:rPr>
        <w:fldChar w:fldCharType="end"/>
      </w:r>
      <w:r>
        <w:rPr>
          <w:rFonts w:ascii="Microsoft Sans Serif" w:hAnsi="Microsoft Sans Serif" w:eastAsia="Calibri" w:cs="Microsoft Sans Serif"/>
          <w:sz w:val="20"/>
          <w:szCs w:val="20"/>
          <w:lang w:val="bs-Latn-BA"/>
        </w:rPr>
        <w:t>. Popunjen obrazac se može dostaviti ALMBiH putem pošte, na adresu Agencija za lijekove i medicinska sredstva Bosne i Hercegovine, Veljka Mlađenovića bb, Banja Luka ili elektronske pošte (na e-mail adresu: ndl@almbih.gov.ba).</w:t>
      </w:r>
    </w:p>
    <w:p w14:paraId="35A54718">
      <w:pPr>
        <w:jc w:val="both"/>
        <w:rPr>
          <w:rFonts w:ascii="Microsoft Sans Serif" w:hAnsi="Microsoft Sans Serif" w:cs="Microsoft Sans Serif"/>
          <w:b/>
          <w:sz w:val="20"/>
          <w:szCs w:val="20"/>
          <w:lang w:val="hr-HR"/>
        </w:rPr>
      </w:pPr>
    </w:p>
    <w:p w14:paraId="20A535EB">
      <w:pPr>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hr-HR"/>
        </w:rPr>
        <w:t>4.9</w:t>
      </w:r>
      <w:r>
        <w:rPr>
          <w:rFonts w:ascii="Microsoft Sans Serif" w:hAnsi="Microsoft Sans Serif" w:cs="Microsoft Sans Serif"/>
          <w:b/>
          <w:sz w:val="20"/>
          <w:szCs w:val="20"/>
          <w:lang w:val="hr-HR"/>
        </w:rPr>
        <w:tab/>
      </w:r>
      <w:r>
        <w:rPr>
          <w:rFonts w:ascii="Microsoft Sans Serif" w:hAnsi="Microsoft Sans Serif" w:cs="Microsoft Sans Serif"/>
          <w:b/>
          <w:sz w:val="20"/>
          <w:szCs w:val="20"/>
          <w:lang w:val="hr-HR"/>
        </w:rPr>
        <w:t>Predoziranje</w:t>
      </w:r>
    </w:p>
    <w:p w14:paraId="7D1235CF">
      <w:pPr>
        <w:pStyle w:val="14"/>
        <w:jc w:val="both"/>
        <w:rPr>
          <w:rFonts w:ascii="Microsoft Sans Serif" w:hAnsi="Microsoft Sans Serif" w:cs="Microsoft Sans Serif"/>
          <w:sz w:val="20"/>
          <w:szCs w:val="20"/>
          <w:lang w:val="hr-HR"/>
        </w:rPr>
      </w:pPr>
    </w:p>
    <w:p w14:paraId="3EA7444E">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color w:val="000000"/>
          <w:sz w:val="20"/>
          <w:szCs w:val="20"/>
          <w:lang w:val="hr-HR"/>
        </w:rPr>
        <w:t xml:space="preserve">Dostupni podaci o predoziranju kod ljudi su limirani. </w:t>
      </w:r>
      <w:r>
        <w:rPr>
          <w:rFonts w:ascii="Microsoft Sans Serif" w:hAnsi="Microsoft Sans Serif" w:cs="Microsoft Sans Serif"/>
          <w:sz w:val="20"/>
          <w:szCs w:val="20"/>
          <w:lang w:val="hr-HR"/>
        </w:rPr>
        <w:t xml:space="preserve">Simptomi povezani sa predoziranjem ACE inhibitorima uključuju hipotenziju, cirkulacijski šok, poremećaj elektrolita, insuficijencija bubrega, hiperventilaciju, tahikardiju, palpitatcije, bradikardiju, omaglice, anksioznost i kašalj. </w:t>
      </w:r>
    </w:p>
    <w:p w14:paraId="31F432C9">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Preporučeno liječenje predoziranja sastoji se od intravenske infuzije 9 mg/ml (0,9%) rastvora natrijum hlorida. Ako dođe do hipotenzije, pacijenta treba staviti u šok položaj. Ako postoji mogućnost, treba razmotriti liječenje infuzijom angiotenzina II i/ili intravenoznom primjenom kateholamina. Perindopril se iz sistema cirkulacije može ukloniti hemodijalizom (pogledati dio 4.4). Liječenje elektrostimulatorom srca indicirano je kod bradikardije koja je otporna na liječenje. Neprestano treba nadzirati vitalne znakove, elektrolite u serumu i koncentraciju kreatinina.</w:t>
      </w:r>
    </w:p>
    <w:p w14:paraId="004D29AE">
      <w:pPr>
        <w:rPr>
          <w:rFonts w:ascii="Microsoft Sans Serif" w:hAnsi="Microsoft Sans Serif" w:cs="Microsoft Sans Serif"/>
          <w:color w:val="000000"/>
          <w:sz w:val="20"/>
          <w:szCs w:val="20"/>
          <w:lang w:val="hr-HR"/>
        </w:rPr>
      </w:pPr>
    </w:p>
    <w:p w14:paraId="2B44B7D4">
      <w:pPr>
        <w:pStyle w:val="14"/>
        <w:jc w:val="both"/>
        <w:rPr>
          <w:rFonts w:ascii="Microsoft Sans Serif" w:hAnsi="Microsoft Sans Serif" w:cs="Microsoft Sans Serif"/>
          <w:sz w:val="20"/>
          <w:szCs w:val="20"/>
          <w:lang w:val="mk-MK"/>
        </w:rPr>
      </w:pPr>
    </w:p>
    <w:p w14:paraId="064CFBAA">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5.</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mk-MK"/>
        </w:rPr>
        <w:t>FARMAKOLOŠKE KARAKTERISTIKE</w:t>
      </w:r>
      <w:r>
        <w:rPr>
          <w:rFonts w:ascii="Microsoft Sans Serif" w:hAnsi="Microsoft Sans Serif" w:cs="Microsoft Sans Serif"/>
          <w:b/>
          <w:sz w:val="20"/>
          <w:szCs w:val="20"/>
          <w:lang w:val="mk-MK"/>
        </w:rPr>
        <w:tab/>
      </w:r>
    </w:p>
    <w:p w14:paraId="525F5ABC">
      <w:pPr>
        <w:jc w:val="both"/>
        <w:rPr>
          <w:rFonts w:ascii="Microsoft Sans Serif" w:hAnsi="Microsoft Sans Serif" w:cs="Microsoft Sans Serif"/>
          <w:b/>
          <w:sz w:val="20"/>
          <w:szCs w:val="20"/>
          <w:lang w:val="mk-MK"/>
        </w:rPr>
      </w:pPr>
    </w:p>
    <w:p w14:paraId="2F28BE0E">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5.1</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mk-MK"/>
        </w:rPr>
        <w:t xml:space="preserve">Farmakodinamičke karakteristike </w:t>
      </w:r>
    </w:p>
    <w:p w14:paraId="490FFE2B">
      <w:pPr>
        <w:pStyle w:val="24"/>
        <w:tabs>
          <w:tab w:val="clear" w:pos="4320"/>
          <w:tab w:val="clear" w:pos="8640"/>
        </w:tabs>
        <w:jc w:val="both"/>
        <w:rPr>
          <w:rFonts w:ascii="Microsoft Sans Serif" w:hAnsi="Microsoft Sans Serif" w:cs="Microsoft Sans Serif"/>
          <w:sz w:val="20"/>
          <w:szCs w:val="20"/>
          <w:lang w:val="mk-MK"/>
        </w:rPr>
      </w:pPr>
    </w:p>
    <w:p w14:paraId="0596A4B8">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mk-MK"/>
        </w:rPr>
        <w:t xml:space="preserve">Farmako-terapeutska grupa: </w:t>
      </w:r>
      <w:r>
        <w:rPr>
          <w:rFonts w:ascii="Microsoft Sans Serif" w:hAnsi="Microsoft Sans Serif" w:cs="Microsoft Sans Serif"/>
          <w:sz w:val="20"/>
          <w:szCs w:val="20"/>
          <w:lang w:val="hr-HR"/>
        </w:rPr>
        <w:t>ACE inhibitori, čisti,</w:t>
      </w:r>
    </w:p>
    <w:p w14:paraId="7F39EC4C">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 xml:space="preserve">ATC kod: </w:t>
      </w:r>
      <w:r>
        <w:rPr>
          <w:rFonts w:ascii="Microsoft Sans Serif" w:hAnsi="Microsoft Sans Serif" w:cs="Microsoft Sans Serif"/>
          <w:sz w:val="20"/>
          <w:szCs w:val="20"/>
          <w:lang w:val="pl-PL" w:eastAsia="en-GB"/>
        </w:rPr>
        <w:t>C09AA04</w:t>
      </w:r>
    </w:p>
    <w:p w14:paraId="6C2B2E6C">
      <w:pPr>
        <w:jc w:val="both"/>
        <w:rPr>
          <w:rFonts w:ascii="Microsoft Sans Serif" w:hAnsi="Microsoft Sans Serif" w:cs="Microsoft Sans Serif"/>
          <w:sz w:val="20"/>
          <w:szCs w:val="20"/>
          <w:lang w:val="mk-MK"/>
        </w:rPr>
      </w:pPr>
    </w:p>
    <w:p w14:paraId="4FA0C72A">
      <w:pPr>
        <w:rPr>
          <w:rFonts w:ascii="Microsoft Sans Serif" w:hAnsi="Microsoft Sans Serif" w:cs="Microsoft Sans Serif"/>
          <w:color w:val="000000"/>
          <w:sz w:val="20"/>
          <w:szCs w:val="20"/>
          <w:lang w:val="pl-PL"/>
        </w:rPr>
      </w:pPr>
      <w:r>
        <w:rPr>
          <w:rFonts w:ascii="Microsoft Sans Serif" w:hAnsi="Microsoft Sans Serif" w:cs="Microsoft Sans Serif"/>
          <w:color w:val="000000"/>
          <w:sz w:val="20"/>
          <w:szCs w:val="20"/>
          <w:u w:val="single"/>
          <w:lang w:val="pl-PL"/>
        </w:rPr>
        <w:t>Mehanizam djelovanja</w:t>
      </w:r>
    </w:p>
    <w:p w14:paraId="66057FAE">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Perindopril je inhibitor enzima koji pretvara angiotenzin I u angiotenzin </w:t>
      </w:r>
      <w:r>
        <w:rPr>
          <w:rFonts w:ascii="Microsoft Sans Serif" w:hAnsi="Microsoft Sans Serif" w:cs="Microsoft Sans Serif"/>
          <w:sz w:val="20"/>
          <w:szCs w:val="20"/>
          <w:lang w:val="pl-PL"/>
        </w:rPr>
        <w:t>II</w:t>
      </w:r>
      <w:r>
        <w:rPr>
          <w:rFonts w:ascii="Microsoft Sans Serif" w:hAnsi="Microsoft Sans Serif" w:cs="Microsoft Sans Serif"/>
          <w:sz w:val="20"/>
          <w:szCs w:val="20"/>
          <w:lang w:val="hr-HR"/>
        </w:rPr>
        <w:t xml:space="preserve"> </w:t>
      </w:r>
      <w:r>
        <w:rPr>
          <w:rFonts w:ascii="Microsoft Sans Serif" w:hAnsi="Microsoft Sans Serif" w:cs="Microsoft Sans Serif"/>
          <w:i/>
          <w:iCs/>
          <w:sz w:val="20"/>
          <w:szCs w:val="20"/>
          <w:lang w:val="hr-HR"/>
        </w:rPr>
        <w:t xml:space="preserve">(Angiotensin Converting Enzyme - </w:t>
      </w:r>
      <w:r>
        <w:rPr>
          <w:rFonts w:ascii="Microsoft Sans Serif" w:hAnsi="Microsoft Sans Serif" w:cs="Microsoft Sans Serif"/>
          <w:sz w:val="20"/>
          <w:szCs w:val="20"/>
          <w:lang w:val="hr-HR"/>
        </w:rPr>
        <w:t xml:space="preserve">ACE). Konvertirajući enzim ili kinaza je egzopeptidaza koja omogućuje pretvaranje angiotenzina I u vazokonstriktor angiotenzin II, kao i razgradnju vazodilatatora bradikinina u inaktivni heptapeptid. Inhibicija ACE dovodi do smanjenja količine angiotenzina II u plazmi, što vodi porastu reninske aktivnosti u plazmi (putem inhibicije negativne povratne sprege sa otpuštanjem renina) i smanjenom sekrecijom aldosterona. Budući da ACE inaktivira bradikinin, inhibicija enzima ACE takođe dovodi do povećane aktivnosti cirkulirajućih i lokalnih kalikrein-kinin sistema (čime se aktivira sistem prostaglandina). Moguće je da ovaj mehanizam doprinosi dejstvu ACE inhibitora na snižavanje krvnog pritiska i da je djelomično odgovoran za njihova određena neželjena djelovanja (kašalj). </w:t>
      </w:r>
    </w:p>
    <w:p w14:paraId="7C0025DA">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Perindopril djeluje preko svog aktivnog metabolita, perindoprilata. Drugi metaboliti ne inhibiraju ACE aktivnost </w:t>
      </w:r>
      <w:r>
        <w:rPr>
          <w:rFonts w:ascii="Microsoft Sans Serif" w:hAnsi="Microsoft Sans Serif" w:cs="Microsoft Sans Serif"/>
          <w:i/>
          <w:iCs/>
          <w:sz w:val="20"/>
          <w:szCs w:val="20"/>
          <w:lang w:val="hr-HR"/>
        </w:rPr>
        <w:t>in vitro.</w:t>
      </w:r>
    </w:p>
    <w:p w14:paraId="2CB90EC3">
      <w:pPr>
        <w:jc w:val="both"/>
        <w:rPr>
          <w:rFonts w:ascii="Microsoft Sans Serif" w:hAnsi="Microsoft Sans Serif" w:cs="Microsoft Sans Serif"/>
          <w:sz w:val="20"/>
          <w:szCs w:val="20"/>
          <w:lang w:val="hr-HR" w:eastAsia="en-GB"/>
        </w:rPr>
      </w:pPr>
    </w:p>
    <w:p w14:paraId="52781E57">
      <w:pPr>
        <w:pStyle w:val="38"/>
        <w:widowControl/>
        <w:spacing w:line="240" w:lineRule="auto"/>
        <w:rPr>
          <w:rFonts w:ascii="Microsoft Sans Serif" w:hAnsi="Microsoft Sans Serif" w:cs="Microsoft Sans Serif"/>
          <w:snapToGrid w:val="0"/>
          <w:sz w:val="20"/>
          <w:szCs w:val="20"/>
          <w:u w:val="single"/>
          <w:lang w:eastAsia="en-US"/>
        </w:rPr>
      </w:pPr>
      <w:r>
        <w:rPr>
          <w:rFonts w:ascii="Microsoft Sans Serif" w:hAnsi="Microsoft Sans Serif" w:cs="Microsoft Sans Serif"/>
          <w:snapToGrid w:val="0"/>
          <w:sz w:val="20"/>
          <w:szCs w:val="20"/>
          <w:u w:val="single"/>
          <w:lang w:eastAsia="en-US"/>
        </w:rPr>
        <w:t>Klinička efikasnost i bezbjednost</w:t>
      </w:r>
    </w:p>
    <w:p w14:paraId="6530BEBA">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i/>
          <w:iCs/>
          <w:sz w:val="20"/>
          <w:szCs w:val="20"/>
          <w:u w:val="single"/>
          <w:lang w:val="hr-HR"/>
        </w:rPr>
        <w:t>Hipertenzija</w:t>
      </w:r>
    </w:p>
    <w:p w14:paraId="1A11DE95">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Perindopril je aktivan u svim stupnjevima hipertenzije: blagoj, umjerenoj, teškoj; primjećeno je sniženje i sistolnog i dijastolnog krvnog pritiska u položaju na leđima i u uspravnom položaju. Perindopril smanjuje periferni vaskularni otpor, dovodeći do sniženja krvnog pritiska. Posljedično, periferni protok krvi raste bez efekta na srčani puls.</w:t>
      </w:r>
    </w:p>
    <w:p w14:paraId="3A94BB04">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Protok krvi kroz bubrege u pravilu raste, dok se glomerularna filtracija obično ne mijenja.</w:t>
      </w:r>
    </w:p>
    <w:p w14:paraId="76D76DD4">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Antihipertenzivna aktivnost je najveća između 4 i 6 sati nakon jedne doze i održava se najmanje 24 sata; prolazni efekti su oko 87% do 100% od maksimalnog efekta.</w:t>
      </w:r>
    </w:p>
    <w:p w14:paraId="419D5501">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Snižavanje krvnog pritiska nastupa brzo. Kod pacijenata koji odgovaraju na liječenje, normalizacija se postiže unutar mjesec dana i traje bez pojave tahifilaksije.</w:t>
      </w:r>
    </w:p>
    <w:p w14:paraId="4BD2CBEC">
      <w:pPr>
        <w:shd w:val="clear" w:color="auto" w:fill="FFFFFF"/>
        <w:jc w:val="both"/>
        <w:rPr>
          <w:rFonts w:ascii="Microsoft Sans Serif" w:hAnsi="Microsoft Sans Serif" w:cs="Microsoft Sans Serif"/>
          <w:sz w:val="20"/>
          <w:szCs w:val="20"/>
          <w:lang w:val="en-GB"/>
        </w:rPr>
      </w:pPr>
      <w:r>
        <w:rPr>
          <w:rFonts w:ascii="Microsoft Sans Serif" w:hAnsi="Microsoft Sans Serif" w:cs="Microsoft Sans Serif"/>
          <w:sz w:val="20"/>
          <w:szCs w:val="20"/>
          <w:lang w:val="hr-HR"/>
        </w:rPr>
        <w:t>Prekid liječenja ne dovodi do rebound efekta.</w:t>
      </w:r>
    </w:p>
    <w:p w14:paraId="70E5FE4A">
      <w:pPr>
        <w:shd w:val="clear" w:color="auto" w:fill="FFFFFF"/>
        <w:jc w:val="both"/>
        <w:rPr>
          <w:rFonts w:ascii="Microsoft Sans Serif" w:hAnsi="Microsoft Sans Serif" w:cs="Microsoft Sans Serif"/>
          <w:sz w:val="20"/>
          <w:szCs w:val="20"/>
          <w:lang w:val="en-GB"/>
        </w:rPr>
      </w:pPr>
      <w:r>
        <w:rPr>
          <w:rFonts w:ascii="Microsoft Sans Serif" w:hAnsi="Microsoft Sans Serif" w:cs="Microsoft Sans Serif"/>
          <w:sz w:val="20"/>
          <w:szCs w:val="20"/>
          <w:lang w:val="hr-HR"/>
        </w:rPr>
        <w:t>Perindopril smanjuje hipertrofiju lijeve komore.</w:t>
      </w:r>
    </w:p>
    <w:p w14:paraId="425949C1">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Potvrđeno je da kod muškaraca perindopril ima vazodilatacijska svojstva. On poboljšava elastičnost velikih arterija i smanjuje medij: omjer lumena malih arterija. </w:t>
      </w:r>
    </w:p>
    <w:p w14:paraId="766F481A">
      <w:pPr>
        <w:jc w:val="both"/>
        <w:rPr>
          <w:rFonts w:ascii="Microsoft Sans Serif" w:hAnsi="Microsoft Sans Serif" w:cs="Microsoft Sans Serif"/>
          <w:sz w:val="20"/>
          <w:szCs w:val="20"/>
          <w:lang w:val="hr-HR" w:eastAsia="en-GB"/>
        </w:rPr>
      </w:pPr>
      <w:r>
        <w:rPr>
          <w:rFonts w:ascii="Microsoft Sans Serif" w:hAnsi="Microsoft Sans Serif" w:cs="Microsoft Sans Serif"/>
          <w:sz w:val="20"/>
          <w:szCs w:val="20"/>
          <w:lang w:val="hr-HR"/>
        </w:rPr>
        <w:t>Dodatno liječenje sa tiazidnim diureticima dovodi do aditivne sinergije. Kombinacija ACE inhibitora i tiazida takođe smanjuje rizik od hipokalemije inducirane diureticima.</w:t>
      </w:r>
    </w:p>
    <w:p w14:paraId="262E093B">
      <w:pPr>
        <w:shd w:val="clear" w:color="auto" w:fill="FFFFFF"/>
        <w:jc w:val="both"/>
        <w:rPr>
          <w:rFonts w:ascii="Microsoft Sans Serif" w:hAnsi="Microsoft Sans Serif" w:cs="Microsoft Sans Serif"/>
          <w:i/>
          <w:iCs/>
          <w:sz w:val="20"/>
          <w:szCs w:val="20"/>
          <w:u w:val="single"/>
          <w:lang w:val="hr-HR"/>
        </w:rPr>
      </w:pPr>
    </w:p>
    <w:p w14:paraId="4F24D29B">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i/>
          <w:iCs/>
          <w:sz w:val="20"/>
          <w:szCs w:val="20"/>
          <w:u w:val="single"/>
          <w:lang w:val="hr-HR"/>
        </w:rPr>
        <w:t>Srčana slabost</w:t>
      </w:r>
    </w:p>
    <w:p w14:paraId="52B06AA9">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Perindopril smanjuje srčani rad smanjujući njegovo </w:t>
      </w:r>
      <w:r>
        <w:rPr>
          <w:rFonts w:ascii="Microsoft Sans Serif" w:hAnsi="Microsoft Sans Serif" w:cs="Microsoft Sans Serif"/>
          <w:i/>
          <w:iCs/>
          <w:sz w:val="20"/>
          <w:szCs w:val="20"/>
          <w:lang w:val="hr-HR"/>
        </w:rPr>
        <w:t xml:space="preserve">pre- </w:t>
      </w:r>
      <w:r>
        <w:rPr>
          <w:rFonts w:ascii="Microsoft Sans Serif" w:hAnsi="Microsoft Sans Serif" w:cs="Microsoft Sans Serif"/>
          <w:sz w:val="20"/>
          <w:szCs w:val="20"/>
          <w:lang w:val="hr-HR"/>
        </w:rPr>
        <w:t xml:space="preserve">i </w:t>
      </w:r>
      <w:r>
        <w:rPr>
          <w:rFonts w:ascii="Microsoft Sans Serif" w:hAnsi="Microsoft Sans Serif" w:cs="Microsoft Sans Serif"/>
          <w:i/>
          <w:iCs/>
          <w:sz w:val="20"/>
          <w:szCs w:val="20"/>
          <w:lang w:val="hr-HR"/>
        </w:rPr>
        <w:t xml:space="preserve">after-load </w:t>
      </w:r>
      <w:r>
        <w:rPr>
          <w:rFonts w:ascii="Microsoft Sans Serif" w:hAnsi="Microsoft Sans Serif" w:cs="Microsoft Sans Serif"/>
          <w:sz w:val="20"/>
          <w:szCs w:val="20"/>
          <w:lang w:val="hr-HR"/>
        </w:rPr>
        <w:t>opterećenje.</w:t>
      </w:r>
    </w:p>
    <w:p w14:paraId="54F8B3E1">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Studije kod pacijenata sa srčanom slabošću pokazale su:</w:t>
      </w:r>
    </w:p>
    <w:p w14:paraId="64199A73">
      <w:pPr>
        <w:widowControl w:val="0"/>
        <w:numPr>
          <w:ilvl w:val="0"/>
          <w:numId w:val="6"/>
        </w:numPr>
        <w:shd w:val="clear" w:color="auto" w:fill="FFFFFF"/>
        <w:tabs>
          <w:tab w:val="left" w:pos="269"/>
        </w:tabs>
        <w:autoSpaceDE w:val="0"/>
        <w:autoSpaceDN w:val="0"/>
        <w:adjustRightInd w:val="0"/>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sniženi pritisak punjenja lijeve i desne komore,</w:t>
      </w:r>
    </w:p>
    <w:p w14:paraId="45471434">
      <w:pPr>
        <w:widowControl w:val="0"/>
        <w:numPr>
          <w:ilvl w:val="0"/>
          <w:numId w:val="6"/>
        </w:numPr>
        <w:shd w:val="clear" w:color="auto" w:fill="FFFFFF"/>
        <w:tabs>
          <w:tab w:val="left" w:pos="269"/>
        </w:tabs>
        <w:autoSpaceDE w:val="0"/>
        <w:autoSpaceDN w:val="0"/>
        <w:adjustRightInd w:val="0"/>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smanjeni ukupni periferni vaskularni otpor,</w:t>
      </w:r>
    </w:p>
    <w:p w14:paraId="52DEF458">
      <w:pPr>
        <w:widowControl w:val="0"/>
        <w:numPr>
          <w:ilvl w:val="0"/>
          <w:numId w:val="6"/>
        </w:numPr>
        <w:shd w:val="clear" w:color="auto" w:fill="FFFFFF"/>
        <w:tabs>
          <w:tab w:val="left" w:pos="269"/>
        </w:tabs>
        <w:autoSpaceDE w:val="0"/>
        <w:autoSpaceDN w:val="0"/>
        <w:adjustRightInd w:val="0"/>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povećan srčani izbačaj i poboljšan srčani indeks.</w:t>
      </w:r>
    </w:p>
    <w:p w14:paraId="4E50AB8F">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U komparativnim studijama prva primjena početne doze od 2 mg perindoprila pacijentima sa blagom do umjerenom srčanom slabošću nije bila povezana sa značajnijim sniženjem krvnog pritiska u usporedbi sa placebom.</w:t>
      </w:r>
    </w:p>
    <w:p w14:paraId="07D273C1">
      <w:pPr>
        <w:jc w:val="both"/>
        <w:rPr>
          <w:rFonts w:ascii="Microsoft Sans Serif" w:hAnsi="Microsoft Sans Serif" w:cs="Microsoft Sans Serif"/>
          <w:sz w:val="20"/>
          <w:szCs w:val="20"/>
          <w:lang w:val="hr-HR" w:eastAsia="en-GB"/>
        </w:rPr>
      </w:pPr>
    </w:p>
    <w:p w14:paraId="2FAF6EAF">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i/>
          <w:iCs/>
          <w:sz w:val="20"/>
          <w:szCs w:val="20"/>
          <w:u w:val="single"/>
          <w:lang w:val="hr-HR"/>
        </w:rPr>
        <w:t>Pacijenti sa stabilnom koronarnom bolesti:</w:t>
      </w:r>
    </w:p>
    <w:p w14:paraId="7835F28F">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Studija EUROPA bila je multicentrično, međunarodno, dvostruko slijepo, placebom kontrolirano, randomizirano kliničko ispitivanje koje je trajalo 4 godine.</w:t>
      </w:r>
    </w:p>
    <w:p w14:paraId="48A740A0">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Dvanaest hiljada dvije stotine i osamnaest (12.218) pacijenta starijih od 18 godina bili su metodom randomizacije razvrstani u grupu koja je liječena sa 8 mg perindopril tert-butilamina (n=6.110) ili placebom (n=6.108).</w:t>
      </w:r>
    </w:p>
    <w:p w14:paraId="53670A86">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Populacija uključena u studiju imala je znakove koronarne bolesti bez kliničkih znakova srčane slabosti. Sveukupno, 90% pacijenata je ranije preboljelo infarkt miokarda i/ili je bilo podvrgnuto koronarnoj revaskularizaciji. Većina pacijenata primila je ispitivani lijek u sklopu uobičajenog liječenja koje uključuje inhibitore trombocita, lijekove za sniženje nivoa lipida u krvi i beta-blokatore. </w:t>
      </w:r>
    </w:p>
    <w:p w14:paraId="330B8CB3">
      <w:pPr>
        <w:autoSpaceDE w:val="0"/>
        <w:autoSpaceDN w:val="0"/>
        <w:adjustRightInd w:val="0"/>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Glavna odrednica efikasnosti</w:t>
      </w:r>
      <w:r>
        <w:rPr>
          <w:rStyle w:val="35"/>
          <w:rFonts w:ascii="Microsoft Sans Serif" w:hAnsi="Microsoft Sans Serif" w:cs="Microsoft Sans Serif"/>
          <w:sz w:val="20"/>
          <w:szCs w:val="20"/>
          <w:lang w:val="hr-HR"/>
        </w:rPr>
        <w:t xml:space="preserve"> (primarni ishod ispitivanja) bila je kardiovaskularna smrtnost, nesmrtonosni infarkt miokarda i/ili srčani zastoj sa uspješnim oživljavanjem. Liječenje sa 8 mg perindopril ter-butilamina dnevno dovelo je do značajnog apsolutnog sniženja primarnog ishoda od 1,9% (relativno sniženje rizika od </w:t>
      </w:r>
      <w:r>
        <w:rPr>
          <w:rFonts w:ascii="Microsoft Sans Serif" w:hAnsi="Microsoft Sans Serif" w:cs="Microsoft Sans Serif"/>
          <w:sz w:val="20"/>
          <w:szCs w:val="20"/>
          <w:lang w:val="hr-HR"/>
        </w:rPr>
        <w:t>20%, 95%CI [9,4; 28,6] – p&lt;0,001).</w:t>
      </w:r>
    </w:p>
    <w:p w14:paraId="5D217695">
      <w:pPr>
        <w:autoSpaceDE w:val="0"/>
        <w:autoSpaceDN w:val="0"/>
        <w:adjustRightInd w:val="0"/>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Kod pacijenata sa anamnezom infarkta miokarda i/ili revaskularizacijom zabilje</w:t>
      </w:r>
      <w:r>
        <w:rPr>
          <w:rStyle w:val="35"/>
          <w:rFonts w:ascii="Microsoft Sans Serif" w:hAnsi="Microsoft Sans Serif" w:cs="Microsoft Sans Serif"/>
          <w:sz w:val="20"/>
          <w:szCs w:val="20"/>
          <w:lang w:val="hr-HR"/>
        </w:rPr>
        <w:t>ž</w:t>
      </w:r>
      <w:r>
        <w:rPr>
          <w:rFonts w:ascii="Microsoft Sans Serif" w:hAnsi="Microsoft Sans Serif" w:cs="Microsoft Sans Serif"/>
          <w:sz w:val="20"/>
          <w:szCs w:val="20"/>
          <w:lang w:val="hr-HR"/>
        </w:rPr>
        <w:t>eno je apsolutno sni</w:t>
      </w:r>
      <w:r>
        <w:rPr>
          <w:rStyle w:val="35"/>
          <w:rFonts w:ascii="Microsoft Sans Serif" w:hAnsi="Microsoft Sans Serif" w:cs="Microsoft Sans Serif"/>
          <w:sz w:val="20"/>
          <w:szCs w:val="20"/>
          <w:lang w:val="hr-HR"/>
        </w:rPr>
        <w:t>ž</w:t>
      </w:r>
      <w:r>
        <w:rPr>
          <w:rFonts w:ascii="Microsoft Sans Serif" w:hAnsi="Microsoft Sans Serif" w:cs="Microsoft Sans Serif"/>
          <w:sz w:val="20"/>
          <w:szCs w:val="20"/>
          <w:lang w:val="hr-HR"/>
        </w:rPr>
        <w:t>enje od 2,2% što odgovara relativnom sniženju rizika od 22,4% (95%CI [12,0; 31,6] – p&lt;0,001) za primarni ishod u usporedbi sa placebom.</w:t>
      </w:r>
    </w:p>
    <w:p w14:paraId="67CF1DE0">
      <w:pPr>
        <w:shd w:val="clear" w:color="auto" w:fill="FFFFFF"/>
        <w:jc w:val="both"/>
        <w:rPr>
          <w:rFonts w:ascii="Microsoft Sans Serif" w:hAnsi="Microsoft Sans Serif" w:cs="Microsoft Sans Serif"/>
          <w:sz w:val="20"/>
          <w:szCs w:val="20"/>
          <w:lang w:val="hr-HR"/>
        </w:rPr>
      </w:pPr>
    </w:p>
    <w:p w14:paraId="0FB9FBDC">
      <w:pPr>
        <w:jc w:val="both"/>
        <w:rPr>
          <w:rFonts w:ascii="Microsoft Sans Serif" w:hAnsi="Microsoft Sans Serif" w:cs="Microsoft Sans Serif"/>
          <w:sz w:val="20"/>
          <w:szCs w:val="20"/>
          <w:u w:val="single"/>
          <w:lang w:val="hr-HR"/>
        </w:rPr>
      </w:pPr>
      <w:r>
        <w:rPr>
          <w:rFonts w:ascii="Microsoft Sans Serif" w:hAnsi="Microsoft Sans Serif" w:cs="Microsoft Sans Serif"/>
          <w:sz w:val="20"/>
          <w:szCs w:val="20"/>
          <w:u w:val="single"/>
          <w:lang w:val="hr-HR"/>
        </w:rPr>
        <w:t>Pedijatrijska upotreba:</w:t>
      </w:r>
    </w:p>
    <w:p w14:paraId="6CFFE675">
      <w:pPr>
        <w:jc w:val="both"/>
        <w:rPr>
          <w:rFonts w:ascii="Microsoft Sans Serif" w:hAnsi="Microsoft Sans Serif" w:cs="Microsoft Sans Serif"/>
          <w:sz w:val="20"/>
          <w:szCs w:val="20"/>
        </w:rPr>
      </w:pPr>
      <w:r>
        <w:rPr>
          <w:rFonts w:ascii="Microsoft Sans Serif" w:hAnsi="Microsoft Sans Serif" w:cs="Microsoft Sans Serif"/>
          <w:sz w:val="20"/>
          <w:szCs w:val="20"/>
          <w:lang w:val="hr-HR"/>
        </w:rPr>
        <w:t>Bezbjednost i efikasnost perindoprila kod djece i adolescenata mlađih od 18 godina nisu utvrđeni.</w:t>
      </w:r>
      <w:r>
        <w:rPr>
          <w:rFonts w:ascii="Microsoft Sans Serif" w:hAnsi="Microsoft Sans Serif" w:cs="Microsoft Sans Serif"/>
          <w:sz w:val="20"/>
          <w:szCs w:val="20"/>
          <w:lang w:val="hr-HR"/>
        </w:rPr>
        <w:br w:type="textWrapping"/>
      </w:r>
      <w:r>
        <w:rPr>
          <w:rFonts w:ascii="Microsoft Sans Serif" w:hAnsi="Microsoft Sans Serif" w:cs="Microsoft Sans Serif"/>
          <w:sz w:val="20"/>
          <w:szCs w:val="20"/>
          <w:lang w:val="hr-HR"/>
        </w:rPr>
        <w:t>Otvorena, ne-komparativna klinička studija obuhvatila je 62 hipertenzivne djece uzrasta od 2-15 godina sa glomerularnom filtracijom&gt; 30 ml/min/1,73 m</w:t>
      </w:r>
      <w:r>
        <w:rPr>
          <w:rFonts w:ascii="Microsoft Sans Serif" w:hAnsi="Microsoft Sans Serif" w:cs="Microsoft Sans Serif"/>
          <w:sz w:val="20"/>
          <w:szCs w:val="20"/>
          <w:vertAlign w:val="superscript"/>
          <w:lang w:val="hr-HR"/>
        </w:rPr>
        <w:t>2</w:t>
      </w:r>
      <w:r>
        <w:rPr>
          <w:rFonts w:ascii="Microsoft Sans Serif" w:hAnsi="Microsoft Sans Serif" w:cs="Microsoft Sans Serif"/>
          <w:sz w:val="20"/>
          <w:szCs w:val="20"/>
          <w:lang w:val="hr-HR"/>
        </w:rPr>
        <w:t xml:space="preserve">, i pacijenti su primali  prosječnu dozu perindoprila  0,07 mg/kg. </w:t>
      </w:r>
      <w:r>
        <w:rPr>
          <w:rFonts w:ascii="Microsoft Sans Serif" w:hAnsi="Microsoft Sans Serif" w:cs="Microsoft Sans Serif"/>
          <w:sz w:val="20"/>
          <w:szCs w:val="20"/>
        </w:rPr>
        <w:t>Doza je individualizirana prema profilu pacijenta i odgovor krvnog pritiska do maksimalne doze od 0,135 mg/kg/dan.</w:t>
      </w:r>
    </w:p>
    <w:p w14:paraId="303917E8">
      <w:pPr>
        <w:jc w:val="both"/>
        <w:rPr>
          <w:rFonts w:ascii="Microsoft Sans Serif" w:hAnsi="Microsoft Sans Serif" w:cs="Microsoft Sans Serif"/>
          <w:sz w:val="20"/>
          <w:szCs w:val="20"/>
        </w:rPr>
      </w:pPr>
      <w:r>
        <w:rPr>
          <w:rFonts w:ascii="Microsoft Sans Serif" w:hAnsi="Microsoft Sans Serif" w:cs="Microsoft Sans Serif"/>
          <w:sz w:val="20"/>
          <w:szCs w:val="20"/>
        </w:rPr>
        <w:t>Pedeset i devet pacijenata završio je period od tri mjeseca, a 36 pacijenata završilo je produženje perioda studije, odnosno bili su praćeni najmanje 24 mjeseca (srednje trajanje studija: 44 mjeseci).</w:t>
      </w:r>
      <w:r>
        <w:rPr>
          <w:rFonts w:ascii="Microsoft Sans Serif" w:hAnsi="Microsoft Sans Serif" w:cs="Microsoft Sans Serif"/>
          <w:sz w:val="20"/>
          <w:szCs w:val="20"/>
        </w:rPr>
        <w:br w:type="textWrapping"/>
      </w:r>
      <w:r>
        <w:rPr>
          <w:rFonts w:ascii="Microsoft Sans Serif" w:hAnsi="Microsoft Sans Serif" w:cs="Microsoft Sans Serif"/>
          <w:sz w:val="20"/>
          <w:szCs w:val="20"/>
        </w:rPr>
        <w:t>Sistolni i dijastolni krvni pritisak ostao je stabilan od uključivanja do posljednje procjene kod pacijenata prethodno tretiranih sa drugim antihipertenzivnim tretmanima, a smanjen kod pacijenata koji nisu tretirani sa drugim antihipertenzivnim tretmanima.</w:t>
      </w:r>
    </w:p>
    <w:p w14:paraId="1956ED6F">
      <w:pPr>
        <w:jc w:val="both"/>
        <w:rPr>
          <w:rFonts w:ascii="Microsoft Sans Serif" w:hAnsi="Microsoft Sans Serif" w:cs="Microsoft Sans Serif"/>
          <w:sz w:val="20"/>
          <w:szCs w:val="20"/>
          <w:lang w:val="de-AT"/>
        </w:rPr>
      </w:pPr>
      <w:r>
        <w:rPr>
          <w:rFonts w:ascii="Microsoft Sans Serif" w:hAnsi="Microsoft Sans Serif" w:cs="Microsoft Sans Serif"/>
          <w:sz w:val="20"/>
          <w:szCs w:val="20"/>
        </w:rPr>
        <w:t>Više od 75% djece imala je sistolni i dijastolni krvni pritisak ispod 95 procenata od posljednje procjene.</w:t>
      </w:r>
      <w:r>
        <w:rPr>
          <w:rFonts w:ascii="Microsoft Sans Serif" w:hAnsi="Microsoft Sans Serif" w:cs="Microsoft Sans Serif"/>
          <w:sz w:val="20"/>
          <w:szCs w:val="20"/>
        </w:rPr>
        <w:br w:type="textWrapping"/>
      </w:r>
      <w:r>
        <w:rPr>
          <w:rFonts w:ascii="Microsoft Sans Serif" w:hAnsi="Microsoft Sans Serif" w:cs="Microsoft Sans Serif"/>
          <w:sz w:val="20"/>
          <w:szCs w:val="20"/>
          <w:lang w:val="de-AT"/>
        </w:rPr>
        <w:t>Bezbjednost je bila u skladu sa poznatim bezbjednosnim profilom perindoprila.</w:t>
      </w:r>
    </w:p>
    <w:p w14:paraId="36DF801C">
      <w:pPr>
        <w:shd w:val="clear" w:color="auto" w:fill="FFFFFF"/>
        <w:jc w:val="both"/>
        <w:rPr>
          <w:rFonts w:ascii="Microsoft Sans Serif" w:hAnsi="Microsoft Sans Serif" w:cs="Microsoft Sans Serif"/>
          <w:sz w:val="20"/>
          <w:szCs w:val="20"/>
          <w:lang w:val="hr-HR"/>
        </w:rPr>
      </w:pPr>
    </w:p>
    <w:p w14:paraId="37428245">
      <w:pPr>
        <w:pStyle w:val="36"/>
        <w:jc w:val="both"/>
        <w:rPr>
          <w:rFonts w:ascii="Microsoft Sans Serif" w:hAnsi="Microsoft Sans Serif" w:cs="Microsoft Sans Serif"/>
          <w:sz w:val="20"/>
          <w:szCs w:val="20"/>
          <w:lang w:val="hr-HR"/>
        </w:rPr>
      </w:pPr>
      <w:r>
        <w:rPr>
          <w:rFonts w:ascii="Microsoft Sans Serif" w:hAnsi="Microsoft Sans Serif" w:cs="Microsoft Sans Serif"/>
          <w:color w:val="auto"/>
          <w:sz w:val="20"/>
          <w:szCs w:val="20"/>
          <w:u w:val="single"/>
          <w:lang w:val="hr-HR"/>
        </w:rPr>
        <w:t xml:space="preserve">Dvostruka blokada renin-angiotenzin-aldosteronskog sistema (RAAS), </w:t>
      </w:r>
      <w:r>
        <w:rPr>
          <w:rFonts w:ascii="Microsoft Sans Serif" w:hAnsi="Microsoft Sans Serif" w:cs="Microsoft Sans Serif"/>
          <w:iCs/>
          <w:sz w:val="20"/>
          <w:szCs w:val="20"/>
          <w:lang w:val="hr-HR"/>
        </w:rPr>
        <w:t>podaci iz kliničkih ispitivanja:</w:t>
      </w:r>
    </w:p>
    <w:p w14:paraId="0D8C7194">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 xml:space="preserve">Dva velika randomizirana, kontrolirana ispitivanja (ONTARGET (eng. </w:t>
      </w:r>
      <w:r>
        <w:rPr>
          <w:rStyle w:val="35"/>
          <w:rFonts w:ascii="Microsoft Sans Serif" w:hAnsi="Microsoft Sans Serif" w:cs="Microsoft Sans Serif"/>
          <w:i/>
          <w:sz w:val="20"/>
          <w:szCs w:val="20"/>
        </w:rPr>
        <w:t>ONgoing Telmisartan Alone and in combination with Ramipril Global Endpoint Trial</w:t>
      </w:r>
      <w:r>
        <w:rPr>
          <w:rStyle w:val="35"/>
          <w:rFonts w:ascii="Microsoft Sans Serif" w:hAnsi="Microsoft Sans Serif" w:cs="Microsoft Sans Serif"/>
          <w:sz w:val="20"/>
          <w:szCs w:val="20"/>
        </w:rPr>
        <w:t xml:space="preserve">) i VA NEPHRON-D (eng. </w:t>
      </w:r>
      <w:r>
        <w:rPr>
          <w:rStyle w:val="35"/>
          <w:rFonts w:ascii="Microsoft Sans Serif" w:hAnsi="Microsoft Sans Serif" w:cs="Microsoft Sans Serif"/>
          <w:i/>
          <w:sz w:val="20"/>
          <w:szCs w:val="20"/>
        </w:rPr>
        <w:t>The Veterans Affairs Nephropathy in Diabetes</w:t>
      </w:r>
      <w:r>
        <w:rPr>
          <w:rStyle w:val="35"/>
          <w:rFonts w:ascii="Microsoft Sans Serif" w:hAnsi="Microsoft Sans Serif" w:cs="Microsoft Sans Serif"/>
          <w:sz w:val="20"/>
          <w:szCs w:val="20"/>
        </w:rPr>
        <w:t xml:space="preserve">)) ispitivala su primjenu kombinacije ACE inhibitora sa blokatorom angiotenzin II receptora. </w:t>
      </w:r>
    </w:p>
    <w:p w14:paraId="5FEDEC71">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 xml:space="preserve">ONTARGET je bilo ispitivanje provedeno kod pacijenata sa kardiovaskularnom ili cerebrovaskularnom bolešću u anamnezi, ili sa šećernom bolešću tipa 2 uz dokaze oštećenja ciljanih organa. VA NEPHRON-D je bilo ispitivanje kod pacijenata sa šećernom bolešću tipa 2 i dijabetičkom nefropatijom. </w:t>
      </w:r>
    </w:p>
    <w:p w14:paraId="4594954D">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 xml:space="preserve">Ta ispitivanja nisu pokazala nikakav značajan povoljan efekat na bubrežne i/ili kardiovaskularne ishode i smrtnost, a bio je uočen povećani rizik od hiperkalemije, akutne ozljede bubrega i/ili hipotenzije u usporedbi sa monoterapijom. Obzirom na njihova slična farmakodinamička svojstva, ti su rezultati relevantni i za druge ACE inhibitore i blokatore angiotenzin II receptora. </w:t>
      </w:r>
    </w:p>
    <w:p w14:paraId="7030742D">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 xml:space="preserve">ACE inhibitori i blokatori angiotenzin II receptora stoga se ne smiju istodobno primjenjivati kod pacijenata sa dijabetičkom nefropatijom. </w:t>
      </w:r>
    </w:p>
    <w:p w14:paraId="0DE5CDF3">
      <w:pPr>
        <w:pStyle w:val="34"/>
        <w:widowControl/>
        <w:spacing w:line="240" w:lineRule="auto"/>
        <w:jc w:val="both"/>
        <w:rPr>
          <w:rStyle w:val="35"/>
          <w:rFonts w:ascii="Microsoft Sans Serif" w:hAnsi="Microsoft Sans Serif" w:cs="Microsoft Sans Serif"/>
          <w:sz w:val="20"/>
          <w:szCs w:val="20"/>
        </w:rPr>
      </w:pPr>
      <w:r>
        <w:rPr>
          <w:rStyle w:val="35"/>
          <w:rFonts w:ascii="Microsoft Sans Serif" w:hAnsi="Microsoft Sans Serif" w:cs="Microsoft Sans Serif"/>
          <w:sz w:val="20"/>
          <w:szCs w:val="20"/>
        </w:rPr>
        <w:t xml:space="preserve">ALTITUDE (eng. </w:t>
      </w:r>
      <w:r>
        <w:rPr>
          <w:rStyle w:val="35"/>
          <w:rFonts w:ascii="Microsoft Sans Serif" w:hAnsi="Microsoft Sans Serif" w:cs="Microsoft Sans Serif"/>
          <w:i/>
          <w:sz w:val="20"/>
          <w:szCs w:val="20"/>
        </w:rPr>
        <w:t>Aliskiren Trial in Type 2 Diabetes Using Cardiovascular and Renal Disease Endpoints</w:t>
      </w:r>
      <w:r>
        <w:rPr>
          <w:rStyle w:val="35"/>
          <w:rFonts w:ascii="Microsoft Sans Serif" w:hAnsi="Microsoft Sans Serif" w:cs="Microsoft Sans Serif"/>
          <w:sz w:val="20"/>
          <w:szCs w:val="20"/>
        </w:rPr>
        <w:t>) je bilo ispitivanje osmišljeno za testiranje koristi dodavanja aliskirena standardnoj terapiji s ACE inhibitorom ili blokatorom angiotenzin II receptora kod pacijenata sa šećernom bolešću tipa 2 i hroničnom bolešću bubrega, kardiovaskularnom bolešću ili oboje. Ispitivanje je bilo prijevremeno prekinuto zbog povećanog rizika od štetnih ishoda. Kardiovaskularna smrt i moždani udar oboje su numerički bili učestaliji u grupi koja je primala aliskiren nego u onoj koja je primala placebo, a štetni događaji i ozbiljni štetni događaji od značaja (hiperkalemija, hipotenzija i bubrežna disfunkcija) bili su učestalije zabilježeni u grupi koja je primala aliskiren nego u onoj koja je primala placebo.</w:t>
      </w:r>
    </w:p>
    <w:p w14:paraId="441A9076">
      <w:pPr>
        <w:shd w:val="clear" w:color="auto" w:fill="FFFFFF"/>
        <w:jc w:val="both"/>
        <w:rPr>
          <w:rFonts w:ascii="Microsoft Sans Serif" w:hAnsi="Microsoft Sans Serif" w:cs="Microsoft Sans Serif"/>
          <w:sz w:val="20"/>
          <w:szCs w:val="20"/>
          <w:lang w:val="hr-HR"/>
        </w:rPr>
      </w:pPr>
    </w:p>
    <w:p w14:paraId="4A24C6A6">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 xml:space="preserve">5.2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hr-HR"/>
        </w:rPr>
        <w:t xml:space="preserve">Farmakokinetičke karakteristike </w:t>
      </w:r>
    </w:p>
    <w:p w14:paraId="7FE5A897">
      <w:pPr>
        <w:pStyle w:val="24"/>
        <w:tabs>
          <w:tab w:val="clear" w:pos="4320"/>
          <w:tab w:val="clear" w:pos="8640"/>
        </w:tabs>
        <w:jc w:val="both"/>
        <w:rPr>
          <w:rFonts w:ascii="Microsoft Sans Serif" w:hAnsi="Microsoft Sans Serif" w:cs="Microsoft Sans Serif"/>
          <w:sz w:val="20"/>
          <w:szCs w:val="20"/>
          <w:lang w:val="mk-MK"/>
        </w:rPr>
      </w:pPr>
    </w:p>
    <w:p w14:paraId="2881A457">
      <w:pPr>
        <w:pStyle w:val="27"/>
        <w:tabs>
          <w:tab w:val="left" w:pos="567"/>
        </w:tabs>
        <w:spacing w:before="0" w:beforeAutospacing="0" w:after="0" w:afterAutospacing="0"/>
        <w:jc w:val="both"/>
        <w:rPr>
          <w:rFonts w:ascii="Microsoft Sans Serif" w:hAnsi="Microsoft Sans Serif" w:cs="Microsoft Sans Serif"/>
          <w:i/>
          <w:sz w:val="20"/>
          <w:szCs w:val="20"/>
          <w:lang w:val="mk-MK"/>
        </w:rPr>
      </w:pPr>
      <w:r>
        <w:rPr>
          <w:rFonts w:ascii="Microsoft Sans Serif" w:hAnsi="Microsoft Sans Serif" w:cs="Microsoft Sans Serif"/>
          <w:i/>
          <w:sz w:val="20"/>
          <w:szCs w:val="20"/>
          <w:lang w:val="mk-MK"/>
        </w:rPr>
        <w:t>Apsorpcija</w:t>
      </w:r>
    </w:p>
    <w:p w14:paraId="108A5E46">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Nakon oralne primjene, apsorpcija perindoprila je brza i maksimalna se koncentracija postiže nakon jednog sata. Poluvrijeme perindoprila u plazmi iznosi 1 sat.</w:t>
      </w:r>
    </w:p>
    <w:p w14:paraId="351C4B1D">
      <w:pPr>
        <w:shd w:val="clear" w:color="auto" w:fill="FFFFFF"/>
        <w:jc w:val="both"/>
        <w:rPr>
          <w:rFonts w:ascii="Microsoft Sans Serif" w:hAnsi="Microsoft Sans Serif" w:cs="Microsoft Sans Serif"/>
          <w:sz w:val="20"/>
          <w:szCs w:val="20"/>
          <w:lang w:val="hr-HR"/>
        </w:rPr>
      </w:pPr>
    </w:p>
    <w:p w14:paraId="274F4D8B">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Budući da unos hrane smanjuje pretvaranje perindoprila u perindoprilat i time produžava bioraspoloživost, perindopril treba oralno uzimati u obliku jedne dnevne doze prije jutarnjeg obroka.</w:t>
      </w:r>
    </w:p>
    <w:p w14:paraId="285E841F">
      <w:pPr>
        <w:shd w:val="clear" w:color="auto" w:fill="FFFFFF"/>
        <w:jc w:val="both"/>
        <w:rPr>
          <w:rFonts w:ascii="Microsoft Sans Serif" w:hAnsi="Microsoft Sans Serif" w:cs="Microsoft Sans Serif"/>
          <w:sz w:val="20"/>
          <w:szCs w:val="20"/>
          <w:lang w:val="hr-HR"/>
        </w:rPr>
      </w:pPr>
    </w:p>
    <w:p w14:paraId="4CFF5CB2">
      <w:pPr>
        <w:pStyle w:val="27"/>
        <w:tabs>
          <w:tab w:val="left" w:pos="567"/>
        </w:tabs>
        <w:spacing w:before="0" w:beforeAutospacing="0" w:after="0" w:afterAutospacing="0"/>
        <w:jc w:val="both"/>
        <w:rPr>
          <w:rFonts w:ascii="Microsoft Sans Serif" w:hAnsi="Microsoft Sans Serif" w:cs="Microsoft Sans Serif"/>
          <w:bCs/>
          <w:i/>
          <w:sz w:val="20"/>
          <w:szCs w:val="20"/>
          <w:lang w:val="hr-HR"/>
        </w:rPr>
      </w:pPr>
      <w:r>
        <w:rPr>
          <w:rFonts w:ascii="Microsoft Sans Serif" w:hAnsi="Microsoft Sans Serif" w:cs="Microsoft Sans Serif"/>
          <w:bCs/>
          <w:i/>
          <w:sz w:val="20"/>
          <w:szCs w:val="20"/>
          <w:lang w:val="es-MX"/>
        </w:rPr>
        <w:t>Raspodjela</w:t>
      </w:r>
    </w:p>
    <w:p w14:paraId="7B9404C8">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Volumen raspodjele je oko 0,2 l/kg za nevezani perindoprilat. Vezivanje perindoprilata na proteine plazme iznosi 20 %, uglavnom na angiotenzin konvertazu, ali ovisi o koncentraciji.</w:t>
      </w:r>
    </w:p>
    <w:p w14:paraId="788870FA">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Dokazan je linearan odnos između doze perindoprila i njegove prisutnosti u plazmi.</w:t>
      </w:r>
    </w:p>
    <w:p w14:paraId="25631EA2">
      <w:pPr>
        <w:pStyle w:val="27"/>
        <w:tabs>
          <w:tab w:val="left" w:pos="567"/>
        </w:tabs>
        <w:spacing w:before="0" w:beforeAutospacing="0" w:after="0" w:afterAutospacing="0"/>
        <w:jc w:val="both"/>
        <w:rPr>
          <w:rFonts w:ascii="Microsoft Sans Serif" w:hAnsi="Microsoft Sans Serif" w:cs="Microsoft Sans Serif"/>
          <w:bCs/>
          <w:i/>
          <w:sz w:val="20"/>
          <w:szCs w:val="20"/>
          <w:lang w:val="hr-HR"/>
        </w:rPr>
      </w:pPr>
    </w:p>
    <w:p w14:paraId="669AF169">
      <w:pPr>
        <w:shd w:val="clear" w:color="auto" w:fill="FFFFFF"/>
        <w:tabs>
          <w:tab w:val="left" w:pos="1507"/>
        </w:tabs>
        <w:jc w:val="both"/>
        <w:rPr>
          <w:rFonts w:ascii="Microsoft Sans Serif" w:hAnsi="Microsoft Sans Serif" w:cs="Microsoft Sans Serif"/>
          <w:bCs/>
          <w:i/>
          <w:sz w:val="20"/>
          <w:szCs w:val="20"/>
          <w:lang w:val="hr-HR"/>
        </w:rPr>
      </w:pPr>
      <w:r>
        <w:rPr>
          <w:rFonts w:ascii="Microsoft Sans Serif" w:hAnsi="Microsoft Sans Serif" w:cs="Microsoft Sans Serif"/>
          <w:bCs/>
          <w:i/>
          <w:sz w:val="20"/>
          <w:szCs w:val="20"/>
          <w:lang w:val="hr-HR"/>
        </w:rPr>
        <w:t>Biotransformacija</w:t>
      </w:r>
    </w:p>
    <w:p w14:paraId="612C2AB3">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Perindopril je prolijek. 27% primjenjene doze perindoprila dolazi u krvotok kao aktivni metabolit perindoprilat. Uz aktivni perindoprilat, iz perindoprila nastaje još pet inaktivnih metabolita. Maksimalna koncentracija perindoprilata u plazmi postiže se unutar 3 do 4 sata.</w:t>
      </w:r>
    </w:p>
    <w:p w14:paraId="766F01E5">
      <w:pPr>
        <w:shd w:val="clear" w:color="auto" w:fill="FFFFFF"/>
        <w:jc w:val="both"/>
        <w:rPr>
          <w:rFonts w:ascii="Microsoft Sans Serif" w:hAnsi="Microsoft Sans Serif" w:cs="Microsoft Sans Serif"/>
          <w:sz w:val="20"/>
          <w:szCs w:val="20"/>
          <w:lang w:val="pl-PL"/>
        </w:rPr>
      </w:pPr>
    </w:p>
    <w:p w14:paraId="1BA8AB79">
      <w:pPr>
        <w:shd w:val="clear" w:color="auto" w:fill="FFFFFF"/>
        <w:tabs>
          <w:tab w:val="left" w:pos="1507"/>
        </w:tabs>
        <w:jc w:val="both"/>
        <w:rPr>
          <w:rFonts w:ascii="Microsoft Sans Serif" w:hAnsi="Microsoft Sans Serif" w:cs="Microsoft Sans Serif"/>
          <w:bCs/>
          <w:i/>
          <w:sz w:val="20"/>
          <w:szCs w:val="20"/>
          <w:lang w:val="hr-HR"/>
        </w:rPr>
      </w:pPr>
      <w:r>
        <w:rPr>
          <w:rFonts w:ascii="Microsoft Sans Serif" w:hAnsi="Microsoft Sans Serif" w:cs="Microsoft Sans Serif"/>
          <w:bCs/>
          <w:i/>
          <w:sz w:val="20"/>
          <w:szCs w:val="20"/>
          <w:lang w:val="hr-HR"/>
        </w:rPr>
        <w:t>Izlučivanje</w:t>
      </w:r>
    </w:p>
    <w:p w14:paraId="30C70F69">
      <w:pPr>
        <w:shd w:val="clear" w:color="auto" w:fill="FFFFFF"/>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hr-HR"/>
        </w:rPr>
        <w:t>Perindoprilat se izlučuje mokraćom i terminalno poluvrijeme nevezane frakcije iznosi oko 17 sati, što rezultira ravnotežnim stanjem (steady-state) unutar 4 dana.</w:t>
      </w:r>
    </w:p>
    <w:p w14:paraId="5FA6E970">
      <w:pPr>
        <w:jc w:val="both"/>
        <w:rPr>
          <w:rFonts w:ascii="Microsoft Sans Serif" w:hAnsi="Microsoft Sans Serif" w:cs="Microsoft Sans Serif"/>
          <w:color w:val="000000"/>
          <w:sz w:val="20"/>
          <w:szCs w:val="20"/>
          <w:u w:val="single"/>
          <w:lang w:val="pl-PL"/>
        </w:rPr>
      </w:pPr>
    </w:p>
    <w:p w14:paraId="215653AB">
      <w:pPr>
        <w:jc w:val="both"/>
        <w:rPr>
          <w:rFonts w:ascii="Microsoft Sans Serif" w:hAnsi="Microsoft Sans Serif" w:cs="Microsoft Sans Serif"/>
          <w:color w:val="000000"/>
          <w:sz w:val="20"/>
          <w:szCs w:val="20"/>
          <w:lang w:val="pl-PL"/>
        </w:rPr>
      </w:pPr>
      <w:r>
        <w:rPr>
          <w:rFonts w:ascii="Microsoft Sans Serif" w:hAnsi="Microsoft Sans Serif" w:cs="Microsoft Sans Serif"/>
          <w:color w:val="000000"/>
          <w:sz w:val="20"/>
          <w:szCs w:val="20"/>
          <w:u w:val="single"/>
          <w:lang w:val="pl-PL"/>
        </w:rPr>
        <w:t>Posebne populacije</w:t>
      </w:r>
    </w:p>
    <w:p w14:paraId="07D482C5">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Izlučivanje perindoprilata smanjeno je kod starijih osoba i kod pacijenata sa srčanom slabosti ili insuficijencijom bubrega. Kod insuficijencije bubrega savjetuje se prilagođavanje doze zavisno o stepenu poremećaja (klirens kreatinina).</w:t>
      </w:r>
    </w:p>
    <w:p w14:paraId="7EA96327">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 xml:space="preserve">Dijalizni klirens perindoprilata iznosi 70 ml/min. </w:t>
      </w:r>
    </w:p>
    <w:p w14:paraId="434DDA16">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Kinetika perindoprila promjenjena je kod pacijenata sa cirozom: hepatički klirens ishodišne molekule smanjenje za polovinu. Međutim, količina nastalog perindoprilata nije smanjena, i prilagođavanje doze nije neophodna (pogledati dijelove 4.2 i 4.4).</w:t>
      </w:r>
    </w:p>
    <w:p w14:paraId="1CB44ED8">
      <w:pPr>
        <w:jc w:val="both"/>
        <w:rPr>
          <w:rFonts w:ascii="Microsoft Sans Serif" w:hAnsi="Microsoft Sans Serif" w:cs="Microsoft Sans Serif"/>
          <w:b/>
          <w:sz w:val="20"/>
          <w:szCs w:val="20"/>
          <w:lang w:val="hr-HR"/>
        </w:rPr>
      </w:pPr>
    </w:p>
    <w:p w14:paraId="4C416792">
      <w:pPr>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mk-MK"/>
        </w:rPr>
        <w:t>5.3</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Neklini</w:t>
      </w:r>
      <w:r>
        <w:rPr>
          <w:rFonts w:ascii="Microsoft Sans Serif" w:hAnsi="Microsoft Sans Serif" w:cs="Microsoft Sans Serif"/>
          <w:b/>
          <w:sz w:val="20"/>
          <w:szCs w:val="20"/>
          <w:lang w:val="hr-HR"/>
        </w:rPr>
        <w:t>č</w:t>
      </w:r>
      <w:r>
        <w:rPr>
          <w:rFonts w:ascii="Microsoft Sans Serif" w:hAnsi="Microsoft Sans Serif" w:cs="Microsoft Sans Serif"/>
          <w:b/>
          <w:sz w:val="20"/>
          <w:szCs w:val="20"/>
          <w:lang w:val="pl-PL"/>
        </w:rPr>
        <w:t>ki</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podaci</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o</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bezbjednosti primjene</w:t>
      </w:r>
      <w:r>
        <w:rPr>
          <w:rFonts w:ascii="Microsoft Sans Serif" w:hAnsi="Microsoft Sans Serif" w:cs="Microsoft Sans Serif"/>
          <w:b/>
          <w:sz w:val="20"/>
          <w:szCs w:val="20"/>
          <w:lang w:val="hr-HR"/>
        </w:rPr>
        <w:t xml:space="preserve"> </w:t>
      </w:r>
    </w:p>
    <w:p w14:paraId="042F213D">
      <w:pPr>
        <w:pStyle w:val="24"/>
        <w:tabs>
          <w:tab w:val="clear" w:pos="4320"/>
          <w:tab w:val="clear" w:pos="8640"/>
        </w:tabs>
        <w:jc w:val="both"/>
        <w:rPr>
          <w:rFonts w:ascii="Microsoft Sans Serif" w:hAnsi="Microsoft Sans Serif" w:cs="Microsoft Sans Serif"/>
          <w:sz w:val="20"/>
          <w:szCs w:val="20"/>
          <w:lang w:val="hr-HR"/>
        </w:rPr>
      </w:pPr>
    </w:p>
    <w:p w14:paraId="1F1AC26E">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U studijama hronične oralne toksičnosti provedenih na pacovima i majmunima, bubreg je bio ciljni organ sa reverzibilnim oštećenjem.</w:t>
      </w:r>
    </w:p>
    <w:p w14:paraId="60A1C250">
      <w:pPr>
        <w:shd w:val="clear" w:color="auto" w:fill="FFFFFF"/>
        <w:jc w:val="both"/>
        <w:rPr>
          <w:rFonts w:ascii="Microsoft Sans Serif" w:hAnsi="Microsoft Sans Serif" w:cs="Microsoft Sans Serif"/>
          <w:sz w:val="20"/>
          <w:szCs w:val="20"/>
          <w:lang w:val="es-MX"/>
        </w:rPr>
      </w:pPr>
      <w:r>
        <w:rPr>
          <w:rFonts w:ascii="Microsoft Sans Serif" w:hAnsi="Microsoft Sans Serif" w:cs="Microsoft Sans Serif"/>
          <w:sz w:val="20"/>
          <w:szCs w:val="20"/>
          <w:lang w:val="hr-HR"/>
        </w:rPr>
        <w:t xml:space="preserve">Mutagenost nije primjećena u </w:t>
      </w:r>
      <w:r>
        <w:rPr>
          <w:rFonts w:ascii="Microsoft Sans Serif" w:hAnsi="Microsoft Sans Serif" w:cs="Microsoft Sans Serif"/>
          <w:i/>
          <w:iCs/>
          <w:sz w:val="20"/>
          <w:szCs w:val="20"/>
          <w:lang w:val="hr-HR"/>
        </w:rPr>
        <w:t xml:space="preserve">in vitro </w:t>
      </w:r>
      <w:r>
        <w:rPr>
          <w:rFonts w:ascii="Microsoft Sans Serif" w:hAnsi="Microsoft Sans Serif" w:cs="Microsoft Sans Serif"/>
          <w:sz w:val="20"/>
          <w:szCs w:val="20"/>
          <w:lang w:val="hr-HR"/>
        </w:rPr>
        <w:t xml:space="preserve">ili </w:t>
      </w:r>
      <w:r>
        <w:rPr>
          <w:rFonts w:ascii="Microsoft Sans Serif" w:hAnsi="Microsoft Sans Serif" w:cs="Microsoft Sans Serif"/>
          <w:i/>
          <w:iCs/>
          <w:sz w:val="20"/>
          <w:szCs w:val="20"/>
          <w:lang w:val="hr-HR"/>
        </w:rPr>
        <w:t xml:space="preserve">in vivo </w:t>
      </w:r>
      <w:r>
        <w:rPr>
          <w:rFonts w:ascii="Microsoft Sans Serif" w:hAnsi="Microsoft Sans Serif" w:cs="Microsoft Sans Serif"/>
          <w:sz w:val="20"/>
          <w:szCs w:val="20"/>
          <w:lang w:val="hr-HR"/>
        </w:rPr>
        <w:t>studijama.</w:t>
      </w:r>
    </w:p>
    <w:p w14:paraId="38A8546D">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Studije reproduktivne toksičnosti (na pacovima, miševima, zečevima i majmunima) nisu pokazale znakove embriotoksičnosti ili teratogenosti. Usprkos tome, pokazano je da inhibitori angiotenzin konvertaze, kao klasa, dovode do neželjenih efekata u kasnim stadijima razvoja ploda, kod glodara i zečeva ovi efekti dovode do smrti i kongenitalnih efekta ploda: zabilježena su  bubrežna oštećenja i peri i postnatalni mortalitet.</w:t>
      </w:r>
      <w:r>
        <w:rPr>
          <w:rFonts w:ascii="Microsoft Sans Serif" w:hAnsi="Microsoft Sans Serif" w:cs="Microsoft Sans Serif"/>
          <w:color w:val="000000"/>
          <w:sz w:val="20"/>
          <w:szCs w:val="20"/>
          <w:lang w:val="hr-HR"/>
        </w:rPr>
        <w:t xml:space="preserve"> Fertilnost nije bila poremećena ni kod muških ni kod ženskih pacova. </w:t>
      </w:r>
    </w:p>
    <w:p w14:paraId="2CBB9983">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Kancerogenost nije utvrđena u dugotrajnim studijama provedenim na pacovima i miševima.</w:t>
      </w:r>
    </w:p>
    <w:p w14:paraId="33FD0E1B">
      <w:pPr>
        <w:pStyle w:val="24"/>
        <w:tabs>
          <w:tab w:val="clear" w:pos="4320"/>
          <w:tab w:val="clear" w:pos="8640"/>
        </w:tabs>
        <w:jc w:val="both"/>
        <w:rPr>
          <w:rFonts w:ascii="Microsoft Sans Serif" w:hAnsi="Microsoft Sans Serif" w:cs="Microsoft Sans Serif"/>
          <w:sz w:val="20"/>
          <w:szCs w:val="20"/>
          <w:lang w:val="hr-HR"/>
        </w:rPr>
      </w:pPr>
    </w:p>
    <w:p w14:paraId="0E1301A5">
      <w:pPr>
        <w:pStyle w:val="24"/>
        <w:tabs>
          <w:tab w:val="clear" w:pos="4320"/>
          <w:tab w:val="clear" w:pos="8640"/>
        </w:tabs>
        <w:jc w:val="both"/>
        <w:rPr>
          <w:rFonts w:ascii="Microsoft Sans Serif" w:hAnsi="Microsoft Sans Serif" w:cs="Microsoft Sans Serif"/>
          <w:sz w:val="20"/>
          <w:szCs w:val="20"/>
          <w:lang w:val="hr-HR"/>
        </w:rPr>
      </w:pPr>
    </w:p>
    <w:p w14:paraId="0A32D6A2">
      <w:pPr>
        <w:jc w:val="both"/>
        <w:rPr>
          <w:rFonts w:ascii="Microsoft Sans Serif" w:hAnsi="Microsoft Sans Serif" w:cs="Microsoft Sans Serif"/>
          <w:b/>
          <w:sz w:val="20"/>
          <w:szCs w:val="20"/>
          <w:lang w:val="pl-PL"/>
        </w:rPr>
      </w:pPr>
      <w:r>
        <w:rPr>
          <w:rFonts w:ascii="Microsoft Sans Serif" w:hAnsi="Microsoft Sans Serif" w:cs="Microsoft Sans Serif"/>
          <w:b/>
          <w:sz w:val="20"/>
          <w:szCs w:val="20"/>
          <w:lang w:val="mk-MK"/>
        </w:rPr>
        <w:t>6.</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 xml:space="preserve">FARMACEUTSKI PODACI </w:t>
      </w:r>
    </w:p>
    <w:p w14:paraId="5B60C776">
      <w:pPr>
        <w:jc w:val="both"/>
        <w:rPr>
          <w:rFonts w:ascii="Microsoft Sans Serif" w:hAnsi="Microsoft Sans Serif" w:cs="Microsoft Sans Serif"/>
          <w:b/>
          <w:sz w:val="20"/>
          <w:szCs w:val="20"/>
          <w:lang w:val="pl-PL"/>
        </w:rPr>
      </w:pPr>
    </w:p>
    <w:p w14:paraId="2AD0E611">
      <w:pPr>
        <w:jc w:val="both"/>
        <w:rPr>
          <w:rFonts w:ascii="Microsoft Sans Serif" w:hAnsi="Microsoft Sans Serif" w:cs="Microsoft Sans Serif"/>
          <w:b/>
          <w:sz w:val="20"/>
          <w:szCs w:val="20"/>
          <w:lang w:val="pl-PL"/>
        </w:rPr>
      </w:pPr>
      <w:r>
        <w:rPr>
          <w:rFonts w:ascii="Microsoft Sans Serif" w:hAnsi="Microsoft Sans Serif" w:cs="Microsoft Sans Serif"/>
          <w:b/>
          <w:sz w:val="20"/>
          <w:szCs w:val="20"/>
          <w:lang w:val="mk-MK"/>
        </w:rPr>
        <w:t>6.1</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Popis pomoćnih supstanci</w:t>
      </w:r>
    </w:p>
    <w:p w14:paraId="2B16D8BE">
      <w:pPr>
        <w:pStyle w:val="24"/>
        <w:tabs>
          <w:tab w:val="clear" w:pos="4320"/>
          <w:tab w:val="clear" w:pos="8640"/>
        </w:tabs>
        <w:jc w:val="both"/>
        <w:rPr>
          <w:rFonts w:ascii="Microsoft Sans Serif" w:hAnsi="Microsoft Sans Serif" w:cs="Microsoft Sans Serif"/>
          <w:sz w:val="20"/>
          <w:szCs w:val="20"/>
          <w:lang w:val="pl-PL"/>
        </w:rPr>
      </w:pPr>
    </w:p>
    <w:p w14:paraId="2685BE34">
      <w:pPr>
        <w:jc w:val="both"/>
        <w:rPr>
          <w:rFonts w:ascii="Microsoft Sans Serif" w:hAnsi="Microsoft Sans Serif" w:cs="Microsoft Sans Serif"/>
          <w:iCs/>
          <w:sz w:val="20"/>
          <w:szCs w:val="20"/>
          <w:lang w:val="pl-PL"/>
        </w:rPr>
      </w:pPr>
      <w:r>
        <w:rPr>
          <w:rFonts w:ascii="Microsoft Sans Serif" w:hAnsi="Microsoft Sans Serif" w:cs="Microsoft Sans Serif"/>
          <w:iCs/>
          <w:sz w:val="20"/>
          <w:szCs w:val="20"/>
          <w:lang w:val="pl-PL"/>
        </w:rPr>
        <w:t xml:space="preserve">Laktoza, bezvodna </w:t>
      </w:r>
    </w:p>
    <w:p w14:paraId="73DE87CF">
      <w:pPr>
        <w:jc w:val="both"/>
        <w:rPr>
          <w:rFonts w:ascii="Microsoft Sans Serif" w:hAnsi="Microsoft Sans Serif" w:cs="Microsoft Sans Serif"/>
          <w:iCs/>
          <w:sz w:val="20"/>
          <w:szCs w:val="20"/>
          <w:lang w:val="pl-PL"/>
        </w:rPr>
      </w:pPr>
      <w:r>
        <w:rPr>
          <w:rFonts w:ascii="Microsoft Sans Serif" w:hAnsi="Microsoft Sans Serif" w:cs="Microsoft Sans Serif"/>
          <w:iCs/>
          <w:sz w:val="20"/>
          <w:szCs w:val="20"/>
          <w:lang w:val="pl-PL"/>
        </w:rPr>
        <w:t>Silicijum-dioksid, hidrofobni, koloidni, bezvodni</w:t>
      </w:r>
    </w:p>
    <w:p w14:paraId="3B0D15DF">
      <w:pPr>
        <w:jc w:val="both"/>
        <w:rPr>
          <w:rFonts w:ascii="Microsoft Sans Serif" w:hAnsi="Microsoft Sans Serif" w:cs="Microsoft Sans Serif"/>
          <w:iCs/>
          <w:sz w:val="20"/>
          <w:szCs w:val="20"/>
          <w:lang w:val="pl-PL"/>
        </w:rPr>
      </w:pPr>
      <w:r>
        <w:rPr>
          <w:rFonts w:ascii="Microsoft Sans Serif" w:hAnsi="Microsoft Sans Serif" w:cs="Microsoft Sans Serif"/>
          <w:iCs/>
          <w:sz w:val="20"/>
          <w:szCs w:val="20"/>
          <w:lang w:val="pl-PL"/>
        </w:rPr>
        <w:t>Celuloza, mikrokristalna</w:t>
      </w:r>
    </w:p>
    <w:p w14:paraId="000CE7A7">
      <w:pPr>
        <w:jc w:val="both"/>
        <w:rPr>
          <w:rFonts w:ascii="Microsoft Sans Serif" w:hAnsi="Microsoft Sans Serif" w:cs="Microsoft Sans Serif"/>
          <w:caps/>
          <w:sz w:val="20"/>
          <w:szCs w:val="20"/>
          <w:lang w:val="pl-PL"/>
        </w:rPr>
      </w:pPr>
      <w:r>
        <w:rPr>
          <w:rFonts w:ascii="Microsoft Sans Serif" w:hAnsi="Microsoft Sans Serif" w:cs="Microsoft Sans Serif"/>
          <w:iCs/>
          <w:sz w:val="20"/>
          <w:szCs w:val="20"/>
          <w:lang w:val="pl-PL"/>
        </w:rPr>
        <w:t>Magnezijum-stearat</w:t>
      </w:r>
      <w:r>
        <w:rPr>
          <w:rFonts w:ascii="Microsoft Sans Serif" w:hAnsi="Microsoft Sans Serif" w:cs="Microsoft Sans Serif"/>
          <w:caps/>
          <w:sz w:val="20"/>
          <w:szCs w:val="20"/>
          <w:lang w:val="pl-PL"/>
        </w:rPr>
        <w:t>.</w:t>
      </w:r>
    </w:p>
    <w:p w14:paraId="0A1FAAC4">
      <w:pPr>
        <w:jc w:val="both"/>
        <w:rPr>
          <w:rFonts w:ascii="Microsoft Sans Serif" w:hAnsi="Microsoft Sans Serif" w:cs="Microsoft Sans Serif"/>
          <w:iCs/>
          <w:sz w:val="20"/>
          <w:szCs w:val="20"/>
          <w:lang w:val="pl-PL"/>
        </w:rPr>
      </w:pPr>
    </w:p>
    <w:p w14:paraId="7BE6E469">
      <w:pPr>
        <w:jc w:val="both"/>
        <w:rPr>
          <w:rFonts w:ascii="Microsoft Sans Serif" w:hAnsi="Microsoft Sans Serif" w:cs="Microsoft Sans Serif"/>
          <w:b/>
          <w:sz w:val="20"/>
          <w:szCs w:val="20"/>
          <w:lang w:val="de-DE"/>
        </w:rPr>
      </w:pPr>
      <w:r>
        <w:rPr>
          <w:rFonts w:ascii="Microsoft Sans Serif" w:hAnsi="Microsoft Sans Serif" w:cs="Microsoft Sans Serif"/>
          <w:b/>
          <w:sz w:val="20"/>
          <w:szCs w:val="20"/>
          <w:lang w:val="mk-MK"/>
        </w:rPr>
        <w:t>6.2</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de-DE"/>
        </w:rPr>
        <w:t>Inkompatibilnosti</w:t>
      </w:r>
    </w:p>
    <w:p w14:paraId="63D59B61">
      <w:pPr>
        <w:jc w:val="both"/>
        <w:rPr>
          <w:rFonts w:ascii="Microsoft Sans Serif" w:hAnsi="Microsoft Sans Serif" w:cs="Microsoft Sans Serif"/>
          <w:sz w:val="20"/>
          <w:szCs w:val="20"/>
          <w:lang w:val="mk-MK"/>
        </w:rPr>
      </w:pPr>
    </w:p>
    <w:p w14:paraId="14B6BD05">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de-DE"/>
        </w:rPr>
        <w:t xml:space="preserve">Nije primjenjivo. </w:t>
      </w:r>
    </w:p>
    <w:p w14:paraId="417E280E">
      <w:pPr>
        <w:jc w:val="both"/>
        <w:rPr>
          <w:rFonts w:ascii="Microsoft Sans Serif" w:hAnsi="Microsoft Sans Serif" w:cs="Microsoft Sans Serif"/>
          <w:sz w:val="20"/>
          <w:szCs w:val="20"/>
          <w:lang w:val="de-DE"/>
        </w:rPr>
      </w:pPr>
    </w:p>
    <w:p w14:paraId="1FD3869E">
      <w:pPr>
        <w:jc w:val="both"/>
        <w:rPr>
          <w:rFonts w:ascii="Microsoft Sans Serif" w:hAnsi="Microsoft Sans Serif" w:cs="Microsoft Sans Serif"/>
          <w:b/>
          <w:sz w:val="20"/>
          <w:szCs w:val="20"/>
          <w:lang w:val="de-DE"/>
        </w:rPr>
      </w:pPr>
      <w:r>
        <w:rPr>
          <w:rFonts w:ascii="Microsoft Sans Serif" w:hAnsi="Microsoft Sans Serif" w:cs="Microsoft Sans Serif"/>
          <w:b/>
          <w:sz w:val="20"/>
          <w:szCs w:val="20"/>
          <w:lang w:val="mk-MK"/>
        </w:rPr>
        <w:t>6.3</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de-DE"/>
        </w:rPr>
        <w:t>Rok</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lang w:val="de-DE"/>
        </w:rPr>
        <w:t>trajanja</w:t>
      </w:r>
    </w:p>
    <w:p w14:paraId="10E01399">
      <w:pPr>
        <w:jc w:val="both"/>
        <w:rPr>
          <w:rFonts w:ascii="Microsoft Sans Serif" w:hAnsi="Microsoft Sans Serif" w:cs="Microsoft Sans Serif"/>
          <w:sz w:val="20"/>
          <w:szCs w:val="20"/>
          <w:lang w:val="mk-MK"/>
        </w:rPr>
      </w:pPr>
    </w:p>
    <w:p w14:paraId="7F5C90E5">
      <w:pPr>
        <w:pStyle w:val="14"/>
        <w:jc w:val="both"/>
        <w:rPr>
          <w:rFonts w:ascii="Microsoft Sans Serif" w:hAnsi="Microsoft Sans Serif" w:cs="Microsoft Sans Serif"/>
          <w:sz w:val="20"/>
          <w:szCs w:val="20"/>
          <w:lang w:val="de-DE"/>
        </w:rPr>
      </w:pPr>
      <w:r>
        <w:rPr>
          <w:rFonts w:ascii="Microsoft Sans Serif" w:hAnsi="Microsoft Sans Serif" w:cs="Microsoft Sans Serif"/>
          <w:sz w:val="20"/>
          <w:szCs w:val="20"/>
          <w:lang w:val="de-DE"/>
        </w:rPr>
        <w:t>Tri (3) godine.</w:t>
      </w:r>
    </w:p>
    <w:p w14:paraId="1D2FA9DD">
      <w:pPr>
        <w:jc w:val="both"/>
        <w:rPr>
          <w:rFonts w:ascii="Microsoft Sans Serif" w:hAnsi="Microsoft Sans Serif" w:cs="Microsoft Sans Serif"/>
          <w:sz w:val="20"/>
          <w:szCs w:val="20"/>
          <w:lang w:val="de-DE"/>
        </w:rPr>
      </w:pPr>
    </w:p>
    <w:p w14:paraId="489442C0">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 xml:space="preserve">6.4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de-DE"/>
        </w:rPr>
        <w:t>Posebne mjere pri čuvanju lijeka</w:t>
      </w:r>
      <w:r>
        <w:rPr>
          <w:rFonts w:ascii="Microsoft Sans Serif" w:hAnsi="Microsoft Sans Serif" w:cs="Microsoft Sans Serif"/>
          <w:b/>
          <w:sz w:val="20"/>
          <w:szCs w:val="20"/>
          <w:lang w:val="mk-MK"/>
        </w:rPr>
        <w:t xml:space="preserve"> </w:t>
      </w:r>
    </w:p>
    <w:p w14:paraId="7AD193D1">
      <w:pPr>
        <w:jc w:val="both"/>
        <w:rPr>
          <w:rFonts w:ascii="Microsoft Sans Serif" w:hAnsi="Microsoft Sans Serif" w:cs="Microsoft Sans Serif"/>
          <w:b/>
          <w:sz w:val="20"/>
          <w:szCs w:val="20"/>
          <w:lang w:val="de-DE"/>
        </w:rPr>
      </w:pPr>
      <w:r>
        <w:rPr>
          <w:rFonts w:ascii="Microsoft Sans Serif" w:hAnsi="Microsoft Sans Serif" w:cs="Microsoft Sans Serif"/>
          <w:b/>
          <w:sz w:val="20"/>
          <w:szCs w:val="20"/>
          <w:lang w:val="mk-MK"/>
        </w:rPr>
        <w:tab/>
      </w:r>
    </w:p>
    <w:p w14:paraId="3D279FCE">
      <w:pPr>
        <w:tabs>
          <w:tab w:val="left" w:pos="567"/>
        </w:tabs>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 xml:space="preserve">Lijek treba čuvati na temperaturi do 25°C. </w:t>
      </w:r>
    </w:p>
    <w:p w14:paraId="5520B17C">
      <w:pPr>
        <w:tabs>
          <w:tab w:val="left" w:pos="567"/>
        </w:tabs>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 xml:space="preserve">Lijek treba čuvati u originalnom pakovanju, blistere čuvati u laminantnoj kesici da bi se zaštitili od vlage. Lijek upotrijebiti u roku 60 dana od otvaranja kesice. </w:t>
      </w:r>
    </w:p>
    <w:p w14:paraId="6245C5ED">
      <w:pPr>
        <w:tabs>
          <w:tab w:val="left" w:pos="567"/>
        </w:tabs>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Pakovanje sadrži desekant (sredstvo za upijanje vlage), koje se ne smije gutati!</w:t>
      </w:r>
    </w:p>
    <w:p w14:paraId="29C6F3CF">
      <w:pPr>
        <w:pStyle w:val="24"/>
        <w:tabs>
          <w:tab w:val="clear" w:pos="4320"/>
          <w:tab w:val="clear" w:pos="8640"/>
        </w:tabs>
        <w:jc w:val="both"/>
        <w:rPr>
          <w:rFonts w:ascii="Microsoft Sans Serif" w:hAnsi="Microsoft Sans Serif" w:cs="Microsoft Sans Serif"/>
          <w:sz w:val="20"/>
          <w:szCs w:val="20"/>
          <w:lang w:val="pl-PL"/>
        </w:rPr>
      </w:pPr>
    </w:p>
    <w:p w14:paraId="50841674">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 xml:space="preserve">6.5 </w:t>
      </w:r>
      <w:r>
        <w:rPr>
          <w:rFonts w:ascii="Microsoft Sans Serif" w:hAnsi="Microsoft Sans Serif" w:cs="Microsoft Sans Serif"/>
          <w:b/>
          <w:sz w:val="20"/>
          <w:szCs w:val="20"/>
          <w:lang w:val="mk-MK"/>
        </w:rPr>
        <w:tab/>
      </w:r>
      <w:r>
        <w:rPr>
          <w:rFonts w:ascii="Microsoft Sans Serif" w:hAnsi="Microsoft Sans Serif" w:cs="Microsoft Sans Serif"/>
          <w:b/>
          <w:sz w:val="20"/>
          <w:szCs w:val="20"/>
          <w:lang w:val="pl-PL"/>
        </w:rPr>
        <w:t xml:space="preserve">Vrsta i sadržaj unutrašnjeg pakovanja rezervoara </w:t>
      </w:r>
      <w:r>
        <w:rPr>
          <w:rFonts w:ascii="Microsoft Sans Serif" w:hAnsi="Microsoft Sans Serif" w:cs="Microsoft Sans Serif"/>
          <w:b/>
          <w:sz w:val="20"/>
          <w:szCs w:val="20"/>
          <w:lang w:val="mk-MK"/>
        </w:rPr>
        <w:t xml:space="preserve"> </w:t>
      </w:r>
    </w:p>
    <w:p w14:paraId="765E3A34">
      <w:pPr>
        <w:jc w:val="both"/>
        <w:rPr>
          <w:rFonts w:ascii="Microsoft Sans Serif" w:hAnsi="Microsoft Sans Serif" w:cs="Microsoft Sans Serif"/>
          <w:sz w:val="20"/>
          <w:szCs w:val="20"/>
          <w:lang w:val="pl-PL"/>
        </w:rPr>
      </w:pPr>
    </w:p>
    <w:p w14:paraId="17EBC378">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Unutrašnje pakovanje je</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pl-PL"/>
        </w:rPr>
        <w:t>PVC/PVdC/Al blister. Svaki blister</w:t>
      </w:r>
      <w:r>
        <w:rPr>
          <w:rFonts w:ascii="Microsoft Sans Serif" w:hAnsi="Microsoft Sans Serif" w:cs="Microsoft Sans Serif"/>
          <w:sz w:val="20"/>
          <w:szCs w:val="20"/>
          <w:lang w:val="sr-Latn-RS"/>
        </w:rPr>
        <w:t xml:space="preserve"> </w:t>
      </w:r>
      <w:r>
        <w:rPr>
          <w:rFonts w:ascii="Microsoft Sans Serif" w:hAnsi="Microsoft Sans Serif" w:cs="Microsoft Sans Serif"/>
          <w:sz w:val="20"/>
          <w:szCs w:val="20"/>
          <w:lang w:val="mk-MK"/>
        </w:rPr>
        <w:t>sadr</w:t>
      </w:r>
      <w:r>
        <w:rPr>
          <w:rFonts w:ascii="Microsoft Sans Serif" w:hAnsi="Microsoft Sans Serif" w:cs="Microsoft Sans Serif"/>
          <w:sz w:val="20"/>
          <w:szCs w:val="20"/>
          <w:lang w:val="pl-PL"/>
        </w:rPr>
        <w:t>ž</w:t>
      </w:r>
      <w:r>
        <w:rPr>
          <w:rFonts w:ascii="Microsoft Sans Serif" w:hAnsi="Microsoft Sans Serif" w:cs="Microsoft Sans Serif"/>
          <w:sz w:val="20"/>
          <w:szCs w:val="20"/>
          <w:lang w:val="mk-MK"/>
        </w:rPr>
        <w:t xml:space="preserve">i </w:t>
      </w:r>
      <w:r>
        <w:rPr>
          <w:rFonts w:ascii="Microsoft Sans Serif" w:hAnsi="Microsoft Sans Serif" w:cs="Microsoft Sans Serif"/>
          <w:sz w:val="20"/>
          <w:szCs w:val="20"/>
          <w:lang w:val="pl-PL"/>
        </w:rPr>
        <w:t>10</w:t>
      </w:r>
      <w:r>
        <w:rPr>
          <w:rFonts w:ascii="Microsoft Sans Serif" w:hAnsi="Microsoft Sans Serif" w:cs="Microsoft Sans Serif"/>
          <w:sz w:val="20"/>
          <w:szCs w:val="20"/>
          <w:lang w:val="mk-MK"/>
        </w:rPr>
        <w:t xml:space="preserve"> tableta.</w:t>
      </w:r>
      <w:r>
        <w:rPr>
          <w:rFonts w:ascii="Microsoft Sans Serif" w:hAnsi="Microsoft Sans Serif" w:cs="Microsoft Sans Serif"/>
          <w:sz w:val="20"/>
          <w:szCs w:val="20"/>
          <w:lang w:val="pl-PL"/>
        </w:rPr>
        <w:t xml:space="preserve"> Blisteri su spakovani u troslojnoj plastificiranoj kesici zajedno sa silika gel kesicom.</w:t>
      </w:r>
    </w:p>
    <w:p w14:paraId="4AB69FB2">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Spoljašnje pakovanje je kartonska kutija koja sadrži 1 kesicu sa 3 blistera (30 tableta), uz priloženo Uputstvo za pacijenta.</w:t>
      </w:r>
    </w:p>
    <w:p w14:paraId="5B1945FB">
      <w:pPr>
        <w:jc w:val="both"/>
        <w:rPr>
          <w:rFonts w:ascii="Microsoft Sans Serif" w:hAnsi="Microsoft Sans Serif" w:cs="Microsoft Sans Serif"/>
          <w:sz w:val="20"/>
          <w:szCs w:val="20"/>
          <w:lang w:val="es-MX"/>
        </w:rPr>
      </w:pPr>
    </w:p>
    <w:p w14:paraId="739E919C">
      <w:pPr>
        <w:numPr>
          <w:ilvl w:val="1"/>
          <w:numId w:val="7"/>
        </w:numPr>
        <w:ind w:left="0" w:firstLine="0"/>
        <w:jc w:val="both"/>
        <w:rPr>
          <w:rFonts w:ascii="Microsoft Sans Serif" w:hAnsi="Microsoft Sans Serif" w:cs="Microsoft Sans Serif"/>
          <w:b/>
          <w:sz w:val="20"/>
          <w:szCs w:val="20"/>
          <w:lang w:val="hr-HR"/>
        </w:rPr>
      </w:pPr>
      <w:r>
        <w:rPr>
          <w:rFonts w:ascii="Microsoft Sans Serif" w:hAnsi="Microsoft Sans Serif" w:cs="Microsoft Sans Serif"/>
          <w:b/>
          <w:sz w:val="20"/>
          <w:szCs w:val="20"/>
          <w:lang w:val="pl-PL"/>
        </w:rPr>
        <w:t>Uputstva</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za</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upotrebu</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i</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rukovanje</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i</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posebne</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mjere</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za</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uklanjanje</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neiskori</w:t>
      </w:r>
      <w:r>
        <w:rPr>
          <w:rFonts w:ascii="Microsoft Sans Serif" w:hAnsi="Microsoft Sans Serif" w:cs="Microsoft Sans Serif"/>
          <w:b/>
          <w:sz w:val="20"/>
          <w:szCs w:val="20"/>
          <w:lang w:val="hr-HR"/>
        </w:rPr>
        <w:t>š</w:t>
      </w:r>
      <w:r>
        <w:rPr>
          <w:rFonts w:ascii="Microsoft Sans Serif" w:hAnsi="Microsoft Sans Serif" w:cs="Microsoft Sans Serif"/>
          <w:b/>
          <w:sz w:val="20"/>
          <w:szCs w:val="20"/>
          <w:lang w:val="pl-PL"/>
        </w:rPr>
        <w:t>tenog</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lijeka</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ili</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otpadnih</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materijala</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koji</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poti</w:t>
      </w:r>
      <w:r>
        <w:rPr>
          <w:rFonts w:ascii="Microsoft Sans Serif" w:hAnsi="Microsoft Sans Serif" w:cs="Microsoft Sans Serif"/>
          <w:b/>
          <w:sz w:val="20"/>
          <w:szCs w:val="20"/>
          <w:lang w:val="hr-HR"/>
        </w:rPr>
        <w:t>č</w:t>
      </w:r>
      <w:r>
        <w:rPr>
          <w:rFonts w:ascii="Microsoft Sans Serif" w:hAnsi="Microsoft Sans Serif" w:cs="Microsoft Sans Serif"/>
          <w:b/>
          <w:sz w:val="20"/>
          <w:szCs w:val="20"/>
          <w:lang w:val="pl-PL"/>
        </w:rPr>
        <w:t>u</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od</w:t>
      </w:r>
      <w:r>
        <w:rPr>
          <w:rFonts w:ascii="Microsoft Sans Serif" w:hAnsi="Microsoft Sans Serif" w:cs="Microsoft Sans Serif"/>
          <w:b/>
          <w:sz w:val="20"/>
          <w:szCs w:val="20"/>
          <w:lang w:val="hr-HR"/>
        </w:rPr>
        <w:t xml:space="preserve"> </w:t>
      </w:r>
      <w:r>
        <w:rPr>
          <w:rFonts w:ascii="Microsoft Sans Serif" w:hAnsi="Microsoft Sans Serif" w:cs="Microsoft Sans Serif"/>
          <w:b/>
          <w:sz w:val="20"/>
          <w:szCs w:val="20"/>
          <w:lang w:val="pl-PL"/>
        </w:rPr>
        <w:t>lijeka</w:t>
      </w:r>
    </w:p>
    <w:p w14:paraId="25450F4D">
      <w:pPr>
        <w:jc w:val="both"/>
        <w:rPr>
          <w:rFonts w:ascii="Microsoft Sans Serif" w:hAnsi="Microsoft Sans Serif" w:cs="Microsoft Sans Serif"/>
          <w:sz w:val="20"/>
          <w:szCs w:val="20"/>
          <w:lang w:val="mk-MK"/>
        </w:rPr>
      </w:pPr>
    </w:p>
    <w:p w14:paraId="6568B9BD">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 xml:space="preserve">Nema posebnih zahtjeva. </w:t>
      </w:r>
    </w:p>
    <w:p w14:paraId="7DAA6D69">
      <w:pPr>
        <w:shd w:val="clear" w:color="auto" w:fill="FFFFFF"/>
        <w:jc w:val="both"/>
        <w:rPr>
          <w:rFonts w:ascii="Microsoft Sans Serif" w:hAnsi="Microsoft Sans Serif" w:cs="Microsoft Sans Serif"/>
          <w:sz w:val="20"/>
          <w:szCs w:val="20"/>
          <w:lang w:val="hr-HR"/>
        </w:rPr>
      </w:pPr>
      <w:r>
        <w:rPr>
          <w:rFonts w:ascii="Microsoft Sans Serif" w:hAnsi="Microsoft Sans Serif" w:cs="Microsoft Sans Serif"/>
          <w:sz w:val="20"/>
          <w:szCs w:val="20"/>
          <w:lang w:val="hr-HR"/>
        </w:rPr>
        <w:t>Neiskorišten lijek ili ambalažu odlagati prema lokalnim propisima za odlaganje farmaceutskog otpada.</w:t>
      </w:r>
    </w:p>
    <w:p w14:paraId="0E34489D">
      <w:pPr>
        <w:jc w:val="both"/>
        <w:rPr>
          <w:rFonts w:ascii="Microsoft Sans Serif" w:hAnsi="Microsoft Sans Serif" w:cs="Microsoft Sans Serif"/>
          <w:sz w:val="20"/>
          <w:szCs w:val="20"/>
          <w:u w:val="single"/>
          <w:lang w:val="mk-MK"/>
        </w:rPr>
      </w:pPr>
    </w:p>
    <w:p w14:paraId="06D25F11">
      <w:pPr>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mk-MK"/>
        </w:rPr>
        <w:t>6.7. Režim izdavanja</w:t>
      </w:r>
    </w:p>
    <w:p w14:paraId="4F95D336">
      <w:pPr>
        <w:jc w:val="both"/>
        <w:rPr>
          <w:rFonts w:ascii="Microsoft Sans Serif" w:hAnsi="Microsoft Sans Serif" w:cs="Microsoft Sans Serif"/>
          <w:sz w:val="20"/>
          <w:szCs w:val="20"/>
          <w:lang w:val="mk-MK"/>
        </w:rPr>
      </w:pPr>
    </w:p>
    <w:p w14:paraId="41D495C2">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Lijek se izdaje uz ljekarsk</w:t>
      </w:r>
      <w:r>
        <w:rPr>
          <w:rFonts w:ascii="Microsoft Sans Serif" w:hAnsi="Microsoft Sans Serif" w:cs="Microsoft Sans Serif"/>
          <w:sz w:val="20"/>
          <w:szCs w:val="20"/>
          <w:lang w:val="pl-PL"/>
        </w:rPr>
        <w:t>i</w:t>
      </w:r>
      <w:r>
        <w:rPr>
          <w:rFonts w:ascii="Microsoft Sans Serif" w:hAnsi="Microsoft Sans Serif" w:cs="Microsoft Sans Serif"/>
          <w:sz w:val="20"/>
          <w:szCs w:val="20"/>
          <w:lang w:val="mk-MK"/>
        </w:rPr>
        <w:t xml:space="preserve"> recept.</w:t>
      </w:r>
    </w:p>
    <w:p w14:paraId="138216D6">
      <w:pPr>
        <w:jc w:val="both"/>
        <w:rPr>
          <w:rFonts w:ascii="Microsoft Sans Serif" w:hAnsi="Microsoft Sans Serif" w:cs="Microsoft Sans Serif"/>
          <w:sz w:val="20"/>
          <w:szCs w:val="20"/>
          <w:u w:val="single"/>
          <w:lang w:val="mk-MK"/>
        </w:rPr>
      </w:pPr>
    </w:p>
    <w:p w14:paraId="00B2BDAD">
      <w:pPr>
        <w:jc w:val="both"/>
        <w:rPr>
          <w:rFonts w:ascii="Microsoft Sans Serif" w:hAnsi="Microsoft Sans Serif" w:cs="Microsoft Sans Serif"/>
          <w:sz w:val="20"/>
          <w:szCs w:val="20"/>
          <w:u w:val="single"/>
          <w:lang w:val="mk-MK"/>
        </w:rPr>
      </w:pPr>
    </w:p>
    <w:p w14:paraId="64235695">
      <w:pPr>
        <w:rPr>
          <w:rFonts w:ascii="Microsoft Sans Serif" w:hAnsi="Microsoft Sans Serif" w:cs="Microsoft Sans Serif"/>
          <w:b/>
          <w:sz w:val="20"/>
          <w:szCs w:val="20"/>
        </w:rPr>
      </w:pPr>
      <w:r>
        <w:rPr>
          <w:rFonts w:ascii="Microsoft Sans Serif" w:hAnsi="Microsoft Sans Serif" w:cs="Microsoft Sans Serif"/>
          <w:b/>
          <w:sz w:val="20"/>
          <w:szCs w:val="20"/>
          <w:lang w:val="mk-MK"/>
        </w:rPr>
        <w:t>7.</w:t>
      </w:r>
      <w:r>
        <w:rPr>
          <w:rFonts w:ascii="Microsoft Sans Serif" w:hAnsi="Microsoft Sans Serif" w:cs="Microsoft Sans Serif"/>
          <w:b/>
          <w:sz w:val="20"/>
          <w:szCs w:val="20"/>
        </w:rPr>
        <w:t xml:space="preserve"> PROIZVOĐAČ</w:t>
      </w:r>
    </w:p>
    <w:p w14:paraId="3ABD8FEF"/>
    <w:p w14:paraId="1547A828">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ALKALOID AD Skopje</w:t>
      </w:r>
    </w:p>
    <w:p w14:paraId="2AB576C4">
      <w:pPr>
        <w:rPr>
          <w:rFonts w:ascii="Microsoft Sans Serif" w:hAnsi="Microsoft Sans Serif" w:cs="Microsoft Sans Serif"/>
          <w:sz w:val="20"/>
          <w:szCs w:val="20"/>
        </w:rPr>
      </w:pPr>
      <w:r>
        <w:rPr>
          <w:rFonts w:ascii="Microsoft Sans Serif" w:hAnsi="Microsoft Sans Serif" w:cs="Microsoft Sans Serif"/>
          <w:sz w:val="20"/>
          <w:szCs w:val="20"/>
        </w:rPr>
        <w:t xml:space="preserve">Bul. Aleksandar Makedonski br. 12 </w:t>
      </w:r>
    </w:p>
    <w:p w14:paraId="790AC252">
      <w:pPr>
        <w:rPr>
          <w:rFonts w:ascii="Microsoft Sans Serif" w:hAnsi="Microsoft Sans Serif" w:cs="Microsoft Sans Serif"/>
          <w:sz w:val="20"/>
          <w:szCs w:val="20"/>
        </w:rPr>
      </w:pPr>
      <w:r>
        <w:rPr>
          <w:rFonts w:ascii="Microsoft Sans Serif" w:hAnsi="Microsoft Sans Serif" w:cs="Microsoft Sans Serif"/>
          <w:sz w:val="20"/>
          <w:szCs w:val="20"/>
        </w:rPr>
        <w:t>1000 Skopje, Republika Severna Makedonija</w:t>
      </w:r>
    </w:p>
    <w:p w14:paraId="2CCDC20B">
      <w:pPr>
        <w:rPr>
          <w:rFonts w:ascii="Microsoft Sans Serif" w:hAnsi="Microsoft Sans Serif" w:cs="Microsoft Sans Serif"/>
          <w:sz w:val="20"/>
          <w:szCs w:val="20"/>
        </w:rPr>
      </w:pPr>
    </w:p>
    <w:p w14:paraId="6C99FC61">
      <w:pPr>
        <w:rPr>
          <w:rFonts w:ascii="Microsoft Sans Serif" w:hAnsi="Microsoft Sans Serif" w:cs="Microsoft Sans Serif"/>
          <w:b/>
          <w:sz w:val="20"/>
          <w:szCs w:val="20"/>
        </w:rPr>
      </w:pPr>
      <w:r>
        <w:rPr>
          <w:rFonts w:ascii="Microsoft Sans Serif" w:hAnsi="Microsoft Sans Serif" w:cs="Microsoft Sans Serif"/>
          <w:b/>
          <w:sz w:val="20"/>
          <w:szCs w:val="20"/>
        </w:rPr>
        <w:t>Proizvođač gotovog lijeka</w:t>
      </w:r>
    </w:p>
    <w:p w14:paraId="6A741404">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ALKALOID AD Skopje</w:t>
      </w:r>
    </w:p>
    <w:p w14:paraId="1B478769">
      <w:pPr>
        <w:rPr>
          <w:rFonts w:ascii="Microsoft Sans Serif" w:hAnsi="Microsoft Sans Serif" w:cs="Microsoft Sans Serif"/>
          <w:sz w:val="20"/>
          <w:szCs w:val="20"/>
        </w:rPr>
      </w:pPr>
      <w:r>
        <w:rPr>
          <w:rFonts w:ascii="Microsoft Sans Serif" w:hAnsi="Microsoft Sans Serif" w:cs="Microsoft Sans Serif"/>
          <w:sz w:val="20"/>
          <w:szCs w:val="20"/>
        </w:rPr>
        <w:t>Bul. Aleksandar Makedonski br. 12</w:t>
      </w:r>
    </w:p>
    <w:p w14:paraId="0230C42F">
      <w:pPr>
        <w:rPr>
          <w:rFonts w:ascii="Microsoft Sans Serif" w:hAnsi="Microsoft Sans Serif" w:cs="Microsoft Sans Serif"/>
          <w:sz w:val="20"/>
          <w:szCs w:val="20"/>
        </w:rPr>
      </w:pPr>
      <w:r>
        <w:rPr>
          <w:rFonts w:ascii="Microsoft Sans Serif" w:hAnsi="Microsoft Sans Serif" w:cs="Microsoft Sans Serif"/>
          <w:sz w:val="20"/>
          <w:szCs w:val="20"/>
        </w:rPr>
        <w:t>1000 Skopje, Republika Severna Makedonija</w:t>
      </w:r>
    </w:p>
    <w:p w14:paraId="23E2F3AD"/>
    <w:p w14:paraId="54AAFAF5">
      <w:pPr>
        <w:rPr>
          <w:rFonts w:ascii="Microsoft Sans Serif" w:hAnsi="Microsoft Sans Serif" w:cs="Microsoft Sans Serif"/>
          <w:b/>
          <w:sz w:val="20"/>
          <w:szCs w:val="20"/>
          <w:lang w:val="mk-MK"/>
        </w:rPr>
      </w:pPr>
      <w:r>
        <w:rPr>
          <w:rFonts w:ascii="Microsoft Sans Serif" w:hAnsi="Microsoft Sans Serif" w:cs="Microsoft Sans Serif"/>
          <w:b/>
          <w:sz w:val="20"/>
          <w:szCs w:val="20"/>
        </w:rPr>
        <w:t>Nosilac</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lang w:val="pl-PL"/>
        </w:rPr>
        <w:t>dozvole za stavljanje gotovog lijeka u promet</w:t>
      </w:r>
      <w:r>
        <w:rPr>
          <w:rFonts w:ascii="Microsoft Sans Serif" w:hAnsi="Microsoft Sans Serif" w:cs="Microsoft Sans Serif"/>
          <w:b/>
          <w:sz w:val="20"/>
          <w:szCs w:val="20"/>
          <w:lang w:val="mk-MK"/>
        </w:rPr>
        <w:t xml:space="preserve"> </w:t>
      </w:r>
    </w:p>
    <w:p w14:paraId="3E6A61F2">
      <w:pPr>
        <w:jc w:val="both"/>
        <w:rPr>
          <w:rFonts w:ascii="Microsoft Sans Serif" w:hAnsi="Microsoft Sans Serif" w:cs="Microsoft Sans Serif"/>
          <w:sz w:val="20"/>
          <w:szCs w:val="20"/>
          <w:lang w:val="mk-MK"/>
        </w:rPr>
      </w:pPr>
      <w:r>
        <w:rPr>
          <w:rFonts w:ascii="Microsoft Sans Serif" w:hAnsi="Microsoft Sans Serif" w:cs="Microsoft Sans Serif"/>
          <w:sz w:val="20"/>
          <w:szCs w:val="20"/>
          <w:lang w:val="mk-MK"/>
        </w:rPr>
        <w:t>A</w:t>
      </w:r>
      <w:r>
        <w:rPr>
          <w:rFonts w:ascii="Microsoft Sans Serif" w:hAnsi="Microsoft Sans Serif" w:cs="Microsoft Sans Serif"/>
          <w:sz w:val="20"/>
          <w:szCs w:val="20"/>
        </w:rPr>
        <w:t>LKALOID</w:t>
      </w:r>
      <w:r>
        <w:rPr>
          <w:rFonts w:ascii="Microsoft Sans Serif" w:hAnsi="Microsoft Sans Serif" w:cs="Microsoft Sans Serif"/>
          <w:sz w:val="20"/>
          <w:szCs w:val="20"/>
          <w:lang w:val="mk-MK"/>
        </w:rPr>
        <w:t xml:space="preserve"> d.o.o. Sarajevo</w:t>
      </w:r>
    </w:p>
    <w:p w14:paraId="123C4BB2">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mk-MK"/>
        </w:rPr>
        <w:t>Isevi</w:t>
      </w:r>
      <w:r>
        <w:rPr>
          <w:rFonts w:ascii="Microsoft Sans Serif" w:hAnsi="Microsoft Sans Serif" w:cs="Microsoft Sans Serif"/>
          <w:sz w:val="20"/>
          <w:szCs w:val="20"/>
          <w:lang w:val="pl-PL"/>
        </w:rPr>
        <w:t>ća sokak 6, Sarajevo</w:t>
      </w:r>
    </w:p>
    <w:p w14:paraId="2E30A9C8">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Bosna i Hercegovina</w:t>
      </w:r>
    </w:p>
    <w:p w14:paraId="1BEE2763">
      <w:pPr>
        <w:pStyle w:val="24"/>
        <w:tabs>
          <w:tab w:val="clear" w:pos="4320"/>
          <w:tab w:val="clear" w:pos="8640"/>
        </w:tabs>
        <w:jc w:val="both"/>
        <w:rPr>
          <w:rFonts w:ascii="Microsoft Sans Serif" w:hAnsi="Microsoft Sans Serif" w:cs="Microsoft Sans Serif"/>
          <w:sz w:val="20"/>
          <w:szCs w:val="20"/>
          <w:lang w:val="mk-MK"/>
        </w:rPr>
      </w:pPr>
    </w:p>
    <w:p w14:paraId="1A69D09E">
      <w:pPr>
        <w:tabs>
          <w:tab w:val="left" w:pos="360"/>
        </w:tabs>
        <w:jc w:val="both"/>
        <w:rPr>
          <w:rFonts w:ascii="Microsoft Sans Serif" w:hAnsi="Microsoft Sans Serif" w:cs="Microsoft Sans Serif"/>
          <w:b/>
          <w:sz w:val="20"/>
          <w:szCs w:val="20"/>
          <w:lang w:val="mk-MK"/>
        </w:rPr>
      </w:pPr>
    </w:p>
    <w:p w14:paraId="6874F418">
      <w:pPr>
        <w:tabs>
          <w:tab w:val="left" w:pos="360"/>
        </w:tabs>
        <w:jc w:val="both"/>
        <w:rPr>
          <w:rFonts w:ascii="Microsoft Sans Serif" w:hAnsi="Microsoft Sans Serif" w:cs="Microsoft Sans Serif"/>
          <w:b/>
          <w:sz w:val="20"/>
          <w:szCs w:val="20"/>
          <w:lang w:val="mk-MK"/>
        </w:rPr>
      </w:pPr>
      <w:r>
        <w:rPr>
          <w:rFonts w:ascii="Microsoft Sans Serif" w:hAnsi="Microsoft Sans Serif" w:cs="Microsoft Sans Serif"/>
          <w:b/>
          <w:sz w:val="20"/>
          <w:szCs w:val="20"/>
          <w:lang w:val="pl-PL"/>
        </w:rPr>
        <w:t>8.</w:t>
      </w:r>
      <w:r>
        <w:rPr>
          <w:rFonts w:ascii="Microsoft Sans Serif" w:hAnsi="Microsoft Sans Serif" w:cs="Microsoft Sans Serif"/>
          <w:b/>
          <w:sz w:val="20"/>
          <w:szCs w:val="20"/>
          <w:lang w:val="pl-PL"/>
        </w:rPr>
        <w:tab/>
      </w:r>
      <w:r>
        <w:rPr>
          <w:rFonts w:ascii="Microsoft Sans Serif" w:hAnsi="Microsoft Sans Serif" w:cs="Microsoft Sans Serif"/>
          <w:b/>
          <w:sz w:val="20"/>
          <w:szCs w:val="20"/>
          <w:lang w:val="pl-PL"/>
        </w:rPr>
        <w:tab/>
      </w:r>
      <w:r>
        <w:rPr>
          <w:rFonts w:ascii="Microsoft Sans Serif" w:hAnsi="Microsoft Sans Serif" w:cs="Microsoft Sans Serif"/>
          <w:b/>
          <w:sz w:val="20"/>
          <w:szCs w:val="20"/>
          <w:lang w:val="pl-PL"/>
        </w:rPr>
        <w:t>BROJ I DATUM DOZVOLE ZA STAVLJANJE GOTOVOG LIJEKA U PROMET</w:t>
      </w:r>
      <w:r>
        <w:rPr>
          <w:rFonts w:ascii="Microsoft Sans Serif" w:hAnsi="Microsoft Sans Serif" w:cs="Microsoft Sans Serif"/>
          <w:b/>
          <w:sz w:val="20"/>
          <w:szCs w:val="20"/>
          <w:lang w:val="mk-MK"/>
        </w:rPr>
        <w:t xml:space="preserve"> </w:t>
      </w:r>
    </w:p>
    <w:p w14:paraId="69C52D7C">
      <w:pPr>
        <w:jc w:val="both"/>
        <w:rPr>
          <w:rFonts w:ascii="Microsoft Sans Serif" w:hAnsi="Microsoft Sans Serif" w:cs="Microsoft Sans Serif"/>
          <w:b/>
          <w:sz w:val="20"/>
          <w:szCs w:val="20"/>
          <w:lang w:val="pl-PL"/>
        </w:rPr>
      </w:pPr>
    </w:p>
    <w:p w14:paraId="4C6ED60C">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 xml:space="preserve">Tableta 30 x 2 mg: </w:t>
      </w:r>
      <w:r>
        <w:rPr>
          <w:rFonts w:ascii="Microsoft Sans Serif" w:hAnsi="Microsoft Sans Serif" w:cs="Microsoft Sans Serif"/>
          <w:sz w:val="20"/>
          <w:szCs w:val="20"/>
          <w:lang w:val="pl-PL"/>
        </w:rPr>
        <w:tab/>
      </w:r>
      <w:r>
        <w:rPr>
          <w:rFonts w:ascii="Microsoft Sans Serif" w:hAnsi="Microsoft Sans Serif" w:cs="Microsoft Sans Serif"/>
          <w:sz w:val="20"/>
          <w:szCs w:val="20"/>
          <w:lang w:val="pl-PL"/>
        </w:rPr>
        <w:t>04-07.3-2-7963/16 od 14.03.2017.</w:t>
      </w:r>
    </w:p>
    <w:p w14:paraId="531668B1">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 xml:space="preserve">Tableta 30 x 4 mg: </w:t>
      </w:r>
      <w:r>
        <w:rPr>
          <w:rFonts w:ascii="Microsoft Sans Serif" w:hAnsi="Microsoft Sans Serif" w:cs="Microsoft Sans Serif"/>
          <w:sz w:val="20"/>
          <w:szCs w:val="20"/>
          <w:lang w:val="pl-PL"/>
        </w:rPr>
        <w:tab/>
      </w:r>
      <w:r>
        <w:rPr>
          <w:rFonts w:ascii="Microsoft Sans Serif" w:hAnsi="Microsoft Sans Serif" w:cs="Microsoft Sans Serif"/>
          <w:sz w:val="20"/>
          <w:szCs w:val="20"/>
          <w:lang w:val="pl-PL"/>
        </w:rPr>
        <w:t>04-07.3-2-7962/16 od 14.03.2017.</w:t>
      </w:r>
    </w:p>
    <w:p w14:paraId="1DBB4271">
      <w:pPr>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 xml:space="preserve">Tableta 30 x 8 mg: </w:t>
      </w:r>
      <w:r>
        <w:rPr>
          <w:rFonts w:ascii="Microsoft Sans Serif" w:hAnsi="Microsoft Sans Serif" w:cs="Microsoft Sans Serif"/>
          <w:sz w:val="20"/>
          <w:szCs w:val="20"/>
          <w:lang w:val="pl-PL"/>
        </w:rPr>
        <w:tab/>
      </w:r>
      <w:r>
        <w:rPr>
          <w:rFonts w:ascii="Microsoft Sans Serif" w:hAnsi="Microsoft Sans Serif" w:cs="Microsoft Sans Serif"/>
          <w:sz w:val="20"/>
          <w:szCs w:val="20"/>
          <w:lang w:val="pl-PL"/>
        </w:rPr>
        <w:t>04-07.3-2-7964/16 od 14.03.2017.</w:t>
      </w:r>
    </w:p>
    <w:p w14:paraId="33F0B15C">
      <w:pPr>
        <w:jc w:val="both"/>
        <w:rPr>
          <w:rFonts w:ascii="Microsoft Sans Serif" w:hAnsi="Microsoft Sans Serif" w:cs="Microsoft Sans Serif"/>
          <w:b/>
          <w:sz w:val="20"/>
          <w:szCs w:val="20"/>
          <w:lang w:val="pl-PL"/>
        </w:rPr>
      </w:pPr>
    </w:p>
    <w:p w14:paraId="33D0D4C3">
      <w:pPr>
        <w:jc w:val="both"/>
        <w:rPr>
          <w:rFonts w:ascii="Microsoft Sans Serif" w:hAnsi="Microsoft Sans Serif" w:cs="Microsoft Sans Serif"/>
          <w:b/>
          <w:sz w:val="20"/>
          <w:szCs w:val="20"/>
          <w:lang w:val="pl-PL"/>
        </w:rPr>
      </w:pPr>
    </w:p>
    <w:p w14:paraId="6D7F1B79">
      <w:pPr>
        <w:tabs>
          <w:tab w:val="left" w:pos="360"/>
        </w:tabs>
        <w:jc w:val="both"/>
        <w:rPr>
          <w:rFonts w:ascii="Microsoft Sans Serif" w:hAnsi="Microsoft Sans Serif" w:cs="Microsoft Sans Serif"/>
          <w:sz w:val="20"/>
          <w:szCs w:val="20"/>
          <w:lang w:val="pl-PL"/>
        </w:rPr>
      </w:pPr>
      <w:r>
        <w:rPr>
          <w:rFonts w:ascii="Microsoft Sans Serif" w:hAnsi="Microsoft Sans Serif" w:cs="Microsoft Sans Serif"/>
          <w:b/>
          <w:sz w:val="20"/>
          <w:szCs w:val="20"/>
          <w:lang w:val="pl-PL"/>
        </w:rPr>
        <w:t>9.</w:t>
      </w:r>
      <w:r>
        <w:rPr>
          <w:rFonts w:ascii="Microsoft Sans Serif" w:hAnsi="Microsoft Sans Serif" w:cs="Microsoft Sans Serif"/>
          <w:b/>
          <w:sz w:val="20"/>
          <w:szCs w:val="20"/>
          <w:lang w:val="pl-PL"/>
        </w:rPr>
        <w:tab/>
      </w:r>
      <w:r>
        <w:rPr>
          <w:rFonts w:ascii="Microsoft Sans Serif" w:hAnsi="Microsoft Sans Serif" w:cs="Microsoft Sans Serif"/>
          <w:b/>
          <w:sz w:val="20"/>
          <w:szCs w:val="20"/>
          <w:lang w:val="pl-PL"/>
        </w:rPr>
        <w:tab/>
      </w:r>
      <w:r>
        <w:rPr>
          <w:rFonts w:ascii="Microsoft Sans Serif" w:hAnsi="Microsoft Sans Serif" w:cs="Microsoft Sans Serif"/>
          <w:b/>
          <w:sz w:val="20"/>
          <w:szCs w:val="20"/>
          <w:lang w:val="pl-PL"/>
        </w:rPr>
        <w:t>DATUM</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lang w:val="pl-PL"/>
        </w:rPr>
        <w:t>REVIZIJE</w:t>
      </w:r>
      <w:r>
        <w:rPr>
          <w:rFonts w:ascii="Microsoft Sans Serif" w:hAnsi="Microsoft Sans Serif" w:cs="Microsoft Sans Serif"/>
          <w:b/>
          <w:sz w:val="20"/>
          <w:szCs w:val="20"/>
          <w:lang w:val="mk-MK"/>
        </w:rPr>
        <w:t xml:space="preserve"> </w:t>
      </w:r>
      <w:r>
        <w:rPr>
          <w:rFonts w:ascii="Microsoft Sans Serif" w:hAnsi="Microsoft Sans Serif" w:cs="Microsoft Sans Serif"/>
          <w:b/>
          <w:sz w:val="20"/>
          <w:szCs w:val="20"/>
          <w:lang w:val="pl-PL"/>
        </w:rPr>
        <w:t>SAŽETKA KARAKTERISTIKA LIJEKA</w:t>
      </w:r>
    </w:p>
    <w:p w14:paraId="404DDA9B">
      <w:pPr>
        <w:jc w:val="both"/>
        <w:rPr>
          <w:rFonts w:ascii="Microsoft Sans Serif" w:hAnsi="Microsoft Sans Serif" w:cs="Microsoft Sans Serif"/>
          <w:sz w:val="20"/>
          <w:szCs w:val="20"/>
          <w:lang w:val="pl-PL"/>
        </w:rPr>
      </w:pPr>
    </w:p>
    <w:p w14:paraId="05C84AA6">
      <w:pPr>
        <w:pStyle w:val="24"/>
        <w:tabs>
          <w:tab w:val="clear" w:pos="4320"/>
          <w:tab w:val="clear" w:pos="8640"/>
        </w:tabs>
        <w:jc w:val="both"/>
        <w:rPr>
          <w:rFonts w:ascii="Microsoft Sans Serif" w:hAnsi="Microsoft Sans Serif" w:cs="Microsoft Sans Serif"/>
          <w:sz w:val="20"/>
          <w:szCs w:val="20"/>
          <w:lang w:val="pl-PL"/>
        </w:rPr>
      </w:pPr>
      <w:r>
        <w:rPr>
          <w:rFonts w:ascii="Microsoft Sans Serif" w:hAnsi="Microsoft Sans Serif" w:cs="Microsoft Sans Serif"/>
          <w:sz w:val="20"/>
          <w:szCs w:val="20"/>
          <w:lang w:val="pl-PL"/>
        </w:rPr>
        <w:t>Septembar, 2022.</w:t>
      </w:r>
    </w:p>
    <w:p w14:paraId="6FE469B7">
      <w:pPr>
        <w:jc w:val="both"/>
        <w:rPr>
          <w:rFonts w:ascii="Microsoft Sans Serif" w:hAnsi="Microsoft Sans Serif" w:cs="Microsoft Sans Serif"/>
          <w:sz w:val="20"/>
          <w:szCs w:val="20"/>
          <w:lang w:val="pl-PL"/>
        </w:rPr>
      </w:pPr>
    </w:p>
    <w:sectPr>
      <w:headerReference r:id="rId3" w:type="default"/>
      <w:footerReference r:id="rId4" w:type="default"/>
      <w:pgSz w:w="11907" w:h="16840"/>
      <w:pgMar w:top="2552" w:right="1134" w:bottom="1134" w:left="1418" w:header="737" w:footer="737"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AC C Times">
    <w:altName w:val="Segoe Print"/>
    <w:panose1 w:val="00000000000000000000"/>
    <w:charset w:val="00"/>
    <w:family w:val="auto"/>
    <w:pitch w:val="default"/>
    <w:sig w:usb0="00000000" w:usb1="00000000" w:usb2="00000000" w:usb3="00000000" w:csb0="0000001B" w:csb1="00000000"/>
  </w:font>
  <w:font w:name="MAC C Swiss">
    <w:altName w:val="Courier New"/>
    <w:panose1 w:val="020B7200000000000000"/>
    <w:charset w:val="00"/>
    <w:family w:val="swiss"/>
    <w:pitch w:val="default"/>
    <w:sig w:usb0="00000000" w:usb1="00000000" w:usb2="00000000" w:usb3="00000000" w:csb0="00000009" w:csb1="00000000"/>
  </w:font>
  <w:font w:name="Symbol">
    <w:panose1 w:val="05050102010706020507"/>
    <w:charset w:val="02"/>
    <w:family w:val="roman"/>
    <w:pitch w:val="default"/>
    <w:sig w:usb0="00000000" w:usb1="00000000" w:usb2="00000000" w:usb3="00000000" w:csb0="80000000" w:csb1="00000000"/>
  </w:font>
  <w:font w:name="Arial Unicode MS">
    <w:altName w:val="Arial"/>
    <w:panose1 w:val="020B0604020202020204"/>
    <w:charset w:val="80"/>
    <w:family w:val="swiss"/>
    <w:pitch w:val="default"/>
    <w:sig w:usb0="00000000" w:usb1="00000000" w:usb2="0000003F" w:usb3="00000000" w:csb0="003F01FF" w:csb1="00000000"/>
  </w:font>
  <w:font w:name="Courier New">
    <w:panose1 w:val="02070309020205020404"/>
    <w:charset w:val="CC"/>
    <w:family w:val="modern"/>
    <w:pitch w:val="default"/>
    <w:sig w:usb0="E0002EFF" w:usb1="C0007843" w:usb2="00000009" w:usb3="00000000" w:csb0="400001FF" w:csb1="FFFF0000"/>
  </w:font>
  <w:font w:name="Tahoma">
    <w:panose1 w:val="020B0604030504040204"/>
    <w:charset w:val="CC"/>
    <w:family w:val="swiss"/>
    <w:pitch w:val="default"/>
    <w:sig w:usb0="E1002EFF" w:usb1="C000605B" w:usb2="00000029" w:usb3="00000000" w:csb0="200101FF" w:csb1="20280000"/>
  </w:font>
  <w:font w:name="Verdana">
    <w:panose1 w:val="020B0604030504040204"/>
    <w:charset w:val="CC"/>
    <w:family w:val="swiss"/>
    <w:pitch w:val="default"/>
    <w:sig w:usb0="A00006FF" w:usb1="4000205B" w:usb2="00000010" w:usb3="00000000" w:csb0="2000019F" w:csb1="00000000"/>
  </w:font>
  <w:font w:name="Calibri">
    <w:panose1 w:val="020F0502020204030204"/>
    <w:charset w:val="CC"/>
    <w:family w:val="swiss"/>
    <w:pitch w:val="default"/>
    <w:sig w:usb0="E4002EFF" w:usb1="C200247B" w:usb2="00000009" w:usb3="00000000" w:csb0="200001FF" w:csb1="00000000"/>
  </w:font>
  <w:font w:name="Microsoft Sans Serif">
    <w:panose1 w:val="020B0604020202020204"/>
    <w:charset w:val="CC"/>
    <w:family w:val="swiss"/>
    <w:pitch w:val="default"/>
    <w:sig w:usb0="E5002EFF" w:usb1="C000605B" w:usb2="00000029" w:usb3="00000000" w:csb0="200101FF" w:csb1="20280000"/>
  </w:font>
  <w:font w:name="ArialMT">
    <w:altName w:val="Yu Gothic UI"/>
    <w:panose1 w:val="00000000000000000000"/>
    <w:charset w:val="80"/>
    <w:family w:val="auto"/>
    <w:pitch w:val="default"/>
    <w:sig w:usb0="00000000" w:usb1="00000000" w:usb2="00000010" w:usb3="00000000" w:csb0="0002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A86851">
    <w:pPr>
      <w:pStyle w:val="23"/>
      <w:jc w:val="center"/>
      <w:rPr>
        <w:rFonts w:ascii="Microsoft Sans Serif" w:hAnsi="Microsoft Sans Serif" w:cs="Microsoft Sans Serif"/>
        <w:sz w:val="18"/>
        <w:szCs w:val="18"/>
      </w:rPr>
    </w:pPr>
    <w:r>
      <w:rPr>
        <w:rFonts w:ascii="Microsoft Sans Serif" w:hAnsi="Microsoft Sans Serif" w:cs="Microsoft Sans Serif"/>
        <w:sz w:val="18"/>
        <w:szCs w:val="18"/>
      </w:rPr>
      <w:fldChar w:fldCharType="begin"/>
    </w:r>
    <w:r>
      <w:rPr>
        <w:rFonts w:ascii="Microsoft Sans Serif" w:hAnsi="Microsoft Sans Serif" w:cs="Microsoft Sans Serif"/>
        <w:sz w:val="18"/>
        <w:szCs w:val="18"/>
      </w:rPr>
      <w:instrText xml:space="preserve"> PAGE   \* MERGEFORMAT </w:instrText>
    </w:r>
    <w:r>
      <w:rPr>
        <w:rFonts w:ascii="Microsoft Sans Serif" w:hAnsi="Microsoft Sans Serif" w:cs="Microsoft Sans Serif"/>
        <w:sz w:val="18"/>
        <w:szCs w:val="18"/>
      </w:rPr>
      <w:fldChar w:fldCharType="separate"/>
    </w:r>
    <w:r>
      <w:rPr>
        <w:rFonts w:ascii="Microsoft Sans Serif" w:hAnsi="Microsoft Sans Serif" w:cs="Microsoft Sans Serif"/>
        <w:sz w:val="18"/>
        <w:szCs w:val="18"/>
      </w:rPr>
      <w:t>10</w:t>
    </w:r>
    <w:r>
      <w:rPr>
        <w:rFonts w:ascii="Microsoft Sans Serif" w:hAnsi="Microsoft Sans Serif" w:cs="Microsoft Sans Serif"/>
        <w:sz w:val="18"/>
        <w:szCs w:val="18"/>
      </w:rPr>
      <w:fldChar w:fldCharType="end"/>
    </w:r>
  </w:p>
  <w:p w14:paraId="64B6D958">
    <w:pPr>
      <w:pStyle w:val="23"/>
      <w:rPr>
        <w:rStyle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087DB">
    <w:pPr>
      <w:pStyle w:val="24"/>
    </w:pPr>
    <w:bookmarkStart w:id="0" w:name="_1010223057"/>
    <w:bookmarkEnd w:id="0"/>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9"/>
    <w:multiLevelType w:val="singleLevel"/>
    <w:tmpl w:val="FFFFFF89"/>
    <w:lvl w:ilvl="0" w:tentative="0">
      <w:start w:val="1"/>
      <w:numFmt w:val="bullet"/>
      <w:pStyle w:val="26"/>
      <w:lvlText w:val=""/>
      <w:lvlJc w:val="left"/>
      <w:pPr>
        <w:tabs>
          <w:tab w:val="left" w:pos="360"/>
        </w:tabs>
        <w:ind w:left="360" w:hanging="360"/>
      </w:pPr>
      <w:rPr>
        <w:rFonts w:hint="default" w:ascii="Symbol" w:hAnsi="Symbol"/>
      </w:rPr>
    </w:lvl>
  </w:abstractNum>
  <w:abstractNum w:abstractNumId="1">
    <w:nsid w:val="FFFFFFFE"/>
    <w:multiLevelType w:val="singleLevel"/>
    <w:tmpl w:val="FFFFFFFE"/>
    <w:lvl w:ilvl="0" w:tentative="0">
      <w:start w:val="0"/>
      <w:numFmt w:val="decimal"/>
      <w:lvlText w:val="*"/>
      <w:lvlJc w:val="left"/>
      <w:rPr>
        <w:rFonts w:cs="Times New Roman"/>
      </w:rPr>
    </w:lvl>
  </w:abstractNum>
  <w:abstractNum w:abstractNumId="2">
    <w:nsid w:val="05CB60ED"/>
    <w:multiLevelType w:val="multilevel"/>
    <w:tmpl w:val="05CB60ED"/>
    <w:lvl w:ilvl="0" w:tentative="0">
      <w:start w:val="4"/>
      <w:numFmt w:val="decimal"/>
      <w:lvlText w:val="%1"/>
      <w:lvlJc w:val="left"/>
      <w:pPr>
        <w:tabs>
          <w:tab w:val="left" w:pos="720"/>
        </w:tabs>
        <w:ind w:left="720" w:hanging="720"/>
      </w:pPr>
      <w:rPr>
        <w:rFonts w:hint="default" w:cs="Times New Roman"/>
      </w:rPr>
    </w:lvl>
    <w:lvl w:ilvl="1" w:tentative="0">
      <w:start w:val="3"/>
      <w:numFmt w:val="decimal"/>
      <w:lvlText w:val="%1.%2"/>
      <w:lvlJc w:val="left"/>
      <w:pPr>
        <w:tabs>
          <w:tab w:val="left" w:pos="720"/>
        </w:tabs>
        <w:ind w:left="720" w:hanging="720"/>
      </w:pPr>
      <w:rPr>
        <w:rFonts w:hint="default" w:cs="Times New Roman"/>
      </w:rPr>
    </w:lvl>
    <w:lvl w:ilvl="2" w:tentative="0">
      <w:start w:val="1"/>
      <w:numFmt w:val="decimal"/>
      <w:lvlText w:val="%1.%2.%3"/>
      <w:lvlJc w:val="left"/>
      <w:pPr>
        <w:tabs>
          <w:tab w:val="left" w:pos="720"/>
        </w:tabs>
        <w:ind w:left="720" w:hanging="720"/>
      </w:pPr>
      <w:rPr>
        <w:rFonts w:hint="default" w:cs="Times New Roman"/>
      </w:rPr>
    </w:lvl>
    <w:lvl w:ilvl="3" w:tentative="0">
      <w:start w:val="1"/>
      <w:numFmt w:val="decimal"/>
      <w:lvlText w:val="%1.%2.%3.%4"/>
      <w:lvlJc w:val="left"/>
      <w:pPr>
        <w:tabs>
          <w:tab w:val="left" w:pos="720"/>
        </w:tabs>
        <w:ind w:left="720" w:hanging="720"/>
      </w:pPr>
      <w:rPr>
        <w:rFonts w:hint="default" w:cs="Times New Roman"/>
      </w:rPr>
    </w:lvl>
    <w:lvl w:ilvl="4" w:tentative="0">
      <w:start w:val="1"/>
      <w:numFmt w:val="decimal"/>
      <w:lvlText w:val="%1.%2.%3.%4.%5"/>
      <w:lvlJc w:val="left"/>
      <w:pPr>
        <w:tabs>
          <w:tab w:val="left" w:pos="1080"/>
        </w:tabs>
        <w:ind w:left="1080" w:hanging="1080"/>
      </w:pPr>
      <w:rPr>
        <w:rFonts w:hint="default" w:cs="Times New Roman"/>
      </w:rPr>
    </w:lvl>
    <w:lvl w:ilvl="5" w:tentative="0">
      <w:start w:val="1"/>
      <w:numFmt w:val="decimal"/>
      <w:lvlText w:val="%1.%2.%3.%4.%5.%6"/>
      <w:lvlJc w:val="left"/>
      <w:pPr>
        <w:tabs>
          <w:tab w:val="left" w:pos="1080"/>
        </w:tabs>
        <w:ind w:left="1080" w:hanging="1080"/>
      </w:pPr>
      <w:rPr>
        <w:rFonts w:hint="default" w:cs="Times New Roman"/>
      </w:rPr>
    </w:lvl>
    <w:lvl w:ilvl="6" w:tentative="0">
      <w:start w:val="1"/>
      <w:numFmt w:val="decimal"/>
      <w:lvlText w:val="%1.%2.%3.%4.%5.%6.%7"/>
      <w:lvlJc w:val="left"/>
      <w:pPr>
        <w:tabs>
          <w:tab w:val="left" w:pos="1440"/>
        </w:tabs>
        <w:ind w:left="1440" w:hanging="1440"/>
      </w:pPr>
      <w:rPr>
        <w:rFonts w:hint="default" w:cs="Times New Roman"/>
      </w:rPr>
    </w:lvl>
    <w:lvl w:ilvl="7" w:tentative="0">
      <w:start w:val="1"/>
      <w:numFmt w:val="decimal"/>
      <w:lvlText w:val="%1.%2.%3.%4.%5.%6.%7.%8"/>
      <w:lvlJc w:val="left"/>
      <w:pPr>
        <w:tabs>
          <w:tab w:val="left" w:pos="1440"/>
        </w:tabs>
        <w:ind w:left="1440" w:hanging="1440"/>
      </w:pPr>
      <w:rPr>
        <w:rFonts w:hint="default" w:cs="Times New Roman"/>
      </w:rPr>
    </w:lvl>
    <w:lvl w:ilvl="8" w:tentative="0">
      <w:start w:val="1"/>
      <w:numFmt w:val="decimal"/>
      <w:lvlText w:val="%1.%2.%3.%4.%5.%6.%7.%8.%9"/>
      <w:lvlJc w:val="left"/>
      <w:pPr>
        <w:tabs>
          <w:tab w:val="left" w:pos="1440"/>
        </w:tabs>
        <w:ind w:left="1440" w:hanging="1440"/>
      </w:pPr>
      <w:rPr>
        <w:rFonts w:hint="default" w:cs="Times New Roman"/>
      </w:rPr>
    </w:lvl>
  </w:abstractNum>
  <w:abstractNum w:abstractNumId="3">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4EA3116A"/>
    <w:multiLevelType w:val="multilevel"/>
    <w:tmpl w:val="4EA3116A"/>
    <w:lvl w:ilvl="0" w:tentative="0">
      <w:start w:val="6"/>
      <w:numFmt w:val="decimal"/>
      <w:lvlText w:val="%1"/>
      <w:lvlJc w:val="left"/>
      <w:pPr>
        <w:tabs>
          <w:tab w:val="left" w:pos="720"/>
        </w:tabs>
        <w:ind w:left="720" w:hanging="720"/>
      </w:pPr>
      <w:rPr>
        <w:rFonts w:hint="default" w:cs="Times New Roman"/>
      </w:rPr>
    </w:lvl>
    <w:lvl w:ilvl="1" w:tentative="0">
      <w:start w:val="6"/>
      <w:numFmt w:val="decimal"/>
      <w:lvlText w:val="%1.%2"/>
      <w:lvlJc w:val="left"/>
      <w:pPr>
        <w:tabs>
          <w:tab w:val="left" w:pos="720"/>
        </w:tabs>
        <w:ind w:left="720" w:hanging="720"/>
      </w:pPr>
      <w:rPr>
        <w:rFonts w:hint="default" w:cs="Times New Roman"/>
      </w:rPr>
    </w:lvl>
    <w:lvl w:ilvl="2" w:tentative="0">
      <w:start w:val="1"/>
      <w:numFmt w:val="decimal"/>
      <w:lvlText w:val="%1.%2.%3"/>
      <w:lvlJc w:val="left"/>
      <w:pPr>
        <w:tabs>
          <w:tab w:val="left" w:pos="720"/>
        </w:tabs>
        <w:ind w:left="720" w:hanging="720"/>
      </w:pPr>
      <w:rPr>
        <w:rFonts w:hint="default" w:cs="Times New Roman"/>
      </w:rPr>
    </w:lvl>
    <w:lvl w:ilvl="3" w:tentative="0">
      <w:start w:val="1"/>
      <w:numFmt w:val="decimal"/>
      <w:lvlText w:val="%1.%2.%3.%4"/>
      <w:lvlJc w:val="left"/>
      <w:pPr>
        <w:tabs>
          <w:tab w:val="left" w:pos="720"/>
        </w:tabs>
        <w:ind w:left="720" w:hanging="720"/>
      </w:pPr>
      <w:rPr>
        <w:rFonts w:hint="default" w:cs="Times New Roman"/>
      </w:rPr>
    </w:lvl>
    <w:lvl w:ilvl="4" w:tentative="0">
      <w:start w:val="1"/>
      <w:numFmt w:val="decimal"/>
      <w:lvlText w:val="%1.%2.%3.%4.%5"/>
      <w:lvlJc w:val="left"/>
      <w:pPr>
        <w:tabs>
          <w:tab w:val="left" w:pos="1080"/>
        </w:tabs>
        <w:ind w:left="1080" w:hanging="1080"/>
      </w:pPr>
      <w:rPr>
        <w:rFonts w:hint="default" w:cs="Times New Roman"/>
      </w:rPr>
    </w:lvl>
    <w:lvl w:ilvl="5" w:tentative="0">
      <w:start w:val="1"/>
      <w:numFmt w:val="decimal"/>
      <w:lvlText w:val="%1.%2.%3.%4.%5.%6"/>
      <w:lvlJc w:val="left"/>
      <w:pPr>
        <w:tabs>
          <w:tab w:val="left" w:pos="1080"/>
        </w:tabs>
        <w:ind w:left="1080" w:hanging="1080"/>
      </w:pPr>
      <w:rPr>
        <w:rFonts w:hint="default" w:cs="Times New Roman"/>
      </w:rPr>
    </w:lvl>
    <w:lvl w:ilvl="6" w:tentative="0">
      <w:start w:val="1"/>
      <w:numFmt w:val="decimal"/>
      <w:lvlText w:val="%1.%2.%3.%4.%5.%6.%7"/>
      <w:lvlJc w:val="left"/>
      <w:pPr>
        <w:tabs>
          <w:tab w:val="left" w:pos="1440"/>
        </w:tabs>
        <w:ind w:left="1440" w:hanging="1440"/>
      </w:pPr>
      <w:rPr>
        <w:rFonts w:hint="default" w:cs="Times New Roman"/>
      </w:rPr>
    </w:lvl>
    <w:lvl w:ilvl="7" w:tentative="0">
      <w:start w:val="1"/>
      <w:numFmt w:val="decimal"/>
      <w:lvlText w:val="%1.%2.%3.%4.%5.%6.%7.%8"/>
      <w:lvlJc w:val="left"/>
      <w:pPr>
        <w:tabs>
          <w:tab w:val="left" w:pos="1440"/>
        </w:tabs>
        <w:ind w:left="1440" w:hanging="1440"/>
      </w:pPr>
      <w:rPr>
        <w:rFonts w:hint="default" w:cs="Times New Roman"/>
      </w:rPr>
    </w:lvl>
    <w:lvl w:ilvl="8" w:tentative="0">
      <w:start w:val="1"/>
      <w:numFmt w:val="decimal"/>
      <w:lvlText w:val="%1.%2.%3.%4.%5.%6.%7.%8.%9"/>
      <w:lvlJc w:val="left"/>
      <w:pPr>
        <w:tabs>
          <w:tab w:val="left" w:pos="1440"/>
        </w:tabs>
        <w:ind w:left="1440" w:hanging="1440"/>
      </w:pPr>
      <w:rPr>
        <w:rFonts w:hint="default" w:cs="Times New Roman"/>
      </w:rPr>
    </w:lvl>
  </w:abstractNum>
  <w:abstractNum w:abstractNumId="5">
    <w:nsid w:val="635E6329"/>
    <w:multiLevelType w:val="multilevel"/>
    <w:tmpl w:val="635E6329"/>
    <w:lvl w:ilvl="0" w:tentative="0">
      <w:start w:val="1"/>
      <w:numFmt w:val="bullet"/>
      <w:lvlText w:val=""/>
      <w:lvlJc w:val="left"/>
      <w:pPr>
        <w:tabs>
          <w:tab w:val="left" w:pos="567"/>
        </w:tabs>
      </w:pPr>
      <w:rPr>
        <w:rFonts w:hint="default" w:ascii="Symbol" w:hAnsi="Symbol"/>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6">
    <w:nsid w:val="63D10447"/>
    <w:multiLevelType w:val="multilevel"/>
    <w:tmpl w:val="63D10447"/>
    <w:lvl w:ilvl="0" w:tentative="0">
      <w:start w:val="1"/>
      <w:numFmt w:val="bullet"/>
      <w:lvlText w:val=""/>
      <w:lvlJc w:val="left"/>
      <w:pPr>
        <w:tabs>
          <w:tab w:val="left" w:pos="567"/>
        </w:tabs>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0"/>
  </w:num>
  <w:num w:numId="2">
    <w:abstractNumId w:val="2"/>
  </w:num>
  <w:num w:numId="3">
    <w:abstractNumId w:val="5"/>
  </w:num>
  <w:num w:numId="4">
    <w:abstractNumId w:val="6"/>
  </w:num>
  <w:num w:numId="5">
    <w:abstractNumId w:val="3"/>
  </w:num>
  <w:num w:numId="6">
    <w:abstractNumId w:val="1"/>
    <w:lvlOverride w:ilvl="0">
      <w:lvl w:ilvl="0" w:tentative="1">
        <w:start w:val="0"/>
        <w:numFmt w:val="bullet"/>
        <w:lvlText w:val="-"/>
        <w:legacy w:legacy="1" w:legacySpace="0" w:legacyIndent="130"/>
        <w:lvlJc w:val="left"/>
        <w:rPr>
          <w:rFonts w:hint="default" w:ascii="Times New Roman" w:hAnsi="Times New Roman"/>
        </w:rPr>
      </w:lvl>
    </w:lvlOverride>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567"/>
  <w:doNotHyphenateCaps/>
  <w:displayHorizontalDrawingGridEvery w:val="0"/>
  <w:displayVerticalDrawingGridEvery w:val="0"/>
  <w:doNotUseMarginsForDrawingGridOrigin w:val="1"/>
  <w:drawingGridHorizontalOrigin w:val="1800"/>
  <w:drawingGridVerticalOrigin w:val="144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9CC"/>
    <w:rsid w:val="0000034D"/>
    <w:rsid w:val="000020F0"/>
    <w:rsid w:val="00004D01"/>
    <w:rsid w:val="00015829"/>
    <w:rsid w:val="0001639B"/>
    <w:rsid w:val="0001642A"/>
    <w:rsid w:val="000201E2"/>
    <w:rsid w:val="00026EA2"/>
    <w:rsid w:val="00032F74"/>
    <w:rsid w:val="00035CC4"/>
    <w:rsid w:val="00036984"/>
    <w:rsid w:val="00037C73"/>
    <w:rsid w:val="0004359B"/>
    <w:rsid w:val="000460F1"/>
    <w:rsid w:val="0005004A"/>
    <w:rsid w:val="000508AD"/>
    <w:rsid w:val="00062CEF"/>
    <w:rsid w:val="000646D1"/>
    <w:rsid w:val="00064E21"/>
    <w:rsid w:val="000651C6"/>
    <w:rsid w:val="0006616D"/>
    <w:rsid w:val="0006796A"/>
    <w:rsid w:val="00073848"/>
    <w:rsid w:val="0007563D"/>
    <w:rsid w:val="0007665B"/>
    <w:rsid w:val="00076720"/>
    <w:rsid w:val="00082DC5"/>
    <w:rsid w:val="0009077E"/>
    <w:rsid w:val="000A3520"/>
    <w:rsid w:val="000A644E"/>
    <w:rsid w:val="000A78D9"/>
    <w:rsid w:val="000B07F9"/>
    <w:rsid w:val="000B2A01"/>
    <w:rsid w:val="000B4A7C"/>
    <w:rsid w:val="000B5A77"/>
    <w:rsid w:val="000D066A"/>
    <w:rsid w:val="000D3FD3"/>
    <w:rsid w:val="000D5A6E"/>
    <w:rsid w:val="000F590A"/>
    <w:rsid w:val="000F59BB"/>
    <w:rsid w:val="000F6E94"/>
    <w:rsid w:val="000F768F"/>
    <w:rsid w:val="0011072D"/>
    <w:rsid w:val="00111688"/>
    <w:rsid w:val="0011719F"/>
    <w:rsid w:val="00120D6F"/>
    <w:rsid w:val="00121CFC"/>
    <w:rsid w:val="00124781"/>
    <w:rsid w:val="00130AD6"/>
    <w:rsid w:val="00140763"/>
    <w:rsid w:val="00145D5C"/>
    <w:rsid w:val="0014749F"/>
    <w:rsid w:val="001526CC"/>
    <w:rsid w:val="00155EE7"/>
    <w:rsid w:val="001578E2"/>
    <w:rsid w:val="00157BEE"/>
    <w:rsid w:val="00160210"/>
    <w:rsid w:val="00162B54"/>
    <w:rsid w:val="00166AB1"/>
    <w:rsid w:val="001765D4"/>
    <w:rsid w:val="001807AE"/>
    <w:rsid w:val="00182298"/>
    <w:rsid w:val="001958D6"/>
    <w:rsid w:val="001A68CE"/>
    <w:rsid w:val="001B04AB"/>
    <w:rsid w:val="001B0F3F"/>
    <w:rsid w:val="001B32E9"/>
    <w:rsid w:val="001B645C"/>
    <w:rsid w:val="001C3263"/>
    <w:rsid w:val="001E0CA7"/>
    <w:rsid w:val="001F4E4F"/>
    <w:rsid w:val="001F559D"/>
    <w:rsid w:val="002007A1"/>
    <w:rsid w:val="00210DC8"/>
    <w:rsid w:val="00211CC5"/>
    <w:rsid w:val="002212BE"/>
    <w:rsid w:val="002323BC"/>
    <w:rsid w:val="002325C9"/>
    <w:rsid w:val="00235884"/>
    <w:rsid w:val="002435F7"/>
    <w:rsid w:val="00245C58"/>
    <w:rsid w:val="002468AF"/>
    <w:rsid w:val="00250D5D"/>
    <w:rsid w:val="0025515C"/>
    <w:rsid w:val="00265189"/>
    <w:rsid w:val="002655D0"/>
    <w:rsid w:val="00267293"/>
    <w:rsid w:val="0027718E"/>
    <w:rsid w:val="0029345E"/>
    <w:rsid w:val="00296C2C"/>
    <w:rsid w:val="002A0478"/>
    <w:rsid w:val="002B288D"/>
    <w:rsid w:val="002C5E5B"/>
    <w:rsid w:val="002D029F"/>
    <w:rsid w:val="002D54A8"/>
    <w:rsid w:val="002E3DF9"/>
    <w:rsid w:val="002E3E88"/>
    <w:rsid w:val="00312ABE"/>
    <w:rsid w:val="00317D7E"/>
    <w:rsid w:val="0032002D"/>
    <w:rsid w:val="00320FAD"/>
    <w:rsid w:val="003212E3"/>
    <w:rsid w:val="00321658"/>
    <w:rsid w:val="003240F0"/>
    <w:rsid w:val="003271BF"/>
    <w:rsid w:val="003304A6"/>
    <w:rsid w:val="00330BBA"/>
    <w:rsid w:val="00337ECE"/>
    <w:rsid w:val="00340DF0"/>
    <w:rsid w:val="00354BB5"/>
    <w:rsid w:val="00366C97"/>
    <w:rsid w:val="0036788F"/>
    <w:rsid w:val="003725BE"/>
    <w:rsid w:val="00374489"/>
    <w:rsid w:val="00380340"/>
    <w:rsid w:val="00380AC2"/>
    <w:rsid w:val="0038276D"/>
    <w:rsid w:val="00386D02"/>
    <w:rsid w:val="00386F24"/>
    <w:rsid w:val="003929FF"/>
    <w:rsid w:val="00394D0E"/>
    <w:rsid w:val="00395040"/>
    <w:rsid w:val="00396036"/>
    <w:rsid w:val="00396205"/>
    <w:rsid w:val="003A5870"/>
    <w:rsid w:val="003A70ED"/>
    <w:rsid w:val="003B5C00"/>
    <w:rsid w:val="003C56CB"/>
    <w:rsid w:val="003D3089"/>
    <w:rsid w:val="003F73BF"/>
    <w:rsid w:val="00403239"/>
    <w:rsid w:val="004076EE"/>
    <w:rsid w:val="0042406A"/>
    <w:rsid w:val="00427965"/>
    <w:rsid w:val="00444B95"/>
    <w:rsid w:val="00444E61"/>
    <w:rsid w:val="00446156"/>
    <w:rsid w:val="00453182"/>
    <w:rsid w:val="00466D19"/>
    <w:rsid w:val="004719CD"/>
    <w:rsid w:val="00475ECA"/>
    <w:rsid w:val="004914F3"/>
    <w:rsid w:val="00494712"/>
    <w:rsid w:val="004B3F4F"/>
    <w:rsid w:val="004B7D4E"/>
    <w:rsid w:val="004D7E84"/>
    <w:rsid w:val="004F7C56"/>
    <w:rsid w:val="00502AFC"/>
    <w:rsid w:val="0050433D"/>
    <w:rsid w:val="00516CDD"/>
    <w:rsid w:val="005172D9"/>
    <w:rsid w:val="00525115"/>
    <w:rsid w:val="00530C0C"/>
    <w:rsid w:val="00537833"/>
    <w:rsid w:val="00542E6A"/>
    <w:rsid w:val="005452BB"/>
    <w:rsid w:val="00546768"/>
    <w:rsid w:val="00547B31"/>
    <w:rsid w:val="005523E9"/>
    <w:rsid w:val="00555BA8"/>
    <w:rsid w:val="00557FF6"/>
    <w:rsid w:val="0056064F"/>
    <w:rsid w:val="00562FA8"/>
    <w:rsid w:val="0056564F"/>
    <w:rsid w:val="005707B0"/>
    <w:rsid w:val="00570A36"/>
    <w:rsid w:val="00571F47"/>
    <w:rsid w:val="00575FEB"/>
    <w:rsid w:val="0057694A"/>
    <w:rsid w:val="0057697E"/>
    <w:rsid w:val="00581082"/>
    <w:rsid w:val="00582271"/>
    <w:rsid w:val="005831AA"/>
    <w:rsid w:val="005838C5"/>
    <w:rsid w:val="005916BD"/>
    <w:rsid w:val="00592DEC"/>
    <w:rsid w:val="00595F53"/>
    <w:rsid w:val="00597E0E"/>
    <w:rsid w:val="005A2604"/>
    <w:rsid w:val="005B6631"/>
    <w:rsid w:val="005C3BA7"/>
    <w:rsid w:val="005D3BBE"/>
    <w:rsid w:val="005E0F7A"/>
    <w:rsid w:val="005E2AC3"/>
    <w:rsid w:val="005F5E64"/>
    <w:rsid w:val="00600FCD"/>
    <w:rsid w:val="00605C04"/>
    <w:rsid w:val="00621283"/>
    <w:rsid w:val="00621B32"/>
    <w:rsid w:val="006340B4"/>
    <w:rsid w:val="00636192"/>
    <w:rsid w:val="00662FAA"/>
    <w:rsid w:val="006654DF"/>
    <w:rsid w:val="00670B5D"/>
    <w:rsid w:val="006715D9"/>
    <w:rsid w:val="00671C76"/>
    <w:rsid w:val="00674E4F"/>
    <w:rsid w:val="0068177D"/>
    <w:rsid w:val="00687913"/>
    <w:rsid w:val="00690EC7"/>
    <w:rsid w:val="006A196D"/>
    <w:rsid w:val="006A2F04"/>
    <w:rsid w:val="006A3146"/>
    <w:rsid w:val="006A51C4"/>
    <w:rsid w:val="006B0674"/>
    <w:rsid w:val="006B183E"/>
    <w:rsid w:val="006B1980"/>
    <w:rsid w:val="006B43BC"/>
    <w:rsid w:val="006C38BB"/>
    <w:rsid w:val="006C523B"/>
    <w:rsid w:val="006D0212"/>
    <w:rsid w:val="006D04F4"/>
    <w:rsid w:val="006D2D8D"/>
    <w:rsid w:val="006D7494"/>
    <w:rsid w:val="006E024C"/>
    <w:rsid w:val="006E0DA0"/>
    <w:rsid w:val="006F1D69"/>
    <w:rsid w:val="006F3600"/>
    <w:rsid w:val="006F421B"/>
    <w:rsid w:val="006F6114"/>
    <w:rsid w:val="006F6733"/>
    <w:rsid w:val="00700231"/>
    <w:rsid w:val="00700E94"/>
    <w:rsid w:val="00716054"/>
    <w:rsid w:val="0072384F"/>
    <w:rsid w:val="00733677"/>
    <w:rsid w:val="00740B7E"/>
    <w:rsid w:val="00741B10"/>
    <w:rsid w:val="00757020"/>
    <w:rsid w:val="00757C16"/>
    <w:rsid w:val="00773798"/>
    <w:rsid w:val="0077450B"/>
    <w:rsid w:val="007B0A9C"/>
    <w:rsid w:val="007B3125"/>
    <w:rsid w:val="007B60B1"/>
    <w:rsid w:val="007C6618"/>
    <w:rsid w:val="007E2C92"/>
    <w:rsid w:val="007F1F9A"/>
    <w:rsid w:val="007F7615"/>
    <w:rsid w:val="00803A86"/>
    <w:rsid w:val="00811E41"/>
    <w:rsid w:val="008167C6"/>
    <w:rsid w:val="008214C3"/>
    <w:rsid w:val="0082455A"/>
    <w:rsid w:val="00824D0A"/>
    <w:rsid w:val="008255B0"/>
    <w:rsid w:val="008345BF"/>
    <w:rsid w:val="00844376"/>
    <w:rsid w:val="00844544"/>
    <w:rsid w:val="00845736"/>
    <w:rsid w:val="008537D2"/>
    <w:rsid w:val="00857504"/>
    <w:rsid w:val="008609D2"/>
    <w:rsid w:val="00885C28"/>
    <w:rsid w:val="00886D59"/>
    <w:rsid w:val="00890FC6"/>
    <w:rsid w:val="00891282"/>
    <w:rsid w:val="008A24B0"/>
    <w:rsid w:val="008A5516"/>
    <w:rsid w:val="008B13A5"/>
    <w:rsid w:val="008D6860"/>
    <w:rsid w:val="008E00FB"/>
    <w:rsid w:val="008E109C"/>
    <w:rsid w:val="008F1158"/>
    <w:rsid w:val="008F19C9"/>
    <w:rsid w:val="00905489"/>
    <w:rsid w:val="00905EF4"/>
    <w:rsid w:val="0090642F"/>
    <w:rsid w:val="00907D26"/>
    <w:rsid w:val="00912E13"/>
    <w:rsid w:val="0091530A"/>
    <w:rsid w:val="00925AAD"/>
    <w:rsid w:val="009340B7"/>
    <w:rsid w:val="00934C00"/>
    <w:rsid w:val="009416B2"/>
    <w:rsid w:val="00941A92"/>
    <w:rsid w:val="00946D08"/>
    <w:rsid w:val="009470E4"/>
    <w:rsid w:val="0096340A"/>
    <w:rsid w:val="00964C88"/>
    <w:rsid w:val="00970CD7"/>
    <w:rsid w:val="00976910"/>
    <w:rsid w:val="009819E7"/>
    <w:rsid w:val="00995F41"/>
    <w:rsid w:val="009A0189"/>
    <w:rsid w:val="009A467E"/>
    <w:rsid w:val="009B17D0"/>
    <w:rsid w:val="009C203F"/>
    <w:rsid w:val="009D1333"/>
    <w:rsid w:val="009D446C"/>
    <w:rsid w:val="009E1E71"/>
    <w:rsid w:val="009F2949"/>
    <w:rsid w:val="00A139FB"/>
    <w:rsid w:val="00A146CC"/>
    <w:rsid w:val="00A23B3F"/>
    <w:rsid w:val="00A25A1A"/>
    <w:rsid w:val="00A32981"/>
    <w:rsid w:val="00A40EE2"/>
    <w:rsid w:val="00A41BBF"/>
    <w:rsid w:val="00A46F52"/>
    <w:rsid w:val="00A5159A"/>
    <w:rsid w:val="00A53020"/>
    <w:rsid w:val="00A57A00"/>
    <w:rsid w:val="00A65DD8"/>
    <w:rsid w:val="00A74E26"/>
    <w:rsid w:val="00A90C68"/>
    <w:rsid w:val="00AA10E9"/>
    <w:rsid w:val="00AA6848"/>
    <w:rsid w:val="00AA704D"/>
    <w:rsid w:val="00AB0085"/>
    <w:rsid w:val="00AB3D3B"/>
    <w:rsid w:val="00AB4408"/>
    <w:rsid w:val="00AB646E"/>
    <w:rsid w:val="00AB7231"/>
    <w:rsid w:val="00AB76F0"/>
    <w:rsid w:val="00AB793E"/>
    <w:rsid w:val="00AC2649"/>
    <w:rsid w:val="00AC3A2B"/>
    <w:rsid w:val="00AD4A81"/>
    <w:rsid w:val="00AE0B74"/>
    <w:rsid w:val="00AE2C6B"/>
    <w:rsid w:val="00AE6181"/>
    <w:rsid w:val="00AF09CC"/>
    <w:rsid w:val="00AF31ED"/>
    <w:rsid w:val="00B0420F"/>
    <w:rsid w:val="00B143F9"/>
    <w:rsid w:val="00B17715"/>
    <w:rsid w:val="00B23C80"/>
    <w:rsid w:val="00B24D6F"/>
    <w:rsid w:val="00B30792"/>
    <w:rsid w:val="00B31988"/>
    <w:rsid w:val="00B31F46"/>
    <w:rsid w:val="00B322F7"/>
    <w:rsid w:val="00B362F7"/>
    <w:rsid w:val="00B40FE6"/>
    <w:rsid w:val="00B43152"/>
    <w:rsid w:val="00B440C1"/>
    <w:rsid w:val="00B55062"/>
    <w:rsid w:val="00B63118"/>
    <w:rsid w:val="00B6592E"/>
    <w:rsid w:val="00B66AD8"/>
    <w:rsid w:val="00B722B1"/>
    <w:rsid w:val="00B73ABF"/>
    <w:rsid w:val="00B754E7"/>
    <w:rsid w:val="00B76A5D"/>
    <w:rsid w:val="00B82EEA"/>
    <w:rsid w:val="00B8376C"/>
    <w:rsid w:val="00B83CF9"/>
    <w:rsid w:val="00B9067C"/>
    <w:rsid w:val="00B91A05"/>
    <w:rsid w:val="00B95577"/>
    <w:rsid w:val="00BA55B8"/>
    <w:rsid w:val="00BA6670"/>
    <w:rsid w:val="00BB6824"/>
    <w:rsid w:val="00BC19BC"/>
    <w:rsid w:val="00BC1AFE"/>
    <w:rsid w:val="00BC24EF"/>
    <w:rsid w:val="00BC6DAC"/>
    <w:rsid w:val="00BD1651"/>
    <w:rsid w:val="00BE12C2"/>
    <w:rsid w:val="00BF17ED"/>
    <w:rsid w:val="00BF1D7F"/>
    <w:rsid w:val="00BF6D6E"/>
    <w:rsid w:val="00C01E56"/>
    <w:rsid w:val="00C03F23"/>
    <w:rsid w:val="00C07E77"/>
    <w:rsid w:val="00C15197"/>
    <w:rsid w:val="00C159AA"/>
    <w:rsid w:val="00C16126"/>
    <w:rsid w:val="00C25556"/>
    <w:rsid w:val="00C46794"/>
    <w:rsid w:val="00C50318"/>
    <w:rsid w:val="00C56D6C"/>
    <w:rsid w:val="00C577D2"/>
    <w:rsid w:val="00C60B50"/>
    <w:rsid w:val="00C61D36"/>
    <w:rsid w:val="00C6667B"/>
    <w:rsid w:val="00C6775D"/>
    <w:rsid w:val="00C76B8F"/>
    <w:rsid w:val="00C80351"/>
    <w:rsid w:val="00C81269"/>
    <w:rsid w:val="00C830CB"/>
    <w:rsid w:val="00C97E11"/>
    <w:rsid w:val="00CA12FC"/>
    <w:rsid w:val="00CB5067"/>
    <w:rsid w:val="00CC1A21"/>
    <w:rsid w:val="00CD1AF2"/>
    <w:rsid w:val="00CD61B5"/>
    <w:rsid w:val="00CD6270"/>
    <w:rsid w:val="00CF3AC1"/>
    <w:rsid w:val="00D06F73"/>
    <w:rsid w:val="00D13FC8"/>
    <w:rsid w:val="00D145CE"/>
    <w:rsid w:val="00D25D9B"/>
    <w:rsid w:val="00D27A56"/>
    <w:rsid w:val="00D33CFF"/>
    <w:rsid w:val="00D47BBE"/>
    <w:rsid w:val="00D53B8F"/>
    <w:rsid w:val="00D56F9A"/>
    <w:rsid w:val="00D57977"/>
    <w:rsid w:val="00D57A9D"/>
    <w:rsid w:val="00D7115A"/>
    <w:rsid w:val="00D7438E"/>
    <w:rsid w:val="00D82C74"/>
    <w:rsid w:val="00D83627"/>
    <w:rsid w:val="00D86AB0"/>
    <w:rsid w:val="00D8786F"/>
    <w:rsid w:val="00DB2227"/>
    <w:rsid w:val="00DC2341"/>
    <w:rsid w:val="00DD4A93"/>
    <w:rsid w:val="00DE0754"/>
    <w:rsid w:val="00DE6340"/>
    <w:rsid w:val="00DE7167"/>
    <w:rsid w:val="00DF470A"/>
    <w:rsid w:val="00DF5096"/>
    <w:rsid w:val="00E02A38"/>
    <w:rsid w:val="00E134E0"/>
    <w:rsid w:val="00E235C4"/>
    <w:rsid w:val="00E24E46"/>
    <w:rsid w:val="00E27B2C"/>
    <w:rsid w:val="00E31D2B"/>
    <w:rsid w:val="00E33165"/>
    <w:rsid w:val="00E33C28"/>
    <w:rsid w:val="00E42751"/>
    <w:rsid w:val="00E5055B"/>
    <w:rsid w:val="00E57AC0"/>
    <w:rsid w:val="00E60AB6"/>
    <w:rsid w:val="00E71DA1"/>
    <w:rsid w:val="00E8174E"/>
    <w:rsid w:val="00E96762"/>
    <w:rsid w:val="00EA1A87"/>
    <w:rsid w:val="00EB03B6"/>
    <w:rsid w:val="00EB072B"/>
    <w:rsid w:val="00EB0B73"/>
    <w:rsid w:val="00EE1665"/>
    <w:rsid w:val="00EF1853"/>
    <w:rsid w:val="00EF339A"/>
    <w:rsid w:val="00F04DD5"/>
    <w:rsid w:val="00F139CB"/>
    <w:rsid w:val="00F15A34"/>
    <w:rsid w:val="00F26A54"/>
    <w:rsid w:val="00F32D61"/>
    <w:rsid w:val="00F34FF9"/>
    <w:rsid w:val="00F37282"/>
    <w:rsid w:val="00F43538"/>
    <w:rsid w:val="00F625DA"/>
    <w:rsid w:val="00F676C5"/>
    <w:rsid w:val="00F72002"/>
    <w:rsid w:val="00F726A3"/>
    <w:rsid w:val="00F84552"/>
    <w:rsid w:val="00F87857"/>
    <w:rsid w:val="00F90C9D"/>
    <w:rsid w:val="00F9129D"/>
    <w:rsid w:val="00F91307"/>
    <w:rsid w:val="00F97C9D"/>
    <w:rsid w:val="00FA07BD"/>
    <w:rsid w:val="00FA3167"/>
    <w:rsid w:val="00FB0A4D"/>
    <w:rsid w:val="00FB50C5"/>
    <w:rsid w:val="00FB5723"/>
    <w:rsid w:val="00FB7430"/>
    <w:rsid w:val="00FB79BB"/>
    <w:rsid w:val="00FC101F"/>
    <w:rsid w:val="00FC357F"/>
    <w:rsid w:val="00FF4114"/>
    <w:rsid w:val="59376C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iPriority="0" w:name="Block Text"/>
    <w:lsdException w:unhideWhenUsed="0" w:uiPriority="0" w:semiHidden="0" w:name="Hyperlink"/>
    <w:lsdException w:uiPriority="0" w:name="FollowedHyperlink"/>
    <w:lsdException w:qFormat="1" w:unhideWhenUsed="0" w:uiPriority="0" w:semiHidden="0" w:name="Strong" w:locked="1"/>
    <w:lsdException w:qFormat="1" w:unhideWhenUsed="0" w:uiPriority="0" w:semiHidden="0" w:name="Emphasis" w:locked="1"/>
    <w:lsdException w:uiPriority="0" w:name="Document Map"/>
    <w:lsdException w:unhideWhenUsed="0" w:uiPriority="0" w:semiHidden="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nhideWhenUsed="0" w:uiPriority="0" w:semiHidden="0" w:name="Table Subtle 2"/>
    <w:lsdException w:uiPriority="0" w:name="Table Web 1"/>
    <w:lsdException w:uiPriority="0" w:name="Table Web 2"/>
    <w:lsdException w:unhideWhenUsed="0" w:uiPriority="0" w:semiHidden="0" w:name="Table Web 3"/>
    <w:lsdException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MAC C Times" w:hAnsi="MAC C Times" w:eastAsia="Times New Roman" w:cs="Times New Roman"/>
      <w:sz w:val="22"/>
      <w:szCs w:val="22"/>
      <w:lang w:val="en-US" w:eastAsia="en-US" w:bidi="ar-SA"/>
    </w:rPr>
  </w:style>
  <w:style w:type="paragraph" w:styleId="2">
    <w:name w:val="heading 1"/>
    <w:basedOn w:val="1"/>
    <w:next w:val="1"/>
    <w:qFormat/>
    <w:uiPriority w:val="0"/>
    <w:pPr>
      <w:keepNext/>
      <w:outlineLvl w:val="0"/>
    </w:pPr>
    <w:rPr>
      <w:b/>
      <w:bCs/>
      <w:color w:val="000000"/>
      <w:sz w:val="24"/>
      <w:szCs w:val="24"/>
    </w:rPr>
  </w:style>
  <w:style w:type="paragraph" w:styleId="3">
    <w:name w:val="heading 2"/>
    <w:basedOn w:val="1"/>
    <w:next w:val="1"/>
    <w:qFormat/>
    <w:uiPriority w:val="0"/>
    <w:pPr>
      <w:keepNext/>
      <w:tabs>
        <w:tab w:val="left" w:pos="360"/>
      </w:tabs>
      <w:ind w:left="720" w:right="-659" w:hanging="720"/>
      <w:outlineLvl w:val="1"/>
    </w:pPr>
    <w:rPr>
      <w:rFonts w:ascii="MAC C Swiss" w:hAnsi="MAC C Swiss"/>
      <w:b/>
      <w:bCs/>
      <w:color w:val="000000"/>
    </w:rPr>
  </w:style>
  <w:style w:type="paragraph" w:styleId="4">
    <w:name w:val="heading 3"/>
    <w:basedOn w:val="1"/>
    <w:next w:val="1"/>
    <w:qFormat/>
    <w:uiPriority w:val="0"/>
    <w:pPr>
      <w:keepNext/>
      <w:jc w:val="both"/>
      <w:outlineLvl w:val="2"/>
    </w:pPr>
    <w:rPr>
      <w:i/>
    </w:rPr>
  </w:style>
  <w:style w:type="paragraph" w:styleId="5">
    <w:name w:val="heading 4"/>
    <w:basedOn w:val="1"/>
    <w:next w:val="1"/>
    <w:qFormat/>
    <w:uiPriority w:val="0"/>
    <w:pPr>
      <w:keepNext/>
      <w:jc w:val="both"/>
      <w:outlineLvl w:val="3"/>
    </w:pPr>
    <w:rPr>
      <w:i/>
      <w:color w:val="000080"/>
    </w:rPr>
  </w:style>
  <w:style w:type="paragraph" w:styleId="6">
    <w:name w:val="heading 5"/>
    <w:basedOn w:val="1"/>
    <w:next w:val="1"/>
    <w:qFormat/>
    <w:uiPriority w:val="0"/>
    <w:pPr>
      <w:keepNext/>
      <w:jc w:val="both"/>
      <w:outlineLvl w:val="4"/>
    </w:pPr>
    <w:rPr>
      <w:i/>
      <w:color w:val="800080"/>
    </w:rPr>
  </w:style>
  <w:style w:type="paragraph" w:styleId="7">
    <w:name w:val="heading 6"/>
    <w:basedOn w:val="1"/>
    <w:next w:val="1"/>
    <w:qFormat/>
    <w:uiPriority w:val="0"/>
    <w:pPr>
      <w:keepNext/>
      <w:outlineLvl w:val="5"/>
    </w:pPr>
    <w:rPr>
      <w:i/>
    </w:rPr>
  </w:style>
  <w:style w:type="paragraph" w:styleId="8">
    <w:name w:val="heading 7"/>
    <w:basedOn w:val="1"/>
    <w:next w:val="1"/>
    <w:qFormat/>
    <w:uiPriority w:val="0"/>
    <w:pPr>
      <w:keepNext/>
      <w:jc w:val="both"/>
      <w:outlineLvl w:val="6"/>
    </w:pPr>
    <w:rPr>
      <w:i/>
      <w:color w:val="000080"/>
      <w:u w:val="single"/>
    </w:rPr>
  </w:style>
  <w:style w:type="paragraph" w:styleId="9">
    <w:name w:val="heading 8"/>
    <w:basedOn w:val="1"/>
    <w:next w:val="1"/>
    <w:qFormat/>
    <w:uiPriority w:val="0"/>
    <w:pPr>
      <w:keepNext/>
      <w:jc w:val="both"/>
      <w:outlineLvl w:val="7"/>
    </w:pPr>
    <w:rPr>
      <w:i/>
      <w:color w:val="0000FF"/>
    </w:rPr>
  </w:style>
  <w:style w:type="paragraph" w:styleId="10">
    <w:name w:val="heading 9"/>
    <w:basedOn w:val="1"/>
    <w:next w:val="1"/>
    <w:qFormat/>
    <w:uiPriority w:val="0"/>
    <w:pPr>
      <w:keepNext/>
      <w:jc w:val="both"/>
      <w:outlineLvl w:val="8"/>
    </w:pPr>
    <w:rPr>
      <w:rFonts w:ascii="Times New Roman" w:hAnsi="Times New Roman"/>
      <w:b/>
      <w:color w:val="0000FF"/>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13">
    <w:name w:val="Balloon Text"/>
    <w:basedOn w:val="1"/>
    <w:semiHidden/>
    <w:uiPriority w:val="0"/>
    <w:rPr>
      <w:rFonts w:ascii="Tahoma" w:hAnsi="Tahoma" w:cs="Tahoma"/>
      <w:sz w:val="16"/>
      <w:szCs w:val="16"/>
    </w:rPr>
  </w:style>
  <w:style w:type="paragraph" w:styleId="14">
    <w:name w:val="Body Text"/>
    <w:basedOn w:val="1"/>
    <w:uiPriority w:val="0"/>
    <w:pPr>
      <w:autoSpaceDE w:val="0"/>
      <w:autoSpaceDN w:val="0"/>
    </w:pPr>
  </w:style>
  <w:style w:type="paragraph" w:styleId="15">
    <w:name w:val="Body Text 2"/>
    <w:basedOn w:val="1"/>
    <w:uiPriority w:val="0"/>
    <w:pPr>
      <w:jc w:val="both"/>
    </w:pPr>
    <w:rPr>
      <w:i/>
      <w:color w:val="000080"/>
    </w:rPr>
  </w:style>
  <w:style w:type="paragraph" w:styleId="16">
    <w:name w:val="Body Text 3"/>
    <w:basedOn w:val="1"/>
    <w:uiPriority w:val="0"/>
    <w:pPr>
      <w:jc w:val="both"/>
    </w:pPr>
    <w:rPr>
      <w:color w:val="000080"/>
    </w:rPr>
  </w:style>
  <w:style w:type="paragraph" w:styleId="17">
    <w:name w:val="Body Text Indent"/>
    <w:basedOn w:val="1"/>
    <w:qFormat/>
    <w:uiPriority w:val="0"/>
    <w:pPr>
      <w:ind w:left="720"/>
      <w:jc w:val="both"/>
    </w:pPr>
    <w:rPr>
      <w:color w:val="000000"/>
      <w:sz w:val="24"/>
      <w:szCs w:val="24"/>
    </w:rPr>
  </w:style>
  <w:style w:type="paragraph" w:styleId="18">
    <w:name w:val="Body Text Indent 2"/>
    <w:basedOn w:val="1"/>
    <w:qFormat/>
    <w:uiPriority w:val="0"/>
    <w:pPr>
      <w:ind w:left="2880" w:hanging="2160"/>
      <w:jc w:val="both"/>
    </w:pPr>
    <w:rPr>
      <w:color w:val="000000"/>
      <w:sz w:val="24"/>
      <w:szCs w:val="24"/>
    </w:rPr>
  </w:style>
  <w:style w:type="paragraph" w:styleId="19">
    <w:name w:val="Body Text Indent 3"/>
    <w:basedOn w:val="1"/>
    <w:uiPriority w:val="0"/>
    <w:pPr>
      <w:ind w:left="720"/>
    </w:pPr>
    <w:rPr>
      <w:rFonts w:ascii="MAC C Swiss" w:hAnsi="MAC C Swiss"/>
    </w:rPr>
  </w:style>
  <w:style w:type="character" w:styleId="20">
    <w:name w:val="annotation reference"/>
    <w:qFormat/>
    <w:uiPriority w:val="0"/>
    <w:rPr>
      <w:sz w:val="16"/>
      <w:szCs w:val="16"/>
    </w:rPr>
  </w:style>
  <w:style w:type="paragraph" w:styleId="21">
    <w:name w:val="annotation text"/>
    <w:basedOn w:val="1"/>
    <w:link w:val="43"/>
    <w:qFormat/>
    <w:uiPriority w:val="0"/>
    <w:rPr>
      <w:sz w:val="20"/>
      <w:szCs w:val="20"/>
    </w:rPr>
  </w:style>
  <w:style w:type="paragraph" w:styleId="22">
    <w:name w:val="annotation subject"/>
    <w:basedOn w:val="21"/>
    <w:next w:val="21"/>
    <w:link w:val="44"/>
    <w:qFormat/>
    <w:uiPriority w:val="0"/>
    <w:rPr>
      <w:b/>
      <w:bCs/>
    </w:rPr>
  </w:style>
  <w:style w:type="paragraph" w:styleId="23">
    <w:name w:val="footer"/>
    <w:basedOn w:val="1"/>
    <w:link w:val="32"/>
    <w:qFormat/>
    <w:uiPriority w:val="99"/>
    <w:pPr>
      <w:tabs>
        <w:tab w:val="center" w:pos="4320"/>
        <w:tab w:val="right" w:pos="8640"/>
      </w:tabs>
    </w:pPr>
  </w:style>
  <w:style w:type="paragraph" w:styleId="24">
    <w:name w:val="header"/>
    <w:basedOn w:val="1"/>
    <w:link w:val="41"/>
    <w:qFormat/>
    <w:uiPriority w:val="0"/>
    <w:pPr>
      <w:tabs>
        <w:tab w:val="center" w:pos="4320"/>
        <w:tab w:val="right" w:pos="8640"/>
      </w:tabs>
    </w:pPr>
  </w:style>
  <w:style w:type="character" w:styleId="25">
    <w:name w:val="Hyperlink"/>
    <w:uiPriority w:val="0"/>
    <w:rPr>
      <w:rFonts w:cs="Times New Roman"/>
      <w:color w:val="0000FF"/>
      <w:u w:val="single"/>
    </w:rPr>
  </w:style>
  <w:style w:type="paragraph" w:styleId="26">
    <w:name w:val="List Bullet"/>
    <w:basedOn w:val="1"/>
    <w:autoRedefine/>
    <w:uiPriority w:val="0"/>
    <w:pPr>
      <w:numPr>
        <w:ilvl w:val="0"/>
        <w:numId w:val="1"/>
      </w:numPr>
    </w:pPr>
    <w:rPr>
      <w:rFonts w:ascii="Times New Roman" w:hAnsi="Times New Roman"/>
      <w:lang w:val="mk-MK"/>
    </w:rPr>
  </w:style>
  <w:style w:type="paragraph" w:styleId="27">
    <w:name w:val="Normal (Web)"/>
    <w:basedOn w:val="1"/>
    <w:uiPriority w:val="0"/>
    <w:pPr>
      <w:spacing w:before="100" w:beforeAutospacing="1" w:after="100" w:afterAutospacing="1"/>
    </w:pPr>
    <w:rPr>
      <w:rFonts w:ascii="Arial Unicode MS" w:hAnsi="Arial Unicode MS" w:cs="Arial Unicode MS"/>
      <w:sz w:val="24"/>
      <w:szCs w:val="24"/>
      <w:lang w:val="en-GB"/>
    </w:rPr>
  </w:style>
  <w:style w:type="character" w:styleId="28">
    <w:name w:val="page number"/>
    <w:qFormat/>
    <w:uiPriority w:val="0"/>
    <w:rPr>
      <w:rFonts w:cs="Times New Roman"/>
    </w:rPr>
  </w:style>
  <w:style w:type="paragraph" w:styleId="29">
    <w:name w:val="Plain Text"/>
    <w:basedOn w:val="1"/>
    <w:uiPriority w:val="0"/>
    <w:rPr>
      <w:rFonts w:ascii="Courier New" w:hAnsi="Courier New" w:cs="Courier New"/>
      <w:sz w:val="20"/>
      <w:szCs w:val="20"/>
      <w:lang w:val="en-GB" w:eastAsia="en-GB"/>
    </w:rPr>
  </w:style>
  <w:style w:type="table" w:styleId="30">
    <w:name w:val="Table Grid"/>
    <w:basedOn w:val="12"/>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31">
    <w:name w:val="Title"/>
    <w:basedOn w:val="1"/>
    <w:link w:val="37"/>
    <w:qFormat/>
    <w:uiPriority w:val="0"/>
    <w:pPr>
      <w:jc w:val="center"/>
    </w:pPr>
    <w:rPr>
      <w:b/>
      <w:bCs/>
      <w:sz w:val="28"/>
      <w:szCs w:val="28"/>
    </w:rPr>
  </w:style>
  <w:style w:type="character" w:customStyle="1" w:styleId="32">
    <w:name w:val="Footer Char"/>
    <w:link w:val="23"/>
    <w:uiPriority w:val="99"/>
    <w:rPr>
      <w:rFonts w:ascii="MAC C Times" w:hAnsi="MAC C Times"/>
      <w:sz w:val="22"/>
      <w:szCs w:val="22"/>
    </w:rPr>
  </w:style>
  <w:style w:type="character" w:customStyle="1" w:styleId="33">
    <w:name w:val="hps"/>
    <w:uiPriority w:val="0"/>
  </w:style>
  <w:style w:type="paragraph" w:customStyle="1" w:styleId="34">
    <w:name w:val="Style14"/>
    <w:basedOn w:val="1"/>
    <w:qFormat/>
    <w:uiPriority w:val="99"/>
    <w:pPr>
      <w:widowControl w:val="0"/>
      <w:autoSpaceDE w:val="0"/>
      <w:autoSpaceDN w:val="0"/>
      <w:adjustRightInd w:val="0"/>
      <w:spacing w:line="276" w:lineRule="exact"/>
    </w:pPr>
    <w:rPr>
      <w:rFonts w:ascii="Times New Roman" w:hAnsi="Times New Roman"/>
      <w:sz w:val="24"/>
      <w:szCs w:val="24"/>
      <w:lang w:val="hr-HR" w:eastAsia="hr-HR"/>
    </w:rPr>
  </w:style>
  <w:style w:type="character" w:customStyle="1" w:styleId="35">
    <w:name w:val="Font Style26"/>
    <w:qFormat/>
    <w:uiPriority w:val="99"/>
    <w:rPr>
      <w:rFonts w:ascii="Times New Roman" w:hAnsi="Times New Roman"/>
      <w:color w:val="000000"/>
      <w:sz w:val="24"/>
    </w:rPr>
  </w:style>
  <w:style w:type="paragraph" w:customStyle="1" w:styleId="36">
    <w:name w:val="Default"/>
    <w:qFormat/>
    <w:uiPriority w:val="0"/>
    <w:pPr>
      <w:autoSpaceDE w:val="0"/>
      <w:autoSpaceDN w:val="0"/>
      <w:adjustRightInd w:val="0"/>
    </w:pPr>
    <w:rPr>
      <w:rFonts w:ascii="Verdana" w:hAnsi="Verdana" w:eastAsia="Times New Roman" w:cs="Verdana"/>
      <w:color w:val="000000"/>
      <w:sz w:val="24"/>
      <w:szCs w:val="24"/>
      <w:lang w:val="en-US" w:eastAsia="hr-HR" w:bidi="ar-SA"/>
    </w:rPr>
  </w:style>
  <w:style w:type="character" w:customStyle="1" w:styleId="37">
    <w:name w:val="Title Char"/>
    <w:link w:val="31"/>
    <w:qFormat/>
    <w:locked/>
    <w:uiPriority w:val="0"/>
    <w:rPr>
      <w:rFonts w:ascii="MAC C Times" w:hAnsi="MAC C Times"/>
      <w:b/>
      <w:bCs/>
      <w:sz w:val="28"/>
      <w:szCs w:val="28"/>
    </w:rPr>
  </w:style>
  <w:style w:type="paragraph" w:customStyle="1" w:styleId="38">
    <w:name w:val="Style18"/>
    <w:basedOn w:val="1"/>
    <w:qFormat/>
    <w:uiPriority w:val="99"/>
    <w:pPr>
      <w:widowControl w:val="0"/>
      <w:autoSpaceDE w:val="0"/>
      <w:autoSpaceDN w:val="0"/>
      <w:adjustRightInd w:val="0"/>
      <w:spacing w:line="274" w:lineRule="exact"/>
    </w:pPr>
    <w:rPr>
      <w:rFonts w:ascii="Times New Roman" w:hAnsi="Times New Roman"/>
      <w:sz w:val="24"/>
      <w:szCs w:val="24"/>
      <w:lang w:val="hr-HR" w:eastAsia="hr-HR"/>
    </w:rPr>
  </w:style>
  <w:style w:type="character" w:customStyle="1" w:styleId="39">
    <w:name w:val="atn"/>
    <w:qFormat/>
    <w:uiPriority w:val="0"/>
  </w:style>
  <w:style w:type="paragraph" w:styleId="40">
    <w:name w:val="List Paragraph"/>
    <w:basedOn w:val="1"/>
    <w:qFormat/>
    <w:uiPriority w:val="0"/>
    <w:pPr>
      <w:spacing w:after="200" w:line="276" w:lineRule="auto"/>
      <w:ind w:left="720"/>
      <w:contextualSpacing/>
    </w:pPr>
    <w:rPr>
      <w:rFonts w:ascii="Calibri" w:hAnsi="Calibri" w:eastAsia="Calibri"/>
    </w:rPr>
  </w:style>
  <w:style w:type="character" w:customStyle="1" w:styleId="41">
    <w:name w:val="Header Char"/>
    <w:link w:val="24"/>
    <w:qFormat/>
    <w:uiPriority w:val="0"/>
    <w:rPr>
      <w:rFonts w:ascii="MAC C Times" w:hAnsi="MAC C Times"/>
      <w:sz w:val="22"/>
      <w:szCs w:val="22"/>
    </w:rPr>
  </w:style>
  <w:style w:type="paragraph" w:customStyle="1" w:styleId="42">
    <w:name w:val="Style4"/>
    <w:basedOn w:val="1"/>
    <w:qFormat/>
    <w:uiPriority w:val="99"/>
    <w:pPr>
      <w:widowControl w:val="0"/>
      <w:autoSpaceDE w:val="0"/>
      <w:autoSpaceDN w:val="0"/>
      <w:adjustRightInd w:val="0"/>
      <w:spacing w:line="283" w:lineRule="exact"/>
      <w:jc w:val="both"/>
    </w:pPr>
    <w:rPr>
      <w:rFonts w:ascii="Times New Roman" w:hAnsi="Times New Roman"/>
      <w:sz w:val="24"/>
      <w:szCs w:val="24"/>
      <w:lang w:val="hr-HR" w:eastAsia="hr-HR"/>
    </w:rPr>
  </w:style>
  <w:style w:type="character" w:customStyle="1" w:styleId="43">
    <w:name w:val="Comment Text Char"/>
    <w:link w:val="21"/>
    <w:qFormat/>
    <w:uiPriority w:val="0"/>
    <w:rPr>
      <w:rFonts w:ascii="MAC C Times" w:hAnsi="MAC C Times"/>
    </w:rPr>
  </w:style>
  <w:style w:type="character" w:customStyle="1" w:styleId="44">
    <w:name w:val="Comment Subject Char"/>
    <w:link w:val="22"/>
    <w:qFormat/>
    <w:uiPriority w:val="0"/>
    <w:rPr>
      <w:rFonts w:ascii="MAC C Times" w:hAnsi="MAC C Times"/>
      <w:b/>
      <w:bCs/>
    </w:rPr>
  </w:style>
  <w:style w:type="character" w:customStyle="1" w:styleId="45">
    <w:name w:val="long_text"/>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139109-21CF-49CC-AB3F-B8ADEA51AE3B}">
  <ds:schemaRefs/>
</ds:datastoreItem>
</file>

<file path=docProps/app.xml><?xml version="1.0" encoding="utf-8"?>
<Properties xmlns="http://schemas.openxmlformats.org/officeDocument/2006/extended-properties" xmlns:vt="http://schemas.openxmlformats.org/officeDocument/2006/docPropsVTypes">
  <Template>Normal</Template>
  <Company>Alkaloid</Company>
  <Pages>17</Pages>
  <Words>7776</Words>
  <Characters>44329</Characters>
  <Lines>369</Lines>
  <Paragraphs>104</Paragraphs>
  <TotalTime>29</TotalTime>
  <ScaleCrop>false</ScaleCrop>
  <LinksUpToDate>false</LinksUpToDate>
  <CharactersWithSpaces>52001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category>registracija vo MAKEDONIJA</cp:category>
  <dcterms:created xsi:type="dcterms:W3CDTF">2021-09-28T06:49:00Z</dcterms:created>
  <dc:creator>d-r. Vera Cvetanovska</dc:creator>
  <cp:keywords>spc mk</cp:keywords>
  <cp:lastModifiedBy>Haris</cp:lastModifiedBy>
  <cp:lastPrinted>2016-11-09T15:25:00Z</cp:lastPrinted>
  <dcterms:modified xsi:type="dcterms:W3CDTF">2025-02-21T15:23:25Z</dcterms:modified>
  <dc:subject>summary of product characteristics</dc:subject>
  <dc:title>RISPERIDON</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A0D298FB9E2040B0B2BECC6B95545025_13</vt:lpwstr>
  </property>
</Properties>
</file>