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F0F5E">
      <w:pPr>
        <w:pStyle w:val="27"/>
        <w:rPr>
          <w:rFonts w:ascii="Microsoft Sans Serif" w:hAnsi="Microsoft Sans Serif" w:cs="Microsoft Sans Serif"/>
          <w:sz w:val="20"/>
          <w:lang w:val="de-AT"/>
        </w:rPr>
      </w:pPr>
      <w:bookmarkStart w:id="0" w:name="_GoBack"/>
      <w:bookmarkEnd w:id="0"/>
      <w:r>
        <w:rPr>
          <w:rFonts w:ascii="Microsoft Sans Serif" w:hAnsi="Microsoft Sans Serif" w:cs="Microsoft Sans Serif"/>
          <w:sz w:val="20"/>
          <w:lang w:val="bs-Latn-BA"/>
        </w:rPr>
        <w:t xml:space="preserve">SAŽETAK </w:t>
      </w:r>
      <w:r>
        <w:rPr>
          <w:rFonts w:ascii="Microsoft Sans Serif" w:hAnsi="Microsoft Sans Serif" w:cs="Microsoft Sans Serif"/>
          <w:sz w:val="20"/>
          <w:lang w:val="de-AT"/>
        </w:rPr>
        <w:t>KARAKTERISTIKA LIJEKA</w:t>
      </w:r>
    </w:p>
    <w:p w14:paraId="7DA928F3">
      <w:pPr>
        <w:jc w:val="center"/>
        <w:rPr>
          <w:rFonts w:ascii="Microsoft Sans Serif" w:hAnsi="Microsoft Sans Serif" w:cs="Microsoft Sans Serif"/>
          <w:lang w:val="de-AT"/>
        </w:rPr>
      </w:pPr>
    </w:p>
    <w:p w14:paraId="7AC7CA2D">
      <w:pPr>
        <w:rPr>
          <w:rFonts w:ascii="Microsoft Sans Serif" w:hAnsi="Microsoft Sans Serif" w:cs="Microsoft Sans Serif"/>
          <w:lang w:val="de-AT"/>
        </w:rPr>
      </w:pPr>
    </w:p>
    <w:p w14:paraId="5A82E9B5">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de-AT"/>
        </w:rPr>
        <w:t>1.</w:t>
      </w:r>
      <w:r>
        <w:rPr>
          <w:rFonts w:ascii="Microsoft Sans Serif" w:hAnsi="Microsoft Sans Serif" w:cs="Microsoft Sans Serif"/>
          <w:b/>
          <w:lang w:val="de-AT"/>
        </w:rPr>
        <w:tab/>
      </w:r>
      <w:r>
        <w:rPr>
          <w:rFonts w:ascii="Microsoft Sans Serif" w:hAnsi="Microsoft Sans Serif" w:cs="Microsoft Sans Serif"/>
          <w:b/>
          <w:lang w:val="de-AT"/>
        </w:rPr>
        <w:t xml:space="preserve">NAZIV </w:t>
      </w:r>
      <w:r>
        <w:rPr>
          <w:rFonts w:ascii="Microsoft Sans Serif" w:hAnsi="Microsoft Sans Serif" w:cs="Microsoft Sans Serif"/>
          <w:b/>
          <w:lang w:val="bs-Latn-BA"/>
        </w:rPr>
        <w:t xml:space="preserve">GOTOVOG LIJEKA </w:t>
      </w:r>
    </w:p>
    <w:p w14:paraId="3CDA5F1C">
      <w:pPr>
        <w:tabs>
          <w:tab w:val="left" w:pos="360"/>
        </w:tabs>
        <w:jc w:val="both"/>
        <w:rPr>
          <w:rFonts w:ascii="Microsoft Sans Serif" w:hAnsi="Microsoft Sans Serif" w:cs="Microsoft Sans Serif"/>
          <w:b/>
          <w:lang w:val="de-AT"/>
        </w:rPr>
      </w:pPr>
    </w:p>
    <w:p w14:paraId="1520EBF2">
      <w:pPr>
        <w:jc w:val="both"/>
        <w:rPr>
          <w:rFonts w:ascii="Microsoft Sans Serif" w:hAnsi="Microsoft Sans Serif" w:cs="Microsoft Sans Serif"/>
        </w:rPr>
      </w:pPr>
      <w:r>
        <w:rPr>
          <w:rFonts w:ascii="Arial" w:hAnsi="Arial" w:cs="Arial"/>
          <w:color w:val="FF0000"/>
        </w:rPr>
        <w:t>▲</w:t>
      </w:r>
      <w:r>
        <w:rPr>
          <w:rFonts w:ascii="Microsoft Sans Serif" w:hAnsi="Microsoft Sans Serif" w:cs="Microsoft Sans Serif"/>
        </w:rPr>
        <w:t xml:space="preserve"> LAMAL </w:t>
      </w:r>
    </w:p>
    <w:p w14:paraId="727E278B">
      <w:pPr>
        <w:jc w:val="both"/>
        <w:rPr>
          <w:rFonts w:ascii="Microsoft Sans Serif" w:hAnsi="Microsoft Sans Serif" w:cs="Microsoft Sans Serif"/>
        </w:rPr>
      </w:pPr>
      <w:r>
        <w:rPr>
          <w:rFonts w:ascii="Microsoft Sans Serif" w:hAnsi="Microsoft Sans Serif" w:cs="Microsoft Sans Serif"/>
        </w:rPr>
        <w:t xml:space="preserve">25 mg </w:t>
      </w:r>
    </w:p>
    <w:p w14:paraId="13EFD6C3">
      <w:pPr>
        <w:jc w:val="both"/>
        <w:rPr>
          <w:rFonts w:ascii="Microsoft Sans Serif" w:hAnsi="Microsoft Sans Serif" w:cs="Microsoft Sans Serif"/>
        </w:rPr>
      </w:pPr>
      <w:r>
        <w:rPr>
          <w:rFonts w:ascii="Microsoft Sans Serif" w:hAnsi="Microsoft Sans Serif" w:cs="Microsoft Sans Serif"/>
        </w:rPr>
        <w:t xml:space="preserve">50 mg </w:t>
      </w:r>
    </w:p>
    <w:p w14:paraId="7297C018">
      <w:pPr>
        <w:jc w:val="both"/>
        <w:rPr>
          <w:rFonts w:ascii="Microsoft Sans Serif" w:hAnsi="Microsoft Sans Serif" w:cs="Microsoft Sans Serif"/>
        </w:rPr>
      </w:pPr>
      <w:r>
        <w:rPr>
          <w:rFonts w:ascii="Microsoft Sans Serif" w:hAnsi="Microsoft Sans Serif" w:cs="Microsoft Sans Serif"/>
        </w:rPr>
        <w:t xml:space="preserve">100 mg </w:t>
      </w:r>
    </w:p>
    <w:p w14:paraId="4B930E34">
      <w:pPr>
        <w:jc w:val="both"/>
        <w:rPr>
          <w:rFonts w:ascii="Microsoft Sans Serif" w:hAnsi="Microsoft Sans Serif" w:cs="Microsoft Sans Serif"/>
        </w:rPr>
      </w:pPr>
      <w:r>
        <w:rPr>
          <w:rFonts w:ascii="Microsoft Sans Serif" w:hAnsi="Microsoft Sans Serif" w:cs="Microsoft Sans Serif"/>
        </w:rPr>
        <w:t xml:space="preserve">200 mg </w:t>
      </w:r>
    </w:p>
    <w:p w14:paraId="02A5F308">
      <w:pPr>
        <w:jc w:val="both"/>
        <w:rPr>
          <w:rFonts w:ascii="Microsoft Sans Serif" w:hAnsi="Microsoft Sans Serif" w:cs="Microsoft Sans Serif"/>
        </w:rPr>
      </w:pPr>
      <w:r>
        <w:rPr>
          <w:rFonts w:ascii="Microsoft Sans Serif" w:hAnsi="Microsoft Sans Serif" w:cs="Microsoft Sans Serif"/>
        </w:rPr>
        <w:t>tableta</w:t>
      </w:r>
    </w:p>
    <w:p w14:paraId="20A1DBB5">
      <w:pPr>
        <w:jc w:val="both"/>
        <w:rPr>
          <w:rFonts w:ascii="Microsoft Sans Serif" w:hAnsi="Microsoft Sans Serif" w:cs="Microsoft Sans Serif"/>
          <w:i/>
        </w:rPr>
      </w:pPr>
      <w:r>
        <w:rPr>
          <w:rFonts w:ascii="Microsoft Sans Serif" w:hAnsi="Microsoft Sans Serif" w:cs="Microsoft Sans Serif"/>
          <w:i/>
        </w:rPr>
        <w:t>lamotrigine</w:t>
      </w:r>
    </w:p>
    <w:p w14:paraId="34908C82">
      <w:pPr>
        <w:jc w:val="both"/>
        <w:rPr>
          <w:rFonts w:ascii="Microsoft Sans Serif" w:hAnsi="Microsoft Sans Serif" w:cs="Microsoft Sans Serif"/>
        </w:rPr>
      </w:pPr>
    </w:p>
    <w:p w14:paraId="4DA33A92">
      <w:pPr>
        <w:jc w:val="both"/>
        <w:rPr>
          <w:rFonts w:ascii="Microsoft Sans Serif" w:hAnsi="Microsoft Sans Serif" w:cs="Microsoft Sans Serif"/>
          <w:lang w:val="sr-Cyrl-RS"/>
        </w:rPr>
      </w:pPr>
    </w:p>
    <w:p w14:paraId="20ABCACC">
      <w:pPr>
        <w:tabs>
          <w:tab w:val="left" w:pos="360"/>
        </w:tabs>
        <w:jc w:val="both"/>
        <w:rPr>
          <w:rFonts w:ascii="Microsoft Sans Serif" w:hAnsi="Microsoft Sans Serif" w:cs="Microsoft Sans Serif"/>
          <w:b/>
        </w:rPr>
      </w:pPr>
      <w:r>
        <w:rPr>
          <w:rFonts w:ascii="Microsoft Sans Serif" w:hAnsi="Microsoft Sans Serif" w:cs="Microsoft Sans Serif"/>
          <w:b/>
        </w:rPr>
        <w:t>2.</w:t>
      </w:r>
      <w:r>
        <w:rPr>
          <w:rFonts w:ascii="Microsoft Sans Serif" w:hAnsi="Microsoft Sans Serif" w:cs="Microsoft Sans Serif"/>
          <w:b/>
        </w:rPr>
        <w:tab/>
      </w:r>
      <w:r>
        <w:rPr>
          <w:rFonts w:ascii="Microsoft Sans Serif" w:hAnsi="Microsoft Sans Serif" w:cs="Microsoft Sans Serif"/>
          <w:b/>
        </w:rPr>
        <w:t xml:space="preserve">KVALITATIVNI I KVANTITATIVNI SASTAV </w:t>
      </w:r>
    </w:p>
    <w:p w14:paraId="3A4B51CF">
      <w:pPr>
        <w:rPr>
          <w:rFonts w:ascii="Microsoft Sans Serif" w:hAnsi="Microsoft Sans Serif" w:cs="Microsoft Sans Serif"/>
          <w:b/>
        </w:rPr>
      </w:pPr>
    </w:p>
    <w:p w14:paraId="7F89CBE5">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4BED7F04">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364FD7FB">
      <w:pPr>
        <w:jc w:val="both"/>
        <w:rPr>
          <w:rFonts w:ascii="Microsoft Sans Serif" w:hAnsi="Microsoft Sans Serif" w:cs="Microsoft Sans Serif"/>
          <w:u w:val="single"/>
          <w:lang w:val="bs-Latn-BA"/>
        </w:rPr>
      </w:pPr>
    </w:p>
    <w:p w14:paraId="57A92D0E">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422FF1C5">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54D02618">
      <w:pPr>
        <w:jc w:val="both"/>
        <w:rPr>
          <w:rFonts w:ascii="Microsoft Sans Serif" w:hAnsi="Microsoft Sans Serif" w:cs="Microsoft Sans Serif"/>
          <w:u w:val="single"/>
          <w:lang w:val="bs-Latn-BA"/>
        </w:rPr>
      </w:pPr>
    </w:p>
    <w:p w14:paraId="4446A170">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3036083F">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0EE055AB">
      <w:pPr>
        <w:jc w:val="both"/>
        <w:rPr>
          <w:rFonts w:ascii="Microsoft Sans Serif" w:hAnsi="Microsoft Sans Serif" w:cs="Microsoft Sans Serif"/>
          <w:u w:val="single"/>
          <w:lang w:val="bs-Latn-BA"/>
        </w:rPr>
      </w:pPr>
    </w:p>
    <w:p w14:paraId="75282BDB">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5E538BE3">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3E037676">
      <w:pPr>
        <w:jc w:val="both"/>
        <w:rPr>
          <w:rFonts w:ascii="Microsoft Sans Serif" w:hAnsi="Microsoft Sans Serif" w:cs="Microsoft Sans Serif"/>
          <w:u w:val="single"/>
          <w:lang w:val="bs-Latn-BA"/>
        </w:rPr>
      </w:pPr>
    </w:p>
    <w:p w14:paraId="65B39AC7">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0098E6C8">
      <w:pPr>
        <w:rPr>
          <w:rFonts w:ascii="Microsoft Sans Serif" w:hAnsi="Microsoft Sans Serif" w:cs="Microsoft Sans Serif"/>
          <w:lang w:val="bs-Latn-BA"/>
        </w:rPr>
      </w:pPr>
    </w:p>
    <w:p w14:paraId="15364BCD">
      <w:pPr>
        <w:jc w:val="both"/>
        <w:rPr>
          <w:rFonts w:ascii="Microsoft Sans Serif" w:hAnsi="Microsoft Sans Serif" w:cs="Microsoft Sans Serif"/>
          <w:b/>
          <w:lang w:val="bs-Latn-BA"/>
        </w:rPr>
      </w:pPr>
    </w:p>
    <w:p w14:paraId="5772FC5D">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3.      FARMACEUTSKI OBLIK</w:t>
      </w:r>
    </w:p>
    <w:p w14:paraId="7A732970">
      <w:pPr>
        <w:jc w:val="both"/>
        <w:rPr>
          <w:rFonts w:ascii="Microsoft Sans Serif" w:hAnsi="Microsoft Sans Serif" w:cs="Microsoft Sans Serif"/>
          <w:lang w:val="bs-Latn-BA"/>
        </w:rPr>
      </w:pPr>
    </w:p>
    <w:p w14:paraId="3C74FE98">
      <w:pPr>
        <w:jc w:val="both"/>
        <w:rPr>
          <w:rFonts w:ascii="Microsoft Sans Serif" w:hAnsi="Microsoft Sans Serif" w:cs="Microsoft Sans Serif"/>
          <w:lang w:val="bs-Latn-BA"/>
        </w:rPr>
      </w:pPr>
      <w:r>
        <w:rPr>
          <w:rFonts w:ascii="Microsoft Sans Serif" w:hAnsi="Microsoft Sans Serif" w:cs="Microsoft Sans Serif"/>
          <w:lang w:val="bs-Latn-BA"/>
        </w:rPr>
        <w:t>*</w:t>
      </w:r>
      <w:r>
        <w:rPr>
          <w:rFonts w:ascii="Microsoft Sans Serif" w:hAnsi="Microsoft Sans Serif" w:cs="Microsoft Sans Serif"/>
          <w:lang w:val="bs-Latn-BA"/>
        </w:rPr>
        <w:tab/>
      </w:r>
      <w:r>
        <w:rPr>
          <w:rFonts w:ascii="Microsoft Sans Serif" w:hAnsi="Microsoft Sans Serif" w:cs="Microsoft Sans Serif"/>
          <w:lang w:val="bs-Latn-BA"/>
        </w:rPr>
        <w:t xml:space="preserve">tableta.  </w:t>
      </w:r>
    </w:p>
    <w:p w14:paraId="2882FC19">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25 mg </w:t>
      </w:r>
    </w:p>
    <w:p w14:paraId="2A725ED0">
      <w:pPr>
        <w:jc w:val="both"/>
        <w:rPr>
          <w:rFonts w:ascii="Microsoft Sans Serif" w:hAnsi="Microsoft Sans Serif" w:cs="Microsoft Sans Serif"/>
          <w:lang w:val="bs-Latn-BA"/>
        </w:rPr>
      </w:pPr>
      <w:r>
        <w:rPr>
          <w:rFonts w:ascii="Microsoft Sans Serif" w:hAnsi="Microsoft Sans Serif" w:cs="Microsoft Sans Serif"/>
          <w:lang w:val="bs-Latn-BA"/>
        </w:rPr>
        <w:t xml:space="preserve">Bijele, okrugle bikonveksne tablete. </w:t>
      </w:r>
    </w:p>
    <w:p w14:paraId="09B0AFA0">
      <w:pPr>
        <w:jc w:val="both"/>
        <w:rPr>
          <w:rFonts w:ascii="Microsoft Sans Serif" w:hAnsi="Microsoft Sans Serif" w:cs="Microsoft Sans Serif"/>
          <w:lang w:val="bs-Latn-BA"/>
        </w:rPr>
      </w:pPr>
    </w:p>
    <w:p w14:paraId="11CD51B8">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50 mg; 100 mg; 200 mg tablete </w:t>
      </w:r>
    </w:p>
    <w:p w14:paraId="00C6B9AA">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46DDDB8D">
      <w:pPr>
        <w:jc w:val="both"/>
        <w:rPr>
          <w:rFonts w:ascii="Microsoft Sans Serif" w:hAnsi="Microsoft Sans Serif" w:cs="Microsoft Sans Serif"/>
          <w:lang w:val="mk-MK"/>
        </w:rPr>
      </w:pPr>
    </w:p>
    <w:p w14:paraId="5B37705D">
      <w:pPr>
        <w:jc w:val="both"/>
        <w:rPr>
          <w:rFonts w:ascii="Microsoft Sans Serif" w:hAnsi="Microsoft Sans Serif" w:cs="Microsoft Sans Serif"/>
          <w:lang w:val="bs-Latn-BA"/>
        </w:rPr>
      </w:pPr>
    </w:p>
    <w:p w14:paraId="71AE40E2">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3BFE76F0">
      <w:pPr>
        <w:jc w:val="both"/>
        <w:rPr>
          <w:rFonts w:ascii="Microsoft Sans Serif" w:hAnsi="Microsoft Sans Serif" w:cs="Microsoft Sans Serif"/>
          <w:b/>
          <w:lang w:val="bs-Latn-BA"/>
        </w:rPr>
      </w:pPr>
    </w:p>
    <w:p w14:paraId="61519B26">
      <w:pPr>
        <w:jc w:val="both"/>
        <w:rPr>
          <w:rFonts w:ascii="Microsoft Sans Serif" w:hAnsi="Microsoft Sans Serif" w:cs="Microsoft Sans Serif"/>
          <w:b/>
          <w:lang w:val="bs-Latn-BA"/>
        </w:rPr>
      </w:pPr>
      <w:r>
        <w:rPr>
          <w:rFonts w:ascii="Microsoft Sans Serif" w:hAnsi="Microsoft Sans Serif" w:cs="Microsoft Sans Serif"/>
          <w:b/>
          <w:lang w:val="bs-Latn-BA"/>
        </w:rPr>
        <w:t>4.1. Terapijske indikacije</w:t>
      </w:r>
    </w:p>
    <w:p w14:paraId="175E26A9">
      <w:pPr>
        <w:jc w:val="both"/>
        <w:rPr>
          <w:rFonts w:ascii="Microsoft Sans Serif" w:hAnsi="Microsoft Sans Serif" w:cs="Microsoft Sans Serif"/>
          <w:lang w:val="bs-Latn-BA"/>
        </w:rPr>
      </w:pPr>
    </w:p>
    <w:p w14:paraId="1863AF3E">
      <w:pPr>
        <w:jc w:val="both"/>
        <w:rPr>
          <w:rFonts w:ascii="Microsoft Sans Serif" w:hAnsi="Microsoft Sans Serif" w:cs="Microsoft Sans Serif"/>
          <w:b/>
          <w:bCs/>
          <w:lang w:val="bs-Latn-BA"/>
        </w:rPr>
      </w:pPr>
      <w:r>
        <w:rPr>
          <w:rFonts w:ascii="Microsoft Sans Serif" w:hAnsi="Microsoft Sans Serif" w:cs="Microsoft Sans Serif"/>
          <w:b/>
          <w:bCs/>
          <w:lang w:val="bs-Latn-BA"/>
        </w:rPr>
        <w:t>Epilepsija</w:t>
      </w:r>
    </w:p>
    <w:p w14:paraId="4464731B">
      <w:pPr>
        <w:jc w:val="both"/>
        <w:rPr>
          <w:rFonts w:ascii="Microsoft Sans Serif" w:hAnsi="Microsoft Sans Serif" w:cs="Microsoft Sans Serif"/>
          <w:i/>
          <w:lang w:val="bs-Latn-BA"/>
        </w:rPr>
      </w:pPr>
      <w:r>
        <w:rPr>
          <w:rFonts w:ascii="Microsoft Sans Serif" w:hAnsi="Microsoft Sans Serif" w:cs="Microsoft Sans Serif"/>
          <w:i/>
          <w:lang w:val="bs-Latn-BA"/>
        </w:rPr>
        <w:t>Odrasli i adolescenti koji imaju 13 godina i više</w:t>
      </w:r>
    </w:p>
    <w:p w14:paraId="718DA27B">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Dodatna ili monoterapija u liječenju parcijalnih napada ili generalizovanih napada, uključujući i tonično-kloničnih konvulzija. </w:t>
      </w:r>
    </w:p>
    <w:p w14:paraId="1214C9F3">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Napade udružene sa Lenoks–Gastautovim sindromom. Lijek Lamal se daje kao dodatnu terapiju ali može biti i inicijalni antiepileptički lijek (AED) u početku terapije Lenoks–Gastautovog sindroma.</w:t>
      </w:r>
    </w:p>
    <w:p w14:paraId="3A315D77">
      <w:pPr>
        <w:widowControl w:val="0"/>
        <w:tabs>
          <w:tab w:val="left" w:pos="720"/>
        </w:tabs>
        <w:jc w:val="both"/>
        <w:rPr>
          <w:rFonts w:ascii="Microsoft Sans Serif" w:hAnsi="Microsoft Sans Serif" w:cs="Microsoft Sans Serif"/>
          <w:lang w:val="bs-Latn-BA"/>
        </w:rPr>
      </w:pPr>
    </w:p>
    <w:p w14:paraId="38B3CD81">
      <w:pPr>
        <w:widowControl w:val="0"/>
        <w:tabs>
          <w:tab w:val="left" w:pos="720"/>
        </w:tabs>
        <w:jc w:val="both"/>
        <w:rPr>
          <w:rFonts w:ascii="Microsoft Sans Serif" w:hAnsi="Microsoft Sans Serif" w:cs="Microsoft Sans Serif"/>
          <w:i/>
          <w:lang w:val="bs-Latn-BA"/>
        </w:rPr>
      </w:pPr>
      <w:r>
        <w:rPr>
          <w:rFonts w:ascii="Microsoft Sans Serif" w:hAnsi="Microsoft Sans Serif" w:cs="Microsoft Sans Serif"/>
          <w:i/>
          <w:lang w:val="bs-Latn-BA"/>
        </w:rPr>
        <w:t>Djeca i adolescenti od dvije do 12 godina starosti</w:t>
      </w:r>
    </w:p>
    <w:p w14:paraId="48664F18">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Dodatna terapija u liječenju parcijalnih napada ili generalizovanih napada, uključujući i tonično-kloničnih konvulzija, te tonično-kloničnih konvulzija koje su udružene sa Lenoks–Gastautovim sindromom.</w:t>
      </w:r>
    </w:p>
    <w:p w14:paraId="1F56CE4F">
      <w:pPr>
        <w:pStyle w:val="37"/>
        <w:numPr>
          <w:ilvl w:val="0"/>
          <w:numId w:val="1"/>
        </w:numPr>
        <w:autoSpaceDE w:val="0"/>
        <w:autoSpaceDN w:val="0"/>
        <w:adjustRightInd w:val="0"/>
        <w:ind w:left="0" w:firstLine="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Monoterapija tipičnih takozvanih apsans napada.</w:t>
      </w:r>
    </w:p>
    <w:p w14:paraId="753B5A84">
      <w:pPr>
        <w:widowControl w:val="0"/>
        <w:tabs>
          <w:tab w:val="left" w:pos="720"/>
        </w:tabs>
        <w:jc w:val="both"/>
        <w:rPr>
          <w:rFonts w:ascii="Microsoft Sans Serif" w:hAnsi="Microsoft Sans Serif" w:cs="Microsoft Sans Serif"/>
          <w:lang w:val="bs-Latn-BA"/>
        </w:rPr>
      </w:pPr>
    </w:p>
    <w:p w14:paraId="51B29368">
      <w:pPr>
        <w:rPr>
          <w:rFonts w:ascii="Microsoft Sans Serif" w:hAnsi="Microsoft Sans Serif" w:cs="Microsoft Sans Serif"/>
          <w:b/>
          <w:i/>
          <w:lang w:val="bs-Latn-BA"/>
        </w:rPr>
      </w:pPr>
      <w:r>
        <w:rPr>
          <w:rFonts w:ascii="Microsoft Sans Serif" w:hAnsi="Microsoft Sans Serif" w:cs="Microsoft Sans Serif"/>
          <w:b/>
          <w:lang w:val="bs-Latn-BA"/>
        </w:rPr>
        <w:t>Bipolarni poremećaji</w:t>
      </w:r>
    </w:p>
    <w:p w14:paraId="710CBD3B">
      <w:pPr>
        <w:jc w:val="both"/>
        <w:rPr>
          <w:rFonts w:ascii="Microsoft Sans Serif" w:hAnsi="Microsoft Sans Serif" w:cs="Microsoft Sans Serif"/>
          <w:i/>
          <w:lang w:val="bs-Latn-BA"/>
        </w:rPr>
      </w:pPr>
      <w:r>
        <w:rPr>
          <w:rFonts w:ascii="Microsoft Sans Serif" w:hAnsi="Microsoft Sans Serif" w:cs="Microsoft Sans Serif"/>
          <w:i/>
          <w:lang w:val="bs-Latn-BA"/>
        </w:rPr>
        <w:t>Odrasli (od 18 godina i više)</w:t>
      </w:r>
    </w:p>
    <w:p w14:paraId="3CE5C984">
      <w:pPr>
        <w:numPr>
          <w:ilvl w:val="0"/>
          <w:numId w:val="2"/>
        </w:num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Prevencija depresivnih epizoda kod pacijenata sa bipolarnim poremećajima tipa I koji predominantno imaju depresivne epizode (pogledati dio 5.1.)</w:t>
      </w:r>
    </w:p>
    <w:p w14:paraId="455348E6">
      <w:pPr>
        <w:autoSpaceDE w:val="0"/>
        <w:autoSpaceDN w:val="0"/>
        <w:adjustRightInd w:val="0"/>
        <w:jc w:val="both"/>
        <w:rPr>
          <w:rFonts w:ascii="Microsoft Sans Serif" w:hAnsi="Microsoft Sans Serif" w:cs="Microsoft Sans Serif"/>
          <w:bCs/>
          <w:lang w:val="bs-Latn-BA"/>
        </w:rPr>
      </w:pPr>
    </w:p>
    <w:p w14:paraId="3D4B3BCC">
      <w:p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Lijek Lamal nije indikovan za akutnu terapiju manične ili depresivne epizode. </w:t>
      </w:r>
    </w:p>
    <w:p w14:paraId="40E4BED6">
      <w:pPr>
        <w:autoSpaceDE w:val="0"/>
        <w:autoSpaceDN w:val="0"/>
        <w:adjustRightInd w:val="0"/>
        <w:jc w:val="both"/>
        <w:rPr>
          <w:rFonts w:ascii="Microsoft Sans Serif" w:hAnsi="Microsoft Sans Serif" w:cs="Microsoft Sans Serif"/>
          <w:b/>
          <w:bCs/>
          <w:lang w:val="bs-Latn-BA"/>
        </w:rPr>
      </w:pPr>
    </w:p>
    <w:p w14:paraId="611B5B63">
      <w:pPr>
        <w:jc w:val="both"/>
        <w:rPr>
          <w:rFonts w:ascii="Microsoft Sans Serif" w:hAnsi="Microsoft Sans Serif" w:cs="Microsoft Sans Serif"/>
          <w:b/>
          <w:lang w:val="es-MX"/>
        </w:rPr>
      </w:pPr>
      <w:r>
        <w:rPr>
          <w:rFonts w:ascii="Microsoft Sans Serif" w:hAnsi="Microsoft Sans Serif" w:cs="Microsoft Sans Serif"/>
          <w:b/>
          <w:lang w:val="es-MX"/>
        </w:rPr>
        <w:t>4.2. Doziranje i način primjene</w:t>
      </w:r>
    </w:p>
    <w:p w14:paraId="1BE3B55A">
      <w:pPr>
        <w:rPr>
          <w:rFonts w:ascii="Microsoft Sans Serif" w:hAnsi="Microsoft Sans Serif" w:cs="Microsoft Sans Serif"/>
        </w:rPr>
      </w:pPr>
      <w:r>
        <w:rPr>
          <w:rFonts w:ascii="Microsoft Sans Serif" w:hAnsi="Microsoft Sans Serif" w:cs="Microsoft Sans Serif"/>
        </w:rPr>
        <w:t xml:space="preserve"> </w:t>
      </w:r>
    </w:p>
    <w:p w14:paraId="24D33890">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Lamal tablete treba progutati cijele, a ne treba ih žvakati ili lomiti.</w:t>
      </w:r>
    </w:p>
    <w:p w14:paraId="7A32E87A">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Ako izračunata doza lamotrigina (na primjer, za liječenje djece s epilepsijom ili pacijenata s oštećenjem funkcije jetre) ne odgovara cijelim tabletama, doza koja se primjenjuje treba biti jednaka nižem broju cijelih tableta.</w:t>
      </w:r>
    </w:p>
    <w:p w14:paraId="7BA9165B">
      <w:pPr>
        <w:autoSpaceDE w:val="0"/>
        <w:autoSpaceDN w:val="0"/>
        <w:adjustRightInd w:val="0"/>
        <w:jc w:val="both"/>
        <w:rPr>
          <w:rFonts w:ascii="Microsoft Sans Serif" w:hAnsi="Microsoft Sans Serif" w:cs="Microsoft Sans Serif"/>
          <w:lang w:val="bs-Latn-BA"/>
        </w:rPr>
      </w:pPr>
    </w:p>
    <w:p w14:paraId="20FD6CD7">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Ponovno uvođenje lijeka Lamal</w:t>
      </w:r>
    </w:p>
    <w:p w14:paraId="4FACC05D">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Ljekar treba procijeniti potrebu za postupnim povećanjem doze do doze održavanja prilikom ponovnog uvođenja lijeka Lamal kod pacijenata koji su iz bilo kojeg razloga prekinuli upotrebu lijeka Lamal, jer je rizik od pojave ozbiljnih osipa povezan sa visokim početnim dozama i prekoračenjem preporučene doze povećavanja lamotrigina (pogledati dio 4.4). Što je veći vremenski razmak od prethodne doze, to je potreban veći oprez pri povećanju doze do doze održavanja. Kada je vremenski razmak od prestanka primanja lamotrigina duži od pet poluživota (pogledati dio 5.2), Lamal generalno treba povećavati do doze održavanja prema odgovarajućem rasporedu.</w:t>
      </w:r>
    </w:p>
    <w:p w14:paraId="1AB0E037">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Ne preporučuje se ponovno uvođenje lijeka Lamal kod pacijenata koji su liječenje prekinuli zbog osipa povezanog sa prethodnim liječenjem lamotriginom, osim ako potencijalna korist jasno nadmašuje rizik.</w:t>
      </w:r>
    </w:p>
    <w:p w14:paraId="69F8F126">
      <w:pPr>
        <w:autoSpaceDE w:val="0"/>
        <w:autoSpaceDN w:val="0"/>
        <w:adjustRightInd w:val="0"/>
        <w:jc w:val="both"/>
        <w:rPr>
          <w:rFonts w:ascii="Microsoft Sans Serif" w:hAnsi="Microsoft Sans Serif" w:cs="Microsoft Sans Serif"/>
          <w:lang w:val="bs-Latn-BA"/>
        </w:rPr>
      </w:pPr>
    </w:p>
    <w:p w14:paraId="45A999EF">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Epilepsija</w:t>
      </w:r>
    </w:p>
    <w:p w14:paraId="25517305">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Preporučeno povećanje doze i doze održavanja za odrasle i adolescente starije od 13 godina prikazano je u tabeli 1, a za djecu od dvije godine do 12 godina u tabeli 2, koje se nalaze u nastavku teksta. Zbog opasnosti od osipa</w:t>
      </w:r>
      <w:r>
        <w:rPr>
          <w:rFonts w:ascii="Microsoft Sans Serif" w:hAnsi="Microsoft Sans Serif" w:cs="Microsoft Sans Serif"/>
          <w:lang w:val="bs-Cyrl-BA"/>
        </w:rPr>
        <w:t>,</w:t>
      </w:r>
      <w:r>
        <w:rPr>
          <w:rFonts w:ascii="Microsoft Sans Serif" w:hAnsi="Microsoft Sans Serif" w:cs="Microsoft Sans Serif"/>
          <w:lang w:val="bs-Latn-BA"/>
        </w:rPr>
        <w:t xml:space="preserve"> početna doza, a naknadno i povišenje doze ne smije se prekoračiti (pogledati dio 4.4).</w:t>
      </w:r>
    </w:p>
    <w:p w14:paraId="65B50719">
      <w:pPr>
        <w:autoSpaceDE w:val="0"/>
        <w:autoSpaceDN w:val="0"/>
        <w:adjustRightInd w:val="0"/>
        <w:jc w:val="both"/>
        <w:rPr>
          <w:rFonts w:ascii="Microsoft Sans Serif" w:hAnsi="Microsoft Sans Serif" w:cs="Microsoft Sans Serif"/>
          <w:lang w:val="bs-Latn-BA"/>
        </w:rPr>
      </w:pPr>
    </w:p>
    <w:p w14:paraId="7F2FF3C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Kada se prekine s istovremenom primjenom AED ili kada se terapiji lamotrigina dodaju drugi AED ili ostali lijekovi, treba uzeti u obzir kakav bi efekat mogli imati na farmakokinetiku lamotrigina (pogledati dio 4.5).</w:t>
      </w:r>
    </w:p>
    <w:p w14:paraId="07254DCF">
      <w:pPr>
        <w:jc w:val="both"/>
        <w:rPr>
          <w:rFonts w:ascii="Microsoft Sans Serif" w:hAnsi="Microsoft Sans Serif" w:cs="Microsoft Sans Serif"/>
          <w:lang w:val="pl-PL"/>
        </w:rPr>
      </w:pPr>
    </w:p>
    <w:p w14:paraId="36CF0BD2">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Tabela 1: </w:t>
      </w:r>
      <w:r>
        <w:rPr>
          <w:rFonts w:ascii="Microsoft Sans Serif" w:hAnsi="Microsoft Sans Serif" w:cs="Microsoft Sans Serif"/>
          <w:bCs/>
          <w:i/>
          <w:u w:val="single"/>
          <w:lang w:val="bs-Latn-BA"/>
        </w:rPr>
        <w:t xml:space="preserve">Odrasli i adolescenati koja imaju više od 13 godina </w:t>
      </w:r>
      <w:r>
        <w:rPr>
          <w:rFonts w:ascii="Microsoft Sans Serif" w:hAnsi="Microsoft Sans Serif" w:cs="Microsoft Sans Serif"/>
          <w:i/>
          <w:iCs/>
          <w:u w:val="single"/>
          <w:lang w:val="bs-Latn-BA"/>
        </w:rPr>
        <w:t>– preporuka za režim doziranja kod epilepsije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2"/>
        <w:gridCol w:w="2392"/>
        <w:gridCol w:w="2393"/>
      </w:tblGrid>
      <w:tr w14:paraId="6BA57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30A0850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394" w:type="dxa"/>
          </w:tcPr>
          <w:p w14:paraId="0E72C60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394" w:type="dxa"/>
          </w:tcPr>
          <w:p w14:paraId="7613CB2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394" w:type="dxa"/>
          </w:tcPr>
          <w:p w14:paraId="2E8760C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7D84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6E7ECB5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Monoterapija:</w:t>
            </w:r>
          </w:p>
        </w:tc>
        <w:tc>
          <w:tcPr>
            <w:tcW w:w="2394" w:type="dxa"/>
          </w:tcPr>
          <w:p w14:paraId="44D85C7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5999FF7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4DBC06B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2920D64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61BD1EC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49B90C7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p w14:paraId="723B455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500 mg/dan bilo je potrebno nekim pacijentima da bi se postigao željeni odgovor.</w:t>
            </w:r>
          </w:p>
        </w:tc>
      </w:tr>
      <w:tr w14:paraId="7B998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6D8E0B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79A5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32E1B59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18670A51">
            <w:pPr>
              <w:autoSpaceDE w:val="0"/>
              <w:autoSpaceDN w:val="0"/>
              <w:adjustRightInd w:val="0"/>
              <w:rPr>
                <w:rFonts w:ascii="Microsoft Sans Serif" w:hAnsi="Microsoft Sans Serif" w:cs="Microsoft Sans Serif"/>
                <w:lang w:val="bs-Latn-BA"/>
              </w:rPr>
            </w:pPr>
          </w:p>
        </w:tc>
        <w:tc>
          <w:tcPr>
            <w:tcW w:w="2394" w:type="dxa"/>
          </w:tcPr>
          <w:p w14:paraId="127FCF4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73B9BF3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(primijenjen 25 mg svaki drugi dan)</w:t>
            </w:r>
          </w:p>
        </w:tc>
        <w:tc>
          <w:tcPr>
            <w:tcW w:w="2394" w:type="dxa"/>
          </w:tcPr>
          <w:p w14:paraId="015AC18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5F31A5C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53F3E8F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57D5BA8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25 mg do 50 mg svakih jednu do dvije sedmice do postizanje optimalnog odgovora. </w:t>
            </w:r>
          </w:p>
        </w:tc>
      </w:tr>
      <w:tr w14:paraId="1466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1548564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4BB8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E579C4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32EF7A8E">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1339D59C">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40FE8E8D">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1C97E97E">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60897E2E">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48593340">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10425280">
            <w:pPr>
              <w:autoSpaceDE w:val="0"/>
              <w:autoSpaceDN w:val="0"/>
              <w:adjustRightInd w:val="0"/>
              <w:rPr>
                <w:rFonts w:ascii="Microsoft Sans Serif" w:hAnsi="Microsoft Sans Serif" w:cs="Microsoft Sans Serif"/>
                <w:lang w:val="bs-Latn-BA"/>
              </w:rPr>
            </w:pPr>
          </w:p>
        </w:tc>
        <w:tc>
          <w:tcPr>
            <w:tcW w:w="2394" w:type="dxa"/>
          </w:tcPr>
          <w:p w14:paraId="0F7B400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7ED7151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641BA9D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51E4219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tc>
        <w:tc>
          <w:tcPr>
            <w:tcW w:w="2394" w:type="dxa"/>
          </w:tcPr>
          <w:p w14:paraId="5B4E6EB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 do 400 mg/dan</w:t>
            </w:r>
          </w:p>
          <w:p w14:paraId="61A9757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0A05BB5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100 mg svakih jednu do dvije sedmice do postizanj</w:t>
            </w:r>
            <w:r>
              <w:rPr>
                <w:rFonts w:ascii="Microsoft Sans Serif" w:hAnsi="Microsoft Sans Serif" w:cs="Microsoft Sans Serif"/>
                <w:lang w:val="bs-Cyrl-BA"/>
              </w:rPr>
              <w:t xml:space="preserve">а </w:t>
            </w:r>
            <w:r>
              <w:rPr>
                <w:rFonts w:ascii="Microsoft Sans Serif" w:hAnsi="Microsoft Sans Serif" w:cs="Microsoft Sans Serif"/>
                <w:lang w:val="bs-Latn-BA"/>
              </w:rPr>
              <w:t xml:space="preserve">optimalnog odgovora. </w:t>
            </w:r>
          </w:p>
          <w:p w14:paraId="7E5E5E8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700 mg/dan je bilo potrebno nekim pacijentima da bi se postigao željeni odgovor.</w:t>
            </w:r>
          </w:p>
        </w:tc>
      </w:tr>
      <w:tr w14:paraId="3305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912B6F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3DF2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266432C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0261A403">
            <w:pPr>
              <w:autoSpaceDE w:val="0"/>
              <w:autoSpaceDN w:val="0"/>
              <w:adjustRightInd w:val="0"/>
              <w:rPr>
                <w:rFonts w:ascii="Microsoft Sans Serif" w:hAnsi="Microsoft Sans Serif" w:cs="Microsoft Sans Serif"/>
                <w:lang w:val="bs-Latn-BA"/>
              </w:rPr>
            </w:pPr>
          </w:p>
        </w:tc>
        <w:tc>
          <w:tcPr>
            <w:tcW w:w="2394" w:type="dxa"/>
          </w:tcPr>
          <w:p w14:paraId="02E570C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75AFA20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72888BA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2272A2B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1BB189C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466CD83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tc>
      </w:tr>
      <w:tr w14:paraId="12B1A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69BE8E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309CE948">
      <w:pPr>
        <w:autoSpaceDE w:val="0"/>
        <w:autoSpaceDN w:val="0"/>
        <w:adjustRightInd w:val="0"/>
        <w:rPr>
          <w:rFonts w:ascii="Microsoft Sans Serif" w:hAnsi="Microsoft Sans Serif" w:cs="Microsoft Sans Serif"/>
          <w:lang w:val="bs-Latn-BA"/>
        </w:rPr>
      </w:pPr>
    </w:p>
    <w:p w14:paraId="72BFE11E">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2: D</w:t>
      </w:r>
      <w:r>
        <w:rPr>
          <w:rFonts w:ascii="Microsoft Sans Serif" w:hAnsi="Microsoft Sans Serif" w:cs="Microsoft Sans Serif"/>
          <w:bCs/>
          <w:i/>
          <w:u w:val="single"/>
          <w:lang w:val="bs-Latn-BA"/>
        </w:rPr>
        <w:t>jeca i adolescenti od dvije godine do 12 godina</w:t>
      </w:r>
      <w:r>
        <w:rPr>
          <w:rFonts w:ascii="Microsoft Sans Serif" w:hAnsi="Microsoft Sans Serif" w:cs="Microsoft Sans Serif"/>
          <w:i/>
          <w:iCs/>
          <w:u w:val="single"/>
          <w:lang w:val="bs-Latn-BA"/>
        </w:rPr>
        <w:t>– preporuka za režim doziranja kod epilepsije (ukupna dnevna doza mg/kg tjelesne težine/dan)**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201"/>
        <w:gridCol w:w="2192"/>
        <w:gridCol w:w="2238"/>
      </w:tblGrid>
      <w:tr w14:paraId="0F8D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382CB9A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201" w:type="dxa"/>
          </w:tcPr>
          <w:p w14:paraId="4711B8B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192" w:type="dxa"/>
          </w:tcPr>
          <w:p w14:paraId="04FF8C0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238" w:type="dxa"/>
          </w:tcPr>
          <w:p w14:paraId="3222022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4EF3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38D7F5EE">
            <w:pPr>
              <w:autoSpaceDE w:val="0"/>
              <w:autoSpaceDN w:val="0"/>
              <w:adjustRightInd w:val="0"/>
              <w:rPr>
                <w:rFonts w:ascii="Microsoft Sans Serif" w:hAnsi="Microsoft Sans Serif" w:cs="Microsoft Sans Serif"/>
                <w:b/>
                <w:bCs/>
                <w:lang w:val="bs-Latn-BA"/>
              </w:rPr>
            </w:pPr>
            <w:r>
              <w:rPr>
                <w:rFonts w:ascii="Microsoft Sans Serif" w:hAnsi="Microsoft Sans Serif" w:cs="Microsoft Sans Serif"/>
                <w:b/>
                <w:bCs/>
                <w:lang w:val="bs-Latn-BA"/>
              </w:rPr>
              <w:t>Monoterapija tipičnih absens napada:</w:t>
            </w:r>
          </w:p>
          <w:p w14:paraId="16FEE860">
            <w:pPr>
              <w:autoSpaceDE w:val="0"/>
              <w:autoSpaceDN w:val="0"/>
              <w:adjustRightInd w:val="0"/>
              <w:rPr>
                <w:rFonts w:ascii="Microsoft Sans Serif" w:hAnsi="Microsoft Sans Serif" w:cs="Microsoft Sans Serif"/>
                <w:lang w:val="bs-Latn-BA"/>
              </w:rPr>
            </w:pPr>
          </w:p>
        </w:tc>
        <w:tc>
          <w:tcPr>
            <w:tcW w:w="2201" w:type="dxa"/>
          </w:tcPr>
          <w:p w14:paraId="4D2A298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7F4E73E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192" w:type="dxa"/>
          </w:tcPr>
          <w:p w14:paraId="0DEC962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65AF9F8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238" w:type="dxa"/>
          </w:tcPr>
          <w:p w14:paraId="0D8D2B7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15 mg/kg/dan (jednom dnevno ili dvije podijeljene doze).</w:t>
            </w:r>
          </w:p>
          <w:p w14:paraId="65E4A9B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mg/kg/dan svakih jedne do dvije sedmice do postizanja optimalnog odgovora, sa maksimalnom dozom održavanja od 200 mg/dan.</w:t>
            </w:r>
          </w:p>
        </w:tc>
      </w:tr>
      <w:tr w14:paraId="1285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6698909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5190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552DC6C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6EBA6E83">
            <w:pPr>
              <w:autoSpaceDE w:val="0"/>
              <w:autoSpaceDN w:val="0"/>
              <w:adjustRightInd w:val="0"/>
              <w:rPr>
                <w:rFonts w:ascii="Microsoft Sans Serif" w:hAnsi="Microsoft Sans Serif" w:cs="Microsoft Sans Serif"/>
                <w:lang w:val="bs-Latn-BA"/>
              </w:rPr>
            </w:pPr>
          </w:p>
        </w:tc>
        <w:tc>
          <w:tcPr>
            <w:tcW w:w="2201" w:type="dxa"/>
          </w:tcPr>
          <w:p w14:paraId="5C16826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0,15 mg/kg/dan*</w:t>
            </w:r>
          </w:p>
          <w:p w14:paraId="4C4BB87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192" w:type="dxa"/>
          </w:tcPr>
          <w:p w14:paraId="68B7D39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134EC5C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238" w:type="dxa"/>
          </w:tcPr>
          <w:p w14:paraId="3441E2C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5 mg/kg/dan (jednom dnevno ili dvije podijeljene doze).</w:t>
            </w:r>
          </w:p>
          <w:p w14:paraId="70EBF18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0,3 mg/kg svakih jednu do dvije sedmice do postizanja optimalnog odgovora, sa maksimalnom dozom održavanja od 200 mg/dan.</w:t>
            </w:r>
          </w:p>
        </w:tc>
      </w:tr>
      <w:tr w14:paraId="362D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623D72C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29B2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6210C9D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6DEC14CA">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300FAEB9">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1A8B2657">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56415273">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1944BE4E">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7468337C">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1594BA05">
            <w:pPr>
              <w:autoSpaceDE w:val="0"/>
              <w:autoSpaceDN w:val="0"/>
              <w:adjustRightInd w:val="0"/>
              <w:rPr>
                <w:rFonts w:ascii="Microsoft Sans Serif" w:hAnsi="Microsoft Sans Serif" w:cs="Microsoft Sans Serif"/>
                <w:lang w:val="bs-Latn-BA"/>
              </w:rPr>
            </w:pPr>
          </w:p>
        </w:tc>
        <w:tc>
          <w:tcPr>
            <w:tcW w:w="2201" w:type="dxa"/>
          </w:tcPr>
          <w:p w14:paraId="3BE5975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 /dan</w:t>
            </w:r>
          </w:p>
          <w:p w14:paraId="6D58EF7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1AD4859E">
            <w:pPr>
              <w:autoSpaceDE w:val="0"/>
              <w:autoSpaceDN w:val="0"/>
              <w:adjustRightInd w:val="0"/>
              <w:rPr>
                <w:rFonts w:ascii="Microsoft Sans Serif" w:hAnsi="Microsoft Sans Serif" w:cs="Microsoft Sans Serif"/>
                <w:lang w:val="bs-Latn-BA"/>
              </w:rPr>
            </w:pPr>
          </w:p>
        </w:tc>
        <w:tc>
          <w:tcPr>
            <w:tcW w:w="2192" w:type="dxa"/>
          </w:tcPr>
          <w:p w14:paraId="6DD1468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 mg/kg/dan</w:t>
            </w:r>
          </w:p>
          <w:p w14:paraId="341A94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0D58C3B2">
            <w:pPr>
              <w:autoSpaceDE w:val="0"/>
              <w:autoSpaceDN w:val="0"/>
              <w:adjustRightInd w:val="0"/>
              <w:rPr>
                <w:rFonts w:ascii="Microsoft Sans Serif" w:hAnsi="Microsoft Sans Serif" w:cs="Microsoft Sans Serif"/>
                <w:lang w:val="bs-Latn-BA"/>
              </w:rPr>
            </w:pPr>
          </w:p>
        </w:tc>
        <w:tc>
          <w:tcPr>
            <w:tcW w:w="2238" w:type="dxa"/>
          </w:tcPr>
          <w:p w14:paraId="5F4A524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 mg/kg/dan do 15 mg/kg/dan</w:t>
            </w:r>
          </w:p>
          <w:p w14:paraId="0E013C9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34A006D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1,2 mg/kg svakih jednu do dvije sedmice do postizanja optimalnog odgovora. </w:t>
            </w:r>
          </w:p>
          <w:p w14:paraId="437DE20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sa maksimalnom dozom održavanja od 400 mg/dan.</w:t>
            </w:r>
          </w:p>
        </w:tc>
      </w:tr>
      <w:tr w14:paraId="06FC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7AE5DBB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175D4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662DA33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53C8BD0C">
            <w:pPr>
              <w:autoSpaceDE w:val="0"/>
              <w:autoSpaceDN w:val="0"/>
              <w:adjustRightInd w:val="0"/>
              <w:rPr>
                <w:rFonts w:ascii="Microsoft Sans Serif" w:hAnsi="Microsoft Sans Serif" w:cs="Microsoft Sans Serif"/>
                <w:lang w:val="bs-Latn-BA"/>
              </w:rPr>
            </w:pPr>
          </w:p>
        </w:tc>
        <w:tc>
          <w:tcPr>
            <w:tcW w:w="2201" w:type="dxa"/>
          </w:tcPr>
          <w:p w14:paraId="7D1C064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7FD69B3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5A5F13E">
            <w:pPr>
              <w:autoSpaceDE w:val="0"/>
              <w:autoSpaceDN w:val="0"/>
              <w:adjustRightInd w:val="0"/>
              <w:rPr>
                <w:rFonts w:ascii="Microsoft Sans Serif" w:hAnsi="Microsoft Sans Serif" w:cs="Microsoft Sans Serif"/>
                <w:lang w:val="bs-Latn-BA"/>
              </w:rPr>
            </w:pPr>
          </w:p>
        </w:tc>
        <w:tc>
          <w:tcPr>
            <w:tcW w:w="2192" w:type="dxa"/>
          </w:tcPr>
          <w:p w14:paraId="6772DD6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76A6A85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4E1A3456">
            <w:pPr>
              <w:autoSpaceDE w:val="0"/>
              <w:autoSpaceDN w:val="0"/>
              <w:adjustRightInd w:val="0"/>
              <w:rPr>
                <w:rFonts w:ascii="Microsoft Sans Serif" w:hAnsi="Microsoft Sans Serif" w:cs="Microsoft Sans Serif"/>
                <w:lang w:val="bs-Latn-BA"/>
              </w:rPr>
            </w:pPr>
          </w:p>
        </w:tc>
        <w:tc>
          <w:tcPr>
            <w:tcW w:w="2238" w:type="dxa"/>
          </w:tcPr>
          <w:p w14:paraId="4EBFB62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10 mg/kg/dan (jednom dnevno ili dvije podijeljene doze).</w:t>
            </w:r>
          </w:p>
          <w:p w14:paraId="0D62A23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 svakih jednu do dvije sedmice do postizanja optimalnog odgovora, sa maksimalnom dozom održavanja od 200 mg/dan.</w:t>
            </w:r>
          </w:p>
        </w:tc>
      </w:tr>
      <w:tr w14:paraId="39BA5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5126FDD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2E03FC9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Ako se izračunata doza lamotrigina ne može postići korišćenjem cijele tablete, doza se treba zaokružiti na najbližu cijelu tabletu.</w:t>
      </w:r>
    </w:p>
    <w:p w14:paraId="159439D3">
      <w:pPr>
        <w:autoSpaceDE w:val="0"/>
        <w:autoSpaceDN w:val="0"/>
        <w:adjustRightInd w:val="0"/>
        <w:rPr>
          <w:rFonts w:ascii="Microsoft Sans Serif" w:hAnsi="Microsoft Sans Serif" w:cs="Microsoft Sans Serif"/>
          <w:lang w:val="bs-Latn-BA"/>
        </w:rPr>
      </w:pPr>
    </w:p>
    <w:p w14:paraId="0878DE79">
      <w:pPr>
        <w:jc w:val="both"/>
        <w:rPr>
          <w:rFonts w:ascii="Microsoft Sans Serif" w:hAnsi="Microsoft Sans Serif" w:cs="Microsoft Sans Serif"/>
          <w:lang w:val="bs-Latn-BA"/>
        </w:rPr>
      </w:pPr>
      <w:r>
        <w:rPr>
          <w:rFonts w:ascii="Microsoft Sans Serif" w:hAnsi="Microsoft Sans Serif" w:cs="Microsoft Sans Serif"/>
          <w:lang w:val="bs-Latn-BA"/>
        </w:rPr>
        <w:t>Da bi se obezbijedilo održavanje terapijske doze, mora se pratiti tjelesna težina djeteta i prilagoditi doz</w:t>
      </w:r>
      <w:r>
        <w:rPr>
          <w:rFonts w:ascii="Microsoft Sans Serif" w:hAnsi="Microsoft Sans Serif" w:cs="Microsoft Sans Serif"/>
          <w:lang w:val="bs-Cyrl-BA"/>
        </w:rPr>
        <w:t>а</w:t>
      </w:r>
      <w:r>
        <w:rPr>
          <w:rFonts w:ascii="Microsoft Sans Serif" w:hAnsi="Microsoft Sans Serif" w:cs="Microsoft Sans Serif"/>
          <w:lang w:val="bs-Latn-BA"/>
        </w:rPr>
        <w:t xml:space="preserve"> ako se tjelesna težina promijeni. Vrlo je vjerojatno da će pacijenti uzrasta od dvije do šest godina zahtijevati održavanje doze na višoj granici preporučenog raspona doze.</w:t>
      </w:r>
    </w:p>
    <w:p w14:paraId="64ED121A">
      <w:pPr>
        <w:jc w:val="both"/>
        <w:rPr>
          <w:rFonts w:ascii="Microsoft Sans Serif" w:hAnsi="Microsoft Sans Serif" w:cs="Microsoft Sans Serif"/>
          <w:lang w:val="bs-Latn-BA"/>
        </w:rPr>
      </w:pPr>
    </w:p>
    <w:p w14:paraId="42A88798">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se postigne kontrola epilepsije sa dopunskom terapijom, istovremeno </w:t>
      </w:r>
      <w:r>
        <w:rPr>
          <w:rFonts w:ascii="Microsoft Sans Serif" w:hAnsi="Microsoft Sans Serif" w:cs="Microsoft Sans Serif"/>
          <w:lang w:val="hr-BA"/>
        </w:rPr>
        <w:t>primjenjeni</w:t>
      </w:r>
      <w:r>
        <w:rPr>
          <w:rFonts w:ascii="Microsoft Sans Serif" w:hAnsi="Microsoft Sans Serif" w:cs="Microsoft Sans Serif"/>
          <w:lang w:val="bs-Latn-BA"/>
        </w:rPr>
        <w:t xml:space="preserve"> AED se mogu prekinuti, a pacijenti mogu produžiti sa primjenom monoterapije lijekom Lamal.</w:t>
      </w:r>
    </w:p>
    <w:p w14:paraId="56203266">
      <w:pPr>
        <w:jc w:val="both"/>
        <w:rPr>
          <w:rFonts w:ascii="Microsoft Sans Serif" w:hAnsi="Microsoft Sans Serif" w:cs="Microsoft Sans Serif"/>
          <w:lang w:val="bs-Latn-BA"/>
        </w:rPr>
      </w:pPr>
    </w:p>
    <w:p w14:paraId="179544E7">
      <w:pPr>
        <w:autoSpaceDE w:val="0"/>
        <w:autoSpaceDN w:val="0"/>
        <w:adjustRightInd w:val="0"/>
        <w:jc w:val="both"/>
        <w:rPr>
          <w:rFonts w:ascii="Microsoft Sans Serif" w:hAnsi="Microsoft Sans Serif" w:cs="Microsoft Sans Serif"/>
          <w:i/>
          <w:lang w:val="bs-Latn-BA"/>
        </w:rPr>
      </w:pPr>
      <w:r>
        <w:rPr>
          <w:rFonts w:ascii="Microsoft Sans Serif" w:hAnsi="Microsoft Sans Serif" w:cs="Microsoft Sans Serif"/>
          <w:i/>
          <w:lang w:val="bs-Latn-BA"/>
        </w:rPr>
        <w:t>Djeca mlađa od dvije godine</w:t>
      </w:r>
    </w:p>
    <w:p w14:paraId="170E4287">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Postoje ograničeni podaci o djelotvornosti i sigurnosti primjene lamotrigina kao dopunskog liječenja parcijalnih napada kod djece uzrasta od mjesec dana do dvije godine (pogledati dio 4.4). Nema podataka o primjeni kod djece mlađe od mjesec dana. Stoga se primjena lijeka Lamal ne preporučuje kod djece mlađe od dvije godine. Ako je ipak tretman klinički opravdan, pogledati dijelove 4.4, 5.1 i 5.2.</w:t>
      </w:r>
    </w:p>
    <w:p w14:paraId="2E704E53">
      <w:pPr>
        <w:rPr>
          <w:rFonts w:ascii="Microsoft Sans Serif" w:hAnsi="Microsoft Sans Serif" w:cs="Microsoft Sans Serif"/>
          <w:i/>
          <w:iCs/>
          <w:lang w:val="bs-Latn-BA"/>
        </w:rPr>
      </w:pPr>
    </w:p>
    <w:p w14:paraId="4DE77ABF">
      <w:pPr>
        <w:jc w:val="both"/>
        <w:rPr>
          <w:rFonts w:ascii="Microsoft Sans Serif" w:hAnsi="Microsoft Sans Serif" w:cs="Microsoft Sans Serif"/>
          <w:b/>
          <w:lang w:val="bs-Latn-BA"/>
        </w:rPr>
      </w:pPr>
      <w:r>
        <w:rPr>
          <w:rFonts w:ascii="Microsoft Sans Serif" w:hAnsi="Microsoft Sans Serif" w:cs="Microsoft Sans Serif"/>
          <w:b/>
          <w:lang w:val="bs-Latn-BA"/>
        </w:rPr>
        <w:t>Bipolarni poremećaj</w:t>
      </w:r>
    </w:p>
    <w:p w14:paraId="0510ECDB">
      <w:pPr>
        <w:jc w:val="both"/>
        <w:rPr>
          <w:rFonts w:ascii="Microsoft Sans Serif" w:hAnsi="Microsoft Sans Serif" w:cs="Microsoft Sans Serif"/>
          <w:lang w:val="bs-Latn-BA"/>
        </w:rPr>
      </w:pPr>
      <w:r>
        <w:rPr>
          <w:rFonts w:ascii="Microsoft Sans Serif" w:hAnsi="Microsoft Sans Serif" w:cs="Microsoft Sans Serif"/>
          <w:lang w:val="bs-Latn-BA"/>
        </w:rPr>
        <w:t>Preporučeno povećavanje doze i doze održavanja za odrasle starije od 18 godina, nalazi se u tabelama u nastavku. Prelazni režim uključuje povećanje doze lamotrigina do stabilizacijske doze održavanja kroz šest sedmica (tabela 3), nakon čega se drugi psihotropni lijekovi i/ili AED mogu se prekinuti, ako je klinički indikovano (tabela 4).</w:t>
      </w:r>
    </w:p>
    <w:p w14:paraId="302CE7B1">
      <w:pPr>
        <w:jc w:val="both"/>
        <w:rPr>
          <w:rFonts w:ascii="Microsoft Sans Serif" w:hAnsi="Microsoft Sans Serif" w:cs="Microsoft Sans Serif"/>
          <w:lang w:val="bs-Latn-BA"/>
        </w:rPr>
      </w:pPr>
      <w:r>
        <w:rPr>
          <w:rFonts w:ascii="Microsoft Sans Serif" w:hAnsi="Microsoft Sans Serif" w:cs="Microsoft Sans Serif"/>
          <w:lang w:val="bs-Latn-BA"/>
        </w:rPr>
        <w:t>Prilagođavanje doze nakon uvođenja ostalih psihotropnih lijekova i/ili antiepileptika takođe je prikazano u nastavku (tabela 5).</w:t>
      </w:r>
    </w:p>
    <w:p w14:paraId="4E8B41AB">
      <w:pPr>
        <w:jc w:val="both"/>
        <w:rPr>
          <w:rFonts w:ascii="Microsoft Sans Serif" w:hAnsi="Microsoft Sans Serif" w:cs="Microsoft Sans Serif"/>
          <w:lang w:val="bs-Latn-BA"/>
        </w:rPr>
      </w:pPr>
      <w:r>
        <w:rPr>
          <w:rFonts w:ascii="Microsoft Sans Serif" w:hAnsi="Microsoft Sans Serif" w:cs="Microsoft Sans Serif"/>
          <w:lang w:val="bs-Latn-BA"/>
        </w:rPr>
        <w:t>Zbog rizika od osipa, početna doza kao i naknadne doze, ne bi trebalo da nadmaše povećanje stabilne doze održavanja (pogledati dio 4.4).</w:t>
      </w:r>
    </w:p>
    <w:p w14:paraId="7ABB28E1">
      <w:pPr>
        <w:rPr>
          <w:rFonts w:ascii="Microsoft Sans Serif" w:hAnsi="Microsoft Sans Serif" w:cs="Microsoft Sans Serif"/>
          <w:i/>
          <w:iCs/>
          <w:lang w:val="pl-PL"/>
        </w:rPr>
      </w:pPr>
    </w:p>
    <w:p w14:paraId="2943D277">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3: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preporučeni način povećanja doze do ukupne dnevne stabilizacijske doze održavanja u liječenju bipolarnog poremećaja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1821"/>
        <w:gridCol w:w="1811"/>
        <w:gridCol w:w="1811"/>
        <w:gridCol w:w="1838"/>
      </w:tblGrid>
      <w:tr w14:paraId="3F4A3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6B65486A">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02E5F0A4">
            <w:pPr>
              <w:rPr>
                <w:rFonts w:ascii="Microsoft Sans Serif" w:hAnsi="Microsoft Sans Serif" w:cs="Microsoft Sans Serif"/>
                <w:i/>
                <w:iCs/>
                <w:u w:val="single"/>
                <w:lang w:val="bs-Latn-BA"/>
              </w:rPr>
            </w:pPr>
            <w:r>
              <w:rPr>
                <w:rFonts w:ascii="Microsoft Sans Serif" w:hAnsi="Microsoft Sans Serif" w:cs="Microsoft Sans Serif"/>
                <w:lang w:val="bs-Latn-BA"/>
              </w:rPr>
              <w:t>Sedmice 1 + 2</w:t>
            </w:r>
          </w:p>
        </w:tc>
        <w:tc>
          <w:tcPr>
            <w:tcW w:w="1915" w:type="dxa"/>
          </w:tcPr>
          <w:p w14:paraId="24AF13AD">
            <w:pPr>
              <w:rPr>
                <w:rFonts w:ascii="Microsoft Sans Serif" w:hAnsi="Microsoft Sans Serif" w:cs="Microsoft Sans Serif"/>
                <w:i/>
                <w:iCs/>
                <w:u w:val="single"/>
                <w:lang w:val="bs-Latn-BA"/>
              </w:rPr>
            </w:pPr>
            <w:r>
              <w:rPr>
                <w:rFonts w:ascii="Microsoft Sans Serif" w:hAnsi="Microsoft Sans Serif" w:cs="Microsoft Sans Serif"/>
                <w:lang w:val="bs-Latn-BA"/>
              </w:rPr>
              <w:t>Sedmice 3 + 4</w:t>
            </w:r>
          </w:p>
        </w:tc>
        <w:tc>
          <w:tcPr>
            <w:tcW w:w="1915" w:type="dxa"/>
          </w:tcPr>
          <w:p w14:paraId="1D6DC0AB">
            <w:pPr>
              <w:rPr>
                <w:rFonts w:ascii="Microsoft Sans Serif" w:hAnsi="Microsoft Sans Serif" w:cs="Microsoft Sans Serif"/>
                <w:i/>
                <w:iCs/>
                <w:u w:val="single"/>
                <w:lang w:val="bs-Latn-BA"/>
              </w:rPr>
            </w:pPr>
            <w:r>
              <w:rPr>
                <w:rFonts w:ascii="Microsoft Sans Serif" w:hAnsi="Microsoft Sans Serif" w:cs="Microsoft Sans Serif"/>
                <w:lang w:val="bs-Latn-BA"/>
              </w:rPr>
              <w:t>Sedmice 5</w:t>
            </w:r>
          </w:p>
        </w:tc>
        <w:tc>
          <w:tcPr>
            <w:tcW w:w="1916" w:type="dxa"/>
          </w:tcPr>
          <w:p w14:paraId="256B5FB6">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Ciljna doza održavanja (sedmica 6)*</w:t>
            </w:r>
          </w:p>
        </w:tc>
      </w:tr>
      <w:tr w14:paraId="7587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3ED9D404">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b/>
                <w:bCs/>
                <w:lang w:val="bs-Latn-BA" w:eastAsia="en-US"/>
              </w:rPr>
              <w:t xml:space="preserve">Monoterapija sa lamotriginom ILI dopunskom terapijom BEZ </w:t>
            </w:r>
            <w:r>
              <w:rPr>
                <w:rFonts w:ascii="Microsoft Sans Serif" w:hAnsi="Microsoft Sans Serif" w:cs="Microsoft Sans Serif"/>
                <w:b/>
                <w:bCs/>
                <w:lang w:val="bs-Latn-BA"/>
              </w:rPr>
              <w:t xml:space="preserve">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r>
              <w:rPr>
                <w:rFonts w:ascii="Microsoft Sans Serif" w:hAnsi="Microsoft Sans Serif" w:cs="Microsoft Sans Serif"/>
                <w:b/>
                <w:bCs/>
                <w:lang w:val="bs-Latn-BA"/>
              </w:rPr>
              <w:t xml:space="preserve"> </w:t>
            </w:r>
          </w:p>
        </w:tc>
      </w:tr>
      <w:tr w14:paraId="738D3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2BACCBC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5160E7DD">
            <w:pPr>
              <w:rPr>
                <w:rFonts w:ascii="Microsoft Sans Serif" w:hAnsi="Microsoft Sans Serif" w:cs="Microsoft Sans Serif"/>
                <w:i/>
                <w:iCs/>
                <w:u w:val="single"/>
                <w:lang w:val="bs-Latn-BA"/>
              </w:rPr>
            </w:pPr>
          </w:p>
        </w:tc>
        <w:tc>
          <w:tcPr>
            <w:tcW w:w="1915" w:type="dxa"/>
          </w:tcPr>
          <w:p w14:paraId="7AADB70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0972317E">
            <w:pPr>
              <w:rPr>
                <w:rFonts w:ascii="Microsoft Sans Serif" w:hAnsi="Microsoft Sans Serif" w:cs="Microsoft Sans Serif"/>
                <w:i/>
                <w:iCs/>
                <w:u w:val="single"/>
                <w:lang w:val="bs-Latn-BA"/>
              </w:rPr>
            </w:pPr>
            <w:r>
              <w:rPr>
                <w:rFonts w:ascii="Microsoft Sans Serif" w:hAnsi="Microsoft Sans Serif" w:cs="Microsoft Sans Serif"/>
                <w:lang w:val="bs-Latn-BA"/>
              </w:rPr>
              <w:t>(jedanput dnevno)</w:t>
            </w:r>
          </w:p>
        </w:tc>
        <w:tc>
          <w:tcPr>
            <w:tcW w:w="1915" w:type="dxa"/>
          </w:tcPr>
          <w:p w14:paraId="2076CDA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w:t>
            </w:r>
            <w:r>
              <w:rPr>
                <w:rFonts w:ascii="Microsoft Sans Serif" w:hAnsi="Microsoft Sans Serif" w:cs="Microsoft Sans Serif"/>
                <w:lang w:val="bs-Latn-BA"/>
              </w:rPr>
              <w:t>dan</w:t>
            </w:r>
          </w:p>
          <w:p w14:paraId="6EF730B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5259518">
            <w:pPr>
              <w:rPr>
                <w:rFonts w:ascii="Microsoft Sans Serif" w:hAnsi="Microsoft Sans Serif" w:cs="Microsoft Sans Serif"/>
                <w:i/>
                <w:iCs/>
                <w:u w:val="single"/>
                <w:lang w:val="bs-Latn-BA"/>
              </w:rPr>
            </w:pPr>
          </w:p>
        </w:tc>
        <w:tc>
          <w:tcPr>
            <w:tcW w:w="1915" w:type="dxa"/>
          </w:tcPr>
          <w:p w14:paraId="2A12720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w:t>
            </w:r>
            <w:r>
              <w:rPr>
                <w:rFonts w:ascii="Microsoft Sans Serif" w:hAnsi="Microsoft Sans Serif" w:cs="Microsoft Sans Serif"/>
                <w:lang w:val="bs-Latn-BA"/>
              </w:rPr>
              <w:t>dan</w:t>
            </w:r>
          </w:p>
          <w:p w14:paraId="1452944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008ECB0A">
            <w:pPr>
              <w:rPr>
                <w:rFonts w:ascii="Microsoft Sans Serif" w:hAnsi="Microsoft Sans Serif" w:cs="Microsoft Sans Serif"/>
                <w:i/>
                <w:iCs/>
                <w:u w:val="single"/>
                <w:lang w:val="bs-Latn-BA"/>
              </w:rPr>
            </w:pPr>
          </w:p>
        </w:tc>
        <w:tc>
          <w:tcPr>
            <w:tcW w:w="1916" w:type="dxa"/>
          </w:tcPr>
          <w:p w14:paraId="25C05A66">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200 mg/</w:t>
            </w:r>
            <w:r>
              <w:rPr>
                <w:rFonts w:ascii="Microsoft Sans Serif" w:hAnsi="Microsoft Sans Serif" w:cs="Microsoft Sans Serif"/>
                <w:lang w:val="bs-Latn-BA"/>
              </w:rPr>
              <w:t>dan</w:t>
            </w:r>
            <w:r>
              <w:rPr>
                <w:rFonts w:ascii="Microsoft Sans Serif" w:hAnsi="Microsoft Sans Serif" w:eastAsia="Calibri" w:cs="Microsoft Sans Serif"/>
                <w:lang w:val="bs-Latn-BA" w:eastAsia="en-US"/>
              </w:rPr>
              <w:t xml:space="preserve"> – uobičajena ciljna doza za </w:t>
            </w:r>
            <w:r>
              <w:rPr>
                <w:rFonts w:ascii="Microsoft Sans Serif" w:hAnsi="Microsoft Sans Serif" w:cs="Microsoft Sans Serif"/>
                <w:lang w:val="bs-Latn-BA"/>
              </w:rPr>
              <w:t>postizanje optimalnog odgovora (jednom dnevno ili dvije podijeljene doze).</w:t>
            </w:r>
          </w:p>
          <w:p w14:paraId="14E275C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Doze u opsegu 100 mg/dan do 400</w:t>
            </w:r>
          </w:p>
          <w:p w14:paraId="34BF8FD5">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mg/dan primijenjene su u kliničkim ispitivanjima.</w:t>
            </w:r>
          </w:p>
        </w:tc>
      </w:tr>
      <w:tr w14:paraId="496D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15765EF3">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29419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0629905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127544E1">
            <w:pPr>
              <w:rPr>
                <w:rFonts w:ascii="Microsoft Sans Serif" w:hAnsi="Microsoft Sans Serif" w:cs="Microsoft Sans Serif"/>
                <w:i/>
                <w:iCs/>
                <w:u w:val="single"/>
                <w:lang w:val="bs-Latn-BA"/>
              </w:rPr>
            </w:pPr>
          </w:p>
        </w:tc>
        <w:tc>
          <w:tcPr>
            <w:tcW w:w="1915" w:type="dxa"/>
          </w:tcPr>
          <w:p w14:paraId="2C81949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00541564">
            <w:pPr>
              <w:rPr>
                <w:rFonts w:ascii="Microsoft Sans Serif" w:hAnsi="Microsoft Sans Serif" w:cs="Microsoft Sans Serif"/>
                <w:i/>
                <w:iCs/>
                <w:u w:val="single"/>
                <w:lang w:val="bs-Latn-BA"/>
              </w:rPr>
            </w:pPr>
            <w:r>
              <w:rPr>
                <w:rFonts w:ascii="Microsoft Sans Serif" w:hAnsi="Microsoft Sans Serif" w:cs="Microsoft Sans Serif"/>
                <w:lang w:val="bs-Latn-BA"/>
              </w:rPr>
              <w:t>(primijenjen 25 mg svaki drugi dan)</w:t>
            </w:r>
          </w:p>
        </w:tc>
        <w:tc>
          <w:tcPr>
            <w:tcW w:w="1915" w:type="dxa"/>
          </w:tcPr>
          <w:p w14:paraId="54B61D9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1EC780BE">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4F96C01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mg/dan</w:t>
            </w:r>
          </w:p>
          <w:p w14:paraId="4934190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617868C6">
            <w:pPr>
              <w:rPr>
                <w:rFonts w:ascii="Microsoft Sans Serif" w:hAnsi="Microsoft Sans Serif" w:cs="Microsoft Sans Serif"/>
                <w:i/>
                <w:iCs/>
                <w:u w:val="single"/>
                <w:lang w:val="bs-Latn-BA"/>
              </w:rPr>
            </w:pPr>
          </w:p>
        </w:tc>
        <w:tc>
          <w:tcPr>
            <w:tcW w:w="1916" w:type="dxa"/>
          </w:tcPr>
          <w:p w14:paraId="235E499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100 mg/dan – uobičajena ciljna doza za </w:t>
            </w:r>
            <w:r>
              <w:rPr>
                <w:rFonts w:ascii="Microsoft Sans Serif" w:hAnsi="Microsoft Sans Serif" w:cs="Microsoft Sans Serif"/>
                <w:lang w:val="bs-Latn-BA"/>
              </w:rPr>
              <w:t>postizanje optimalnog odgovora (jednom dnevno ili dvije podijeljene doze.</w:t>
            </w:r>
            <w:r>
              <w:rPr>
                <w:rFonts w:ascii="Microsoft Sans Serif" w:hAnsi="Microsoft Sans Serif" w:eastAsia="Calibri" w:cs="Microsoft Sans Serif"/>
                <w:lang w:val="bs-Latn-BA" w:eastAsia="en-US"/>
              </w:rPr>
              <w:t xml:space="preserve"> Maksimalna doza 200 mg/dan</w:t>
            </w:r>
          </w:p>
          <w:p w14:paraId="1B3D293F">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može se primijeniti u zavisnosti od kliničkog odgovora.</w:t>
            </w:r>
          </w:p>
        </w:tc>
      </w:tr>
      <w:tr w14:paraId="46F3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1D777C5">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7F08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52DB1F1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5FD5892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326F38D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5FD108F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250F9C3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4267974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7DE8789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p w14:paraId="50A1EDDF">
            <w:pPr>
              <w:rPr>
                <w:rFonts w:ascii="Microsoft Sans Serif" w:hAnsi="Microsoft Sans Serif" w:cs="Microsoft Sans Serif"/>
                <w:i/>
                <w:iCs/>
                <w:u w:val="single"/>
                <w:lang w:val="bs-Latn-BA"/>
              </w:rPr>
            </w:pPr>
          </w:p>
        </w:tc>
        <w:tc>
          <w:tcPr>
            <w:tcW w:w="1915" w:type="dxa"/>
          </w:tcPr>
          <w:p w14:paraId="663192D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6B512705">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30077EB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13CAA76A">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5" w:type="dxa"/>
          </w:tcPr>
          <w:p w14:paraId="7B0A9DC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528E47F9">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6" w:type="dxa"/>
          </w:tcPr>
          <w:p w14:paraId="4ECA2C1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 u šestoj sedmici, po</w:t>
            </w:r>
          </w:p>
          <w:p w14:paraId="623178A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potrebi  povećati do uobičajene ciljne doze  </w:t>
            </w:r>
          </w:p>
          <w:p w14:paraId="4668C4C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 u</w:t>
            </w:r>
          </w:p>
          <w:p w14:paraId="15FCB706">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 xml:space="preserve">sedmoj sedmici, do </w:t>
            </w:r>
            <w:r>
              <w:rPr>
                <w:rFonts w:ascii="Microsoft Sans Serif" w:hAnsi="Microsoft Sans Serif" w:cs="Microsoft Sans Serif"/>
                <w:lang w:val="bs-Latn-BA"/>
              </w:rPr>
              <w:t xml:space="preserve">postizanje optimalnog odgovora (dvije podijeljene doze). </w:t>
            </w:r>
          </w:p>
        </w:tc>
      </w:tr>
      <w:tr w14:paraId="51E1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010935CD">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sa istovremenom primjenom valproata.</w:t>
            </w:r>
          </w:p>
        </w:tc>
      </w:tr>
    </w:tbl>
    <w:p w14:paraId="30411EDE">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ciljna doza održavanja promijeniće se u zavisnosti od kliničkog odgovora. </w:t>
      </w:r>
    </w:p>
    <w:p w14:paraId="59E5D913">
      <w:pPr>
        <w:jc w:val="both"/>
        <w:rPr>
          <w:rFonts w:ascii="Microsoft Sans Serif" w:hAnsi="Microsoft Sans Serif" w:cs="Microsoft Sans Serif"/>
          <w:i/>
          <w:iCs/>
          <w:lang w:val="bs-Latn-BA"/>
        </w:rPr>
      </w:pPr>
    </w:p>
    <w:p w14:paraId="6147AFDB">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4: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ukupna dnevna stabilna doza održavanja nakon prekida primjene drugih lijekova u terapiji bipolarnog poremećaja</w:t>
      </w:r>
    </w:p>
    <w:p w14:paraId="1B91172D">
      <w:pPr>
        <w:jc w:val="both"/>
        <w:rPr>
          <w:rFonts w:ascii="Microsoft Sans Serif" w:hAnsi="Microsoft Sans Serif" w:cs="Microsoft Sans Serif"/>
          <w:i/>
          <w:iCs/>
          <w:u w:val="single"/>
          <w:lang w:val="bs-Latn-BA"/>
        </w:rPr>
      </w:pPr>
    </w:p>
    <w:p w14:paraId="764BE0C8">
      <w:pPr>
        <w:jc w:val="both"/>
        <w:rPr>
          <w:rFonts w:ascii="Microsoft Sans Serif" w:hAnsi="Microsoft Sans Serif" w:cs="Microsoft Sans Serif"/>
          <w:iCs/>
          <w:lang w:val="bs-Latn-BA"/>
        </w:rPr>
      </w:pPr>
      <w:r>
        <w:rPr>
          <w:rFonts w:ascii="Microsoft Sans Serif" w:hAnsi="Microsoft Sans Serif" w:cs="Microsoft Sans Serif"/>
          <w:iCs/>
          <w:lang w:val="bs-Latn-BA"/>
        </w:rPr>
        <w:t>Nakon postizanja ciljne stabilne doze održavanja, primjena drugih lijekova može biti prekinuta kao što je prikazano u nastavku.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19"/>
        <w:gridCol w:w="1795"/>
        <w:gridCol w:w="1789"/>
        <w:gridCol w:w="1823"/>
      </w:tblGrid>
      <w:tr w14:paraId="125D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3777D56F">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859" w:type="dxa"/>
          </w:tcPr>
          <w:p w14:paraId="4B46F1BE">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prekida drugih lijekova)</w:t>
            </w:r>
          </w:p>
        </w:tc>
        <w:tc>
          <w:tcPr>
            <w:tcW w:w="1847" w:type="dxa"/>
          </w:tcPr>
          <w:p w14:paraId="5D9713E5">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prekida drugih lijekova)</w:t>
            </w:r>
          </w:p>
        </w:tc>
        <w:tc>
          <w:tcPr>
            <w:tcW w:w="1842" w:type="dxa"/>
          </w:tcPr>
          <w:p w14:paraId="0DDF2ED6">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860" w:type="dxa"/>
          </w:tcPr>
          <w:p w14:paraId="0D6FD1CB">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7D0B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6792A044">
            <w:pPr>
              <w:rPr>
                <w:rFonts w:ascii="Microsoft Sans Serif" w:hAnsi="Microsoft Sans Serif" w:cs="Microsoft Sans Serif"/>
                <w:iCs/>
                <w:lang w:val="bs-Latn-BA"/>
              </w:rPr>
            </w:pPr>
            <w:r>
              <w:rPr>
                <w:rFonts w:ascii="Microsoft Sans Serif" w:hAnsi="Microsoft Sans Serif" w:cs="Microsoft Sans Serif"/>
                <w:b/>
                <w:iCs/>
                <w:lang w:val="bs-Latn-BA"/>
              </w:rPr>
              <w:t>Prekid uzimanja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13DE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572EE6AF">
            <w:pPr>
              <w:rPr>
                <w:rFonts w:ascii="Microsoft Sans Serif" w:hAnsi="Microsoft Sans Serif" w:cs="Microsoft Sans Serif"/>
                <w:iCs/>
                <w:lang w:val="bs-Latn-BA"/>
              </w:rPr>
            </w:pPr>
            <w:r>
              <w:rPr>
                <w:rFonts w:ascii="Microsoft Sans Serif" w:hAnsi="Microsoft Sans Serif" w:cs="Microsoft Sans Serif"/>
                <w:iCs/>
                <w:lang w:val="bs-Latn-BA"/>
              </w:rPr>
              <w:t>Kada je valproat prekinut, duplirati stabilnu dozu ne prelazeći povećanje više od 100 mg/sedmično</w:t>
            </w:r>
          </w:p>
        </w:tc>
        <w:tc>
          <w:tcPr>
            <w:tcW w:w="1859" w:type="dxa"/>
          </w:tcPr>
          <w:p w14:paraId="110E1EAE">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100 mg/dan</w:t>
            </w:r>
          </w:p>
        </w:tc>
        <w:tc>
          <w:tcPr>
            <w:tcW w:w="1847" w:type="dxa"/>
          </w:tcPr>
          <w:p w14:paraId="60DEEFC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3702" w:type="dxa"/>
            <w:gridSpan w:val="2"/>
          </w:tcPr>
          <w:p w14:paraId="6816D29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2A0FFE2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r>
              <w:rPr>
                <w:rFonts w:ascii="Microsoft Sans Serif" w:hAnsi="Microsoft Sans Serif" w:cs="Microsoft Sans Serif"/>
                <w:lang w:val="bs-Latn-BA"/>
              </w:rPr>
              <w:t>dvije podijeljene doze</w:t>
            </w:r>
            <w:r>
              <w:rPr>
                <w:rFonts w:ascii="Microsoft Sans Serif" w:hAnsi="Microsoft Sans Serif" w:eastAsia="Calibri" w:cs="Microsoft Sans Serif"/>
                <w:lang w:val="bs-Latn-BA" w:eastAsia="en-US"/>
              </w:rPr>
              <w:t>)</w:t>
            </w:r>
          </w:p>
        </w:tc>
      </w:tr>
      <w:tr w14:paraId="13DD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5015F872">
            <w:pPr>
              <w:autoSpaceDE w:val="0"/>
              <w:autoSpaceDN w:val="0"/>
              <w:adjustRightInd w:val="0"/>
              <w:rPr>
                <w:rFonts w:ascii="Microsoft Sans Serif" w:hAnsi="Microsoft Sans Serif" w:cs="Microsoft Sans Serif"/>
                <w:i/>
                <w:iCs/>
                <w:u w:val="single"/>
                <w:lang w:val="bs-Latn-BA"/>
              </w:rPr>
            </w:pPr>
          </w:p>
        </w:tc>
        <w:tc>
          <w:tcPr>
            <w:tcW w:w="1859" w:type="dxa"/>
          </w:tcPr>
          <w:p w14:paraId="2B554BE7">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1847" w:type="dxa"/>
          </w:tcPr>
          <w:p w14:paraId="41D93CDB">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300 mg/dan</w:t>
            </w:r>
          </w:p>
        </w:tc>
        <w:tc>
          <w:tcPr>
            <w:tcW w:w="1842" w:type="dxa"/>
          </w:tcPr>
          <w:p w14:paraId="2B88E20C">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860" w:type="dxa"/>
          </w:tcPr>
          <w:p w14:paraId="22D7C221">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Održavanje ove doze (400 mg/dan)</w:t>
            </w:r>
          </w:p>
        </w:tc>
      </w:tr>
      <w:tr w14:paraId="02313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586CEC94">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prvobitne doze lamotrigina:</w:t>
            </w:r>
          </w:p>
        </w:tc>
      </w:tr>
      <w:tr w14:paraId="2C91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6836298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uzimanje sljedećih lijekova:</w:t>
            </w:r>
          </w:p>
          <w:p w14:paraId="13A2EB0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4DB0794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1340E6F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642C7B2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49140AE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6C04D5B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859" w:type="dxa"/>
          </w:tcPr>
          <w:p w14:paraId="40FCE75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7" w:type="dxa"/>
          </w:tcPr>
          <w:p w14:paraId="6C78785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2" w:type="dxa"/>
          </w:tcPr>
          <w:p w14:paraId="4139D4A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60" w:type="dxa"/>
          </w:tcPr>
          <w:p w14:paraId="367E1B0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7E1C5D43">
            <w:pPr>
              <w:autoSpaceDE w:val="0"/>
              <w:autoSpaceDN w:val="0"/>
              <w:adjustRightInd w:val="0"/>
              <w:rPr>
                <w:rFonts w:ascii="Microsoft Sans Serif" w:hAnsi="Microsoft Sans Serif" w:cs="Microsoft Sans Serif"/>
                <w:lang w:val="bs-Latn-BA"/>
              </w:rPr>
            </w:pPr>
          </w:p>
          <w:p w14:paraId="118D6619">
            <w:pPr>
              <w:autoSpaceDE w:val="0"/>
              <w:autoSpaceDN w:val="0"/>
              <w:adjustRightInd w:val="0"/>
              <w:rPr>
                <w:rFonts w:ascii="Microsoft Sans Serif" w:hAnsi="Microsoft Sans Serif" w:cs="Microsoft Sans Serif"/>
                <w:lang w:val="bs-Latn-BA"/>
              </w:rPr>
            </w:pPr>
          </w:p>
        </w:tc>
      </w:tr>
      <w:tr w14:paraId="078B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39A6B609">
            <w:pPr>
              <w:rPr>
                <w:rFonts w:ascii="Microsoft Sans Serif" w:hAnsi="Microsoft Sans Serif" w:cs="Microsoft Sans Serif"/>
                <w:lang w:val="bs-Latn-BA"/>
              </w:rPr>
            </w:pPr>
          </w:p>
        </w:tc>
        <w:tc>
          <w:tcPr>
            <w:tcW w:w="1859" w:type="dxa"/>
          </w:tcPr>
          <w:p w14:paraId="2B3EE4D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7" w:type="dxa"/>
          </w:tcPr>
          <w:p w14:paraId="19E2109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2" w:type="dxa"/>
          </w:tcPr>
          <w:p w14:paraId="52A4CFB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225 mg/dan</w:t>
            </w:r>
          </w:p>
        </w:tc>
        <w:tc>
          <w:tcPr>
            <w:tcW w:w="1860" w:type="dxa"/>
          </w:tcPr>
          <w:p w14:paraId="795AED3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p w14:paraId="62C3D337">
            <w:pPr>
              <w:autoSpaceDE w:val="0"/>
              <w:autoSpaceDN w:val="0"/>
              <w:adjustRightInd w:val="0"/>
              <w:rPr>
                <w:rFonts w:ascii="Microsoft Sans Serif" w:hAnsi="Microsoft Sans Serif" w:cs="Microsoft Sans Serif"/>
                <w:lang w:val="bs-Latn-BA"/>
              </w:rPr>
            </w:pPr>
          </w:p>
          <w:p w14:paraId="5EAE41F1">
            <w:pPr>
              <w:autoSpaceDE w:val="0"/>
              <w:autoSpaceDN w:val="0"/>
              <w:adjustRightInd w:val="0"/>
              <w:rPr>
                <w:rFonts w:ascii="Microsoft Sans Serif" w:hAnsi="Microsoft Sans Serif" w:cs="Microsoft Sans Serif"/>
                <w:lang w:val="bs-Latn-BA"/>
              </w:rPr>
            </w:pPr>
          </w:p>
        </w:tc>
      </w:tr>
      <w:tr w14:paraId="7070B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1B093E68">
            <w:pPr>
              <w:rPr>
                <w:rFonts w:ascii="Microsoft Sans Serif" w:hAnsi="Microsoft Sans Serif" w:cs="Microsoft Sans Serif"/>
                <w:i/>
                <w:iCs/>
                <w:u w:val="single"/>
                <w:lang w:val="bs-Latn-BA"/>
              </w:rPr>
            </w:pPr>
          </w:p>
        </w:tc>
        <w:tc>
          <w:tcPr>
            <w:tcW w:w="1859" w:type="dxa"/>
          </w:tcPr>
          <w:p w14:paraId="7D7D83B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7" w:type="dxa"/>
          </w:tcPr>
          <w:p w14:paraId="6E07EFB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2" w:type="dxa"/>
          </w:tcPr>
          <w:p w14:paraId="7B823F3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tc>
        <w:tc>
          <w:tcPr>
            <w:tcW w:w="1860" w:type="dxa"/>
          </w:tcPr>
          <w:p w14:paraId="14188FC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tc>
      </w:tr>
      <w:tr w14:paraId="05AB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52755FC3">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lijekova koji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b/>
                <w:iCs/>
                <w:lang w:val="bs-Latn-BA"/>
              </w:rPr>
              <w:t>značajno</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(pogledati dio 4.5): </w:t>
            </w:r>
          </w:p>
        </w:tc>
      </w:tr>
      <w:tr w14:paraId="142EF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338D3573">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primjena drugih lijekova koji ne inhibiraju ili indukuju glukuronidaciju lamotrigina značajno</w:t>
            </w:r>
          </w:p>
          <w:p w14:paraId="4DFEA0B8">
            <w:pPr>
              <w:autoSpaceDE w:val="0"/>
              <w:autoSpaceDN w:val="0"/>
              <w:adjustRightInd w:val="0"/>
              <w:rPr>
                <w:rFonts w:ascii="Microsoft Sans Serif" w:hAnsi="Microsoft Sans Serif" w:cs="Microsoft Sans Serif"/>
                <w:i/>
                <w:iCs/>
                <w:u w:val="single"/>
                <w:lang w:val="bs-Latn-BA"/>
              </w:rPr>
            </w:pPr>
          </w:p>
        </w:tc>
        <w:tc>
          <w:tcPr>
            <w:tcW w:w="7408" w:type="dxa"/>
            <w:gridSpan w:val="4"/>
          </w:tcPr>
          <w:p w14:paraId="15BB81B2">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tokom povećanja doze (200 mg/dan; dvije podijeljene doze) (doza u rasponu od 100 mg/dan do 400 mg/dan).</w:t>
            </w:r>
          </w:p>
          <w:p w14:paraId="7CFF4965">
            <w:pPr>
              <w:autoSpaceDE w:val="0"/>
              <w:autoSpaceDN w:val="0"/>
              <w:adjustRightInd w:val="0"/>
              <w:rPr>
                <w:rFonts w:ascii="Microsoft Sans Serif" w:hAnsi="Microsoft Sans Serif" w:cs="Microsoft Sans Serif"/>
                <w:i/>
                <w:iCs/>
                <w:u w:val="single"/>
                <w:lang w:val="bs-Latn-BA"/>
              </w:rPr>
            </w:pPr>
          </w:p>
        </w:tc>
      </w:tr>
      <w:tr w14:paraId="3FBE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499F8CC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režim liječenja koji se preporučuje za lamotrigin je da se na početku održava aktuelna doza i u toku liječenja da se doza lamotrigina prilagodi prema kliničkom odgovoru.</w:t>
            </w:r>
          </w:p>
        </w:tc>
      </w:tr>
    </w:tbl>
    <w:p w14:paraId="23B2DB76">
      <w:pPr>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 po potrebi se doza može povećati do 400 mg/dan. </w:t>
      </w:r>
    </w:p>
    <w:p w14:paraId="6D67835C">
      <w:pPr>
        <w:rPr>
          <w:rFonts w:ascii="Microsoft Sans Serif" w:hAnsi="Microsoft Sans Serif" w:cs="Microsoft Sans Serif"/>
          <w:lang w:val="bs-Latn-BA"/>
        </w:rPr>
      </w:pPr>
    </w:p>
    <w:p w14:paraId="3FE3CBBC">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5: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prilagođavanje dnevne doze lamotrigina nakon dodavanja drugih lijekova u terapiji bipolarnog poremećaja</w:t>
      </w:r>
    </w:p>
    <w:p w14:paraId="4DEE2B10">
      <w:pPr>
        <w:rPr>
          <w:rFonts w:ascii="Microsoft Sans Serif" w:hAnsi="Microsoft Sans Serif" w:cs="Microsoft Sans Serif"/>
          <w:iCs/>
          <w:u w:val="single"/>
          <w:lang w:val="bs-Latn-BA"/>
        </w:rPr>
      </w:pPr>
    </w:p>
    <w:p w14:paraId="7D077A7F">
      <w:pPr>
        <w:autoSpaceDE w:val="0"/>
        <w:autoSpaceDN w:val="0"/>
        <w:adjustRightInd w:val="0"/>
        <w:jc w:val="both"/>
        <w:rPr>
          <w:rFonts w:ascii="Microsoft Sans Serif" w:hAnsi="Microsoft Sans Serif" w:cs="Microsoft Sans Serif"/>
          <w:iCs/>
          <w:lang w:val="bs-Latn-BA"/>
        </w:rPr>
      </w:pPr>
      <w:r>
        <w:rPr>
          <w:rFonts w:ascii="Microsoft Sans Serif" w:hAnsi="Microsoft Sans Serif" w:cs="Microsoft Sans Serif"/>
          <w:iCs/>
          <w:lang w:val="bs-Latn-BA"/>
        </w:rPr>
        <w:t>Ne postoji kliničko iskustvo prilagođavanja dnevne doze lamotrigina  nakon dodavanja drugih lijekova u terapiji bipolarnog poremećaja. Međutim, na osnovu studije interakcije sa drugim lijekovima, mogu se dati sljedeće preporuke: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23"/>
        <w:gridCol w:w="1816"/>
        <w:gridCol w:w="1793"/>
        <w:gridCol w:w="1794"/>
      </w:tblGrid>
      <w:tr w14:paraId="1A8F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3EB310D6">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08DEFE91">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dodavanja drugih lijekova)</w:t>
            </w:r>
          </w:p>
        </w:tc>
        <w:tc>
          <w:tcPr>
            <w:tcW w:w="1915" w:type="dxa"/>
          </w:tcPr>
          <w:p w14:paraId="3B6DA6C6">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dodavanja drugih lijekova)</w:t>
            </w:r>
          </w:p>
        </w:tc>
        <w:tc>
          <w:tcPr>
            <w:tcW w:w="1915" w:type="dxa"/>
          </w:tcPr>
          <w:p w14:paraId="0EA131B3">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916" w:type="dxa"/>
          </w:tcPr>
          <w:p w14:paraId="2CB9D7CA">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7EEA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2389312">
            <w:pPr>
              <w:rPr>
                <w:rFonts w:ascii="Microsoft Sans Serif" w:hAnsi="Microsoft Sans Serif" w:cs="Microsoft Sans Serif"/>
                <w:iCs/>
                <w:lang w:val="bs-Latn-BA"/>
              </w:rPr>
            </w:pPr>
            <w:r>
              <w:rPr>
                <w:rFonts w:ascii="Microsoft Sans Serif" w:hAnsi="Microsoft Sans Serif" w:cs="Microsoft Sans Serif"/>
                <w:b/>
                <w:iCs/>
                <w:lang w:val="bs-Latn-BA"/>
              </w:rPr>
              <w:t>Dodavanje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55E9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00C3BFAF">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dodaje valproat nezavisno od drugih lijekova koji se primjenjuju istovremeno.</w:t>
            </w:r>
          </w:p>
        </w:tc>
        <w:tc>
          <w:tcPr>
            <w:tcW w:w="1915" w:type="dxa"/>
          </w:tcPr>
          <w:p w14:paraId="1C8F9AA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p w14:paraId="412A0A93">
            <w:pPr>
              <w:autoSpaceDE w:val="0"/>
              <w:autoSpaceDN w:val="0"/>
              <w:adjustRightInd w:val="0"/>
              <w:rPr>
                <w:rFonts w:ascii="Microsoft Sans Serif" w:hAnsi="Microsoft Sans Serif" w:eastAsia="Calibri" w:cs="Microsoft Sans Serif"/>
                <w:lang w:val="bs-Latn-BA" w:eastAsia="en-US"/>
              </w:rPr>
            </w:pPr>
          </w:p>
        </w:tc>
        <w:tc>
          <w:tcPr>
            <w:tcW w:w="1915" w:type="dxa"/>
          </w:tcPr>
          <w:p w14:paraId="442EAA0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p w14:paraId="7EC46C08">
            <w:pPr>
              <w:autoSpaceDE w:val="0"/>
              <w:autoSpaceDN w:val="0"/>
              <w:adjustRightInd w:val="0"/>
              <w:rPr>
                <w:rFonts w:ascii="Microsoft Sans Serif" w:hAnsi="Microsoft Sans Serif" w:eastAsia="Calibri" w:cs="Microsoft Sans Serif"/>
                <w:lang w:val="bs-Latn-BA" w:eastAsia="en-US"/>
              </w:rPr>
            </w:pPr>
          </w:p>
        </w:tc>
        <w:tc>
          <w:tcPr>
            <w:tcW w:w="3831" w:type="dxa"/>
            <w:gridSpan w:val="2"/>
          </w:tcPr>
          <w:p w14:paraId="5892446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(100 mg/dan)</w:t>
            </w:r>
          </w:p>
          <w:p w14:paraId="427A0DE2">
            <w:pPr>
              <w:autoSpaceDE w:val="0"/>
              <w:autoSpaceDN w:val="0"/>
              <w:adjustRightInd w:val="0"/>
              <w:rPr>
                <w:rFonts w:ascii="Microsoft Sans Serif" w:hAnsi="Microsoft Sans Serif" w:eastAsia="Calibri" w:cs="Microsoft Sans Serif"/>
                <w:lang w:val="bs-Latn-BA" w:eastAsia="en-US"/>
              </w:rPr>
            </w:pPr>
          </w:p>
        </w:tc>
      </w:tr>
      <w:tr w14:paraId="781D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2941A71A">
            <w:pPr>
              <w:rPr>
                <w:rFonts w:ascii="Microsoft Sans Serif" w:hAnsi="Microsoft Sans Serif" w:cs="Microsoft Sans Serif"/>
                <w:iCs/>
                <w:lang w:val="bs-Latn-BA"/>
              </w:rPr>
            </w:pPr>
          </w:p>
        </w:tc>
        <w:tc>
          <w:tcPr>
            <w:tcW w:w="1915" w:type="dxa"/>
          </w:tcPr>
          <w:p w14:paraId="2E31C22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42C68BDE">
            <w:pPr>
              <w:autoSpaceDE w:val="0"/>
              <w:autoSpaceDN w:val="0"/>
              <w:adjustRightInd w:val="0"/>
              <w:rPr>
                <w:rFonts w:ascii="Microsoft Sans Serif" w:hAnsi="Microsoft Sans Serif" w:cs="Microsoft Sans Serif"/>
                <w:lang w:val="bs-Latn-BA"/>
              </w:rPr>
            </w:pPr>
          </w:p>
        </w:tc>
        <w:tc>
          <w:tcPr>
            <w:tcW w:w="1915" w:type="dxa"/>
          </w:tcPr>
          <w:p w14:paraId="58E0BCF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p w14:paraId="39D9A01F">
            <w:pPr>
              <w:autoSpaceDE w:val="0"/>
              <w:autoSpaceDN w:val="0"/>
              <w:adjustRightInd w:val="0"/>
              <w:rPr>
                <w:rFonts w:ascii="Microsoft Sans Serif" w:hAnsi="Microsoft Sans Serif" w:cs="Microsoft Sans Serif"/>
                <w:lang w:val="bs-Latn-BA"/>
              </w:rPr>
            </w:pPr>
          </w:p>
        </w:tc>
        <w:tc>
          <w:tcPr>
            <w:tcW w:w="3831" w:type="dxa"/>
            <w:gridSpan w:val="2"/>
          </w:tcPr>
          <w:p w14:paraId="21B7D4E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(150 mg/dan)</w:t>
            </w:r>
          </w:p>
          <w:p w14:paraId="4520D9CF">
            <w:pPr>
              <w:autoSpaceDE w:val="0"/>
              <w:autoSpaceDN w:val="0"/>
              <w:adjustRightInd w:val="0"/>
              <w:rPr>
                <w:rFonts w:ascii="Microsoft Sans Serif" w:hAnsi="Microsoft Sans Serif" w:eastAsia="Calibri" w:cs="Microsoft Sans Serif"/>
                <w:lang w:val="bs-Latn-BA" w:eastAsia="en-US"/>
              </w:rPr>
            </w:pPr>
          </w:p>
        </w:tc>
      </w:tr>
      <w:tr w14:paraId="5310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3BA67401">
            <w:pPr>
              <w:autoSpaceDE w:val="0"/>
              <w:autoSpaceDN w:val="0"/>
              <w:adjustRightInd w:val="0"/>
              <w:rPr>
                <w:rFonts w:ascii="Microsoft Sans Serif" w:hAnsi="Microsoft Sans Serif" w:cs="Microsoft Sans Serif"/>
                <w:i/>
                <w:iCs/>
                <w:u w:val="single"/>
                <w:lang w:val="bs-Latn-BA"/>
              </w:rPr>
            </w:pPr>
          </w:p>
        </w:tc>
        <w:tc>
          <w:tcPr>
            <w:tcW w:w="1915" w:type="dxa"/>
          </w:tcPr>
          <w:p w14:paraId="3895585A">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915" w:type="dxa"/>
          </w:tcPr>
          <w:p w14:paraId="3914FA8A">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3831" w:type="dxa"/>
            <w:gridSpan w:val="2"/>
          </w:tcPr>
          <w:p w14:paraId="36424A4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5798F274">
            <w:pPr>
              <w:rPr>
                <w:rFonts w:ascii="Microsoft Sans Serif" w:hAnsi="Microsoft Sans Serif" w:cs="Microsoft Sans Serif"/>
                <w:i/>
                <w:iCs/>
                <w:u w:val="single"/>
                <w:lang w:val="bs-Latn-BA"/>
              </w:rPr>
            </w:pPr>
          </w:p>
        </w:tc>
      </w:tr>
      <w:tr w14:paraId="7DC4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E1EB5D4">
            <w:pPr>
              <w:rPr>
                <w:rFonts w:ascii="Microsoft Sans Serif" w:hAnsi="Microsoft Sans Serif" w:cs="Microsoft Sans Serif"/>
                <w:lang w:val="bs-Latn-BA"/>
              </w:rPr>
            </w:pPr>
            <w:r>
              <w:rPr>
                <w:rFonts w:ascii="Microsoft Sans Serif" w:hAnsi="Microsoft Sans Serif" w:cs="Microsoft Sans Serif"/>
                <w:b/>
                <w:iCs/>
                <w:lang w:val="bs-Latn-BA"/>
              </w:rPr>
              <w:t xml:space="preserve">Dodavanje induktora </w:t>
            </w:r>
            <w:r>
              <w:rPr>
                <w:rFonts w:ascii="Microsoft Sans Serif" w:hAnsi="Microsoft Sans Serif" w:cs="Microsoft Sans Serif"/>
                <w:b/>
                <w:lang w:val="bs-Latn-BA"/>
              </w:rPr>
              <w:t>glukuronidacije lamotrigina kod pacijenata koji NE uzimaju valproate</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izvorne doze lamotrigina:</w:t>
            </w:r>
          </w:p>
        </w:tc>
      </w:tr>
      <w:tr w14:paraId="6855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2306B5C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dodaju sljedeći lijekovi ali bez valproata:</w:t>
            </w:r>
          </w:p>
          <w:p w14:paraId="2B47321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6C15CC5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09AF106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1CFBE70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03AC84D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6EACA2A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915" w:type="dxa"/>
          </w:tcPr>
          <w:p w14:paraId="0CE883E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0DC8F48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6BE953B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tc>
        <w:tc>
          <w:tcPr>
            <w:tcW w:w="1916" w:type="dxa"/>
          </w:tcPr>
          <w:p w14:paraId="3CBD3CA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w:t>
            </w:r>
          </w:p>
          <w:p w14:paraId="3E2504B0">
            <w:pPr>
              <w:rPr>
                <w:rFonts w:ascii="Microsoft Sans Serif" w:hAnsi="Microsoft Sans Serif" w:eastAsia="Calibri" w:cs="Microsoft Sans Serif"/>
                <w:lang w:val="bs-Latn-BA" w:eastAsia="en-US"/>
              </w:rPr>
            </w:pPr>
          </w:p>
          <w:p w14:paraId="6CE8A64A">
            <w:pPr>
              <w:rPr>
                <w:rFonts w:ascii="Microsoft Sans Serif" w:hAnsi="Microsoft Sans Serif" w:eastAsia="Calibri" w:cs="Microsoft Sans Serif"/>
                <w:lang w:val="bs-Latn-BA" w:eastAsia="en-US"/>
              </w:rPr>
            </w:pPr>
          </w:p>
        </w:tc>
      </w:tr>
      <w:tr w14:paraId="0DBF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1F6155FF">
            <w:pPr>
              <w:rPr>
                <w:rFonts w:ascii="Microsoft Sans Serif" w:hAnsi="Microsoft Sans Serif" w:cs="Microsoft Sans Serif"/>
                <w:lang w:val="bs-Latn-BA"/>
              </w:rPr>
            </w:pPr>
          </w:p>
        </w:tc>
        <w:tc>
          <w:tcPr>
            <w:tcW w:w="1915" w:type="dxa"/>
          </w:tcPr>
          <w:p w14:paraId="508674F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18A4820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1FC5921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225 mg/dan</w:t>
            </w:r>
          </w:p>
        </w:tc>
        <w:tc>
          <w:tcPr>
            <w:tcW w:w="1916" w:type="dxa"/>
          </w:tcPr>
          <w:p w14:paraId="4E971FD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53DEFE44">
            <w:pPr>
              <w:rPr>
                <w:rFonts w:ascii="Microsoft Sans Serif" w:hAnsi="Microsoft Sans Serif" w:eastAsia="Calibri" w:cs="Microsoft Sans Serif"/>
                <w:lang w:val="bs-Latn-BA" w:eastAsia="en-US"/>
              </w:rPr>
            </w:pPr>
          </w:p>
          <w:p w14:paraId="78486A77">
            <w:pPr>
              <w:rPr>
                <w:rFonts w:ascii="Microsoft Sans Serif" w:hAnsi="Microsoft Sans Serif" w:eastAsia="Calibri" w:cs="Microsoft Sans Serif"/>
                <w:lang w:val="bs-Latn-BA" w:eastAsia="en-US"/>
              </w:rPr>
            </w:pPr>
          </w:p>
        </w:tc>
      </w:tr>
      <w:tr w14:paraId="572C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5D87F1F5">
            <w:pPr>
              <w:rPr>
                <w:rFonts w:ascii="Microsoft Sans Serif" w:hAnsi="Microsoft Sans Serif" w:cs="Microsoft Sans Serif"/>
                <w:i/>
                <w:iCs/>
                <w:u w:val="single"/>
                <w:lang w:val="bs-Latn-BA"/>
              </w:rPr>
            </w:pPr>
          </w:p>
        </w:tc>
        <w:tc>
          <w:tcPr>
            <w:tcW w:w="1915" w:type="dxa"/>
          </w:tcPr>
          <w:p w14:paraId="7374E40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67D7D0B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37E333C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6" w:type="dxa"/>
          </w:tcPr>
          <w:p w14:paraId="3E05499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r>
      <w:tr w14:paraId="5B2B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77C47493">
            <w:pPr>
              <w:rPr>
                <w:rFonts w:ascii="Microsoft Sans Serif" w:hAnsi="Microsoft Sans Serif" w:cs="Microsoft Sans Serif"/>
                <w:iCs/>
                <w:lang w:val="bs-Latn-BA"/>
              </w:rPr>
            </w:pPr>
            <w:r>
              <w:rPr>
                <w:rFonts w:ascii="Microsoft Sans Serif" w:hAnsi="Microsoft Sans Serif" w:cs="Microsoft Sans Serif"/>
                <w:b/>
                <w:iCs/>
                <w:lang w:val="bs-Latn-BA"/>
              </w:rPr>
              <w:t xml:space="preserve">Dodavanje lijekova koji značajno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w:t>
            </w:r>
          </w:p>
        </w:tc>
      </w:tr>
      <w:tr w14:paraId="7AC8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3A564F97">
            <w:pPr>
              <w:rPr>
                <w:rFonts w:ascii="Microsoft Sans Serif" w:hAnsi="Microsoft Sans Serif" w:cs="Microsoft Sans Serif"/>
                <w:lang w:val="bs-Latn-BA"/>
              </w:rPr>
            </w:pPr>
            <w:r>
              <w:rPr>
                <w:rFonts w:ascii="Microsoft Sans Serif" w:hAnsi="Microsoft Sans Serif" w:cs="Microsoft Sans Serif"/>
                <w:lang w:val="bs-Latn-BA"/>
              </w:rPr>
              <w:t xml:space="preserve">Ovaj režim doziranja treba koristiti kada se dodaju drugi lijekovi  koji ne inhibiraju ili indukuju glukuronidaciju lamotrigina značajno.  </w:t>
            </w:r>
          </w:p>
          <w:p w14:paraId="5E48F995">
            <w:pPr>
              <w:autoSpaceDE w:val="0"/>
              <w:autoSpaceDN w:val="0"/>
              <w:adjustRightInd w:val="0"/>
              <w:rPr>
                <w:rFonts w:ascii="Microsoft Sans Serif" w:hAnsi="Microsoft Sans Serif" w:cs="Microsoft Sans Serif"/>
                <w:i/>
                <w:iCs/>
                <w:u w:val="single"/>
                <w:lang w:val="bs-Latn-BA"/>
              </w:rPr>
            </w:pPr>
          </w:p>
        </w:tc>
        <w:tc>
          <w:tcPr>
            <w:tcW w:w="7661" w:type="dxa"/>
            <w:gridSpan w:val="4"/>
          </w:tcPr>
          <w:p w14:paraId="6F2EDD9D">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postupnim povećanjem doze (200 mg/dan; doza u rasponu od 100 mg/dan do 400 mg/dan).</w:t>
            </w:r>
          </w:p>
          <w:p w14:paraId="74A2B8FC">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 </w:t>
            </w:r>
          </w:p>
        </w:tc>
      </w:tr>
      <w:tr w14:paraId="1C0E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3B49E94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treba koristiti terapiju kao što je preporučeno za lamotrigin sa istovremenom primjenom valproata.</w:t>
            </w:r>
          </w:p>
        </w:tc>
      </w:tr>
    </w:tbl>
    <w:p w14:paraId="569C0189">
      <w:pPr>
        <w:rPr>
          <w:rFonts w:ascii="Microsoft Sans Serif" w:hAnsi="Microsoft Sans Serif" w:eastAsia="Calibri" w:cs="Microsoft Sans Serif"/>
          <w:lang w:val="bs-Latn-BA" w:eastAsia="en-US"/>
        </w:rPr>
      </w:pPr>
    </w:p>
    <w:p w14:paraId="76E3B994">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lang w:val="bs-Latn-BA" w:eastAsia="en-US"/>
        </w:rPr>
        <w:t>Prekid terapije lamotriginom kod pacijenata sa bipolarnim poremećajem</w:t>
      </w:r>
    </w:p>
    <w:p w14:paraId="12806B2C">
      <w:pPr>
        <w:autoSpaceDE w:val="0"/>
        <w:autoSpaceDN w:val="0"/>
        <w:adjustRightInd w:val="0"/>
        <w:jc w:val="both"/>
        <w:rPr>
          <w:rFonts w:ascii="Microsoft Sans Serif" w:hAnsi="Microsoft Sans Serif" w:eastAsia="Calibri" w:cs="Microsoft Sans Serif"/>
          <w:iCs/>
          <w:lang w:val="bs-Latn-BA" w:eastAsia="en-US"/>
        </w:rPr>
      </w:pPr>
      <w:r>
        <w:rPr>
          <w:rFonts w:ascii="Microsoft Sans Serif" w:hAnsi="Microsoft Sans Serif" w:eastAsia="Calibri" w:cs="Microsoft Sans Serif"/>
          <w:iCs/>
          <w:lang w:val="bs-Latn-BA" w:eastAsia="en-US"/>
        </w:rPr>
        <w:t>U kliničkim ispitivanjima nije bilo povećanja učestalosti, ozbiljnosti i vrsta neželjenih dejstava nakon naglog prestanka terapije lamotriginom u odnosu na placebo. Dakle, pacijenti mogu prekinuti terapiju lamotriginom bez postepenog smanjenja doze.</w:t>
      </w:r>
    </w:p>
    <w:p w14:paraId="12544ABA">
      <w:pPr>
        <w:autoSpaceDE w:val="0"/>
        <w:autoSpaceDN w:val="0"/>
        <w:adjustRightInd w:val="0"/>
        <w:jc w:val="both"/>
        <w:rPr>
          <w:rFonts w:ascii="Microsoft Sans Serif" w:hAnsi="Microsoft Sans Serif" w:eastAsia="Calibri" w:cs="Microsoft Sans Serif"/>
          <w:iCs/>
          <w:lang w:val="bs-Latn-BA" w:eastAsia="en-US"/>
        </w:rPr>
      </w:pPr>
    </w:p>
    <w:p w14:paraId="62A4C4B7">
      <w:pPr>
        <w:autoSpaceDE w:val="0"/>
        <w:autoSpaceDN w:val="0"/>
        <w:adjustRightInd w:val="0"/>
        <w:jc w:val="both"/>
        <w:rPr>
          <w:rFonts w:ascii="Microsoft Sans Serif" w:hAnsi="Microsoft Sans Serif" w:eastAsia="Calibri" w:cs="Microsoft Sans Serif"/>
          <w:b/>
          <w:iCs/>
          <w:lang w:val="bs-Latn-BA" w:eastAsia="en-US"/>
        </w:rPr>
      </w:pPr>
      <w:r>
        <w:rPr>
          <w:rFonts w:ascii="Microsoft Sans Serif" w:hAnsi="Microsoft Sans Serif" w:eastAsia="Calibri" w:cs="Microsoft Sans Serif"/>
          <w:b/>
          <w:iCs/>
          <w:lang w:val="bs-Latn-BA" w:eastAsia="en-US"/>
        </w:rPr>
        <w:t>Djeca i adolescenti mlađi od 18 godina</w:t>
      </w:r>
    </w:p>
    <w:p w14:paraId="3B19D048">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iCs/>
          <w:lang w:val="bs-Latn-BA" w:eastAsia="en-US"/>
        </w:rPr>
        <w:t xml:space="preserve">Lamotrigin se ne preporučuje za primjenu kod djece mlađe od 18 godina </w:t>
      </w:r>
      <w:r>
        <w:rPr>
          <w:rFonts w:ascii="Microsoft Sans Serif" w:hAnsi="Microsoft Sans Serif" w:cs="Microsoft Sans Serif"/>
          <w:lang w:val="mk-MK" w:eastAsia="mk-MK"/>
        </w:rPr>
        <w:t>obzirom da randomizovana studija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obustave lijeka nije pokazala značajnu efikasnost</w:t>
      </w:r>
      <w:r>
        <w:rPr>
          <w:rFonts w:ascii="Microsoft Sans Serif" w:hAnsi="Microsoft Sans Serif" w:cs="Microsoft Sans Serif"/>
          <w:lang w:val="hr-BA" w:eastAsia="mk-MK"/>
        </w:rPr>
        <w:t xml:space="preserve"> a pokazala </w:t>
      </w:r>
      <w:r>
        <w:rPr>
          <w:rFonts w:ascii="Microsoft Sans Serif" w:hAnsi="Microsoft Sans Serif" w:cs="Microsoft Sans Serif"/>
          <w:lang w:val="mk-MK" w:eastAsia="mk-MK"/>
        </w:rPr>
        <w:t xml:space="preserve">je </w:t>
      </w:r>
      <w:r>
        <w:rPr>
          <w:rFonts w:ascii="Microsoft Sans Serif" w:hAnsi="Microsoft Sans Serif" w:cs="Microsoft Sans Serif"/>
          <w:lang w:val="hr-BA" w:eastAsia="mk-MK"/>
        </w:rPr>
        <w:t>učestalo</w:t>
      </w:r>
      <w:r>
        <w:rPr>
          <w:rFonts w:ascii="Microsoft Sans Serif" w:hAnsi="Microsoft Sans Serif" w:cs="Microsoft Sans Serif"/>
          <w:lang w:val="mk-MK" w:eastAsia="mk-MK"/>
        </w:rPr>
        <w:t xml:space="preserve"> prijavljivanje pokušaja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samoubistva (</w:t>
      </w:r>
      <w:r>
        <w:rPr>
          <w:rFonts w:ascii="Microsoft Sans Serif" w:hAnsi="Microsoft Sans Serif" w:cs="Microsoft Sans Serif"/>
          <w:iCs/>
          <w:lang w:eastAsia="mk-MK"/>
        </w:rPr>
        <w:t>pogledati dijelove</w:t>
      </w:r>
      <w:r>
        <w:rPr>
          <w:rFonts w:ascii="Microsoft Sans Serif" w:hAnsi="Microsoft Sans Serif" w:cs="Microsoft Sans Serif"/>
          <w:iCs/>
          <w:lang w:val="mk-MK" w:eastAsia="mk-MK"/>
        </w:rPr>
        <w:t xml:space="preserve"> 4.4 i 5.1</w:t>
      </w:r>
      <w:r>
        <w:rPr>
          <w:rFonts w:ascii="Microsoft Sans Serif" w:hAnsi="Microsoft Sans Serif" w:cs="Microsoft Sans Serif"/>
          <w:lang w:val="mk-MK" w:eastAsia="mk-MK"/>
        </w:rPr>
        <w:t>).</w:t>
      </w:r>
    </w:p>
    <w:p w14:paraId="62CD7F95">
      <w:pPr>
        <w:autoSpaceDE w:val="0"/>
        <w:autoSpaceDN w:val="0"/>
        <w:adjustRightInd w:val="0"/>
        <w:jc w:val="both"/>
        <w:rPr>
          <w:rFonts w:ascii="Microsoft Sans Serif" w:hAnsi="Microsoft Sans Serif" w:eastAsia="Calibri" w:cs="Microsoft Sans Serif"/>
          <w:u w:val="single"/>
          <w:lang w:val="bs-Latn-BA" w:eastAsia="en-US"/>
        </w:rPr>
      </w:pPr>
    </w:p>
    <w:p w14:paraId="1544AA6C">
      <w:pPr>
        <w:autoSpaceDE w:val="0"/>
        <w:autoSpaceDN w:val="0"/>
        <w:adjustRightInd w:val="0"/>
        <w:jc w:val="both"/>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Opšte preporuke za doziranje lamotrigina kod posebnih grupa pacijenata</w:t>
      </w:r>
    </w:p>
    <w:p w14:paraId="1A4D88E3">
      <w:pPr>
        <w:autoSpaceDE w:val="0"/>
        <w:autoSpaceDN w:val="0"/>
        <w:adjustRightInd w:val="0"/>
        <w:jc w:val="both"/>
        <w:rPr>
          <w:rFonts w:ascii="Microsoft Sans Serif" w:hAnsi="Microsoft Sans Serif" w:eastAsia="Calibri" w:cs="Microsoft Sans Serif"/>
          <w:i/>
          <w:lang w:val="bs-Latn-BA" w:eastAsia="en-US"/>
        </w:rPr>
      </w:pPr>
    </w:p>
    <w:p w14:paraId="4138902B">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Žene koje primaju hormonske kontraceptive</w:t>
      </w:r>
    </w:p>
    <w:p w14:paraId="56A8F3A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Upotreba kombinacije etinilestradiol/levonorgestrel (30 μg/150 μg) povećava klirens lamotrigina za otprilike dva puta, što dovodi do smanjenja nivoa lamotrigina. Nakon titracije, veća doza održavanja lamotrigina (duplo veća) može biti potrebna da bi se postigao maksimalni terapijski odgovor. Tokom sedmice bez primjene hormonske terapije, uočeno je povećanje u koncentraciji lamotrigina za dva puta. Dozno-zavisna neželjena djelovanja se ne mogu isključiti. Zbog toga, treba razmisliti o primjeni kontracepcije bez slobodne sedmice bez hormonalne tablete, kao terapiji prvog izbora (na primjer, kontinuirana hormonska kontracepcija ili nehormonske metode, pogledati dijelove 4.4 i 4.5). </w:t>
      </w:r>
    </w:p>
    <w:p w14:paraId="05CB510E">
      <w:pPr>
        <w:rPr>
          <w:rFonts w:ascii="Microsoft Sans Serif" w:hAnsi="Microsoft Sans Serif" w:cs="Microsoft Sans Serif"/>
          <w:lang w:val="bs-Latn-BA"/>
        </w:rPr>
      </w:pPr>
    </w:p>
    <w:p w14:paraId="03EA74BB">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hormonske kontracepcije kod pacijenata koji već uzimaju doze održavanja lamotrigina, a NE uzimaju induktore glukuronidacije lamotrigina</w:t>
      </w:r>
    </w:p>
    <w:p w14:paraId="1B62574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povećana za čak dva puta (pogledati dijelove 4.4 i 4.5). Preporučuje se da se od momenta kada je započeta hormonska kontracepija, doza lamotrigina povećava za 50 mg/dan do 100 mg/dan svake sedmice, prema individualnom kliničkom odgovoru. Povećanje doze ne smije biti veće od ove preporuke, osim ako klinički odgovor ne zahtijeva veće povećanje. Potrebno je uzeti u obzir mjerenje serumskih koncentracija lamotrigina prije i poslije početka hormonske kontracepcije, kao potvrdu da se osnovna koncentracija lamotrigina održava. Ako je potrebno, dozu treba prilagoditi. Kod žena koje uzimaju hormonske kontraceptive koji uključuju jednu sedmicu neaktivnog liječenja (sedmica bez pilule), potrebno je pratiti serumske koncentracije lamotrigina tokom treće sedmice aktivnog liječenja, tj. 15. do 21. dan ciklusa. Zbog toga, treba razmisliti o primjeni kontracepcije bez slobodne sedmice bez hormonalne tablete, kao terapiji prvog izbora (na primjer, kontinuirana hormonska kontracepcija ili nehormonske metode, pogledati dijelove 4.4 i 4.5).</w:t>
      </w:r>
    </w:p>
    <w:p w14:paraId="2BD97ECD">
      <w:pPr>
        <w:jc w:val="both"/>
        <w:rPr>
          <w:rFonts w:ascii="Microsoft Sans Serif" w:hAnsi="Microsoft Sans Serif" w:cs="Microsoft Sans Serif"/>
          <w:lang w:val="bs-Latn-BA"/>
        </w:rPr>
      </w:pPr>
    </w:p>
    <w:p w14:paraId="050A8E53">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Zaustavljanje primjene hormonskih kontraceptiva kod pacijenata koji već uzimaju doze održavanja lamotrigina ali NE uzimaju induktore glukuronidacije lamotrigina </w:t>
      </w:r>
    </w:p>
    <w:p w14:paraId="2F4B36DA">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smanjena za čak 50% (pogledati dijelove 4.4 i 4.5). Preporučuje se postepeno smanjivati ​​dnevnu dozu lamotrigina za 50 mg do 100 mg svake sedmice (po stopi od najviše 25% ukupne dnevne doze sedmično) tokom perioda od tri sedmice, osim ako klinički odgovor ne upućuje na neki drugi način. Potrebno je uzeti u obzir mjerenje serumskih koncentracija lamotrigina prije i poslije početka hormonske kontracepcije, kao potvrdu da se osnovna koncentracija lamotrigina održava. Kod žena koje žele da zaustave uzimanje hormonskih kontraceptiva koji uključuju jednu sedmicu neaktivnog liječenja (sedmica bez pilule), potrebno je pratiti serumske koncentracije lamotrigina tokom treće sedmice aktivnog liječenja, tj. 15. do 21. dan ciklusa. Uzorci za procjenu nivoa lamotrigina poslije trajnog zaustavljanja kontracepcijske tablete ne bi trebalo da se uzimaju tokom prve sedmice nakon zaustavljanja tableta.</w:t>
      </w:r>
    </w:p>
    <w:p w14:paraId="7E9F37A3">
      <w:pPr>
        <w:jc w:val="both"/>
        <w:rPr>
          <w:rFonts w:ascii="Microsoft Sans Serif" w:hAnsi="Microsoft Sans Serif" w:cs="Microsoft Sans Serif"/>
          <w:lang w:val="bs-Latn-BA"/>
        </w:rPr>
      </w:pPr>
    </w:p>
    <w:p w14:paraId="4334E51A">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primjene lamotrigina kod pacijenata koji već uzimaju hormonske kontraceptive</w:t>
      </w:r>
    </w:p>
    <w:p w14:paraId="3419747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Povećanje doza treba biti prema preporukama normalne doze opisane u tabelama.</w:t>
      </w:r>
    </w:p>
    <w:p w14:paraId="78035486">
      <w:pPr>
        <w:jc w:val="both"/>
        <w:rPr>
          <w:rFonts w:ascii="Microsoft Sans Serif" w:hAnsi="Microsoft Sans Serif" w:cs="Microsoft Sans Serif"/>
          <w:lang w:val="bs-Latn-BA"/>
        </w:rPr>
      </w:pPr>
    </w:p>
    <w:p w14:paraId="49CB82F2">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Započinjanje i zaustavljanje primjene hormonskih kontraceptiva kod pacijenata koji već uzimaju doze održavanja lamotrigina i UZIMAJU i induktore glukuronidacije lamotrigina </w:t>
      </w:r>
    </w:p>
    <w:p w14:paraId="4642E99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Prilagođavanje na preporučenu dozu održavanja lamotrigina može biti nepotrebno.</w:t>
      </w:r>
    </w:p>
    <w:p w14:paraId="022EFCC5">
      <w:pPr>
        <w:jc w:val="both"/>
        <w:rPr>
          <w:rFonts w:ascii="Microsoft Sans Serif" w:hAnsi="Microsoft Sans Serif" w:cs="Microsoft Sans Serif"/>
          <w:lang w:val="bs-Latn-BA"/>
        </w:rPr>
      </w:pPr>
    </w:p>
    <w:p w14:paraId="64CC3F74">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atazanavirom/ritonavirom</w:t>
      </w:r>
    </w:p>
    <w:p w14:paraId="4666356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doze lamotrigina kada se lamotrigin dodaje postojećoj terapiji sa atazanavirom/ritonavirom.</w:t>
      </w:r>
    </w:p>
    <w:p w14:paraId="0D2B027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atazanavir/ritonavir, odnosno smanjuje ako se primjena atazanavir/ritonavir zaustavlja. Potrebno je pratiti koncentracije lamotrigina u plazmi prije i tokom dvije sedmice nakon započinjanja ili zaustavljanja primjene atazanavira/ritonavira, da bi se ustanovilo da li je potrebno prilagođavanje doze lamotrigina (pogledati dio 4.5).</w:t>
      </w:r>
    </w:p>
    <w:p w14:paraId="04EAD92D">
      <w:pPr>
        <w:jc w:val="both"/>
        <w:rPr>
          <w:rFonts w:ascii="Microsoft Sans Serif" w:hAnsi="Microsoft Sans Serif" w:eastAsia="Calibri" w:cs="Microsoft Sans Serif"/>
          <w:lang w:val="bs-Latn-BA" w:eastAsia="en-US"/>
        </w:rPr>
      </w:pPr>
    </w:p>
    <w:p w14:paraId="2E406890">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lopinavirom/ritonavirom</w:t>
      </w:r>
    </w:p>
    <w:p w14:paraId="0D4F96C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lamotrigina kada se lamotrigin dodaje postojećoj terapiji sa lopinavirom/ritonavirom.</w:t>
      </w:r>
    </w:p>
    <w:p w14:paraId="03939D7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lopinavir/ritonavir, odnosno smanjuje ako se lopinavir/ritonavir zaustavlja. Potrebno je pratiti koncentracije lamotrigina u plazmi prije i tokom dvije sedmice nakon započinjanja ili zaustavljanja primjene lopinavir/ritonavir, da bi se ustanovilo da li je potrebno prilagođavanje doze lamotrigina (pogledati dio 4.5).</w:t>
      </w:r>
    </w:p>
    <w:p w14:paraId="4721FCC6">
      <w:pPr>
        <w:jc w:val="both"/>
        <w:rPr>
          <w:rFonts w:ascii="Microsoft Sans Serif" w:hAnsi="Microsoft Sans Serif" w:cs="Microsoft Sans Serif"/>
          <w:lang w:val="bs-Latn-BA"/>
        </w:rPr>
      </w:pPr>
    </w:p>
    <w:p w14:paraId="6C3B0B0A">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 (koji imaju više od 65 godina)</w:t>
      </w:r>
    </w:p>
    <w:p w14:paraId="0F7075B5">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Nije potrebno prilagođavanje doze za starije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Farmakokinetika lamotrigina kod ove grupe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ne razlikuje se značajno od one kod mlađih (pogledati dio 5.2).</w:t>
      </w:r>
    </w:p>
    <w:p w14:paraId="782DDC89">
      <w:pPr>
        <w:jc w:val="both"/>
        <w:rPr>
          <w:rFonts w:ascii="Microsoft Sans Serif" w:hAnsi="Microsoft Sans Serif" w:eastAsia="Calibri" w:cs="Microsoft Sans Serif"/>
          <w:lang w:val="bs-Latn-BA" w:eastAsia="en-US"/>
        </w:rPr>
      </w:pPr>
    </w:p>
    <w:p w14:paraId="75E7C626">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4BEE6AA4">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Potreban je oprez pri primjeni lamotrigina kod pacijenata sa zatajenjem bubrega. Za pacijente u terminalnoj fazi zatajenja bubrega, početne doze lamotrigina treba odrediti zavisno od ostalih medicinskih proizvoda koje prima pacijenat. Smanjene doze održavanja mogu biti efikasne kod pacijenata sa značajnim oštećenjem funkcije bubrega (pogledati dio 4.4. i 5.2).</w:t>
      </w:r>
    </w:p>
    <w:p w14:paraId="12AE6408">
      <w:pPr>
        <w:jc w:val="both"/>
        <w:rPr>
          <w:rFonts w:ascii="Microsoft Sans Serif" w:hAnsi="Microsoft Sans Serif" w:eastAsia="Calibri" w:cs="Microsoft Sans Serif"/>
          <w:lang w:val="bs-Latn-BA" w:eastAsia="en-US"/>
        </w:rPr>
      </w:pPr>
    </w:p>
    <w:p w14:paraId="4DEFDB41">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4D36ED72">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Inicijalno, povećavanje i održavanje doze generalno treba smanjiti za oko 50%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 umjerenim oštećenjem funkcije jetre (Child-Pugh stepen B), a za 75% kod pacijenata sa teškim (Child-Pugh stepen C) oštećenje funkcije jetre. Povećanje i održavanje doze treba prilagoditi prema kliničkom odgovoru (pogledati dio 5.2).</w:t>
      </w:r>
    </w:p>
    <w:p w14:paraId="456B9252">
      <w:pPr>
        <w:jc w:val="both"/>
        <w:rPr>
          <w:rFonts w:ascii="Microsoft Sans Serif" w:hAnsi="Microsoft Sans Serif" w:eastAsia="Calibri" w:cs="Microsoft Sans Serif"/>
          <w:lang w:val="bs-Latn-BA" w:eastAsia="en-US"/>
        </w:rPr>
      </w:pPr>
    </w:p>
    <w:p w14:paraId="22B751D9">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Način upotrebe</w:t>
      </w:r>
    </w:p>
    <w:p w14:paraId="28B350E3">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Oralna upotreba.</w:t>
      </w:r>
    </w:p>
    <w:p w14:paraId="4D1F5CD3">
      <w:pPr>
        <w:autoSpaceDE w:val="0"/>
        <w:autoSpaceDN w:val="0"/>
        <w:adjustRightInd w:val="0"/>
        <w:jc w:val="both"/>
        <w:rPr>
          <w:rFonts w:ascii="Microsoft Sans Serif" w:hAnsi="Microsoft Sans Serif" w:eastAsia="Calibri" w:cs="Microsoft Sans Serif"/>
          <w:lang w:val="bs-Latn-BA" w:eastAsia="en-US"/>
        </w:rPr>
      </w:pPr>
    </w:p>
    <w:p w14:paraId="70A1366E">
      <w:pPr>
        <w:jc w:val="both"/>
        <w:rPr>
          <w:rFonts w:ascii="Microsoft Sans Serif" w:hAnsi="Microsoft Sans Serif" w:cs="Microsoft Sans Serif"/>
          <w:b/>
          <w:lang w:val="bs-Latn-BA"/>
        </w:rPr>
      </w:pPr>
      <w:r>
        <w:rPr>
          <w:rFonts w:ascii="Microsoft Sans Serif" w:hAnsi="Microsoft Sans Serif" w:cs="Microsoft Sans Serif"/>
          <w:b/>
          <w:lang w:val="bs-Latn-BA"/>
        </w:rPr>
        <w:t>4.3. Kontraindikacije</w:t>
      </w:r>
    </w:p>
    <w:p w14:paraId="72111DEA">
      <w:pPr>
        <w:jc w:val="both"/>
        <w:rPr>
          <w:rFonts w:ascii="Microsoft Sans Serif" w:hAnsi="Microsoft Sans Serif" w:cs="Microsoft Sans Serif"/>
          <w:lang w:val="bs-Latn-BA"/>
        </w:rPr>
      </w:pPr>
    </w:p>
    <w:p w14:paraId="48963691">
      <w:pPr>
        <w:jc w:val="both"/>
        <w:rPr>
          <w:rFonts w:ascii="Microsoft Sans Serif" w:hAnsi="Microsoft Sans Serif" w:cs="Microsoft Sans Serif"/>
          <w:lang w:val="bs-Latn-BA"/>
        </w:rPr>
      </w:pPr>
      <w:r>
        <w:rPr>
          <w:rFonts w:ascii="Microsoft Sans Serif" w:hAnsi="Microsoft Sans Serif" w:cs="Microsoft Sans Serif"/>
          <w:lang w:val="bs-Latn-BA"/>
        </w:rPr>
        <w:t>Preosjetljivost na lamotrigin ili druge sastojke lijeka (pogledati dio 6.1).</w:t>
      </w:r>
    </w:p>
    <w:p w14:paraId="0F3D0033">
      <w:pPr>
        <w:jc w:val="both"/>
        <w:rPr>
          <w:rFonts w:ascii="Microsoft Sans Serif" w:hAnsi="Microsoft Sans Serif" w:cs="Microsoft Sans Serif"/>
          <w:lang w:val="bs-Latn-BA"/>
        </w:rPr>
      </w:pPr>
    </w:p>
    <w:p w14:paraId="0BFE4F9F">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w:t>
      </w:r>
      <w:r>
        <w:rPr>
          <w:rFonts w:ascii="Microsoft Sans Serif" w:hAnsi="Microsoft Sans Serif" w:cs="Microsoft Sans Serif"/>
          <w:b/>
          <w:lang w:val="bs-Latn-BA"/>
        </w:rPr>
        <w:tab/>
      </w:r>
      <w:r>
        <w:rPr>
          <w:rFonts w:ascii="Microsoft Sans Serif" w:hAnsi="Microsoft Sans Serif" w:cs="Microsoft Sans Serif"/>
          <w:b/>
          <w:lang w:val="bs-Latn-BA"/>
        </w:rPr>
        <w:t xml:space="preserve">Posebna upozorenja i mjere opreza pri upotrebi </w:t>
      </w:r>
    </w:p>
    <w:p w14:paraId="0A5DCEDB">
      <w:pPr>
        <w:jc w:val="both"/>
        <w:rPr>
          <w:rFonts w:ascii="Microsoft Sans Serif" w:hAnsi="Microsoft Sans Serif" w:eastAsia="Calibri" w:cs="Microsoft Sans Serif"/>
          <w:lang w:val="bs-Latn-BA" w:eastAsia="en-US"/>
        </w:rPr>
      </w:pPr>
    </w:p>
    <w:p w14:paraId="0C7AC968">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Kožni osip</w:t>
      </w:r>
    </w:p>
    <w:p w14:paraId="306F221A">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Zabilježene su neželjene reakcije na koži, koje su se dogodile u prvih osam sedmica nakon početka liječenja lamotriginom. Većina osipa su blagi i ograničeni, ali takođe je zabilježen ozbiljni osip koji zahtijeva hospitalizaciju i prekid lamotrigina. To uključuje potencijalno životno ugrožavajuće osipe, kao što su Stevens–Johnsonov sindrom, toksična epidermalna nekroliza (TEN) i reakcija na lijek sa eozinofilijom i sistemskim simptomima (DRESS); poznat i kao sindrom preosjetljivosti (pogledati dio 4.8).</w:t>
      </w:r>
    </w:p>
    <w:p w14:paraId="2EBB34E4">
      <w:pPr>
        <w:jc w:val="both"/>
        <w:rPr>
          <w:rFonts w:ascii="Microsoft Sans Serif" w:hAnsi="Microsoft Sans Serif" w:eastAsia="Calibri" w:cs="Microsoft Sans Serif"/>
          <w:lang w:val="bs-Latn-BA" w:eastAsia="en-US"/>
        </w:rPr>
      </w:pPr>
    </w:p>
    <w:p w14:paraId="2222274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Kod odraslih, uključenih u ispitivanja, koji su koristili trenutne preporuke za doziranje lamotrigina, učestalost ozbiljnih kožnih osipa je bila oko jedan na 500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epilepsijom. Otprilike polovica od tih slučajeva prijavljena je kao Stevens–Johnnsonov sindrom (jedan na 1.000). U kliničkim ispitivanjima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bipolarnim poremećajem, učestalost ozbiljnih osipa je oko jedan na 1.000.</w:t>
      </w:r>
    </w:p>
    <w:p w14:paraId="14DCD5D9">
      <w:pPr>
        <w:autoSpaceDE w:val="0"/>
        <w:autoSpaceDN w:val="0"/>
        <w:adjustRightInd w:val="0"/>
        <w:rPr>
          <w:rFonts w:ascii="Microsoft Sans Serif" w:hAnsi="Microsoft Sans Serif" w:eastAsia="Calibri" w:cs="Microsoft Sans Serif"/>
          <w:lang w:val="bs-Latn-BA" w:eastAsia="en-US"/>
        </w:rPr>
      </w:pPr>
    </w:p>
    <w:p w14:paraId="2957BA5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Rizik od pojave ozbiljnih kožnih osipa kod djece je veći nego kod odraslih. Dostupni podaci iz brojnih istraživanja ukazuju na pojavu od osipa povezanu sa bolničkim liječenjem kod djece sa epilepsijom, i to od jedan na 300 do jedan na 100.</w:t>
      </w:r>
    </w:p>
    <w:p w14:paraId="110C4F61">
      <w:pPr>
        <w:autoSpaceDE w:val="0"/>
        <w:autoSpaceDN w:val="0"/>
        <w:adjustRightInd w:val="0"/>
        <w:jc w:val="both"/>
        <w:rPr>
          <w:rFonts w:ascii="Microsoft Sans Serif" w:hAnsi="Microsoft Sans Serif" w:eastAsia="Calibri" w:cs="Microsoft Sans Serif"/>
          <w:lang w:val="bs-Latn-BA" w:eastAsia="en-US"/>
        </w:rPr>
      </w:pPr>
    </w:p>
    <w:p w14:paraId="6362179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početna pojava osipa može se zamijeniti sa infekcijom, pa bi ljekari trebalo da razmotre mogućnost reakcija na liječenje lamotriginom kod djece koja razviju simptome osipa i groznice u prvih osam sedmica terapije.</w:t>
      </w:r>
    </w:p>
    <w:p w14:paraId="5C699C45">
      <w:pPr>
        <w:autoSpaceDE w:val="0"/>
        <w:autoSpaceDN w:val="0"/>
        <w:adjustRightInd w:val="0"/>
        <w:jc w:val="both"/>
        <w:rPr>
          <w:rFonts w:ascii="Microsoft Sans Serif" w:hAnsi="Microsoft Sans Serif" w:eastAsia="Calibri" w:cs="Microsoft Sans Serif"/>
          <w:lang w:val="bs-Latn-BA" w:eastAsia="en-US"/>
        </w:rPr>
      </w:pPr>
    </w:p>
    <w:p w14:paraId="5B087D5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Dodatno, ukupni rizik od pojave osipa snažno je povezan sa:</w:t>
      </w:r>
    </w:p>
    <w:p w14:paraId="67CA745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visokim početnim dozama lamotrigina i prekoračenjem preporučene doze održavanja terapije lamotriginom (pogledati dio 4.2),</w:t>
      </w:r>
    </w:p>
    <w:p w14:paraId="1C2C73F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istovremenom primjenom valproata (pogledati dio 4.2).</w:t>
      </w:r>
    </w:p>
    <w:p w14:paraId="3B3DDCAD">
      <w:pPr>
        <w:jc w:val="both"/>
        <w:rPr>
          <w:rFonts w:ascii="Microsoft Sans Serif" w:hAnsi="Microsoft Sans Serif" w:cs="Microsoft Sans Serif"/>
          <w:lang w:val="bs-Latn-BA"/>
        </w:rPr>
      </w:pPr>
    </w:p>
    <w:p w14:paraId="70A1D7C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Oprez je takođe potreban za liječenje pacijenata sa anamnezom alergija ili osipa na druge antiepileptike jer je učestalost lakših osipa nakon liječenja lamotriginom bila oko tri puta veća kod tih pacijenata u odnosu na one bez takve anamneze.</w:t>
      </w:r>
    </w:p>
    <w:p w14:paraId="6358526D">
      <w:pPr>
        <w:jc w:val="both"/>
        <w:rPr>
          <w:rFonts w:ascii="Microsoft Sans Serif" w:hAnsi="Microsoft Sans Serif" w:cs="Microsoft Sans Serif"/>
          <w:lang w:val="bs-Latn-BA"/>
        </w:rPr>
      </w:pPr>
    </w:p>
    <w:p w14:paraId="0626D1A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Svi pacijenti (odrasli i djeca) koji razvijaju osip treba odmah da budu procjenjeni i primjena lamotrigina se treba prekinuti odmah, osim u slučaju kada osip očito nije povezan sa liječenjem lamotriginom. Ne preporučuje se ponovna primjena lamotrigina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koji su prestali da ga uzimaju zbog osipa povezanog sa prethodnim liječenjem lamotriginom, osim ako potencijalna korist jasno nadmašuje rizik. Ako je pacijent razvio Stevens–Johnsonov sindrom, DRESS ili toksičnu epidermalnu nekrolizu s upotrebom lamotrigina, liječenje lamotriginom se ne smije ponovo uvoditi.</w:t>
      </w:r>
    </w:p>
    <w:p w14:paraId="13CF92EB">
      <w:pPr>
        <w:jc w:val="both"/>
        <w:rPr>
          <w:rFonts w:ascii="Microsoft Sans Serif" w:hAnsi="Microsoft Sans Serif" w:cs="Microsoft Sans Serif"/>
          <w:lang w:val="bs-Latn-BA"/>
        </w:rPr>
      </w:pPr>
    </w:p>
    <w:p w14:paraId="3A03EB1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je takođe prijavljen kao dio DRESS-a; takođe poznat kao sindrom preosjetljivosti. Ovo stanje je povezano sa različitim sistemskim simptomima uključujući groznicu, limfadenopatiju, edem lica, poremećene vrijednosti nalaza ispitivanja krvi, funkciju jetre, funkciju bubrega i aseptični meningitis (pogledati dio 4.8). Sindrom pokazuje širok spektar kliničke težine te može, rijetko, dovesti do diseminirane intravaskularne koagulacije i zatajivanja mnogih organa. Važno je imati na umu da se rane manifestacije preosjetljivosti (npr. groznica, limfadenopatije) mogu javiti iako osip nije vidljiv. Ako postoje takvi znaci i simptomi, pacijent treba odmah biti ispitan, a terapija lamotriginom prekinuta ukoliko se ne dokaže alternativa etiologija.</w:t>
      </w:r>
    </w:p>
    <w:p w14:paraId="345A859C">
      <w:pPr>
        <w:autoSpaceDE w:val="0"/>
        <w:autoSpaceDN w:val="0"/>
        <w:adjustRightInd w:val="0"/>
        <w:jc w:val="both"/>
        <w:rPr>
          <w:rFonts w:ascii="Microsoft Sans Serif" w:hAnsi="Microsoft Sans Serif" w:eastAsia="Calibri" w:cs="Microsoft Sans Serif"/>
          <w:lang w:val="bs-Latn-BA" w:eastAsia="en-US"/>
        </w:rPr>
      </w:pPr>
    </w:p>
    <w:p w14:paraId="29F9FB1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Aseptički meningitis u većini slučajeva je reverzibilan i povlači se s prestankom uzimanja lamotrigina, ali se i ponovo javlja u brojnim slučajevima nakon ponovnog uvođenja lamotrigina. Ponovno uvođenje lamotrigina rezultiralo je brzim povratkom simptoma koji su često bili ozbiljniji. Zbog se toga lamotrigin ne bi trebalo ponovno primjenjivati kod pacijenata koji su prekinuli terapiju zbog aseptičnog meningitisa povezanog sa prethodnim liječenjem lamotriginom.</w:t>
      </w:r>
    </w:p>
    <w:p w14:paraId="51306707">
      <w:pPr>
        <w:autoSpaceDE w:val="0"/>
        <w:autoSpaceDN w:val="0"/>
        <w:adjustRightInd w:val="0"/>
        <w:jc w:val="both"/>
        <w:rPr>
          <w:rFonts w:ascii="Microsoft Sans Serif" w:hAnsi="Microsoft Sans Serif" w:eastAsia="Calibri" w:cs="Microsoft Sans Serif"/>
          <w:lang w:val="bs-Latn-BA" w:eastAsia="en-US"/>
        </w:rPr>
      </w:pPr>
    </w:p>
    <w:p w14:paraId="49E6D6BE">
      <w:pPr>
        <w:rPr>
          <w:rFonts w:ascii="Microsoft Sans Serif" w:hAnsi="Microsoft Sans Serif" w:cs="Microsoft Sans Serif"/>
          <w:lang w:val="bs-Latn-BA"/>
        </w:rPr>
      </w:pPr>
      <w:r>
        <w:rPr>
          <w:rFonts w:ascii="Microsoft Sans Serif" w:hAnsi="Microsoft Sans Serif" w:cs="Microsoft Sans Serif"/>
          <w:lang w:val="bs-Latn-BA"/>
        </w:rPr>
        <w:t>Takođe su zabilježeni izveštaji o reakcijama fotosenzibilnosti povezane sa upotrebom lamotrigina (pogledati dio  4.8). U nekoliko slučajeva, reakcija se dogodila sa visokom dozom (400 mg ili više), nakon povećanja doze ili brze titracije. Ako postoji sumnja na fotosenzibilnost povezanu sa lamotriginom kod pacijenta koji pokazuje znake fotosenzibilnosti (kao što je prevelika opekotina od sunca), treba razmotriti prekid liječenja. Ako se nastavak liječenja lamotriginom smatra klinički opravdanim, pacijentu treba savjetovati da izbjegava izlaganje sunčevoj svjetlosti i vještačkoj UV svjetlosti i preduzme zaštitne mjere (npr. korišćenje zaštitne odjeće i krema za sunčanje).</w:t>
      </w:r>
    </w:p>
    <w:p w14:paraId="2ABFAE17">
      <w:pPr>
        <w:autoSpaceDE w:val="0"/>
        <w:autoSpaceDN w:val="0"/>
        <w:adjustRightInd w:val="0"/>
        <w:jc w:val="both"/>
        <w:rPr>
          <w:rFonts w:ascii="Microsoft Sans Serif" w:hAnsi="Microsoft Sans Serif" w:eastAsia="Calibri" w:cs="Microsoft Sans Serif"/>
          <w:lang w:val="bs-Latn-BA" w:eastAsia="en-US"/>
        </w:rPr>
      </w:pPr>
    </w:p>
    <w:p w14:paraId="1741CC01">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Hemofagocitna limfohistocitoza (HLH)</w:t>
      </w:r>
    </w:p>
    <w:p w14:paraId="30FA07E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sa hemofagocitnom limfohistocitozom kod pacijenata koje uzimaju lamotrigin (pogledati dio 4.8). Znaci i simptomi hemofagocitne limfohistocitoze su groznica, osip, neurološki simptomi, hepatosplenomegalija, limfadenopatija, citopenije, visok serumski feritin, hipertrigliceridemija i abnormalnosti funkcije jetre i poremećen proces koagulacije. Simptomi se uobičajeno javljaju u roku od 4 sedmice od početka terapije. Hemofagocitna limfohistocitoza može da bude životno-ugrožavajuće stanje. </w:t>
      </w:r>
    </w:p>
    <w:p w14:paraId="418A3C2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treba informisati za simptome povezane sa HLH i treba ih savjetovati da potraže medicinsku pomoć odmah ukoliko se pojave ovi simptomi dok su na terapiji lamotriginom.</w:t>
      </w:r>
    </w:p>
    <w:p w14:paraId="32ACE1C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kod kojih se su javili ovi znaci i simptomi treba odmah pregledati i uzeti u obzir dijagnozu HLH. Ukoliko se ne može naći drugi razlog za pojavu ovih simptoma, terapiju lamotriginom treba odmah prekinuti.</w:t>
      </w:r>
    </w:p>
    <w:p w14:paraId="162B3FBC">
      <w:pPr>
        <w:jc w:val="both"/>
        <w:rPr>
          <w:rFonts w:ascii="Microsoft Sans Serif" w:hAnsi="Microsoft Sans Serif" w:cs="Microsoft Sans Serif"/>
          <w:lang w:val="bs-Latn-BA"/>
        </w:rPr>
      </w:pPr>
    </w:p>
    <w:p w14:paraId="41983451">
      <w:pPr>
        <w:autoSpaceDE w:val="0"/>
        <w:autoSpaceDN w:val="0"/>
        <w:adjustRightInd w:val="0"/>
        <w:jc w:val="both"/>
        <w:rPr>
          <w:rFonts w:ascii="Microsoft Sans Serif" w:hAnsi="Microsoft Sans Serif" w:eastAsia="Calibri" w:cs="Microsoft Sans Serif"/>
          <w:u w:val="single"/>
          <w:lang w:val="bs-Latn-BA" w:eastAsia="en-US"/>
        </w:rPr>
      </w:pPr>
    </w:p>
    <w:p w14:paraId="7011DEFD">
      <w:pPr>
        <w:autoSpaceDE w:val="0"/>
        <w:autoSpaceDN w:val="0"/>
        <w:adjustRightInd w:val="0"/>
        <w:jc w:val="both"/>
        <w:rPr>
          <w:rFonts w:ascii="Microsoft Sans Serif" w:hAnsi="Microsoft Sans Serif" w:eastAsia="Calibri" w:cs="Microsoft Sans Serif"/>
          <w:u w:val="single"/>
          <w:lang w:val="bs-Latn-BA" w:eastAsia="en-US"/>
        </w:rPr>
      </w:pPr>
    </w:p>
    <w:p w14:paraId="18C3DF9C">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Kliničko pogoršanje i rizik za samoubistvo </w:t>
      </w:r>
    </w:p>
    <w:p w14:paraId="7752CA4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Suicidne ideje i ponašanje zabilježeni su kod pacijenata liječenih antiepilepticima u nekoliko indikacija. Metaanaliza randomizovanih placebom kontrolisanih studija antiepilepticima takođe je pokazala malo povećan rizik od suicidnih misli i ponašanja. Mehanizam tog rizika nije poznat, a dostupni podaci ne isključuju mogućnost povećanog rizika kod pacijenata koji primaju lamotrigin.</w:t>
      </w:r>
    </w:p>
    <w:p w14:paraId="567135C2">
      <w:pPr>
        <w:autoSpaceDE w:val="0"/>
        <w:autoSpaceDN w:val="0"/>
        <w:adjustRightInd w:val="0"/>
        <w:jc w:val="both"/>
        <w:rPr>
          <w:rFonts w:ascii="Microsoft Sans Serif" w:hAnsi="Microsoft Sans Serif" w:eastAsia="Calibri" w:cs="Microsoft Sans Serif"/>
          <w:lang w:val="bs-Latn-BA" w:eastAsia="en-US"/>
        </w:rPr>
      </w:pPr>
    </w:p>
    <w:p w14:paraId="14A6364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Zbog toga pacijente treba pratiti da li pokazuju znakove suicidnih ideja i ponašanja i po potrebi sprovesti odgovarajući tretman. Pacijente (i lica koja brinu o njima) treba savjetovati da potraže savjet ljekara ukoliko se jave znakovi suicidnih ideja ili ponašanja.</w:t>
      </w:r>
    </w:p>
    <w:p w14:paraId="33A7D421">
      <w:pPr>
        <w:jc w:val="both"/>
        <w:rPr>
          <w:rFonts w:ascii="Microsoft Sans Serif" w:hAnsi="Microsoft Sans Serif" w:cs="Microsoft Sans Serif"/>
          <w:lang w:val="bs-Latn-BA"/>
        </w:rPr>
      </w:pPr>
    </w:p>
    <w:p w14:paraId="373F88E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sa bipolarnim poremećajem može doći do pogoršanja simptoma depresije i/ili pojave samoubilačkih misli, bez obzira na to da li pacijent uzima ili ne uzima lijekove za bipolarni poremećaj, uključujući i lamotrigin. Zbog toga pacijente koji primaju lamotrigin za bipolarni poremećaj treba pažljivo pratiti za kliničko pogoršanje (uključujući i razvoj novih simptoma) i samoubistvo, posebno na početku liječenja ili u vrijeme promjena doze. Pojedini pacijenti, poput onih s anamnezom suicidnih ponašanja ili misli, mlađa lica i pacijenti koji pokazuju značajan stepen misli o samoubistvu prije početka liječenja, mogu biti pod većim rizikom od suicidnih misli ili pokušaja samoubistva i treba da budu pažljivo praćeni tokom liječenja.</w:t>
      </w:r>
    </w:p>
    <w:p w14:paraId="45D7E152">
      <w:pPr>
        <w:autoSpaceDE w:val="0"/>
        <w:autoSpaceDN w:val="0"/>
        <w:adjustRightInd w:val="0"/>
        <w:rPr>
          <w:rFonts w:ascii="Microsoft Sans Serif" w:hAnsi="Microsoft Sans Serif" w:eastAsia="Calibri" w:cs="Microsoft Sans Serif"/>
          <w:lang w:val="bs-Latn-BA" w:eastAsia="en-US"/>
        </w:rPr>
      </w:pPr>
    </w:p>
    <w:p w14:paraId="0FCF94F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Potrebno je razmotriti promjene terapijskog režima, kao i eventualni prekid liječenja kod pacijenata sa pogoršanjem kliničke slike (uključujući i razvoj novih simptoma) i/ili pojave suicidnih ideja/ponašanja, pogotovo ako su simptomi teški, počeli su naglo, ili nisu bili dio kliničke slike pacijenta. </w:t>
      </w:r>
    </w:p>
    <w:p w14:paraId="002F73E9">
      <w:pPr>
        <w:jc w:val="both"/>
        <w:rPr>
          <w:rFonts w:ascii="Microsoft Sans Serif" w:hAnsi="Microsoft Sans Serif" w:cs="Microsoft Sans Serif"/>
          <w:lang w:val="bs-Latn-BA"/>
        </w:rPr>
      </w:pPr>
    </w:p>
    <w:p w14:paraId="6D959EF9">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Hormonska kontracepcija</w:t>
      </w:r>
    </w:p>
    <w:p w14:paraId="400310A1">
      <w:pPr>
        <w:autoSpaceDE w:val="0"/>
        <w:autoSpaceDN w:val="0"/>
        <w:adjustRightInd w:val="0"/>
        <w:jc w:val="both"/>
        <w:rPr>
          <w:rFonts w:ascii="Microsoft Sans Serif" w:hAnsi="Microsoft Sans Serif" w:eastAsia="Calibri" w:cs="Microsoft Sans Serif"/>
          <w:lang w:val="bs-Latn-BA" w:eastAsia="en-US"/>
        </w:rPr>
      </w:pPr>
    </w:p>
    <w:p w14:paraId="71277829">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Dejstvo hormonskih kontraceptiva na efikasnost lamotrigina </w:t>
      </w:r>
    </w:p>
    <w:p w14:paraId="766047C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kombinacije etinilestradiol/levonorgestrel (30 μg/150 μg) povećava klirens lamotrigina za otprilike dva puta, što je rezultiralo smanjenjem nivoa lamotrigina (pogledati dio 4.5). Smanjenje koncentracije lamotrigina je povezano sa gubitkom kontrole napada. Nakon titracije, veća doza održavanja lamotrigina (duplo veća) može biti potrebna da bi se postigao maksimalni terapijski odgovor. Prilikom prekida primjene hormonskih kontraceptiva, klirens lamotrigina može se prepoloviti. Povećanje koncentracije lamotrigina može biti povezano sa dozom povezanih neželjenih dejstava. Zbog toga pacijente treba pažljivo pratiti.</w:t>
      </w:r>
    </w:p>
    <w:p w14:paraId="36A23368">
      <w:pPr>
        <w:autoSpaceDE w:val="0"/>
        <w:autoSpaceDN w:val="0"/>
        <w:adjustRightInd w:val="0"/>
        <w:jc w:val="both"/>
        <w:rPr>
          <w:rFonts w:ascii="Microsoft Sans Serif" w:hAnsi="Microsoft Sans Serif" w:eastAsia="Calibri" w:cs="Microsoft Sans Serif"/>
          <w:lang w:val="bs-Latn-BA" w:eastAsia="en-US"/>
        </w:rPr>
      </w:pPr>
    </w:p>
    <w:p w14:paraId="23DE621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žena koje ne uzimaju induktore glukuronidacije lamotrigina, a uzimaju hormonske kontraceptive koji uključuju jednu sedmicu neaktivnog liječenja (na primjer sedmica bez tablete), pojaviće se postepeno prolazno povišenje koncentracije lamotrigina tokom nedelje neaktivnog liječenja (pogledati dio 4.2). Varijacije u koncentracijama lamotrigina mogu biti povezane sa pojavom neželjenih dejstava. Zbog toga, treba razmisliti o primjeni kontracepcije bez slobodne sedmice, bez hormonalne tablete kao terapiji prvog izbora (na primjer, kontinuirana hormonska kontracepcija ili nehormonske metode).</w:t>
      </w:r>
    </w:p>
    <w:p w14:paraId="26062E1A">
      <w:pPr>
        <w:autoSpaceDE w:val="0"/>
        <w:autoSpaceDN w:val="0"/>
        <w:adjustRightInd w:val="0"/>
        <w:rPr>
          <w:rFonts w:ascii="Microsoft Sans Serif" w:hAnsi="Microsoft Sans Serif" w:eastAsia="Calibri" w:cs="Microsoft Sans Serif"/>
          <w:u w:val="single"/>
          <w:lang w:val="bs-Latn-BA" w:eastAsia="en-US"/>
        </w:rPr>
      </w:pPr>
    </w:p>
    <w:p w14:paraId="10512B0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podataka o interakciji između lamotrigina i ostalih oralnih kontraceptiva ili hormonalne supstitucione terapije, iako oni mogu slično uticati na farmakokinetičke parametre lamotrigina.</w:t>
      </w:r>
    </w:p>
    <w:p w14:paraId="6573821E">
      <w:pPr>
        <w:autoSpaceDE w:val="0"/>
        <w:autoSpaceDN w:val="0"/>
        <w:adjustRightInd w:val="0"/>
        <w:jc w:val="both"/>
        <w:rPr>
          <w:rFonts w:ascii="Microsoft Sans Serif" w:hAnsi="Microsoft Sans Serif" w:eastAsia="Calibri" w:cs="Microsoft Sans Serif"/>
          <w:lang w:val="bs-Latn-BA" w:eastAsia="en-US"/>
        </w:rPr>
      </w:pPr>
    </w:p>
    <w:p w14:paraId="61500F15">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efikasnost hormonskih kontraceptiva</w:t>
      </w:r>
    </w:p>
    <w:p w14:paraId="62B90BD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Ispitivanje interakcije kod 16 zdravih dobrovoljaca pokazalo je da kada se lamotrigin primjenjuje zajedno sa hormonskim kontraceptivom (kombinacija etinilestradiol/levonorgestrel), postoji blagi porast klirensa levonorgestrela i promjene u serumu FSH i LH (pogledati dio 4.5). Uticaj ovih promjena na ovulacijsku aktivnost jajnika je nepoznat. Međutim, mogućnost tih promjena koje rezultiraju smanjenjem kontracepcijske efikasnosti kod nekih pacijentkinja koje su uzimale hormonalne preparate istovremeno sa lamotriginom ne može se isključiti. Zbog toga, pacijentkinje treba upozoriti da odmah prijave promjene u svom menstrualnom ciklusu (npr. probojno krvarenje).</w:t>
      </w:r>
    </w:p>
    <w:p w14:paraId="4625ADA8">
      <w:pPr>
        <w:autoSpaceDE w:val="0"/>
        <w:autoSpaceDN w:val="0"/>
        <w:adjustRightInd w:val="0"/>
        <w:jc w:val="both"/>
        <w:rPr>
          <w:rFonts w:ascii="Microsoft Sans Serif" w:hAnsi="Microsoft Sans Serif" w:eastAsia="Calibri" w:cs="Microsoft Sans Serif"/>
          <w:lang w:val="bs-Latn-BA" w:eastAsia="en-US"/>
        </w:rPr>
      </w:pPr>
    </w:p>
    <w:p w14:paraId="04B2BD89">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Reduktaza dihidrofolne kisleine</w:t>
      </w:r>
    </w:p>
    <w:p w14:paraId="07A8019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stoga postoji mogućnost ometanja metabolizma folata tokom dugotrajnog liječenja (pogledati dio 4.6). Međutim, tokom dužeg doziranja kod ljudi, lamotrigin ne izaziva značajne promjene u koncentraciji hemoglobina, prosječnog korpuskularnog volumena (MCV), ili u koncentraciji folata u serumu ili eritrocitima do godinu dana ili koncentracije folata u eritrocitima do pet godina.</w:t>
      </w:r>
    </w:p>
    <w:p w14:paraId="17575A3C">
      <w:pPr>
        <w:autoSpaceDE w:val="0"/>
        <w:autoSpaceDN w:val="0"/>
        <w:adjustRightInd w:val="0"/>
        <w:jc w:val="both"/>
        <w:rPr>
          <w:rFonts w:ascii="Microsoft Sans Serif" w:hAnsi="Microsoft Sans Serif" w:eastAsia="Calibri" w:cs="Microsoft Sans Serif"/>
          <w:lang w:val="bs-Latn-BA" w:eastAsia="en-US"/>
        </w:rPr>
      </w:pPr>
    </w:p>
    <w:p w14:paraId="7AE9F2DF">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Zatajenje bubrega</w:t>
      </w:r>
    </w:p>
    <w:p w14:paraId="365B10B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sa jednokratnom dozom kod pacijenata u terminalnoj fazi zatajenja bubrega, koncentracije lamotrigina nisu bitno promijenjene.</w:t>
      </w:r>
    </w:p>
    <w:p w14:paraId="4DBE524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Međutim, može se očekivati akumulacija glukuronidnih metabolita​​, pa je zbog toga oprez potreban ​​u liječenju pacijenata sa zatajenjem bubrega.</w:t>
      </w:r>
    </w:p>
    <w:p w14:paraId="67FEEA87">
      <w:pPr>
        <w:autoSpaceDE w:val="0"/>
        <w:autoSpaceDN w:val="0"/>
        <w:adjustRightInd w:val="0"/>
        <w:jc w:val="both"/>
        <w:rPr>
          <w:rFonts w:ascii="Microsoft Sans Serif" w:hAnsi="Microsoft Sans Serif" w:eastAsia="Calibri" w:cs="Microsoft Sans Serif"/>
          <w:lang w:eastAsia="en-US"/>
        </w:rPr>
      </w:pPr>
    </w:p>
    <w:p w14:paraId="03BD3D95">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Primjena drugih preparata koji sadrže lamotrigin</w:t>
      </w:r>
    </w:p>
    <w:p w14:paraId="4CD2F880">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Pacijenti koji se liječe bilo kojim preparatom koji sadrži lamotrigin ne treba da koriste preparat</w:t>
      </w:r>
      <w:r>
        <w:rPr>
          <w:rFonts w:ascii="Microsoft Sans Serif" w:hAnsi="Microsoft Sans Serif" w:cs="Microsoft Sans Serif"/>
          <w:lang w:eastAsia="mk-MK"/>
        </w:rPr>
        <w:t xml:space="preserve"> Lamal</w:t>
      </w:r>
      <w:r>
        <w:rPr>
          <w:rFonts w:ascii="Microsoft Sans Serif" w:hAnsi="Microsoft Sans Serif" w:cs="Microsoft Sans Serif"/>
          <w:lang w:val="mk-MK" w:eastAsia="mk-MK"/>
        </w:rPr>
        <w:t xml:space="preserve"> bez konsultacije sa ljekarom.</w:t>
      </w:r>
    </w:p>
    <w:p w14:paraId="40F91A86">
      <w:pPr>
        <w:autoSpaceDE w:val="0"/>
        <w:autoSpaceDN w:val="0"/>
        <w:adjustRightInd w:val="0"/>
        <w:jc w:val="both"/>
        <w:rPr>
          <w:rFonts w:ascii="Microsoft Sans Serif" w:hAnsi="Microsoft Sans Serif" w:cs="Microsoft Sans Serif"/>
          <w:lang w:eastAsia="mk-MK"/>
        </w:rPr>
      </w:pPr>
    </w:p>
    <w:p w14:paraId="47D63FEE">
      <w:pPr>
        <w:autoSpaceDE w:val="0"/>
        <w:autoSpaceDN w:val="0"/>
        <w:adjustRightInd w:val="0"/>
        <w:jc w:val="both"/>
        <w:rPr>
          <w:rFonts w:ascii="Microsoft Sans Serif" w:hAnsi="Microsoft Sans Serif" w:cs="Microsoft Sans Serif"/>
          <w:u w:val="single"/>
          <w:lang w:eastAsia="mk-MK"/>
        </w:rPr>
      </w:pPr>
      <w:r>
        <w:rPr>
          <w:rFonts w:ascii="Microsoft Sans Serif" w:hAnsi="Microsoft Sans Serif" w:cs="Microsoft Sans Serif"/>
          <w:u w:val="single"/>
          <w:lang w:eastAsia="mk-MK"/>
        </w:rPr>
        <w:t xml:space="preserve">EKG tip Brugada i druge abnormalnosti srčanog ritma i provodljivosti </w:t>
      </w:r>
    </w:p>
    <w:p w14:paraId="24FBBC3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eastAsia="mk-MK"/>
        </w:rPr>
        <w:t>Prijavljeni su aritmogeni ST-T abnormalnosti i tipičan EKG model Brugada kod pacijenata liječenih lamotriginom. Na osnovu in vitro studija, lamotrigin bi potencijalno mogao usporiti ventrikularnu provodljivost (proširiti QRS) i izazvati proaritmiju u terapijski relevantnim koncentracijama kod pacijenata sa srčanim oboljenjima. Lamotrigin se ponaša kao slab antiaritmički agens klase IB sa povezanim potencijalnim rizicima za ozbiljne ili fatalne srčane događaje. Istovremena upotreba drugih blokatora natrijumovih kanala može dodatno povećati rizik (pogledati dio 5.3). U terapijskim dozama do 400 mg/dan, lamotrigin nije usporio ventrikularnu provodljivost (širi QRS) niti je izazvao produženje QT intervala kod zdravih osoba u detaljnoj studiji QT. Ovo treba uzeti u obzir kada se lamotrigin propisuje pacijentima sa klinički značajnom strukturnom ili funkcionalnom bolesti srca kao npr sindrom Brugada ili drugim srčanim kanalopatijama, srčanom insuficijencijom, ishemijskom bolesti srca, srčanim blokom ili ventrikularnom aritmijom. Ako je lamotrigin klinički opravdan kod ovih pacijenata, treba razmotriti konsultaciju sa kardiologom prije početka liječenja lamotriginom.</w:t>
      </w:r>
    </w:p>
    <w:p w14:paraId="67E69A6D">
      <w:pPr>
        <w:autoSpaceDE w:val="0"/>
        <w:autoSpaceDN w:val="0"/>
        <w:adjustRightInd w:val="0"/>
        <w:jc w:val="both"/>
        <w:rPr>
          <w:rFonts w:ascii="Microsoft Sans Serif" w:hAnsi="Microsoft Sans Serif" w:eastAsia="Calibri" w:cs="Microsoft Sans Serif"/>
          <w:u w:val="single"/>
          <w:lang w:val="bs-Latn-BA" w:eastAsia="en-US"/>
        </w:rPr>
      </w:pPr>
    </w:p>
    <w:p w14:paraId="62EB483B">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Razvoj kod djece</w:t>
      </w:r>
    </w:p>
    <w:p w14:paraId="6B76C56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 postoje podaci o uticaju lamotrigina na rast, seksualno sazrijevanje, kao i na kognitivni, emocionalni i bihevioralni razvoj djece.</w:t>
      </w:r>
    </w:p>
    <w:p w14:paraId="198AA54B">
      <w:pPr>
        <w:autoSpaceDE w:val="0"/>
        <w:autoSpaceDN w:val="0"/>
        <w:adjustRightInd w:val="0"/>
        <w:jc w:val="both"/>
        <w:rPr>
          <w:rFonts w:ascii="Microsoft Sans Serif" w:hAnsi="Microsoft Sans Serif" w:eastAsia="Calibri" w:cs="Microsoft Sans Serif"/>
          <w:lang w:val="bs-Latn-BA" w:eastAsia="en-US"/>
        </w:rPr>
      </w:pPr>
    </w:p>
    <w:p w14:paraId="3FCF9EB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epilepsiju</w:t>
      </w:r>
    </w:p>
    <w:p w14:paraId="73C590D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Kao i kod drugih antiepileptika, naglo ukidanje lamotrigina može izazvati ponovno pojavljivanje epileptičkih napada. Osim bezbjednosnih razloga (npr. osip) koji zahtijevaju naglo prekidanje lijeka, dozu lamotrigina treba postepeno smanjivati ​​tokom perioda od dvije sedmice.</w:t>
      </w:r>
    </w:p>
    <w:p w14:paraId="6CA378AD">
      <w:pPr>
        <w:autoSpaceDE w:val="0"/>
        <w:autoSpaceDN w:val="0"/>
        <w:adjustRightInd w:val="0"/>
        <w:rPr>
          <w:rFonts w:ascii="Microsoft Sans Serif" w:hAnsi="Microsoft Sans Serif" w:eastAsia="Calibri" w:cs="Microsoft Sans Serif"/>
          <w:lang w:val="bs-Latn-BA" w:eastAsia="en-US"/>
        </w:rPr>
      </w:pPr>
    </w:p>
    <w:p w14:paraId="3C985EE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literaturi postoje izvještaji da teški epileptički napadi, uključujući status epileptikus mogu dovesti do rabdomiolize, multiorganske disfunkcije i diseminirane intravaskularne koagulacije, ponekad i sa smrtnim ishodom. Slični slučajevi su se dogodili i tokom primjene lamotrigina.</w:t>
      </w:r>
    </w:p>
    <w:p w14:paraId="010FB4A5">
      <w:pPr>
        <w:autoSpaceDE w:val="0"/>
        <w:autoSpaceDN w:val="0"/>
        <w:adjustRightInd w:val="0"/>
        <w:jc w:val="both"/>
        <w:rPr>
          <w:rFonts w:ascii="Microsoft Sans Serif" w:hAnsi="Microsoft Sans Serif" w:eastAsia="Calibri" w:cs="Microsoft Sans Serif"/>
          <w:lang w:val="bs-Latn-BA" w:eastAsia="en-US"/>
        </w:rPr>
      </w:pPr>
    </w:p>
    <w:p w14:paraId="1A45599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Može se primijetiti klinički značajno pogoršanje učestalosti napada umjesto poboljšanja. Kod pacijenata sa više od jednim tipom napada, primijećenu korist kontrole za jedan tip napada treba uporediti sa uočenim pogoršanjem drugog tipa napada.</w:t>
      </w:r>
    </w:p>
    <w:p w14:paraId="7BEC8997">
      <w:pPr>
        <w:autoSpaceDE w:val="0"/>
        <w:autoSpaceDN w:val="0"/>
        <w:adjustRightInd w:val="0"/>
        <w:jc w:val="both"/>
        <w:rPr>
          <w:rFonts w:ascii="Microsoft Sans Serif" w:hAnsi="Microsoft Sans Serif" w:eastAsia="Calibri" w:cs="Microsoft Sans Serif"/>
          <w:lang w:val="bs-Latn-BA" w:eastAsia="en-US"/>
        </w:rPr>
      </w:pPr>
    </w:p>
    <w:p w14:paraId="00481EC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lamotrigina može dovesti do pogoršanja miokloničkih napada.</w:t>
      </w:r>
    </w:p>
    <w:p w14:paraId="47D3A8CF">
      <w:pPr>
        <w:autoSpaceDE w:val="0"/>
        <w:autoSpaceDN w:val="0"/>
        <w:adjustRightInd w:val="0"/>
        <w:jc w:val="both"/>
        <w:rPr>
          <w:rFonts w:ascii="Microsoft Sans Serif" w:hAnsi="Microsoft Sans Serif" w:eastAsia="Calibri" w:cs="Microsoft Sans Serif"/>
          <w:lang w:val="bs-Latn-BA" w:eastAsia="en-US"/>
        </w:rPr>
      </w:pPr>
    </w:p>
    <w:p w14:paraId="5FC2D4E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podaci ukazuju na to da je upotreba lamotrigina u kombinaciji sa antiepilepticima induktorima glukuronidacije sa manjim kliničkim odgovorom nego u kombinaciji sa antiepilepticima koji nisu induktori glukuronidacije. Razlog nije jasan.</w:t>
      </w:r>
    </w:p>
    <w:p w14:paraId="7D4E3151">
      <w:pPr>
        <w:autoSpaceDE w:val="0"/>
        <w:autoSpaceDN w:val="0"/>
        <w:adjustRightInd w:val="0"/>
        <w:jc w:val="both"/>
        <w:rPr>
          <w:rFonts w:ascii="Microsoft Sans Serif" w:hAnsi="Microsoft Sans Serif" w:eastAsia="Calibri" w:cs="Microsoft Sans Serif"/>
          <w:lang w:val="bs-Latn-BA" w:eastAsia="en-US"/>
        </w:rPr>
      </w:pPr>
    </w:p>
    <w:p w14:paraId="3E4934D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koja uzimaju lamotrigin za terapiju tipičnih apsans napada, efikasnost se ne može održavati kod svih pacijenata.</w:t>
      </w:r>
    </w:p>
    <w:p w14:paraId="5F91AFC4">
      <w:pPr>
        <w:autoSpaceDE w:val="0"/>
        <w:autoSpaceDN w:val="0"/>
        <w:adjustRightInd w:val="0"/>
        <w:jc w:val="both"/>
        <w:rPr>
          <w:rFonts w:ascii="Microsoft Sans Serif" w:hAnsi="Microsoft Sans Serif" w:eastAsia="Calibri" w:cs="Microsoft Sans Serif"/>
          <w:lang w:val="bs-Latn-BA" w:eastAsia="en-US"/>
        </w:rPr>
      </w:pPr>
    </w:p>
    <w:p w14:paraId="737F0E10">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bipolarni poremećaj</w:t>
      </w:r>
    </w:p>
    <w:p w14:paraId="0A7E6118">
      <w:pPr>
        <w:autoSpaceDE w:val="0"/>
        <w:autoSpaceDN w:val="0"/>
        <w:adjustRightInd w:val="0"/>
        <w:jc w:val="both"/>
        <w:rPr>
          <w:rFonts w:ascii="Microsoft Sans Serif" w:hAnsi="Microsoft Sans Serif" w:eastAsia="Calibri" w:cs="Microsoft Sans Serif"/>
          <w:i/>
          <w:lang w:val="bs-Latn-BA" w:eastAsia="en-US"/>
        </w:rPr>
      </w:pPr>
    </w:p>
    <w:p w14:paraId="7CBB74EC">
      <w:pPr>
        <w:autoSpaceDE w:val="0"/>
        <w:autoSpaceDN w:val="0"/>
        <w:adjustRightInd w:val="0"/>
        <w:jc w:val="both"/>
        <w:rPr>
          <w:rFonts w:ascii="Microsoft Sans Serif" w:hAnsi="Microsoft Sans Serif" w:eastAsia="Calibri" w:cs="Microsoft Sans Serif"/>
          <w:i/>
          <w:u w:val="single"/>
          <w:lang w:val="bs-Latn-BA" w:eastAsia="en-US"/>
        </w:rPr>
      </w:pPr>
    </w:p>
    <w:p w14:paraId="5D20EAB4">
      <w:pPr>
        <w:autoSpaceDE w:val="0"/>
        <w:autoSpaceDN w:val="0"/>
        <w:adjustRightInd w:val="0"/>
        <w:jc w:val="both"/>
        <w:rPr>
          <w:rFonts w:ascii="Microsoft Sans Serif" w:hAnsi="Microsoft Sans Serif" w:eastAsia="Calibri" w:cs="Microsoft Sans Serif"/>
          <w:i/>
          <w:u w:val="single"/>
          <w:lang w:val="bs-Latn-BA" w:eastAsia="en-US"/>
        </w:rPr>
      </w:pPr>
    </w:p>
    <w:p w14:paraId="638642EE">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i adolescenti do 18 godina</w:t>
      </w:r>
    </w:p>
    <w:p w14:paraId="4B2FE59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Liječenje antidepresivima je povezano sa povećanim rizikom od suicidnih misli i ponašanja kod djece i adolescenata sa velikim depresivnim poremećajem i drugim psihijatrijskim poremećajima.</w:t>
      </w:r>
    </w:p>
    <w:p w14:paraId="0AB57B32">
      <w:pPr>
        <w:tabs>
          <w:tab w:val="left" w:pos="709"/>
        </w:tabs>
        <w:rPr>
          <w:rFonts w:ascii="Microsoft Sans Serif" w:hAnsi="Microsoft Sans Serif" w:cs="Microsoft Sans Serif"/>
          <w:lang w:val="bs-Latn-BA"/>
        </w:rPr>
      </w:pPr>
    </w:p>
    <w:p w14:paraId="52261ABD">
      <w:pPr>
        <w:rPr>
          <w:rFonts w:ascii="Microsoft Sans Serif" w:hAnsi="Microsoft Sans Serif" w:cs="Microsoft Sans Serif"/>
          <w:b/>
          <w:lang w:val="bs-Latn-BA"/>
        </w:rPr>
      </w:pPr>
      <w:r>
        <w:rPr>
          <w:rFonts w:ascii="Microsoft Sans Serif" w:hAnsi="Microsoft Sans Serif" w:cs="Microsoft Sans Serif"/>
          <w:b/>
          <w:lang w:val="bs-Latn-BA"/>
        </w:rPr>
        <w:t>4.5. Interakcija sa drugim lijekovima i drugi oblici interakcija</w:t>
      </w:r>
    </w:p>
    <w:p w14:paraId="13952347">
      <w:pPr>
        <w:jc w:val="both"/>
        <w:rPr>
          <w:rFonts w:ascii="Microsoft Sans Serif" w:hAnsi="Microsoft Sans Serif" w:cs="Microsoft Sans Serif"/>
          <w:lang w:val="bs-Latn-BA"/>
        </w:rPr>
      </w:pPr>
    </w:p>
    <w:p w14:paraId="5EC2333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Studije za interakciju sprovedene su samo kod odraslih.</w:t>
      </w:r>
    </w:p>
    <w:p w14:paraId="641A46EF">
      <w:pPr>
        <w:autoSpaceDE w:val="0"/>
        <w:autoSpaceDN w:val="0"/>
        <w:adjustRightInd w:val="0"/>
        <w:jc w:val="both"/>
        <w:rPr>
          <w:rFonts w:ascii="Microsoft Sans Serif" w:hAnsi="Microsoft Sans Serif" w:eastAsia="Calibri" w:cs="Microsoft Sans Serif"/>
          <w:u w:val="single"/>
          <w:lang w:val="bs-Latn-BA" w:eastAsia="en-US"/>
        </w:rPr>
      </w:pPr>
    </w:p>
    <w:p w14:paraId="61397B9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UDP-glukuronil transferaze su identifikovani kao enzimi odgovorni za metabolizam lamotrigina. </w:t>
      </w:r>
    </w:p>
    <w:p w14:paraId="257B6690">
      <w:pPr>
        <w:autoSpaceDE w:val="0"/>
        <w:autoSpaceDN w:val="0"/>
        <w:adjustRightInd w:val="0"/>
        <w:jc w:val="both"/>
        <w:rPr>
          <w:rFonts w:ascii="Microsoft Sans Serif" w:hAnsi="Microsoft Sans Serif" w:cs="Microsoft Sans Serif"/>
          <w:szCs w:val="24"/>
        </w:rPr>
      </w:pPr>
      <w:r>
        <w:rPr>
          <w:rFonts w:ascii="Microsoft Sans Serif" w:hAnsi="Microsoft Sans Serif" w:eastAsia="Calibri" w:cs="Microsoft Sans Serif"/>
          <w:lang w:val="bs-Latn-BA" w:eastAsia="en-US"/>
        </w:rPr>
        <w:t xml:space="preserve">Lijekovi koji induciraju ili inhibiraju glukuronidaciju, mogu da utiču na klirens lamotrigina. Jaki ili umjereni induktori enzima citohrom </w:t>
      </w:r>
      <w:r>
        <w:rPr>
          <w:rFonts w:ascii="Microsoft Sans Serif" w:hAnsi="Microsoft Sans Serif" w:cs="Microsoft Sans Serif"/>
          <w:szCs w:val="24"/>
          <w:lang w:val="mk-MK"/>
        </w:rPr>
        <w:t>P450 3A4 (CYP3A4),</w:t>
      </w:r>
      <w:r>
        <w:rPr>
          <w:rFonts w:ascii="Microsoft Sans Serif" w:hAnsi="Microsoft Sans Serif" w:cs="Microsoft Sans Serif"/>
          <w:szCs w:val="24"/>
        </w:rPr>
        <w:t xml:space="preserve"> za koje se isto tako zna da induciraju UGT, takođe mogu povećati metabolizam lamotrigina.</w:t>
      </w:r>
    </w:p>
    <w:p w14:paraId="2592BF7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dokaza da lamotrigin izaziva klinički značajnu indukciju ili inhibiciju citohrom P450 enzima. Lamotrigin može indukovati vlastiti metabolizam, ali je efekat neznatan i vjerovatno neće imati značajne kliničke posljedice.</w:t>
      </w:r>
    </w:p>
    <w:p w14:paraId="156AA5CE">
      <w:pPr>
        <w:autoSpaceDE w:val="0"/>
        <w:autoSpaceDN w:val="0"/>
        <w:adjustRightInd w:val="0"/>
        <w:jc w:val="both"/>
        <w:rPr>
          <w:rFonts w:ascii="Microsoft Sans Serif" w:hAnsi="Microsoft Sans Serif" w:eastAsia="Calibri" w:cs="Microsoft Sans Serif"/>
          <w:lang w:val="bs-Latn-BA" w:eastAsia="en-US"/>
        </w:rPr>
      </w:pPr>
    </w:p>
    <w:p w14:paraId="7EDC4980">
      <w:pPr>
        <w:autoSpaceDE w:val="0"/>
        <w:autoSpaceDN w:val="0"/>
        <w:adjustRightInd w:val="0"/>
        <w:jc w:val="both"/>
        <w:rPr>
          <w:rFonts w:ascii="Microsoft Sans Serif" w:hAnsi="Microsoft Sans Serif" w:eastAsia="Calibri" w:cs="Microsoft Sans Serif"/>
          <w:lang w:eastAsia="en-US"/>
        </w:rPr>
      </w:pPr>
      <w:r>
        <w:rPr>
          <w:rFonts w:ascii="Microsoft Sans Serif" w:hAnsi="Microsoft Sans Serif" w:eastAsia="Calibri" w:cs="Microsoft Sans Serif"/>
          <w:lang w:val="bs-Latn-BA" w:eastAsia="en-US"/>
        </w:rPr>
        <w:t xml:space="preserve">Lijekovi za koje se pokazalo da imaju klinički relevantan uticaj na </w:t>
      </w:r>
      <w:r>
        <w:rPr>
          <w:rFonts w:ascii="Microsoft Sans Serif" w:hAnsi="Microsoft Sans Serif" w:eastAsia="Calibri" w:cs="Microsoft Sans Serif"/>
          <w:lang w:eastAsia="en-US"/>
        </w:rPr>
        <w:t>koncentraciju</w:t>
      </w:r>
      <w:r>
        <w:rPr>
          <w:rFonts w:ascii="Microsoft Sans Serif" w:hAnsi="Microsoft Sans Serif" w:eastAsia="Calibri" w:cs="Microsoft Sans Serif"/>
          <w:lang w:val="bs-Latn-BA" w:eastAsia="en-US"/>
        </w:rPr>
        <w:t xml:space="preserve"> lamotrigina su navedeni u Tabeli 6 u nastavku teksta. Specifična uputstva doziranja pri istovremenoj primjeni ovih lijekova su navedena u dijelu 4.2. </w:t>
      </w:r>
      <w:r>
        <w:rPr>
          <w:rFonts w:ascii="Microsoft Sans Serif" w:hAnsi="Microsoft Sans Serif" w:eastAsia="Calibri" w:cs="Microsoft Sans Serif"/>
          <w:lang w:eastAsia="en-US"/>
        </w:rPr>
        <w:t>Pored toga, ova tabela navodi one lijekove za koje se pokazalo da imaju mali ili nikakav efekat na koncentraciju lamotrigina. Generalno se ne očekuje da će istovremena primjena takvih lijekova dovesti do bilo kakvog kliničkog uticaja. Međutim, treba uzeti u obzir pacijente čija je epilepsija posebno osjetljiva na fluktuacije koncentracija lamotrigina.</w:t>
      </w:r>
    </w:p>
    <w:p w14:paraId="41AC5630">
      <w:pPr>
        <w:autoSpaceDE w:val="0"/>
        <w:autoSpaceDN w:val="0"/>
        <w:adjustRightInd w:val="0"/>
        <w:jc w:val="both"/>
        <w:rPr>
          <w:rFonts w:ascii="Microsoft Sans Serif" w:hAnsi="Microsoft Sans Serif" w:eastAsia="Calibri" w:cs="Microsoft Sans Serif"/>
          <w:u w:val="single"/>
          <w:lang w:val="bs-Latn-BA" w:eastAsia="en-US"/>
        </w:rPr>
      </w:pPr>
    </w:p>
    <w:p w14:paraId="1C51B092">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6: Uticaj drugih lijekova na glukuronidaciju lamotrigina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544"/>
        <w:gridCol w:w="2835"/>
      </w:tblGrid>
      <w:tr w14:paraId="2934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3B4C25D">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291BC41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inhibiraju glukuronidaciju lamotrigina</w:t>
            </w:r>
          </w:p>
        </w:tc>
        <w:tc>
          <w:tcPr>
            <w:tcW w:w="3544" w:type="dxa"/>
          </w:tcPr>
          <w:p w14:paraId="155E9D0E">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0CDF232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w:t>
            </w:r>
          </w:p>
        </w:tc>
        <w:tc>
          <w:tcPr>
            <w:tcW w:w="2835" w:type="dxa"/>
          </w:tcPr>
          <w:p w14:paraId="733CE2BE">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ne inhibiraju ili</w:t>
            </w:r>
          </w:p>
          <w:p w14:paraId="0D10AB2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 značajno</w:t>
            </w:r>
          </w:p>
        </w:tc>
      </w:tr>
      <w:tr w14:paraId="0A2A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E3FF1D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w:t>
            </w:r>
          </w:p>
        </w:tc>
        <w:tc>
          <w:tcPr>
            <w:tcW w:w="3544" w:type="dxa"/>
          </w:tcPr>
          <w:p w14:paraId="1ADF779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atazanavir/ritonavir*</w:t>
            </w:r>
          </w:p>
        </w:tc>
        <w:tc>
          <w:tcPr>
            <w:tcW w:w="2835" w:type="dxa"/>
          </w:tcPr>
          <w:p w14:paraId="4C667C1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aripiprazol </w:t>
            </w:r>
          </w:p>
        </w:tc>
      </w:tr>
      <w:tr w14:paraId="0F12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1A8C283">
            <w:pPr>
              <w:autoSpaceDE w:val="0"/>
              <w:autoSpaceDN w:val="0"/>
              <w:adjustRightInd w:val="0"/>
              <w:rPr>
                <w:rFonts w:ascii="Microsoft Sans Serif" w:hAnsi="Microsoft Sans Serif" w:eastAsia="Calibri" w:cs="Microsoft Sans Serif"/>
                <w:lang w:val="bs-Latn-BA" w:eastAsia="en-US"/>
              </w:rPr>
            </w:pPr>
          </w:p>
        </w:tc>
        <w:tc>
          <w:tcPr>
            <w:tcW w:w="3544" w:type="dxa"/>
          </w:tcPr>
          <w:p w14:paraId="38348DD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karbamazepin</w:t>
            </w:r>
          </w:p>
        </w:tc>
        <w:tc>
          <w:tcPr>
            <w:tcW w:w="2835" w:type="dxa"/>
          </w:tcPr>
          <w:p w14:paraId="228C739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buproprion </w:t>
            </w:r>
          </w:p>
        </w:tc>
      </w:tr>
      <w:tr w14:paraId="65A6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E685072">
            <w:pPr>
              <w:autoSpaceDE w:val="0"/>
              <w:autoSpaceDN w:val="0"/>
              <w:adjustRightInd w:val="0"/>
              <w:rPr>
                <w:rFonts w:ascii="Microsoft Sans Serif" w:hAnsi="Microsoft Sans Serif" w:eastAsia="Calibri" w:cs="Microsoft Sans Serif"/>
                <w:lang w:val="bs-Latn-BA" w:eastAsia="en-US"/>
              </w:rPr>
            </w:pPr>
          </w:p>
        </w:tc>
        <w:tc>
          <w:tcPr>
            <w:tcW w:w="3544" w:type="dxa"/>
          </w:tcPr>
          <w:p w14:paraId="3A03CB4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etinilestradiol/ levonorgestrel</w:t>
            </w:r>
          </w:p>
          <w:p w14:paraId="23F1522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kombinacija*</w:t>
            </w:r>
          </w:p>
        </w:tc>
        <w:tc>
          <w:tcPr>
            <w:tcW w:w="2835" w:type="dxa"/>
          </w:tcPr>
          <w:p w14:paraId="6454894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felbamat </w:t>
            </w:r>
          </w:p>
        </w:tc>
      </w:tr>
      <w:tr w14:paraId="38DA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44D55AE">
            <w:pPr>
              <w:autoSpaceDE w:val="0"/>
              <w:autoSpaceDN w:val="0"/>
              <w:adjustRightInd w:val="0"/>
              <w:rPr>
                <w:rFonts w:ascii="Microsoft Sans Serif" w:hAnsi="Microsoft Sans Serif" w:eastAsia="Calibri" w:cs="Microsoft Sans Serif"/>
                <w:lang w:val="bs-Latn-BA" w:eastAsia="en-US"/>
              </w:rPr>
            </w:pPr>
          </w:p>
        </w:tc>
        <w:tc>
          <w:tcPr>
            <w:tcW w:w="3544" w:type="dxa"/>
          </w:tcPr>
          <w:p w14:paraId="2B46C66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lopinavir/ritonavir </w:t>
            </w:r>
          </w:p>
        </w:tc>
        <w:tc>
          <w:tcPr>
            <w:tcW w:w="2835" w:type="dxa"/>
          </w:tcPr>
          <w:p w14:paraId="1D29D5C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gabapentin </w:t>
            </w:r>
          </w:p>
        </w:tc>
      </w:tr>
      <w:tr w14:paraId="1EFA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D80A14D">
            <w:pPr>
              <w:autoSpaceDE w:val="0"/>
              <w:autoSpaceDN w:val="0"/>
              <w:adjustRightInd w:val="0"/>
              <w:rPr>
                <w:rFonts w:ascii="Microsoft Sans Serif" w:hAnsi="Microsoft Sans Serif" w:eastAsia="Calibri" w:cs="Microsoft Sans Serif"/>
                <w:lang w:val="bs-Latn-BA" w:eastAsia="en-US"/>
              </w:rPr>
            </w:pPr>
          </w:p>
        </w:tc>
        <w:tc>
          <w:tcPr>
            <w:tcW w:w="3544" w:type="dxa"/>
          </w:tcPr>
          <w:p w14:paraId="6DCB045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fenobarbiton </w:t>
            </w:r>
          </w:p>
        </w:tc>
        <w:tc>
          <w:tcPr>
            <w:tcW w:w="2835" w:type="dxa"/>
          </w:tcPr>
          <w:p w14:paraId="2379BA5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lakozamid </w:t>
            </w:r>
          </w:p>
        </w:tc>
      </w:tr>
      <w:tr w14:paraId="4B26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E331F9C">
            <w:pPr>
              <w:autoSpaceDE w:val="0"/>
              <w:autoSpaceDN w:val="0"/>
              <w:adjustRightInd w:val="0"/>
              <w:rPr>
                <w:rFonts w:ascii="Microsoft Sans Serif" w:hAnsi="Microsoft Sans Serif" w:eastAsia="Calibri" w:cs="Microsoft Sans Serif"/>
                <w:lang w:val="bs-Latn-BA" w:eastAsia="en-US"/>
              </w:rPr>
            </w:pPr>
          </w:p>
        </w:tc>
        <w:tc>
          <w:tcPr>
            <w:tcW w:w="3544" w:type="dxa"/>
          </w:tcPr>
          <w:p w14:paraId="00575A3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fenitoin </w:t>
            </w:r>
          </w:p>
        </w:tc>
        <w:tc>
          <w:tcPr>
            <w:tcW w:w="2835" w:type="dxa"/>
          </w:tcPr>
          <w:p w14:paraId="1ADF98B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levetiracetam </w:t>
            </w:r>
          </w:p>
        </w:tc>
      </w:tr>
      <w:tr w14:paraId="36B85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DE0999B">
            <w:pPr>
              <w:autoSpaceDE w:val="0"/>
              <w:autoSpaceDN w:val="0"/>
              <w:adjustRightInd w:val="0"/>
              <w:rPr>
                <w:rFonts w:ascii="Microsoft Sans Serif" w:hAnsi="Microsoft Sans Serif" w:eastAsia="Calibri" w:cs="Microsoft Sans Serif"/>
                <w:lang w:val="bs-Latn-BA" w:eastAsia="en-US"/>
              </w:rPr>
            </w:pPr>
          </w:p>
        </w:tc>
        <w:tc>
          <w:tcPr>
            <w:tcW w:w="3544" w:type="dxa"/>
          </w:tcPr>
          <w:p w14:paraId="6AE443F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primidon </w:t>
            </w:r>
          </w:p>
        </w:tc>
        <w:tc>
          <w:tcPr>
            <w:tcW w:w="2835" w:type="dxa"/>
          </w:tcPr>
          <w:p w14:paraId="54CA906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litium </w:t>
            </w:r>
          </w:p>
        </w:tc>
      </w:tr>
      <w:tr w14:paraId="65EE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42D94B7">
            <w:pPr>
              <w:autoSpaceDE w:val="0"/>
              <w:autoSpaceDN w:val="0"/>
              <w:adjustRightInd w:val="0"/>
              <w:rPr>
                <w:rFonts w:ascii="Microsoft Sans Serif" w:hAnsi="Microsoft Sans Serif" w:eastAsia="Calibri" w:cs="Microsoft Sans Serif"/>
                <w:lang w:val="bs-Latn-BA" w:eastAsia="en-US"/>
              </w:rPr>
            </w:pPr>
          </w:p>
        </w:tc>
        <w:tc>
          <w:tcPr>
            <w:tcW w:w="3544" w:type="dxa"/>
          </w:tcPr>
          <w:p w14:paraId="3E9D6E5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rifampicin </w:t>
            </w:r>
          </w:p>
        </w:tc>
        <w:tc>
          <w:tcPr>
            <w:tcW w:w="2835" w:type="dxa"/>
          </w:tcPr>
          <w:p w14:paraId="0A80137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olanzapine </w:t>
            </w:r>
          </w:p>
        </w:tc>
      </w:tr>
      <w:tr w14:paraId="757F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98611E5">
            <w:pPr>
              <w:autoSpaceDE w:val="0"/>
              <w:autoSpaceDN w:val="0"/>
              <w:adjustRightInd w:val="0"/>
              <w:rPr>
                <w:rFonts w:ascii="Microsoft Sans Serif" w:hAnsi="Microsoft Sans Serif" w:eastAsia="Calibri" w:cs="Microsoft Sans Serif"/>
                <w:lang w:val="bs-Latn-BA" w:eastAsia="en-US"/>
              </w:rPr>
            </w:pPr>
          </w:p>
        </w:tc>
        <w:tc>
          <w:tcPr>
            <w:tcW w:w="3544" w:type="dxa"/>
          </w:tcPr>
          <w:p w14:paraId="0A1A6147">
            <w:pPr>
              <w:autoSpaceDE w:val="0"/>
              <w:autoSpaceDN w:val="0"/>
              <w:adjustRightInd w:val="0"/>
              <w:rPr>
                <w:rFonts w:ascii="Microsoft Sans Serif" w:hAnsi="Microsoft Sans Serif" w:eastAsia="Calibri" w:cs="Microsoft Sans Serif"/>
                <w:lang w:val="bs-Latn-BA" w:eastAsia="en-US"/>
              </w:rPr>
            </w:pPr>
          </w:p>
        </w:tc>
        <w:tc>
          <w:tcPr>
            <w:tcW w:w="2835" w:type="dxa"/>
          </w:tcPr>
          <w:p w14:paraId="178B025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okskarbazepin </w:t>
            </w:r>
          </w:p>
        </w:tc>
      </w:tr>
      <w:tr w14:paraId="764D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8F004FA">
            <w:pPr>
              <w:autoSpaceDE w:val="0"/>
              <w:autoSpaceDN w:val="0"/>
              <w:adjustRightInd w:val="0"/>
              <w:rPr>
                <w:rFonts w:ascii="Microsoft Sans Serif" w:hAnsi="Microsoft Sans Serif" w:eastAsia="Calibri" w:cs="Microsoft Sans Serif"/>
                <w:lang w:val="bs-Latn-BA" w:eastAsia="en-US"/>
              </w:rPr>
            </w:pPr>
          </w:p>
        </w:tc>
        <w:tc>
          <w:tcPr>
            <w:tcW w:w="3544" w:type="dxa"/>
          </w:tcPr>
          <w:p w14:paraId="2824FA7B">
            <w:pPr>
              <w:autoSpaceDE w:val="0"/>
              <w:autoSpaceDN w:val="0"/>
              <w:adjustRightInd w:val="0"/>
              <w:rPr>
                <w:rFonts w:ascii="Microsoft Sans Serif" w:hAnsi="Microsoft Sans Serif" w:eastAsia="Calibri" w:cs="Microsoft Sans Serif"/>
                <w:lang w:val="bs-Latn-BA" w:eastAsia="en-US"/>
              </w:rPr>
            </w:pPr>
          </w:p>
        </w:tc>
        <w:tc>
          <w:tcPr>
            <w:tcW w:w="2835" w:type="dxa"/>
          </w:tcPr>
          <w:p w14:paraId="3065D63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paracetamol</w:t>
            </w:r>
          </w:p>
        </w:tc>
      </w:tr>
      <w:tr w14:paraId="2393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D5D59BA">
            <w:pPr>
              <w:autoSpaceDE w:val="0"/>
              <w:autoSpaceDN w:val="0"/>
              <w:adjustRightInd w:val="0"/>
              <w:rPr>
                <w:rFonts w:ascii="Microsoft Sans Serif" w:hAnsi="Microsoft Sans Serif" w:eastAsia="Calibri" w:cs="Microsoft Sans Serif"/>
                <w:lang w:val="bs-Latn-BA" w:eastAsia="en-US"/>
              </w:rPr>
            </w:pPr>
          </w:p>
        </w:tc>
        <w:tc>
          <w:tcPr>
            <w:tcW w:w="3544" w:type="dxa"/>
          </w:tcPr>
          <w:p w14:paraId="5B587766">
            <w:pPr>
              <w:autoSpaceDE w:val="0"/>
              <w:autoSpaceDN w:val="0"/>
              <w:adjustRightInd w:val="0"/>
              <w:rPr>
                <w:rFonts w:ascii="Microsoft Sans Serif" w:hAnsi="Microsoft Sans Serif" w:eastAsia="Calibri" w:cs="Microsoft Sans Serif"/>
                <w:lang w:val="bs-Latn-BA" w:eastAsia="en-US"/>
              </w:rPr>
            </w:pPr>
          </w:p>
        </w:tc>
        <w:tc>
          <w:tcPr>
            <w:tcW w:w="2835" w:type="dxa"/>
          </w:tcPr>
          <w:p w14:paraId="1CA770A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perampanel </w:t>
            </w:r>
          </w:p>
        </w:tc>
      </w:tr>
      <w:tr w14:paraId="745F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F2AD439">
            <w:pPr>
              <w:autoSpaceDE w:val="0"/>
              <w:autoSpaceDN w:val="0"/>
              <w:adjustRightInd w:val="0"/>
              <w:rPr>
                <w:rFonts w:ascii="Microsoft Sans Serif" w:hAnsi="Microsoft Sans Serif" w:eastAsia="Calibri" w:cs="Microsoft Sans Serif"/>
                <w:lang w:val="bs-Latn-BA" w:eastAsia="en-US"/>
              </w:rPr>
            </w:pPr>
          </w:p>
        </w:tc>
        <w:tc>
          <w:tcPr>
            <w:tcW w:w="3544" w:type="dxa"/>
          </w:tcPr>
          <w:p w14:paraId="545CAC84">
            <w:pPr>
              <w:autoSpaceDE w:val="0"/>
              <w:autoSpaceDN w:val="0"/>
              <w:adjustRightInd w:val="0"/>
              <w:rPr>
                <w:rFonts w:ascii="Microsoft Sans Serif" w:hAnsi="Microsoft Sans Serif" w:eastAsia="Calibri" w:cs="Microsoft Sans Serif"/>
                <w:lang w:val="bs-Latn-BA" w:eastAsia="en-US"/>
              </w:rPr>
            </w:pPr>
          </w:p>
        </w:tc>
        <w:tc>
          <w:tcPr>
            <w:tcW w:w="2835" w:type="dxa"/>
          </w:tcPr>
          <w:p w14:paraId="5B14DA81">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pregabalin </w:t>
            </w:r>
          </w:p>
        </w:tc>
      </w:tr>
      <w:tr w14:paraId="64CA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03287381">
            <w:pPr>
              <w:autoSpaceDE w:val="0"/>
              <w:autoSpaceDN w:val="0"/>
              <w:adjustRightInd w:val="0"/>
              <w:rPr>
                <w:rFonts w:ascii="Microsoft Sans Serif" w:hAnsi="Microsoft Sans Serif" w:eastAsia="Calibri" w:cs="Microsoft Sans Serif"/>
                <w:lang w:val="bs-Latn-BA" w:eastAsia="en-US"/>
              </w:rPr>
            </w:pPr>
          </w:p>
        </w:tc>
        <w:tc>
          <w:tcPr>
            <w:tcW w:w="3544" w:type="dxa"/>
          </w:tcPr>
          <w:p w14:paraId="3A429B05">
            <w:pPr>
              <w:autoSpaceDE w:val="0"/>
              <w:autoSpaceDN w:val="0"/>
              <w:adjustRightInd w:val="0"/>
              <w:rPr>
                <w:rFonts w:ascii="Microsoft Sans Serif" w:hAnsi="Microsoft Sans Serif" w:eastAsia="Calibri" w:cs="Microsoft Sans Serif"/>
                <w:lang w:val="bs-Latn-BA" w:eastAsia="en-US"/>
              </w:rPr>
            </w:pPr>
          </w:p>
        </w:tc>
        <w:tc>
          <w:tcPr>
            <w:tcW w:w="2835" w:type="dxa"/>
          </w:tcPr>
          <w:p w14:paraId="57225B7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topiramat </w:t>
            </w:r>
          </w:p>
        </w:tc>
      </w:tr>
      <w:tr w14:paraId="36D7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6B75BE46">
            <w:pPr>
              <w:autoSpaceDE w:val="0"/>
              <w:autoSpaceDN w:val="0"/>
              <w:adjustRightInd w:val="0"/>
              <w:rPr>
                <w:rFonts w:ascii="Microsoft Sans Serif" w:hAnsi="Microsoft Sans Serif" w:eastAsia="Calibri" w:cs="Microsoft Sans Serif"/>
                <w:lang w:val="bs-Latn-BA" w:eastAsia="en-US"/>
              </w:rPr>
            </w:pPr>
          </w:p>
        </w:tc>
        <w:tc>
          <w:tcPr>
            <w:tcW w:w="3544" w:type="dxa"/>
          </w:tcPr>
          <w:p w14:paraId="5531E4C0">
            <w:pPr>
              <w:autoSpaceDE w:val="0"/>
              <w:autoSpaceDN w:val="0"/>
              <w:adjustRightInd w:val="0"/>
              <w:rPr>
                <w:rFonts w:ascii="Microsoft Sans Serif" w:hAnsi="Microsoft Sans Serif" w:eastAsia="Calibri" w:cs="Microsoft Sans Serif"/>
                <w:lang w:val="bs-Latn-BA" w:eastAsia="en-US"/>
              </w:rPr>
            </w:pPr>
          </w:p>
        </w:tc>
        <w:tc>
          <w:tcPr>
            <w:tcW w:w="2835" w:type="dxa"/>
          </w:tcPr>
          <w:p w14:paraId="494EC8E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zonisamid </w:t>
            </w:r>
          </w:p>
        </w:tc>
      </w:tr>
    </w:tbl>
    <w:p w14:paraId="57D7066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Za način doziranja pogledati dio 4.2 </w:t>
      </w:r>
      <w:r>
        <w:rPr>
          <w:rFonts w:ascii="Microsoft Sans Serif" w:hAnsi="Microsoft Sans Serif" w:eastAsia="Calibri" w:cs="Microsoft Sans Serif"/>
          <w:lang w:eastAsia="en-US"/>
        </w:rPr>
        <w:t>dodatno za žene koje uzimaju hormonske kontraceptive takođe pogledajte Hormonski kontraceptivi u dijelu 4.4.</w:t>
      </w:r>
    </w:p>
    <w:p w14:paraId="01DFB7CD">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uključuju antiepileptike</w:t>
      </w:r>
    </w:p>
    <w:p w14:paraId="03EABDD4">
      <w:pPr>
        <w:autoSpaceDE w:val="0"/>
        <w:autoSpaceDN w:val="0"/>
        <w:adjustRightInd w:val="0"/>
        <w:jc w:val="both"/>
        <w:rPr>
          <w:rFonts w:ascii="Microsoft Sans Serif" w:hAnsi="Microsoft Sans Serif" w:eastAsia="Calibri" w:cs="Microsoft Sans Serif"/>
          <w:u w:val="single"/>
          <w:lang w:val="bs-Latn-BA" w:eastAsia="en-US"/>
        </w:rPr>
      </w:pPr>
    </w:p>
    <w:p w14:paraId="48BEFDB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 koji inhibira glukuronidaciju lamotrigina, smanjuje metabolizam lamotrigina i produžava srednji poluživot lamotrigina gotovo dvostruko. Kod pacijenata koji istovremeno uzimaju terapiju sa valproatom, treba koristiti odgovarajući režim doziranja (pogledati dio 4.2).</w:t>
      </w:r>
    </w:p>
    <w:p w14:paraId="7593812D">
      <w:pPr>
        <w:autoSpaceDE w:val="0"/>
        <w:autoSpaceDN w:val="0"/>
        <w:adjustRightInd w:val="0"/>
        <w:jc w:val="both"/>
        <w:rPr>
          <w:rFonts w:ascii="Microsoft Sans Serif" w:hAnsi="Microsoft Sans Serif" w:eastAsia="Calibri" w:cs="Microsoft Sans Serif"/>
          <w:u w:val="single"/>
          <w:lang w:val="bs-Latn-BA" w:eastAsia="en-US"/>
        </w:rPr>
      </w:pPr>
    </w:p>
    <w:p w14:paraId="351D339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AED (kao što su fenitoin, karbamazepin, fenobarbiton i primidon) koji indukuju citohrom P450 enzime tako</w:t>
      </w:r>
      <w:r>
        <w:rPr>
          <w:rFonts w:ascii="Microsoft Sans Serif" w:hAnsi="Microsoft Sans Serif" w:eastAsia="Calibri" w:cs="Microsoft Sans Serif"/>
          <w:lang w:val="hr-BA" w:eastAsia="en-US"/>
        </w:rPr>
        <w:t>đe</w:t>
      </w:r>
      <w:r>
        <w:rPr>
          <w:rFonts w:ascii="Microsoft Sans Serif" w:hAnsi="Microsoft Sans Serif" w:eastAsia="Calibri" w:cs="Microsoft Sans Serif"/>
          <w:lang w:val="bs-Latn-BA" w:eastAsia="en-US"/>
        </w:rPr>
        <w:t xml:space="preserve"> indukuju glukuronidaciju lamotrigina i ubrzavaju metabolizam lamotrigina. Kod pacijenata koji primaju istovremeno terapiju sa fenitoinom, karbamazepinom, fenobarbitonom ili primidonom, treba koristiti odgovarajući režim doziranja (pogledati dio 4.2).</w:t>
      </w:r>
    </w:p>
    <w:p w14:paraId="350E5D53">
      <w:pPr>
        <w:autoSpaceDE w:val="0"/>
        <w:autoSpaceDN w:val="0"/>
        <w:adjustRightInd w:val="0"/>
        <w:jc w:val="both"/>
        <w:rPr>
          <w:rFonts w:ascii="Microsoft Sans Serif" w:hAnsi="Microsoft Sans Serif" w:eastAsia="Calibri" w:cs="Microsoft Sans Serif"/>
          <w:lang w:val="bs-Latn-BA" w:eastAsia="en-US"/>
        </w:rPr>
      </w:pPr>
    </w:p>
    <w:p w14:paraId="3349316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Zabilježeni su slučajevi neželjenih dejstava povezanih sa centralnim nevnim sistemom, uključujući vrtoglavicu, ataksiju, diplopiju, zamućen vid i mučninu kod pacijenata koji su uzimali karbamazepin nakon uvođenja lamotrigina. Ta neželjena djelovanja su nestala kada je doza karbamazepina smanjena. Sličan efekat je primijećen tokom ispitivanja lamotrigina i okskarbazepina kod zdravih odraslih dobrovoljaca, ali smanjenje doze nije istraženo.</w:t>
      </w:r>
    </w:p>
    <w:p w14:paraId="5BD8D94C">
      <w:pPr>
        <w:autoSpaceDE w:val="0"/>
        <w:autoSpaceDN w:val="0"/>
        <w:adjustRightInd w:val="0"/>
        <w:jc w:val="both"/>
        <w:rPr>
          <w:rFonts w:ascii="Microsoft Sans Serif" w:hAnsi="Microsoft Sans Serif" w:eastAsia="Calibri" w:cs="Microsoft Sans Serif"/>
          <w:lang w:val="bs-Latn-BA" w:eastAsia="en-US"/>
        </w:rPr>
      </w:pPr>
    </w:p>
    <w:p w14:paraId="55626E0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Postoje izvještaji u literaturi o smanjenju nivoa lamotrigina, kada se lamotrigin primjenjuje u kombinaciji sa okskarbazepinom. Međutim, u prospektivnim ispitivanjima kod zdravih odraslih dobrovoljaca koristeći doze od 200 mg lamotrigina i 1.200 mg okskarbazepina, okskarbazepin nije promijenio metabolizam lamotrigina i lamotrigin nije promijenio metabolizam okskarbazepina. Zbog toga, kod pacijenata koji primaju istovremenu terapiju sa okskarbazepinom, treba koristiti preporuke za dopunsku terapiju sa lamotriginom bez valproata i bez induktora glukuronidacije lamotrigina (pogledati dio 4.2).</w:t>
      </w:r>
    </w:p>
    <w:p w14:paraId="70548DCB">
      <w:pPr>
        <w:autoSpaceDE w:val="0"/>
        <w:autoSpaceDN w:val="0"/>
        <w:adjustRightInd w:val="0"/>
        <w:rPr>
          <w:rFonts w:ascii="Microsoft Sans Serif" w:hAnsi="Microsoft Sans Serif" w:eastAsia="Calibri" w:cs="Microsoft Sans Serif"/>
          <w:lang w:val="bs-Latn-BA" w:eastAsia="en-US"/>
        </w:rPr>
      </w:pPr>
    </w:p>
    <w:p w14:paraId="249DF95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ispitivanjima na zdravim dobrovoljcima, istovremena primjena felbamata (1.200 mg dva puta dnevno) sa lamotriginom (100 mg dva puta dnevno tokom deset dana) nije pokazala klinički značajne efekte na farmakokinetiku lamotrigina.</w:t>
      </w:r>
    </w:p>
    <w:p w14:paraId="37899865">
      <w:pPr>
        <w:autoSpaceDE w:val="0"/>
        <w:autoSpaceDN w:val="0"/>
        <w:adjustRightInd w:val="0"/>
        <w:jc w:val="both"/>
        <w:rPr>
          <w:rFonts w:ascii="Microsoft Sans Serif" w:hAnsi="Microsoft Sans Serif" w:eastAsia="Calibri" w:cs="Microsoft Sans Serif"/>
          <w:lang w:val="bs-Latn-BA" w:eastAsia="en-US"/>
        </w:rPr>
      </w:pPr>
    </w:p>
    <w:p w14:paraId="41F8285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 osnovu retrospektivne analize koncentracije u plazmi kod pacijenata koji su primali lamotrigin sa gabapentinom i bez njega, gabapentin nije uticao na klirens lamotrigina.</w:t>
      </w:r>
    </w:p>
    <w:p w14:paraId="30147B6B">
      <w:pPr>
        <w:autoSpaceDE w:val="0"/>
        <w:autoSpaceDN w:val="0"/>
        <w:adjustRightInd w:val="0"/>
        <w:jc w:val="both"/>
        <w:rPr>
          <w:rFonts w:ascii="Microsoft Sans Serif" w:hAnsi="Microsoft Sans Serif" w:eastAsia="Calibri" w:cs="Microsoft Sans Serif"/>
          <w:lang w:val="bs-Latn-BA" w:eastAsia="en-US"/>
        </w:rPr>
      </w:pPr>
    </w:p>
    <w:p w14:paraId="1918E87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Potencijalne interakcije između levetiracetama i lamotrigina ocijenjene su preko evaluacije serumskih koncentracija oba lijeka u placebom kontrolisanim kliničkim ispitivanjima. Ovi podaci pokazuju da lamotrigin ne utiče na farmakokinetiku levetiracetama i da levetiracetam ne utiče na farmakokinetiku lamotrigina.</w:t>
      </w:r>
    </w:p>
    <w:p w14:paraId="3C8C4117">
      <w:pPr>
        <w:autoSpaceDE w:val="0"/>
        <w:autoSpaceDN w:val="0"/>
        <w:adjustRightInd w:val="0"/>
        <w:rPr>
          <w:rFonts w:ascii="Microsoft Sans Serif" w:hAnsi="Microsoft Sans Serif" w:eastAsia="Calibri" w:cs="Microsoft Sans Serif"/>
          <w:lang w:val="bs-Latn-BA" w:eastAsia="en-US"/>
        </w:rPr>
      </w:pPr>
    </w:p>
    <w:p w14:paraId="1687AE7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Ravnotežno stanje koncentracije lamotrigina u plazmi nije uticalo na istovremenu primjenu pregabalina (200 mg, tri puta dnevno). Nema farmakokinetičke interakcije između lamotrigina i pregabalina.</w:t>
      </w:r>
    </w:p>
    <w:p w14:paraId="25845FD4">
      <w:pPr>
        <w:autoSpaceDE w:val="0"/>
        <w:autoSpaceDN w:val="0"/>
        <w:adjustRightInd w:val="0"/>
        <w:jc w:val="both"/>
        <w:rPr>
          <w:rFonts w:ascii="Microsoft Sans Serif" w:hAnsi="Microsoft Sans Serif" w:eastAsia="Calibri" w:cs="Microsoft Sans Serif"/>
          <w:lang w:val="bs-Latn-BA" w:eastAsia="en-US"/>
        </w:rPr>
      </w:pPr>
    </w:p>
    <w:p w14:paraId="71899DB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Topiramat nije rezultirao promjenama koncentracije lamotrigina. Primjena lamotrigina rezultirala je povećanjem od 15% koncentracije topiramata.</w:t>
      </w:r>
    </w:p>
    <w:p w14:paraId="1CC8F146">
      <w:pPr>
        <w:pStyle w:val="14"/>
        <w:rPr>
          <w:rFonts w:ascii="Microsoft Sans Serif" w:hAnsi="Microsoft Sans Serif" w:cs="Microsoft Sans Serif"/>
          <w:sz w:val="20"/>
          <w:lang w:val="bs-Latn-BA"/>
        </w:rPr>
      </w:pPr>
    </w:p>
    <w:p w14:paraId="0B76779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kod pacijenata sa epilepsijom, istovremena primjena zonisamida (200 mg/dan do 400 mg/dan) sa lamotriginom (150 mg/dan do 500 mg/dan) za 35 dana nije imala značajan efekat na farmakokinetiku lamotrigina.</w:t>
      </w:r>
    </w:p>
    <w:p w14:paraId="6AC2B370">
      <w:pPr>
        <w:autoSpaceDE w:val="0"/>
        <w:autoSpaceDN w:val="0"/>
        <w:adjustRightInd w:val="0"/>
        <w:jc w:val="both"/>
        <w:rPr>
          <w:rFonts w:ascii="Microsoft Sans Serif" w:hAnsi="Microsoft Sans Serif" w:eastAsia="Calibri" w:cs="Microsoft Sans Serif"/>
          <w:lang w:val="bs-Latn-BA" w:eastAsia="en-US"/>
        </w:rPr>
      </w:pPr>
    </w:p>
    <w:p w14:paraId="44C4D9B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Koncentracije lamotrigina u plazmi nisu bile promjenjene pri istovremenoj primjeni lakozamida (200 mg/dan, 400 mg/dan ili 600 mg/dan) u placebo kontrolisanim kliničkim ispitivanjima kod pacijenata sa parcijalnim napadima.</w:t>
      </w:r>
    </w:p>
    <w:p w14:paraId="4806C967">
      <w:pPr>
        <w:autoSpaceDE w:val="0"/>
        <w:autoSpaceDN w:val="0"/>
        <w:adjustRightInd w:val="0"/>
        <w:jc w:val="both"/>
        <w:rPr>
          <w:rFonts w:ascii="Microsoft Sans Serif" w:hAnsi="Microsoft Sans Serif" w:eastAsia="Calibri" w:cs="Microsoft Sans Serif"/>
          <w:lang w:val="bs-Latn-BA" w:eastAsia="en-US"/>
        </w:rPr>
      </w:pPr>
    </w:p>
    <w:p w14:paraId="3BDAF5B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udruženoj analizi podataka od tri placebo kontrolisana klinička ispitivanja koji su ispitivali istovremenu primjenu peripanela kod pacijenata sa parcijalnim i primarno generalizovanim tonično-kloničnim napadima, najviša doza peripanela (12 mg/dan) povećala je klirens lamotrigina za manje od 10%. </w:t>
      </w:r>
    </w:p>
    <w:p w14:paraId="23846B51">
      <w:pPr>
        <w:autoSpaceDE w:val="0"/>
        <w:autoSpaceDN w:val="0"/>
        <w:adjustRightInd w:val="0"/>
        <w:jc w:val="both"/>
        <w:rPr>
          <w:rFonts w:ascii="Microsoft Sans Serif" w:hAnsi="Microsoft Sans Serif" w:eastAsia="Calibri" w:cs="Microsoft Sans Serif"/>
          <w:lang w:val="bs-Latn-BA" w:eastAsia="en-US"/>
        </w:rPr>
      </w:pPr>
    </w:p>
    <w:p w14:paraId="596FF0A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Iako su objavljene promjene koncentracije u plazmi pri upotrebi drugih AED, kontrolisane studije pokazale su da nema dokaza da lamotrigin utiče na koncentraciju istovremeno primijenjenih antiepileptika. Dokazi iz </w:t>
      </w: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studija pokazuju da lamotrigin ne pomijera druge antiepileptike iz proteinskih veznih mjesta.</w:t>
      </w:r>
    </w:p>
    <w:p w14:paraId="33164731">
      <w:pPr>
        <w:autoSpaceDE w:val="0"/>
        <w:autoSpaceDN w:val="0"/>
        <w:adjustRightInd w:val="0"/>
        <w:rPr>
          <w:rFonts w:ascii="Microsoft Sans Serif" w:hAnsi="Microsoft Sans Serif" w:eastAsia="Calibri" w:cs="Microsoft Sans Serif"/>
          <w:lang w:val="bs-Latn-BA" w:eastAsia="en-US"/>
        </w:rPr>
      </w:pPr>
    </w:p>
    <w:p w14:paraId="22B0FE78">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psihoaktivne lijekove</w:t>
      </w:r>
    </w:p>
    <w:p w14:paraId="07E7E4A5">
      <w:pPr>
        <w:autoSpaceDE w:val="0"/>
        <w:autoSpaceDN w:val="0"/>
        <w:adjustRightInd w:val="0"/>
        <w:jc w:val="both"/>
        <w:rPr>
          <w:rFonts w:ascii="Microsoft Sans Serif" w:hAnsi="Microsoft Sans Serif" w:eastAsia="Calibri" w:cs="Microsoft Sans Serif"/>
          <w:lang w:val="bs-Latn-BA" w:eastAsia="en-US"/>
        </w:rPr>
      </w:pPr>
    </w:p>
    <w:p w14:paraId="2278C16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Farmakokinetika litijuma nije se promijenila prilikom istovremene primjene 2 g bezvodnog litijum glukonata koji je primjenjivan dva puta na dan kod 20 zdravih ispitanika, u toku šest dana sa 100 mg/dan lamotrigina.</w:t>
      </w:r>
    </w:p>
    <w:p w14:paraId="468AA33E">
      <w:pPr>
        <w:autoSpaceDE w:val="0"/>
        <w:autoSpaceDN w:val="0"/>
        <w:adjustRightInd w:val="0"/>
        <w:jc w:val="both"/>
        <w:rPr>
          <w:rFonts w:ascii="Microsoft Sans Serif" w:hAnsi="Microsoft Sans Serif" w:eastAsia="Calibri" w:cs="Microsoft Sans Serif"/>
          <w:lang w:val="bs-Latn-BA" w:eastAsia="en-US"/>
        </w:rPr>
      </w:pPr>
    </w:p>
    <w:p w14:paraId="59D2892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bupropiona nisu imale statistički značajan uticaj na farmakokinetiku jednokratne doze lamotrigina kod 12 ispitanika i imali su samo blagi porast AUC lamotrigin glukuronida.</w:t>
      </w:r>
    </w:p>
    <w:p w14:paraId="554E8A5B">
      <w:pPr>
        <w:autoSpaceDE w:val="0"/>
        <w:autoSpaceDN w:val="0"/>
        <w:adjustRightInd w:val="0"/>
        <w:jc w:val="both"/>
        <w:rPr>
          <w:rFonts w:ascii="Microsoft Sans Serif" w:hAnsi="Microsoft Sans Serif" w:eastAsia="Calibri" w:cs="Microsoft Sans Serif"/>
          <w:lang w:val="bs-Latn-BA" w:eastAsia="en-US"/>
        </w:rPr>
      </w:pPr>
    </w:p>
    <w:p w14:paraId="35FF289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15 mg olanzapina smanjilo je AUC lamotrigina u prosjeku za 24%, i Cmax za 20%. Lamotrigin na 200 mg nije uticao na farmakokinetiku olanzapina.</w:t>
      </w:r>
    </w:p>
    <w:p w14:paraId="3A34BA93">
      <w:pPr>
        <w:autoSpaceDE w:val="0"/>
        <w:autoSpaceDN w:val="0"/>
        <w:adjustRightInd w:val="0"/>
        <w:jc w:val="both"/>
        <w:rPr>
          <w:rFonts w:ascii="Microsoft Sans Serif" w:hAnsi="Microsoft Sans Serif" w:eastAsia="Calibri" w:cs="Microsoft Sans Serif"/>
          <w:lang w:val="bs-Latn-BA" w:eastAsia="en-US"/>
        </w:rPr>
      </w:pPr>
    </w:p>
    <w:p w14:paraId="1F384B3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lamotrigina 400 mg dnevno nisu imale klinički značajan efekat na farmakokinetiku jednokratne doze od 2 mg risperidona kod 14 zdravih odraslih dobrovoljaca. Nakon zajedničkog davanja risperidona 2 mg sa lamotriginom, 12 od 14 dobrovoljaca prijavilo je pospanost, i to u odnosu jedan ispitanik od 20 kada je risperidon primjenjivan sam, a nijedan ispitanik kada je lamotrigin primjenjivan sam.</w:t>
      </w:r>
    </w:p>
    <w:p w14:paraId="274C0CD1">
      <w:pPr>
        <w:autoSpaceDE w:val="0"/>
        <w:autoSpaceDN w:val="0"/>
        <w:adjustRightInd w:val="0"/>
        <w:jc w:val="both"/>
        <w:rPr>
          <w:rFonts w:ascii="Microsoft Sans Serif" w:hAnsi="Microsoft Sans Serif" w:eastAsia="Calibri" w:cs="Microsoft Sans Serif"/>
          <w:lang w:val="bs-Latn-BA" w:eastAsia="en-US"/>
        </w:rPr>
      </w:pPr>
    </w:p>
    <w:p w14:paraId="3301378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18 odraslih pacijenata sa bipolarnim poremećajem tipa I koji su primali utvrđene doze lamotrigina (100 mg/dan do 400 mg/dan), doze aripiprazola povećane su od 10 mg/dan do cilja od 30 mg/dan tokom perioda od sedam dana i dalje jednom dnevno za daljih sedam dana. Zabilježeno je prosječno smanjenje od oko 10% u Cmax i AUC lamotrigina. </w:t>
      </w:r>
    </w:p>
    <w:p w14:paraId="10E58D0D">
      <w:pPr>
        <w:autoSpaceDE w:val="0"/>
        <w:autoSpaceDN w:val="0"/>
        <w:adjustRightInd w:val="0"/>
        <w:jc w:val="both"/>
        <w:rPr>
          <w:rFonts w:ascii="Microsoft Sans Serif" w:hAnsi="Microsoft Sans Serif" w:eastAsia="Calibri" w:cs="Microsoft Sans Serif"/>
          <w:lang w:val="bs-Latn-BA" w:eastAsia="en-US"/>
        </w:rPr>
      </w:pPr>
    </w:p>
    <w:p w14:paraId="22C7E6A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ispitivanja pokazala su da je formiranje primarnog metabolita lamotrigina, 2-N-glukuronida, bilo minimalno inhibirano istovremenom inkubacijom sa amitriptilinom, bupropionom, klonazepamom, haloperidolom ili lorazepamom. Ovi eksperimenti takođe ukazuju da metabolizam lamotrigina vjerojatno ne bi trebalo da bude inhibiran klozapinom, fluoksetinom, fenelzinom, risperidonom, sertralinom ili trazodonom. Osim toga, ispitivanje metabolizma bufuralola pomoću mikrozoma ljudske jetre pokazalo je da lamotrigin ne bi smanjio klirens lijeka metabolizovan pretežno sa CYP2D6.</w:t>
      </w:r>
    </w:p>
    <w:p w14:paraId="2CAFA774">
      <w:pPr>
        <w:jc w:val="both"/>
        <w:rPr>
          <w:rFonts w:ascii="Microsoft Sans Serif" w:hAnsi="Microsoft Sans Serif" w:cs="Microsoft Sans Serif"/>
          <w:lang w:val="bs-Latn-BA"/>
        </w:rPr>
      </w:pPr>
    </w:p>
    <w:p w14:paraId="342FA105">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hormonske kontraceptive</w:t>
      </w:r>
    </w:p>
    <w:p w14:paraId="1CE936E6">
      <w:pPr>
        <w:autoSpaceDE w:val="0"/>
        <w:autoSpaceDN w:val="0"/>
        <w:adjustRightInd w:val="0"/>
        <w:jc w:val="both"/>
        <w:rPr>
          <w:rFonts w:ascii="Microsoft Sans Serif" w:hAnsi="Microsoft Sans Serif" w:eastAsia="Calibri" w:cs="Microsoft Sans Serif"/>
          <w:lang w:val="bs-Latn-BA" w:eastAsia="en-US"/>
        </w:rPr>
      </w:pPr>
    </w:p>
    <w:p w14:paraId="66231460">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Efekat hormonskih kontraceptiva na farmakokinetiku lamotrigina </w:t>
      </w:r>
    </w:p>
    <w:p w14:paraId="3B2669C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16 ženskih dobrovoljaca, doziranje sa 30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etinilestradiola/150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levonorgestrela, u kombinovanoj oralnoj kontracepcijskoj tableti, izazvalo je otprilike dvostruko povećanje klirensa oralno primjenjenog lamotrigina, što je rezultiralo smanjenjem u prosjeku od 52% u AUC i 39% u Cmax lamotrigina. Serumske koncentracije lamotrigina porasle su tokom sedmice neaktivne terapije (uključujući sedmicu bez tableta), kada je koncentracija na kraju sedmice neaktivnog liječenja, u prosjeku, oko dva puta veća nego tokom istovremene terapije (pogledati dio 4.4). Nije potrebno prilagođavanje doze prema smjernicama preporučenoog povećanja doze lamotrigina na osnovu same primjene hormonalnih kontraceptiva, već će doza održavanja lamotrigina morati biti povećana ili smanjena u većini slučajeva kada se započinje ili zaustavlja primjena hormonalnim kontraceptivima (pogledati dio 4.2).</w:t>
      </w:r>
    </w:p>
    <w:p w14:paraId="4C94C85A">
      <w:pPr>
        <w:autoSpaceDE w:val="0"/>
        <w:autoSpaceDN w:val="0"/>
        <w:adjustRightInd w:val="0"/>
        <w:jc w:val="both"/>
        <w:rPr>
          <w:rFonts w:ascii="Microsoft Sans Serif" w:hAnsi="Microsoft Sans Serif" w:eastAsia="Calibri" w:cs="Microsoft Sans Serif"/>
          <w:lang w:val="bs-Latn-BA" w:eastAsia="en-US"/>
        </w:rPr>
      </w:pPr>
    </w:p>
    <w:p w14:paraId="5149ED4E">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farmakokinetiku hormonalnih kontraceptiva</w:t>
      </w:r>
    </w:p>
    <w:p w14:paraId="5D7E0CE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16 ženskih dobrovoljaca, ravnotežno stanje lamotrigina sa dozom od 300 mg nije imalo efekat na farmakokinetiku etinilestradiola, komponentu kombinovanog oralnog kontraceptiva. Umjereno povećanje klirensa oralno primjenjenog levonorgestrela, druge komponente kontraceptivne tablete, rezultiralo je prosječnim smanjenjem AUC levonorgestrela za 19% i Cmax za12%.</w:t>
      </w:r>
    </w:p>
    <w:p w14:paraId="00E7092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Određivanje serumskog FSH, LH i estradiola tokom ispitivanja pokazalo je određeni gubitak suzbijanja hormonske aktivnosti jajnika kod nekih žena, iako je mjerenje progesterona u serumu ukazalo na to da nije postojao hormonski dokaz ovulacije niti kod jedne od 16 ispitanica. Uticaj umjerenog rasta klirensa levonorgestrela, te promjene u serumu FSH i LH, na ovulacijsku aktivnost jajnika je nepoznat (pogledati dio 4.4). Efekti drugih doza lamotrigina osim onog od 300 mg/dan nisu proučavani i studije sa drugim ženskim hormonalnim preparatima nisu sprovedene.</w:t>
      </w:r>
    </w:p>
    <w:p w14:paraId="68F27B59">
      <w:pPr>
        <w:autoSpaceDE w:val="0"/>
        <w:autoSpaceDN w:val="0"/>
        <w:adjustRightInd w:val="0"/>
        <w:jc w:val="both"/>
        <w:rPr>
          <w:rFonts w:ascii="Microsoft Sans Serif" w:hAnsi="Microsoft Sans Serif" w:eastAsia="Calibri" w:cs="Microsoft Sans Serif"/>
          <w:lang w:val="bs-Latn-BA" w:eastAsia="en-US"/>
        </w:rPr>
      </w:pPr>
    </w:p>
    <w:p w14:paraId="6F8B9A1A">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lijekove</w:t>
      </w:r>
    </w:p>
    <w:p w14:paraId="5C378702">
      <w:pPr>
        <w:autoSpaceDE w:val="0"/>
        <w:autoSpaceDN w:val="0"/>
        <w:adjustRightInd w:val="0"/>
        <w:jc w:val="both"/>
        <w:rPr>
          <w:rFonts w:ascii="Microsoft Sans Serif" w:hAnsi="Microsoft Sans Serif" w:eastAsia="Calibri" w:cs="Microsoft Sans Serif"/>
          <w:b/>
          <w:lang w:val="bs-Latn-BA" w:eastAsia="en-US"/>
        </w:rPr>
      </w:pPr>
    </w:p>
    <w:p w14:paraId="712A16D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deset muških dobrovoljaca, rifampicin je povećao klirens lamotrigina i smanjio poluživot lamotrigina zbog indukcije jetrenih enzima odgovornih za glukuronidaciju. Kod pacijenata koji istovremeno uzimaju terapiju sa rifampicinom, treba koristiti odgovarajuće preporuke doziranja (pogledati dio 4.2).</w:t>
      </w:r>
    </w:p>
    <w:p w14:paraId="75D5DA28">
      <w:pPr>
        <w:autoSpaceDE w:val="0"/>
        <w:autoSpaceDN w:val="0"/>
        <w:adjustRightInd w:val="0"/>
        <w:rPr>
          <w:rFonts w:ascii="Microsoft Sans Serif" w:hAnsi="Microsoft Sans Serif" w:eastAsia="Calibri" w:cs="Microsoft Sans Serif"/>
          <w:lang w:val="bs-Latn-BA" w:eastAsia="en-US"/>
        </w:rPr>
      </w:pPr>
    </w:p>
    <w:p w14:paraId="4095056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dobrovoljacima, lopinavir/ritonavir otprilike su prepolovili koncentracije lamotrigina u plazmi, vjerovatno indukcijom glukuronidacije. Kod pacijenata koji istovremeno uzimaju terapiju sa lopinavirom/ritonavirom, treba koristiti odgovarajuće preporuke doziranja (pogledati dio 4.2).</w:t>
      </w:r>
    </w:p>
    <w:p w14:paraId="75F85ED9">
      <w:pPr>
        <w:autoSpaceDE w:val="0"/>
        <w:autoSpaceDN w:val="0"/>
        <w:adjustRightInd w:val="0"/>
        <w:jc w:val="both"/>
        <w:rPr>
          <w:rFonts w:ascii="Microsoft Sans Serif" w:hAnsi="Microsoft Sans Serif" w:eastAsia="Calibri" w:cs="Microsoft Sans Serif"/>
          <w:lang w:val="bs-Latn-BA" w:eastAsia="en-US"/>
        </w:rPr>
      </w:pPr>
    </w:p>
    <w:p w14:paraId="7E282BC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primjena atazanavira/ritonavira (300 mg/100 mg) u trajanju od devet dana i lamotrigina (100 mg jedna doza) smanjila je plazmatski AUC lamotrigina u prosjeku za 32% i Cmax lamotrigina u prosjeku za 6%. Kod pacijenata koji su primali istovremeno atazanavir/ritonavir, treba koristiti odgovarajuće preporuke doziranja (pogledati dio 4.2).</w:t>
      </w:r>
    </w:p>
    <w:p w14:paraId="5864673B">
      <w:pPr>
        <w:autoSpaceDE w:val="0"/>
        <w:autoSpaceDN w:val="0"/>
        <w:adjustRightInd w:val="0"/>
        <w:jc w:val="both"/>
        <w:rPr>
          <w:rFonts w:ascii="Microsoft Sans Serif" w:hAnsi="Microsoft Sans Serif" w:eastAsia="Calibri" w:cs="Microsoft Sans Serif"/>
          <w:lang w:val="bs-Latn-BA" w:eastAsia="en-US"/>
        </w:rPr>
      </w:pPr>
    </w:p>
    <w:p w14:paraId="0E433F2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na zdravim odraslim dobrovoljcima, paracetamol 1g (četiri puta dnevno) smanjio je AUC i Cmin lamotrigina u plazmi u prosjeku za 20% i 25%, respektivno.</w:t>
      </w:r>
      <w:r>
        <w:rPr>
          <w:rFonts w:ascii="Microsoft Sans Serif" w:hAnsi="Microsoft Sans Serif" w:eastAsia="Calibri" w:cs="Microsoft Sans Serif"/>
          <w:lang w:eastAsia="en-US"/>
        </w:rPr>
        <w:t>.</w:t>
      </w:r>
    </w:p>
    <w:p w14:paraId="43522A79">
      <w:pPr>
        <w:autoSpaceDE w:val="0"/>
        <w:autoSpaceDN w:val="0"/>
        <w:adjustRightInd w:val="0"/>
        <w:jc w:val="both"/>
        <w:rPr>
          <w:rFonts w:ascii="Microsoft Sans Serif" w:hAnsi="Microsoft Sans Serif" w:eastAsia="Calibri" w:cs="Microsoft Sans Serif"/>
          <w:lang w:val="bs-Latn-BA" w:eastAsia="en-US"/>
        </w:rPr>
      </w:pPr>
    </w:p>
    <w:p w14:paraId="5BABA340">
      <w:pPr>
        <w:jc w:val="both"/>
        <w:rPr>
          <w:rFonts w:ascii="Microsoft Sans Serif" w:hAnsi="Microsoft Sans Serif" w:cs="Microsoft Sans Serif"/>
          <w:lang w:val="bs-Latn-BA"/>
        </w:rPr>
      </w:pPr>
      <w:r>
        <w:rPr>
          <w:rFonts w:ascii="Microsoft Sans Serif" w:hAnsi="Microsoft Sans Serif" w:cs="Microsoft Sans Serif"/>
          <w:lang w:val="bs-Latn-BA"/>
        </w:rPr>
        <w:t xml:space="preserve">Podaci iz </w:t>
      </w:r>
      <w:r>
        <w:rPr>
          <w:rFonts w:ascii="Microsoft Sans Serif" w:hAnsi="Microsoft Sans Serif" w:cs="Microsoft Sans Serif"/>
          <w:i/>
          <w:lang w:val="bs-Latn-BA"/>
        </w:rPr>
        <w:t>in vitro</w:t>
      </w:r>
      <w:r>
        <w:rPr>
          <w:rFonts w:ascii="Microsoft Sans Serif" w:hAnsi="Microsoft Sans Serif" w:cs="Microsoft Sans Serif"/>
          <w:lang w:val="bs-Latn-BA"/>
        </w:rPr>
        <w:t xml:space="preserve"> procjene pokazuju da je lamotrigin, ali ne i njegov metabolit N (2)-glukuronid, inhibitor OCT 2, na potencijalno klinički značajne koncentracije. Ovi podaci pokazuju da je lamotrigin inhibitor OCT 2, sa IC50 vrijednosti od 53,8 </w:t>
      </w:r>
      <w:r>
        <w:rPr>
          <w:rFonts w:ascii="Microsoft Sans Serif" w:hAnsi="Microsoft Sans Serif" w:eastAsia="Calibri" w:cs="Microsoft Sans Serif"/>
          <w:lang w:val="bs-Latn-BA" w:eastAsia="en-US"/>
        </w:rPr>
        <w:t xml:space="preserve">μM. </w:t>
      </w:r>
      <w:r>
        <w:rPr>
          <w:rFonts w:ascii="Microsoft Sans Serif" w:hAnsi="Microsoft Sans Serif" w:cs="Microsoft Sans Serif"/>
          <w:lang w:val="bs-Latn-BA"/>
        </w:rPr>
        <w:t>Istovremena primjena lamotrigina sa lijekovima koji se renalno izlučuju, a koji su supstrati OCT2 (npr. metformin, gabapentin i varenicline) može povećati koncentracije ovih lijekova u plazmi.</w:t>
      </w:r>
    </w:p>
    <w:p w14:paraId="4F0929CA">
      <w:pPr>
        <w:jc w:val="both"/>
        <w:rPr>
          <w:rFonts w:ascii="Microsoft Sans Serif" w:hAnsi="Microsoft Sans Serif" w:cs="Microsoft Sans Serif"/>
          <w:lang w:val="bs-Latn-BA"/>
        </w:rPr>
      </w:pPr>
    </w:p>
    <w:p w14:paraId="00A22639">
      <w:pPr>
        <w:jc w:val="both"/>
        <w:rPr>
          <w:rFonts w:ascii="Microsoft Sans Serif" w:hAnsi="Microsoft Sans Serif" w:cs="Microsoft Sans Serif"/>
          <w:lang w:val="bs-Latn-BA"/>
        </w:rPr>
      </w:pPr>
      <w:r>
        <w:rPr>
          <w:rFonts w:ascii="Microsoft Sans Serif" w:hAnsi="Microsoft Sans Serif" w:cs="Microsoft Sans Serif"/>
          <w:lang w:val="bs-Latn-BA"/>
        </w:rPr>
        <w:t>Klinički značaj nije jasno definisan, ali treba paziti kada se kod pacijenata primjenjuje zajedno s ovim lijekovima.</w:t>
      </w:r>
    </w:p>
    <w:p w14:paraId="11C633A0">
      <w:pPr>
        <w:jc w:val="both"/>
        <w:rPr>
          <w:rFonts w:ascii="Microsoft Sans Serif" w:hAnsi="Microsoft Sans Serif" w:cs="Microsoft Sans Serif"/>
          <w:b/>
          <w:lang w:val="es-MX"/>
        </w:rPr>
      </w:pPr>
    </w:p>
    <w:p w14:paraId="78F7A4BE">
      <w:pPr>
        <w:jc w:val="both"/>
        <w:rPr>
          <w:rFonts w:ascii="Microsoft Sans Serif" w:hAnsi="Microsoft Sans Serif" w:cs="Microsoft Sans Serif"/>
          <w:b/>
          <w:lang w:val="bs-Latn-BA"/>
        </w:rPr>
      </w:pPr>
      <w:r>
        <w:rPr>
          <w:rFonts w:ascii="Microsoft Sans Serif" w:hAnsi="Microsoft Sans Serif" w:cs="Microsoft Sans Serif"/>
          <w:b/>
          <w:lang w:val="bs-Latn-BA"/>
        </w:rPr>
        <w:t>4.6. Plodnost, trudnoća i dojenje</w:t>
      </w:r>
    </w:p>
    <w:p w14:paraId="2324AB1B">
      <w:pPr>
        <w:jc w:val="both"/>
        <w:rPr>
          <w:rFonts w:ascii="Microsoft Sans Serif" w:hAnsi="Microsoft Sans Serif" w:cs="Microsoft Sans Serif"/>
          <w:lang w:val="bs-Latn-BA"/>
        </w:rPr>
      </w:pPr>
    </w:p>
    <w:p w14:paraId="75DB12B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antiepileptika </w:t>
      </w:r>
    </w:p>
    <w:p w14:paraId="620129F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Stručni savjet treba dati ženama u reproduktivnoj dobi. Potrebu za liječenjem antiepilepticima bi trebalo preispitati kada žena planira trudnoću. Kod žena koje su liječene od epilepsije, nagli prekid AED terapije treba izbjegavati, jer to može dovesti do povratka napada koji bi mogli imati ozbiljne posljedice za ženu i fetus.</w:t>
      </w:r>
    </w:p>
    <w:p w14:paraId="5CB2C20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Terapija sa više antiepileptika je povezana sa većim rizikom od kongenitalnih malformacija u odnosu na monoterapiju,</w:t>
      </w:r>
      <w:r>
        <w:rPr>
          <w:sz w:val="22"/>
          <w:szCs w:val="22"/>
          <w:lang w:eastAsia="en-US"/>
        </w:rPr>
        <w:t xml:space="preserve"> </w:t>
      </w:r>
      <w:r>
        <w:rPr>
          <w:rFonts w:ascii="Microsoft Sans Serif" w:hAnsi="Microsoft Sans Serif" w:cs="Microsoft Sans Serif"/>
          <w:lang w:eastAsia="en-US"/>
        </w:rPr>
        <w:t>zavisno od istovremeno primjenjenih antiepileptika,</w:t>
      </w:r>
      <w:r>
        <w:rPr>
          <w:rFonts w:ascii="Microsoft Sans Serif" w:hAnsi="Microsoft Sans Serif" w:eastAsia="Calibri" w:cs="Microsoft Sans Serif"/>
          <w:lang w:val="bs-Latn-BA" w:eastAsia="en-US"/>
        </w:rPr>
        <w:t xml:space="preserve"> i stoga monoterapiju treba koristiti kad god je to moguće.</w:t>
      </w:r>
    </w:p>
    <w:p w14:paraId="6AD2B5E5">
      <w:pPr>
        <w:autoSpaceDE w:val="0"/>
        <w:autoSpaceDN w:val="0"/>
        <w:adjustRightInd w:val="0"/>
        <w:jc w:val="both"/>
        <w:rPr>
          <w:rFonts w:ascii="Microsoft Sans Serif" w:hAnsi="Microsoft Sans Serif" w:eastAsia="Calibri" w:cs="Microsoft Sans Serif"/>
          <w:lang w:val="bs-Latn-BA" w:eastAsia="en-US"/>
        </w:rPr>
      </w:pPr>
    </w:p>
    <w:p w14:paraId="6333775E">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lamotrigina </w:t>
      </w:r>
    </w:p>
    <w:p w14:paraId="535B52F5">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Trudnoća </w:t>
      </w:r>
    </w:p>
    <w:p w14:paraId="00636929">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Obimni podaci koji se odnose na monoterapiju lamotriginom kod trudnica u toku prvom trimestru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trudnoće (više od 8700 žena) ne ukazuju na posebno povećanje rizika pojave značajnijih kongenitalnih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deformacija uključujući rascjep gornje usne. </w:t>
      </w:r>
    </w:p>
    <w:p w14:paraId="0C48F4C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Istraživanja na životinjama pokazala su toksičnost razvoja (pogledati dio 5.3).</w:t>
      </w:r>
    </w:p>
    <w:p w14:paraId="016CF1E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se terapija lamotriginom smatra neophodnom za vrijeme trudnoće, preporučuje se primjena najniže moguće terapijske doze.</w:t>
      </w:r>
    </w:p>
    <w:p w14:paraId="5AEC3050">
      <w:pPr>
        <w:autoSpaceDE w:val="0"/>
        <w:autoSpaceDN w:val="0"/>
        <w:adjustRightInd w:val="0"/>
        <w:jc w:val="both"/>
        <w:rPr>
          <w:rFonts w:ascii="Microsoft Sans Serif" w:hAnsi="Microsoft Sans Serif" w:eastAsia="Calibri" w:cs="Microsoft Sans Serif"/>
          <w:i/>
          <w:iCs/>
          <w:lang w:val="bs-Latn-BA" w:eastAsia="en-US"/>
        </w:rPr>
      </w:pPr>
    </w:p>
    <w:p w14:paraId="56FE63E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i zbog toga teoretski može dovesti do povećanog rizika embriofetalnog oštećenja, smanjujući koncentracije folne kiseline (pogledati dio 4.4). Uzimanje folne kiseline, treba uzeti u obzir, pri planiranju trudnoće i za vrijeme rane trudnoće.</w:t>
      </w:r>
    </w:p>
    <w:p w14:paraId="1B3B56B7">
      <w:pPr>
        <w:autoSpaceDE w:val="0"/>
        <w:autoSpaceDN w:val="0"/>
        <w:adjustRightInd w:val="0"/>
        <w:jc w:val="both"/>
        <w:rPr>
          <w:rFonts w:ascii="Microsoft Sans Serif" w:hAnsi="Microsoft Sans Serif" w:eastAsia="Calibri" w:cs="Microsoft Sans Serif"/>
          <w:lang w:val="bs-Latn-BA" w:eastAsia="en-US"/>
        </w:rPr>
      </w:pPr>
    </w:p>
    <w:p w14:paraId="5720752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Fiziološke promjene tokom trudnoće mogu uticati na nivo lamotrigina i/ili terapijski efekat. Bilo je izvještaja o smanjenom nivou lamotrigina u plazmi tokom trudnoće s potencijalnim rizikom od gubitka kontrole napada. Nakon rođenja, koncentracije lamotrigina mogu se značajno povećati sa rizikom od dozno-zavisnih neželjenih događaja. Zbog toga, koncentracije lamotrigina u serumu treba pratiti prije, tokom i nakon trudnoće, kao i ubrzo nakon rođenja. Ako je potrebno, dozu treba prilagoditi za održavanje lamotrigin serumske koncentracije na istom nivou kao i prije trudnoće, ili prilagoditi prema kliničkom odgovoru. Dozno-zavisna neželjena djelovanja treba pratiti nakon rođenja.</w:t>
      </w:r>
    </w:p>
    <w:p w14:paraId="04CC4EFC">
      <w:pPr>
        <w:autoSpaceDE w:val="0"/>
        <w:autoSpaceDN w:val="0"/>
        <w:adjustRightInd w:val="0"/>
        <w:rPr>
          <w:rFonts w:ascii="Microsoft Sans Serif" w:hAnsi="Microsoft Sans Serif" w:eastAsia="Calibri" w:cs="Microsoft Sans Serif"/>
          <w:lang w:val="bs-Latn-BA" w:eastAsia="en-US"/>
        </w:rPr>
      </w:pPr>
    </w:p>
    <w:p w14:paraId="18877987">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Dojenje</w:t>
      </w:r>
    </w:p>
    <w:p w14:paraId="43DF780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Lamotrigin prolazi u majčino mlijeko u vrlo promjenljivim koncentracijama, što je rezultiralo ukupnim koncentracijama lamotrigina kod dojenčadi do oko 50% od majke. Dakle, kod neke dojenčadi, serumske koncentracije lamotrigina mogu doći do nivoa na kojem se javljaju farmakološki efekti. </w:t>
      </w:r>
    </w:p>
    <w:p w14:paraId="45AD4540">
      <w:pPr>
        <w:autoSpaceDE w:val="0"/>
        <w:autoSpaceDN w:val="0"/>
        <w:adjustRightInd w:val="0"/>
        <w:jc w:val="both"/>
        <w:rPr>
          <w:rFonts w:ascii="Microsoft Sans Serif" w:hAnsi="Microsoft Sans Serif" w:eastAsia="Calibri" w:cs="Microsoft Sans Serif"/>
          <w:lang w:val="bs-Latn-BA" w:eastAsia="en-US"/>
        </w:rPr>
      </w:pPr>
    </w:p>
    <w:p w14:paraId="45108DB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Potencijalnu koristi dojenja treba procijeniti prema potencijalnom riziku od štetnih efekata koji se javljaju kod dojenčeta.</w:t>
      </w:r>
    </w:p>
    <w:p w14:paraId="0A2D8E4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žena odluči da doji dok je na terapiji lamotriginom, dojenče treba pratiti zbog mogućih neželjenih dejstava kao što su sedacija, osip i sporo povećanje tjelesne težine.</w:t>
      </w:r>
    </w:p>
    <w:p w14:paraId="3796EC22">
      <w:pPr>
        <w:autoSpaceDE w:val="0"/>
        <w:autoSpaceDN w:val="0"/>
        <w:adjustRightInd w:val="0"/>
        <w:jc w:val="both"/>
        <w:rPr>
          <w:rFonts w:ascii="Microsoft Sans Serif" w:hAnsi="Microsoft Sans Serif" w:eastAsia="Calibri" w:cs="Microsoft Sans Serif"/>
          <w:lang w:val="bs-Latn-BA" w:eastAsia="en-US"/>
        </w:rPr>
      </w:pPr>
    </w:p>
    <w:p w14:paraId="121B452C">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u w:val="single"/>
          <w:lang w:val="bs-Latn-BA" w:eastAsia="en-US"/>
        </w:rPr>
        <w:t>Plodnost</w:t>
      </w:r>
    </w:p>
    <w:p w14:paraId="0C917AE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Ispitivanja na životinjama nisu potvrdila oštećenje fertilnosti sa lamotriginom (pogledati dio 5.3).</w:t>
      </w:r>
    </w:p>
    <w:p w14:paraId="325FFF21">
      <w:pPr>
        <w:rPr>
          <w:rFonts w:ascii="Microsoft Sans Serif" w:hAnsi="Microsoft Sans Serif" w:cs="Microsoft Sans Serif"/>
          <w:lang w:val="bs-Latn-BA"/>
        </w:rPr>
      </w:pPr>
    </w:p>
    <w:p w14:paraId="6FCEE6F3">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1815A3AF">
      <w:pPr>
        <w:jc w:val="both"/>
        <w:rPr>
          <w:rFonts w:ascii="Microsoft Sans Serif" w:hAnsi="Microsoft Sans Serif" w:cs="Microsoft Sans Serif"/>
          <w:lang w:val="bs-Latn-BA"/>
        </w:rPr>
      </w:pPr>
    </w:p>
    <w:p w14:paraId="2F385DCA">
      <w:pPr>
        <w:shd w:val="clear" w:color="auto" w:fill="FFFFFF"/>
        <w:jc w:val="both"/>
        <w:rPr>
          <w:rFonts w:ascii="Microsoft Sans Serif" w:hAnsi="Microsoft Sans Serif" w:cs="Microsoft Sans Serif"/>
          <w:iCs/>
          <w:lang w:val="hr-HR"/>
        </w:rPr>
      </w:pPr>
      <w:r>
        <w:rPr>
          <w:rFonts w:ascii="Arial" w:hAnsi="Arial" w:cs="Arial"/>
          <w:color w:val="FF0000"/>
          <w:lang w:val="bs-Latn-BA"/>
        </w:rPr>
        <w:t>▲</w:t>
      </w:r>
      <w:r>
        <w:rPr>
          <w:rFonts w:ascii="Microsoft Sans Serif" w:hAnsi="Microsoft Sans Serif" w:cs="Microsoft Sans Serif"/>
          <w:color w:val="FF0000"/>
          <w:lang w:val="bs-Latn-BA"/>
        </w:rPr>
        <w:t xml:space="preserve"> </w:t>
      </w:r>
      <w:r>
        <w:rPr>
          <w:rFonts w:ascii="Microsoft Sans Serif" w:hAnsi="Microsoft Sans Serif" w:cs="Microsoft Sans Serif"/>
          <w:lang w:val="bs-Latn-BA"/>
        </w:rPr>
        <w:t xml:space="preserve"> </w:t>
      </w:r>
      <w:r>
        <w:rPr>
          <w:rFonts w:ascii="Microsoft Sans Serif" w:hAnsi="Microsoft Sans Serif" w:cs="Microsoft Sans Serif"/>
          <w:iCs/>
          <w:lang w:val="hr-HR"/>
        </w:rPr>
        <w:t>Trigonik, lijek sa snažnim uticajem na psihofizičke sposobnosti (zabrana upravljanja motornim vozilima i mašinama).</w:t>
      </w:r>
    </w:p>
    <w:p w14:paraId="3052FBF8">
      <w:pPr>
        <w:autoSpaceDE w:val="0"/>
        <w:autoSpaceDN w:val="0"/>
        <w:adjustRightInd w:val="0"/>
        <w:jc w:val="both"/>
        <w:rPr>
          <w:rStyle w:val="31"/>
          <w:rFonts w:ascii="Microsoft Sans Serif" w:hAnsi="Microsoft Sans Serif" w:cs="Microsoft Sans Serif"/>
          <w:lang w:val="bs-Latn-BA"/>
        </w:rPr>
      </w:pPr>
      <w:r>
        <w:rPr>
          <w:rFonts w:ascii="Microsoft Sans Serif" w:hAnsi="Microsoft Sans Serif" w:cs="Microsoft Sans Serif"/>
          <w:lang w:val="bs-Latn-BA"/>
        </w:rPr>
        <w:t xml:space="preserve">S obzirom da postoji   individualna varijacija u odgovoru pacijenta na primjenu antiepileptika, pacijente koji uzimaju lamotrigin za terapiju epilepsije se trebaju konsultovati sa ljekarom, o specifičnim pitanjima koja su u vezi sa upravljanjem vozilima i rukovanje mašinama i epilepsije. </w:t>
      </w:r>
    </w:p>
    <w:p w14:paraId="3ACAABBD">
      <w:pPr>
        <w:autoSpaceDE w:val="0"/>
        <w:autoSpaceDN w:val="0"/>
        <w:adjustRightInd w:val="0"/>
        <w:jc w:val="both"/>
        <w:rPr>
          <w:rFonts w:ascii="Microsoft Sans Serif" w:hAnsi="Microsoft Sans Serif" w:cs="Microsoft Sans Serif"/>
          <w:lang w:val="bs-Latn-BA"/>
        </w:rPr>
      </w:pPr>
      <w:r>
        <w:rPr>
          <w:rStyle w:val="31"/>
          <w:rFonts w:ascii="Microsoft Sans Serif" w:hAnsi="Microsoft Sans Serif" w:cs="Microsoft Sans Serif"/>
          <w:lang w:val="bs-Latn-BA"/>
        </w:rPr>
        <w:t>Nisu sprovedene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o uticaju</w:t>
      </w:r>
      <w:r>
        <w:rPr>
          <w:rStyle w:val="41"/>
          <w:rFonts w:ascii="Microsoft Sans Serif" w:hAnsi="Microsoft Sans Serif" w:cs="Microsoft Sans Serif"/>
          <w:lang w:val="bs-Latn-BA"/>
        </w:rPr>
        <w:t xml:space="preserve"> lijeka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sposobnost upravljanja vozilima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mašinama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Dvije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sa </w:t>
      </w:r>
      <w:r>
        <w:rPr>
          <w:rStyle w:val="31"/>
          <w:rFonts w:ascii="Microsoft Sans Serif" w:hAnsi="Microsoft Sans Serif" w:cs="Microsoft Sans Serif"/>
          <w:lang w:val="bs-Latn-BA"/>
        </w:rPr>
        <w:t>dobrovoljcima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pokazale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da 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efekat</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fine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vizualno-motorne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koordinacije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pokrete očiju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njihanje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tijela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 subjektivno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sedativno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dejstvo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 razlikuju se od</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placeba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U kliničkim ispitivanjima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lamotriginom</w:t>
      </w:r>
      <w:r>
        <w:rPr>
          <w:rStyle w:val="41"/>
          <w:rFonts w:ascii="Microsoft Sans Serif" w:hAnsi="Microsoft Sans Serif" w:cs="Microsoft Sans Serif"/>
          <w:lang w:val="bs-Latn-BA"/>
        </w:rPr>
        <w:t xml:space="preserve"> pojavila su se </w:t>
      </w:r>
      <w:r>
        <w:rPr>
          <w:rStyle w:val="31"/>
          <w:rFonts w:ascii="Microsoft Sans Serif" w:hAnsi="Microsoft Sans Serif" w:cs="Microsoft Sans Serif"/>
          <w:lang w:val="bs-Latn-BA"/>
        </w:rPr>
        <w:t>neželjena djelovanja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neurološkog</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karaktera</w:t>
      </w:r>
      <w:r>
        <w:rPr>
          <w:rStyle w:val="41"/>
          <w:rFonts w:ascii="Microsoft Sans Serif" w:hAnsi="Microsoft Sans Serif" w:cs="Microsoft Sans Serif"/>
          <w:lang w:val="bs-Latn-BA"/>
        </w:rPr>
        <w:t xml:space="preserve">, kao što su </w:t>
      </w:r>
      <w:r>
        <w:rPr>
          <w:rStyle w:val="31"/>
          <w:rFonts w:ascii="Microsoft Sans Serif" w:hAnsi="Microsoft Sans Serif" w:cs="Microsoft Sans Serif"/>
          <w:lang w:val="bs-Latn-BA"/>
        </w:rPr>
        <w:t>vrtoglavica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diplopija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Zbog toga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pacijenti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bi trebalo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vidjeti kako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im utiče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terapija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prije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vožnje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ili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 mašinama</w:t>
      </w:r>
      <w:r>
        <w:rPr>
          <w:rStyle w:val="41"/>
          <w:rFonts w:ascii="Microsoft Sans Serif" w:hAnsi="Microsoft Sans Serif" w:cs="Microsoft Sans Serif"/>
          <w:lang w:val="bs-Latn-BA"/>
        </w:rPr>
        <w:t>.</w:t>
      </w:r>
    </w:p>
    <w:p w14:paraId="61792C09">
      <w:pPr>
        <w:jc w:val="both"/>
        <w:rPr>
          <w:rFonts w:ascii="Microsoft Sans Serif" w:hAnsi="Microsoft Sans Serif" w:cs="Microsoft Sans Serif"/>
          <w:lang w:val="hr-HR"/>
        </w:rPr>
      </w:pPr>
    </w:p>
    <w:p w14:paraId="6C7EC6C2">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djelovanja</w:t>
      </w:r>
    </w:p>
    <w:p w14:paraId="73B0B2DF">
      <w:pPr>
        <w:jc w:val="both"/>
        <w:rPr>
          <w:rFonts w:ascii="Microsoft Sans Serif" w:hAnsi="Microsoft Sans Serif" w:cs="Microsoft Sans Serif"/>
          <w:lang w:val="bs-Latn-BA"/>
        </w:rPr>
      </w:pPr>
    </w:p>
    <w:p w14:paraId="333E1D87">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eastAsia="Calibri" w:cs="Microsoft Sans Serif"/>
          <w:lang w:val="bs-Latn-BA" w:eastAsia="en-US"/>
        </w:rPr>
        <w:t xml:space="preserve">Neželjena djelovanja podijeljena su na dio za epilepsiju i dio za bipolarni poremećaj na osnovu dostupnih podataka iz kontrolisanih kliničkih studija </w:t>
      </w:r>
      <w:r>
        <w:rPr>
          <w:rFonts w:ascii="Microsoft Sans Serif" w:hAnsi="Microsoft Sans Serif" w:cs="Microsoft Sans Serif"/>
          <w:lang w:eastAsia="en-US"/>
        </w:rPr>
        <w:t>i ostalih kliničkih iskustava</w:t>
      </w:r>
      <w:r>
        <w:rPr>
          <w:rFonts w:ascii="Microsoft Sans Serif" w:hAnsi="Microsoft Sans Serif" w:eastAsia="Calibri" w:cs="Microsoft Sans Serif"/>
          <w:lang w:val="bs-Latn-BA" w:eastAsia="en-US"/>
        </w:rPr>
        <w:t xml:space="preserve"> koje su navedene u tabeli u nastavku. Učestalost javljanja neželjenih dejstava izvedena je iz kliničkih studija (monoterapija epilepsije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xml:space="preserve">] i za bipolarni poremećaj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w:t>
      </w:r>
      <w:r>
        <w:rPr>
          <w:rFonts w:ascii="Microsoft Sans Serif" w:hAnsi="Microsoft Sans Serif" w:cs="Microsoft Sans Serif"/>
          <w:lang w:val="bs-Latn-BA"/>
        </w:rPr>
        <w:t xml:space="preserve"> </w:t>
      </w:r>
      <w:r>
        <w:rPr>
          <w:rFonts w:ascii="Microsoft Sans Serif" w:hAnsi="Microsoft Sans Serif" w:cs="Microsoft Sans Serif"/>
          <w:lang w:val="mk-MK" w:eastAsia="mk-MK"/>
        </w:rPr>
        <w:t xml:space="preserve">Ako se kategorije </w:t>
      </w:r>
      <w:r>
        <w:rPr>
          <w:rFonts w:ascii="Microsoft Sans Serif" w:hAnsi="Microsoft Sans Serif" w:cs="Microsoft Sans Serif"/>
          <w:lang w:eastAsia="mk-MK"/>
        </w:rPr>
        <w:t>u</w:t>
      </w:r>
      <w:r>
        <w:rPr>
          <w:rFonts w:ascii="Microsoft Sans Serif" w:hAnsi="Microsoft Sans Serif" w:eastAsia="Calibri" w:cs="Microsoft Sans Serif"/>
          <w:lang w:val="bs-Latn-BA" w:eastAsia="en-US"/>
        </w:rPr>
        <w:t>čestalosti</w:t>
      </w:r>
      <w:r>
        <w:rPr>
          <w:rFonts w:ascii="Microsoft Sans Serif" w:hAnsi="Microsoft Sans Serif" w:cs="Microsoft Sans Serif"/>
          <w:lang w:val="mk-MK" w:eastAsia="mk-MK"/>
        </w:rPr>
        <w:t xml:space="preserve"> razlikuju među kliničkim podacima za epilepsiju </w:t>
      </w:r>
      <w:r>
        <w:rPr>
          <w:rFonts w:ascii="Microsoft Sans Serif" w:hAnsi="Microsoft Sans Serif" w:cs="Microsoft Sans Serif"/>
          <w:lang w:eastAsia="mk-MK"/>
        </w:rPr>
        <w:t xml:space="preserve">i </w:t>
      </w:r>
      <w:r>
        <w:rPr>
          <w:rFonts w:ascii="Microsoft Sans Serif" w:hAnsi="Microsoft Sans Serif" w:cs="Microsoft Sans Serif"/>
          <w:lang w:val="mk-MK" w:eastAsia="mk-MK"/>
        </w:rPr>
        <w:t>bipolarni poremećaj prikazana je najkonzervativnija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frekvencija. Kada nisu dostupni podaci iz</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kontrolisanih kliničkih studija kategorije frekvencije su dobijene na osnovu kliničkog iskustva.</w:t>
      </w:r>
    </w:p>
    <w:p w14:paraId="77EA2FC4">
      <w:pPr>
        <w:autoSpaceDE w:val="0"/>
        <w:autoSpaceDN w:val="0"/>
        <w:adjustRightInd w:val="0"/>
        <w:rPr>
          <w:rFonts w:ascii="Microsoft Sans Serif" w:hAnsi="Microsoft Sans Serif" w:eastAsia="Calibri" w:cs="Microsoft Sans Serif"/>
          <w:lang w:val="bs-Latn-BA" w:eastAsia="en-US"/>
        </w:rPr>
      </w:pPr>
    </w:p>
    <w:p w14:paraId="6073A0E2">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(≥10), često (≥ 1/100 i &lt; 1/10), povremeno (≥ 1/1.000 i &lt; 1/100), rijetko (≥ 1/10.000 i &lt;1/1.000), vrlo rijetko (&lt; 1/10.000), nepoznato (ne može se procijeniti na osnovu dostupnih podataka).</w:t>
      </w:r>
    </w:p>
    <w:p w14:paraId="46D99B83">
      <w:pPr>
        <w:rPr>
          <w:rFonts w:ascii="Microsoft Sans Serif" w:hAnsi="Microsoft Sans Serif" w:cs="Microsoft Sans Serif"/>
          <w:lang w:val="bs-Latn-B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4609"/>
        <w:gridCol w:w="2298"/>
      </w:tblGrid>
      <w:tr w14:paraId="6E4C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F8CE384">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Klasifikacija po sistemima</w:t>
            </w:r>
          </w:p>
        </w:tc>
        <w:tc>
          <w:tcPr>
            <w:tcW w:w="4609" w:type="dxa"/>
          </w:tcPr>
          <w:p w14:paraId="7A6AB19B">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Neželjeno dejstvo</w:t>
            </w:r>
          </w:p>
        </w:tc>
        <w:tc>
          <w:tcPr>
            <w:tcW w:w="2298" w:type="dxa"/>
          </w:tcPr>
          <w:p w14:paraId="32D2367E">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Učestalost </w:t>
            </w:r>
          </w:p>
        </w:tc>
      </w:tr>
      <w:tr w14:paraId="1CA4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30739FE2">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Poremećaji krvi i limfnog sistema</w:t>
            </w:r>
          </w:p>
          <w:p w14:paraId="14E4488B">
            <w:pPr>
              <w:rPr>
                <w:rFonts w:ascii="Microsoft Sans Serif" w:hAnsi="Microsoft Sans Serif" w:eastAsia="Calibri" w:cs="Microsoft Sans Serif"/>
                <w:lang w:val="bs-Latn-BA" w:eastAsia="en-US"/>
              </w:rPr>
            </w:pPr>
          </w:p>
        </w:tc>
        <w:tc>
          <w:tcPr>
            <w:tcW w:w="4609" w:type="dxa"/>
          </w:tcPr>
          <w:p w14:paraId="606A39C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poremećaji krvi</w:t>
            </w:r>
            <w:r>
              <w:rPr>
                <w:rFonts w:ascii="Microsoft Sans Serif" w:hAnsi="Microsoft Sans Serif" w:eastAsia="Calibri" w:cs="Microsoft Sans Serif"/>
                <w:vertAlign w:val="superscript"/>
                <w:lang w:val="bs-Latn-BA" w:eastAsia="en-US"/>
              </w:rPr>
              <w:t>1</w:t>
            </w:r>
            <w:r>
              <w:rPr>
                <w:rFonts w:ascii="Microsoft Sans Serif" w:hAnsi="Microsoft Sans Serif" w:eastAsia="Calibri" w:cs="Microsoft Sans Serif"/>
                <w:lang w:val="bs-Latn-BA" w:eastAsia="en-US"/>
              </w:rPr>
              <w:t xml:space="preserve"> uključujući neutropeniju, leukopeniju, anemiju, trombocitopeniju, pancitopeniju, aplastičnu anemiju, agranulocitozu, hemofagocitna limfohistiocitoza (pogledati dio 4.4)</w:t>
            </w:r>
          </w:p>
        </w:tc>
        <w:tc>
          <w:tcPr>
            <w:tcW w:w="2298" w:type="dxa"/>
          </w:tcPr>
          <w:p w14:paraId="7CD2F789">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1CE0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14938F3">
            <w:pPr>
              <w:rPr>
                <w:rFonts w:ascii="Microsoft Sans Serif" w:hAnsi="Microsoft Sans Serif" w:eastAsia="Calibri" w:cs="Microsoft Sans Serif"/>
                <w:lang w:val="bs-Latn-BA" w:eastAsia="en-US"/>
              </w:rPr>
            </w:pPr>
          </w:p>
        </w:tc>
        <w:tc>
          <w:tcPr>
            <w:tcW w:w="4609" w:type="dxa"/>
          </w:tcPr>
          <w:p w14:paraId="7BAAA18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limfadenopatija</w:t>
            </w:r>
            <w:r>
              <w:rPr>
                <w:rFonts w:ascii="Microsoft Sans Serif" w:hAnsi="Microsoft Sans Serif" w:eastAsia="Calibri" w:cs="Microsoft Sans Serif"/>
                <w:vertAlign w:val="superscript"/>
                <w:lang w:val="bs-Latn-BA" w:eastAsia="en-US"/>
              </w:rPr>
              <w:t>1</w:t>
            </w:r>
          </w:p>
        </w:tc>
        <w:tc>
          <w:tcPr>
            <w:tcW w:w="2298" w:type="dxa"/>
          </w:tcPr>
          <w:p w14:paraId="4052ED76">
            <w:pPr>
              <w:rPr>
                <w:rFonts w:ascii="Microsoft Sans Serif" w:hAnsi="Microsoft Sans Serif" w:eastAsia="Calibri" w:cs="Microsoft Sans Serif"/>
                <w:lang w:val="bs-Latn-BA" w:eastAsia="en-US"/>
              </w:rPr>
            </w:pPr>
            <w:r>
              <w:rPr>
                <w:rFonts w:ascii="Microsoft Sans Serif" w:hAnsi="Microsoft Sans Serif" w:cs="Microsoft Sans Serif"/>
                <w:lang w:val="bs-Latn-BA"/>
              </w:rPr>
              <w:t>nepoznato</w:t>
            </w:r>
          </w:p>
        </w:tc>
      </w:tr>
      <w:tr w14:paraId="6EA4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586773C0">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Poremećaji imunološkog sistema </w:t>
            </w:r>
          </w:p>
          <w:p w14:paraId="6C9DA9A2">
            <w:pPr>
              <w:rPr>
                <w:rFonts w:ascii="Microsoft Sans Serif" w:hAnsi="Microsoft Sans Serif" w:eastAsia="Calibri" w:cs="Microsoft Sans Serif"/>
                <w:lang w:val="bs-Latn-BA" w:eastAsia="en-US"/>
              </w:rPr>
            </w:pPr>
          </w:p>
        </w:tc>
        <w:tc>
          <w:tcPr>
            <w:tcW w:w="4609" w:type="dxa"/>
          </w:tcPr>
          <w:p w14:paraId="7AD5E5B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sindrom preosjetljivosti</w:t>
            </w:r>
            <w:r>
              <w:rPr>
                <w:rFonts w:ascii="Microsoft Sans Serif" w:hAnsi="Microsoft Sans Serif" w:eastAsia="Calibri" w:cs="Microsoft Sans Serif"/>
                <w:vertAlign w:val="superscript"/>
                <w:lang w:val="bs-Latn-BA" w:eastAsia="en-US"/>
              </w:rPr>
              <w:t>2</w:t>
            </w:r>
            <w:r>
              <w:rPr>
                <w:rFonts w:ascii="Microsoft Sans Serif" w:hAnsi="Microsoft Sans Serif" w:eastAsia="Calibri" w:cs="Microsoft Sans Serif"/>
                <w:lang w:val="bs-Latn-BA" w:eastAsia="en-US"/>
              </w:rPr>
              <w:t xml:space="preserve"> </w:t>
            </w:r>
          </w:p>
        </w:tc>
        <w:tc>
          <w:tcPr>
            <w:tcW w:w="2298" w:type="dxa"/>
          </w:tcPr>
          <w:p w14:paraId="2B40009B">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24DF4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1C5E5A5D">
            <w:pPr>
              <w:pStyle w:val="27"/>
              <w:jc w:val="left"/>
              <w:rPr>
                <w:rFonts w:ascii="Microsoft Sans Serif" w:hAnsi="Microsoft Sans Serif" w:cs="Microsoft Sans Serif"/>
                <w:b w:val="0"/>
                <w:sz w:val="20"/>
                <w:lang w:val="bs-Latn-BA"/>
              </w:rPr>
            </w:pPr>
          </w:p>
        </w:tc>
        <w:tc>
          <w:tcPr>
            <w:tcW w:w="4609" w:type="dxa"/>
          </w:tcPr>
          <w:p w14:paraId="7C03CC5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hipogamaglobulinemija </w:t>
            </w:r>
          </w:p>
        </w:tc>
        <w:tc>
          <w:tcPr>
            <w:tcW w:w="2298" w:type="dxa"/>
          </w:tcPr>
          <w:p w14:paraId="578746D4">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3768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523965B0">
            <w:pPr>
              <w:rPr>
                <w:rFonts w:ascii="Microsoft Sans Serif" w:hAnsi="Microsoft Sans Serif" w:cs="Microsoft Sans Serif"/>
                <w:lang w:val="bs-Latn-BA"/>
              </w:rPr>
            </w:pPr>
            <w:r>
              <w:rPr>
                <w:rFonts w:ascii="Microsoft Sans Serif" w:hAnsi="Microsoft Sans Serif" w:cs="Microsoft Sans Serif"/>
                <w:lang w:val="bs-Latn-BA"/>
              </w:rPr>
              <w:t>Psihijatrijski poremećaji</w:t>
            </w:r>
          </w:p>
          <w:p w14:paraId="644D9DC9">
            <w:pPr>
              <w:rPr>
                <w:rFonts w:ascii="Microsoft Sans Serif" w:hAnsi="Microsoft Sans Serif" w:eastAsia="Calibri" w:cs="Microsoft Sans Serif"/>
                <w:lang w:val="bs-Latn-BA" w:eastAsia="en-US"/>
              </w:rPr>
            </w:pPr>
          </w:p>
        </w:tc>
        <w:tc>
          <w:tcPr>
            <w:tcW w:w="4609" w:type="dxa"/>
          </w:tcPr>
          <w:p w14:paraId="03EB41C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agresija, razdražljivost</w:t>
            </w:r>
          </w:p>
          <w:p w14:paraId="0A8F698F">
            <w:pPr>
              <w:rPr>
                <w:rFonts w:ascii="Microsoft Sans Serif" w:hAnsi="Microsoft Sans Serif" w:eastAsia="Calibri" w:cs="Microsoft Sans Serif"/>
                <w:lang w:val="bs-Latn-BA" w:eastAsia="en-US"/>
              </w:rPr>
            </w:pPr>
          </w:p>
        </w:tc>
        <w:tc>
          <w:tcPr>
            <w:tcW w:w="2298" w:type="dxa"/>
          </w:tcPr>
          <w:p w14:paraId="5695C4BE">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7AD8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AF2E3DE">
            <w:pPr>
              <w:rPr>
                <w:rFonts w:ascii="Microsoft Sans Serif" w:hAnsi="Microsoft Sans Serif" w:eastAsia="Calibri" w:cs="Microsoft Sans Serif"/>
                <w:lang w:val="bs-Latn-BA" w:eastAsia="en-US"/>
              </w:rPr>
            </w:pPr>
          </w:p>
        </w:tc>
        <w:tc>
          <w:tcPr>
            <w:tcW w:w="4609" w:type="dxa"/>
          </w:tcPr>
          <w:p w14:paraId="3C666A5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zbunjenost, halucinacije, tikovi</w:t>
            </w:r>
          </w:p>
        </w:tc>
        <w:tc>
          <w:tcPr>
            <w:tcW w:w="2298" w:type="dxa"/>
          </w:tcPr>
          <w:p w14:paraId="13DA073F">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0744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ABDD362">
            <w:pPr>
              <w:rPr>
                <w:rFonts w:ascii="Microsoft Sans Serif" w:hAnsi="Microsoft Sans Serif" w:eastAsia="Calibri" w:cs="Microsoft Sans Serif"/>
                <w:lang w:val="bs-Latn-BA" w:eastAsia="en-US"/>
              </w:rPr>
            </w:pPr>
          </w:p>
        </w:tc>
        <w:tc>
          <w:tcPr>
            <w:tcW w:w="4609" w:type="dxa"/>
          </w:tcPr>
          <w:p w14:paraId="08FE854D">
            <w:pPr>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noćne more</w:t>
            </w:r>
            <w:r>
              <w:rPr>
                <w:rFonts w:ascii="Microsoft Sans Serif" w:hAnsi="Microsoft Sans Serif" w:eastAsia="Calibri" w:cs="Microsoft Sans Serif"/>
                <w:lang w:eastAsia="en-US"/>
              </w:rPr>
              <w:t xml:space="preserve"> </w:t>
            </w:r>
          </w:p>
        </w:tc>
        <w:tc>
          <w:tcPr>
            <w:tcW w:w="2298" w:type="dxa"/>
          </w:tcPr>
          <w:p w14:paraId="74D1D06B">
            <w:pPr>
              <w:rPr>
                <w:rFonts w:ascii="Microsoft Sans Serif" w:hAnsi="Microsoft Sans Serif" w:cs="Microsoft Sans Serif"/>
                <w:lang w:val="bs-Latn-BA"/>
              </w:rPr>
            </w:pPr>
            <w:r>
              <w:rPr>
                <w:rFonts w:ascii="Microsoft Sans Serif" w:hAnsi="Microsoft Sans Serif" w:cs="Microsoft Sans Serif"/>
                <w:lang w:val="bs-Latn-BA"/>
              </w:rPr>
              <w:t>nepoznato</w:t>
            </w:r>
            <w:r>
              <w:rPr>
                <w:rFonts w:ascii="Microsoft Sans Serif" w:hAnsi="Microsoft Sans Serif" w:cs="Microsoft Sans Serif"/>
              </w:rPr>
              <w:t xml:space="preserve"> </w:t>
            </w:r>
          </w:p>
        </w:tc>
      </w:tr>
      <w:tr w14:paraId="3F678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71978811">
            <w:pPr>
              <w:rPr>
                <w:rFonts w:ascii="Microsoft Sans Serif" w:hAnsi="Microsoft Sans Serif" w:cs="Microsoft Sans Serif"/>
                <w:lang w:val="bs-Latn-BA"/>
              </w:rPr>
            </w:pPr>
            <w:r>
              <w:rPr>
                <w:rFonts w:ascii="Microsoft Sans Serif" w:hAnsi="Microsoft Sans Serif" w:cs="Microsoft Sans Serif"/>
                <w:lang w:val="bs-Latn-BA"/>
              </w:rPr>
              <w:t>Poremećaji nervnog sistema</w:t>
            </w:r>
          </w:p>
          <w:p w14:paraId="580A3B24">
            <w:pPr>
              <w:rPr>
                <w:rFonts w:ascii="Microsoft Sans Serif" w:hAnsi="Microsoft Sans Serif" w:eastAsia="Calibri" w:cs="Microsoft Sans Serif"/>
                <w:lang w:val="bs-Latn-BA" w:eastAsia="en-US"/>
              </w:rPr>
            </w:pPr>
          </w:p>
        </w:tc>
        <w:tc>
          <w:tcPr>
            <w:tcW w:w="4609" w:type="dxa"/>
          </w:tcPr>
          <w:p w14:paraId="275093B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glavobolja</w:t>
            </w:r>
            <w:r>
              <w:rPr>
                <w:rFonts w:ascii="Microsoft Sans Serif" w:hAnsi="Microsoft Sans Serif" w:eastAsia="Calibri" w:cs="Microsoft Sans Serif"/>
                <w:vertAlign w:val="superscript"/>
                <w:lang w:val="bs-Latn-BA" w:eastAsia="en-US"/>
              </w:rPr>
              <w:t>§</w:t>
            </w:r>
          </w:p>
          <w:p w14:paraId="40D6588A">
            <w:pPr>
              <w:rPr>
                <w:rFonts w:ascii="Microsoft Sans Serif" w:hAnsi="Microsoft Sans Serif" w:eastAsia="Calibri" w:cs="Microsoft Sans Serif"/>
                <w:lang w:val="bs-Latn-BA" w:eastAsia="en-US"/>
              </w:rPr>
            </w:pPr>
          </w:p>
        </w:tc>
        <w:tc>
          <w:tcPr>
            <w:tcW w:w="2298" w:type="dxa"/>
          </w:tcPr>
          <w:p w14:paraId="4DAFB46C">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768E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36" w:type="dxa"/>
            <w:vMerge w:val="continue"/>
          </w:tcPr>
          <w:p w14:paraId="6C9B2D41">
            <w:pPr>
              <w:rPr>
                <w:rFonts w:ascii="Microsoft Sans Serif" w:hAnsi="Microsoft Sans Serif" w:eastAsia="Calibri" w:cs="Microsoft Sans Serif"/>
                <w:lang w:val="bs-Latn-BA" w:eastAsia="en-US"/>
              </w:rPr>
            </w:pPr>
          </w:p>
        </w:tc>
        <w:tc>
          <w:tcPr>
            <w:tcW w:w="4609" w:type="dxa"/>
          </w:tcPr>
          <w:p w14:paraId="3BCDAA13">
            <w:pPr>
              <w:rPr>
                <w:rFonts w:ascii="Microsoft Sans Serif" w:hAnsi="Microsoft Sans Serif" w:cs="Microsoft Sans Serif"/>
                <w:lang w:val="bs-Latn-BA"/>
              </w:rPr>
            </w:pPr>
            <w:r>
              <w:rPr>
                <w:rFonts w:ascii="Microsoft Sans Serif" w:hAnsi="Microsoft Sans Serif" w:cs="Microsoft Sans Serif"/>
                <w:lang w:val="bs-Latn-BA"/>
              </w:rPr>
              <w:t>pospanost</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vrtoglavica</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tremor</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nesanica, agitacija</w:t>
            </w:r>
            <w:r>
              <w:rPr>
                <w:rFonts w:ascii="Microsoft Sans Serif" w:hAnsi="Microsoft Sans Serif" w:eastAsia="Calibri" w:cs="Microsoft Sans Serif"/>
                <w:vertAlign w:val="superscript"/>
                <w:lang w:val="bs-Latn-BA" w:eastAsia="en-US"/>
              </w:rPr>
              <w:t>§</w:t>
            </w:r>
          </w:p>
        </w:tc>
        <w:tc>
          <w:tcPr>
            <w:tcW w:w="2298" w:type="dxa"/>
          </w:tcPr>
          <w:p w14:paraId="38F3A9CE">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301B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01ECBAC6">
            <w:pPr>
              <w:rPr>
                <w:rFonts w:ascii="Microsoft Sans Serif" w:hAnsi="Microsoft Sans Serif" w:eastAsia="Calibri" w:cs="Microsoft Sans Serif"/>
                <w:lang w:val="bs-Latn-BA" w:eastAsia="en-US"/>
              </w:rPr>
            </w:pPr>
          </w:p>
        </w:tc>
        <w:tc>
          <w:tcPr>
            <w:tcW w:w="4609" w:type="dxa"/>
          </w:tcPr>
          <w:p w14:paraId="1B90AB20">
            <w:pPr>
              <w:rPr>
                <w:rFonts w:ascii="Microsoft Sans Serif" w:hAnsi="Microsoft Sans Serif" w:cs="Microsoft Sans Serif"/>
                <w:lang w:val="bs-Latn-BA"/>
              </w:rPr>
            </w:pPr>
            <w:r>
              <w:rPr>
                <w:rFonts w:ascii="Microsoft Sans Serif" w:hAnsi="Microsoft Sans Serif" w:cs="Microsoft Sans Serif"/>
                <w:lang w:val="bs-Latn-BA"/>
              </w:rPr>
              <w:t>ataksija</w:t>
            </w:r>
            <w:r>
              <w:rPr>
                <w:rFonts w:ascii="Microsoft Sans Serif" w:hAnsi="Microsoft Sans Serif" w:cs="Microsoft Sans Serif"/>
                <w:vertAlign w:val="superscript"/>
                <w:lang w:val="bs-Latn-BA"/>
              </w:rPr>
              <w:t xml:space="preserve">† </w:t>
            </w:r>
          </w:p>
        </w:tc>
        <w:tc>
          <w:tcPr>
            <w:tcW w:w="2298" w:type="dxa"/>
          </w:tcPr>
          <w:p w14:paraId="19D21B1E">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76C2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3BD5CD31">
            <w:pPr>
              <w:rPr>
                <w:rFonts w:ascii="Microsoft Sans Serif" w:hAnsi="Microsoft Sans Serif" w:eastAsia="Calibri" w:cs="Microsoft Sans Serif"/>
                <w:lang w:val="bs-Latn-BA" w:eastAsia="en-US"/>
              </w:rPr>
            </w:pPr>
          </w:p>
        </w:tc>
        <w:tc>
          <w:tcPr>
            <w:tcW w:w="4609" w:type="dxa"/>
          </w:tcPr>
          <w:p w14:paraId="626B1856">
            <w:pPr>
              <w:rPr>
                <w:rFonts w:ascii="Microsoft Sans Serif" w:hAnsi="Microsoft Sans Serif" w:cs="Microsoft Sans Serif"/>
                <w:lang w:val="bs-Latn-BA"/>
              </w:rPr>
            </w:pPr>
            <w:r>
              <w:rPr>
                <w:rFonts w:ascii="Microsoft Sans Serif" w:hAnsi="Microsoft Sans Serif" w:cs="Microsoft Sans Serif"/>
                <w:lang w:val="bs-Latn-BA"/>
              </w:rPr>
              <w:t>nistagmus</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xml:space="preserve">, </w:t>
            </w:r>
            <w:r>
              <w:rPr>
                <w:rFonts w:ascii="Microsoft Sans Serif" w:hAnsi="Microsoft Sans Serif" w:eastAsia="Calibri" w:cs="Microsoft Sans Serif"/>
                <w:lang w:val="bs-Latn-BA" w:eastAsia="en-US"/>
              </w:rPr>
              <w:t>aseptički meningitis (pogledati dio 4.4)</w:t>
            </w:r>
          </w:p>
        </w:tc>
        <w:tc>
          <w:tcPr>
            <w:tcW w:w="2298" w:type="dxa"/>
          </w:tcPr>
          <w:p w14:paraId="60B4F9AC">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0202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D5A871F">
            <w:pPr>
              <w:rPr>
                <w:rFonts w:ascii="Microsoft Sans Serif" w:hAnsi="Microsoft Sans Serif" w:eastAsia="Calibri" w:cs="Microsoft Sans Serif"/>
                <w:lang w:val="bs-Latn-BA" w:eastAsia="en-US"/>
              </w:rPr>
            </w:pPr>
          </w:p>
        </w:tc>
        <w:tc>
          <w:tcPr>
            <w:tcW w:w="4609" w:type="dxa"/>
          </w:tcPr>
          <w:p w14:paraId="730DAC4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nestabilnost, poremećaji pokreta, pogoršanje Parkinsonove bolesti</w:t>
            </w:r>
            <w:r>
              <w:rPr>
                <w:rFonts w:ascii="Microsoft Sans Serif" w:hAnsi="Microsoft Sans Serif" w:eastAsia="Calibri" w:cs="Microsoft Sans Serif"/>
                <w:vertAlign w:val="superscript"/>
                <w:lang w:val="bs-Latn-BA" w:eastAsia="en-US"/>
              </w:rPr>
              <w:t>3</w:t>
            </w:r>
            <w:r>
              <w:rPr>
                <w:rFonts w:ascii="Microsoft Sans Serif" w:hAnsi="Microsoft Sans Serif" w:eastAsia="Calibri" w:cs="Microsoft Sans Serif"/>
                <w:lang w:val="bs-Latn-BA" w:eastAsia="en-US"/>
              </w:rPr>
              <w:t>, ekstrapiramidalni efekti, horeoatetoza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povećanje učestalosti napada</w:t>
            </w:r>
          </w:p>
        </w:tc>
        <w:tc>
          <w:tcPr>
            <w:tcW w:w="2298" w:type="dxa"/>
          </w:tcPr>
          <w:p w14:paraId="252F4B59">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1E13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36" w:type="dxa"/>
            <w:vMerge w:val="continue"/>
          </w:tcPr>
          <w:p w14:paraId="577752DC">
            <w:pPr>
              <w:rPr>
                <w:rFonts w:ascii="Microsoft Sans Serif" w:hAnsi="Microsoft Sans Serif" w:eastAsia="Calibri" w:cs="Microsoft Sans Serif"/>
                <w:lang w:val="bs-Latn-BA" w:eastAsia="en-US"/>
              </w:rPr>
            </w:pPr>
          </w:p>
        </w:tc>
        <w:tc>
          <w:tcPr>
            <w:tcW w:w="4609" w:type="dxa"/>
          </w:tcPr>
          <w:p w14:paraId="1D36FAE8">
            <w:pPr>
              <w:rPr>
                <w:rFonts w:ascii="Microsoft Sans Serif" w:hAnsi="Microsoft Sans Serif" w:cs="Microsoft Sans Serif"/>
                <w:lang w:val="bs-Latn-BA"/>
              </w:rPr>
            </w:pPr>
          </w:p>
        </w:tc>
        <w:tc>
          <w:tcPr>
            <w:tcW w:w="2298" w:type="dxa"/>
          </w:tcPr>
          <w:p w14:paraId="7DE2B78A">
            <w:pPr>
              <w:rPr>
                <w:rFonts w:ascii="Microsoft Sans Serif" w:hAnsi="Microsoft Sans Serif" w:cs="Microsoft Sans Serif"/>
                <w:lang w:val="bs-Latn-BA"/>
              </w:rPr>
            </w:pPr>
          </w:p>
        </w:tc>
      </w:tr>
      <w:tr w14:paraId="62C9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68E3FACE">
            <w:pPr>
              <w:rPr>
                <w:rFonts w:ascii="Microsoft Sans Serif" w:hAnsi="Microsoft Sans Serif" w:cs="Microsoft Sans Serif"/>
                <w:lang w:val="bs-Latn-BA"/>
              </w:rPr>
            </w:pPr>
            <w:r>
              <w:rPr>
                <w:rFonts w:ascii="Microsoft Sans Serif" w:hAnsi="Microsoft Sans Serif" w:cs="Microsoft Sans Serif"/>
                <w:lang w:val="bs-Latn-BA"/>
              </w:rPr>
              <w:t>Poremećaji oka</w:t>
            </w:r>
          </w:p>
          <w:p w14:paraId="00C86074">
            <w:pPr>
              <w:rPr>
                <w:rFonts w:ascii="Microsoft Sans Serif" w:hAnsi="Microsoft Sans Serif" w:eastAsia="Calibri" w:cs="Microsoft Sans Serif"/>
                <w:lang w:val="bs-Latn-BA" w:eastAsia="en-US"/>
              </w:rPr>
            </w:pPr>
          </w:p>
        </w:tc>
        <w:tc>
          <w:tcPr>
            <w:tcW w:w="4609" w:type="dxa"/>
          </w:tcPr>
          <w:p w14:paraId="71FF42D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diplopija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zamagljen vid</w:t>
            </w:r>
            <w:r>
              <w:rPr>
                <w:rFonts w:ascii="Microsoft Sans Serif" w:hAnsi="Microsoft Sans Serif" w:cs="Microsoft Sans Serif"/>
                <w:vertAlign w:val="superscript"/>
                <w:lang w:val="bs-Latn-BA"/>
              </w:rPr>
              <w:t>†</w:t>
            </w:r>
          </w:p>
        </w:tc>
        <w:tc>
          <w:tcPr>
            <w:tcW w:w="2298" w:type="dxa"/>
          </w:tcPr>
          <w:p w14:paraId="46194D7D">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210E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BAA44D0">
            <w:pPr>
              <w:rPr>
                <w:rFonts w:ascii="Microsoft Sans Serif" w:hAnsi="Microsoft Sans Serif" w:eastAsia="Calibri" w:cs="Microsoft Sans Serif"/>
                <w:lang w:val="bs-Latn-BA" w:eastAsia="en-US"/>
              </w:rPr>
            </w:pPr>
          </w:p>
        </w:tc>
        <w:tc>
          <w:tcPr>
            <w:tcW w:w="4609" w:type="dxa"/>
          </w:tcPr>
          <w:p w14:paraId="3B3E184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konjunktivitis</w:t>
            </w:r>
          </w:p>
        </w:tc>
        <w:tc>
          <w:tcPr>
            <w:tcW w:w="2298" w:type="dxa"/>
          </w:tcPr>
          <w:p w14:paraId="1E7DEE11">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22AA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73B321B1">
            <w:pPr>
              <w:rPr>
                <w:rFonts w:ascii="Microsoft Sans Serif" w:hAnsi="Microsoft Sans Serif" w:cs="Microsoft Sans Serif"/>
                <w:lang w:val="bs-Latn-BA"/>
              </w:rPr>
            </w:pPr>
            <w:r>
              <w:rPr>
                <w:rFonts w:ascii="Microsoft Sans Serif" w:hAnsi="Microsoft Sans Serif" w:cs="Microsoft Sans Serif"/>
                <w:lang w:val="bs-Latn-BA"/>
              </w:rPr>
              <w:t>Gastrointestinalni poremećaji</w:t>
            </w:r>
          </w:p>
          <w:p w14:paraId="57A74E86">
            <w:pPr>
              <w:rPr>
                <w:rFonts w:ascii="Microsoft Sans Serif" w:hAnsi="Microsoft Sans Serif" w:eastAsia="Calibri" w:cs="Microsoft Sans Serif"/>
                <w:lang w:val="bs-Latn-BA" w:eastAsia="en-US"/>
              </w:rPr>
            </w:pPr>
          </w:p>
        </w:tc>
        <w:tc>
          <w:tcPr>
            <w:tcW w:w="4609" w:type="dxa"/>
          </w:tcPr>
          <w:p w14:paraId="79B9638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mučnina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povraćanje</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proliv</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suva usta</w:t>
            </w:r>
            <w:r>
              <w:rPr>
                <w:rFonts w:ascii="Microsoft Sans Serif" w:hAnsi="Microsoft Sans Serif" w:cs="Microsoft Sans Serif"/>
                <w:vertAlign w:val="superscript"/>
                <w:lang w:val="bs-Latn-BA"/>
              </w:rPr>
              <w:t>§</w:t>
            </w:r>
          </w:p>
        </w:tc>
        <w:tc>
          <w:tcPr>
            <w:tcW w:w="2298" w:type="dxa"/>
          </w:tcPr>
          <w:p w14:paraId="3D6E0A6A">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6BDB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11509747">
            <w:pPr>
              <w:rPr>
                <w:rFonts w:ascii="Microsoft Sans Serif" w:hAnsi="Microsoft Sans Serif" w:eastAsia="Calibri" w:cs="Microsoft Sans Serif"/>
                <w:lang w:val="bs-Latn-BA" w:eastAsia="en-US"/>
              </w:rPr>
            </w:pPr>
            <w:r>
              <w:rPr>
                <w:rFonts w:ascii="Microsoft Sans Serif" w:hAnsi="Microsoft Sans Serif" w:cs="Microsoft Sans Serif"/>
                <w:lang w:val="bs-Latn-BA"/>
              </w:rPr>
              <w:t>Hepatobilijarni poremećaji</w:t>
            </w:r>
          </w:p>
        </w:tc>
        <w:tc>
          <w:tcPr>
            <w:tcW w:w="4609" w:type="dxa"/>
          </w:tcPr>
          <w:p w14:paraId="6EA06CA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zatajenje jetre, disfunkcija jetre</w:t>
            </w:r>
            <w:r>
              <w:rPr>
                <w:rFonts w:ascii="Microsoft Sans Serif" w:hAnsi="Microsoft Sans Serif" w:eastAsia="Calibri" w:cs="Microsoft Sans Serif"/>
                <w:vertAlign w:val="superscript"/>
                <w:lang w:val="bs-Latn-BA" w:eastAsia="en-US"/>
              </w:rPr>
              <w:t>4</w:t>
            </w:r>
            <w:r>
              <w:rPr>
                <w:rFonts w:ascii="Microsoft Sans Serif" w:hAnsi="Microsoft Sans Serif" w:eastAsia="Calibri" w:cs="Microsoft Sans Serif"/>
                <w:lang w:val="bs-Latn-BA" w:eastAsia="en-US"/>
              </w:rPr>
              <w:t>, povećanje testova jetrene fukcije</w:t>
            </w:r>
          </w:p>
        </w:tc>
        <w:tc>
          <w:tcPr>
            <w:tcW w:w="2298" w:type="dxa"/>
          </w:tcPr>
          <w:p w14:paraId="654F6D2B">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33BC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196B0161">
            <w:pPr>
              <w:rPr>
                <w:rFonts w:ascii="Microsoft Sans Serif" w:hAnsi="Microsoft Sans Serif" w:cs="Microsoft Sans Serif"/>
                <w:lang w:val="bs-Latn-BA"/>
              </w:rPr>
            </w:pPr>
            <w:r>
              <w:rPr>
                <w:rFonts w:ascii="Microsoft Sans Serif" w:hAnsi="Microsoft Sans Serif" w:cs="Microsoft Sans Serif"/>
                <w:lang w:val="bs-Latn-BA"/>
              </w:rPr>
              <w:t>Poremećaji kože i potkožnog tkiva</w:t>
            </w:r>
          </w:p>
          <w:p w14:paraId="60AFC77A">
            <w:pPr>
              <w:rPr>
                <w:rFonts w:ascii="Microsoft Sans Serif" w:hAnsi="Microsoft Sans Serif" w:eastAsia="Calibri" w:cs="Microsoft Sans Serif"/>
                <w:lang w:val="bs-Latn-BA" w:eastAsia="en-US"/>
              </w:rPr>
            </w:pPr>
          </w:p>
        </w:tc>
        <w:tc>
          <w:tcPr>
            <w:tcW w:w="4609" w:type="dxa"/>
          </w:tcPr>
          <w:p w14:paraId="6CFB3B8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kože</w:t>
            </w:r>
            <w:r>
              <w:rPr>
                <w:rFonts w:ascii="Microsoft Sans Serif" w:hAnsi="Microsoft Sans Serif" w:eastAsia="Calibri" w:cs="Microsoft Sans Serif"/>
                <w:vertAlign w:val="superscript"/>
                <w:lang w:val="bs-Latn-BA" w:eastAsia="en-US"/>
              </w:rPr>
              <w:t>5</w:t>
            </w:r>
            <w:r>
              <w:rPr>
                <w:rFonts w:ascii="Microsoft Sans Serif" w:hAnsi="Microsoft Sans Serif" w:cs="Microsoft Sans Serif"/>
                <w:vertAlign w:val="superscript"/>
                <w:lang w:val="bs-Latn-BA"/>
              </w:rPr>
              <w:t>†§</w:t>
            </w:r>
          </w:p>
        </w:tc>
        <w:tc>
          <w:tcPr>
            <w:tcW w:w="2298" w:type="dxa"/>
          </w:tcPr>
          <w:p w14:paraId="5B173893">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3E59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175FFBB1">
            <w:pPr>
              <w:rPr>
                <w:rFonts w:ascii="Microsoft Sans Serif" w:hAnsi="Microsoft Sans Serif" w:eastAsia="Calibri" w:cs="Microsoft Sans Serif"/>
                <w:lang w:val="bs-Latn-BA" w:eastAsia="en-US"/>
              </w:rPr>
            </w:pPr>
          </w:p>
        </w:tc>
        <w:tc>
          <w:tcPr>
            <w:tcW w:w="4609" w:type="dxa"/>
          </w:tcPr>
          <w:p w14:paraId="29431D77">
            <w:pPr>
              <w:rPr>
                <w:rFonts w:ascii="Microsoft Sans Serif" w:hAnsi="Microsoft Sans Serif" w:eastAsia="Calibri" w:cs="Microsoft Sans Serif"/>
                <w:lang w:eastAsia="en-US"/>
              </w:rPr>
            </w:pPr>
            <w:r>
              <w:rPr>
                <w:rFonts w:ascii="Microsoft Sans Serif" w:hAnsi="Microsoft Sans Serif" w:cs="Microsoft Sans Serif"/>
                <w:lang w:eastAsia="mk-MK"/>
              </w:rPr>
              <w:t>a</w:t>
            </w:r>
            <w:r>
              <w:rPr>
                <w:rFonts w:ascii="Microsoft Sans Serif" w:hAnsi="Microsoft Sans Serif" w:cs="Microsoft Sans Serif"/>
                <w:lang w:val="mk-MK" w:eastAsia="mk-MK"/>
              </w:rPr>
              <w:t>lopecija</w:t>
            </w:r>
            <w:r>
              <w:rPr>
                <w:rFonts w:ascii="Microsoft Sans Serif" w:hAnsi="Microsoft Sans Serif" w:cs="Microsoft Sans Serif"/>
                <w:lang w:eastAsia="mk-MK"/>
              </w:rPr>
              <w:t xml:space="preserve">, </w:t>
            </w:r>
            <w:r>
              <w:rPr>
                <w:rFonts w:ascii="Microsoft Sans Serif" w:hAnsi="Microsoft Sans Serif" w:eastAsia="Calibri" w:cs="Microsoft Sans Serif"/>
                <w:lang w:eastAsia="en-US"/>
              </w:rPr>
              <w:t xml:space="preserve">reakcija fotosenzitivnosti </w:t>
            </w:r>
          </w:p>
        </w:tc>
        <w:tc>
          <w:tcPr>
            <w:tcW w:w="2298" w:type="dxa"/>
          </w:tcPr>
          <w:p w14:paraId="1C761360">
            <w:pPr>
              <w:rPr>
                <w:rFonts w:ascii="Microsoft Sans Serif" w:hAnsi="Microsoft Sans Serif" w:cs="Microsoft Sans Serif"/>
              </w:rPr>
            </w:pPr>
            <w:r>
              <w:rPr>
                <w:rFonts w:ascii="Microsoft Sans Serif" w:hAnsi="Microsoft Sans Serif" w:cs="Microsoft Sans Serif"/>
                <w:lang w:val="bs-Latn-BA"/>
              </w:rPr>
              <w:t>povremeno</w:t>
            </w:r>
          </w:p>
        </w:tc>
      </w:tr>
      <w:tr w14:paraId="3B11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41611C8C">
            <w:pPr>
              <w:rPr>
                <w:rFonts w:ascii="Microsoft Sans Serif" w:hAnsi="Microsoft Sans Serif" w:eastAsia="Calibri" w:cs="Microsoft Sans Serif"/>
                <w:lang w:val="bs-Latn-BA" w:eastAsia="en-US"/>
              </w:rPr>
            </w:pPr>
          </w:p>
        </w:tc>
        <w:tc>
          <w:tcPr>
            <w:tcW w:w="4609" w:type="dxa"/>
          </w:tcPr>
          <w:p w14:paraId="3DDEB74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Stevens–Johnnsonov sindrom</w:t>
            </w:r>
            <w:r>
              <w:rPr>
                <w:rFonts w:ascii="Microsoft Sans Serif" w:hAnsi="Microsoft Sans Serif" w:eastAsia="Calibri" w:cs="Microsoft Sans Serif"/>
                <w:vertAlign w:val="superscript"/>
                <w:lang w:val="bs-Latn-BA" w:eastAsia="en-US"/>
              </w:rPr>
              <w:t>§</w:t>
            </w:r>
          </w:p>
        </w:tc>
        <w:tc>
          <w:tcPr>
            <w:tcW w:w="2298" w:type="dxa"/>
          </w:tcPr>
          <w:p w14:paraId="3F050605">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5538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57FBB3AC">
            <w:pPr>
              <w:rPr>
                <w:rFonts w:ascii="Microsoft Sans Serif" w:hAnsi="Microsoft Sans Serif" w:eastAsia="Calibri" w:cs="Microsoft Sans Serif"/>
                <w:lang w:val="bs-Latn-BA" w:eastAsia="en-US"/>
              </w:rPr>
            </w:pPr>
          </w:p>
        </w:tc>
        <w:tc>
          <w:tcPr>
            <w:tcW w:w="4609" w:type="dxa"/>
          </w:tcPr>
          <w:p w14:paraId="556A5DE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toksična epidermalna nekroliza </w:t>
            </w:r>
          </w:p>
        </w:tc>
        <w:tc>
          <w:tcPr>
            <w:tcW w:w="2298" w:type="dxa"/>
          </w:tcPr>
          <w:p w14:paraId="453FAC1C">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614D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380F2B40">
            <w:pPr>
              <w:rPr>
                <w:rFonts w:ascii="Microsoft Sans Serif" w:hAnsi="Microsoft Sans Serif" w:eastAsia="Calibri" w:cs="Microsoft Sans Serif"/>
                <w:lang w:val="bs-Latn-BA" w:eastAsia="en-US"/>
              </w:rPr>
            </w:pPr>
          </w:p>
        </w:tc>
        <w:tc>
          <w:tcPr>
            <w:tcW w:w="4609" w:type="dxa"/>
          </w:tcPr>
          <w:p w14:paraId="2B560BC0">
            <w:pPr>
              <w:autoSpaceDE w:val="0"/>
              <w:autoSpaceDN w:val="0"/>
              <w:adjustRightInd w:val="0"/>
              <w:rPr>
                <w:rFonts w:ascii="Microsoft Sans Serif" w:hAnsi="Microsoft Sans Serif" w:cs="Microsoft Sans Serif"/>
                <w:lang w:val="mk-MK" w:eastAsia="mk-MK"/>
              </w:rPr>
            </w:pPr>
            <w:r>
              <w:rPr>
                <w:rFonts w:ascii="Microsoft Sans Serif" w:hAnsi="Microsoft Sans Serif" w:cs="Microsoft Sans Serif"/>
                <w:lang w:eastAsia="mk-MK"/>
              </w:rPr>
              <w:t>r</w:t>
            </w:r>
            <w:r>
              <w:rPr>
                <w:rFonts w:ascii="Microsoft Sans Serif" w:hAnsi="Microsoft Sans Serif" w:cs="Microsoft Sans Serif"/>
                <w:lang w:val="mk-MK" w:eastAsia="mk-MK"/>
              </w:rPr>
              <w:t>eakcije na lijek sa eozinofilijom i sistemskim</w:t>
            </w:r>
          </w:p>
          <w:p w14:paraId="781521AF">
            <w:pPr>
              <w:rPr>
                <w:rFonts w:ascii="Microsoft Sans Serif" w:hAnsi="Microsoft Sans Serif" w:eastAsia="Calibri" w:cs="Microsoft Sans Serif"/>
                <w:lang w:eastAsia="en-US"/>
              </w:rPr>
            </w:pPr>
            <w:r>
              <w:rPr>
                <w:rFonts w:ascii="Microsoft Sans Serif" w:hAnsi="Microsoft Sans Serif" w:cs="Microsoft Sans Serif"/>
                <w:lang w:val="mk-MK" w:eastAsia="mk-MK"/>
              </w:rPr>
              <w:t>simptomima</w:t>
            </w:r>
            <w:r>
              <w:rPr>
                <w:rFonts w:ascii="Microsoft Sans Serif" w:hAnsi="Microsoft Sans Serif" w:cs="Microsoft Sans Serif"/>
                <w:lang w:eastAsia="mk-MK"/>
              </w:rPr>
              <w:t xml:space="preserve"> (DRESS)</w:t>
            </w:r>
          </w:p>
        </w:tc>
        <w:tc>
          <w:tcPr>
            <w:tcW w:w="2298" w:type="dxa"/>
          </w:tcPr>
          <w:p w14:paraId="068DE76A">
            <w:pPr>
              <w:rPr>
                <w:rFonts w:ascii="Microsoft Sans Serif" w:hAnsi="Microsoft Sans Serif" w:cs="Microsoft Sans Serif"/>
                <w:lang w:val="bs-Latn-BA"/>
              </w:rPr>
            </w:pPr>
            <w:r>
              <w:rPr>
                <w:rFonts w:ascii="Microsoft Sans Serif" w:hAnsi="Microsoft Sans Serif" w:cs="Microsoft Sans Serif"/>
                <w:lang w:val="bs-Latn-BA"/>
              </w:rPr>
              <w:t>vrlo rijetko</w:t>
            </w:r>
          </w:p>
        </w:tc>
      </w:tr>
      <w:tr w14:paraId="10E1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5947D0C1">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Poremećaji mišićno-koštanog sistema i vezivnog tkiva </w:t>
            </w:r>
          </w:p>
        </w:tc>
        <w:tc>
          <w:tcPr>
            <w:tcW w:w="4609" w:type="dxa"/>
          </w:tcPr>
          <w:p w14:paraId="033DED6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artralgija</w:t>
            </w:r>
            <w:r>
              <w:rPr>
                <w:rFonts w:ascii="Microsoft Sans Serif" w:hAnsi="Microsoft Sans Serif" w:eastAsia="Calibri" w:cs="Microsoft Sans Serif"/>
                <w:vertAlign w:val="superscript"/>
                <w:lang w:val="bs-Latn-BA" w:eastAsia="en-US"/>
              </w:rPr>
              <w:t>§</w:t>
            </w:r>
          </w:p>
        </w:tc>
        <w:tc>
          <w:tcPr>
            <w:tcW w:w="2298" w:type="dxa"/>
          </w:tcPr>
          <w:p w14:paraId="1E908587">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5039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9C25C64">
            <w:pPr>
              <w:rPr>
                <w:rFonts w:ascii="Microsoft Sans Serif" w:hAnsi="Microsoft Sans Serif" w:eastAsia="Calibri" w:cs="Microsoft Sans Serif"/>
                <w:lang w:val="bs-Latn-BA" w:eastAsia="en-US"/>
              </w:rPr>
            </w:pPr>
          </w:p>
        </w:tc>
        <w:tc>
          <w:tcPr>
            <w:tcW w:w="4609" w:type="dxa"/>
          </w:tcPr>
          <w:p w14:paraId="513201F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reakcija slična lupusu</w:t>
            </w:r>
          </w:p>
        </w:tc>
        <w:tc>
          <w:tcPr>
            <w:tcW w:w="2298" w:type="dxa"/>
          </w:tcPr>
          <w:p w14:paraId="0C20D3A5">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278A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8863C13">
            <w:pPr>
              <w:rPr>
                <w:rFonts w:ascii="Microsoft Sans Serif" w:hAnsi="Microsoft Sans Serif" w:cs="Microsoft Sans Serif"/>
                <w:lang w:val="bs-Latn-BA"/>
              </w:rPr>
            </w:pPr>
            <w:r>
              <w:rPr>
                <w:rFonts w:ascii="Microsoft Sans Serif" w:hAnsi="Microsoft Sans Serif" w:cs="Microsoft Sans Serif"/>
                <w:lang w:val="bs-Latn-BA"/>
              </w:rPr>
              <w:t>Bubrežni i urinarni poremećaji</w:t>
            </w:r>
          </w:p>
        </w:tc>
        <w:tc>
          <w:tcPr>
            <w:tcW w:w="4609" w:type="dxa"/>
          </w:tcPr>
          <w:p w14:paraId="35C9C29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tubulointersticijski nefritis, tubulointersticijski nefritis i uveitis sindrom</w:t>
            </w:r>
          </w:p>
        </w:tc>
        <w:tc>
          <w:tcPr>
            <w:tcW w:w="2298" w:type="dxa"/>
          </w:tcPr>
          <w:p w14:paraId="269B7882">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2CE83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00CF3D9">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Opšti poremećaji i reakcije na mjestu primjene  </w:t>
            </w:r>
          </w:p>
        </w:tc>
        <w:tc>
          <w:tcPr>
            <w:tcW w:w="4609" w:type="dxa"/>
          </w:tcPr>
          <w:p w14:paraId="1B202BD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umor</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 u leđima</w:t>
            </w:r>
            <w:r>
              <w:rPr>
                <w:rFonts w:ascii="Microsoft Sans Serif" w:hAnsi="Microsoft Sans Serif" w:cs="Microsoft Sans Serif"/>
                <w:vertAlign w:val="superscript"/>
                <w:lang w:val="bs-Latn-BA"/>
              </w:rPr>
              <w:t>§</w:t>
            </w:r>
          </w:p>
        </w:tc>
        <w:tc>
          <w:tcPr>
            <w:tcW w:w="2298" w:type="dxa"/>
          </w:tcPr>
          <w:p w14:paraId="3A948523">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bl>
    <w:p w14:paraId="0744555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Opis selektiranih neželjenih dejstava</w:t>
      </w:r>
    </w:p>
    <w:p w14:paraId="09B65843">
      <w:pPr>
        <w:pStyle w:val="27"/>
        <w:jc w:val="both"/>
        <w:rPr>
          <w:rFonts w:ascii="Microsoft Sans Serif" w:hAnsi="Microsoft Sans Serif" w:cs="Microsoft Sans Serif"/>
          <w:b w:val="0"/>
          <w:sz w:val="20"/>
          <w:lang w:val="bs-Latn-BA"/>
        </w:rPr>
      </w:pPr>
      <w:r>
        <w:rPr>
          <w:rFonts w:ascii="Microsoft Sans Serif" w:hAnsi="Microsoft Sans Serif" w:eastAsia="Calibri" w:cs="Microsoft Sans Serif"/>
          <w:b w:val="0"/>
          <w:sz w:val="20"/>
          <w:vertAlign w:val="superscript"/>
          <w:lang w:val="bs-Latn-BA" w:eastAsia="en-US"/>
        </w:rPr>
        <w:t xml:space="preserve">1 </w:t>
      </w:r>
      <w:r>
        <w:rPr>
          <w:rFonts w:ascii="Microsoft Sans Serif" w:hAnsi="Microsoft Sans Serif" w:eastAsia="Calibri" w:cs="Microsoft Sans Serif"/>
          <w:b w:val="0"/>
          <w:sz w:val="20"/>
          <w:lang w:val="bs-Latn-BA" w:eastAsia="en-US"/>
        </w:rPr>
        <w:t>Promjene u krvi i limfadenopatija mogu ali ne moraju biti povezane sa sa reakcijom na lijek sa eozinofilijom i sistemskim simptomima (DRESS)/sindromom preosjetljivosti (pogledati dio „Posebna upozorenja i mjere opreza pri upotrebi“ i „</w:t>
      </w:r>
      <w:r>
        <w:rPr>
          <w:rFonts w:ascii="Microsoft Sans Serif" w:hAnsi="Microsoft Sans Serif" w:cs="Microsoft Sans Serif"/>
          <w:b w:val="0"/>
          <w:sz w:val="20"/>
          <w:lang w:val="bs-Latn-BA"/>
        </w:rPr>
        <w:t xml:space="preserve">Poremećaji imunološkog sistema“). </w:t>
      </w:r>
    </w:p>
    <w:p w14:paraId="46E19FE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2 </w:t>
      </w:r>
      <w:r>
        <w:rPr>
          <w:rFonts w:ascii="Microsoft Sans Serif" w:hAnsi="Microsoft Sans Serif" w:eastAsia="Calibri" w:cs="Microsoft Sans Serif"/>
          <w:lang w:val="bs-Latn-BA" w:eastAsia="en-US"/>
        </w:rPr>
        <w:t>Postoje prijavljeni slučaji s osipom kao dio ovog sindroma, takođe poznatog kao  DRESS. Ovo stanje je povezano sa različitim sistemskim simptomima uključujući groznicu, limfadenopatiju, edem lica i poremećene vrijednosti nalaza ispitivanja krvi, funkciju jetre i funkciju bubrega. Sindrom pokazuje širok spektar kliničkih težina i rijetko može dovesti do pojava diseminirane intravaskularne koagulacije i multiorganskog gubitka funkcije. Važno je napomenuti da rani znaci preosjetljivosti  (npr. groznica, limfadenopatija)</w:t>
      </w:r>
      <w:r>
        <w:t xml:space="preserve"> </w:t>
      </w:r>
      <w:r>
        <w:rPr>
          <w:rFonts w:ascii="Microsoft Sans Serif" w:hAnsi="Microsoft Sans Serif" w:cs="Microsoft Sans Serif"/>
        </w:rPr>
        <w:t>mogu biti prisutni čak i kada osip nije vidljiv</w:t>
      </w:r>
      <w:r>
        <w:rPr>
          <w:rFonts w:ascii="Microsoft Sans Serif" w:hAnsi="Microsoft Sans Serif" w:eastAsia="Calibri" w:cs="Microsoft Sans Serif"/>
          <w:lang w:val="bs-Latn-BA" w:eastAsia="en-US"/>
        </w:rPr>
        <w:t xml:space="preserve">. Ukoliko se takvi simptomi jave kod pacijenta, stanje pacijenta treba procijeniti odmah, , terapiju lamotrigina treba odmah prekinuti ukoliko se ne može utvrditi alternativna etiologija (pogledati dio 4.4).  </w:t>
      </w:r>
    </w:p>
    <w:p w14:paraId="36BB751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3 </w:t>
      </w:r>
      <w:r>
        <w:rPr>
          <w:rFonts w:ascii="Microsoft Sans Serif" w:hAnsi="Microsoft Sans Serif" w:eastAsia="Calibri" w:cs="Microsoft Sans Serif"/>
          <w:lang w:val="bs-Latn-BA" w:eastAsia="en-US"/>
        </w:rPr>
        <w:t>Ova neželjena djelovanja zabilježena su kod ostalih kliničkih iskustava.</w:t>
      </w:r>
    </w:p>
    <w:p w14:paraId="786C249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da lamotrigin može pogoršati simptome parkinsonizma kod pacijenata sa već postojećom Parkinsonovom bolesti i pojedinačnih slučajeva ekstrapiramidalnih efekata i horeoatetoza kod pacijenata bez ove bolesti.</w:t>
      </w:r>
    </w:p>
    <w:p w14:paraId="02ED29D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4 </w:t>
      </w:r>
      <w:r>
        <w:rPr>
          <w:rFonts w:ascii="Microsoft Sans Serif" w:hAnsi="Microsoft Sans Serif" w:eastAsia="Calibri" w:cs="Microsoft Sans Serif"/>
          <w:lang w:val="bs-Latn-BA" w:eastAsia="en-US"/>
        </w:rPr>
        <w:t>Disfunkcija jetre obično se javlja u sklopu reakcije preosjetljivosti ali prijavljeni su pojedinačni slučajevi bez prisustva znaka preosjetljivosti.</w:t>
      </w:r>
    </w:p>
    <w:p w14:paraId="26B66D7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5 </w:t>
      </w:r>
      <w:r>
        <w:rPr>
          <w:rFonts w:ascii="Microsoft Sans Serif" w:hAnsi="Microsoft Sans Serif" w:eastAsia="Calibri" w:cs="Microsoft Sans Serif"/>
          <w:lang w:val="bs-Latn-BA" w:eastAsia="en-US"/>
        </w:rPr>
        <w:t>U kliničkim ispitivanjima kod odraslih, pojavio se kožni osip kod 8% do 12% pacijenata koji su uzimali lamotrigin i kod 5% do 6% pacijenata koji su uzimali placebo. Osip na koži doveo je do prekida liječenja lamotriginom kod 2% pacijenata. Makulopapularni osip obično se pojavljuje u roku od osam sedmica od početka liječenja i povlači se nakon prekida terapije lamotriginom (pogledati dio 4.4).</w:t>
      </w:r>
    </w:p>
    <w:p w14:paraId="3FEF9AF2">
      <w:pPr>
        <w:autoSpaceDE w:val="0"/>
        <w:autoSpaceDN w:val="0"/>
        <w:adjustRightInd w:val="0"/>
        <w:jc w:val="both"/>
        <w:rPr>
          <w:rFonts w:ascii="Microsoft Sans Serif" w:hAnsi="Microsoft Sans Serif" w:eastAsia="Calibri" w:cs="Microsoft Sans Serif"/>
          <w:lang w:val="bs-Latn-BA" w:eastAsia="en-US"/>
        </w:rPr>
      </w:pPr>
    </w:p>
    <w:p w14:paraId="56D1658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životno ugrožavajuči osipi, uključujući Stevens–Johnsonov sindroma, toksične epidermalne nekrolize (Lyellov sindrom) </w:t>
      </w:r>
      <w:r>
        <w:rPr>
          <w:rFonts w:ascii="Microsoft Sans Serif" w:hAnsi="Microsoft Sans Serif" w:cs="Microsoft Sans Serif"/>
          <w:lang w:val="mk-MK" w:eastAsia="mk-MK"/>
        </w:rPr>
        <w:t>i reakcije na lijek sa eozinofilijom i sistemskim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simptomima</w:t>
      </w:r>
      <w:r>
        <w:rPr>
          <w:rFonts w:ascii="Microsoft Sans Serif" w:hAnsi="Microsoft Sans Serif" w:eastAsia="Calibri" w:cs="Microsoft Sans Serif"/>
          <w:lang w:val="bs-Latn-BA" w:eastAsia="en-US"/>
        </w:rPr>
        <w:t xml:space="preserve"> (DRESS). Iako se najčešće završavaju oporavkom nakon prekida terapije lamotriginom; kod nekih pacijenata ostaju ožiljci po koži i bilo je rijetkih slučajeva povezanih sa smrtnim ishodom (pogledati dio 4.4).</w:t>
      </w:r>
    </w:p>
    <w:p w14:paraId="26A2A7D1">
      <w:pPr>
        <w:autoSpaceDE w:val="0"/>
        <w:autoSpaceDN w:val="0"/>
        <w:adjustRightInd w:val="0"/>
        <w:jc w:val="both"/>
        <w:rPr>
          <w:rFonts w:ascii="Microsoft Sans Serif" w:hAnsi="Microsoft Sans Serif" w:eastAsia="Calibri" w:cs="Microsoft Sans Serif"/>
          <w:lang w:val="bs-Latn-BA" w:eastAsia="en-US"/>
        </w:rPr>
      </w:pPr>
    </w:p>
    <w:p w14:paraId="0317B0C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Rizik od pojave osipa, čini se da je snažno povezan sa: </w:t>
      </w:r>
    </w:p>
    <w:p w14:paraId="4D827E3A">
      <w:pPr>
        <w:pStyle w:val="37"/>
        <w:numPr>
          <w:ilvl w:val="0"/>
          <w:numId w:val="3"/>
        </w:numPr>
        <w:autoSpaceDE w:val="0"/>
        <w:autoSpaceDN w:val="0"/>
        <w:adjustRightInd w:val="0"/>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visokim početnim dozama lamotrigina koje prelaze preporučene doze</w:t>
      </w:r>
      <w:r>
        <w:rPr>
          <w:rFonts w:ascii="Microsoft Sans Serif" w:hAnsi="Microsoft Sans Serif" w:cs="Microsoft Sans Serif"/>
          <w:sz w:val="20"/>
          <w:szCs w:val="20"/>
        </w:rPr>
        <w:t xml:space="preserve"> te prekoračenjem preporučenog povećanja doze</w:t>
      </w:r>
      <w:r>
        <w:rPr>
          <w:rFonts w:ascii="Microsoft Sans Serif" w:hAnsi="Microsoft Sans Serif" w:cs="Microsoft Sans Serif"/>
          <w:sz w:val="20"/>
          <w:szCs w:val="20"/>
          <w:lang w:val="bs-Latn-BA"/>
        </w:rPr>
        <w:t xml:space="preserve"> lamotrigina (pogledati dio 4.2) i</w:t>
      </w:r>
    </w:p>
    <w:p w14:paraId="37F91EAC">
      <w:pPr>
        <w:pStyle w:val="37"/>
        <w:numPr>
          <w:ilvl w:val="0"/>
          <w:numId w:val="3"/>
        </w:numPr>
        <w:autoSpaceDE w:val="0"/>
        <w:autoSpaceDN w:val="0"/>
        <w:adjustRightInd w:val="0"/>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istovremenom primjenom valproata (pogledati dio 4.2).</w:t>
      </w:r>
    </w:p>
    <w:p w14:paraId="109005ED">
      <w:pPr>
        <w:autoSpaceDE w:val="0"/>
        <w:autoSpaceDN w:val="0"/>
        <w:adjustRightInd w:val="0"/>
        <w:rPr>
          <w:rFonts w:ascii="Microsoft Sans Serif" w:hAnsi="Microsoft Sans Serif" w:eastAsia="Calibri" w:cs="Microsoft Sans Serif"/>
          <w:lang w:val="bs-Latn-BA" w:eastAsia="en-US"/>
        </w:rPr>
      </w:pPr>
    </w:p>
    <w:p w14:paraId="7807C66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o smanjenoj mineralnoj gustoći kostiju, osteopeniji, osteoporozi i prelomima kod pacijenata na dugoročnoj terapiji lamotriginom. Mehanizam kojim lamotrigin utiče na metabolizam kostiju nije poznat.</w:t>
      </w:r>
    </w:p>
    <w:p w14:paraId="4132C7AB">
      <w:pPr>
        <w:jc w:val="both"/>
        <w:rPr>
          <w:rFonts w:ascii="Microsoft Sans Serif" w:hAnsi="Microsoft Sans Serif" w:cs="Microsoft Sans Serif"/>
          <w:lang w:val="bs-Latn-BA"/>
        </w:rPr>
      </w:pPr>
    </w:p>
    <w:p w14:paraId="315AE3F4">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djelovanja lijeka</w:t>
      </w:r>
    </w:p>
    <w:p w14:paraId="72A6CAAD">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2330CD99">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BF5BBD6">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112BD398">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1DA1B801">
      <w:pPr>
        <w:jc w:val="both"/>
        <w:rPr>
          <w:rFonts w:ascii="Microsoft Sans Serif" w:hAnsi="Microsoft Sans Serif" w:cs="Microsoft Sans Serif"/>
          <w:lang w:val="bs-Latn-BA"/>
        </w:rPr>
      </w:pPr>
    </w:p>
    <w:p w14:paraId="067316EB">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041B70C2">
      <w:pPr>
        <w:jc w:val="both"/>
        <w:rPr>
          <w:rFonts w:ascii="Microsoft Sans Serif" w:hAnsi="Microsoft Sans Serif" w:cs="Microsoft Sans Serif"/>
          <w:lang w:val="bs-Latn-BA"/>
        </w:rPr>
      </w:pPr>
    </w:p>
    <w:p w14:paraId="1E105DF3">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Simptomi i znaci</w:t>
      </w:r>
    </w:p>
    <w:p w14:paraId="4C8CC11A">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bs-Latn-BA"/>
        </w:rPr>
        <w:t xml:space="preserve">Zabilježeno je akutno predoziranje dozama koje su deset do 20 puta veće od maksimalnih terapijskih doza. Predoziranje je pratila pojava sljedećih simptoma: nistagmus, ataksija, poremećaj svijesti, generalizovani tonično-klonični grčevi (grand mal napad) i koma. </w:t>
      </w:r>
      <w:r>
        <w:rPr>
          <w:rFonts w:ascii="Microsoft Sans Serif" w:hAnsi="Microsoft Sans Serif" w:cs="Microsoft Sans Serif"/>
          <w:lang w:val="mk-MK" w:eastAsia="mk-MK"/>
        </w:rPr>
        <w:t>Kod pacijenata predoziranih lamotriginom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prijavljeno je i proširenje QRS (kaš</w:t>
      </w:r>
      <w:r>
        <w:rPr>
          <w:rFonts w:ascii="Microsoft Sans Serif" w:hAnsi="Microsoft Sans Serif" w:cs="Microsoft Sans Serif"/>
          <w:lang w:eastAsia="mk-MK"/>
        </w:rPr>
        <w:t>nj</w:t>
      </w:r>
      <w:r>
        <w:rPr>
          <w:rFonts w:ascii="Microsoft Sans Serif" w:hAnsi="Microsoft Sans Serif" w:cs="Microsoft Sans Serif"/>
          <w:lang w:val="mk-MK" w:eastAsia="mk-MK"/>
        </w:rPr>
        <w:t>enje intraventrikularne provodljivosti)</w:t>
      </w:r>
      <w:r>
        <w:rPr>
          <w:rFonts w:ascii="Microsoft Sans Serif" w:hAnsi="Microsoft Sans Serif" w:cs="Microsoft Sans Serif"/>
          <w:lang w:eastAsia="mk-MK"/>
        </w:rPr>
        <w:t xml:space="preserve"> i QT produženje</w:t>
      </w:r>
      <w:r>
        <w:rPr>
          <w:rFonts w:ascii="Microsoft Sans Serif" w:hAnsi="Microsoft Sans Serif" w:cs="Microsoft Sans Serif"/>
          <w:lang w:val="mk-MK" w:eastAsia="mk-MK"/>
        </w:rPr>
        <w:t>. Proširenje trajanja QRS</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intervala za više od 100 msec može da bude povezano sa ozbiljnijom toksičnošću.</w:t>
      </w:r>
    </w:p>
    <w:p w14:paraId="017E45B3">
      <w:pPr>
        <w:autoSpaceDE w:val="0"/>
        <w:autoSpaceDN w:val="0"/>
        <w:adjustRightInd w:val="0"/>
        <w:rPr>
          <w:rFonts w:ascii="Microsoft Sans Serif" w:hAnsi="Microsoft Sans Serif" w:cs="Microsoft Sans Serif"/>
        </w:rPr>
      </w:pPr>
    </w:p>
    <w:p w14:paraId="16F60B4E">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Liječenje</w:t>
      </w:r>
    </w:p>
    <w:p w14:paraId="3E9FC368">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predoziranja, pacijenta treba hospitalizovati u jedinicu intenzivne njege te pružiti odgovarajuće potporno liječenje. Ako je indikovano, potrebno je provesti liječenje sa ciljem smanjenja apsorpcije (aktivni ugalj). Dalje liječenje treba provesti kako je klinički indikovano, uzimajući u obzir potencijalni efekat na srčanu provodljivost (pogledati dio 4.4). </w:t>
      </w:r>
    </w:p>
    <w:p w14:paraId="7A59BE4E">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Ne postoji iskustvo sa hemodijalizom kao metodom liječenja predoziranja. Kod šest dobrovoljaca sa renalnom disfunkcijom, 20% lamotrigina otklonjeno je hemodijalizom u trajanju od 4 časova (pogledati dio 5.2.)  </w:t>
      </w:r>
    </w:p>
    <w:p w14:paraId="7351B1A5">
      <w:pPr>
        <w:autoSpaceDE w:val="0"/>
        <w:autoSpaceDN w:val="0"/>
        <w:adjustRightInd w:val="0"/>
        <w:rPr>
          <w:rFonts w:ascii="Microsoft Sans Serif" w:hAnsi="Microsoft Sans Serif" w:cs="Microsoft Sans Serif"/>
          <w:lang w:val="bs-Latn-BA"/>
        </w:rPr>
      </w:pPr>
    </w:p>
    <w:p w14:paraId="020CEAFD">
      <w:pPr>
        <w:rPr>
          <w:rFonts w:ascii="Microsoft Sans Serif" w:hAnsi="Microsoft Sans Serif" w:cs="Microsoft Sans Serif"/>
          <w:lang w:val="hr-HR"/>
        </w:rPr>
      </w:pPr>
    </w:p>
    <w:p w14:paraId="371B6916">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62F7F862">
      <w:pPr>
        <w:jc w:val="both"/>
        <w:rPr>
          <w:rFonts w:ascii="Microsoft Sans Serif" w:hAnsi="Microsoft Sans Serif" w:cs="Microsoft Sans Serif"/>
          <w:b/>
          <w:lang w:val="bs-Latn-BA"/>
        </w:rPr>
      </w:pPr>
    </w:p>
    <w:p w14:paraId="4FACE7A4">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6E85A5CC">
      <w:pPr>
        <w:jc w:val="both"/>
        <w:rPr>
          <w:rFonts w:ascii="Microsoft Sans Serif" w:hAnsi="Microsoft Sans Serif" w:cs="Microsoft Sans Serif"/>
          <w:lang w:val="bs-Latn-BA"/>
        </w:rPr>
      </w:pPr>
    </w:p>
    <w:p w14:paraId="01422178">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antiepileptik, drugi antiepileptici</w:t>
      </w:r>
    </w:p>
    <w:p w14:paraId="1A1236DE">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bs-Latn-BA"/>
        </w:rPr>
        <w:t>N03AX09</w:t>
      </w:r>
    </w:p>
    <w:p w14:paraId="712397DC">
      <w:pPr>
        <w:jc w:val="both"/>
        <w:rPr>
          <w:rFonts w:ascii="Microsoft Sans Serif" w:hAnsi="Microsoft Sans Serif" w:cs="Microsoft Sans Serif"/>
          <w:lang w:val="bs-Latn-BA"/>
        </w:rPr>
      </w:pPr>
    </w:p>
    <w:p w14:paraId="514F4D3F">
      <w:pPr>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Mehanizam djelovanja</w:t>
      </w:r>
    </w:p>
    <w:p w14:paraId="49AA52CB">
      <w:pPr>
        <w:autoSpaceDE w:val="0"/>
        <w:autoSpaceDN w:val="0"/>
        <w:adjustRightInd w:val="0"/>
        <w:jc w:val="both"/>
        <w:rPr>
          <w:rFonts w:ascii="Microsoft Sans Serif" w:hAnsi="Microsoft Sans Serif" w:cs="Microsoft Sans Serif"/>
          <w:lang w:val="hr-BA" w:eastAsia="mk-MK"/>
        </w:rPr>
      </w:pPr>
      <w:r>
        <w:rPr>
          <w:rFonts w:ascii="Microsoft Sans Serif" w:hAnsi="Microsoft Sans Serif" w:cs="Microsoft Sans Serif"/>
          <w:lang w:val="mk-MK" w:eastAsia="mk-MK"/>
        </w:rPr>
        <w:t xml:space="preserve">Rezultati farmakoloških ispitivanja su pokazali da </w:t>
      </w:r>
      <w:r>
        <w:rPr>
          <w:rFonts w:ascii="Microsoft Sans Serif" w:hAnsi="Microsoft Sans Serif" w:cs="Microsoft Sans Serif"/>
          <w:lang w:val="sr-Latn-RS" w:eastAsia="mk-MK"/>
        </w:rPr>
        <w:t xml:space="preserve">je </w:t>
      </w:r>
      <w:r>
        <w:rPr>
          <w:rFonts w:ascii="Microsoft Sans Serif" w:hAnsi="Microsoft Sans Serif" w:cs="Microsoft Sans Serif"/>
          <w:lang w:val="mk-MK" w:eastAsia="mk-MK"/>
        </w:rPr>
        <w:t>lamotrigin</w:t>
      </w:r>
      <w:r>
        <w:rPr>
          <w:rFonts w:ascii="Microsoft Sans Serif" w:hAnsi="Microsoft Sans Serif" w:cs="Microsoft Sans Serif"/>
          <w:lang w:val="hr-BA" w:eastAsia="mk-MK"/>
        </w:rPr>
        <w:t xml:space="preserve"> od upotrebe i voltaže zavisan blokator </w:t>
      </w:r>
      <w:r>
        <w:rPr>
          <w:rFonts w:ascii="Microsoft Sans Serif" w:hAnsi="Microsoft Sans Serif" w:cs="Microsoft Sans Serif"/>
          <w:lang w:val="mk-MK" w:eastAsia="mk-MK"/>
        </w:rPr>
        <w:t xml:space="preserve"> voltažno zavisn</w:t>
      </w:r>
      <w:r>
        <w:rPr>
          <w:rFonts w:ascii="Microsoft Sans Serif" w:hAnsi="Microsoft Sans Serif" w:cs="Microsoft Sans Serif"/>
          <w:lang w:val="sr-Latn-RS" w:eastAsia="mk-MK"/>
        </w:rPr>
        <w:t>ih</w:t>
      </w:r>
      <w:r>
        <w:rPr>
          <w:rFonts w:ascii="Microsoft Sans Serif" w:hAnsi="Microsoft Sans Serif" w:cs="Microsoft Sans Serif"/>
          <w:lang w:val="mk-MK" w:eastAsia="mk-MK"/>
        </w:rPr>
        <w:t xml:space="preserve"> natrijumsk</w:t>
      </w:r>
      <w:r>
        <w:rPr>
          <w:rFonts w:ascii="Microsoft Sans Serif" w:hAnsi="Microsoft Sans Serif" w:cs="Microsoft Sans Serif"/>
          <w:lang w:val="sr-Latn-RS" w:eastAsia="mk-MK"/>
        </w:rPr>
        <w:t>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kanal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Lamotrigin </w:t>
      </w:r>
      <w:r>
        <w:rPr>
          <w:rFonts w:ascii="Microsoft Sans Serif" w:hAnsi="Microsoft Sans Serif" w:cs="Microsoft Sans Serif"/>
          <w:lang w:val="sr-Latn-RS" w:eastAsia="mk-MK"/>
        </w:rPr>
        <w:t xml:space="preserve">inhibira kontinuiranu ponavljajuću ekscitaciju  </w:t>
      </w:r>
      <w:r>
        <w:rPr>
          <w:rFonts w:ascii="Microsoft Sans Serif" w:hAnsi="Microsoft Sans Serif" w:cs="Microsoft Sans Serif"/>
          <w:lang w:val="mk-MK" w:eastAsia="mk-MK"/>
        </w:rPr>
        <w:t>neurona i inhibira oslobađanje glutamata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(neurotransmiter koji ima ključnu ulogu u nastanku epileptičkih napada). Ova djelovanja doprinose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antikonvulzivnim osobinama lamotrigina.</w:t>
      </w:r>
      <w:r>
        <w:rPr>
          <w:rFonts w:ascii="Microsoft Sans Serif" w:hAnsi="Microsoft Sans Serif" w:cs="Microsoft Sans Serif"/>
          <w:lang w:val="hr-BA" w:eastAsia="mk-MK"/>
        </w:rPr>
        <w:t xml:space="preserve"> </w:t>
      </w:r>
    </w:p>
    <w:p w14:paraId="57DB4994">
      <w:pPr>
        <w:jc w:val="both"/>
        <w:rPr>
          <w:rFonts w:ascii="Microsoft Sans Serif" w:hAnsi="Microsoft Sans Serif" w:eastAsia="Calibri" w:cs="Microsoft Sans Serif"/>
          <w:lang w:val="bs-Latn-BA" w:eastAsia="en-US"/>
        </w:rPr>
      </w:pPr>
    </w:p>
    <w:p w14:paraId="76F4D079">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Nasuprot tome, mehanizmi kojima lamotrigin ispoljava njegovo terapijsko djelovanje u bipolarnom poremećaju nisu utvrđeni, iako se interakcija sa voltažno zavisnim natrijumovim kanalima čini važna.</w:t>
      </w:r>
    </w:p>
    <w:p w14:paraId="58566BA2">
      <w:pPr>
        <w:jc w:val="both"/>
        <w:rPr>
          <w:rFonts w:ascii="Microsoft Sans Serif" w:hAnsi="Microsoft Sans Serif" w:cs="Microsoft Sans Serif"/>
          <w:lang w:val="bs-Latn-BA"/>
        </w:rPr>
      </w:pPr>
    </w:p>
    <w:p w14:paraId="0E284654">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Farmakodinamska djelovanja</w:t>
      </w:r>
    </w:p>
    <w:p w14:paraId="30826E6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testovima namijenjenim za procjenu efekata lijekova na centralni nervni sistem, rezultati dobijeni primjenom doza lamotrigina od 240 mg kod zdravih dobrovoljaca nisu se razlikovali od placeba, dok je i 1.000 mg fenitoina i 10 mg diazepama svaki značajno narušio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povećao tjelesnu ravnotežu i izazvao subjektivne sedativne efekte.</w:t>
      </w:r>
    </w:p>
    <w:p w14:paraId="44975C3B">
      <w:pPr>
        <w:autoSpaceDE w:val="0"/>
        <w:autoSpaceDN w:val="0"/>
        <w:adjustRightInd w:val="0"/>
        <w:jc w:val="both"/>
        <w:rPr>
          <w:rFonts w:ascii="Microsoft Sans Serif" w:hAnsi="Microsoft Sans Serif" w:eastAsia="Calibri" w:cs="Microsoft Sans Serif"/>
          <w:lang w:val="bs-Latn-BA" w:eastAsia="en-US"/>
        </w:rPr>
      </w:pPr>
    </w:p>
    <w:p w14:paraId="016E593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drugoj studiji, pojedinačna oralna doza od 600 mg karbamazepina značajno je narušila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sa povećanjem i zanošenja tijela i broja otkucaja srca, dok se rezultati lamotrigina u dozi od 150 mg i 300 mg ne razlikuju od placeba.</w:t>
      </w:r>
    </w:p>
    <w:p w14:paraId="0B533FC3">
      <w:pPr>
        <w:rPr>
          <w:rFonts w:ascii="Microsoft Sans Serif" w:hAnsi="Microsoft Sans Serif" w:cs="Microsoft Sans Serif"/>
          <w:lang w:val="bs-Latn-BA"/>
        </w:rPr>
      </w:pPr>
    </w:p>
    <w:p w14:paraId="60D32B6F">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Studija efekta lamotrigina na srčanoj provodljivosti</w:t>
      </w:r>
    </w:p>
    <w:p w14:paraId="207AACF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kod zdravih odraslih dobrovoljaca ocjenjuje efekat ponavljanih doza lamotrigina (do 400 mg/dan) na srčanoj provodljivosti, po procjeni 12 vodova EKG-a. Nije bilo klinički značajnog efekta lamotrigina na QT-interval u poređenju sa placebom.</w:t>
      </w:r>
    </w:p>
    <w:p w14:paraId="25849915">
      <w:pPr>
        <w:rPr>
          <w:rFonts w:ascii="Microsoft Sans Serif" w:hAnsi="Microsoft Sans Serif" w:cs="Microsoft Sans Serif"/>
          <w:lang w:val="bs-Latn-BA"/>
        </w:rPr>
      </w:pPr>
    </w:p>
    <w:p w14:paraId="0D00CD9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Klinička efikasnost i bezbjednost  </w:t>
      </w:r>
    </w:p>
    <w:p w14:paraId="68F4CA30">
      <w:pPr>
        <w:jc w:val="both"/>
        <w:rPr>
          <w:rFonts w:ascii="Microsoft Sans Serif" w:hAnsi="Microsoft Sans Serif" w:cs="Microsoft Sans Serif"/>
          <w:lang w:val="bs-Latn-BA"/>
        </w:rPr>
      </w:pPr>
      <w:r>
        <w:rPr>
          <w:rFonts w:ascii="Microsoft Sans Serif" w:hAnsi="Microsoft Sans Serif" w:cs="Microsoft Sans Serif"/>
          <w:lang w:val="bs-Latn-BA"/>
        </w:rPr>
        <w:t>Klinička efikasnost i bezbjednost u prevenciji epizoda raspoloženja kod pacijenata sa bipolarnim poremećajem</w:t>
      </w:r>
    </w:p>
    <w:p w14:paraId="28B2EEEA">
      <w:pPr>
        <w:jc w:val="both"/>
        <w:rPr>
          <w:rFonts w:ascii="Microsoft Sans Serif" w:hAnsi="Microsoft Sans Serif" w:cs="Microsoft Sans Serif"/>
          <w:lang w:val="bs-Latn-BA"/>
        </w:rPr>
      </w:pPr>
    </w:p>
    <w:p w14:paraId="31337174">
      <w:pPr>
        <w:jc w:val="both"/>
        <w:rPr>
          <w:rFonts w:ascii="Microsoft Sans Serif" w:hAnsi="Microsoft Sans Serif" w:cs="Microsoft Sans Serif"/>
          <w:lang w:val="bs-Latn-BA"/>
        </w:rPr>
      </w:pPr>
      <w:r>
        <w:rPr>
          <w:rFonts w:ascii="Microsoft Sans Serif" w:hAnsi="Microsoft Sans Serif" w:cs="Microsoft Sans Serif"/>
          <w:lang w:val="bs-Latn-BA"/>
        </w:rPr>
        <w:t>Efikasnost lamotrigina u prevenciji epizoda raspoloženja kod pacijenata sa bipolarnim poremećajem tipa I bila je ocijenjena u dvije studije.</w:t>
      </w:r>
    </w:p>
    <w:p w14:paraId="49810E08">
      <w:pPr>
        <w:autoSpaceDE w:val="0"/>
        <w:autoSpaceDN w:val="0"/>
        <w:adjustRightInd w:val="0"/>
        <w:jc w:val="both"/>
        <w:rPr>
          <w:rFonts w:ascii="Microsoft Sans Serif" w:hAnsi="Microsoft Sans Serif" w:eastAsia="Calibri" w:cs="Microsoft Sans Serif"/>
          <w:lang w:val="bs-Latn-BA" w:eastAsia="en-US"/>
        </w:rPr>
      </w:pPr>
    </w:p>
    <w:p w14:paraId="1455C119">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SCAB2003 je multicentrična, dvostruko slijepa,</w:t>
      </w:r>
      <w:r>
        <w:t xml:space="preserve"> </w:t>
      </w:r>
      <w:r>
        <w:rPr>
          <w:rFonts w:ascii="Microsoft Sans Serif" w:hAnsi="Microsoft Sans Serif" w:cs="Microsoft Sans Serif"/>
        </w:rPr>
        <w:t>dvostruko maskirana</w:t>
      </w:r>
      <w:r>
        <w:rPr>
          <w:rFonts w:ascii="Microsoft Sans Serif" w:hAnsi="Microsoft Sans Serif" w:eastAsia="Calibri" w:cs="Microsoft Sans Serif"/>
          <w:lang w:val="bs-Latn-BA" w:eastAsia="en-US"/>
        </w:rPr>
        <w:t>, placebom i litijumom kontrolisana, randomizovana studija u kojoj se vrši procjena fiksne doze izvedena sa ciljem procjene dugoročne prevencije relapsa i ponovnog pojavljivanja depresije i/ili manije kod pacijenata sa bipolarnim poremećajem tipa I koji su u zadnje vrijeme imali ili trenutno imaju veliku depresivnu epizodu. Nakon što su ispitanici stabilizovani sa monoterapijom lamotrigina ili u kombinovanoj terapiji, pacijente su randomizovali u jednu od pet terapijskih grupa: lamotrigin (50 mg/dan, 200 mg/dan, 400 mg/dan), litijum (serumske koncentracije 0,8 mmol/l do 1,1 mmol/l) ili placebo maksimalno 76 sedmica (18 mjeseci). Primarni parametar praćenje ishoda ispitivanja bio je "vrijeme do intervencije na epizodu promjene raspoloženja“ ( eng. "Time to Intervention for a Mood Episode (TIME)"), gdje su bile uključene dodatna farmakoterapija ili elektrokonvulzivna terapija. Studija SCAB2006 imala je sličan dizajn kao studija SCAB2003, ali se razlikovala od studije SCAB2003 u procjeni fleksibilne doze lamotrigina (100 mg/dan do 400 mg/dan), a uključuje pacijente sa bipolarnim poremećajem tipa I koji su u zadnje vrijeme imali  ili trenutno imaju manične epizode. Rezultati su prikazani u tabeli 7.</w:t>
      </w:r>
    </w:p>
    <w:p w14:paraId="47387542">
      <w:pPr>
        <w:jc w:val="both"/>
        <w:rPr>
          <w:rFonts w:ascii="Microsoft Sans Serif" w:hAnsi="Microsoft Sans Serif" w:cs="Microsoft Sans Serif"/>
          <w:lang w:val="bs-Latn-BA"/>
        </w:rPr>
      </w:pPr>
    </w:p>
    <w:p w14:paraId="22DF93EA">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7: Pregled rezultata iz studija koje su istraživale efikasnost lamotrigina u prevenciji epizoda raspoloženja kod pacijenata sa bipolarnim poremećajem tipa 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182"/>
        <w:gridCol w:w="1159"/>
        <w:gridCol w:w="1161"/>
        <w:gridCol w:w="1182"/>
        <w:gridCol w:w="1159"/>
        <w:gridCol w:w="1161"/>
      </w:tblGrid>
      <w:tr w14:paraId="3A16B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7"/>
          </w:tcPr>
          <w:p w14:paraId="55503117">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Dio pacijenata bez relapsa manično-depresivnih episoda u 76 sedmica </w:t>
            </w:r>
          </w:p>
        </w:tc>
      </w:tr>
      <w:tr w14:paraId="6C2E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73CE218C">
            <w:pPr>
              <w:rPr>
                <w:rFonts w:ascii="Microsoft Sans Serif" w:hAnsi="Microsoft Sans Serif" w:eastAsia="Calibri" w:cs="Microsoft Sans Serif"/>
                <w:lang w:val="bs-Latn-BA" w:eastAsia="en-US"/>
              </w:rPr>
            </w:pPr>
          </w:p>
        </w:tc>
        <w:tc>
          <w:tcPr>
            <w:tcW w:w="3502" w:type="dxa"/>
            <w:gridSpan w:val="3"/>
          </w:tcPr>
          <w:p w14:paraId="1DD346A8">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SCAB2003</w:t>
            </w:r>
          </w:p>
          <w:p w14:paraId="3E1B66B0">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c>
          <w:tcPr>
            <w:tcW w:w="3502" w:type="dxa"/>
            <w:gridSpan w:val="3"/>
          </w:tcPr>
          <w:p w14:paraId="2CC1AE3A">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SCAB2006</w:t>
            </w:r>
          </w:p>
          <w:p w14:paraId="1CCC91AA">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r>
      <w:tr w14:paraId="1AED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04BA037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Kriterijum za uključivanje</w:t>
            </w:r>
          </w:p>
        </w:tc>
        <w:tc>
          <w:tcPr>
            <w:tcW w:w="3502" w:type="dxa"/>
            <w:gridSpan w:val="3"/>
          </w:tcPr>
          <w:p w14:paraId="7181398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Majorna depresivna epizoda </w:t>
            </w:r>
          </w:p>
        </w:tc>
        <w:tc>
          <w:tcPr>
            <w:tcW w:w="3502" w:type="dxa"/>
            <w:gridSpan w:val="3"/>
          </w:tcPr>
          <w:p w14:paraId="73DB858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Majorna manična epizoda</w:t>
            </w:r>
          </w:p>
        </w:tc>
      </w:tr>
      <w:tr w14:paraId="3FE6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1E6E8EF7">
            <w:pPr>
              <w:rPr>
                <w:rFonts w:ascii="Microsoft Sans Serif" w:hAnsi="Microsoft Sans Serif" w:eastAsia="Calibri" w:cs="Microsoft Sans Serif"/>
                <w:lang w:val="bs-Latn-BA" w:eastAsia="en-US"/>
              </w:rPr>
            </w:pPr>
          </w:p>
        </w:tc>
        <w:tc>
          <w:tcPr>
            <w:tcW w:w="1182" w:type="dxa"/>
          </w:tcPr>
          <w:p w14:paraId="2328931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285407B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6C1AA97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c>
          <w:tcPr>
            <w:tcW w:w="1182" w:type="dxa"/>
          </w:tcPr>
          <w:p w14:paraId="1A9DDEC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529A8E6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295F600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r>
      <w:tr w14:paraId="7899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7C90D6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intervencija</w:t>
            </w:r>
          </w:p>
        </w:tc>
        <w:tc>
          <w:tcPr>
            <w:tcW w:w="1182" w:type="dxa"/>
          </w:tcPr>
          <w:p w14:paraId="25A0E1D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0,22</w:t>
            </w:r>
          </w:p>
        </w:tc>
        <w:tc>
          <w:tcPr>
            <w:tcW w:w="1159" w:type="dxa"/>
          </w:tcPr>
          <w:p w14:paraId="2B252AD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0,21</w:t>
            </w:r>
          </w:p>
        </w:tc>
        <w:tc>
          <w:tcPr>
            <w:tcW w:w="1161" w:type="dxa"/>
          </w:tcPr>
          <w:p w14:paraId="0A502FE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0,12</w:t>
            </w:r>
          </w:p>
        </w:tc>
        <w:tc>
          <w:tcPr>
            <w:tcW w:w="1182" w:type="dxa"/>
          </w:tcPr>
          <w:p w14:paraId="35E2711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0,17</w:t>
            </w:r>
          </w:p>
        </w:tc>
        <w:tc>
          <w:tcPr>
            <w:tcW w:w="1159" w:type="dxa"/>
          </w:tcPr>
          <w:p w14:paraId="6B3A9C4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0,24</w:t>
            </w:r>
          </w:p>
        </w:tc>
        <w:tc>
          <w:tcPr>
            <w:tcW w:w="1161" w:type="dxa"/>
          </w:tcPr>
          <w:p w14:paraId="4F0A96E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w:t>
            </w:r>
          </w:p>
        </w:tc>
      </w:tr>
      <w:tr w14:paraId="75F9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2A18F27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15BF1F7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0,004</w:t>
            </w:r>
          </w:p>
        </w:tc>
        <w:tc>
          <w:tcPr>
            <w:tcW w:w="1159" w:type="dxa"/>
          </w:tcPr>
          <w:p w14:paraId="5D6A13D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5F5205E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26D4A20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0,023</w:t>
            </w:r>
          </w:p>
        </w:tc>
        <w:tc>
          <w:tcPr>
            <w:tcW w:w="1159" w:type="dxa"/>
          </w:tcPr>
          <w:p w14:paraId="0AC55F4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7868B21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6AF1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515D24A0">
            <w:pPr>
              <w:rPr>
                <w:rFonts w:ascii="Microsoft Sans Serif" w:hAnsi="Microsoft Sans Serif" w:eastAsia="Calibri" w:cs="Microsoft Sans Serif"/>
                <w:lang w:val="bs-Latn-BA" w:eastAsia="en-US"/>
              </w:rPr>
            </w:pPr>
          </w:p>
        </w:tc>
        <w:tc>
          <w:tcPr>
            <w:tcW w:w="1182" w:type="dxa"/>
          </w:tcPr>
          <w:p w14:paraId="4C5B4076">
            <w:pPr>
              <w:rPr>
                <w:rFonts w:ascii="Microsoft Sans Serif" w:hAnsi="Microsoft Sans Serif" w:eastAsia="Calibri" w:cs="Microsoft Sans Serif"/>
                <w:lang w:val="bs-Latn-BA" w:eastAsia="en-US"/>
              </w:rPr>
            </w:pPr>
          </w:p>
        </w:tc>
        <w:tc>
          <w:tcPr>
            <w:tcW w:w="1159" w:type="dxa"/>
          </w:tcPr>
          <w:p w14:paraId="3AA3B144">
            <w:pPr>
              <w:rPr>
                <w:rFonts w:ascii="Microsoft Sans Serif" w:hAnsi="Microsoft Sans Serif" w:eastAsia="Calibri" w:cs="Microsoft Sans Serif"/>
                <w:lang w:val="bs-Latn-BA" w:eastAsia="en-US"/>
              </w:rPr>
            </w:pPr>
          </w:p>
        </w:tc>
        <w:tc>
          <w:tcPr>
            <w:tcW w:w="1161" w:type="dxa"/>
          </w:tcPr>
          <w:p w14:paraId="7E6A6842">
            <w:pPr>
              <w:rPr>
                <w:rFonts w:ascii="Microsoft Sans Serif" w:hAnsi="Microsoft Sans Serif" w:eastAsia="Calibri" w:cs="Microsoft Sans Serif"/>
                <w:lang w:val="bs-Latn-BA" w:eastAsia="en-US"/>
              </w:rPr>
            </w:pPr>
          </w:p>
        </w:tc>
        <w:tc>
          <w:tcPr>
            <w:tcW w:w="1182" w:type="dxa"/>
          </w:tcPr>
          <w:p w14:paraId="7DE36F35">
            <w:pPr>
              <w:rPr>
                <w:rFonts w:ascii="Microsoft Sans Serif" w:hAnsi="Microsoft Sans Serif" w:eastAsia="Calibri" w:cs="Microsoft Sans Serif"/>
                <w:lang w:val="bs-Latn-BA" w:eastAsia="en-US"/>
              </w:rPr>
            </w:pPr>
          </w:p>
        </w:tc>
        <w:tc>
          <w:tcPr>
            <w:tcW w:w="1159" w:type="dxa"/>
          </w:tcPr>
          <w:p w14:paraId="7017BE80">
            <w:pPr>
              <w:rPr>
                <w:rFonts w:ascii="Microsoft Sans Serif" w:hAnsi="Microsoft Sans Serif" w:eastAsia="Calibri" w:cs="Microsoft Sans Serif"/>
                <w:lang w:val="bs-Latn-BA" w:eastAsia="en-US"/>
              </w:rPr>
            </w:pPr>
          </w:p>
        </w:tc>
        <w:tc>
          <w:tcPr>
            <w:tcW w:w="1161" w:type="dxa"/>
          </w:tcPr>
          <w:p w14:paraId="718B7793">
            <w:pPr>
              <w:rPr>
                <w:rFonts w:ascii="Microsoft Sans Serif" w:hAnsi="Microsoft Sans Serif" w:eastAsia="Calibri" w:cs="Microsoft Sans Serif"/>
                <w:lang w:val="bs-Latn-BA" w:eastAsia="en-US"/>
              </w:rPr>
            </w:pPr>
          </w:p>
        </w:tc>
      </w:tr>
      <w:tr w14:paraId="3DCE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5BD102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depresivne epizode</w:t>
            </w:r>
          </w:p>
        </w:tc>
        <w:tc>
          <w:tcPr>
            <w:tcW w:w="1182" w:type="dxa"/>
          </w:tcPr>
          <w:p w14:paraId="5BF778D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0,51</w:t>
            </w:r>
          </w:p>
        </w:tc>
        <w:tc>
          <w:tcPr>
            <w:tcW w:w="1159" w:type="dxa"/>
          </w:tcPr>
          <w:p w14:paraId="74BFABF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0,46</w:t>
            </w:r>
          </w:p>
        </w:tc>
        <w:tc>
          <w:tcPr>
            <w:tcW w:w="1161" w:type="dxa"/>
          </w:tcPr>
          <w:p w14:paraId="050876C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0,41</w:t>
            </w:r>
          </w:p>
        </w:tc>
        <w:tc>
          <w:tcPr>
            <w:tcW w:w="1182" w:type="dxa"/>
          </w:tcPr>
          <w:p w14:paraId="5A2B25F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0,82</w:t>
            </w:r>
          </w:p>
        </w:tc>
        <w:tc>
          <w:tcPr>
            <w:tcW w:w="1159" w:type="dxa"/>
          </w:tcPr>
          <w:p w14:paraId="0DFC017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0,71</w:t>
            </w:r>
          </w:p>
        </w:tc>
        <w:tc>
          <w:tcPr>
            <w:tcW w:w="1161" w:type="dxa"/>
          </w:tcPr>
          <w:p w14:paraId="632D496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0,40</w:t>
            </w:r>
          </w:p>
        </w:tc>
      </w:tr>
      <w:tr w14:paraId="7163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1C5AFFF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4E6479D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0,047</w:t>
            </w:r>
          </w:p>
        </w:tc>
        <w:tc>
          <w:tcPr>
            <w:tcW w:w="1159" w:type="dxa"/>
          </w:tcPr>
          <w:p w14:paraId="7DD5154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0,209</w:t>
            </w:r>
          </w:p>
        </w:tc>
        <w:tc>
          <w:tcPr>
            <w:tcW w:w="1161" w:type="dxa"/>
          </w:tcPr>
          <w:p w14:paraId="3C6F920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13C13AF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0,015</w:t>
            </w:r>
          </w:p>
        </w:tc>
        <w:tc>
          <w:tcPr>
            <w:tcW w:w="1159" w:type="dxa"/>
          </w:tcPr>
          <w:p w14:paraId="5C2D3FB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0,167</w:t>
            </w:r>
          </w:p>
        </w:tc>
        <w:tc>
          <w:tcPr>
            <w:tcW w:w="1161" w:type="dxa"/>
          </w:tcPr>
          <w:p w14:paraId="48EEB18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089E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64D001B7">
            <w:pPr>
              <w:rPr>
                <w:rFonts w:ascii="Microsoft Sans Serif" w:hAnsi="Microsoft Sans Serif" w:eastAsia="Calibri" w:cs="Microsoft Sans Serif"/>
                <w:lang w:val="bs-Latn-BA" w:eastAsia="en-US"/>
              </w:rPr>
            </w:pPr>
          </w:p>
        </w:tc>
        <w:tc>
          <w:tcPr>
            <w:tcW w:w="1182" w:type="dxa"/>
          </w:tcPr>
          <w:p w14:paraId="32027D90">
            <w:pPr>
              <w:rPr>
                <w:rFonts w:ascii="Microsoft Sans Serif" w:hAnsi="Microsoft Sans Serif" w:eastAsia="Calibri" w:cs="Microsoft Sans Serif"/>
                <w:lang w:val="bs-Latn-BA" w:eastAsia="en-US"/>
              </w:rPr>
            </w:pPr>
          </w:p>
        </w:tc>
        <w:tc>
          <w:tcPr>
            <w:tcW w:w="1159" w:type="dxa"/>
          </w:tcPr>
          <w:p w14:paraId="516553AC">
            <w:pPr>
              <w:rPr>
                <w:rFonts w:ascii="Microsoft Sans Serif" w:hAnsi="Microsoft Sans Serif" w:eastAsia="Calibri" w:cs="Microsoft Sans Serif"/>
                <w:lang w:val="bs-Latn-BA" w:eastAsia="en-US"/>
              </w:rPr>
            </w:pPr>
          </w:p>
        </w:tc>
        <w:tc>
          <w:tcPr>
            <w:tcW w:w="1161" w:type="dxa"/>
          </w:tcPr>
          <w:p w14:paraId="17250470">
            <w:pPr>
              <w:rPr>
                <w:rFonts w:ascii="Microsoft Sans Serif" w:hAnsi="Microsoft Sans Serif" w:eastAsia="Calibri" w:cs="Microsoft Sans Serif"/>
                <w:lang w:val="bs-Latn-BA" w:eastAsia="en-US"/>
              </w:rPr>
            </w:pPr>
          </w:p>
        </w:tc>
        <w:tc>
          <w:tcPr>
            <w:tcW w:w="1182" w:type="dxa"/>
          </w:tcPr>
          <w:p w14:paraId="03ED9A8D">
            <w:pPr>
              <w:rPr>
                <w:rFonts w:ascii="Microsoft Sans Serif" w:hAnsi="Microsoft Sans Serif" w:eastAsia="Calibri" w:cs="Microsoft Sans Serif"/>
                <w:lang w:val="bs-Latn-BA" w:eastAsia="en-US"/>
              </w:rPr>
            </w:pPr>
          </w:p>
        </w:tc>
        <w:tc>
          <w:tcPr>
            <w:tcW w:w="1159" w:type="dxa"/>
          </w:tcPr>
          <w:p w14:paraId="780BAF65">
            <w:pPr>
              <w:rPr>
                <w:rFonts w:ascii="Microsoft Sans Serif" w:hAnsi="Microsoft Sans Serif" w:eastAsia="Calibri" w:cs="Microsoft Sans Serif"/>
                <w:lang w:val="bs-Latn-BA" w:eastAsia="en-US"/>
              </w:rPr>
            </w:pPr>
          </w:p>
        </w:tc>
        <w:tc>
          <w:tcPr>
            <w:tcW w:w="1161" w:type="dxa"/>
          </w:tcPr>
          <w:p w14:paraId="57143A39">
            <w:pPr>
              <w:rPr>
                <w:rFonts w:ascii="Microsoft Sans Serif" w:hAnsi="Microsoft Sans Serif" w:eastAsia="Calibri" w:cs="Microsoft Sans Serif"/>
                <w:lang w:val="bs-Latn-BA" w:eastAsia="en-US"/>
              </w:rPr>
            </w:pPr>
          </w:p>
        </w:tc>
      </w:tr>
      <w:tr w14:paraId="78DF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60B9DE9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manične epizode</w:t>
            </w:r>
          </w:p>
        </w:tc>
        <w:tc>
          <w:tcPr>
            <w:tcW w:w="1182" w:type="dxa"/>
          </w:tcPr>
          <w:p w14:paraId="44412A4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0,70</w:t>
            </w:r>
          </w:p>
        </w:tc>
        <w:tc>
          <w:tcPr>
            <w:tcW w:w="1159" w:type="dxa"/>
          </w:tcPr>
          <w:p w14:paraId="71A509B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0,86</w:t>
            </w:r>
          </w:p>
        </w:tc>
        <w:tc>
          <w:tcPr>
            <w:tcW w:w="1161" w:type="dxa"/>
          </w:tcPr>
          <w:p w14:paraId="4EEDB5B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0,67</w:t>
            </w:r>
          </w:p>
        </w:tc>
        <w:tc>
          <w:tcPr>
            <w:tcW w:w="1182" w:type="dxa"/>
          </w:tcPr>
          <w:p w14:paraId="0ED6B65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0,53</w:t>
            </w:r>
          </w:p>
        </w:tc>
        <w:tc>
          <w:tcPr>
            <w:tcW w:w="1159" w:type="dxa"/>
          </w:tcPr>
          <w:p w14:paraId="720532F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0,64</w:t>
            </w:r>
          </w:p>
        </w:tc>
        <w:tc>
          <w:tcPr>
            <w:tcW w:w="1161" w:type="dxa"/>
          </w:tcPr>
          <w:p w14:paraId="6A21FAC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0,37</w:t>
            </w:r>
          </w:p>
        </w:tc>
      </w:tr>
      <w:tr w14:paraId="1EF2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21D5668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270B0A3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0,339</w:t>
            </w:r>
          </w:p>
        </w:tc>
        <w:tc>
          <w:tcPr>
            <w:tcW w:w="1159" w:type="dxa"/>
          </w:tcPr>
          <w:p w14:paraId="3C4A905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0,026</w:t>
            </w:r>
          </w:p>
        </w:tc>
        <w:tc>
          <w:tcPr>
            <w:tcW w:w="1161" w:type="dxa"/>
          </w:tcPr>
          <w:p w14:paraId="1EE5937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65775C3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0,280</w:t>
            </w:r>
          </w:p>
        </w:tc>
        <w:tc>
          <w:tcPr>
            <w:tcW w:w="1159" w:type="dxa"/>
          </w:tcPr>
          <w:p w14:paraId="155C312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7710C4B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bl>
    <w:p w14:paraId="31E9D07F">
      <w:pPr>
        <w:rPr>
          <w:rFonts w:ascii="Microsoft Sans Serif" w:hAnsi="Microsoft Sans Serif" w:eastAsia="Calibri" w:cs="Microsoft Sans Serif"/>
          <w:lang w:val="bs-Latn-BA" w:eastAsia="en-US"/>
        </w:rPr>
      </w:pPr>
    </w:p>
    <w:p w14:paraId="2483D4F0">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U suportivnoj analizi vremena do pojave prve epizode depresije i vremena do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kod pacijenata tretiranih lamotriginom dolazilo je nakon</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značajno dužeg vremena u odnosu na placebo, dok </w:t>
      </w:r>
      <w:r>
        <w:rPr>
          <w:rFonts w:ascii="Microsoft Sans Serif" w:hAnsi="Microsoft Sans Serif" w:cs="Microsoft Sans Serif"/>
          <w:lang w:val="sr-Latn-RS" w:eastAsia="mk-MK"/>
        </w:rPr>
        <w:t xml:space="preserve">razlika </w:t>
      </w:r>
      <w:r>
        <w:rPr>
          <w:rFonts w:ascii="Microsoft Sans Serif" w:hAnsi="Microsoft Sans Serif" w:cs="Microsoft Sans Serif"/>
          <w:lang w:val="mk-MK" w:eastAsia="mk-MK"/>
        </w:rPr>
        <w:t>u liječenju s obzirom na vrijeme do</w:t>
      </w:r>
    </w:p>
    <w:p w14:paraId="4886467D">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nije bil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statistički značajn</w:t>
      </w:r>
      <w:r>
        <w:rPr>
          <w:rFonts w:ascii="Microsoft Sans Serif" w:hAnsi="Microsoft Sans Serif" w:cs="Microsoft Sans Serif"/>
          <w:lang w:val="sr-Latn-RS" w:eastAsia="mk-MK"/>
        </w:rPr>
        <w:t>a</w:t>
      </w:r>
      <w:r>
        <w:rPr>
          <w:rFonts w:ascii="Microsoft Sans Serif" w:hAnsi="Microsoft Sans Serif" w:cs="Microsoft Sans Serif"/>
          <w:lang w:val="mk-MK" w:eastAsia="mk-MK"/>
        </w:rPr>
        <w:t>.</w:t>
      </w:r>
    </w:p>
    <w:p w14:paraId="2F6E36E9">
      <w:pPr>
        <w:jc w:val="both"/>
        <w:rPr>
          <w:rFonts w:ascii="Microsoft Sans Serif" w:hAnsi="Microsoft Sans Serif" w:cs="Microsoft Sans Serif"/>
          <w:lang w:val="bs-Latn-BA"/>
        </w:rPr>
      </w:pPr>
    </w:p>
    <w:p w14:paraId="119E561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Efikasnost lamotrigina u kombinaciji sa stabilizatorima raspoloženja nije adekvatno ispitana.</w:t>
      </w:r>
    </w:p>
    <w:p w14:paraId="3AE65A5B">
      <w:pPr>
        <w:autoSpaceDE w:val="0"/>
        <w:autoSpaceDN w:val="0"/>
        <w:adjustRightInd w:val="0"/>
        <w:jc w:val="both"/>
        <w:rPr>
          <w:rFonts w:ascii="Microsoft Sans Serif" w:hAnsi="Microsoft Sans Serif" w:eastAsia="Calibri" w:cs="Microsoft Sans Serif"/>
          <w:lang w:val="bs-Latn-BA" w:eastAsia="en-US"/>
        </w:rPr>
      </w:pPr>
    </w:p>
    <w:p w14:paraId="6AF4F0FF">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Pedijatrijska populacija</w:t>
      </w:r>
    </w:p>
    <w:p w14:paraId="57E716E6">
      <w:pPr>
        <w:autoSpaceDE w:val="0"/>
        <w:autoSpaceDN w:val="0"/>
        <w:adjustRightInd w:val="0"/>
        <w:jc w:val="both"/>
        <w:rPr>
          <w:rFonts w:ascii="Microsoft Sans Serif" w:hAnsi="Microsoft Sans Serif" w:eastAsia="Calibri" w:cs="Microsoft Sans Serif"/>
          <w:lang w:val="bs-Latn-BA" w:eastAsia="en-US"/>
        </w:rPr>
      </w:pPr>
    </w:p>
    <w:p w14:paraId="458CB77F">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Djeca uzrasta od mjesec dana do 24 mjeseca</w:t>
      </w:r>
    </w:p>
    <w:p w14:paraId="65DA5432">
      <w:pPr>
        <w:jc w:val="both"/>
        <w:rPr>
          <w:rFonts w:ascii="Microsoft Sans Serif" w:hAnsi="Microsoft Sans Serif" w:cs="Microsoft Sans Serif"/>
        </w:rPr>
      </w:pPr>
    </w:p>
    <w:p w14:paraId="70E34EF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Efikasnost i bezbjednost dopunske terapije parcijalnih napada kod pacijenata uzrasta od mjesec dana do 24 mjeseca procjenjivane su u maloj dvostruko slijepoj placebom kontrolisanoj studiji prekida liječenja. Liječenje je počelo kod 177 ispitanika, sa rasporedom titriranja doze sličnim kao kod djece uzrasta od dvije godine do 12 godina. Lamotrigin od 2 mg tablete je bila najniža jačina lijeka na raspolaganju, dakle raspored standardnog doziranja je adaptiran u nekim slučajevima tokom faze titracije (na primjer, primjena 2 mg tableta svaki drugi dan kada je potrebna doza bila manja od 2 mg). Koncentracija lamotrigina u serumu određivana je na kraju druge sedmice titracije i sljedeća doza je smanjivana ili nije povećavana ukoliko je koncentracija premašila 0,41 </w:t>
      </w:r>
      <w:r>
        <w:rPr>
          <w:rFonts w:ascii="Microsoft Sans Serif" w:hAnsi="Microsoft Sans Serif" w:cs="Microsoft Sans Serif"/>
          <w:lang w:val="bs-Latn-BA"/>
        </w:rPr>
        <w:t xml:space="preserve">µg/ml, </w:t>
      </w:r>
      <w:r>
        <w:rPr>
          <w:rFonts w:ascii="Microsoft Sans Serif" w:hAnsi="Microsoft Sans Serif" w:eastAsia="Calibri" w:cs="Microsoft Sans Serif"/>
          <w:lang w:val="bs-Latn-BA" w:eastAsia="en-US"/>
        </w:rPr>
        <w:t>očekivane koncentracije odraslih u tom trenutku. Kod nekih pacijenata doza je bila smanjena čak 90% na kraju druge sedmice. Trideset osam pacijenata koji su odgovorili na terapiju (&gt; 40% smanjenje učestalosti napada) zatim su randomizovani u dvije grupe od kojih je jedna primala placebo, a druga nastavila primjenu lamotrigina. Procent ispitanika sa neuspješnim liječenjem  je bio 84% (16/19 ispitanika) u grupi koja je dobijala placebo i 58% (11/19 ispitanika) u grupi koja je dobijala lamotrigin. Razlika nije bila statistički značajna: 26,3%, CI95% -2,6% &lt; &gt; 50,2%, p = 0,07.</w:t>
      </w:r>
    </w:p>
    <w:p w14:paraId="2CDBFDF7">
      <w:pPr>
        <w:jc w:val="both"/>
        <w:rPr>
          <w:rFonts w:ascii="Microsoft Sans Serif" w:hAnsi="Microsoft Sans Serif" w:eastAsia="Calibri" w:cs="Microsoft Sans Serif"/>
          <w:lang w:val="bs-Latn-BA" w:eastAsia="en-US"/>
        </w:rPr>
      </w:pPr>
    </w:p>
    <w:p w14:paraId="7BF49483">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Ukupno 256 ispitanika uzrasta od mjesec dana do 24 mjeseca primali su lamotrigin u rasponu doza od 1 mg/kg/dan do 15 mg/kg/dan tokom 72 sedmice. Profil bezbjednosti lamotrigina kod djece uzrasta od mjesec dana do dvije godine bio je sličan onom kod starije djece, osim što je klinički značajno pogoršanje konvulzija (&gt; = 50%) primijećeno češće kod djece mlađe od dvije godine (26%), u odnosu na stariju djecu (14%).</w:t>
      </w:r>
    </w:p>
    <w:p w14:paraId="5199144A">
      <w:pPr>
        <w:jc w:val="both"/>
        <w:rPr>
          <w:rFonts w:ascii="Microsoft Sans Serif" w:hAnsi="Microsoft Sans Serif" w:cs="Microsoft Sans Serif"/>
          <w:lang w:val="bs-Latn-BA"/>
        </w:rPr>
      </w:pPr>
    </w:p>
    <w:p w14:paraId="21FE8141">
      <w:pPr>
        <w:jc w:val="both"/>
        <w:rPr>
          <w:rFonts w:ascii="Microsoft Sans Serif" w:hAnsi="Microsoft Sans Serif" w:cs="Microsoft Sans Serif"/>
          <w:i/>
          <w:lang w:val="bs-Latn-BA"/>
        </w:rPr>
      </w:pPr>
      <w:r>
        <w:rPr>
          <w:rFonts w:ascii="Microsoft Sans Serif" w:hAnsi="Microsoft Sans Serif" w:cs="Microsoft Sans Serif"/>
          <w:i/>
          <w:lang w:val="bs-Latn-BA"/>
        </w:rPr>
        <w:t>Lenoks–Gastautovog sindroma</w:t>
      </w:r>
    </w:p>
    <w:p w14:paraId="6CF874F5">
      <w:pPr>
        <w:jc w:val="both"/>
        <w:rPr>
          <w:rFonts w:ascii="Microsoft Sans Serif" w:hAnsi="Microsoft Sans Serif" w:cs="Microsoft Sans Serif"/>
          <w:lang w:val="bs-Latn-BA"/>
        </w:rPr>
      </w:pPr>
      <w:r>
        <w:rPr>
          <w:rFonts w:ascii="Microsoft Sans Serif" w:hAnsi="Microsoft Sans Serif" w:cs="Microsoft Sans Serif"/>
          <w:lang w:val="bs-Latn-BA"/>
        </w:rPr>
        <w:t>Nema podataka za monoterapiju kod napada povezanih sa Lenoks–Gastautovim sindromom.</w:t>
      </w:r>
    </w:p>
    <w:p w14:paraId="51FDC43D">
      <w:pPr>
        <w:jc w:val="both"/>
        <w:rPr>
          <w:rFonts w:ascii="Microsoft Sans Serif" w:hAnsi="Microsoft Sans Serif" w:cs="Microsoft Sans Serif"/>
          <w:lang w:val="bs-Latn-BA"/>
        </w:rPr>
      </w:pPr>
    </w:p>
    <w:p w14:paraId="4D584FA6">
      <w:pPr>
        <w:autoSpaceDE w:val="0"/>
        <w:autoSpaceDN w:val="0"/>
        <w:adjustRightInd w:val="0"/>
        <w:jc w:val="both"/>
        <w:rPr>
          <w:rFonts w:ascii="Microsoft Sans Serif" w:hAnsi="Microsoft Sans Serif" w:cs="Microsoft Sans Serif"/>
          <w:i/>
          <w:iCs/>
          <w:lang w:val="mk-MK" w:eastAsia="mk-MK"/>
        </w:rPr>
      </w:pPr>
      <w:r>
        <w:rPr>
          <w:rFonts w:ascii="Microsoft Sans Serif" w:hAnsi="Microsoft Sans Serif" w:cs="Microsoft Sans Serif"/>
          <w:i/>
          <w:iCs/>
          <w:lang w:eastAsia="mk-MK"/>
        </w:rPr>
        <w:t xml:space="preserve">Prevencija poremećaja raspoloženja kod djece </w:t>
      </w:r>
      <w:r>
        <w:rPr>
          <w:rFonts w:ascii="Microsoft Sans Serif" w:hAnsi="Microsoft Sans Serif" w:cs="Microsoft Sans Serif"/>
          <w:i/>
          <w:iCs/>
          <w:lang w:val="sr-Latn-RS" w:eastAsia="mk-MK"/>
        </w:rPr>
        <w:t>(</w:t>
      </w:r>
      <w:r>
        <w:rPr>
          <w:rFonts w:ascii="Microsoft Sans Serif" w:hAnsi="Microsoft Sans Serif" w:cs="Microsoft Sans Serif"/>
          <w:i/>
          <w:iCs/>
          <w:lang w:eastAsia="mk-MK"/>
        </w:rPr>
        <w:t xml:space="preserve">od </w:t>
      </w:r>
      <w:r>
        <w:rPr>
          <w:rFonts w:ascii="Microsoft Sans Serif" w:hAnsi="Microsoft Sans Serif" w:cs="Microsoft Sans Serif"/>
          <w:i/>
          <w:iCs/>
          <w:lang w:val="mk-MK" w:eastAsia="mk-MK"/>
        </w:rPr>
        <w:t>10-12 godina starosti</w:t>
      </w:r>
      <w:r>
        <w:rPr>
          <w:rFonts w:ascii="Microsoft Sans Serif" w:hAnsi="Microsoft Sans Serif" w:cs="Microsoft Sans Serif"/>
          <w:i/>
          <w:iCs/>
          <w:lang w:val="sr-Latn-RS" w:eastAsia="mk-MK"/>
        </w:rPr>
        <w:t>)</w:t>
      </w:r>
      <w:r>
        <w:rPr>
          <w:rFonts w:ascii="Microsoft Sans Serif" w:hAnsi="Microsoft Sans Serif" w:cs="Microsoft Sans Serif"/>
          <w:i/>
          <w:iCs/>
          <w:lang w:val="mk-MK" w:eastAsia="mk-MK"/>
        </w:rPr>
        <w:t xml:space="preserve"> i adolescent</w:t>
      </w:r>
      <w:r>
        <w:rPr>
          <w:rFonts w:ascii="Microsoft Sans Serif" w:hAnsi="Microsoft Sans Serif" w:cs="Microsoft Sans Serif"/>
          <w:i/>
          <w:iCs/>
          <w:lang w:val="sr-Latn-RS" w:eastAsia="mk-MK"/>
        </w:rPr>
        <w:t xml:space="preserve">a </w:t>
      </w:r>
      <w:r>
        <w:rPr>
          <w:rFonts w:ascii="Microsoft Sans Serif" w:hAnsi="Microsoft Sans Serif" w:cs="Microsoft Sans Serif"/>
          <w:i/>
          <w:iCs/>
          <w:lang w:val="mk-MK" w:eastAsia="mk-MK"/>
        </w:rPr>
        <w:t>(</w:t>
      </w:r>
      <w:r>
        <w:rPr>
          <w:rFonts w:ascii="Microsoft Sans Serif" w:hAnsi="Microsoft Sans Serif" w:cs="Microsoft Sans Serif"/>
          <w:i/>
          <w:iCs/>
          <w:lang w:val="sr-Latn-RS" w:eastAsia="mk-MK"/>
        </w:rPr>
        <w:t xml:space="preserve">od </w:t>
      </w:r>
      <w:r>
        <w:rPr>
          <w:rFonts w:ascii="Microsoft Sans Serif" w:hAnsi="Microsoft Sans Serif" w:cs="Microsoft Sans Serif"/>
          <w:i/>
          <w:iCs/>
          <w:lang w:val="mk-MK" w:eastAsia="mk-MK"/>
        </w:rPr>
        <w:t>13-17 godina starosti)</w:t>
      </w:r>
    </w:p>
    <w:p w14:paraId="280318CE">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U multicentričnoj, paralelnoj, placebo kontrolisanoj, dvostruko slijepoj, randomizovanoj studiji </w:t>
      </w:r>
      <w:r>
        <w:rPr>
          <w:rFonts w:ascii="Microsoft Sans Serif" w:hAnsi="Microsoft Sans Serif" w:cs="Microsoft Sans Serif"/>
          <w:lang w:eastAsia="mk-MK"/>
        </w:rPr>
        <w:t>o</w:t>
      </w:r>
      <w:r>
        <w:rPr>
          <w:rFonts w:ascii="Microsoft Sans Serif" w:hAnsi="Microsoft Sans Serif" w:cs="Microsoft Sans Serif"/>
          <w:lang w:val="mk-MK" w:eastAsia="mk-MK"/>
        </w:rPr>
        <w:t>bustave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lijeka određivani su efikasnost i bezbjednost lamotrigina IR (sa trenutnim oslobađanjem) kao dodatne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terapije</w:t>
      </w:r>
      <w:r>
        <w:rPr>
          <w:rFonts w:ascii="Microsoft Sans Serif" w:hAnsi="Microsoft Sans Serif" w:cs="Microsoft Sans Serif"/>
          <w:lang w:val="hr-BA" w:eastAsia="mk-MK"/>
        </w:rPr>
        <w:t xml:space="preserve"> održavanja</w:t>
      </w:r>
      <w:r>
        <w:rPr>
          <w:rFonts w:ascii="Microsoft Sans Serif" w:hAnsi="Microsoft Sans Serif" w:cs="Microsoft Sans Serif"/>
          <w:lang w:val="mk-MK" w:eastAsia="mk-MK"/>
        </w:rPr>
        <w:t xml:space="preserve"> u odlaganju poremećaja raspoloženja kod djece i adolescenata (10-17 godina starosti) oba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pola koji su imali dijagnozu bipolarnog poremećaja</w:t>
      </w:r>
      <w:r>
        <w:rPr>
          <w:rFonts w:ascii="Microsoft Sans Serif" w:hAnsi="Microsoft Sans Serif" w:cs="Microsoft Sans Serif"/>
          <w:lang w:val="hr-BA" w:eastAsia="mk-MK"/>
        </w:rPr>
        <w:t xml:space="preserve"> tipa I</w:t>
      </w:r>
      <w:r>
        <w:rPr>
          <w:rFonts w:ascii="Microsoft Sans Serif" w:hAnsi="Microsoft Sans Serif" w:cs="Microsoft Sans Serif"/>
          <w:lang w:val="mk-MK" w:eastAsia="mk-MK"/>
        </w:rPr>
        <w:t xml:space="preserve"> i koji su se izliječili ili im se stanje poboljšalo od</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bipolarne epizode istovremenom primjenom lamotrigina u kombinacijama sa antipsihoticima ili drugim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lijekovima za stabilizaciju ponašanja. Rezultati analize primarne efikasnosti (vrijeme do pojave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bipolarnog događaja</w:t>
      </w:r>
      <w:r>
        <w:rPr>
          <w:rFonts w:ascii="Microsoft Sans Serif" w:hAnsi="Microsoft Sans Serif" w:cs="Microsoft Sans Serif"/>
          <w:lang w:eastAsia="mk-MK"/>
        </w:rPr>
        <w:t xml:space="preserve"> - TOBE</w:t>
      </w:r>
      <w:r>
        <w:rPr>
          <w:rFonts w:ascii="Microsoft Sans Serif" w:hAnsi="Microsoft Sans Serif" w:cs="Microsoft Sans Serif"/>
          <w:lang w:val="mk-MK" w:eastAsia="mk-MK"/>
        </w:rPr>
        <w:t>) nisu dostigli statističku značajnost (p=0,0717), zbog čega efikasnost nije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dokazana. Pored toga, rezultati ispitivanja bezbjednosti su pokazali povećani broj prijava suicidnog</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ponašanja kod pacijenata koji su liječeni lamotriginom: 5% (4 pacijenta) koji su dobijali lamotrigin 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poređenju sa 0 u grupi </w:t>
      </w:r>
      <w:r>
        <w:rPr>
          <w:rFonts w:ascii="Microsoft Sans Serif" w:hAnsi="Microsoft Sans Serif" w:cs="Microsoft Sans Serif"/>
          <w:lang w:val="hr-BA" w:eastAsia="mk-MK"/>
        </w:rPr>
        <w:t>pacijenata koji su dobijali</w:t>
      </w:r>
      <w:r>
        <w:rPr>
          <w:rFonts w:ascii="Microsoft Sans Serif" w:hAnsi="Microsoft Sans Serif" w:cs="Microsoft Sans Serif"/>
          <w:lang w:val="mk-MK" w:eastAsia="mk-MK"/>
        </w:rPr>
        <w:t xml:space="preserve"> placebo (</w:t>
      </w:r>
      <w:r>
        <w:rPr>
          <w:rFonts w:ascii="Microsoft Sans Serif" w:hAnsi="Microsoft Sans Serif" w:cs="Microsoft Sans Serif"/>
          <w:iCs/>
          <w:lang w:eastAsia="mk-MK"/>
        </w:rPr>
        <w:t>pogledati dio</w:t>
      </w:r>
      <w:r>
        <w:rPr>
          <w:rFonts w:ascii="Microsoft Sans Serif" w:hAnsi="Microsoft Sans Serif" w:cs="Microsoft Sans Serif"/>
          <w:iCs/>
          <w:lang w:val="mk-MK" w:eastAsia="mk-MK"/>
        </w:rPr>
        <w:t xml:space="preserve"> 4.2</w:t>
      </w:r>
      <w:r>
        <w:rPr>
          <w:rFonts w:ascii="Microsoft Sans Serif" w:hAnsi="Microsoft Sans Serif" w:cs="Microsoft Sans Serif"/>
          <w:lang w:val="mk-MK" w:eastAsia="mk-MK"/>
        </w:rPr>
        <w:t>).</w:t>
      </w:r>
    </w:p>
    <w:p w14:paraId="736B9944">
      <w:pPr>
        <w:autoSpaceDE w:val="0"/>
        <w:autoSpaceDN w:val="0"/>
        <w:adjustRightInd w:val="0"/>
        <w:jc w:val="both"/>
        <w:rPr>
          <w:rFonts w:ascii="Microsoft Sans Serif" w:hAnsi="Microsoft Sans Serif" w:eastAsia="Calibri" w:cs="Microsoft Sans Serif"/>
          <w:u w:val="single"/>
          <w:lang w:val="bs-Latn-BA" w:eastAsia="en-US"/>
        </w:rPr>
      </w:pPr>
    </w:p>
    <w:p w14:paraId="271F1B9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3E88EEBD">
      <w:pPr>
        <w:jc w:val="both"/>
        <w:rPr>
          <w:rFonts w:ascii="Microsoft Sans Serif" w:hAnsi="Microsoft Sans Serif" w:cs="Microsoft Sans Serif"/>
          <w:lang w:val="bs-Latn-BA"/>
        </w:rPr>
      </w:pPr>
    </w:p>
    <w:p w14:paraId="1CBF1264">
      <w:pPr>
        <w:rPr>
          <w:rFonts w:ascii="Microsoft Sans Serif" w:hAnsi="Microsoft Sans Serif" w:cs="Microsoft Sans Serif"/>
          <w:u w:val="single"/>
          <w:lang w:val="bs-Latn-BA"/>
        </w:rPr>
      </w:pPr>
      <w:r>
        <w:rPr>
          <w:rFonts w:ascii="Microsoft Sans Serif" w:hAnsi="Microsoft Sans Serif" w:cs="Microsoft Sans Serif"/>
          <w:u w:val="single"/>
          <w:lang w:val="bs-Latn-BA"/>
        </w:rPr>
        <w:t>Apsorpcija</w:t>
      </w:r>
    </w:p>
    <w:p w14:paraId="6893175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se brzo i potpuno apsorbuje iz crijeva bez značajnog metabolizma prvog prolaza. Maksimalne koncentracije u plazmi pojavljuju oko 2,5 sati nakon oralne primjene lamotrigina. Vrijeme do postizanja maksimalne koncentracije je malo produženo nakon jela, ali opseg apsorpcije je nepromijenjen. Postoji značajna inter-individualna varijacija najviših koncentracija pri stanju dinamičke ravnože, ali kod pojedinca koncentracije rijetko variraju.</w:t>
      </w:r>
    </w:p>
    <w:p w14:paraId="79BD7598">
      <w:pPr>
        <w:jc w:val="both"/>
        <w:rPr>
          <w:rFonts w:ascii="Microsoft Sans Serif" w:hAnsi="Microsoft Sans Serif" w:cs="Microsoft Sans Serif"/>
          <w:lang w:val="bs-Latn-BA"/>
        </w:rPr>
      </w:pPr>
    </w:p>
    <w:p w14:paraId="4BF90EE0">
      <w:pPr>
        <w:rPr>
          <w:rFonts w:ascii="Microsoft Sans Serif" w:hAnsi="Microsoft Sans Serif" w:cs="Microsoft Sans Serif"/>
          <w:u w:val="single"/>
          <w:lang w:val="bs-Latn-BA"/>
        </w:rPr>
      </w:pPr>
      <w:r>
        <w:rPr>
          <w:rFonts w:ascii="Microsoft Sans Serif" w:hAnsi="Microsoft Sans Serif" w:cs="Microsoft Sans Serif"/>
          <w:u w:val="single"/>
          <w:lang w:val="bs-Latn-BA"/>
        </w:rPr>
        <w:t>Distribucija</w:t>
      </w:r>
    </w:p>
    <w:p w14:paraId="49F0DF1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Vezivanje za proteine ​​plazme je oko 55%; oslobađanje aktivne supstance od proteina ​​plazme najverovatnije neće rezultirati pojavom toksičnosti.</w:t>
      </w:r>
    </w:p>
    <w:p w14:paraId="61864E5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Volumen distribucije je 0,92 l/kg do 1,22 l/kg.</w:t>
      </w:r>
    </w:p>
    <w:p w14:paraId="18182F64">
      <w:pPr>
        <w:pStyle w:val="29"/>
        <w:spacing w:line="240" w:lineRule="auto"/>
        <w:ind w:left="0"/>
        <w:jc w:val="left"/>
        <w:rPr>
          <w:rFonts w:ascii="Microsoft Sans Serif" w:hAnsi="Microsoft Sans Serif" w:cs="Microsoft Sans Serif"/>
          <w:sz w:val="20"/>
          <w:lang w:val="bs-Latn-BA"/>
        </w:rPr>
      </w:pPr>
    </w:p>
    <w:p w14:paraId="1056E955">
      <w:pPr>
        <w:rPr>
          <w:rFonts w:ascii="Microsoft Sans Serif" w:hAnsi="Microsoft Sans Serif" w:cs="Microsoft Sans Serif"/>
          <w:u w:val="single"/>
          <w:lang w:val="bs-Latn-BA"/>
        </w:rPr>
      </w:pPr>
      <w:r>
        <w:rPr>
          <w:rFonts w:ascii="Microsoft Sans Serif" w:hAnsi="Microsoft Sans Serif" w:cs="Microsoft Sans Serif"/>
          <w:u w:val="single"/>
          <w:lang w:val="bs-Latn-BA"/>
        </w:rPr>
        <w:t>Biotransformacija</w:t>
      </w:r>
    </w:p>
    <w:p w14:paraId="3F8AB3A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UDP-glukuronil transferaze su identifikovani kao enzimi odgovorni za metabolizam lamotrigina.</w:t>
      </w:r>
    </w:p>
    <w:p w14:paraId="4FFC1EB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indukuje vlastiti metabolizam do skromne mjere, zavisno od doze. Međutim, nema dokaza da lamotrigin utiče na farmakokinetiku drugih antiepileptika i podaci ukazuju da se interakcija između lamotrigina i lijekova koji se metabolizuju putem citohroma P450 enzima vjerojatno neće dogoditi.</w:t>
      </w:r>
    </w:p>
    <w:p w14:paraId="5F75F780">
      <w:pPr>
        <w:rPr>
          <w:rFonts w:ascii="Microsoft Sans Serif" w:hAnsi="Microsoft Sans Serif" w:cs="Microsoft Sans Serif"/>
          <w:u w:val="single"/>
          <w:lang w:val="bs-Latn-BA"/>
        </w:rPr>
      </w:pPr>
    </w:p>
    <w:p w14:paraId="1410975E">
      <w:pPr>
        <w:rPr>
          <w:rFonts w:ascii="Microsoft Sans Serif" w:hAnsi="Microsoft Sans Serif" w:cs="Microsoft Sans Serif"/>
          <w:u w:val="single"/>
          <w:lang w:val="bs-Latn-BA"/>
        </w:rPr>
      </w:pPr>
      <w:r>
        <w:rPr>
          <w:rFonts w:ascii="Microsoft Sans Serif" w:hAnsi="Microsoft Sans Serif" w:cs="Microsoft Sans Serif"/>
          <w:u w:val="single"/>
          <w:lang w:val="bs-Latn-BA"/>
        </w:rPr>
        <w:t>Eliminacija</w:t>
      </w:r>
    </w:p>
    <w:p w14:paraId="0175A31D">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Klirens plazme kod zdravih ispitanika je oko 30 ml/min. Klirens lamotrigina je prvenstveno metabolički sa daljom eliminacijom glukuronid-konjugovanih materijala u urinu. Manje od 10% izlučuje se nepromijenjen u urinu, a samo oko 2% izlučuje se u stolici. Klirens i poluživot u plazmi ne zavise od doze. Poluživot u plazmi kod zdravih ispitanika procjenjuje se oko 33 sati (raspon 14 do 103 sati). U studiji ispitanika sa Gilbert sindromom, prosječan klirens je bio smanjen za 32% u uporedbi sa zdravim ispitanicima, ali su vrijednosti unutar raspon za širu populaciju.</w:t>
      </w:r>
    </w:p>
    <w:p w14:paraId="23135DDE">
      <w:pPr>
        <w:pStyle w:val="29"/>
        <w:spacing w:line="240" w:lineRule="auto"/>
        <w:ind w:left="0"/>
        <w:rPr>
          <w:rFonts w:ascii="Microsoft Sans Serif" w:hAnsi="Microsoft Sans Serif" w:cs="Microsoft Sans Serif"/>
          <w:sz w:val="20"/>
          <w:lang w:val="bs-Latn-BA"/>
        </w:rPr>
      </w:pPr>
    </w:p>
    <w:p w14:paraId="21AF9F2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može biti promijenjen prilikom istovremene primjene drugih lijekova.  Prosječan poluživot eliminacije je smanjen na oko 14 sati kada se daje sa lijekovima koji izazivaju glukuronidaciju, kao što su karbamazepin i fenitoin te je povećan na oko 70 sati kada se primjenjuje zajedno sa valproatom (pogledati dio 4.2).</w:t>
      </w:r>
    </w:p>
    <w:p w14:paraId="1777F3FD">
      <w:pPr>
        <w:autoSpaceDE w:val="0"/>
        <w:autoSpaceDN w:val="0"/>
        <w:adjustRightInd w:val="0"/>
        <w:jc w:val="both"/>
        <w:rPr>
          <w:rFonts w:ascii="Microsoft Sans Serif" w:hAnsi="Microsoft Sans Serif" w:eastAsia="Calibri" w:cs="Microsoft Sans Serif"/>
          <w:lang w:eastAsia="en-US"/>
        </w:rPr>
      </w:pPr>
    </w:p>
    <w:p w14:paraId="0BF6BE49">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Linearnost</w:t>
      </w:r>
    </w:p>
    <w:p w14:paraId="48E0506B">
      <w:pPr>
        <w:pStyle w:val="29"/>
        <w:spacing w:line="240" w:lineRule="auto"/>
        <w:ind w:left="0"/>
        <w:rPr>
          <w:rFonts w:ascii="Microsoft Sans Serif" w:hAnsi="Microsoft Sans Serif" w:cs="Microsoft Sans Serif"/>
          <w:sz w:val="20"/>
          <w:lang w:val="mk-MK" w:eastAsia="mk-MK"/>
        </w:rPr>
      </w:pPr>
      <w:r>
        <w:rPr>
          <w:rFonts w:ascii="Microsoft Sans Serif" w:hAnsi="Microsoft Sans Serif" w:cs="Microsoft Sans Serif"/>
          <w:sz w:val="20"/>
          <w:lang w:val="mk-MK" w:eastAsia="mk-MK"/>
        </w:rPr>
        <w:t>Farmakokinetika lamotrigina je linearna do 450 mg, što je bilo i najveća pojedinačna ispitana doza.</w:t>
      </w:r>
    </w:p>
    <w:p w14:paraId="0E7BE3A4">
      <w:pPr>
        <w:pStyle w:val="29"/>
        <w:spacing w:line="240" w:lineRule="auto"/>
        <w:ind w:left="0"/>
        <w:rPr>
          <w:rFonts w:ascii="Microsoft Sans Serif" w:hAnsi="Microsoft Sans Serif" w:cs="Microsoft Sans Serif"/>
          <w:sz w:val="20"/>
          <w:lang w:val="bs-Latn-BA"/>
        </w:rPr>
      </w:pPr>
    </w:p>
    <w:p w14:paraId="560AEDBD">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Posebne populacije pacijenata</w:t>
      </w:r>
    </w:p>
    <w:p w14:paraId="7D1FEE83">
      <w:pPr>
        <w:autoSpaceDE w:val="0"/>
        <w:autoSpaceDN w:val="0"/>
        <w:adjustRightInd w:val="0"/>
        <w:rPr>
          <w:rFonts w:ascii="Microsoft Sans Serif" w:hAnsi="Microsoft Sans Serif" w:eastAsia="Calibri" w:cs="Microsoft Sans Serif"/>
          <w:lang w:val="bs-Latn-BA" w:eastAsia="en-US"/>
        </w:rPr>
      </w:pPr>
    </w:p>
    <w:p w14:paraId="0177F287">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w:t>
      </w:r>
    </w:p>
    <w:p w14:paraId="65BE824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Klirens prilagođen tjelesnoj težini je veći kod djece, nego kod odraslih, sa najvišim vrijednostima kod djece mlađe od pet godina.</w:t>
      </w:r>
    </w:p>
    <w:p w14:paraId="2D95645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je generalno kraći kod djece nego kod odraslih, sa srednjom vrijednošću od oko sedam sati kada se daje sa lijekovima koji izazivaju glukuronidaciju, kao što su karbamazepin i fenitoin i povećava se do srijednje vrijednosti 45 do 50 sati kada se primjenjuje zajedno sa valproatom (pogledati dio 4.2).</w:t>
      </w:r>
    </w:p>
    <w:p w14:paraId="32D7ACAD">
      <w:pPr>
        <w:jc w:val="both"/>
        <w:rPr>
          <w:rFonts w:ascii="Microsoft Sans Serif" w:hAnsi="Microsoft Sans Serif" w:cs="Microsoft Sans Serif"/>
          <w:lang w:val="bs-Latn-BA"/>
        </w:rPr>
      </w:pPr>
    </w:p>
    <w:p w14:paraId="1904A0CA">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uzrasta od dva mjeseca do 26 mjeseci</w:t>
      </w:r>
    </w:p>
    <w:p w14:paraId="13CD5AD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izvedenoj na 143 pedijatrijska pacijenta uzrasta od dva mjeseca do 26 mjeseci, sa tjelesnom težinom od 3 kg do 16 kg, utvrđeno je da je klirens smanjen u odnosu na stariju djecu sa istom tjelesnom težinom i koja su primala slične oralne doze po kg tjelesne težine kao i djece starija od 2 godine. Utvrđeno je da se prosječni poluživot procjenjuje na 23 sata kod dojenčadi mlađih od 26 mjeseci sa istovremenom primjenom terapija enzimskih induktora, 136 sati kada se primjenjuje zajedno sa valproatom i 38 sati kod ispitanika tretiranih bez enzimskih induktora/inhibitora. Interindividualne razlike za oralni klirens u ovoj grupi pedijatrijskih pacijenata od dva mjeseca do 26 mjeseci bile su visoke (47%). Predviđene koncentracije u serumu kod djece od dva mjeseca do 26 mjeseci bile su generalno u istom rasponu kao kod starije djece, iako povišenje nivoa Cmax su vjerovatniji kod neke djece sa tjelesnom težinom manjom od 10 kg.</w:t>
      </w:r>
    </w:p>
    <w:p w14:paraId="16322E7C">
      <w:pPr>
        <w:autoSpaceDE w:val="0"/>
        <w:autoSpaceDN w:val="0"/>
        <w:adjustRightInd w:val="0"/>
        <w:rPr>
          <w:rFonts w:ascii="Microsoft Sans Serif" w:hAnsi="Microsoft Sans Serif" w:eastAsia="Calibri" w:cs="Microsoft Sans Serif"/>
          <w:lang w:val="bs-Latn-BA" w:eastAsia="en-US"/>
        </w:rPr>
      </w:pPr>
    </w:p>
    <w:p w14:paraId="0897A9E2">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w:t>
      </w:r>
    </w:p>
    <w:p w14:paraId="3AD71BB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Rezultati populacijske farmakokinetičke analize uključujući mlađe i starije pacijente s epilepsijom, iz iste studije, potvrđuju da klirens lamotrigina nije promijenjen u klinički relevantnoj mjeri. Nakon pojedinačne doze klirens je bio smanjen za 12% na 35 ml/min u dobi od 20 godina, do 31 ml/min u dobi od 70 godina. Nakon 48 sedmica liječenja smanjenje je bilo 10% (od 41 ml/min na 37 ml/min) između mlađih i starijih grupa. Osim toga, farmakokinetika lamotrigina ispitivana je kod 12 zdravih starijih lica nakon jedne doze od 150 mg. Prosječno klirens kod starijih lica (0,39 ml/min/kg) je bio u rasponu od srednje vrijednosti (0,31 ml/min/kg do 0,65 ml/min/kg) dobijenim u devet studija kod odraslih nakon pojedinačne doze od 30 mg do 450 mg.</w:t>
      </w:r>
    </w:p>
    <w:p w14:paraId="0D05AEEA">
      <w:pPr>
        <w:jc w:val="both"/>
        <w:rPr>
          <w:rFonts w:ascii="Microsoft Sans Serif" w:hAnsi="Microsoft Sans Serif" w:cs="Microsoft Sans Serif"/>
          <w:i/>
          <w:lang w:val="bs-Latn-BA"/>
        </w:rPr>
      </w:pPr>
    </w:p>
    <w:p w14:paraId="3E6E04D4">
      <w:pPr>
        <w:autoSpaceDE w:val="0"/>
        <w:autoSpaceDN w:val="0"/>
        <w:adjustRightInd w:val="0"/>
        <w:jc w:val="both"/>
        <w:rPr>
          <w:rFonts w:ascii="Microsoft Sans Serif" w:hAnsi="Microsoft Sans Serif" w:eastAsia="Calibri" w:cs="Microsoft Sans Serif"/>
          <w:i/>
          <w:u w:val="single"/>
          <w:lang w:val="bs-Latn-BA" w:eastAsia="en-US"/>
        </w:rPr>
      </w:pPr>
    </w:p>
    <w:p w14:paraId="45692F12">
      <w:pPr>
        <w:autoSpaceDE w:val="0"/>
        <w:autoSpaceDN w:val="0"/>
        <w:adjustRightInd w:val="0"/>
        <w:jc w:val="both"/>
        <w:rPr>
          <w:rFonts w:ascii="Microsoft Sans Serif" w:hAnsi="Microsoft Sans Serif" w:eastAsia="Calibri" w:cs="Microsoft Sans Serif"/>
          <w:i/>
          <w:u w:val="single"/>
          <w:lang w:val="bs-Latn-BA" w:eastAsia="en-US"/>
        </w:rPr>
      </w:pPr>
    </w:p>
    <w:p w14:paraId="60D99D80">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54ED5F55">
      <w:pPr>
        <w:autoSpaceDE w:val="0"/>
        <w:autoSpaceDN w:val="0"/>
        <w:adjustRightInd w:val="0"/>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Dvanaest dobrovoljaca sa hroničnim zatajenjem bubrega, i još šest lica podvrgnutih dijalizi dobili su pojedinačnu dozu od 100 mg lamotrigina. Klirens je 0,42 ml/min/kg (hronično zatajenje bubrega), 0,33 ml/min/kg (između hemodijaliza) i 1,57 ml/min/kg (tokom hemodijalize), u poređenjui sa 0,58 ml/min/kg kod zdravih dobrovoljaca. Srednji poluživot u plazmi je 42,9 sati (hronično zatajenje bubrega), 57,4 sati (između hemodijaliza) i 13 sati (tokom hemodijalize), u poređenju sa 26,2 sati kod zdravih dobrovoljaca. U prosjeku oko 20% (raspon = 5,6 do 35,1) količine lamotrigina prisutne u tijelu eliminisane su tokom četvorosatne hemodijalize. Za ovu populaciju pacijenata, početne doze lamotrigina treba da se zasnivaju na istovremeno primjenjenim drugim lijekovima </w:t>
      </w:r>
      <w:r>
        <w:rPr>
          <w:rFonts w:ascii="Microsoft Sans Serif" w:hAnsi="Microsoft Sans Serif" w:cs="Microsoft Sans Serif"/>
        </w:rPr>
        <w:t xml:space="preserve">; </w:t>
      </w:r>
      <w:r>
        <w:rPr>
          <w:rFonts w:ascii="Microsoft Sans Serif" w:hAnsi="Microsoft Sans Serif" w:cs="Microsoft Sans Serif"/>
          <w:lang w:val="mk-MK" w:eastAsia="mk-MK"/>
        </w:rPr>
        <w:t>smanjene doze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održavanja mogu da budu efikasne kod pacijenata sa značajno oštećenom funkcijom bubrega (</w:t>
      </w:r>
      <w:r>
        <w:rPr>
          <w:rFonts w:ascii="Microsoft Sans Serif" w:hAnsi="Microsoft Sans Serif" w:cs="Microsoft Sans Serif"/>
          <w:iCs/>
          <w:lang w:eastAsia="mk-MK"/>
        </w:rPr>
        <w:t xml:space="preserve">pogledati dijelove </w:t>
      </w:r>
      <w:r>
        <w:rPr>
          <w:rFonts w:ascii="Microsoft Sans Serif" w:hAnsi="Microsoft Sans Serif" w:cs="Microsoft Sans Serif"/>
          <w:iCs/>
          <w:lang w:val="mk-MK" w:eastAsia="mk-MK"/>
        </w:rPr>
        <w:t>4.2 i 4.4</w:t>
      </w:r>
      <w:r>
        <w:rPr>
          <w:rFonts w:ascii="Microsoft Sans Serif" w:hAnsi="Microsoft Sans Serif" w:cs="Microsoft Sans Serif"/>
          <w:lang w:val="mk-MK" w:eastAsia="mk-MK"/>
        </w:rPr>
        <w:t>).</w:t>
      </w:r>
    </w:p>
    <w:p w14:paraId="3DDE5ABE">
      <w:pPr>
        <w:jc w:val="both"/>
        <w:rPr>
          <w:rFonts w:ascii="Microsoft Sans Serif" w:hAnsi="Microsoft Sans Serif" w:cs="Microsoft Sans Serif"/>
          <w:u w:val="single"/>
          <w:lang w:val="bs-Latn-BA"/>
        </w:rPr>
      </w:pPr>
    </w:p>
    <w:p w14:paraId="0606AE74">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1FBFEF5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Farmakokinetička studija pojedinačne doze lamotrigina sprovedena je na 24 ispitanika sa različitim stepenima oštećenja funkcije jetre i na 12 zdravih kontrolnih ispitanika. Srednji klirens lamotrigina bio je 0,31 ml/min/kg, 0,24 ml/min/kg ili 0,10 ml/min/kg kod pacijenata s ocjenom A, B ili C (Child-Pugh klasifikacija) oštećenje funkcije jetre,  u poređenju sa 0,34 ml/min/kg kod zdravih ispitanika. Početne doze, povišenje doze i doze održavanja uopšteno se moraju sniziti kod pacijenata s umjerenim ili teškim oštećenjem jetre  (pogledati dio 4.2).</w:t>
      </w:r>
    </w:p>
    <w:p w14:paraId="7B64E2A5">
      <w:pPr>
        <w:jc w:val="both"/>
        <w:rPr>
          <w:rFonts w:ascii="Microsoft Sans Serif" w:hAnsi="Microsoft Sans Serif" w:cs="Microsoft Sans Serif"/>
          <w:lang w:val="bs-Latn-BA"/>
        </w:rPr>
      </w:pPr>
    </w:p>
    <w:p w14:paraId="76943705">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4A3A61F6">
      <w:pPr>
        <w:jc w:val="both"/>
        <w:rPr>
          <w:rFonts w:ascii="Microsoft Sans Serif" w:hAnsi="Microsoft Sans Serif" w:cs="Microsoft Sans Serif"/>
          <w:lang w:val="bs-Latn-BA"/>
        </w:rPr>
      </w:pPr>
    </w:p>
    <w:p w14:paraId="6647D75E">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bezbednosti lijeka, toksičnosti ponavljanih doza, genotoksičnosti i kancerogenosti nisu pokazali druge specifične rizike za ljude.</w:t>
      </w:r>
    </w:p>
    <w:p w14:paraId="18689F6E">
      <w:pPr>
        <w:jc w:val="both"/>
        <w:rPr>
          <w:rFonts w:ascii="Microsoft Sans Serif" w:hAnsi="Microsoft Sans Serif" w:cs="Microsoft Sans Serif"/>
          <w:lang w:val="bs-Latn-BA"/>
        </w:rPr>
      </w:pPr>
    </w:p>
    <w:p w14:paraId="7023873E">
      <w:pPr>
        <w:jc w:val="both"/>
        <w:rPr>
          <w:rFonts w:ascii="Microsoft Sans Serif" w:hAnsi="Microsoft Sans Serif" w:cs="Microsoft Sans Serif"/>
          <w:lang w:val="bs-Latn-BA"/>
        </w:rPr>
      </w:pPr>
      <w:r>
        <w:rPr>
          <w:rFonts w:ascii="Microsoft Sans Serif" w:hAnsi="Microsoft Sans Serif" w:cs="Microsoft Sans Serif"/>
          <w:lang w:val="bs-Latn-BA"/>
        </w:rPr>
        <w:t>U reproduktivnim studijama i studijama toksičnosti razvoja kod glodavaca i zečeva, nije primijećen  teratogeni efekat, ali primijećeno je smanjene težine fetusa i poremećeno skeletno okoštavanje, kada su bili izloženi dozama nižim ili sličnim onima pri kliničkoj primjeni. Budući da izloženost većim dozama nije mogla da bude testirana na životinjama zbog ozbiljnosti toksičnosti kod majke, teratogeni potencijal lamotrigina nije bio određivan kod doza iznad doze tokom kliničke primjene.</w:t>
      </w:r>
    </w:p>
    <w:p w14:paraId="7F0C6DFF">
      <w:pPr>
        <w:jc w:val="both"/>
        <w:rPr>
          <w:rFonts w:ascii="Microsoft Sans Serif" w:hAnsi="Microsoft Sans Serif" w:cs="Microsoft Sans Serif"/>
          <w:lang w:val="bs-Latn-BA"/>
        </w:rPr>
      </w:pPr>
    </w:p>
    <w:p w14:paraId="46985469">
      <w:pPr>
        <w:jc w:val="both"/>
        <w:rPr>
          <w:rFonts w:ascii="Microsoft Sans Serif" w:hAnsi="Microsoft Sans Serif" w:cs="Microsoft Sans Serif"/>
          <w:lang w:val="bs-Latn-BA"/>
        </w:rPr>
      </w:pPr>
      <w:r>
        <w:rPr>
          <w:rFonts w:ascii="Microsoft Sans Serif" w:hAnsi="Microsoft Sans Serif" w:cs="Microsoft Sans Serif"/>
          <w:lang w:val="bs-Latn-BA"/>
        </w:rPr>
        <w:t>Kod pacova, povećana smrtnost fetusa, kao i postnatalni mortalitet zabilježen je kada je lamotrigin primjenjivan tokom kasne trudnoće i u ranom periodu nakon poroda. Ti efekti su zabilježeni ispod očekivane izloženosti dozama kliničke primjene.</w:t>
      </w:r>
    </w:p>
    <w:p w14:paraId="00D5F5A1">
      <w:pPr>
        <w:jc w:val="both"/>
        <w:rPr>
          <w:rFonts w:ascii="Microsoft Sans Serif" w:hAnsi="Microsoft Sans Serif" w:cs="Microsoft Sans Serif"/>
        </w:rPr>
      </w:pPr>
    </w:p>
    <w:p w14:paraId="64344F03">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Kod mladih pacova opisani su efekti na učenje u Biel maze testu, blago odlaganje balanoprepucijalne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separacije i vaginalne prohodnosti sa smanjenjem postnatalnog prirasta težine u F1 generaciji</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mladunaca pri ekspoziciji </w:t>
      </w:r>
      <w:r>
        <w:rPr>
          <w:rFonts w:ascii="Microsoft Sans Serif" w:hAnsi="Microsoft Sans Serif" w:cs="Microsoft Sans Serif"/>
          <w:lang w:eastAsia="mk-MK"/>
        </w:rPr>
        <w:t xml:space="preserve">manjoj </w:t>
      </w:r>
      <w:r>
        <w:rPr>
          <w:rFonts w:ascii="Microsoft Sans Serif" w:hAnsi="Microsoft Sans Serif" w:cs="Microsoft Sans Serif"/>
          <w:lang w:val="mk-MK" w:eastAsia="mk-MK"/>
        </w:rPr>
        <w:t>u odnosu na terapijske doze koje se primjenjuju kod odraslih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ljudi</w:t>
      </w:r>
      <w:r>
        <w:rPr>
          <w:rFonts w:ascii="Microsoft Sans Serif" w:hAnsi="Microsoft Sans Serif" w:cs="Microsoft Sans Serif"/>
          <w:lang w:eastAsia="mk-MK"/>
        </w:rPr>
        <w:t>, na osnovu površine tijela</w:t>
      </w:r>
      <w:r>
        <w:rPr>
          <w:rFonts w:ascii="Microsoft Sans Serif" w:hAnsi="Microsoft Sans Serif" w:cs="Microsoft Sans Serif"/>
          <w:lang w:val="mk-MK" w:eastAsia="mk-MK"/>
        </w:rPr>
        <w:t>.</w:t>
      </w:r>
    </w:p>
    <w:p w14:paraId="513241F6">
      <w:pPr>
        <w:jc w:val="both"/>
        <w:rPr>
          <w:rFonts w:ascii="Microsoft Sans Serif" w:hAnsi="Microsoft Sans Serif" w:cs="Microsoft Sans Serif"/>
        </w:rPr>
      </w:pPr>
    </w:p>
    <w:p w14:paraId="667E2560">
      <w:pPr>
        <w:jc w:val="both"/>
        <w:rPr>
          <w:rFonts w:ascii="Microsoft Sans Serif" w:hAnsi="Microsoft Sans Serif" w:cs="Microsoft Sans Serif"/>
          <w:bCs/>
          <w:lang w:val="bs-Latn-BA"/>
        </w:rPr>
      </w:pPr>
      <w:r>
        <w:rPr>
          <w:rFonts w:ascii="Microsoft Sans Serif" w:hAnsi="Microsoft Sans Serif" w:cs="Microsoft Sans Serif"/>
          <w:bCs/>
          <w:lang w:val="bs-Latn-BA"/>
        </w:rPr>
        <w:t>Eksperimenti na životinjama nisu otkrili oštećenja plodnosti zbog lamotrigina. Lamotrigin može smanjiti nivo fetalne folne kiseline kod pacova. Pretpostavlja se da je nedostatak folne kiseline povezan s povećanim rizikom od kongenitalnih malformacija kod životinja, kao i kod ljudi.</w:t>
      </w:r>
    </w:p>
    <w:p w14:paraId="25188FD6">
      <w:pPr>
        <w:jc w:val="both"/>
        <w:rPr>
          <w:rFonts w:ascii="Microsoft Sans Serif" w:hAnsi="Microsoft Sans Serif" w:cs="Microsoft Sans Serif"/>
          <w:bCs/>
          <w:lang w:val="bs-Latn-BA"/>
        </w:rPr>
      </w:pPr>
    </w:p>
    <w:p w14:paraId="48F836DD">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Lamotrigin je pokazao dozno zavisnu inhibiciju hERG kanala na ćelijama embriona bubrega humanog</w:t>
      </w:r>
    </w:p>
    <w:p w14:paraId="741BB24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 xml:space="preserve">porijekla. </w:t>
      </w:r>
      <w:r>
        <w:rPr>
          <w:rFonts w:ascii="Microsoft Sans Serif" w:hAnsi="Microsoft Sans Serif" w:eastAsia="Calibri" w:cs="Microsoft Sans Serif"/>
          <w:lang w:val="bs-Latn-BA" w:eastAsia="en-US"/>
        </w:rPr>
        <w:t>IC50 je bio oko devet puta veći od maksimalne dopuštene terapijske slobodne koncentracije kod ljudi. Lamotrigin ne uzrokuju produženje QT-intervala kod životinja pri izloženosti dva puta većoj od maksimalne dopuštene terapijske slobodne koncentracije kod ljudi.</w:t>
      </w:r>
      <w:r>
        <w:t xml:space="preserve"> </w:t>
      </w:r>
      <w:r>
        <w:rPr>
          <w:rFonts w:ascii="Microsoft Sans Serif" w:hAnsi="Microsoft Sans Serif" w:eastAsia="Calibri" w:cs="Microsoft Sans Serif"/>
          <w:lang w:val="bs-Latn-BA" w:eastAsia="en-US"/>
        </w:rPr>
        <w:t>U kliničkom ispitivanju nije bilo klinički značajnog djelovanja lamotrigina na QT interval kod zdravih odraslih dobrovoljaca (pogledati dio 5.1).</w:t>
      </w:r>
    </w:p>
    <w:p w14:paraId="1F6CC3E2">
      <w:pPr>
        <w:autoSpaceDE w:val="0"/>
        <w:autoSpaceDN w:val="0"/>
        <w:adjustRightInd w:val="0"/>
        <w:jc w:val="both"/>
        <w:rPr>
          <w:rFonts w:ascii="Microsoft Sans Serif" w:hAnsi="Microsoft Sans Serif" w:eastAsia="Calibri" w:cs="Microsoft Sans Serif"/>
          <w:lang w:val="bs-Latn-BA" w:eastAsia="en-US"/>
        </w:rPr>
      </w:pPr>
    </w:p>
    <w:p w14:paraId="3CAF530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eastAsia="en-US"/>
        </w:rPr>
        <w:t>In vitro studije pokazuju da lamotrigin ispoljava antiaritmičku aktivnost klase IB u terapijski relevantnim koncentracijama. On inhibira natrijumove kanale srca kod ljudi sa brzom kinetikom početka i pomjeranja i jakom zavisnošću od napona, u skladu sa drugim antiaritmičkim agensima klase IB. U terapijskim dozama, lamotrigin nije usporio ventrikularnu provodljivost (širi QRS) kod zdravih osoba u temeljnoj QT studiji; međutim, kod pacijenata sa klinički važnom strukturnom ili funkcionalnom bolešću srca, lamotrigin bi potencijalno mogao da uspori ventrikularnu provodljivost (širi QRS) i izazove proaritmiju (pogledati dio 4.4).</w:t>
      </w:r>
    </w:p>
    <w:p w14:paraId="43750312">
      <w:pPr>
        <w:rPr>
          <w:rFonts w:ascii="Microsoft Sans Serif" w:hAnsi="Microsoft Sans Serif" w:cs="Microsoft Sans Serif"/>
          <w:lang w:val="it-IT"/>
        </w:rPr>
      </w:pPr>
    </w:p>
    <w:p w14:paraId="48AE0205">
      <w:pPr>
        <w:rPr>
          <w:rFonts w:ascii="Microsoft Sans Serif" w:hAnsi="Microsoft Sans Serif" w:cs="Microsoft Sans Serif"/>
          <w:b/>
          <w:lang w:val="sr-Latn-BA"/>
        </w:rPr>
      </w:pPr>
    </w:p>
    <w:p w14:paraId="0CA5D308">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36F17C96">
      <w:pPr>
        <w:jc w:val="both"/>
        <w:rPr>
          <w:rFonts w:ascii="Microsoft Sans Serif" w:hAnsi="Microsoft Sans Serif" w:cs="Microsoft Sans Serif"/>
          <w:b/>
          <w:lang w:val="sr-Latn-BA"/>
        </w:rPr>
      </w:pPr>
    </w:p>
    <w:p w14:paraId="69D51EA9">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6CC7420D">
      <w:pPr>
        <w:jc w:val="both"/>
        <w:rPr>
          <w:rFonts w:ascii="Microsoft Sans Serif" w:hAnsi="Microsoft Sans Serif" w:cs="Microsoft Sans Serif"/>
          <w:lang w:val="sr-Latn-BA"/>
        </w:rPr>
      </w:pPr>
    </w:p>
    <w:p w14:paraId="2F8AB349">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mk-MK"/>
        </w:rPr>
        <w:t>Kalcij</w:t>
      </w:r>
      <w:r>
        <w:rPr>
          <w:rFonts w:ascii="Microsoft Sans Serif" w:hAnsi="Microsoft Sans Serif" w:cs="Microsoft Sans Serif"/>
          <w:lang w:val="sr-Latn-BA"/>
        </w:rPr>
        <w:t>um-</w:t>
      </w:r>
      <w:r>
        <w:rPr>
          <w:rFonts w:ascii="Microsoft Sans Serif" w:hAnsi="Microsoft Sans Serif" w:cs="Microsoft Sans Serif"/>
          <w:lang w:val="mk-MK"/>
        </w:rPr>
        <w:t>karbonat</w:t>
      </w:r>
      <w:r>
        <w:rPr>
          <w:rFonts w:ascii="Microsoft Sans Serif" w:hAnsi="Microsoft Sans Serif" w:cs="Microsoft Sans Serif"/>
          <w:lang w:val="sr-Latn-BA"/>
        </w:rPr>
        <w:t>;</w:t>
      </w:r>
    </w:p>
    <w:p w14:paraId="131C7321">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Aluminij</w:t>
      </w:r>
      <w:r>
        <w:rPr>
          <w:rFonts w:ascii="Microsoft Sans Serif" w:hAnsi="Microsoft Sans Serif" w:cs="Microsoft Sans Serif"/>
          <w:lang w:val="de-AT"/>
        </w:rPr>
        <w:t>um-</w:t>
      </w: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silikat</w:t>
      </w:r>
      <w:r>
        <w:rPr>
          <w:rFonts w:ascii="Microsoft Sans Serif" w:hAnsi="Microsoft Sans Serif" w:cs="Microsoft Sans Serif"/>
          <w:lang w:val="de-AT"/>
        </w:rPr>
        <w:t>;</w:t>
      </w:r>
      <w:r>
        <w:rPr>
          <w:rFonts w:ascii="Microsoft Sans Serif" w:hAnsi="Microsoft Sans Serif" w:cs="Microsoft Sans Serif"/>
          <w:lang w:val="mk-MK"/>
        </w:rPr>
        <w:t xml:space="preserve"> </w:t>
      </w:r>
    </w:p>
    <w:p w14:paraId="2970C626">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Natrij</w:t>
      </w:r>
      <w:r>
        <w:rPr>
          <w:rFonts w:ascii="Microsoft Sans Serif" w:hAnsi="Microsoft Sans Serif" w:cs="Microsoft Sans Serif"/>
          <w:lang w:val="de-AT"/>
        </w:rPr>
        <w:t>um-s</w:t>
      </w:r>
      <w:r>
        <w:rPr>
          <w:rFonts w:ascii="Microsoft Sans Serif" w:hAnsi="Microsoft Sans Serif" w:cs="Microsoft Sans Serif"/>
          <w:lang w:val="mk-MK"/>
        </w:rPr>
        <w:t>krobglikolat</w:t>
      </w:r>
      <w:r>
        <w:rPr>
          <w:rFonts w:ascii="Microsoft Sans Serif" w:hAnsi="Microsoft Sans Serif" w:cs="Microsoft Sans Serif"/>
          <w:lang w:val="de-AT"/>
        </w:rPr>
        <w:t>;</w:t>
      </w:r>
    </w:p>
    <w:p w14:paraId="72027BA4">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H</w:t>
      </w:r>
      <w:r>
        <w:rPr>
          <w:rFonts w:ascii="Microsoft Sans Serif" w:hAnsi="Microsoft Sans Serif" w:cs="Microsoft Sans Serif"/>
          <w:lang w:val="mk-MK"/>
        </w:rPr>
        <w:t>idroksipropil celuloza</w:t>
      </w:r>
      <w:r>
        <w:rPr>
          <w:rFonts w:ascii="Microsoft Sans Serif" w:hAnsi="Microsoft Sans Serif" w:cs="Microsoft Sans Serif"/>
        </w:rPr>
        <w:t>,</w:t>
      </w:r>
      <w:r>
        <w:rPr>
          <w:rFonts w:ascii="Microsoft Sans Serif" w:hAnsi="Microsoft Sans Serif" w:cs="Microsoft Sans Serif"/>
          <w:lang w:val="mk-MK"/>
        </w:rPr>
        <w:t xml:space="preserve"> niskosupstituirana</w:t>
      </w:r>
      <w:r>
        <w:rPr>
          <w:rFonts w:ascii="Microsoft Sans Serif" w:hAnsi="Microsoft Sans Serif" w:cs="Microsoft Sans Serif"/>
        </w:rPr>
        <w:t>;</w:t>
      </w:r>
      <w:r>
        <w:rPr>
          <w:rFonts w:ascii="Microsoft Sans Serif" w:hAnsi="Microsoft Sans Serif" w:cs="Microsoft Sans Serif"/>
          <w:lang w:val="mk-MK"/>
        </w:rPr>
        <w:t xml:space="preserve"> </w:t>
      </w:r>
    </w:p>
    <w:p w14:paraId="78123AE5">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Povidon</w:t>
      </w:r>
      <w:r>
        <w:rPr>
          <w:rFonts w:ascii="Microsoft Sans Serif" w:hAnsi="Microsoft Sans Serif" w:cs="Microsoft Sans Serif"/>
        </w:rPr>
        <w:t>;</w:t>
      </w:r>
    </w:p>
    <w:p w14:paraId="3C074A08">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Celuloza</w:t>
      </w:r>
      <w:r>
        <w:rPr>
          <w:rFonts w:ascii="Microsoft Sans Serif" w:hAnsi="Microsoft Sans Serif" w:cs="Microsoft Sans Serif"/>
        </w:rPr>
        <w:t>,</w:t>
      </w:r>
      <w:r>
        <w:rPr>
          <w:rFonts w:ascii="Microsoft Sans Serif" w:hAnsi="Microsoft Sans Serif" w:cs="Microsoft Sans Serif"/>
          <w:lang w:val="mk-MK"/>
        </w:rPr>
        <w:t xml:space="preserve"> </w:t>
      </w:r>
      <w:r>
        <w:rPr>
          <w:rFonts w:ascii="Microsoft Sans Serif" w:hAnsi="Microsoft Sans Serif" w:cs="Microsoft Sans Serif"/>
        </w:rPr>
        <w:t>m</w:t>
      </w:r>
      <w:r>
        <w:rPr>
          <w:rFonts w:ascii="Microsoft Sans Serif" w:hAnsi="Microsoft Sans Serif" w:cs="Microsoft Sans Serif"/>
          <w:lang w:val="mk-MK"/>
        </w:rPr>
        <w:t>ikrokristalna</w:t>
      </w:r>
      <w:r>
        <w:rPr>
          <w:rFonts w:ascii="Microsoft Sans Serif" w:hAnsi="Microsoft Sans Serif" w:cs="Microsoft Sans Serif"/>
        </w:rPr>
        <w:t>;</w:t>
      </w:r>
    </w:p>
    <w:p w14:paraId="5C5204D5">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Natrij</w:t>
      </w:r>
      <w:r>
        <w:rPr>
          <w:rFonts w:ascii="Microsoft Sans Serif" w:hAnsi="Microsoft Sans Serif" w:cs="Microsoft Sans Serif"/>
        </w:rPr>
        <w:t>um-</w:t>
      </w:r>
      <w:r>
        <w:rPr>
          <w:rFonts w:ascii="Microsoft Sans Serif" w:hAnsi="Microsoft Sans Serif" w:cs="Microsoft Sans Serif"/>
          <w:lang w:val="mk-MK"/>
        </w:rPr>
        <w:t>saharin</w:t>
      </w:r>
      <w:r>
        <w:rPr>
          <w:rFonts w:ascii="Microsoft Sans Serif" w:hAnsi="Microsoft Sans Serif" w:cs="Microsoft Sans Serif"/>
        </w:rPr>
        <w:t>;</w:t>
      </w:r>
      <w:r>
        <w:rPr>
          <w:rFonts w:ascii="Microsoft Sans Serif" w:hAnsi="Microsoft Sans Serif" w:cs="Microsoft Sans Serif"/>
          <w:lang w:val="mk-MK"/>
        </w:rPr>
        <w:t xml:space="preserve"> </w:t>
      </w:r>
    </w:p>
    <w:p w14:paraId="1874AAB6">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Aroma </w:t>
      </w:r>
      <w:r>
        <w:rPr>
          <w:rFonts w:ascii="Microsoft Sans Serif" w:hAnsi="Microsoft Sans Serif" w:cs="Microsoft Sans Serif"/>
          <w:lang w:val="mk-MK"/>
        </w:rPr>
        <w:t>crna ribizla</w:t>
      </w:r>
      <w:r>
        <w:rPr>
          <w:rFonts w:ascii="Microsoft Sans Serif" w:hAnsi="Microsoft Sans Serif" w:cs="Microsoft Sans Serif"/>
        </w:rPr>
        <w:t>;</w:t>
      </w:r>
    </w:p>
    <w:p w14:paraId="4BFB9CD6">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Silicij</w:t>
      </w:r>
      <w:r>
        <w:rPr>
          <w:rFonts w:ascii="Microsoft Sans Serif" w:hAnsi="Microsoft Sans Serif" w:cs="Microsoft Sans Serif"/>
        </w:rPr>
        <w:t xml:space="preserve">um-dioksid, </w:t>
      </w:r>
      <w:r>
        <w:rPr>
          <w:rFonts w:ascii="Microsoft Sans Serif" w:hAnsi="Microsoft Sans Serif" w:cs="Microsoft Sans Serif"/>
          <w:lang w:val="mk-MK"/>
        </w:rPr>
        <w:t>koloidni</w:t>
      </w:r>
      <w:r>
        <w:rPr>
          <w:rFonts w:ascii="Microsoft Sans Serif" w:hAnsi="Microsoft Sans Serif" w:cs="Microsoft Sans Serif"/>
        </w:rPr>
        <w:t>, bezvodni;</w:t>
      </w:r>
      <w:r>
        <w:rPr>
          <w:rFonts w:ascii="Microsoft Sans Serif" w:hAnsi="Microsoft Sans Serif" w:cs="Microsoft Sans Serif"/>
          <w:lang w:val="mk-MK"/>
        </w:rPr>
        <w:t xml:space="preserve"> </w:t>
      </w:r>
    </w:p>
    <w:p w14:paraId="30A6A6A0">
      <w:pPr>
        <w:autoSpaceDE w:val="0"/>
        <w:autoSpaceDN w:val="0"/>
        <w:adjustRightInd w:val="0"/>
        <w:jc w:val="both"/>
        <w:rPr>
          <w:rFonts w:ascii="Microsoft Sans Serif" w:hAnsi="Microsoft Sans Serif" w:cs="Microsoft Sans Serif"/>
          <w:lang w:val="mk-MK"/>
        </w:rPr>
      </w:pP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 xml:space="preserve">stearat.  </w:t>
      </w:r>
    </w:p>
    <w:p w14:paraId="2CD56AAA">
      <w:pPr>
        <w:jc w:val="both"/>
        <w:rPr>
          <w:rFonts w:ascii="Microsoft Sans Serif" w:hAnsi="Microsoft Sans Serif" w:cs="Microsoft Sans Serif"/>
          <w:u w:val="single"/>
          <w:lang w:val="de-AT"/>
        </w:rPr>
      </w:pPr>
    </w:p>
    <w:p w14:paraId="2F3FCB4B">
      <w:pPr>
        <w:jc w:val="both"/>
        <w:rPr>
          <w:rFonts w:ascii="Microsoft Sans Serif" w:hAnsi="Microsoft Sans Serif" w:cs="Microsoft Sans Serif"/>
          <w:b/>
          <w:lang w:val="de-AT"/>
        </w:rPr>
      </w:pPr>
      <w:r>
        <w:rPr>
          <w:rFonts w:ascii="Microsoft Sans Serif" w:hAnsi="Microsoft Sans Serif" w:cs="Microsoft Sans Serif"/>
          <w:b/>
          <w:lang w:val="de-AT"/>
        </w:rPr>
        <w:t>6.2. Inkompatibilnosti</w:t>
      </w:r>
    </w:p>
    <w:p w14:paraId="17AB8102">
      <w:pPr>
        <w:rPr>
          <w:rFonts w:ascii="Microsoft Sans Serif" w:hAnsi="Microsoft Sans Serif" w:cs="Microsoft Sans Serif"/>
          <w:lang w:val="de-AT"/>
        </w:rPr>
      </w:pPr>
    </w:p>
    <w:p w14:paraId="1303C522">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05B8C664">
      <w:pPr>
        <w:jc w:val="both"/>
        <w:rPr>
          <w:rFonts w:ascii="Microsoft Sans Serif" w:hAnsi="Microsoft Sans Serif" w:cs="Microsoft Sans Serif"/>
          <w:lang w:val="de-AT"/>
        </w:rPr>
      </w:pPr>
    </w:p>
    <w:p w14:paraId="0F141160">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3D9D387A">
      <w:pPr>
        <w:tabs>
          <w:tab w:val="left" w:pos="1985"/>
        </w:tabs>
        <w:jc w:val="both"/>
        <w:rPr>
          <w:rFonts w:ascii="Microsoft Sans Serif" w:hAnsi="Microsoft Sans Serif" w:cs="Microsoft Sans Serif"/>
          <w:lang w:val="de-AT"/>
        </w:rPr>
      </w:pPr>
    </w:p>
    <w:p w14:paraId="3508F1D6">
      <w:pPr>
        <w:jc w:val="both"/>
        <w:rPr>
          <w:rFonts w:ascii="Microsoft Sans Serif" w:hAnsi="Microsoft Sans Serif" w:cs="Microsoft Sans Serif"/>
          <w:lang w:val="it-IT"/>
        </w:rPr>
      </w:pPr>
      <w:r>
        <w:rPr>
          <w:rFonts w:ascii="Microsoft Sans Serif" w:hAnsi="Microsoft Sans Serif" w:cs="Microsoft Sans Serif"/>
          <w:lang w:val="it-IT"/>
        </w:rPr>
        <w:t>3 (tri) godine.</w:t>
      </w:r>
    </w:p>
    <w:p w14:paraId="73F335C8">
      <w:pPr>
        <w:jc w:val="both"/>
        <w:rPr>
          <w:rFonts w:ascii="Microsoft Sans Serif" w:hAnsi="Microsoft Sans Serif" w:cs="Microsoft Sans Serif"/>
          <w:lang w:val="de-AT"/>
        </w:rPr>
      </w:pPr>
    </w:p>
    <w:p w14:paraId="7057A918">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4366FEF7">
      <w:pPr>
        <w:jc w:val="both"/>
        <w:rPr>
          <w:rFonts w:ascii="Microsoft Sans Serif" w:hAnsi="Microsoft Sans Serif" w:cs="Microsoft Sans Serif"/>
          <w:lang w:val="de-AT"/>
        </w:rPr>
      </w:pPr>
    </w:p>
    <w:p w14:paraId="1FDF3C99">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1A930BA4">
      <w:pPr>
        <w:jc w:val="both"/>
        <w:rPr>
          <w:rFonts w:ascii="Microsoft Sans Serif" w:hAnsi="Microsoft Sans Serif" w:cs="Microsoft Sans Serif"/>
        </w:rPr>
      </w:pPr>
    </w:p>
    <w:p w14:paraId="163C252F">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0AD53542">
      <w:pPr>
        <w:jc w:val="both"/>
        <w:rPr>
          <w:rFonts w:ascii="Microsoft Sans Serif" w:hAnsi="Microsoft Sans Serif" w:cs="Microsoft Sans Serif"/>
        </w:rPr>
      </w:pPr>
    </w:p>
    <w:p w14:paraId="62D56AD2">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25 mg tablete:</w:t>
      </w:r>
    </w:p>
    <w:p w14:paraId="1FF6A9E8">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5B043226">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31BC09AE">
      <w:pPr>
        <w:jc w:val="both"/>
        <w:rPr>
          <w:rFonts w:ascii="Microsoft Sans Serif" w:hAnsi="Microsoft Sans Serif" w:cs="Microsoft Sans Serif"/>
          <w:u w:val="single"/>
          <w:lang w:val="es-MX"/>
        </w:rPr>
      </w:pPr>
    </w:p>
    <w:p w14:paraId="18B2A3F3">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50 mg tablete</w:t>
      </w:r>
    </w:p>
    <w:p w14:paraId="20F4AEE2">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79EDEFB7">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01D766AD">
      <w:pPr>
        <w:jc w:val="both"/>
        <w:rPr>
          <w:rFonts w:ascii="Microsoft Sans Serif" w:hAnsi="Microsoft Sans Serif" w:cs="Microsoft Sans Serif"/>
          <w:u w:val="single"/>
          <w:lang w:val="es-MX"/>
        </w:rPr>
      </w:pPr>
    </w:p>
    <w:p w14:paraId="0DCD0FEC">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100 mg tablete</w:t>
      </w:r>
    </w:p>
    <w:p w14:paraId="65E1F946">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51879124">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076646FE">
      <w:pPr>
        <w:jc w:val="both"/>
        <w:rPr>
          <w:rFonts w:ascii="Microsoft Sans Serif" w:hAnsi="Microsoft Sans Serif" w:cs="Microsoft Sans Serif"/>
          <w:u w:val="single"/>
          <w:lang w:val="es-MX"/>
        </w:rPr>
      </w:pPr>
    </w:p>
    <w:p w14:paraId="0CEC842B">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200 mg tablete</w:t>
      </w:r>
    </w:p>
    <w:p w14:paraId="2E135337">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3D93990E">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3EBB285B">
      <w:pPr>
        <w:jc w:val="both"/>
        <w:rPr>
          <w:rFonts w:ascii="Microsoft Sans Serif" w:hAnsi="Microsoft Sans Serif" w:cs="Microsoft Sans Serif"/>
          <w:lang w:val="es-MX"/>
        </w:rPr>
      </w:pPr>
    </w:p>
    <w:p w14:paraId="61890593">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270AA5A7">
      <w:pPr>
        <w:jc w:val="both"/>
        <w:rPr>
          <w:rFonts w:ascii="Microsoft Sans Serif" w:hAnsi="Microsoft Sans Serif" w:cs="Microsoft Sans Serif"/>
          <w:lang w:val="es-MX"/>
        </w:rPr>
      </w:pPr>
    </w:p>
    <w:p w14:paraId="7A9005EF">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2E8ED40B">
      <w:pPr>
        <w:rPr>
          <w:rFonts w:ascii="Microsoft Sans Serif" w:hAnsi="Microsoft Sans Serif" w:cs="Microsoft Sans Serif"/>
          <w:lang w:val="es-MX"/>
        </w:rPr>
      </w:pPr>
      <w:r>
        <w:rPr>
          <w:rFonts w:ascii="Microsoft Sans Serif" w:hAnsi="Microsoft Sans Serif" w:cs="Microsoft Sans Serif"/>
          <w:lang w:val="es-MX"/>
        </w:rPr>
        <w:t>Sav neiskorišten lijek ili otpadni materijal treba zbrinuti u skladu sa lokalnim propisima.</w:t>
      </w:r>
    </w:p>
    <w:p w14:paraId="3BAE1C2D">
      <w:pPr>
        <w:jc w:val="both"/>
        <w:rPr>
          <w:rFonts w:ascii="Microsoft Sans Serif" w:hAnsi="Microsoft Sans Serif" w:cs="Microsoft Sans Serif"/>
          <w:b/>
          <w:i/>
          <w:lang w:val="es-MX"/>
        </w:rPr>
      </w:pPr>
    </w:p>
    <w:p w14:paraId="63B5145F">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5DF9ABD6">
      <w:pPr>
        <w:tabs>
          <w:tab w:val="left" w:pos="567"/>
        </w:tabs>
        <w:jc w:val="both"/>
        <w:rPr>
          <w:rFonts w:ascii="Microsoft Sans Serif" w:hAnsi="Microsoft Sans Serif" w:cs="Microsoft Sans Serif"/>
          <w:lang w:val="sr-Latn-BA"/>
        </w:rPr>
      </w:pPr>
    </w:p>
    <w:p w14:paraId="3BF3DA8F">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5D3E5384">
      <w:pPr>
        <w:jc w:val="both"/>
        <w:rPr>
          <w:rFonts w:ascii="Microsoft Sans Serif" w:hAnsi="Microsoft Sans Serif" w:cs="Microsoft Sans Serif"/>
          <w:b/>
          <w:i/>
          <w:lang w:val="es-MX"/>
        </w:rPr>
      </w:pPr>
    </w:p>
    <w:p w14:paraId="7132E15E">
      <w:pPr>
        <w:jc w:val="both"/>
        <w:rPr>
          <w:rFonts w:ascii="Microsoft Sans Serif" w:hAnsi="Microsoft Sans Serif" w:cs="Microsoft Sans Serif"/>
          <w:b/>
          <w:i/>
          <w:lang w:val="es-MX"/>
        </w:rPr>
      </w:pPr>
    </w:p>
    <w:p w14:paraId="3419678C">
      <w:pPr>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1E6CE575">
      <w:pPr>
        <w:pStyle w:val="21"/>
        <w:tabs>
          <w:tab w:val="clear" w:pos="4320"/>
          <w:tab w:val="clear" w:pos="8640"/>
        </w:tabs>
        <w:rPr>
          <w:rFonts w:ascii="Microsoft Sans Serif" w:hAnsi="Microsoft Sans Serif" w:cs="Microsoft Sans Serif"/>
          <w:sz w:val="20"/>
          <w:lang w:val="sr-Latn-BA"/>
        </w:rPr>
      </w:pPr>
    </w:p>
    <w:p w14:paraId="2C18BD4D">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5E601CB2">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6C925ED6">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6A0D1461">
      <w:pPr>
        <w:rPr>
          <w:rFonts w:ascii="Microsoft Sans Serif" w:hAnsi="Microsoft Sans Serif" w:cs="Microsoft Sans Serif"/>
          <w:lang w:val="hr-HR"/>
        </w:rPr>
      </w:pPr>
    </w:p>
    <w:p w14:paraId="36EEA647">
      <w:pPr>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649764D3">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021C398">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32D34E11">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205FD4FA">
      <w:pPr>
        <w:pStyle w:val="21"/>
        <w:tabs>
          <w:tab w:val="clear" w:pos="4320"/>
          <w:tab w:val="clear" w:pos="8640"/>
        </w:tabs>
        <w:rPr>
          <w:rFonts w:ascii="Microsoft Sans Serif" w:hAnsi="Microsoft Sans Serif" w:cs="Microsoft Sans Serif"/>
          <w:sz w:val="20"/>
          <w:lang w:val="sr-Latn-BA"/>
        </w:rPr>
      </w:pPr>
    </w:p>
    <w:p w14:paraId="56400F92">
      <w:pPr>
        <w:rPr>
          <w:rFonts w:ascii="Microsoft Sans Serif" w:hAnsi="Microsoft Sans Serif" w:cs="Microsoft Sans Serif"/>
          <w:b/>
          <w:lang w:val="sr-Latn-BA"/>
        </w:rPr>
      </w:pPr>
      <w:r>
        <w:rPr>
          <w:rFonts w:ascii="Microsoft Sans Serif" w:hAnsi="Microsoft Sans Serif" w:cs="Microsoft Sans Serif"/>
          <w:b/>
          <w:lang w:val="sr-Latn-BA"/>
        </w:rPr>
        <w:t xml:space="preserve">Nositelj dozvole za stavljanje gotovog lijeka u promet </w:t>
      </w:r>
    </w:p>
    <w:p w14:paraId="65F945A5">
      <w:pPr>
        <w:pStyle w:val="21"/>
        <w:tabs>
          <w:tab w:val="clear" w:pos="4320"/>
          <w:tab w:val="clear" w:pos="8640"/>
        </w:tabs>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2A507435">
      <w:pPr>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7E393E46">
      <w:pPr>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0AFDE6E4">
      <w:pPr>
        <w:rPr>
          <w:rFonts w:ascii="Microsoft Sans Serif" w:hAnsi="Microsoft Sans Serif" w:cs="Microsoft Sans Serif"/>
          <w:lang w:val="sr-Latn-BA"/>
        </w:rPr>
      </w:pPr>
    </w:p>
    <w:p w14:paraId="303477F3">
      <w:pPr>
        <w:rPr>
          <w:rFonts w:ascii="Microsoft Sans Serif" w:hAnsi="Microsoft Sans Serif" w:cs="Microsoft Sans Serif"/>
          <w:lang w:val="sr-Latn-BA"/>
        </w:rPr>
      </w:pPr>
    </w:p>
    <w:p w14:paraId="62DCB46B">
      <w:pPr>
        <w:tabs>
          <w:tab w:val="left" w:pos="360"/>
        </w:tabs>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RJEŠENJA O DOZVOLI ZA STAVLJANJE GOTOVOG LIJEKA U PROMET</w:t>
      </w:r>
    </w:p>
    <w:p w14:paraId="131D3FD1">
      <w:pPr>
        <w:jc w:val="both"/>
        <w:rPr>
          <w:rFonts w:ascii="Arial" w:hAnsi="Arial" w:cs="Arial"/>
        </w:rPr>
      </w:pPr>
    </w:p>
    <w:p w14:paraId="3A5FE84B">
      <w:pPr>
        <w:autoSpaceDE w:val="0"/>
        <w:autoSpaceDN w:val="0"/>
        <w:adjustRightInd w:val="0"/>
        <w:rPr>
          <w:rFonts w:ascii="ArialMT" w:hAnsi="ArialMT" w:cs="ArialMT"/>
          <w:lang w:val="mk-MK" w:eastAsia="mk-MK"/>
        </w:rPr>
      </w:pPr>
      <w:r>
        <w:rPr>
          <w:rFonts w:ascii="ArialMT" w:hAnsi="ArialMT" w:cs="ArialMT"/>
          <w:lang w:val="mk-MK" w:eastAsia="mk-MK"/>
        </w:rPr>
        <w:t>Lamal, tableta, 30 x 25 mg: 04-07.3-2-5058/18 od 13.11.2018.</w:t>
      </w:r>
    </w:p>
    <w:p w14:paraId="0A9FFE28">
      <w:pPr>
        <w:autoSpaceDE w:val="0"/>
        <w:autoSpaceDN w:val="0"/>
        <w:adjustRightInd w:val="0"/>
        <w:rPr>
          <w:rFonts w:ascii="ArialMT" w:hAnsi="ArialMT" w:cs="ArialMT"/>
          <w:lang w:val="mk-MK" w:eastAsia="mk-MK"/>
        </w:rPr>
      </w:pPr>
      <w:r>
        <w:rPr>
          <w:rFonts w:ascii="ArialMT" w:hAnsi="ArialMT" w:cs="ArialMT"/>
          <w:lang w:val="mk-MK" w:eastAsia="mk-MK"/>
        </w:rPr>
        <w:t>Lamal, tableta, 30 x 50 mg: 04-07.3-2-5056/18 od 13.11.2018.</w:t>
      </w:r>
    </w:p>
    <w:p w14:paraId="4EEDF2CF">
      <w:pPr>
        <w:autoSpaceDE w:val="0"/>
        <w:autoSpaceDN w:val="0"/>
        <w:adjustRightInd w:val="0"/>
        <w:rPr>
          <w:rFonts w:ascii="ArialMT" w:hAnsi="ArialMT" w:cs="ArialMT"/>
          <w:lang w:val="mk-MK" w:eastAsia="mk-MK"/>
        </w:rPr>
      </w:pPr>
      <w:r>
        <w:rPr>
          <w:rFonts w:ascii="ArialMT" w:hAnsi="ArialMT" w:cs="ArialMT"/>
          <w:lang w:val="mk-MK" w:eastAsia="mk-MK"/>
        </w:rPr>
        <w:t>Lamal, tableta, 30 x 100 mg: 04-07.3-2-5059/18 od 13.11.2018.</w:t>
      </w:r>
    </w:p>
    <w:p w14:paraId="5A39B483">
      <w:pPr>
        <w:rPr>
          <w:rFonts w:ascii="ArialMT" w:hAnsi="ArialMT" w:cs="ArialMT"/>
          <w:lang w:eastAsia="mk-MK"/>
        </w:rPr>
      </w:pPr>
      <w:r>
        <w:rPr>
          <w:rFonts w:ascii="ArialMT" w:hAnsi="ArialMT" w:cs="ArialMT"/>
          <w:lang w:val="mk-MK" w:eastAsia="mk-MK"/>
        </w:rPr>
        <w:t>Lamal, tableta, 30 x 200 mg: 04-07.3-2-5057/18 od 13.11.2018.</w:t>
      </w:r>
    </w:p>
    <w:p w14:paraId="1EDD7015">
      <w:pPr>
        <w:rPr>
          <w:rFonts w:ascii="Microsoft Sans Serif" w:hAnsi="Microsoft Sans Serif" w:cs="Microsoft Sans Serif"/>
          <w:b/>
        </w:rPr>
      </w:pPr>
    </w:p>
    <w:p w14:paraId="3D73FA4A">
      <w:pPr>
        <w:tabs>
          <w:tab w:val="left" w:pos="360"/>
        </w:tabs>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24EAD1AC">
      <w:pPr>
        <w:pStyle w:val="21"/>
        <w:tabs>
          <w:tab w:val="clear" w:pos="4320"/>
          <w:tab w:val="clear" w:pos="8640"/>
        </w:tabs>
        <w:rPr>
          <w:rFonts w:ascii="Microsoft Sans Serif" w:hAnsi="Microsoft Sans Serif" w:cs="Microsoft Sans Serif"/>
          <w:sz w:val="20"/>
          <w:lang w:val="sr-Latn-BA"/>
        </w:rPr>
      </w:pPr>
    </w:p>
    <w:p w14:paraId="2E4B661E">
      <w:pPr>
        <w:rPr>
          <w:rFonts w:ascii="Microsoft Sans Serif" w:hAnsi="Microsoft Sans Serif" w:cs="Microsoft Sans Serif"/>
          <w:lang w:val="sr-Latn-BA"/>
        </w:rPr>
      </w:pPr>
      <w:r>
        <w:rPr>
          <w:rFonts w:ascii="Microsoft Sans Serif" w:hAnsi="Microsoft Sans Serif" w:cs="Microsoft Sans Serif"/>
          <w:lang w:val="sr-Latn-BA"/>
        </w:rPr>
        <w:t>Maj, 2022.</w:t>
      </w:r>
    </w:p>
    <w:sectPr>
      <w:footerReference r:id="rId3" w:type="default"/>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DD34E">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25</w:t>
    </w:r>
    <w:r>
      <w:rPr>
        <w:rFonts w:ascii="Microsoft Sans Serif" w:hAnsi="Microsoft Sans Serif" w:cs="Microsoft Sans Serif"/>
        <w:sz w:val="18"/>
        <w:szCs w:val="18"/>
      </w:rPr>
      <w:fldChar w:fldCharType="end"/>
    </w:r>
  </w:p>
  <w:p w14:paraId="4D593E9D">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63F19"/>
    <w:multiLevelType w:val="multilevel"/>
    <w:tmpl w:val="38763F19"/>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B0F33E6"/>
    <w:multiLevelType w:val="multilevel"/>
    <w:tmpl w:val="7B0F33E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040F4"/>
    <w:rsid w:val="00005A71"/>
    <w:rsid w:val="00013C9B"/>
    <w:rsid w:val="000215A6"/>
    <w:rsid w:val="00021788"/>
    <w:rsid w:val="00033786"/>
    <w:rsid w:val="00037036"/>
    <w:rsid w:val="00042394"/>
    <w:rsid w:val="00043E4D"/>
    <w:rsid w:val="000514D6"/>
    <w:rsid w:val="00070ABC"/>
    <w:rsid w:val="000728A5"/>
    <w:rsid w:val="0008590A"/>
    <w:rsid w:val="0009028C"/>
    <w:rsid w:val="000962A1"/>
    <w:rsid w:val="000A2D09"/>
    <w:rsid w:val="000A6438"/>
    <w:rsid w:val="000B24C7"/>
    <w:rsid w:val="000B2916"/>
    <w:rsid w:val="000B5272"/>
    <w:rsid w:val="000B623E"/>
    <w:rsid w:val="000C2E58"/>
    <w:rsid w:val="000C5A7B"/>
    <w:rsid w:val="000E2928"/>
    <w:rsid w:val="000E4F33"/>
    <w:rsid w:val="000F1CEB"/>
    <w:rsid w:val="0011791C"/>
    <w:rsid w:val="00124A97"/>
    <w:rsid w:val="00125802"/>
    <w:rsid w:val="001355F4"/>
    <w:rsid w:val="00137877"/>
    <w:rsid w:val="00142524"/>
    <w:rsid w:val="0014368D"/>
    <w:rsid w:val="0015210C"/>
    <w:rsid w:val="00154673"/>
    <w:rsid w:val="001610F6"/>
    <w:rsid w:val="00161F9D"/>
    <w:rsid w:val="001655BC"/>
    <w:rsid w:val="00166703"/>
    <w:rsid w:val="00181038"/>
    <w:rsid w:val="001824C8"/>
    <w:rsid w:val="0018799F"/>
    <w:rsid w:val="00191BA7"/>
    <w:rsid w:val="001A3E60"/>
    <w:rsid w:val="001A4099"/>
    <w:rsid w:val="001B1489"/>
    <w:rsid w:val="001B3C24"/>
    <w:rsid w:val="001C554B"/>
    <w:rsid w:val="001C69AC"/>
    <w:rsid w:val="001C6CAF"/>
    <w:rsid w:val="001D38AF"/>
    <w:rsid w:val="001D4B33"/>
    <w:rsid w:val="001E0EF2"/>
    <w:rsid w:val="001E3715"/>
    <w:rsid w:val="001E70FB"/>
    <w:rsid w:val="001F24BA"/>
    <w:rsid w:val="001F2B13"/>
    <w:rsid w:val="001F7B0E"/>
    <w:rsid w:val="002008C5"/>
    <w:rsid w:val="00210593"/>
    <w:rsid w:val="00246D70"/>
    <w:rsid w:val="00247C9A"/>
    <w:rsid w:val="00252EA3"/>
    <w:rsid w:val="002541D2"/>
    <w:rsid w:val="00255EC0"/>
    <w:rsid w:val="0026090D"/>
    <w:rsid w:val="00266B35"/>
    <w:rsid w:val="002678EB"/>
    <w:rsid w:val="00270797"/>
    <w:rsid w:val="00271B6F"/>
    <w:rsid w:val="00272DCF"/>
    <w:rsid w:val="002A2D61"/>
    <w:rsid w:val="002A3D07"/>
    <w:rsid w:val="002A479D"/>
    <w:rsid w:val="002B0A10"/>
    <w:rsid w:val="002B20A2"/>
    <w:rsid w:val="002C3D58"/>
    <w:rsid w:val="002E17EC"/>
    <w:rsid w:val="002F093D"/>
    <w:rsid w:val="002F0B29"/>
    <w:rsid w:val="00300B44"/>
    <w:rsid w:val="00330974"/>
    <w:rsid w:val="003576E0"/>
    <w:rsid w:val="00363B23"/>
    <w:rsid w:val="00363FF2"/>
    <w:rsid w:val="003644D6"/>
    <w:rsid w:val="0037469C"/>
    <w:rsid w:val="00374E02"/>
    <w:rsid w:val="00381780"/>
    <w:rsid w:val="00385005"/>
    <w:rsid w:val="0038520A"/>
    <w:rsid w:val="00391D48"/>
    <w:rsid w:val="00391E7B"/>
    <w:rsid w:val="0039308B"/>
    <w:rsid w:val="003A22E0"/>
    <w:rsid w:val="003A3C18"/>
    <w:rsid w:val="003A3FEE"/>
    <w:rsid w:val="003A5859"/>
    <w:rsid w:val="003B2BD6"/>
    <w:rsid w:val="003B2C61"/>
    <w:rsid w:val="003B384F"/>
    <w:rsid w:val="003B7D1D"/>
    <w:rsid w:val="003C424A"/>
    <w:rsid w:val="003D144A"/>
    <w:rsid w:val="003E1B7F"/>
    <w:rsid w:val="003E2FAF"/>
    <w:rsid w:val="003E6015"/>
    <w:rsid w:val="003F1ED2"/>
    <w:rsid w:val="003F445B"/>
    <w:rsid w:val="00410112"/>
    <w:rsid w:val="00417DD0"/>
    <w:rsid w:val="0042485E"/>
    <w:rsid w:val="0042687A"/>
    <w:rsid w:val="004360C6"/>
    <w:rsid w:val="00445A79"/>
    <w:rsid w:val="0044675A"/>
    <w:rsid w:val="00447499"/>
    <w:rsid w:val="004475D5"/>
    <w:rsid w:val="00450207"/>
    <w:rsid w:val="004521BC"/>
    <w:rsid w:val="00457FAD"/>
    <w:rsid w:val="00460C2B"/>
    <w:rsid w:val="00462857"/>
    <w:rsid w:val="00467343"/>
    <w:rsid w:val="00467762"/>
    <w:rsid w:val="004706F5"/>
    <w:rsid w:val="00470D68"/>
    <w:rsid w:val="00472AC5"/>
    <w:rsid w:val="00477180"/>
    <w:rsid w:val="00486158"/>
    <w:rsid w:val="00486B01"/>
    <w:rsid w:val="0049277E"/>
    <w:rsid w:val="00493EF6"/>
    <w:rsid w:val="004B1290"/>
    <w:rsid w:val="004C29B2"/>
    <w:rsid w:val="004C4C72"/>
    <w:rsid w:val="004C6E4F"/>
    <w:rsid w:val="004D2913"/>
    <w:rsid w:val="004D4DCC"/>
    <w:rsid w:val="004E6FAF"/>
    <w:rsid w:val="004F2444"/>
    <w:rsid w:val="00505C5D"/>
    <w:rsid w:val="005106F1"/>
    <w:rsid w:val="0051146B"/>
    <w:rsid w:val="005217D8"/>
    <w:rsid w:val="00532A19"/>
    <w:rsid w:val="0054454D"/>
    <w:rsid w:val="005458DD"/>
    <w:rsid w:val="0055155B"/>
    <w:rsid w:val="005606ED"/>
    <w:rsid w:val="00562543"/>
    <w:rsid w:val="00563744"/>
    <w:rsid w:val="005658B4"/>
    <w:rsid w:val="00567B55"/>
    <w:rsid w:val="00581C7F"/>
    <w:rsid w:val="005837AA"/>
    <w:rsid w:val="00587C17"/>
    <w:rsid w:val="005A3546"/>
    <w:rsid w:val="005B0883"/>
    <w:rsid w:val="005C005E"/>
    <w:rsid w:val="005C663F"/>
    <w:rsid w:val="005C6E8F"/>
    <w:rsid w:val="005D0899"/>
    <w:rsid w:val="005F3825"/>
    <w:rsid w:val="005F5C56"/>
    <w:rsid w:val="00610C12"/>
    <w:rsid w:val="006213EE"/>
    <w:rsid w:val="00622D5A"/>
    <w:rsid w:val="006250AB"/>
    <w:rsid w:val="006542CA"/>
    <w:rsid w:val="00654400"/>
    <w:rsid w:val="00657DEC"/>
    <w:rsid w:val="006656DE"/>
    <w:rsid w:val="0066687F"/>
    <w:rsid w:val="00673213"/>
    <w:rsid w:val="00680EBB"/>
    <w:rsid w:val="00684B09"/>
    <w:rsid w:val="00684F31"/>
    <w:rsid w:val="0068515E"/>
    <w:rsid w:val="00692108"/>
    <w:rsid w:val="00697948"/>
    <w:rsid w:val="006B36C4"/>
    <w:rsid w:val="006B3E29"/>
    <w:rsid w:val="006B5C80"/>
    <w:rsid w:val="006C2064"/>
    <w:rsid w:val="006D0FC1"/>
    <w:rsid w:val="006D3CB3"/>
    <w:rsid w:val="006D64F9"/>
    <w:rsid w:val="006F371C"/>
    <w:rsid w:val="00705E73"/>
    <w:rsid w:val="0071291D"/>
    <w:rsid w:val="00713083"/>
    <w:rsid w:val="007172C3"/>
    <w:rsid w:val="00717A1E"/>
    <w:rsid w:val="00717DFB"/>
    <w:rsid w:val="007225D5"/>
    <w:rsid w:val="00725E35"/>
    <w:rsid w:val="00736731"/>
    <w:rsid w:val="00737C30"/>
    <w:rsid w:val="00741FA5"/>
    <w:rsid w:val="00744F2E"/>
    <w:rsid w:val="00760826"/>
    <w:rsid w:val="007635F6"/>
    <w:rsid w:val="007655B5"/>
    <w:rsid w:val="00790A30"/>
    <w:rsid w:val="00790F0F"/>
    <w:rsid w:val="00793911"/>
    <w:rsid w:val="007A38ED"/>
    <w:rsid w:val="007A6336"/>
    <w:rsid w:val="007A77CD"/>
    <w:rsid w:val="007B53AD"/>
    <w:rsid w:val="007C074E"/>
    <w:rsid w:val="007C76BF"/>
    <w:rsid w:val="007D0F8E"/>
    <w:rsid w:val="007D2621"/>
    <w:rsid w:val="007D2FC4"/>
    <w:rsid w:val="007D74E7"/>
    <w:rsid w:val="007E594C"/>
    <w:rsid w:val="007F0C87"/>
    <w:rsid w:val="007F2826"/>
    <w:rsid w:val="007F4272"/>
    <w:rsid w:val="00800632"/>
    <w:rsid w:val="008015A5"/>
    <w:rsid w:val="0080173D"/>
    <w:rsid w:val="00802ECA"/>
    <w:rsid w:val="00803445"/>
    <w:rsid w:val="00805164"/>
    <w:rsid w:val="008150C2"/>
    <w:rsid w:val="008159C4"/>
    <w:rsid w:val="008161EA"/>
    <w:rsid w:val="00820C9F"/>
    <w:rsid w:val="0082157F"/>
    <w:rsid w:val="008271FD"/>
    <w:rsid w:val="00833E65"/>
    <w:rsid w:val="00837906"/>
    <w:rsid w:val="00863382"/>
    <w:rsid w:val="00864F38"/>
    <w:rsid w:val="0086764E"/>
    <w:rsid w:val="00872A69"/>
    <w:rsid w:val="00882F29"/>
    <w:rsid w:val="00883B80"/>
    <w:rsid w:val="008907FD"/>
    <w:rsid w:val="00891755"/>
    <w:rsid w:val="008B2B6E"/>
    <w:rsid w:val="008B39C8"/>
    <w:rsid w:val="008C0C9C"/>
    <w:rsid w:val="008C1C7F"/>
    <w:rsid w:val="008C6FA3"/>
    <w:rsid w:val="008D47C1"/>
    <w:rsid w:val="008E1D34"/>
    <w:rsid w:val="008E30DD"/>
    <w:rsid w:val="008F6942"/>
    <w:rsid w:val="008F7572"/>
    <w:rsid w:val="00902430"/>
    <w:rsid w:val="00902BE5"/>
    <w:rsid w:val="00903B40"/>
    <w:rsid w:val="00907103"/>
    <w:rsid w:val="00911ED2"/>
    <w:rsid w:val="00914C62"/>
    <w:rsid w:val="00917255"/>
    <w:rsid w:val="009367DE"/>
    <w:rsid w:val="00940CBC"/>
    <w:rsid w:val="00941E8E"/>
    <w:rsid w:val="00950D5A"/>
    <w:rsid w:val="00964ED6"/>
    <w:rsid w:val="00996A88"/>
    <w:rsid w:val="009A0599"/>
    <w:rsid w:val="009C44E8"/>
    <w:rsid w:val="009D3DDE"/>
    <w:rsid w:val="009E12D5"/>
    <w:rsid w:val="009E1CF7"/>
    <w:rsid w:val="009E2B8F"/>
    <w:rsid w:val="009E4158"/>
    <w:rsid w:val="009E5162"/>
    <w:rsid w:val="009E62CA"/>
    <w:rsid w:val="009E7474"/>
    <w:rsid w:val="009F0A38"/>
    <w:rsid w:val="009F1E1D"/>
    <w:rsid w:val="00A039FC"/>
    <w:rsid w:val="00A07A4A"/>
    <w:rsid w:val="00A07CBA"/>
    <w:rsid w:val="00A109DB"/>
    <w:rsid w:val="00A11DE9"/>
    <w:rsid w:val="00A12D67"/>
    <w:rsid w:val="00A13C7B"/>
    <w:rsid w:val="00A147C7"/>
    <w:rsid w:val="00A25476"/>
    <w:rsid w:val="00A26269"/>
    <w:rsid w:val="00A352DC"/>
    <w:rsid w:val="00A37008"/>
    <w:rsid w:val="00A460A5"/>
    <w:rsid w:val="00A65465"/>
    <w:rsid w:val="00A66BE1"/>
    <w:rsid w:val="00A72226"/>
    <w:rsid w:val="00A871BC"/>
    <w:rsid w:val="00A87B10"/>
    <w:rsid w:val="00A92876"/>
    <w:rsid w:val="00AA01D7"/>
    <w:rsid w:val="00AA1435"/>
    <w:rsid w:val="00AA276C"/>
    <w:rsid w:val="00AB6C7E"/>
    <w:rsid w:val="00AC0173"/>
    <w:rsid w:val="00AC11AE"/>
    <w:rsid w:val="00AC67EF"/>
    <w:rsid w:val="00AD242D"/>
    <w:rsid w:val="00AD429C"/>
    <w:rsid w:val="00AE01CF"/>
    <w:rsid w:val="00AE6188"/>
    <w:rsid w:val="00B0514D"/>
    <w:rsid w:val="00B10812"/>
    <w:rsid w:val="00B13F4E"/>
    <w:rsid w:val="00B17671"/>
    <w:rsid w:val="00B245FD"/>
    <w:rsid w:val="00B2746B"/>
    <w:rsid w:val="00B31648"/>
    <w:rsid w:val="00B31E60"/>
    <w:rsid w:val="00B40A4D"/>
    <w:rsid w:val="00B43971"/>
    <w:rsid w:val="00B43AC1"/>
    <w:rsid w:val="00B462D5"/>
    <w:rsid w:val="00B50085"/>
    <w:rsid w:val="00B5219F"/>
    <w:rsid w:val="00B54D63"/>
    <w:rsid w:val="00B67F8D"/>
    <w:rsid w:val="00B704FC"/>
    <w:rsid w:val="00B73E3C"/>
    <w:rsid w:val="00B74645"/>
    <w:rsid w:val="00B7546A"/>
    <w:rsid w:val="00B809C1"/>
    <w:rsid w:val="00B80C80"/>
    <w:rsid w:val="00B80FC3"/>
    <w:rsid w:val="00B82C94"/>
    <w:rsid w:val="00B93429"/>
    <w:rsid w:val="00B94B3E"/>
    <w:rsid w:val="00B97F23"/>
    <w:rsid w:val="00BA5EEF"/>
    <w:rsid w:val="00BB32A4"/>
    <w:rsid w:val="00BB6CEA"/>
    <w:rsid w:val="00BC1EEE"/>
    <w:rsid w:val="00BC4E63"/>
    <w:rsid w:val="00BD03B0"/>
    <w:rsid w:val="00BD1897"/>
    <w:rsid w:val="00BD324B"/>
    <w:rsid w:val="00BF1094"/>
    <w:rsid w:val="00BF1CAF"/>
    <w:rsid w:val="00BF304E"/>
    <w:rsid w:val="00C04F17"/>
    <w:rsid w:val="00C1069A"/>
    <w:rsid w:val="00C148FC"/>
    <w:rsid w:val="00C26939"/>
    <w:rsid w:val="00C40E88"/>
    <w:rsid w:val="00C46016"/>
    <w:rsid w:val="00C467FD"/>
    <w:rsid w:val="00C5555C"/>
    <w:rsid w:val="00C64CB5"/>
    <w:rsid w:val="00C6763F"/>
    <w:rsid w:val="00C76ED8"/>
    <w:rsid w:val="00C77B87"/>
    <w:rsid w:val="00C80773"/>
    <w:rsid w:val="00C83551"/>
    <w:rsid w:val="00C839F0"/>
    <w:rsid w:val="00C90FD3"/>
    <w:rsid w:val="00C91010"/>
    <w:rsid w:val="00C95C1A"/>
    <w:rsid w:val="00CA2568"/>
    <w:rsid w:val="00CA78BB"/>
    <w:rsid w:val="00CB5CF4"/>
    <w:rsid w:val="00CC1652"/>
    <w:rsid w:val="00CD7AF8"/>
    <w:rsid w:val="00CE2FFA"/>
    <w:rsid w:val="00CF5C32"/>
    <w:rsid w:val="00D00578"/>
    <w:rsid w:val="00D04000"/>
    <w:rsid w:val="00D04D4C"/>
    <w:rsid w:val="00D062A9"/>
    <w:rsid w:val="00D13804"/>
    <w:rsid w:val="00D15619"/>
    <w:rsid w:val="00D24A7A"/>
    <w:rsid w:val="00D2638D"/>
    <w:rsid w:val="00D267D7"/>
    <w:rsid w:val="00D301B3"/>
    <w:rsid w:val="00D30E3E"/>
    <w:rsid w:val="00D3193D"/>
    <w:rsid w:val="00D350AB"/>
    <w:rsid w:val="00D4181C"/>
    <w:rsid w:val="00D62C7A"/>
    <w:rsid w:val="00D62ECE"/>
    <w:rsid w:val="00D72C1D"/>
    <w:rsid w:val="00D73D4F"/>
    <w:rsid w:val="00D87FF0"/>
    <w:rsid w:val="00D93934"/>
    <w:rsid w:val="00D9513A"/>
    <w:rsid w:val="00DA0813"/>
    <w:rsid w:val="00DA471A"/>
    <w:rsid w:val="00DA4F87"/>
    <w:rsid w:val="00DA5B18"/>
    <w:rsid w:val="00DA7921"/>
    <w:rsid w:val="00DB7445"/>
    <w:rsid w:val="00DC4928"/>
    <w:rsid w:val="00DD10B2"/>
    <w:rsid w:val="00DD21AD"/>
    <w:rsid w:val="00DE07AE"/>
    <w:rsid w:val="00DE45B4"/>
    <w:rsid w:val="00DF4A81"/>
    <w:rsid w:val="00E108C4"/>
    <w:rsid w:val="00E1176B"/>
    <w:rsid w:val="00E1299E"/>
    <w:rsid w:val="00E14CEF"/>
    <w:rsid w:val="00E2067E"/>
    <w:rsid w:val="00E2444A"/>
    <w:rsid w:val="00E529BC"/>
    <w:rsid w:val="00E70724"/>
    <w:rsid w:val="00E72874"/>
    <w:rsid w:val="00E8158E"/>
    <w:rsid w:val="00E87167"/>
    <w:rsid w:val="00E904C8"/>
    <w:rsid w:val="00E92A7D"/>
    <w:rsid w:val="00E94276"/>
    <w:rsid w:val="00E95DAC"/>
    <w:rsid w:val="00EC093B"/>
    <w:rsid w:val="00EC0E84"/>
    <w:rsid w:val="00EC5E4A"/>
    <w:rsid w:val="00EF03EF"/>
    <w:rsid w:val="00F02D6B"/>
    <w:rsid w:val="00F0471A"/>
    <w:rsid w:val="00F07503"/>
    <w:rsid w:val="00F11A76"/>
    <w:rsid w:val="00F11D06"/>
    <w:rsid w:val="00F145CD"/>
    <w:rsid w:val="00F2108C"/>
    <w:rsid w:val="00F24737"/>
    <w:rsid w:val="00F24881"/>
    <w:rsid w:val="00F366BD"/>
    <w:rsid w:val="00F4130C"/>
    <w:rsid w:val="00F513C7"/>
    <w:rsid w:val="00F51C8F"/>
    <w:rsid w:val="00F520EB"/>
    <w:rsid w:val="00F61CA4"/>
    <w:rsid w:val="00F63DB1"/>
    <w:rsid w:val="00F6658F"/>
    <w:rsid w:val="00F66EEF"/>
    <w:rsid w:val="00F704B9"/>
    <w:rsid w:val="00F77F74"/>
    <w:rsid w:val="00F80E42"/>
    <w:rsid w:val="00F81934"/>
    <w:rsid w:val="00F829B0"/>
    <w:rsid w:val="00F978C6"/>
    <w:rsid w:val="00F97913"/>
    <w:rsid w:val="00F97B87"/>
    <w:rsid w:val="00FA1CCF"/>
    <w:rsid w:val="00FA63ED"/>
    <w:rsid w:val="00FA6738"/>
    <w:rsid w:val="00FB5616"/>
    <w:rsid w:val="00FB7A9F"/>
    <w:rsid w:val="00FC195C"/>
    <w:rsid w:val="00FD5309"/>
    <w:rsid w:val="00FF7701"/>
    <w:rsid w:val="00FF793B"/>
    <w:rsid w:val="77AE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qFormat/>
    <w:uiPriority w:val="0"/>
    <w:pPr>
      <w:keepNext/>
      <w:jc w:val="both"/>
      <w:outlineLvl w:val="0"/>
    </w:pPr>
    <w:rPr>
      <w:i/>
      <w:color w:val="000080"/>
      <w:sz w:val="22"/>
    </w:rPr>
  </w:style>
  <w:style w:type="paragraph" w:styleId="3">
    <w:name w:val="heading 2"/>
    <w:basedOn w:val="1"/>
    <w:next w:val="1"/>
    <w:qFormat/>
    <w:uiPriority w:val="0"/>
    <w:pPr>
      <w:keepNext/>
      <w:outlineLvl w:val="1"/>
    </w:pPr>
    <w:rPr>
      <w:i/>
      <w:sz w:val="22"/>
    </w:rPr>
  </w:style>
  <w:style w:type="paragraph" w:styleId="4">
    <w:name w:val="heading 3"/>
    <w:basedOn w:val="1"/>
    <w:next w:val="1"/>
    <w:qFormat/>
    <w:uiPriority w:val="0"/>
    <w:pPr>
      <w:keepNext/>
      <w:ind w:firstLine="720"/>
      <w:jc w:val="both"/>
      <w:outlineLvl w:val="2"/>
    </w:pPr>
    <w:rPr>
      <w:rFonts w:ascii="Garamond" w:hAnsi="Garamond"/>
      <w:sz w:val="28"/>
      <w:lang w:val="en-GB"/>
    </w:rPr>
  </w:style>
  <w:style w:type="paragraph" w:styleId="5">
    <w:name w:val="heading 4"/>
    <w:basedOn w:val="1"/>
    <w:next w:val="1"/>
    <w:link w:val="36"/>
    <w:qFormat/>
    <w:uiPriority w:val="0"/>
    <w:pPr>
      <w:keepNext/>
      <w:jc w:val="both"/>
      <w:outlineLvl w:val="3"/>
    </w:pPr>
    <w:rPr>
      <w:i/>
      <w:sz w:val="22"/>
    </w:rPr>
  </w:style>
  <w:style w:type="paragraph" w:styleId="6">
    <w:name w:val="heading 5"/>
    <w:basedOn w:val="1"/>
    <w:next w:val="1"/>
    <w:qFormat/>
    <w:uiPriority w:val="0"/>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qFormat/>
    <w:uiPriority w:val="0"/>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qFormat/>
    <w:uiPriority w:val="0"/>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qFormat/>
    <w:uiPriority w:val="0"/>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qFormat/>
    <w:uiPriority w:val="0"/>
    <w:pPr>
      <w:keepNext/>
      <w:spacing w:before="120" w:after="120"/>
      <w:outlineLvl w:val="8"/>
    </w:pPr>
    <w:rPr>
      <w:b/>
      <w:color w:val="80800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8"/>
    <w:qFormat/>
    <w:uiPriority w:val="0"/>
    <w:pPr>
      <w:overflowPunct w:val="0"/>
      <w:autoSpaceDE w:val="0"/>
      <w:autoSpaceDN w:val="0"/>
      <w:adjustRightInd w:val="0"/>
      <w:jc w:val="both"/>
      <w:textAlignment w:val="baseline"/>
    </w:pPr>
    <w:rPr>
      <w:sz w:val="24"/>
      <w:lang w:val="en-GB"/>
    </w:rPr>
  </w:style>
  <w:style w:type="paragraph" w:styleId="15">
    <w:name w:val="Body Text 2"/>
    <w:basedOn w:val="1"/>
    <w:qFormat/>
    <w:uiPriority w:val="0"/>
    <w:pPr>
      <w:overflowPunct w:val="0"/>
      <w:autoSpaceDE w:val="0"/>
      <w:autoSpaceDN w:val="0"/>
      <w:adjustRightInd w:val="0"/>
      <w:jc w:val="both"/>
      <w:textAlignment w:val="baseline"/>
    </w:pPr>
    <w:rPr>
      <w:color w:val="008000"/>
      <w:lang w:val="en-GB"/>
    </w:rPr>
  </w:style>
  <w:style w:type="paragraph" w:styleId="16">
    <w:name w:val="Body Text 3"/>
    <w:basedOn w:val="1"/>
    <w:qFormat/>
    <w:uiPriority w:val="0"/>
    <w:pPr>
      <w:jc w:val="both"/>
    </w:pPr>
    <w:rPr>
      <w:sz w:val="22"/>
    </w:rPr>
  </w:style>
  <w:style w:type="paragraph" w:styleId="17">
    <w:name w:val="Body Text Indent"/>
    <w:basedOn w:val="1"/>
    <w:qFormat/>
    <w:uiPriority w:val="0"/>
    <w:pPr>
      <w:autoSpaceDE w:val="0"/>
      <w:autoSpaceDN w:val="0"/>
    </w:pPr>
    <w:rPr>
      <w:rFonts w:ascii="Arial" w:hAnsi="Arial"/>
      <w:color w:val="000000"/>
    </w:rPr>
  </w:style>
  <w:style w:type="paragraph" w:styleId="18">
    <w:name w:val="Body Text Indent 3"/>
    <w:basedOn w:val="1"/>
    <w:qFormat/>
    <w:uiPriority w:val="0"/>
    <w:pPr>
      <w:overflowPunct w:val="0"/>
      <w:autoSpaceDE w:val="0"/>
      <w:autoSpaceDN w:val="0"/>
      <w:adjustRightInd w:val="0"/>
      <w:ind w:left="720"/>
      <w:textAlignment w:val="baseline"/>
    </w:pPr>
    <w:rPr>
      <w:rFonts w:ascii="Arial" w:hAnsi="Arial"/>
      <w:color w:val="000000"/>
      <w:sz w:val="22"/>
      <w:lang w:val="en-GB"/>
    </w:rPr>
  </w:style>
  <w:style w:type="paragraph" w:styleId="19">
    <w:name w:val="Document Map"/>
    <w:basedOn w:val="1"/>
    <w:semiHidden/>
    <w:qFormat/>
    <w:uiPriority w:val="0"/>
    <w:pPr>
      <w:shd w:val="clear" w:color="auto" w:fill="000080"/>
    </w:pPr>
    <w:rPr>
      <w:rFonts w:ascii="Tahoma" w:hAnsi="Tahoma"/>
    </w:rPr>
  </w:style>
  <w:style w:type="paragraph" w:styleId="20">
    <w:name w:val="footer"/>
    <w:basedOn w:val="1"/>
    <w:link w:val="42"/>
    <w:qFormat/>
    <w:uiPriority w:val="99"/>
    <w:pPr>
      <w:tabs>
        <w:tab w:val="center" w:pos="4320"/>
        <w:tab w:val="right" w:pos="8640"/>
      </w:tabs>
      <w:overflowPunct w:val="0"/>
      <w:autoSpaceDE w:val="0"/>
      <w:autoSpaceDN w:val="0"/>
      <w:adjustRightInd w:val="0"/>
      <w:textAlignment w:val="baseline"/>
    </w:pPr>
    <w:rPr>
      <w:sz w:val="24"/>
      <w:lang w:val="en-GB"/>
    </w:rPr>
  </w:style>
  <w:style w:type="paragraph" w:styleId="21">
    <w:name w:val="header"/>
    <w:basedOn w:val="1"/>
    <w:link w:val="30"/>
    <w:qFormat/>
    <w:uiPriority w:val="0"/>
    <w:pPr>
      <w:tabs>
        <w:tab w:val="center" w:pos="4320"/>
        <w:tab w:val="right" w:pos="8640"/>
      </w:tabs>
      <w:overflowPunct w:val="0"/>
      <w:autoSpaceDE w:val="0"/>
      <w:autoSpaceDN w:val="0"/>
      <w:adjustRightInd w:val="0"/>
      <w:textAlignment w:val="baseline"/>
    </w:pPr>
    <w:rPr>
      <w:sz w:val="24"/>
      <w:lang w:val="en-GB"/>
    </w:rPr>
  </w:style>
  <w:style w:type="character" w:styleId="22">
    <w:name w:val="Hyperlink"/>
    <w:qFormat/>
    <w:uiPriority w:val="0"/>
    <w:rPr>
      <w:color w:val="0033FF"/>
      <w:u w:val="single"/>
    </w:rPr>
  </w:style>
  <w:style w:type="paragraph" w:styleId="23">
    <w:name w:val="Normal (Web)"/>
    <w:basedOn w:val="1"/>
    <w:qFormat/>
    <w:uiPriority w:val="0"/>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4">
    <w:name w:val="page number"/>
    <w:basedOn w:val="11"/>
    <w:qFormat/>
    <w:uiPriority w:val="0"/>
  </w:style>
  <w:style w:type="paragraph" w:styleId="25">
    <w:name w:val="Plain Text"/>
    <w:basedOn w:val="1"/>
    <w:qFormat/>
    <w:uiPriority w:val="0"/>
    <w:rPr>
      <w:rFonts w:ascii="Courier New" w:hAnsi="Courier New"/>
    </w:rPr>
  </w:style>
  <w:style w:type="table" w:styleId="26">
    <w:name w:val="Table Grid"/>
    <w:basedOn w:val="12"/>
    <w:qFormat/>
    <w:uiPriority w:val="5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link w:val="35"/>
    <w:qFormat/>
    <w:uiPriority w:val="99"/>
    <w:pPr>
      <w:jc w:val="center"/>
    </w:pPr>
    <w:rPr>
      <w:b/>
      <w:sz w:val="24"/>
    </w:rPr>
  </w:style>
  <w:style w:type="paragraph" w:customStyle="1" w:styleId="28">
    <w:name w:val="Body Text 21"/>
    <w:basedOn w:val="1"/>
    <w:qFormat/>
    <w:uiPriority w:val="0"/>
    <w:pPr>
      <w:widowControl w:val="0"/>
    </w:pPr>
    <w:rPr>
      <w:sz w:val="24"/>
      <w:lang w:eastAsia="en-US"/>
    </w:rPr>
  </w:style>
  <w:style w:type="paragraph" w:customStyle="1" w:styleId="29">
    <w:name w:val="Style2"/>
    <w:basedOn w:val="1"/>
    <w:qFormat/>
    <w:uiPriority w:val="0"/>
    <w:pPr>
      <w:spacing w:line="360" w:lineRule="atLeast"/>
      <w:ind w:left="567"/>
      <w:jc w:val="both"/>
    </w:pPr>
    <w:rPr>
      <w:rFonts w:ascii="Arial" w:hAnsi="Arial"/>
      <w:sz w:val="24"/>
      <w:lang w:val="hr-HR" w:eastAsia="en-US"/>
    </w:rPr>
  </w:style>
  <w:style w:type="character" w:customStyle="1" w:styleId="30">
    <w:name w:val="Header Char"/>
    <w:link w:val="21"/>
    <w:qFormat/>
    <w:locked/>
    <w:uiPriority w:val="0"/>
    <w:rPr>
      <w:sz w:val="24"/>
      <w:lang w:val="en-GB" w:eastAsia="en-GB" w:bidi="ar-SA"/>
    </w:rPr>
  </w:style>
  <w:style w:type="character" w:customStyle="1" w:styleId="31">
    <w:name w:val="hps"/>
    <w:basedOn w:val="11"/>
    <w:qFormat/>
    <w:uiPriority w:val="0"/>
  </w:style>
  <w:style w:type="character" w:customStyle="1" w:styleId="32">
    <w:name w:val="hps atn"/>
    <w:basedOn w:val="11"/>
    <w:qFormat/>
    <w:uiPriority w:val="0"/>
  </w:style>
  <w:style w:type="character" w:customStyle="1" w:styleId="33">
    <w:name w:val="atn"/>
    <w:basedOn w:val="11"/>
    <w:qFormat/>
    <w:uiPriority w:val="0"/>
  </w:style>
  <w:style w:type="paragraph" w:customStyle="1" w:styleId="34">
    <w:name w:val="Char Char Char Char Char Char"/>
    <w:basedOn w:val="1"/>
    <w:qFormat/>
    <w:uiPriority w:val="0"/>
    <w:pPr>
      <w:spacing w:after="160" w:line="240" w:lineRule="exact"/>
    </w:pPr>
    <w:rPr>
      <w:rFonts w:ascii="Tahoma" w:hAnsi="Tahoma"/>
      <w:lang w:eastAsia="en-US"/>
    </w:rPr>
  </w:style>
  <w:style w:type="character" w:customStyle="1" w:styleId="35">
    <w:name w:val="Title Char"/>
    <w:link w:val="27"/>
    <w:qFormat/>
    <w:locked/>
    <w:uiPriority w:val="99"/>
    <w:rPr>
      <w:b/>
      <w:sz w:val="24"/>
      <w:lang w:val="en-US" w:eastAsia="en-GB" w:bidi="ar-SA"/>
    </w:rPr>
  </w:style>
  <w:style w:type="character" w:customStyle="1" w:styleId="36">
    <w:name w:val="Heading 4 Char"/>
    <w:link w:val="5"/>
    <w:qFormat/>
    <w:uiPriority w:val="0"/>
    <w:rPr>
      <w:i/>
      <w:sz w:val="22"/>
      <w:lang w:eastAsia="en-GB"/>
    </w:rPr>
  </w:style>
  <w:style w:type="paragraph" w:styleId="37">
    <w:name w:val="List Paragraph"/>
    <w:basedOn w:val="1"/>
    <w:qFormat/>
    <w:uiPriority w:val="0"/>
    <w:pPr>
      <w:ind w:left="720"/>
      <w:contextualSpacing/>
    </w:pPr>
    <w:rPr>
      <w:rFonts w:ascii="Calibri" w:hAnsi="Calibri" w:eastAsia="Calibri"/>
      <w:sz w:val="22"/>
      <w:szCs w:val="22"/>
      <w:lang w:eastAsia="en-US"/>
    </w:rPr>
  </w:style>
  <w:style w:type="character" w:customStyle="1" w:styleId="38">
    <w:name w:val="Body Text Char"/>
    <w:link w:val="14"/>
    <w:qFormat/>
    <w:uiPriority w:val="0"/>
    <w:rPr>
      <w:sz w:val="24"/>
      <w:lang w:val="en-GB" w:eastAsia="en-GB"/>
    </w:rPr>
  </w:style>
  <w:style w:type="character" w:customStyle="1" w:styleId="39">
    <w:name w:val="Char Char5"/>
    <w:qFormat/>
    <w:uiPriority w:val="0"/>
    <w:rPr>
      <w:i/>
      <w:sz w:val="22"/>
      <w:lang w:eastAsia="en-GB"/>
    </w:rPr>
  </w:style>
  <w:style w:type="character" w:customStyle="1" w:styleId="40">
    <w:name w:val="Char Char4"/>
    <w:qFormat/>
    <w:uiPriority w:val="0"/>
    <w:rPr>
      <w:sz w:val="24"/>
      <w:lang w:val="en-GB" w:eastAsia="en-GB"/>
    </w:rPr>
  </w:style>
  <w:style w:type="character" w:customStyle="1" w:styleId="41">
    <w:name w:val="long_text"/>
    <w:basedOn w:val="11"/>
    <w:qFormat/>
    <w:uiPriority w:val="0"/>
  </w:style>
  <w:style w:type="character" w:customStyle="1" w:styleId="42">
    <w:name w:val="Footer Char"/>
    <w:link w:val="20"/>
    <w:qFormat/>
    <w:uiPriority w:val="99"/>
    <w:rPr>
      <w:sz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D65CD-8C88-49BB-B16F-A610D2B56244}">
  <ds:schemaRefs/>
</ds:datastoreItem>
</file>

<file path=customXml/itemProps2.xml><?xml version="1.0" encoding="utf-8"?>
<ds:datastoreItem xmlns:ds="http://schemas.openxmlformats.org/officeDocument/2006/customXml" ds:itemID="{11427AE5-2627-4A65-8725-58F51F06E749}">
  <ds:schemaRefs/>
</ds:datastoreItem>
</file>

<file path=customXml/itemProps3.xml><?xml version="1.0" encoding="utf-8"?>
<ds:datastoreItem xmlns:ds="http://schemas.openxmlformats.org/officeDocument/2006/customXml" ds:itemID="{B2BDD7D3-BC91-4E82-9E07-284011897D0D}">
  <ds:schemaRefs/>
</ds:datastoreItem>
</file>

<file path=customXml/itemProps4.xml><?xml version="1.0" encoding="utf-8"?>
<ds:datastoreItem xmlns:ds="http://schemas.openxmlformats.org/officeDocument/2006/customXml" ds:itemID="{F38A9E1B-1B56-42AE-8010-CD9BD3854CB3}">
  <ds:schemaRefs/>
</ds:datastoreItem>
</file>

<file path=docProps/app.xml><?xml version="1.0" encoding="utf-8"?>
<Properties xmlns="http://schemas.openxmlformats.org/officeDocument/2006/extended-properties" xmlns:vt="http://schemas.openxmlformats.org/officeDocument/2006/docPropsVTypes">
  <Template>Normal</Template>
  <Company>AD Alkaloid</Company>
  <Pages>18</Pages>
  <Words>11754</Words>
  <Characters>66998</Characters>
  <Lines>558</Lines>
  <Paragraphs>157</Paragraphs>
  <TotalTime>1</TotalTime>
  <ScaleCrop>false</ScaleCrop>
  <LinksUpToDate>false</LinksUpToDate>
  <CharactersWithSpaces>78595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2022-07-26T07:32:00Z</dcterms:created>
  <dc:creator>AD Alkaloid</dc:creator>
  <cp:lastModifiedBy>Haris</cp:lastModifiedBy>
  <cp:lastPrinted>2013-06-14T12:32:00Z</cp:lastPrinted>
  <dcterms:modified xsi:type="dcterms:W3CDTF">2025-02-21T14:59:37Z</dcterms:modified>
  <dc:title>SUMMARY OF PRODUCT CHARACTERISTICS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C2302F5F98FC4D0C964652880E8E5C71_13</vt:lpwstr>
  </property>
</Properties>
</file>