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6E53">
      <w:pPr>
        <w:ind w:firstLine="0"/>
        <w:jc w:val="center"/>
        <w:rPr>
          <w:rFonts w:ascii="Microsoft Sans Serif" w:hAnsi="Microsoft Sans Serif" w:cs="Microsoft Sans Serif"/>
          <w:b/>
          <w:sz w:val="20"/>
          <w:szCs w:val="20"/>
        </w:rPr>
      </w:pPr>
      <w:bookmarkStart w:id="0" w:name="_GoBack"/>
      <w:bookmarkEnd w:id="0"/>
      <w:r>
        <w:rPr>
          <w:rFonts w:ascii="Microsoft Sans Serif" w:hAnsi="Microsoft Sans Serif" w:cs="Microsoft Sans Serif"/>
          <w:b/>
          <w:sz w:val="20"/>
          <w:szCs w:val="20"/>
        </w:rPr>
        <w:t>UPUTSTVO ZA PACIJENTA</w:t>
      </w:r>
    </w:p>
    <w:p w14:paraId="78CC4169">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Syrleno </w:t>
      </w:r>
    </w:p>
    <w:p w14:paraId="4EF6627D">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2,5 mg</w:t>
      </w:r>
    </w:p>
    <w:p w14:paraId="5D2D2D4D">
      <w:pPr>
        <w:ind w:firstLine="0"/>
        <w:jc w:val="both"/>
        <w:rPr>
          <w:rFonts w:ascii="Microsoft Sans Serif" w:hAnsi="Microsoft Sans Serif" w:eastAsia="Times New Roman" w:cs="Microsoft Sans Serif"/>
          <w:sz w:val="20"/>
          <w:szCs w:val="20"/>
          <w:vertAlign w:val="superscript"/>
          <w:lang w:val="bs-Latn-BA" w:eastAsia="en-US"/>
        </w:rPr>
      </w:pPr>
      <w:r>
        <w:rPr>
          <w:rFonts w:ascii="Microsoft Sans Serif" w:hAnsi="Microsoft Sans Serif" w:eastAsia="Times New Roman" w:cs="Microsoft Sans Serif"/>
          <w:sz w:val="20"/>
          <w:szCs w:val="20"/>
          <w:lang w:val="bs-Latn-BA" w:eastAsia="en-US"/>
        </w:rPr>
        <w:t xml:space="preserve">5 mg </w:t>
      </w:r>
    </w:p>
    <w:p w14:paraId="292FBF49">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 xml:space="preserve">10 mg </w:t>
      </w:r>
    </w:p>
    <w:p w14:paraId="27CA24F8">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tablete</w:t>
      </w:r>
    </w:p>
    <w:p w14:paraId="10F90295">
      <w:pPr>
        <w:ind w:firstLine="0"/>
        <w:jc w:val="both"/>
        <w:rPr>
          <w:rFonts w:ascii="Microsoft Sans Serif" w:hAnsi="Microsoft Sans Serif" w:eastAsia="Times New Roman" w:cs="Microsoft Sans Serif"/>
          <w:i/>
          <w:snapToGrid w:val="0"/>
          <w:sz w:val="20"/>
          <w:szCs w:val="20"/>
          <w:lang w:val="bs-Latn-BA" w:eastAsia="en-US"/>
        </w:rPr>
      </w:pPr>
      <w:r>
        <w:rPr>
          <w:rFonts w:ascii="Microsoft Sans Serif" w:hAnsi="Microsoft Sans Serif" w:eastAsia="Times New Roman" w:cs="Microsoft Sans Serif"/>
          <w:i/>
          <w:snapToGrid w:val="0"/>
          <w:sz w:val="20"/>
          <w:szCs w:val="20"/>
          <w:lang w:val="bs-Latn-BA" w:eastAsia="en-US"/>
        </w:rPr>
        <w:t>everolimus</w:t>
      </w:r>
    </w:p>
    <w:p w14:paraId="3BE4C25B">
      <w:pPr>
        <w:ind w:firstLine="0"/>
        <w:jc w:val="both"/>
        <w:rPr>
          <w:rFonts w:ascii="Microsoft Sans Serif" w:hAnsi="Microsoft Sans Serif" w:eastAsia="Times New Roman" w:cs="Microsoft Sans Serif"/>
          <w:snapToGrid w:val="0"/>
          <w:sz w:val="20"/>
          <w:szCs w:val="20"/>
          <w:lang w:val="bs-Latn-BA" w:eastAsia="en-US"/>
        </w:rPr>
      </w:pPr>
    </w:p>
    <w:p w14:paraId="5200E7B0">
      <w:pPr>
        <w:ind w:firstLine="0"/>
        <w:jc w:val="both"/>
        <w:rPr>
          <w:rFonts w:ascii="Microsoft Sans Serif" w:hAnsi="Microsoft Sans Serif" w:eastAsia="Times New Roman" w:cs="Microsoft Sans Serif"/>
          <w:b/>
          <w:snapToGrid w:val="0"/>
          <w:sz w:val="20"/>
          <w:szCs w:val="20"/>
          <w:lang w:val="bs-Latn-BA" w:eastAsia="en-US"/>
        </w:rPr>
      </w:pPr>
    </w:p>
    <w:p w14:paraId="07C5217C">
      <w:pPr>
        <w:shd w:val="clear" w:color="auto" w:fill="FFFFFF"/>
        <w:ind w:firstLine="0"/>
        <w:jc w:val="both"/>
        <w:rPr>
          <w:rFonts w:ascii="Microsoft Sans Serif" w:hAnsi="Microsoft Sans Serif" w:eastAsia="Times New Roman" w:cs="Microsoft Sans Serif"/>
          <w:i/>
          <w:iCs/>
          <w:sz w:val="20"/>
          <w:szCs w:val="20"/>
          <w:lang w:val="bs-Latn-BA" w:eastAsia="en-US"/>
        </w:rPr>
      </w:pPr>
      <w:r>
        <w:rPr>
          <w:rFonts w:ascii="Microsoft Sans Serif" w:hAnsi="Microsoft Sans Serif" w:eastAsia="Times New Roman" w:cs="Microsoft Sans Serif"/>
          <w:i/>
          <w:iCs/>
          <w:sz w:val="20"/>
          <w:szCs w:val="20"/>
          <w:lang w:val="bs-Latn-BA" w:eastAsia="en-US"/>
        </w:rPr>
        <w:t>Prije upotrebe lijeka pažljivo pročitajte ovo uputstvo, jer s</w:t>
      </w:r>
      <w:r>
        <w:rPr>
          <w:rFonts w:ascii="Microsoft Sans Serif" w:hAnsi="Microsoft Sans Serif" w:eastAsia="Times New Roman" w:cs="Microsoft Sans Serif"/>
          <w:i/>
          <w:iCs/>
          <w:sz w:val="20"/>
          <w:szCs w:val="20"/>
          <w:lang w:val="hr-BA" w:eastAsia="en-US"/>
        </w:rPr>
        <w:t>adrži informacije koje su važne za Vas</w:t>
      </w:r>
      <w:r>
        <w:rPr>
          <w:rFonts w:ascii="Microsoft Sans Serif" w:hAnsi="Microsoft Sans Serif" w:eastAsia="Times New Roman" w:cs="Microsoft Sans Serif"/>
          <w:i/>
          <w:iCs/>
          <w:sz w:val="20"/>
          <w:szCs w:val="20"/>
          <w:lang w:val="bs-Latn-BA" w:eastAsia="en-US"/>
        </w:rPr>
        <w:t>.</w:t>
      </w:r>
    </w:p>
    <w:p w14:paraId="30A23DA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Uputstvo sačuvajte. Možda ćete željeti ponovo da ga pročitate.</w:t>
      </w:r>
    </w:p>
    <w:p w14:paraId="5B2424E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dodatnih pitanja, obratite se svom ljekaru ili farmaceutu.</w:t>
      </w:r>
    </w:p>
    <w:p w14:paraId="14A9A29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Ovaj lijek je propisan lično Vama i ne smijete ga dati drugome. Drugome ovaj lijek može da škodi, čak i ako ima znake bolesti slične Vašima.</w:t>
      </w:r>
    </w:p>
    <w:p w14:paraId="4ACE61E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bilo koje neželjeno djelovanje postane ozbiljno, ili ako primijetite neželjena djelovanja koja ovdje nisu navedena, molimo Vas da to kažete svom ljekaru ili farmaceutu. </w:t>
      </w:r>
    </w:p>
    <w:p w14:paraId="6A8FA559">
      <w:pPr>
        <w:suppressAutoHyphens/>
        <w:ind w:firstLine="0"/>
        <w:jc w:val="both"/>
        <w:rPr>
          <w:rFonts w:ascii="Microsoft Sans Serif" w:hAnsi="Microsoft Sans Serif" w:eastAsia="Times New Roman" w:cs="Microsoft Sans Serif"/>
          <w:b/>
          <w:sz w:val="20"/>
          <w:szCs w:val="20"/>
          <w:lang w:val="bs-Latn-BA" w:eastAsia="en-US"/>
        </w:rPr>
      </w:pPr>
    </w:p>
    <w:p w14:paraId="23C748E3">
      <w:pPr>
        <w:ind w:firstLine="0"/>
        <w:jc w:val="both"/>
        <w:rPr>
          <w:rFonts w:ascii="Microsoft Sans Serif" w:hAnsi="Microsoft Sans Serif" w:eastAsia="Times New Roman" w:cs="Microsoft Sans Serif"/>
          <w:b/>
          <w:bCs/>
          <w:sz w:val="20"/>
          <w:szCs w:val="20"/>
          <w:lang w:val="bs-Latn-BA" w:eastAsia="en-US"/>
        </w:rPr>
      </w:pPr>
      <w:r>
        <w:rPr>
          <w:rFonts w:ascii="Microsoft Sans Serif" w:hAnsi="Microsoft Sans Serif" w:eastAsia="Times New Roman" w:cs="Microsoft Sans Serif"/>
          <w:b/>
          <w:bCs/>
          <w:sz w:val="20"/>
          <w:szCs w:val="20"/>
          <w:lang w:val="bs-Latn-BA" w:eastAsia="en-US"/>
        </w:rPr>
        <w:t>Uputstvo sadrži:</w:t>
      </w:r>
    </w:p>
    <w:p w14:paraId="2F43E21D">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Šta je lijek Syrleno</w:t>
      </w:r>
      <w:r>
        <w:rPr>
          <w:rFonts w:ascii="Microsoft Sans Serif" w:hAnsi="Microsoft Sans Serif" w:eastAsia="Times New Roman" w:cs="Microsoft Sans Serif"/>
          <w:b/>
          <w:sz w:val="20"/>
          <w:szCs w:val="20"/>
          <w:lang w:val="bs-Latn-BA" w:eastAsia="en-US"/>
        </w:rPr>
        <w:t xml:space="preserve"> </w:t>
      </w:r>
      <w:r>
        <w:rPr>
          <w:rFonts w:ascii="Microsoft Sans Serif" w:hAnsi="Microsoft Sans Serif" w:eastAsia="Times New Roman" w:cs="Microsoft Sans Serif"/>
          <w:sz w:val="20"/>
          <w:szCs w:val="20"/>
          <w:lang w:val="bs-Latn-BA" w:eastAsia="en-US"/>
        </w:rPr>
        <w:t>i za šta se koristi</w:t>
      </w:r>
    </w:p>
    <w:p w14:paraId="5A464E79">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Prije nego što počnete da uzimate lijek Syrleno</w:t>
      </w:r>
      <w:r>
        <w:rPr>
          <w:rFonts w:ascii="Microsoft Sans Serif" w:hAnsi="Microsoft Sans Serif" w:eastAsia="Times New Roman" w:cs="Microsoft Sans Serif"/>
          <w:b/>
          <w:sz w:val="20"/>
          <w:szCs w:val="20"/>
          <w:lang w:val="bs-Latn-BA" w:eastAsia="en-US"/>
        </w:rPr>
        <w:t xml:space="preserve"> </w:t>
      </w:r>
    </w:p>
    <w:p w14:paraId="563D4CED">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z w:val="20"/>
          <w:szCs w:val="20"/>
          <w:lang w:val="bs-Latn-BA" w:eastAsia="en-US"/>
        </w:rPr>
        <w:t>Kako uzimati lijek Syrleno</w:t>
      </w:r>
      <w:r>
        <w:rPr>
          <w:rFonts w:ascii="Microsoft Sans Serif" w:hAnsi="Microsoft Sans Serif" w:eastAsia="Times New Roman" w:cs="Microsoft Sans Serif"/>
          <w:b/>
          <w:sz w:val="20"/>
          <w:szCs w:val="20"/>
          <w:lang w:val="bs-Latn-BA" w:eastAsia="en-US"/>
        </w:rPr>
        <w:t xml:space="preserve"> </w:t>
      </w:r>
    </w:p>
    <w:p w14:paraId="08BCF931">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napToGrid w:val="0"/>
          <w:sz w:val="20"/>
          <w:szCs w:val="20"/>
          <w:lang w:val="bs-Latn-BA" w:eastAsia="en-US"/>
        </w:rPr>
        <w:t>Moguća neželjena djelovanja</w:t>
      </w:r>
    </w:p>
    <w:p w14:paraId="54B07F27">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Kako čuvati lijek Syrleno</w:t>
      </w:r>
      <w:r>
        <w:rPr>
          <w:rFonts w:ascii="Microsoft Sans Serif" w:hAnsi="Microsoft Sans Serif" w:eastAsia="Times New Roman" w:cs="Microsoft Sans Serif"/>
          <w:b/>
          <w:sz w:val="20"/>
          <w:szCs w:val="20"/>
          <w:lang w:val="bs-Latn-BA" w:eastAsia="en-US"/>
        </w:rPr>
        <w:t xml:space="preserve"> </w:t>
      </w:r>
    </w:p>
    <w:p w14:paraId="120AD768">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Dodatne informacije</w:t>
      </w:r>
    </w:p>
    <w:p w14:paraId="44F67B43">
      <w:pPr>
        <w:ind w:firstLine="0"/>
        <w:jc w:val="both"/>
        <w:rPr>
          <w:rFonts w:ascii="Microsoft Sans Serif" w:hAnsi="Microsoft Sans Serif" w:eastAsia="Times New Roman" w:cs="Microsoft Sans Serif"/>
          <w:sz w:val="20"/>
          <w:szCs w:val="20"/>
          <w:lang w:val="en-US" w:eastAsia="en-US"/>
        </w:rPr>
      </w:pPr>
    </w:p>
    <w:p w14:paraId="3EE381F2">
      <w:pPr>
        <w:ind w:firstLine="0"/>
        <w:jc w:val="both"/>
        <w:rPr>
          <w:rFonts w:ascii="Microsoft Sans Serif" w:hAnsi="Microsoft Sans Serif" w:eastAsia="Times New Roman" w:cs="Microsoft Sans Serif"/>
          <w:sz w:val="20"/>
          <w:szCs w:val="20"/>
          <w:lang w:val="en-US" w:eastAsia="en-US"/>
        </w:rPr>
      </w:pPr>
    </w:p>
    <w:p w14:paraId="38FCFB21">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ŠTA JE LIJEK SYRLENO I ZA ŠTA SE KORISTI?</w:t>
      </w:r>
    </w:p>
    <w:p w14:paraId="5C3AEF23">
      <w:pPr>
        <w:pStyle w:val="66"/>
        <w:ind w:left="0" w:firstLine="0"/>
        <w:rPr>
          <w:rFonts w:ascii="Microsoft Sans Serif" w:hAnsi="Microsoft Sans Serif" w:cs="Microsoft Sans Serif"/>
          <w:b/>
          <w:sz w:val="20"/>
          <w:szCs w:val="20"/>
        </w:rPr>
      </w:pPr>
    </w:p>
    <w:p w14:paraId="5BF4FCD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je lijek koji sadrži aktivnu supstancu everolimus i koristi se za liječenje raka. Everolimus smanjuje snabdijevanje tumora krvlju te usporava rast i širenje ćelij</w:t>
      </w:r>
      <w:r>
        <w:rPr>
          <w:rFonts w:ascii="Microsoft Sans Serif" w:hAnsi="Microsoft Sans Serif" w:cs="Microsoft Sans Serif"/>
          <w:sz w:val="20"/>
          <w:szCs w:val="20"/>
          <w:lang w:val="sr-Cyrl-RS"/>
        </w:rPr>
        <w:t>е</w:t>
      </w:r>
      <w:r>
        <w:rPr>
          <w:rFonts w:ascii="Microsoft Sans Serif" w:hAnsi="Microsoft Sans Serif" w:cs="Microsoft Sans Serif"/>
          <w:sz w:val="20"/>
          <w:szCs w:val="20"/>
        </w:rPr>
        <w:t xml:space="preserve"> raka.</w:t>
      </w:r>
    </w:p>
    <w:p w14:paraId="60957A62">
      <w:pPr>
        <w:ind w:firstLine="0"/>
        <w:jc w:val="both"/>
        <w:rPr>
          <w:rFonts w:ascii="Microsoft Sans Serif" w:hAnsi="Microsoft Sans Serif" w:cs="Microsoft Sans Serif"/>
          <w:sz w:val="20"/>
          <w:szCs w:val="20"/>
        </w:rPr>
      </w:pPr>
    </w:p>
    <w:p w14:paraId="6184E21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se koristi kod odraslih pacijenata za liječenje:</w:t>
      </w:r>
    </w:p>
    <w:p w14:paraId="41E3243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uznapredovalog karcinoma dojke </w:t>
      </w:r>
      <w:r>
        <w:rPr>
          <w:rFonts w:ascii="Microsoft Sans Serif" w:hAnsi="Microsoft Sans Serif" w:cs="Microsoft Sans Serif"/>
          <w:sz w:val="20"/>
          <w:szCs w:val="20"/>
          <w:lang w:val="hr-BA"/>
        </w:rPr>
        <w:t xml:space="preserve">pozitivnog na hormonske recepore </w:t>
      </w:r>
      <w:r>
        <w:rPr>
          <w:rFonts w:ascii="Microsoft Sans Serif" w:hAnsi="Microsoft Sans Serif" w:cs="Microsoft Sans Serif"/>
          <w:sz w:val="20"/>
          <w:szCs w:val="20"/>
        </w:rPr>
        <w:t>kod žena u postmenopauzi, kod kojih drugi lijekovi (takozvani ‘’nesteroidni inhibitori aromataze’’) više ne drže bolest pod kontrolom. Koristi se zajedno sa lijekom koji se zove eksemestan, steroidni inhibitor aromataze, koji se koristi kao hormonska terapija za lije</w:t>
      </w:r>
      <w:r>
        <w:rPr>
          <w:rFonts w:ascii="Microsoft Sans Serif" w:hAnsi="Microsoft Sans Serif" w:cs="Microsoft Sans Serif"/>
          <w:sz w:val="20"/>
          <w:szCs w:val="20"/>
          <w:lang w:val="hr-BA"/>
        </w:rPr>
        <w:t>čenje</w:t>
      </w:r>
      <w:r>
        <w:rPr>
          <w:rFonts w:ascii="Microsoft Sans Serif" w:hAnsi="Microsoft Sans Serif" w:cs="Microsoft Sans Serif"/>
          <w:sz w:val="20"/>
          <w:szCs w:val="20"/>
        </w:rPr>
        <w:t xml:space="preserve"> karcinoma,</w:t>
      </w:r>
    </w:p>
    <w:p w14:paraId="41F115D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uznapredovalih  tumora koji se nazivaju neuroendokrinim tumorima, a potiču iz želuca, crijeva, pluća ili pankreasa. Primjenjuje se ako se tumori ne mogu liječiti hirurški (neoperabilni) i ako ne stvaraju specifične hormone ili druge, srodne, prirodne supstance u prevelikoj količini,</w:t>
      </w:r>
    </w:p>
    <w:p w14:paraId="58E0AED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uznapredovalog raka bubrega (uznapredovali rak bubrežnih ćelija), kada drugе terapije (takozvanе "VEGF-ciljana terapija") nisu pomogli u zaustavljanju Vaše bolesti.</w:t>
      </w:r>
    </w:p>
    <w:p w14:paraId="3EA0CCCB">
      <w:pPr>
        <w:pStyle w:val="66"/>
        <w:ind w:left="0" w:firstLine="0"/>
        <w:jc w:val="both"/>
        <w:rPr>
          <w:rFonts w:ascii="Microsoft Sans Serif" w:hAnsi="Microsoft Sans Serif" w:cs="Microsoft Sans Serif"/>
          <w:sz w:val="20"/>
          <w:szCs w:val="20"/>
        </w:rPr>
      </w:pPr>
    </w:p>
    <w:p w14:paraId="39DD5B4B">
      <w:pPr>
        <w:pStyle w:val="66"/>
        <w:ind w:left="0" w:firstLine="0"/>
        <w:jc w:val="both"/>
        <w:rPr>
          <w:rFonts w:ascii="Microsoft Sans Serif" w:hAnsi="Microsoft Sans Serif" w:cs="Microsoft Sans Serif"/>
          <w:sz w:val="20"/>
          <w:szCs w:val="20"/>
          <w:lang w:val="mk-MK"/>
        </w:rPr>
      </w:pPr>
    </w:p>
    <w:p w14:paraId="7C041406">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PRIJE NEGO ŠTO POČNETE DA UZIMATE LIJEK SYRLENO</w:t>
      </w:r>
    </w:p>
    <w:p w14:paraId="43812AD5">
      <w:pPr>
        <w:pStyle w:val="66"/>
        <w:ind w:left="0" w:firstLine="0"/>
        <w:rPr>
          <w:rFonts w:ascii="Microsoft Sans Serif" w:hAnsi="Microsoft Sans Serif" w:cs="Microsoft Sans Serif"/>
          <w:b/>
          <w:sz w:val="20"/>
          <w:szCs w:val="20"/>
        </w:rPr>
      </w:pPr>
    </w:p>
    <w:p w14:paraId="4D55029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će Vam propisati ljekar sa iskustvom u liječenju raka. Pažljivo pratite sva ljekarska uputstva. Ona se mogu razlikovati od opštih informacija koje sadrži ovo uputstvo. Ako imate bilo kakvih pitanja o lijeku Syrleno ili zašto Vam je propisan, obratite se svom ljekaru.</w:t>
      </w:r>
    </w:p>
    <w:p w14:paraId="51508908">
      <w:pPr>
        <w:ind w:firstLine="0"/>
        <w:jc w:val="both"/>
        <w:rPr>
          <w:rFonts w:ascii="Microsoft Sans Serif" w:hAnsi="Microsoft Sans Serif" w:cs="Microsoft Sans Serif"/>
          <w:sz w:val="20"/>
          <w:szCs w:val="20"/>
        </w:rPr>
      </w:pPr>
    </w:p>
    <w:p w14:paraId="19A5EAA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Nemojte uzimati lijek Syrleno:</w:t>
      </w:r>
    </w:p>
    <w:p w14:paraId="0D26B320">
      <w:pPr>
        <w:pStyle w:val="66"/>
        <w:numPr>
          <w:ilvl w:val="0"/>
          <w:numId w:val="1"/>
        </w:numPr>
        <w:tabs>
          <w:tab w:val="left" w:pos="284"/>
        </w:tabs>
        <w:jc w:val="both"/>
        <w:rPr>
          <w:rFonts w:ascii="Microsoft Sans Serif" w:hAnsi="Microsoft Sans Serif" w:cs="Microsoft Sans Serif"/>
          <w:sz w:val="20"/>
          <w:szCs w:val="20"/>
        </w:rPr>
      </w:pPr>
      <w:r>
        <w:rPr>
          <w:rFonts w:ascii="Microsoft Sans Serif" w:hAnsi="Microsoft Sans Serif" w:cs="Microsoft Sans Serif"/>
          <w:sz w:val="20"/>
          <w:szCs w:val="20"/>
        </w:rPr>
        <w:t>ako ste alergični na everolimus, na srodne supstance kao što su sirolimus ili temsirolimus, ili na bilo koju od pomoćnih supstanci  ovog lijeka (navedene u dijelu 6.).</w:t>
      </w:r>
    </w:p>
    <w:p w14:paraId="20B2928B">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mislite da ste možda alergični, potražite savjet od svog ljekara.</w:t>
      </w:r>
    </w:p>
    <w:p w14:paraId="7DAC8FA5">
      <w:pPr>
        <w:ind w:firstLine="0"/>
        <w:jc w:val="both"/>
        <w:rPr>
          <w:rFonts w:ascii="Microsoft Sans Serif" w:hAnsi="Microsoft Sans Serif" w:cs="Microsoft Sans Serif"/>
          <w:sz w:val="20"/>
          <w:szCs w:val="20"/>
        </w:rPr>
      </w:pPr>
    </w:p>
    <w:p w14:paraId="3000ACBB">
      <w:pPr>
        <w:ind w:firstLine="0"/>
        <w:jc w:val="both"/>
        <w:rPr>
          <w:rFonts w:ascii="Microsoft Sans Serif" w:hAnsi="Microsoft Sans Serif" w:cs="Microsoft Sans Serif"/>
          <w:sz w:val="20"/>
          <w:szCs w:val="20"/>
        </w:rPr>
      </w:pPr>
    </w:p>
    <w:p w14:paraId="5395E7A1">
      <w:pPr>
        <w:ind w:firstLine="0"/>
        <w:jc w:val="both"/>
        <w:rPr>
          <w:rFonts w:ascii="Microsoft Sans Serif" w:hAnsi="Microsoft Sans Serif" w:cs="Microsoft Sans Serif"/>
          <w:sz w:val="20"/>
          <w:szCs w:val="20"/>
        </w:rPr>
      </w:pPr>
    </w:p>
    <w:p w14:paraId="20E97ADC">
      <w:pPr>
        <w:ind w:firstLine="0"/>
        <w:jc w:val="both"/>
        <w:rPr>
          <w:rFonts w:ascii="Microsoft Sans Serif" w:hAnsi="Microsoft Sans Serif" w:cs="Microsoft Sans Serif"/>
          <w:sz w:val="20"/>
          <w:szCs w:val="20"/>
        </w:rPr>
      </w:pPr>
    </w:p>
    <w:p w14:paraId="4073C0CB">
      <w:pPr>
        <w:ind w:firstLine="0"/>
        <w:jc w:val="both"/>
        <w:rPr>
          <w:rFonts w:ascii="Microsoft Sans Serif" w:hAnsi="Microsoft Sans Serif" w:cs="Microsoft Sans Serif"/>
          <w:sz w:val="20"/>
          <w:szCs w:val="20"/>
        </w:rPr>
      </w:pPr>
    </w:p>
    <w:p w14:paraId="600FB323">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Upozorenja i mjere opreza</w:t>
      </w:r>
    </w:p>
    <w:p w14:paraId="55582BD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Razgovarajte sa svojim ljekarom prije nego što uzmete lijek Syrleno ako:</w:t>
      </w:r>
    </w:p>
    <w:p w14:paraId="3296C70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bilo kakvih problema sa jetrom ili ako ste ikada imali neku bolest koja je možda uticala na rad jetre. U tom slučaju ljekar će Vam možda propisati drugačiju dozu lijeka Syrleno,</w:t>
      </w:r>
    </w:p>
    <w:p w14:paraId="207A2AA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dijabetes (visok nivo šećera u krvi). Lijek Syrleno može povećati nivo šećera u krvi i pogoršati dijabetes. Ovo može dovesti do potrebe za terapijom insulinom i/ili oralnim antidijabeticima. Obavijestite svog ljekara ako osjećate pojačanu žeđ ili ako češće mokrite,</w:t>
      </w:r>
    </w:p>
    <w:p w14:paraId="09C22C2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trebate primiti vakcinu tokom liječenja lijekom Syrleno,</w:t>
      </w:r>
    </w:p>
    <w:p w14:paraId="7924501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povišen holesterol. Lijek Syrleno može povećati nivoe holesterola i/ili drugih masnoća u krvi,</w:t>
      </w:r>
    </w:p>
    <w:p w14:paraId="0122967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nedavno imali veću hiruršku intervenciju ili ako imate ranu koja nije zarasla nakon hirurške intervencije. Lijek Syrleno može povećati rizik za nastanak problema vezanih za zarastanje rane,</w:t>
      </w:r>
    </w:p>
    <w:p w14:paraId="26F25D8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infekciju. Možda će biti potrebno liječiti infekciju prije početka liječenja lijekom Syrleno,</w:t>
      </w:r>
    </w:p>
    <w:p w14:paraId="673F8E9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ranije imali hepatitis B, jer se može reaktivirati tokom liječenja lijekom Syrleno (pogledajte dio 4. ‘Moguće neželjene reakcije’),</w:t>
      </w:r>
    </w:p>
    <w:p w14:paraId="3AFA837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primili ili trebate primiti terapiju zračenjem.</w:t>
      </w:r>
    </w:p>
    <w:p w14:paraId="3791805F">
      <w:pPr>
        <w:pStyle w:val="66"/>
        <w:ind w:left="0" w:firstLine="0"/>
        <w:jc w:val="both"/>
        <w:rPr>
          <w:rFonts w:ascii="Microsoft Sans Serif" w:hAnsi="Microsoft Sans Serif" w:cs="Microsoft Sans Serif"/>
          <w:sz w:val="20"/>
          <w:szCs w:val="20"/>
        </w:rPr>
      </w:pPr>
    </w:p>
    <w:p w14:paraId="63F6977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takođe može:</w:t>
      </w:r>
    </w:p>
    <w:p w14:paraId="44B73FE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oslabiti Vaš imunološki sistem. Zbog toga možete biti u opasnosti od infekcije dok uzimate Syrleno. Ako imate povišenu tjelesnu temperatura ili druge znake infekcije, posavetujte se sa Vašim ljekarom. Neke infekcije mogu biti ozbiljne i imati fatalne posljedice,</w:t>
      </w:r>
    </w:p>
    <w:p w14:paraId="451B2E6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uticati na funkciju bubrega. Zato će Vam ljekar pratiti funkciju Vaših bubrega dok uzimate Syrleno,</w:t>
      </w:r>
    </w:p>
    <w:p w14:paraId="3ECFE2B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kratak dah, kašalj i povišenu tjelesnu temperaturu,</w:t>
      </w:r>
    </w:p>
    <w:p w14:paraId="67EB1474">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razviti čireve na ustima i rane. Možda će Vaš ljekar morati prekinuti liječenje lijekom Syrleno. Možda će Vam trebati terapija sa vodom za ispiranje usta, gelom ili drugim proizvodima. Neke vode za ispiranje usta i gelovi mogu pogoršati čireve, zato nemojte ništa pokušavati bez prethodne konsultacije sa Vašim ljekarom. Vaš ljekar može ponovo započeti liječenje lijekom Syrleno istom ili manjom dozom,</w:t>
      </w:r>
    </w:p>
    <w:p w14:paraId="566D2CD8">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komplikacije terapije zračenjem. Prijavljene su teške komplikacije terapije zračenjem (kao što su otežano disanje, mučnina, dijareja, osip na koži, bol u ustima, desni i grlu), uključujući slučajeve sa smrtnim ishodom, kod nekih pacijenata koji su uzimali everolimus istovremeno sa terapijom zračenjem ili koji su uzimali everolimus ubrzo nakon primanja terapije zračenjem. Osim toga, prijavljen je tzv. sindrom inflamatorne reakcije ozračenog područja (uključujući crvenilo kože ili upalu pluća na mjestu prethodne terapije zračenjem) kod pacijenata koji su u prošlosti primali terapiju zračenjem.</w:t>
      </w:r>
    </w:p>
    <w:p w14:paraId="483929EC">
      <w:pPr>
        <w:pStyle w:val="66"/>
        <w:tabs>
          <w:tab w:val="left" w:pos="0"/>
        </w:tabs>
        <w:ind w:left="284"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ako ste planirani da primite terapiju zračenjem u bliskoj budućnosti ili ako ste ranije primali terapiju zračenjem.</w:t>
      </w:r>
    </w:p>
    <w:p w14:paraId="540A195A">
      <w:pPr>
        <w:ind w:firstLine="0"/>
        <w:rPr>
          <w:rFonts w:ascii="Microsoft Sans Serif" w:hAnsi="Microsoft Sans Serif" w:cs="Microsoft Sans Serif"/>
          <w:sz w:val="20"/>
          <w:szCs w:val="20"/>
        </w:rPr>
      </w:pPr>
    </w:p>
    <w:p w14:paraId="227B6AA3">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Recite svom ljekaru</w:t>
      </w:r>
      <w:r>
        <w:rPr>
          <w:rFonts w:ascii="Microsoft Sans Serif" w:hAnsi="Microsoft Sans Serif" w:cs="Microsoft Sans Serif"/>
          <w:sz w:val="20"/>
          <w:szCs w:val="20"/>
        </w:rPr>
        <w:t xml:space="preserve"> ako osjetite navedene simptome.</w:t>
      </w:r>
    </w:p>
    <w:p w14:paraId="73B6B9FE">
      <w:pPr>
        <w:ind w:firstLine="0"/>
        <w:jc w:val="both"/>
        <w:rPr>
          <w:rFonts w:ascii="Microsoft Sans Serif" w:hAnsi="Microsoft Sans Serif" w:cs="Microsoft Sans Serif"/>
          <w:sz w:val="20"/>
          <w:szCs w:val="20"/>
        </w:rPr>
      </w:pPr>
    </w:p>
    <w:p w14:paraId="440A29C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redovno će Vam se kontrolisati krvna slika. Time se provjerava količina krvnih ćelija (bijelih krvnih ćelija, crvenih krvnih ćelija i krvnih pločica) u Vašem organizmu da bi se utvrdilo ima li lijek Syrleno nekog neželjenog efekta na spomenute ćelije. Krvne pretrage će </w:t>
      </w:r>
      <w:r>
        <w:rPr>
          <w:rFonts w:ascii="Microsoft Sans Serif" w:hAnsi="Microsoft Sans Serif" w:cs="Microsoft Sans Serif"/>
          <w:sz w:val="20"/>
          <w:szCs w:val="20"/>
          <w:lang w:val="hr-BA"/>
        </w:rPr>
        <w:t>se raditi i zbog</w:t>
      </w:r>
      <w:r>
        <w:rPr>
          <w:rFonts w:ascii="Microsoft Sans Serif" w:hAnsi="Microsoft Sans Serif" w:cs="Microsoft Sans Serif"/>
          <w:sz w:val="20"/>
          <w:szCs w:val="20"/>
        </w:rPr>
        <w:t xml:space="preserve"> provjere funkcije Vaših bubrega (nivo kreatinina) i funkcije Vaše jetre (nivo transaminaza) kao i provjere nivoa šećera i holesterola u Vašoj krvi. Ovo treba provjeriti zato što lijek Syrleno može uticati na sve ove parametre.</w:t>
      </w:r>
    </w:p>
    <w:p w14:paraId="54F09AEB">
      <w:pPr>
        <w:ind w:firstLine="0"/>
        <w:jc w:val="both"/>
        <w:rPr>
          <w:rFonts w:ascii="Microsoft Sans Serif" w:hAnsi="Microsoft Sans Serif" w:cs="Microsoft Sans Serif"/>
          <w:sz w:val="20"/>
          <w:szCs w:val="20"/>
        </w:rPr>
      </w:pPr>
    </w:p>
    <w:p w14:paraId="2D73FFF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563065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nije namijenjen za primjenu kod djece ili adolescenata (mlađih od 18 godina).</w:t>
      </w:r>
    </w:p>
    <w:p w14:paraId="19C026FA">
      <w:pPr>
        <w:ind w:firstLine="0"/>
        <w:jc w:val="both"/>
        <w:rPr>
          <w:rFonts w:ascii="Microsoft Sans Serif" w:hAnsi="Microsoft Sans Serif" w:cs="Microsoft Sans Serif"/>
          <w:sz w:val="20"/>
          <w:szCs w:val="20"/>
        </w:rPr>
      </w:pPr>
    </w:p>
    <w:p w14:paraId="7BA402E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Drugi lijekovi i lijek Syrleno</w:t>
      </w:r>
    </w:p>
    <w:p w14:paraId="5E117AEA">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mehanizam djelovanja nekih drugih lijekova. Ako uzimate druge lijekove istovremeno sa lijekom Syrleno, Vaš ljekar će možda morati promijeniti dozu lijeka Syrleno ili tih drugih lijekova.</w:t>
      </w:r>
    </w:p>
    <w:p w14:paraId="5FA55905">
      <w:pPr>
        <w:ind w:firstLine="0"/>
        <w:jc w:val="both"/>
        <w:rPr>
          <w:rFonts w:ascii="Microsoft Sans Serif" w:hAnsi="Microsoft Sans Serif" w:cs="Microsoft Sans Serif"/>
          <w:sz w:val="20"/>
          <w:szCs w:val="20"/>
        </w:rPr>
      </w:pPr>
    </w:p>
    <w:p w14:paraId="6554F1E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ili farmaceutu ako uzimate, nedavno ste uz</w:t>
      </w:r>
      <w:r>
        <w:rPr>
          <w:rFonts w:ascii="Microsoft Sans Serif" w:hAnsi="Microsoft Sans Serif" w:cs="Microsoft Sans Serif"/>
          <w:sz w:val="20"/>
          <w:szCs w:val="20"/>
          <w:lang w:val="hr-BA"/>
        </w:rPr>
        <w:t>ima</w:t>
      </w:r>
      <w:r>
        <w:rPr>
          <w:rFonts w:ascii="Microsoft Sans Serif" w:hAnsi="Microsoft Sans Serif" w:cs="Microsoft Sans Serif"/>
          <w:sz w:val="20"/>
          <w:szCs w:val="20"/>
        </w:rPr>
        <w:t>li ili ćete možda uzimati bilo koje druge lijekove.</w:t>
      </w:r>
    </w:p>
    <w:p w14:paraId="06D00F25">
      <w:pPr>
        <w:ind w:firstLine="0"/>
        <w:jc w:val="both"/>
        <w:rPr>
          <w:rFonts w:ascii="Microsoft Sans Serif" w:hAnsi="Microsoft Sans Serif" w:cs="Microsoft Sans Serif"/>
          <w:sz w:val="20"/>
          <w:szCs w:val="20"/>
        </w:rPr>
      </w:pPr>
    </w:p>
    <w:p w14:paraId="76E1C01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povećati rizik od neželjenih djelovanja lijeka Syrleno:</w:t>
      </w:r>
    </w:p>
    <w:p w14:paraId="0CB4EAC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ketokonazol, itrakonazol, vorikonazol ili flukonazol i drugi lijekovi koji se koriste za liječenje gljivičnih infekcija,</w:t>
      </w:r>
    </w:p>
    <w:p w14:paraId="13A0636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klaritromicin, telitromicin ili eritromicin, antibiotici koji se koriste za liječenje bakterijskih infekcija,</w:t>
      </w:r>
    </w:p>
    <w:p w14:paraId="0B1187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ritonavir i drugi lijekovi koji se koriste za liječenja HIV infekcije/SIDA-e,</w:t>
      </w:r>
    </w:p>
    <w:p w14:paraId="3A7BF51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verapamil ili diltiazem koji se koriste za liječenje srčanih bolesti ili visokog krvnog pritiska,</w:t>
      </w:r>
    </w:p>
    <w:p w14:paraId="40760CC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dronedaron, lijek koji se koristi kao pomoć u regulaciji otkucaja srca,</w:t>
      </w:r>
    </w:p>
    <w:p w14:paraId="0BD4380F">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ciklosporin, lijek koji se koristi za sprječavanje odbacivanja presađenog organa,</w:t>
      </w:r>
    </w:p>
    <w:p w14:paraId="67775929">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imatinib, lijek koji se koristi za usporavanje rasta abnormalnih ćelija,</w:t>
      </w:r>
    </w:p>
    <w:p w14:paraId="04E4F1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inhibitori angiotenzin konvertujućeg enzima (ACE) (poput ramiprila) koji se koriste za liječenje visokog krvnog pritiska ili drugih kardiovaskularnih problema,</w:t>
      </w:r>
    </w:p>
    <w:p w14:paraId="04D382D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nefazodon, koristi se za terapiju depresije,</w:t>
      </w:r>
    </w:p>
    <w:p w14:paraId="5E0560C1">
      <w:pPr>
        <w:pStyle w:val="66"/>
        <w:numPr>
          <w:ilvl w:val="0"/>
          <w:numId w:val="1"/>
        </w:numPr>
        <w:tabs>
          <w:tab w:val="left" w:pos="284"/>
        </w:tabs>
        <w:ind w:left="426" w:hanging="426"/>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kanabidiol (koji se, između ostalih lijekova, koristi za liječenje konvulzija). </w:t>
      </w:r>
    </w:p>
    <w:p w14:paraId="0F5DAD4C">
      <w:pPr>
        <w:pStyle w:val="66"/>
        <w:ind w:left="0" w:firstLine="0"/>
        <w:jc w:val="both"/>
        <w:rPr>
          <w:rFonts w:ascii="Microsoft Sans Serif" w:hAnsi="Microsoft Sans Serif" w:cs="Microsoft Sans Serif"/>
          <w:sz w:val="20"/>
          <w:szCs w:val="20"/>
        </w:rPr>
      </w:pPr>
    </w:p>
    <w:p w14:paraId="17CE06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da umanje efikasnost lijeka Syrleno:</w:t>
      </w:r>
    </w:p>
    <w:p w14:paraId="55E186BC">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rifampicin koji se koristi za liječenje tuberkuloze,</w:t>
      </w:r>
    </w:p>
    <w:p w14:paraId="47FACD3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efavirenz ili nevirapin, koji se koriste za liječenje HIV infekcije/SIDA-e,</w:t>
      </w:r>
    </w:p>
    <w:p w14:paraId="53EB64B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kantarion (Hypericum perforatum), biljni preparat koji se koristi u liječenju depresije i drugih stanja,</w:t>
      </w:r>
    </w:p>
    <w:p w14:paraId="4CD548E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deksametazon, kortikosteroid koji se koristi za liječenje niza stanja, uključujući upale i poremećaje imunološkog sistema,</w:t>
      </w:r>
    </w:p>
    <w:p w14:paraId="70018367">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fenitoin, karbamazepin ili fenobarbital i drugi antiepileptici koji se koriste za sprječavanje konvulzija ili grčeva.</w:t>
      </w:r>
    </w:p>
    <w:p w14:paraId="051B0A85">
      <w:pPr>
        <w:ind w:firstLine="0"/>
        <w:rPr>
          <w:rFonts w:ascii="Microsoft Sans Serif" w:hAnsi="Microsoft Sans Serif" w:cs="Microsoft Sans Serif"/>
          <w:sz w:val="20"/>
          <w:szCs w:val="20"/>
        </w:rPr>
      </w:pPr>
    </w:p>
    <w:p w14:paraId="796F4CC8">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gore navedene lijekove potrebno je izbjegavati. Ako uzmete bilo koji od njih, Vaš ljekar može odlučiti propisati Vam neki drugi lijek ili izmijeniti Vašu dozu lijeka Syrleno.</w:t>
      </w:r>
    </w:p>
    <w:p w14:paraId="3DE184E6">
      <w:pPr>
        <w:ind w:firstLine="0"/>
        <w:jc w:val="both"/>
        <w:rPr>
          <w:rFonts w:ascii="Microsoft Sans Serif" w:hAnsi="Microsoft Sans Serif" w:cs="Microsoft Sans Serif"/>
          <w:sz w:val="20"/>
          <w:szCs w:val="20"/>
        </w:rPr>
      </w:pPr>
    </w:p>
    <w:p w14:paraId="0FB4494B">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Syrleno sa hranom i pićem</w:t>
      </w:r>
    </w:p>
    <w:p w14:paraId="126C7E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izbjegavajte konzumaciju grejpa i soka od grejpa. On može povećati količinu Syrleno u krvi, moguće i do štetnih nivoa.</w:t>
      </w:r>
    </w:p>
    <w:p w14:paraId="67431C7D">
      <w:pPr>
        <w:ind w:firstLine="0"/>
        <w:jc w:val="both"/>
        <w:rPr>
          <w:rFonts w:ascii="Microsoft Sans Serif" w:hAnsi="Microsoft Sans Serif" w:cs="Microsoft Sans Serif"/>
          <w:sz w:val="20"/>
          <w:szCs w:val="20"/>
        </w:rPr>
      </w:pPr>
    </w:p>
    <w:p w14:paraId="14A8C91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Trudnoća, dojenje i plodnost</w:t>
      </w:r>
    </w:p>
    <w:p w14:paraId="2A38585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Trudnoća</w:t>
      </w:r>
    </w:p>
    <w:p w14:paraId="4EA1F6A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može naštetiti Vašem nerođenom djetetu te se ne preporučuje tokom trudnoće. Obavijestite svog ljekara ako ste trudni ili mislite da biste mogli biti trudni. Vaš će ljekar sa Vama prodiskutovati hoćete li uzimati ovaj lijek tokom trudnoće.</w:t>
      </w:r>
    </w:p>
    <w:p w14:paraId="367FE724">
      <w:pPr>
        <w:ind w:firstLine="0"/>
        <w:jc w:val="both"/>
        <w:rPr>
          <w:rFonts w:ascii="Microsoft Sans Serif" w:hAnsi="Microsoft Sans Serif" w:cs="Microsoft Sans Serif"/>
          <w:sz w:val="20"/>
          <w:szCs w:val="20"/>
        </w:rPr>
      </w:pPr>
    </w:p>
    <w:p w14:paraId="63D329B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koje bi mogle zatrudniti moraju provoditi visoko efikasnu kontracepciju tokom liječenja i do 8 nedelja nakon završetka liječenja. Ako, uprkos ovim mjerama, mislite da ste možda ostali u drugom stanju, posavjetujte se sa svojim ljekarom prije nego nastavite da uzimate lijek Syrleno.</w:t>
      </w:r>
    </w:p>
    <w:p w14:paraId="36F34E6F">
      <w:pPr>
        <w:ind w:firstLine="0"/>
        <w:jc w:val="both"/>
        <w:rPr>
          <w:rFonts w:ascii="Microsoft Sans Serif" w:hAnsi="Microsoft Sans Serif" w:cs="Microsoft Sans Serif"/>
          <w:sz w:val="20"/>
          <w:szCs w:val="20"/>
        </w:rPr>
      </w:pPr>
    </w:p>
    <w:p w14:paraId="2F14B7B7">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Dojenje</w:t>
      </w:r>
    </w:p>
    <w:p w14:paraId="48D8B49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naštetiti Vašem dojenčetu. Ne treba da dojite tokom liječenja i 2 nedelje nakon posljednje doze lijeka Syrleno. Obavijestite svog ljekara ako dojite.</w:t>
      </w:r>
    </w:p>
    <w:p w14:paraId="3C948E72">
      <w:pPr>
        <w:ind w:firstLine="0"/>
        <w:jc w:val="both"/>
        <w:rPr>
          <w:rFonts w:ascii="Microsoft Sans Serif" w:hAnsi="Microsoft Sans Serif" w:cs="Microsoft Sans Serif"/>
          <w:sz w:val="20"/>
          <w:szCs w:val="20"/>
        </w:rPr>
      </w:pPr>
    </w:p>
    <w:p w14:paraId="2A298ED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Plodnost kod žena</w:t>
      </w:r>
    </w:p>
    <w:p w14:paraId="1759CFB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Kod nekih pacijentica koje koriste lijek Syrleno zabilježen je izostanak menstrualnih ciklusa (amenoreja). Lijek Syrleno može uticati na plodnost žene. Popričajte sa svojim ljekarom ako želite imati djecu.</w:t>
      </w:r>
    </w:p>
    <w:p w14:paraId="6B831BE9">
      <w:pPr>
        <w:ind w:firstLine="0"/>
        <w:jc w:val="both"/>
        <w:rPr>
          <w:rFonts w:ascii="Microsoft Sans Serif" w:hAnsi="Microsoft Sans Serif" w:cs="Microsoft Sans Serif"/>
          <w:sz w:val="20"/>
          <w:szCs w:val="20"/>
        </w:rPr>
      </w:pPr>
    </w:p>
    <w:p w14:paraId="1FD2B7D3">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Muška plodnost</w:t>
      </w:r>
    </w:p>
    <w:p w14:paraId="54214C3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plodnost muškarca. Razgovarajte sa Vašim ljekarom ako želite začeti dijete.</w:t>
      </w:r>
    </w:p>
    <w:p w14:paraId="77E07E52">
      <w:pPr>
        <w:ind w:firstLine="0"/>
        <w:jc w:val="both"/>
        <w:rPr>
          <w:rFonts w:ascii="Microsoft Sans Serif" w:hAnsi="Microsoft Sans Serif" w:cs="Microsoft Sans Serif"/>
          <w:sz w:val="20"/>
          <w:szCs w:val="20"/>
        </w:rPr>
      </w:pPr>
    </w:p>
    <w:p w14:paraId="0481081F">
      <w:pPr>
        <w:ind w:firstLine="0"/>
        <w:jc w:val="both"/>
        <w:rPr>
          <w:rFonts w:ascii="Microsoft Sans Serif" w:hAnsi="Microsoft Sans Serif" w:cs="Microsoft Sans Serif"/>
          <w:b/>
          <w:sz w:val="20"/>
          <w:szCs w:val="20"/>
        </w:rPr>
      </w:pPr>
    </w:p>
    <w:p w14:paraId="52CB14F9">
      <w:pPr>
        <w:ind w:firstLine="0"/>
        <w:jc w:val="both"/>
        <w:rPr>
          <w:rFonts w:ascii="Microsoft Sans Serif" w:hAnsi="Microsoft Sans Serif" w:cs="Microsoft Sans Serif"/>
          <w:b/>
          <w:sz w:val="20"/>
          <w:szCs w:val="20"/>
        </w:rPr>
      </w:pPr>
    </w:p>
    <w:p w14:paraId="174AEF84">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Upravljanje vozilima i mašinama</w:t>
      </w:r>
    </w:p>
    <w:p w14:paraId="30D360A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se osjećate neuobičajeno umorno (umor je vrlo često neželjeno djelovanje), budite posebno oprezni dok upravljate vozilima ili mašinama.</w:t>
      </w:r>
    </w:p>
    <w:p w14:paraId="382F2435">
      <w:pPr>
        <w:ind w:firstLine="0"/>
        <w:jc w:val="both"/>
        <w:rPr>
          <w:rFonts w:ascii="Microsoft Sans Serif" w:hAnsi="Microsoft Sans Serif" w:cs="Microsoft Sans Serif"/>
          <w:sz w:val="20"/>
          <w:szCs w:val="20"/>
        </w:rPr>
      </w:pPr>
    </w:p>
    <w:p w14:paraId="038CDAAD">
      <w:pPr>
        <w:ind w:firstLine="0"/>
        <w:jc w:val="both"/>
        <w:rPr>
          <w:rFonts w:ascii="Microsoft Sans Serif" w:hAnsi="Microsoft Sans Serif" w:cs="Microsoft Sans Serif"/>
          <w:sz w:val="20"/>
          <w:szCs w:val="20"/>
        </w:rPr>
      </w:pPr>
      <w:r>
        <w:rPr>
          <w:rFonts w:ascii="Microsoft Sans Serif" w:hAnsi="Microsoft Sans Serif" w:cs="Microsoft Sans Serif"/>
          <w:b/>
          <w:bCs/>
          <w:sz w:val="20"/>
          <w:szCs w:val="20"/>
          <w:lang w:val="bs-Latn-BA"/>
        </w:rPr>
        <w:t>Šta morate znati o pomoćnim supstancama koje sadrži lijek Syrleno</w:t>
      </w:r>
    </w:p>
    <w:p w14:paraId="20D2072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sadrži laktozu. Ako Vam je ljekar rekao da imate bolest nepodno</w:t>
      </w:r>
      <w:r>
        <w:rPr>
          <w:rFonts w:ascii="Microsoft Sans Serif" w:hAnsi="Microsoft Sans Serif" w:cs="Microsoft Sans Serif"/>
          <w:sz w:val="20"/>
          <w:szCs w:val="20"/>
          <w:lang w:val="hr-BA"/>
        </w:rPr>
        <w:t>šenja</w:t>
      </w:r>
      <w:r>
        <w:rPr>
          <w:rFonts w:ascii="Microsoft Sans Serif" w:hAnsi="Microsoft Sans Serif" w:cs="Microsoft Sans Serif"/>
          <w:sz w:val="20"/>
          <w:szCs w:val="20"/>
        </w:rPr>
        <w:t xml:space="preserve"> nekih šećera, prije nego što počnete uzimati ovaj lijek posavjetujte se sa svojim ljekarom.</w:t>
      </w:r>
    </w:p>
    <w:p w14:paraId="3469DB1B">
      <w:pPr>
        <w:ind w:firstLine="0"/>
        <w:jc w:val="both"/>
        <w:rPr>
          <w:rFonts w:ascii="Microsoft Sans Serif" w:hAnsi="Microsoft Sans Serif" w:cs="Microsoft Sans Serif"/>
          <w:sz w:val="20"/>
          <w:szCs w:val="20"/>
        </w:rPr>
      </w:pPr>
    </w:p>
    <w:p w14:paraId="5C077685">
      <w:pPr>
        <w:ind w:firstLine="0"/>
        <w:jc w:val="both"/>
        <w:rPr>
          <w:rFonts w:ascii="Microsoft Sans Serif" w:hAnsi="Microsoft Sans Serif" w:cs="Microsoft Sans Serif"/>
          <w:sz w:val="20"/>
          <w:szCs w:val="20"/>
        </w:rPr>
      </w:pPr>
    </w:p>
    <w:p w14:paraId="255AB2BF">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UZIMATI LIJEK SYRLENO</w:t>
      </w:r>
    </w:p>
    <w:p w14:paraId="2388087A">
      <w:pPr>
        <w:pStyle w:val="66"/>
        <w:ind w:left="0" w:firstLine="0"/>
        <w:rPr>
          <w:rFonts w:ascii="Microsoft Sans Serif" w:hAnsi="Microsoft Sans Serif" w:cs="Microsoft Sans Serif"/>
          <w:b/>
          <w:sz w:val="20"/>
          <w:szCs w:val="20"/>
        </w:rPr>
      </w:pPr>
    </w:p>
    <w:p w14:paraId="34BA07EA">
      <w:pPr>
        <w:shd w:val="clear" w:color="auto" w:fill="FFFFFF"/>
        <w:ind w:firstLine="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rPr>
        <w:t xml:space="preserve">Uvijek uzmite ovaj lijek tačno onako kako Vam je rekao Vaš ljekar ili farmaceut. </w:t>
      </w:r>
      <w:r>
        <w:rPr>
          <w:rFonts w:ascii="Microsoft Sans Serif" w:hAnsi="Microsoft Sans Serif" w:cs="Microsoft Sans Serif"/>
          <w:iCs/>
          <w:sz w:val="20"/>
          <w:szCs w:val="20"/>
          <w:lang w:val="bs-Latn-BA"/>
        </w:rPr>
        <w:t>Ukoliko niste sigurni kako, posavjetujte se sa ljekarom ili farmaceutom.</w:t>
      </w:r>
    </w:p>
    <w:p w14:paraId="0ABD6359">
      <w:pPr>
        <w:ind w:firstLine="0"/>
        <w:jc w:val="both"/>
        <w:rPr>
          <w:rFonts w:ascii="Microsoft Sans Serif" w:hAnsi="Microsoft Sans Serif" w:cs="Microsoft Sans Serif"/>
          <w:sz w:val="20"/>
          <w:szCs w:val="20"/>
        </w:rPr>
      </w:pPr>
    </w:p>
    <w:p w14:paraId="1E99105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Preporučena doza je 10 mg jednom dnevno. Ljekar će Vam reći koliko tableta Syrleno ćete uzimati.</w:t>
      </w:r>
    </w:p>
    <w:p w14:paraId="7113DC19">
      <w:pPr>
        <w:ind w:firstLine="0"/>
        <w:jc w:val="both"/>
        <w:rPr>
          <w:rFonts w:ascii="Microsoft Sans Serif" w:hAnsi="Microsoft Sans Serif" w:cs="Microsoft Sans Serif"/>
          <w:sz w:val="20"/>
          <w:szCs w:val="20"/>
        </w:rPr>
      </w:pPr>
    </w:p>
    <w:p w14:paraId="21EFA1C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imate probleme sa jetrom, ljekar će možda započeti liječenje nižom dozom lijeka Syrleno (2,5, 5 ili 7,5 mg na dan).</w:t>
      </w:r>
    </w:p>
    <w:p w14:paraId="011DD19F">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Vam se jave određena neželjena djelovanja za vrijeme trajanja liječenja lijekom Syrleno (vidjeti dio 4.), Vaš ljekar može odlučiti da Vam smanji dozu lijeka ili prekinuti liječenje, privremeno ili trajno.</w:t>
      </w:r>
    </w:p>
    <w:p w14:paraId="6FFF6613">
      <w:pPr>
        <w:ind w:firstLine="0"/>
        <w:jc w:val="both"/>
        <w:rPr>
          <w:rFonts w:ascii="Microsoft Sans Serif" w:hAnsi="Microsoft Sans Serif" w:cs="Microsoft Sans Serif"/>
          <w:sz w:val="20"/>
          <w:szCs w:val="20"/>
        </w:rPr>
      </w:pPr>
    </w:p>
    <w:p w14:paraId="33FBD24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uzimajte jednom dnevno, otprilike u isto vrijeme svakoga dana, dosljedno sa ili bez hrane.</w:t>
      </w:r>
    </w:p>
    <w:p w14:paraId="5EBEB80C">
      <w:pPr>
        <w:ind w:firstLine="0"/>
        <w:jc w:val="both"/>
        <w:rPr>
          <w:rFonts w:ascii="Microsoft Sans Serif" w:hAnsi="Microsoft Sans Serif" w:cs="Microsoft Sans Serif"/>
          <w:sz w:val="20"/>
          <w:szCs w:val="20"/>
        </w:rPr>
      </w:pPr>
    </w:p>
    <w:p w14:paraId="55A77E6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Tabletu(e) progutajte cijele, sa čašom vode. Nemojte žvakati niti drobiti tablete.</w:t>
      </w:r>
    </w:p>
    <w:p w14:paraId="15A9DBD0">
      <w:pPr>
        <w:ind w:firstLine="0"/>
        <w:jc w:val="both"/>
        <w:rPr>
          <w:rFonts w:ascii="Microsoft Sans Serif" w:hAnsi="Microsoft Sans Serif" w:cs="Microsoft Sans Serif"/>
          <w:sz w:val="20"/>
          <w:szCs w:val="20"/>
        </w:rPr>
      </w:pPr>
    </w:p>
    <w:p w14:paraId="3062879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uzmete više lijeka Syrleno nego što ste trebali</w:t>
      </w:r>
    </w:p>
    <w:p w14:paraId="4EF87B34">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ste uzeli previše lijeka Syrleno, ili je neko drugi zabunom popio Vaše tablete, odmah se javite ljekaru ili otiđite u bolnicu. Može biti potrebno hitno liječenje.</w:t>
      </w:r>
    </w:p>
    <w:p w14:paraId="2D9B617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Sa sobom ponesite originalno pakovanje i ovo uputstvo za pacijenta, kako bi ljekar znao što je uzeto.</w:t>
      </w:r>
    </w:p>
    <w:p w14:paraId="3CF606F0">
      <w:pPr>
        <w:ind w:firstLine="0"/>
        <w:jc w:val="both"/>
        <w:rPr>
          <w:rFonts w:ascii="Microsoft Sans Serif" w:hAnsi="Microsoft Sans Serif" w:cs="Microsoft Sans Serif"/>
          <w:b/>
          <w:sz w:val="20"/>
          <w:szCs w:val="20"/>
        </w:rPr>
      </w:pPr>
    </w:p>
    <w:p w14:paraId="45750BB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ste zaboravili uzeti Syrleno</w:t>
      </w:r>
    </w:p>
    <w:p w14:paraId="364E4B5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Ako propustite</w:t>
      </w:r>
      <w:r>
        <w:rPr>
          <w:rFonts w:ascii="Microsoft Sans Serif" w:hAnsi="Microsoft Sans Serif" w:cs="Microsoft Sans Serif"/>
          <w:sz w:val="20"/>
          <w:szCs w:val="20"/>
        </w:rPr>
        <w:t xml:space="preserve"> dozu lijeka, sljedeću dozu uzmite prema uobičajenom rasporedu. Nemojte uzeti dvostruku dozu kako biste nadoknadili zaboravljene tablete.</w:t>
      </w:r>
    </w:p>
    <w:p w14:paraId="74ADDBE4">
      <w:pPr>
        <w:ind w:firstLine="0"/>
        <w:jc w:val="both"/>
        <w:rPr>
          <w:rFonts w:ascii="Microsoft Sans Serif" w:hAnsi="Microsoft Sans Serif" w:cs="Microsoft Sans Serif"/>
          <w:sz w:val="20"/>
          <w:szCs w:val="20"/>
        </w:rPr>
      </w:pPr>
    </w:p>
    <w:p w14:paraId="4CD9A101">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prestanete uzimati Syrleno</w:t>
      </w:r>
    </w:p>
    <w:p w14:paraId="540281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Nemojte prestati uzimati lijek Syrleno sve dok Vam to ne kaže Vaš ljekar.</w:t>
      </w:r>
    </w:p>
    <w:p w14:paraId="7F3C3D8A">
      <w:pPr>
        <w:ind w:firstLine="0"/>
        <w:jc w:val="both"/>
        <w:rPr>
          <w:rFonts w:ascii="Microsoft Sans Serif" w:hAnsi="Microsoft Sans Serif" w:cs="Microsoft Sans Serif"/>
          <w:sz w:val="20"/>
          <w:szCs w:val="20"/>
        </w:rPr>
      </w:pPr>
    </w:p>
    <w:p w14:paraId="4511E3EC">
      <w:pPr>
        <w:ind w:firstLine="0"/>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U slučaju bilo kakvih nejasnoća ili pitanja u vezi sa primjenom  ovog lijeka, obratite se svom ljekaru ili farmaceutu.</w:t>
      </w:r>
    </w:p>
    <w:p w14:paraId="72337AE6">
      <w:pPr>
        <w:ind w:firstLine="0"/>
        <w:rPr>
          <w:rFonts w:ascii="Microsoft Sans Serif" w:hAnsi="Microsoft Sans Serif" w:cs="Microsoft Sans Serif"/>
          <w:sz w:val="20"/>
          <w:szCs w:val="20"/>
        </w:rPr>
      </w:pPr>
    </w:p>
    <w:p w14:paraId="3BFEAC3C">
      <w:pPr>
        <w:ind w:firstLine="0"/>
        <w:rPr>
          <w:rFonts w:ascii="Microsoft Sans Serif" w:hAnsi="Microsoft Sans Serif" w:cs="Microsoft Sans Serif"/>
          <w:sz w:val="20"/>
          <w:szCs w:val="20"/>
        </w:rPr>
      </w:pPr>
    </w:p>
    <w:p w14:paraId="34225C2E">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MOGUĆA NEŽELJENA DJELOVANJA</w:t>
      </w:r>
    </w:p>
    <w:p w14:paraId="25371725">
      <w:pPr>
        <w:pStyle w:val="66"/>
        <w:ind w:left="0" w:firstLine="0"/>
        <w:rPr>
          <w:rFonts w:ascii="Microsoft Sans Serif" w:hAnsi="Microsoft Sans Serif" w:cs="Microsoft Sans Serif"/>
          <w:b/>
          <w:sz w:val="20"/>
          <w:szCs w:val="20"/>
        </w:rPr>
      </w:pPr>
    </w:p>
    <w:p w14:paraId="4D7FB66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Syrleno može izazvati neželjena djelovanja koja se ne javljaju kod svih.</w:t>
      </w:r>
    </w:p>
    <w:p w14:paraId="3784ECE6">
      <w:pPr>
        <w:ind w:firstLine="0"/>
        <w:jc w:val="both"/>
        <w:rPr>
          <w:rFonts w:ascii="Microsoft Sans Serif" w:hAnsi="Microsoft Sans Serif" w:cs="Microsoft Sans Serif"/>
          <w:sz w:val="20"/>
          <w:szCs w:val="20"/>
        </w:rPr>
      </w:pPr>
    </w:p>
    <w:p w14:paraId="018113D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PRESTANITE uzimati lijek Syrleno i odmah potražite ljekarsku pomoć ako osjetite bilo koji od sljedećih znakova alergijske reakcije:</w:t>
      </w:r>
    </w:p>
    <w:p w14:paraId="4FE2E23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otežano disanje ili gutanje,</w:t>
      </w:r>
    </w:p>
    <w:p w14:paraId="4E0E34C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lica, usnica, jezika ili grla,</w:t>
      </w:r>
    </w:p>
    <w:p w14:paraId="120B637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 svrbež kože, sa crvenim osipom ili ispupčenim kvržicama.</w:t>
      </w:r>
    </w:p>
    <w:p w14:paraId="59F4071A">
      <w:pPr>
        <w:pStyle w:val="66"/>
        <w:ind w:left="0" w:firstLine="0"/>
        <w:jc w:val="both"/>
        <w:rPr>
          <w:rFonts w:ascii="Microsoft Sans Serif" w:hAnsi="Microsoft Sans Serif" w:cs="Microsoft Sans Serif"/>
          <w:sz w:val="20"/>
          <w:szCs w:val="20"/>
        </w:rPr>
      </w:pPr>
    </w:p>
    <w:p w14:paraId="52220A12">
      <w:pPr>
        <w:pStyle w:val="66"/>
        <w:ind w:left="0" w:firstLine="0"/>
        <w:jc w:val="both"/>
        <w:rPr>
          <w:rFonts w:ascii="Microsoft Sans Serif" w:hAnsi="Microsoft Sans Serif" w:cs="Microsoft Sans Serif"/>
          <w:sz w:val="20"/>
          <w:szCs w:val="20"/>
        </w:rPr>
      </w:pPr>
    </w:p>
    <w:p w14:paraId="04B91E62">
      <w:pPr>
        <w:ind w:firstLine="0"/>
        <w:jc w:val="both"/>
        <w:rPr>
          <w:rFonts w:ascii="Microsoft Sans Serif" w:hAnsi="Microsoft Sans Serif" w:cs="Microsoft Sans Serif"/>
          <w:b/>
          <w:sz w:val="20"/>
          <w:szCs w:val="20"/>
        </w:rPr>
      </w:pPr>
    </w:p>
    <w:p w14:paraId="6065E78A">
      <w:pPr>
        <w:ind w:firstLine="0"/>
        <w:jc w:val="both"/>
        <w:rPr>
          <w:rFonts w:ascii="Microsoft Sans Serif" w:hAnsi="Microsoft Sans Serif" w:cs="Microsoft Sans Serif"/>
          <w:b/>
          <w:sz w:val="20"/>
          <w:szCs w:val="20"/>
        </w:rPr>
      </w:pPr>
    </w:p>
    <w:p w14:paraId="01C14AB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Ozbiljna neželjena djelovanja lijeka Syrleno uključuju:</w:t>
      </w:r>
    </w:p>
    <w:p w14:paraId="3DDBD22E">
      <w:pPr>
        <w:ind w:firstLine="0"/>
        <w:jc w:val="both"/>
        <w:rPr>
          <w:rFonts w:ascii="Microsoft Sans Serif" w:hAnsi="Microsoft Sans Serif" w:cs="Microsoft Sans Serif"/>
          <w:b/>
          <w:sz w:val="20"/>
          <w:szCs w:val="20"/>
        </w:rPr>
      </w:pPr>
    </w:p>
    <w:p w14:paraId="6F5CE36A">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98D40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drhtavica (znakovi infekcije),</w:t>
      </w:r>
    </w:p>
    <w:p w14:paraId="1AF1AF4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kašljanje, otežano disanje, zviždanje pri disanju (znakovi upale pluća, takođe poznate kao pneumonitis).</w:t>
      </w:r>
    </w:p>
    <w:p w14:paraId="44DCD7CE">
      <w:pPr>
        <w:ind w:firstLine="0"/>
        <w:jc w:val="both"/>
        <w:rPr>
          <w:rFonts w:ascii="Microsoft Sans Serif" w:hAnsi="Microsoft Sans Serif" w:cs="Microsoft Sans Serif"/>
          <w:sz w:val="20"/>
          <w:szCs w:val="20"/>
        </w:rPr>
      </w:pPr>
    </w:p>
    <w:p w14:paraId="674FE475">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2F78203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pojačana žeđ, često mokrenje, povećan apetit uz gubitak tjelesne težine, umor (znakovi šećerne bolesti),</w:t>
      </w:r>
    </w:p>
    <w:p w14:paraId="2E78B37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krvarenje (hemoragija), na primjer u zidu crijeva,</w:t>
      </w:r>
    </w:p>
    <w:p w14:paraId="678A0C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jako smanjeno mokrenje (znakovi zatajenja bubrega).</w:t>
      </w:r>
    </w:p>
    <w:p w14:paraId="360CED19">
      <w:pPr>
        <w:ind w:firstLine="0"/>
        <w:jc w:val="both"/>
        <w:rPr>
          <w:rFonts w:ascii="Microsoft Sans Serif" w:hAnsi="Microsoft Sans Serif" w:cs="Microsoft Sans Serif"/>
          <w:sz w:val="20"/>
          <w:szCs w:val="20"/>
        </w:rPr>
      </w:pPr>
    </w:p>
    <w:p w14:paraId="28F0B6F1">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p>
    <w:p w14:paraId="35A713B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osip na koži, bol i upala u zglobovima, kao i umor, gubitak apetita, mučnina, žutica (žutilo kože), bol u gornjem desnom dijelu trbuha, blijeda stolica, tamna mokraća (mogu biti znakovi reaktivacije hepatitisa B),</w:t>
      </w:r>
    </w:p>
    <w:p w14:paraId="405E1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vazduha, otežano disanje u ležećem položaju, oticanje stopala ili nogu (znakovi zatajenja srca),</w:t>
      </w:r>
    </w:p>
    <w:p w14:paraId="7403E21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i/ili bol u jednoj od nogu, obično u listu, crvenilo ili topla koža na zahvaćenom dijelu (znakovi blokade krvne žile (vene) u nogama izazvano zgrušavanjem krvi),</w:t>
      </w:r>
    </w:p>
    <w:p w14:paraId="54057F3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iznenadan nedostatak vazduha, bol u grudnom košu ili iskašljavanje krvi (mogući znakovi plućne embolije, stanja koje se javlja kada se začepi jedna ili više arterija u plućima),</w:t>
      </w:r>
    </w:p>
    <w:p w14:paraId="71EE72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jako smanjeno mokrenje, oticanje nogu, osjećaj zbunjenosti, bolovi u leđima (znakovi iznenadnog zatajenja  bubrega),</w:t>
      </w:r>
    </w:p>
    <w:p w14:paraId="63B3BB7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svrbež, koprivnjača, otežano disanje ili gutanje, omaglica (znakovi ozbiljne alergijske reakcije, takođe poznate kao preosjetljivost).</w:t>
      </w:r>
    </w:p>
    <w:p w14:paraId="012C5832">
      <w:pPr>
        <w:pStyle w:val="66"/>
        <w:ind w:left="0" w:firstLine="0"/>
        <w:jc w:val="both"/>
        <w:rPr>
          <w:rFonts w:ascii="Microsoft Sans Serif" w:hAnsi="Microsoft Sans Serif" w:cs="Microsoft Sans Serif"/>
          <w:sz w:val="20"/>
          <w:szCs w:val="20"/>
        </w:rPr>
      </w:pPr>
    </w:p>
    <w:p w14:paraId="1D4028F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p>
    <w:p w14:paraId="41706B6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nedostatak zraka ili ubrzano disanje (znakovi sindroma akutnog respiratornog distresa).</w:t>
      </w:r>
    </w:p>
    <w:p w14:paraId="10D5A521">
      <w:pPr>
        <w:ind w:firstLine="0"/>
        <w:jc w:val="both"/>
        <w:rPr>
          <w:rFonts w:ascii="Microsoft Sans Serif" w:hAnsi="Microsoft Sans Serif" w:cs="Microsoft Sans Serif"/>
          <w:sz w:val="20"/>
          <w:szCs w:val="20"/>
        </w:rPr>
      </w:pPr>
    </w:p>
    <w:p w14:paraId="6F2C9616">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osjetite bilo koje od ovih neželjenih djelovanja, odmah obavijestite svog ljekara, jer posljedice mogu biti opasne po život.</w:t>
      </w:r>
    </w:p>
    <w:p w14:paraId="1C86C58D">
      <w:pPr>
        <w:ind w:firstLine="0"/>
        <w:jc w:val="both"/>
        <w:rPr>
          <w:rFonts w:ascii="Microsoft Sans Serif" w:hAnsi="Microsoft Sans Serif" w:cs="Microsoft Sans Serif"/>
          <w:b/>
          <w:sz w:val="20"/>
          <w:szCs w:val="20"/>
        </w:rPr>
      </w:pPr>
    </w:p>
    <w:p w14:paraId="795579E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Druga moguća neželjena djelovanja lijeka Syrleno uključuju:</w:t>
      </w:r>
    </w:p>
    <w:p w14:paraId="6A8E5B93">
      <w:pPr>
        <w:ind w:firstLine="0"/>
        <w:jc w:val="both"/>
        <w:rPr>
          <w:rFonts w:ascii="Microsoft Sans Serif" w:hAnsi="Microsoft Sans Serif" w:cs="Microsoft Sans Serif"/>
          <w:b/>
          <w:sz w:val="20"/>
          <w:szCs w:val="20"/>
        </w:rPr>
      </w:pPr>
    </w:p>
    <w:p w14:paraId="5F3372C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3C73BE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šećera u krvi (hiperglikemija),</w:t>
      </w:r>
    </w:p>
    <w:p w14:paraId="1D51A6D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gubitak apetita, </w:t>
      </w:r>
    </w:p>
    <w:p w14:paraId="607A80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promijenjen osjećaj ukusa (disgeuzija),</w:t>
      </w:r>
    </w:p>
    <w:p w14:paraId="569F207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glavobolja,</w:t>
      </w:r>
    </w:p>
    <w:p w14:paraId="31AD10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krvarenje iz nosa (epistaksa),</w:t>
      </w:r>
    </w:p>
    <w:p w14:paraId="575C2354">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kašalj,</w:t>
      </w:r>
    </w:p>
    <w:p w14:paraId="04C41F6B">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ranice u ustima,</w:t>
      </w:r>
    </w:p>
    <w:p w14:paraId="72F5ED7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nadražen želudac uključujući osjećaj mučnine ili proliv,</w:t>
      </w:r>
    </w:p>
    <w:p w14:paraId="5FA2C9E9">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osip na koži,</w:t>
      </w:r>
    </w:p>
    <w:p w14:paraId="0328E2F7">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svrbež (pruritus),</w:t>
      </w:r>
    </w:p>
    <w:p w14:paraId="5297BFB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osjećaj slabosti ili umora,</w:t>
      </w:r>
    </w:p>
    <w:p w14:paraId="22A3EE1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(anemija),</w:t>
      </w:r>
    </w:p>
    <w:p w14:paraId="05F0A6F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ruku, šaka, stopala, gležnjeva ili drugih dijelova tijela (znakovi edema),</w:t>
      </w:r>
    </w:p>
    <w:p w14:paraId="7C4232A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gubitak tjelesne težine,</w:t>
      </w:r>
    </w:p>
    <w:p w14:paraId="129F65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(hiperholesterolemija),</w:t>
      </w:r>
    </w:p>
    <w:p w14:paraId="0802D833">
      <w:pPr>
        <w:pStyle w:val="66"/>
        <w:ind w:left="0" w:firstLine="0"/>
        <w:rPr>
          <w:rFonts w:ascii="Microsoft Sans Serif" w:hAnsi="Microsoft Sans Serif" w:cs="Microsoft Sans Serif"/>
          <w:sz w:val="20"/>
          <w:szCs w:val="20"/>
        </w:rPr>
      </w:pPr>
    </w:p>
    <w:p w14:paraId="702CC895">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0117F4D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spontano krvarenje ili pojava modrica (znakovi niskog nivoa krvnih pločica, takođe poznat kao trombocitopenija),</w:t>
      </w:r>
    </w:p>
    <w:p w14:paraId="0F18A79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zraka (dispneja),</w:t>
      </w:r>
    </w:p>
    <w:p w14:paraId="3FE0EF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žeđ, smanjeno mokrenje, tamna mokraća, suha zarumenjena koža, razdražljivost (znakovi dehidracije),</w:t>
      </w:r>
    </w:p>
    <w:p w14:paraId="334DB26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otežano spavanje (nesanica),</w:t>
      </w:r>
    </w:p>
    <w:p w14:paraId="46C0EE95">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glavobolja, vrtoglavica (znakovi visokog krvnog pritiska, takođe poznatog kao hipertenzija),</w:t>
      </w:r>
    </w:p>
    <w:p w14:paraId="1F0A127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dijela ruke ili cijele ruke (uključujući i prste) ili noge (uključujući nožne prste), osjećaj težine, ograničeno kretanje, nelagodu (mogući simptomi limfoedema),</w:t>
      </w:r>
    </w:p>
    <w:p w14:paraId="728D9E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grlobolja, ranice u ustima zbog infekcija (znakovi niskog nivoa bijelih krvnih ćelija; leukopenija, limfopenija i/ili neutropenija),</w:t>
      </w:r>
    </w:p>
    <w:p w14:paraId="3E093C14">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w:t>
      </w:r>
    </w:p>
    <w:p w14:paraId="03529A9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upala unutrašnje sluznice usta, želuca, crijeva,</w:t>
      </w:r>
    </w:p>
    <w:p w14:paraId="1302609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usta,</w:t>
      </w:r>
    </w:p>
    <w:p w14:paraId="5D40356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žgaravica (dispepsija),</w:t>
      </w:r>
    </w:p>
    <w:p w14:paraId="034CC7BF">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osjećaj mučnine (povraćanje),</w:t>
      </w:r>
    </w:p>
    <w:p w14:paraId="3397A7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teškoće sa gutanjem (disfagija),</w:t>
      </w:r>
    </w:p>
    <w:p w14:paraId="5BFD08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trbuhu,</w:t>
      </w:r>
    </w:p>
    <w:p w14:paraId="153D4783">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akne,</w:t>
      </w:r>
    </w:p>
    <w:p w14:paraId="6AED3AF6">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i bol u dlanovima ili tabanima (sindrom šaka-stopalo),</w:t>
      </w:r>
    </w:p>
    <w:p w14:paraId="29FBEF6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crvenilo kože (eritem),</w:t>
      </w:r>
    </w:p>
    <w:p w14:paraId="411CC60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zglobovima,</w:t>
      </w:r>
    </w:p>
    <w:p w14:paraId="07E67C9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ustima,</w:t>
      </w:r>
    </w:p>
    <w:p w14:paraId="3046C2F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neredovne menstruacije,</w:t>
      </w:r>
    </w:p>
    <w:p w14:paraId="25B1445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(hiperlipidemija, povišeni trigliceridi),</w:t>
      </w:r>
    </w:p>
    <w:p w14:paraId="1C9848B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kalijuma u krvi (hipokalemija),</w:t>
      </w:r>
    </w:p>
    <w:p w14:paraId="192AD01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fosfata u krvi (hipofosfatemija),</w:t>
      </w:r>
    </w:p>
    <w:p w14:paraId="1A7E48B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kalcijuma u krvi (hipokalcemija),</w:t>
      </w:r>
    </w:p>
    <w:p w14:paraId="79B780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koža, ljuštenje kože, rane na koži,</w:t>
      </w:r>
    </w:p>
    <w:p w14:paraId="0FCC4BD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poremećaji noktiju, pucanje noktiju,</w:t>
      </w:r>
    </w:p>
    <w:p w14:paraId="2B853E4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blagi gubitak kose,</w:t>
      </w:r>
    </w:p>
    <w:p w14:paraId="31B23FB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fukcije jetre u krvi (povišeni vrijednosti alanin i aspartat aminotransferaza),</w:t>
      </w:r>
    </w:p>
    <w:p w14:paraId="1E4261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funkcije bubrega u krvi (povišene vrijednosti kreatinina),</w:t>
      </w:r>
    </w:p>
    <w:p w14:paraId="73AB58F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očnog kapka,</w:t>
      </w:r>
    </w:p>
    <w:p w14:paraId="0F819B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bjelančevine u mokraći.</w:t>
      </w:r>
    </w:p>
    <w:p w14:paraId="7A387E1B">
      <w:pPr>
        <w:ind w:firstLine="0"/>
        <w:jc w:val="both"/>
        <w:rPr>
          <w:rFonts w:ascii="Microsoft Sans Serif" w:hAnsi="Microsoft Sans Serif" w:cs="Microsoft Sans Serif"/>
          <w:sz w:val="20"/>
          <w:szCs w:val="20"/>
        </w:rPr>
      </w:pPr>
    </w:p>
    <w:p w14:paraId="644AB982">
      <w:pPr>
        <w:ind w:firstLine="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r>
        <w:rPr>
          <w:rFonts w:ascii="Microsoft Sans Serif" w:hAnsi="Microsoft Sans Serif" w:cs="Microsoft Sans Serif"/>
          <w:i/>
          <w:sz w:val="20"/>
          <w:szCs w:val="20"/>
          <w:lang w:val="sr-Cyrl-RS"/>
        </w:rPr>
        <w:t>:</w:t>
      </w:r>
    </w:p>
    <w:p w14:paraId="21BB990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slabost, spontano krvarenje ili pojava modrica i česte infekcije sa znacima poput povišene tjelesne temperature, drhtavica, grlobolje ili ranice u ustima (znakovi niskog nivoa krvnih ćelija, takođe poznate kao pancitopenija),</w:t>
      </w:r>
    </w:p>
    <w:p w14:paraId="34EB65F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gubitak osjećaja ukusa (ageuzija),</w:t>
      </w:r>
    </w:p>
    <w:p w14:paraId="45B43B5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iskašljavanje krvi (hemoptiza),</w:t>
      </w:r>
    </w:p>
    <w:p w14:paraId="2E55DE7D">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izostanak menstruacije (amenoreja),</w:t>
      </w:r>
    </w:p>
    <w:p w14:paraId="2F451F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češće mokrenje tokom dana,</w:t>
      </w:r>
    </w:p>
    <w:p w14:paraId="09D1880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465C7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poremećeno zacjeljivanje rana,</w:t>
      </w:r>
    </w:p>
    <w:p w14:paraId="63ACD8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navale vrućine,</w:t>
      </w:r>
    </w:p>
    <w:p w14:paraId="78F778A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iscjedak iz oka sa svrabom i crvenilom, ljubičasto ili crveno oko (konjuktivitis).</w:t>
      </w:r>
    </w:p>
    <w:p w14:paraId="48DD960F">
      <w:pPr>
        <w:ind w:firstLine="0"/>
        <w:rPr>
          <w:rFonts w:ascii="Microsoft Sans Serif" w:hAnsi="Microsoft Sans Serif" w:cs="Microsoft Sans Serif"/>
          <w:sz w:val="20"/>
          <w:szCs w:val="20"/>
        </w:rPr>
      </w:pPr>
    </w:p>
    <w:p w14:paraId="77D2982F">
      <w:pPr>
        <w:ind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r>
        <w:rPr>
          <w:rFonts w:ascii="Microsoft Sans Serif" w:hAnsi="Microsoft Sans Serif" w:cs="Microsoft Sans Serif"/>
          <w:i/>
          <w:sz w:val="20"/>
          <w:szCs w:val="20"/>
          <w:lang w:val="sr-Cyrl-RS"/>
        </w:rPr>
        <w:t>:</w:t>
      </w:r>
    </w:p>
    <w:p w14:paraId="6161EED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vjerovatno zbog vrste anemije koja se zove čista aplazija crvenih krvnih ćelija),</w:t>
      </w:r>
    </w:p>
    <w:p w14:paraId="5877845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lica, područja oko očiju, usnica, unutrašnjosti usta i/ili grla, kao i jezika, te otežano disanje ili gutanje (takođe poznato kao angioedem), mogu biti znakovi alergijske reakcije.</w:t>
      </w:r>
    </w:p>
    <w:p w14:paraId="447A6949">
      <w:pPr>
        <w:ind w:firstLine="0"/>
        <w:rPr>
          <w:rFonts w:ascii="Microsoft Sans Serif" w:hAnsi="Microsoft Sans Serif" w:cs="Microsoft Sans Serif"/>
          <w:b/>
          <w:sz w:val="20"/>
          <w:szCs w:val="20"/>
        </w:rPr>
      </w:pPr>
    </w:p>
    <w:p w14:paraId="4B0109FA">
      <w:pPr>
        <w:ind w:firstLine="0"/>
        <w:rPr>
          <w:rFonts w:ascii="Microsoft Sans Serif" w:hAnsi="Microsoft Sans Serif" w:cs="Microsoft Sans Serif"/>
          <w:i/>
          <w:sz w:val="20"/>
          <w:szCs w:val="20"/>
        </w:rPr>
      </w:pPr>
      <w:r>
        <w:rPr>
          <w:rFonts w:ascii="Microsoft Sans Serif" w:hAnsi="Microsoft Sans Serif" w:cs="Microsoft Sans Serif"/>
          <w:b/>
          <w:sz w:val="20"/>
          <w:szCs w:val="20"/>
        </w:rPr>
        <w:t>Nepoznato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(učestalost se ne može procijeniti na osnovu dostupnih podataka):</w:t>
      </w:r>
    </w:p>
    <w:p w14:paraId="77FFA5DF">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reakcija na mjestu prethodne terapije zračenjem, npr. crvenilo kože ili upala pluća (tzv. sindrom inflamatorne reakcije ozračenog područja),</w:t>
      </w:r>
    </w:p>
    <w:p w14:paraId="28B46D14">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pogoršanje neželjene rekacije povezanih sa terapijom zračenjem.</w:t>
      </w:r>
    </w:p>
    <w:p w14:paraId="052B9028">
      <w:pPr>
        <w:pStyle w:val="66"/>
        <w:ind w:left="284" w:firstLine="0"/>
        <w:rPr>
          <w:rFonts w:ascii="Microsoft Sans Serif" w:hAnsi="Microsoft Sans Serif" w:cs="Microsoft Sans Serif"/>
          <w:sz w:val="20"/>
          <w:szCs w:val="20"/>
        </w:rPr>
      </w:pPr>
    </w:p>
    <w:p w14:paraId="5DFC9F10">
      <w:pPr>
        <w:ind w:firstLine="0"/>
        <w:rPr>
          <w:rFonts w:ascii="Microsoft Sans Serif" w:hAnsi="Microsoft Sans Serif" w:cs="Microsoft Sans Serif"/>
          <w:b/>
          <w:sz w:val="20"/>
          <w:szCs w:val="20"/>
        </w:rPr>
      </w:pPr>
      <w:r>
        <w:rPr>
          <w:rFonts w:ascii="Microsoft Sans Serif" w:hAnsi="Microsoft Sans Serif" w:cs="Microsoft Sans Serif"/>
          <w:b/>
          <w:sz w:val="20"/>
          <w:szCs w:val="20"/>
        </w:rPr>
        <w:t>Ako navedena neželjena djelovanja postanu teška, molimo Vas da obavijestite Vašeg ljekara i/ili farmaceuta. Većina neželjenih reakcija su blage do umjerene te će uopšteno nestati ako se Vaše liječenje prekine na par dana.</w:t>
      </w:r>
    </w:p>
    <w:p w14:paraId="3F6F0D71">
      <w:pPr>
        <w:ind w:firstLine="0"/>
        <w:rPr>
          <w:rFonts w:ascii="Microsoft Sans Serif" w:hAnsi="Microsoft Sans Serif" w:cs="Microsoft Sans Serif"/>
          <w:b/>
          <w:sz w:val="20"/>
          <w:szCs w:val="20"/>
        </w:rPr>
      </w:pPr>
    </w:p>
    <w:p w14:paraId="22637FB8">
      <w:pPr>
        <w:ind w:firstLine="0"/>
        <w:rPr>
          <w:rFonts w:ascii="Microsoft Sans Serif" w:hAnsi="Microsoft Sans Serif" w:cs="Microsoft Sans Serif"/>
          <w:b/>
          <w:sz w:val="20"/>
          <w:szCs w:val="20"/>
        </w:rPr>
      </w:pPr>
      <w:r>
        <w:rPr>
          <w:rFonts w:ascii="Microsoft Sans Serif" w:hAnsi="Microsoft Sans Serif" w:cs="Microsoft Sans Serif"/>
          <w:b/>
          <w:sz w:val="20"/>
          <w:szCs w:val="20"/>
        </w:rPr>
        <w:t>Prijavljivanje sumnje na neželjena djelovanja lijeka</w:t>
      </w:r>
    </w:p>
    <w:p w14:paraId="5E277D40">
      <w:pPr>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U slučaju bilo kakvih neželjenih reakcija nakon primjene lijeka, potrebno je obavjestiti Vašeg ljekara ili farmaceuta. Ovo podrazumijeva sve moguće neželjene reakcije koje nisu navedene u ovom uputstvu </w:t>
      </w:r>
      <w:r>
        <w:rPr>
          <w:rFonts w:ascii="Microsoft Sans Serif" w:hAnsi="Microsoft Sans Serif" w:cs="Microsoft Sans Serif"/>
          <w:sz w:val="20"/>
          <w:szCs w:val="20"/>
          <w:lang w:val="hr-BA"/>
        </w:rPr>
        <w:t>za pacijenta</w:t>
      </w:r>
      <w:r>
        <w:rPr>
          <w:rFonts w:ascii="Microsoft Sans Serif" w:hAnsi="Microsoft Sans Serif" w:cs="Microsoft Sans Serif"/>
          <w:sz w:val="20"/>
          <w:szCs w:val="20"/>
        </w:rPr>
        <w:t>, kao i one koje jesu.</w:t>
      </w:r>
    </w:p>
    <w:p w14:paraId="2BFCDE10">
      <w:pPr>
        <w:ind w:firstLine="0"/>
        <w:rPr>
          <w:rFonts w:ascii="Microsoft Sans Serif" w:hAnsi="Microsoft Sans Serif" w:cs="Microsoft Sans Serif"/>
          <w:b/>
          <w:sz w:val="20"/>
          <w:szCs w:val="20"/>
        </w:rPr>
      </w:pPr>
    </w:p>
    <w:p w14:paraId="1EDFCF2D">
      <w:pPr>
        <w:ind w:firstLine="0"/>
        <w:rPr>
          <w:rFonts w:ascii="Microsoft Sans Serif" w:hAnsi="Microsoft Sans Serif" w:cs="Microsoft Sans Serif"/>
          <w:b/>
          <w:sz w:val="20"/>
          <w:szCs w:val="20"/>
        </w:rPr>
      </w:pPr>
    </w:p>
    <w:p w14:paraId="0B1BB024">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ČUVATI LIJEK SYRLENO</w:t>
      </w:r>
    </w:p>
    <w:p w14:paraId="404110CC">
      <w:pPr>
        <w:pStyle w:val="66"/>
        <w:ind w:left="0" w:firstLine="0"/>
        <w:rPr>
          <w:rFonts w:ascii="Microsoft Sans Serif" w:hAnsi="Microsoft Sans Serif" w:cs="Microsoft Sans Serif"/>
          <w:b/>
          <w:sz w:val="20"/>
          <w:szCs w:val="20"/>
        </w:rPr>
      </w:pPr>
    </w:p>
    <w:p w14:paraId="56689A57">
      <w:pPr>
        <w:ind w:firstLine="0"/>
        <w:rPr>
          <w:rFonts w:ascii="Microsoft Sans Serif" w:hAnsi="Microsoft Sans Serif" w:cs="Microsoft Sans Serif"/>
          <w:sz w:val="20"/>
          <w:szCs w:val="20"/>
        </w:rPr>
      </w:pPr>
      <w:r>
        <w:rPr>
          <w:rFonts w:ascii="Microsoft Sans Serif" w:hAnsi="Microsoft Sans Serif" w:cs="Microsoft Sans Serif"/>
          <w:sz w:val="20"/>
          <w:szCs w:val="20"/>
        </w:rPr>
        <w:t>Lijek čuvati izvan dohvata i pogleda djece.</w:t>
      </w:r>
    </w:p>
    <w:p w14:paraId="05F5CCAF">
      <w:pPr>
        <w:ind w:firstLine="0"/>
        <w:rPr>
          <w:rFonts w:ascii="Microsoft Sans Serif" w:hAnsi="Microsoft Sans Serif" w:cs="Microsoft Sans Serif"/>
          <w:sz w:val="20"/>
          <w:szCs w:val="20"/>
        </w:rPr>
      </w:pPr>
      <w:r>
        <w:rPr>
          <w:rFonts w:ascii="Microsoft Sans Serif" w:hAnsi="Microsoft Sans Serif" w:cs="Microsoft Sans Serif"/>
          <w:sz w:val="20"/>
          <w:szCs w:val="20"/>
        </w:rPr>
        <w:t>Lijek Syrleno ne smijete upotrebljavati nakon isteka roka upotrebe označenog na kutiji.</w:t>
      </w:r>
    </w:p>
    <w:p w14:paraId="5971B37D">
      <w:pPr>
        <w:ind w:firstLine="0"/>
        <w:rPr>
          <w:rFonts w:ascii="Microsoft Sans Serif" w:hAnsi="Microsoft Sans Serif" w:cs="Microsoft Sans Serif"/>
          <w:sz w:val="20"/>
          <w:szCs w:val="20"/>
        </w:rPr>
      </w:pPr>
      <w:r>
        <w:rPr>
          <w:rFonts w:ascii="Microsoft Sans Serif" w:hAnsi="Microsoft Sans Serif" w:cs="Microsoft Sans Serif"/>
          <w:sz w:val="20"/>
          <w:szCs w:val="20"/>
        </w:rPr>
        <w:t>Rok upotrebe odnosi se na posljednji dan navedenog mjeseca.</w:t>
      </w:r>
    </w:p>
    <w:p w14:paraId="79FFAE61">
      <w:pPr>
        <w:ind w:firstLine="0"/>
        <w:rPr>
          <w:rFonts w:ascii="Microsoft Sans Serif" w:hAnsi="Microsoft Sans Serif" w:cs="Microsoft Sans Serif"/>
          <w:sz w:val="20"/>
          <w:szCs w:val="20"/>
        </w:rPr>
      </w:pPr>
    </w:p>
    <w:p w14:paraId="05EB1B9A">
      <w:pPr>
        <w:ind w:firstLine="0"/>
        <w:rPr>
          <w:rFonts w:ascii="Microsoft Sans Serif" w:hAnsi="Microsoft Sans Serif" w:cs="Microsoft Sans Serif"/>
          <w:sz w:val="20"/>
          <w:szCs w:val="20"/>
        </w:rPr>
      </w:pPr>
      <w:r>
        <w:rPr>
          <w:rFonts w:ascii="Microsoft Sans Serif" w:hAnsi="Microsoft Sans Serif" w:cs="Microsoft Sans Serif"/>
          <w:sz w:val="20"/>
          <w:szCs w:val="20"/>
        </w:rPr>
        <w:t>Lijek treba čuvati na temperaturi do 30⁰C.</w:t>
      </w:r>
    </w:p>
    <w:p w14:paraId="2A9506BE">
      <w:pPr>
        <w:ind w:firstLine="0"/>
        <w:rPr>
          <w:rFonts w:ascii="Microsoft Sans Serif" w:hAnsi="Microsoft Sans Serif" w:cs="Microsoft Sans Serif"/>
          <w:sz w:val="20"/>
          <w:szCs w:val="20"/>
        </w:rPr>
      </w:pPr>
      <w:r>
        <w:rPr>
          <w:rFonts w:ascii="Microsoft Sans Serif" w:hAnsi="Microsoft Sans Serif" w:cs="Microsoft Sans Serif"/>
          <w:sz w:val="20"/>
          <w:szCs w:val="20"/>
        </w:rPr>
        <w:t>Čuvati u originalnom pakovanju radi zaštite od svjetlosti.</w:t>
      </w:r>
    </w:p>
    <w:p w14:paraId="512119EB">
      <w:pPr>
        <w:ind w:firstLine="0"/>
        <w:rPr>
          <w:rFonts w:ascii="Microsoft Sans Serif" w:hAnsi="Microsoft Sans Serif" w:cs="Microsoft Sans Serif"/>
          <w:sz w:val="20"/>
          <w:szCs w:val="20"/>
        </w:rPr>
      </w:pPr>
      <w:r>
        <w:rPr>
          <w:rFonts w:ascii="Microsoft Sans Serif" w:hAnsi="Microsoft Sans Serif" w:cs="Microsoft Sans Serif"/>
          <w:sz w:val="20"/>
          <w:szCs w:val="20"/>
        </w:rPr>
        <w:t>Nemojte koristiti lijek Syrleno ako je pakovanje oštećeno ili ima znakova da je otvarano.</w:t>
      </w:r>
    </w:p>
    <w:p w14:paraId="69E9DB9C">
      <w:pPr>
        <w:ind w:firstLine="0"/>
        <w:rPr>
          <w:rFonts w:ascii="Microsoft Sans Serif" w:hAnsi="Microsoft Sans Serif" w:cs="Microsoft Sans Serif"/>
          <w:b/>
          <w:sz w:val="20"/>
          <w:szCs w:val="20"/>
        </w:rPr>
      </w:pPr>
      <w:r>
        <w:rPr>
          <w:rFonts w:ascii="Microsoft Sans Serif" w:hAnsi="Microsoft Sans Serif" w:cs="Microsoft Sans Serif"/>
          <w:sz w:val="20"/>
          <w:szCs w:val="20"/>
        </w:rPr>
        <w:t xml:space="preserve">Neiskorišteni lijek ne treba odlagati u kućni otpad ili ga bacati u otpadne vode. Potrebno je pitati farmaceuta za najbolji način odlaganja neutrošenog lijeka, jer se na taj način čuva okolina </w:t>
      </w:r>
    </w:p>
    <w:p w14:paraId="4B9AEFE0">
      <w:pPr>
        <w:ind w:firstLine="0"/>
        <w:rPr>
          <w:rFonts w:ascii="Microsoft Sans Serif" w:hAnsi="Microsoft Sans Serif" w:cs="Microsoft Sans Serif"/>
          <w:b/>
          <w:sz w:val="20"/>
          <w:szCs w:val="20"/>
        </w:rPr>
      </w:pPr>
    </w:p>
    <w:p w14:paraId="3565704A">
      <w:pPr>
        <w:ind w:firstLine="0"/>
        <w:rPr>
          <w:rFonts w:ascii="Microsoft Sans Serif" w:hAnsi="Microsoft Sans Serif" w:cs="Microsoft Sans Serif"/>
          <w:b/>
          <w:sz w:val="20"/>
          <w:szCs w:val="20"/>
        </w:rPr>
      </w:pPr>
    </w:p>
    <w:p w14:paraId="709C2566">
      <w:pPr>
        <w:ind w:firstLine="0"/>
        <w:rPr>
          <w:rFonts w:ascii="Microsoft Sans Serif" w:hAnsi="Microsoft Sans Serif" w:cs="Microsoft Sans Serif"/>
          <w:b/>
          <w:sz w:val="20"/>
          <w:szCs w:val="20"/>
        </w:rPr>
      </w:pPr>
    </w:p>
    <w:p w14:paraId="11F1360D">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 xml:space="preserve">DODATNE INFORMACIJE </w:t>
      </w:r>
    </w:p>
    <w:p w14:paraId="6DB343BF">
      <w:pPr>
        <w:ind w:firstLine="0"/>
        <w:rPr>
          <w:rFonts w:ascii="Microsoft Sans Serif" w:hAnsi="Microsoft Sans Serif" w:cs="Microsoft Sans Serif"/>
          <w:sz w:val="20"/>
          <w:szCs w:val="20"/>
        </w:rPr>
      </w:pPr>
    </w:p>
    <w:p w14:paraId="113AEAFA">
      <w:pPr>
        <w:ind w:firstLine="0"/>
        <w:rPr>
          <w:rFonts w:ascii="Microsoft Sans Serif" w:hAnsi="Microsoft Sans Serif" w:cs="Microsoft Sans Serif"/>
          <w:b/>
          <w:sz w:val="20"/>
          <w:szCs w:val="20"/>
        </w:rPr>
      </w:pPr>
      <w:r>
        <w:rPr>
          <w:rFonts w:ascii="Microsoft Sans Serif" w:hAnsi="Microsoft Sans Serif" w:cs="Microsoft Sans Serif"/>
          <w:b/>
          <w:sz w:val="20"/>
          <w:szCs w:val="20"/>
        </w:rPr>
        <w:t>Šta Syrleno sadrži</w:t>
      </w:r>
    </w:p>
    <w:p w14:paraId="1C554493">
      <w:pPr>
        <w:ind w:firstLine="0"/>
        <w:rPr>
          <w:rFonts w:ascii="Microsoft Sans Serif" w:hAnsi="Microsoft Sans Serif" w:cs="Microsoft Sans Serif"/>
          <w:b/>
          <w:sz w:val="20"/>
          <w:szCs w:val="20"/>
        </w:rPr>
      </w:pPr>
    </w:p>
    <w:p w14:paraId="4BEF26B5">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Aktivna supstanca je everolimus. </w:t>
      </w:r>
    </w:p>
    <w:p w14:paraId="0E34876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2,5 mg tableta: Jedna tableta sadrži 2,5 mg everolimusa.</w:t>
      </w:r>
    </w:p>
    <w:p w14:paraId="775D371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5 mg tableta: Jedna tableta sadrži 5 mg everolimusa.</w:t>
      </w:r>
    </w:p>
    <w:p w14:paraId="454ABF40">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10 mg tableta: Jedna tableta sadrži 10 mg everolimusa.</w:t>
      </w:r>
    </w:p>
    <w:p w14:paraId="26C8CF2A">
      <w:pPr>
        <w:pStyle w:val="66"/>
        <w:tabs>
          <w:tab w:val="left" w:pos="284"/>
        </w:tabs>
        <w:ind w:left="0" w:firstLine="0"/>
        <w:rPr>
          <w:rFonts w:ascii="Microsoft Sans Serif" w:hAnsi="Microsoft Sans Serif" w:cs="Microsoft Sans Serif"/>
          <w:sz w:val="20"/>
          <w:szCs w:val="20"/>
        </w:rPr>
      </w:pPr>
    </w:p>
    <w:p w14:paraId="103A7520">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Pomoćne supstance su: butilhidroksitoluen (E321); hipromeloza (E464); laktoza; laktoza, monohidrat; krospovidon (E1202) i magnezijum-stearat.</w:t>
      </w:r>
    </w:p>
    <w:p w14:paraId="2DABFAC8">
      <w:pPr>
        <w:ind w:firstLine="0"/>
        <w:rPr>
          <w:rFonts w:ascii="Microsoft Sans Serif" w:hAnsi="Microsoft Sans Serif" w:cs="Microsoft Sans Serif"/>
          <w:b/>
          <w:sz w:val="20"/>
          <w:szCs w:val="20"/>
        </w:rPr>
      </w:pPr>
    </w:p>
    <w:p w14:paraId="39C0A04D">
      <w:pPr>
        <w:ind w:firstLine="0"/>
        <w:rPr>
          <w:rFonts w:ascii="Microsoft Sans Serif" w:hAnsi="Microsoft Sans Serif" w:cs="Microsoft Sans Serif"/>
          <w:b/>
          <w:sz w:val="20"/>
          <w:szCs w:val="20"/>
        </w:rPr>
      </w:pPr>
      <w:r>
        <w:rPr>
          <w:rFonts w:ascii="Microsoft Sans Serif" w:hAnsi="Microsoft Sans Serif" w:cs="Microsoft Sans Serif"/>
          <w:b/>
          <w:sz w:val="20"/>
          <w:szCs w:val="20"/>
        </w:rPr>
        <w:t>Kako Syrleno izgleda i sadržaj pakovanja</w:t>
      </w:r>
    </w:p>
    <w:p w14:paraId="2DD2750D">
      <w:pPr>
        <w:ind w:firstLine="0"/>
        <w:rPr>
          <w:rFonts w:ascii="Microsoft Sans Serif" w:hAnsi="Microsoft Sans Serif" w:cs="Microsoft Sans Serif"/>
          <w:b/>
          <w:sz w:val="20"/>
          <w:szCs w:val="20"/>
        </w:rPr>
      </w:pPr>
    </w:p>
    <w:p w14:paraId="7DAC40C6">
      <w:pPr>
        <w:pStyle w:val="84"/>
        <w:shd w:val="clear" w:color="auto" w:fill="auto"/>
        <w:spacing w:line="240" w:lineRule="auto"/>
        <w:ind w:firstLine="0"/>
        <w:jc w:val="both"/>
        <w:rPr>
          <w:sz w:val="20"/>
          <w:szCs w:val="20"/>
          <w:u w:val="single"/>
        </w:rPr>
      </w:pPr>
      <w:r>
        <w:rPr>
          <w:sz w:val="20"/>
          <w:szCs w:val="20"/>
          <w:u w:val="single"/>
        </w:rPr>
        <w:t>Syrleno 2,5 mg tablete</w:t>
      </w:r>
    </w:p>
    <w:p w14:paraId="77B8CB96">
      <w:pPr>
        <w:pStyle w:val="84"/>
        <w:shd w:val="clear" w:color="auto" w:fill="auto"/>
        <w:spacing w:line="240" w:lineRule="auto"/>
        <w:ind w:firstLine="0"/>
        <w:jc w:val="both"/>
        <w:rPr>
          <w:sz w:val="20"/>
          <w:szCs w:val="20"/>
        </w:rPr>
      </w:pPr>
      <w:r>
        <w:rPr>
          <w:sz w:val="20"/>
          <w:szCs w:val="20"/>
        </w:rPr>
        <w:t>Ovalne, bijele do skoro bijele, bikonveksne tablete, sa utisnutom oznakom E9VS na jednoj strani i 2.5 na drugoj strani tablete.</w:t>
      </w:r>
    </w:p>
    <w:p w14:paraId="543DD9A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63D2A5F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6FE2C661">
      <w:pPr>
        <w:pStyle w:val="84"/>
        <w:shd w:val="clear" w:color="auto" w:fill="auto"/>
        <w:spacing w:line="240" w:lineRule="auto"/>
        <w:ind w:firstLine="0"/>
        <w:jc w:val="both"/>
        <w:rPr>
          <w:sz w:val="20"/>
          <w:szCs w:val="20"/>
          <w:u w:val="single"/>
        </w:rPr>
      </w:pPr>
    </w:p>
    <w:p w14:paraId="3950C419">
      <w:pPr>
        <w:pStyle w:val="84"/>
        <w:shd w:val="clear" w:color="auto" w:fill="auto"/>
        <w:spacing w:line="240" w:lineRule="auto"/>
        <w:ind w:firstLine="0"/>
        <w:jc w:val="both"/>
        <w:rPr>
          <w:sz w:val="20"/>
          <w:szCs w:val="20"/>
          <w:u w:val="single"/>
        </w:rPr>
      </w:pPr>
      <w:r>
        <w:rPr>
          <w:sz w:val="20"/>
          <w:szCs w:val="20"/>
          <w:u w:val="single"/>
        </w:rPr>
        <w:t>Syrleno 5 mg tablete</w:t>
      </w:r>
    </w:p>
    <w:p w14:paraId="60D56DF9">
      <w:pPr>
        <w:pStyle w:val="84"/>
        <w:shd w:val="clear" w:color="auto" w:fill="auto"/>
        <w:spacing w:line="240" w:lineRule="auto"/>
        <w:ind w:firstLine="0"/>
        <w:jc w:val="both"/>
        <w:rPr>
          <w:sz w:val="20"/>
          <w:szCs w:val="20"/>
        </w:rPr>
      </w:pPr>
      <w:r>
        <w:rPr>
          <w:sz w:val="20"/>
          <w:szCs w:val="20"/>
        </w:rPr>
        <w:t>Ovalne, bijele do skoro bijele, bikonveksne tablete, sa utisnutom oznakom E9VS 5 na jednoj strani tablete.</w:t>
      </w:r>
    </w:p>
    <w:p w14:paraId="6A7FB79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40B21044">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0A26CB56">
      <w:pPr>
        <w:pStyle w:val="84"/>
        <w:shd w:val="clear" w:color="auto" w:fill="auto"/>
        <w:spacing w:line="240" w:lineRule="auto"/>
        <w:ind w:firstLine="0"/>
        <w:jc w:val="both"/>
        <w:rPr>
          <w:sz w:val="20"/>
          <w:szCs w:val="20"/>
        </w:rPr>
      </w:pPr>
    </w:p>
    <w:p w14:paraId="0D53526D">
      <w:pPr>
        <w:pStyle w:val="84"/>
        <w:shd w:val="clear" w:color="auto" w:fill="auto"/>
        <w:spacing w:line="240" w:lineRule="auto"/>
        <w:ind w:firstLine="0"/>
        <w:jc w:val="both"/>
        <w:rPr>
          <w:sz w:val="20"/>
          <w:szCs w:val="20"/>
          <w:u w:val="single"/>
        </w:rPr>
      </w:pPr>
      <w:r>
        <w:rPr>
          <w:sz w:val="20"/>
          <w:szCs w:val="20"/>
          <w:u w:val="single"/>
        </w:rPr>
        <w:t>Syrleno 10 mg tablete</w:t>
      </w:r>
    </w:p>
    <w:p w14:paraId="39E5FFD3">
      <w:pPr>
        <w:pStyle w:val="84"/>
        <w:shd w:val="clear" w:color="auto" w:fill="auto"/>
        <w:spacing w:line="240" w:lineRule="auto"/>
        <w:ind w:firstLine="0"/>
        <w:jc w:val="both"/>
        <w:rPr>
          <w:sz w:val="20"/>
          <w:szCs w:val="20"/>
        </w:rPr>
      </w:pPr>
      <w:r>
        <w:rPr>
          <w:sz w:val="20"/>
          <w:szCs w:val="20"/>
        </w:rPr>
        <w:t>Ovalne, bijele do skoro bijele, bikonveksne tablete, sa utisnutom oznakom E9VS 10 na jednoj strani tablete.</w:t>
      </w:r>
    </w:p>
    <w:p w14:paraId="508DCB35">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5 tableta.</w:t>
      </w:r>
    </w:p>
    <w:p w14:paraId="6AB97F2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(6 blistera po 5 tableta).</w:t>
      </w:r>
    </w:p>
    <w:p w14:paraId="227A5411">
      <w:pPr>
        <w:ind w:firstLine="0"/>
        <w:rPr>
          <w:rFonts w:ascii="Microsoft Sans Serif" w:hAnsi="Microsoft Sans Serif" w:cs="Microsoft Sans Serif"/>
          <w:sz w:val="20"/>
          <w:szCs w:val="20"/>
        </w:rPr>
      </w:pPr>
    </w:p>
    <w:p w14:paraId="49F7D795">
      <w:pPr>
        <w:ind w:firstLine="0"/>
        <w:rPr>
          <w:rFonts w:ascii="Microsoft Sans Serif" w:hAnsi="Microsoft Sans Serif" w:cs="Microsoft Sans Serif"/>
          <w:b/>
          <w:sz w:val="20"/>
          <w:szCs w:val="20"/>
        </w:rPr>
      </w:pPr>
      <w:r>
        <w:rPr>
          <w:rFonts w:ascii="Microsoft Sans Serif" w:hAnsi="Microsoft Sans Serif" w:cs="Microsoft Sans Serif"/>
          <w:b/>
          <w:sz w:val="20"/>
          <w:szCs w:val="20"/>
        </w:rPr>
        <w:t>Režim izdavanja lijeka</w:t>
      </w:r>
    </w:p>
    <w:p w14:paraId="72B70D6D">
      <w:pPr>
        <w:ind w:firstLine="0"/>
        <w:rPr>
          <w:rFonts w:ascii="Microsoft Sans Serif" w:hAnsi="Microsoft Sans Serif" w:cs="Microsoft Sans Serif"/>
          <w:sz w:val="20"/>
          <w:szCs w:val="20"/>
        </w:rPr>
      </w:pPr>
      <w:r>
        <w:rPr>
          <w:rFonts w:ascii="Microsoft Sans Serif" w:hAnsi="Microsoft Sans Serif" w:cs="Microsoft Sans Serif"/>
          <w:sz w:val="20"/>
          <w:szCs w:val="20"/>
        </w:rPr>
        <w:t>ZU/Rp - Lijek se upotrebljava u zdravstvenoj ustanovi sekundarnog ili tercijarnog nivoa; izuzetno se izdaje uz recept za potrebe nastavka bolničkog liječenja.</w:t>
      </w:r>
    </w:p>
    <w:p w14:paraId="26927CEA">
      <w:pPr>
        <w:ind w:firstLine="0"/>
        <w:rPr>
          <w:rFonts w:ascii="Microsoft Sans Serif" w:hAnsi="Microsoft Sans Serif" w:eastAsia="Times New Roman" w:cs="Microsoft Sans Serif"/>
          <w:b/>
          <w:sz w:val="20"/>
          <w:szCs w:val="20"/>
          <w:lang w:eastAsia="en-US"/>
        </w:rPr>
      </w:pPr>
    </w:p>
    <w:p w14:paraId="5CCEDBCC">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č</w:t>
      </w:r>
      <w:r>
        <w:rPr>
          <w:rFonts w:ascii="Microsoft Sans Serif" w:hAnsi="Microsoft Sans Serif" w:eastAsia="Times New Roman" w:cs="Microsoft Sans Serif"/>
          <w:b/>
          <w:sz w:val="20"/>
          <w:szCs w:val="20"/>
          <w:lang w:val="sv-SE" w:eastAsia="en-US"/>
        </w:rPr>
        <w:t xml:space="preserve"> </w:t>
      </w:r>
    </w:p>
    <w:p w14:paraId="06D30332">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682E3FB9">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514F7CA4">
      <w:pPr>
        <w:numPr>
          <w:ilvl w:val="12"/>
          <w:numId w:val="0"/>
        </w:numPr>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p>
    <w:p w14:paraId="716D70A6">
      <w:pPr>
        <w:ind w:firstLine="0"/>
        <w:rPr>
          <w:rFonts w:ascii="Microsoft Sans Serif" w:hAnsi="Microsoft Sans Serif" w:eastAsia="Times New Roman" w:cs="Microsoft Sans Serif"/>
          <w:b/>
          <w:sz w:val="20"/>
          <w:szCs w:val="20"/>
          <w:lang w:val="sv-SE" w:eastAsia="en-US"/>
        </w:rPr>
      </w:pPr>
    </w:p>
    <w:p w14:paraId="0E877EAD">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 xml:space="preserve">č gotovog </w:t>
      </w:r>
      <w:r>
        <w:rPr>
          <w:rFonts w:ascii="Microsoft Sans Serif" w:hAnsi="Microsoft Sans Serif" w:eastAsia="Times New Roman" w:cs="Microsoft Sans Serif"/>
          <w:b/>
          <w:sz w:val="20"/>
          <w:szCs w:val="20"/>
          <w:lang w:val="sv-SE" w:eastAsia="en-US"/>
        </w:rPr>
        <w:t>lijeka</w:t>
      </w:r>
    </w:p>
    <w:p w14:paraId="7F137BC0">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297F6AD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183277C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r>
        <w:rPr>
          <w:rFonts w:ascii="Microsoft Sans Serif" w:hAnsi="Microsoft Sans Serif" w:eastAsia="Times New Roman" w:cs="Microsoft Sans Serif"/>
          <w:sz w:val="20"/>
          <w:szCs w:val="20"/>
          <w:lang w:eastAsia="en-US"/>
        </w:rPr>
        <w:tab/>
      </w:r>
    </w:p>
    <w:p w14:paraId="6329AD36">
      <w:pPr>
        <w:ind w:firstLine="0"/>
        <w:jc w:val="both"/>
        <w:rPr>
          <w:rFonts w:ascii="Microsoft Sans Serif" w:hAnsi="Microsoft Sans Serif" w:eastAsia="Times New Roman" w:cs="Microsoft Sans Serif"/>
          <w:b/>
          <w:sz w:val="20"/>
          <w:szCs w:val="20"/>
          <w:lang w:val="sv-SE" w:eastAsia="en-US"/>
        </w:rPr>
      </w:pPr>
    </w:p>
    <w:p w14:paraId="50E6D8FE">
      <w:pPr>
        <w:ind w:firstLine="0"/>
        <w:jc w:val="both"/>
        <w:rPr>
          <w:rFonts w:ascii="Microsoft Sans Serif" w:hAnsi="Microsoft Sans Serif" w:eastAsia="Times New Roman" w:cs="Microsoft Sans Serif"/>
          <w:b/>
          <w:bCs/>
          <w:sz w:val="20"/>
          <w:szCs w:val="20"/>
          <w:lang w:eastAsia="en-US"/>
        </w:rPr>
      </w:pPr>
      <w:r>
        <w:rPr>
          <w:rFonts w:ascii="Microsoft Sans Serif" w:hAnsi="Microsoft Sans Serif" w:eastAsia="Times New Roman" w:cs="Microsoft Sans Serif"/>
          <w:b/>
          <w:bCs/>
          <w:sz w:val="20"/>
          <w:szCs w:val="20"/>
          <w:lang w:eastAsia="en-US"/>
        </w:rPr>
        <w:t xml:space="preserve">Nositelj dozvole za stavljanje gotovog lijeka u promet </w:t>
      </w:r>
    </w:p>
    <w:p w14:paraId="431F631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ALKALOID d.o.o. Sarajevo</w:t>
      </w:r>
    </w:p>
    <w:p w14:paraId="2629228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Isevića sokak 6, Sarajevo</w:t>
      </w:r>
    </w:p>
    <w:p w14:paraId="131E5F3A">
      <w:pPr>
        <w:ind w:firstLine="0"/>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Bosna i Hercegovina</w:t>
      </w:r>
    </w:p>
    <w:p w14:paraId="0F37E0CE">
      <w:pPr>
        <w:ind w:firstLine="0"/>
        <w:rPr>
          <w:rFonts w:ascii="Microsoft Sans Serif" w:hAnsi="Microsoft Sans Serif" w:eastAsia="Times New Roman" w:cs="Microsoft Sans Serif"/>
          <w:sz w:val="20"/>
          <w:szCs w:val="20"/>
          <w:lang w:eastAsia="en-US"/>
        </w:rPr>
      </w:pPr>
    </w:p>
    <w:p w14:paraId="6DB8032B">
      <w:pPr>
        <w:ind w:firstLine="0"/>
        <w:jc w:val="both"/>
        <w:rPr>
          <w:rFonts w:ascii="Microsoft Sans Serif" w:hAnsi="Microsoft Sans Serif" w:eastAsia="Times New Roman" w:cs="Microsoft Sans Serif"/>
          <w:b/>
          <w:sz w:val="20"/>
          <w:szCs w:val="20"/>
          <w:lang w:val="sr-Latn-BA" w:eastAsia="en-US"/>
        </w:rPr>
      </w:pPr>
      <w:r>
        <w:rPr>
          <w:rFonts w:ascii="Microsoft Sans Serif" w:hAnsi="Microsoft Sans Serif" w:eastAsia="Times New Roman" w:cs="Microsoft Sans Serif"/>
          <w:b/>
          <w:sz w:val="20"/>
          <w:szCs w:val="20"/>
          <w:lang w:val="sr-Latn-BA" w:eastAsia="en-US"/>
        </w:rPr>
        <w:t>Broj i datum dozvole za stavljanje lijeka u promet</w:t>
      </w:r>
    </w:p>
    <w:p w14:paraId="475E7BA3">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2,5 mg tableta: 04-07.3-1-10830/20 od 24.03.2022</w:t>
      </w:r>
    </w:p>
    <w:p w14:paraId="0EB9EF2A">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5 mg tableta: 04-07.3-1-10831/20 od 24.03.2022</w:t>
      </w:r>
    </w:p>
    <w:p w14:paraId="0E18D4A9">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10 mg tableta: 04-07.3-1-10832/20 od 24.03.2022</w:t>
      </w:r>
    </w:p>
    <w:p w14:paraId="69A305EC">
      <w:pPr>
        <w:ind w:firstLine="0"/>
        <w:rPr>
          <w:rFonts w:ascii="Microsoft Sans Serif" w:hAnsi="Microsoft Sans Serif" w:cs="Microsoft Sans Serif"/>
          <w:sz w:val="20"/>
          <w:szCs w:val="20"/>
        </w:rPr>
      </w:pPr>
    </w:p>
    <w:p w14:paraId="2E272738">
      <w:pPr>
        <w:ind w:firstLine="0"/>
        <w:jc w:val="both"/>
        <w:rPr>
          <w:rFonts w:ascii="Microsoft Sans Serif" w:hAnsi="Microsoft Sans Serif" w:eastAsia="Times New Roman" w:cs="Microsoft Sans Serif"/>
          <w:b/>
          <w:sz w:val="20"/>
          <w:szCs w:val="20"/>
          <w:lang w:val="sv-SE" w:eastAsia="en-US"/>
        </w:rPr>
      </w:pPr>
      <w:r>
        <w:rPr>
          <w:rFonts w:ascii="Microsoft Sans Serif" w:hAnsi="Microsoft Sans Serif" w:eastAsia="Times New Roman" w:cs="Microsoft Sans Serif"/>
          <w:b/>
          <w:sz w:val="20"/>
          <w:szCs w:val="20"/>
          <w:lang w:val="sv-SE" w:eastAsia="en-US"/>
        </w:rPr>
        <w:t>Datum revizije teksta</w:t>
      </w:r>
    </w:p>
    <w:p w14:paraId="2F186C2E">
      <w:pPr>
        <w:ind w:firstLine="0"/>
        <w:rPr>
          <w:rFonts w:ascii="Microsoft Sans Serif" w:hAnsi="Microsoft Sans Serif" w:cs="Microsoft Sans Serif"/>
          <w:sz w:val="20"/>
          <w:szCs w:val="20"/>
        </w:rPr>
      </w:pPr>
      <w:r>
        <w:rPr>
          <w:rFonts w:ascii="Microsoft Sans Serif" w:hAnsi="Microsoft Sans Serif" w:eastAsia="Times New Roman" w:cs="Microsoft Sans Serif"/>
          <w:sz w:val="20"/>
          <w:szCs w:val="20"/>
          <w:lang w:val="sv-SE" w:eastAsia="en-US"/>
        </w:rPr>
        <w:t>Oktobar, 2023. g.</w:t>
      </w:r>
    </w:p>
    <w:sectPr>
      <w:footerReference r:id="rId5" w:type="default"/>
      <w:footerReference r:id="rId6" w:type="even"/>
      <w:pgSz w:w="11909" w:h="16834"/>
      <w:pgMar w:top="2552" w:right="1134" w:bottom="1134" w:left="1418" w:header="0" w:footer="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7605">
    <w:pPr>
      <w:rPr>
        <w:sz w:val="2"/>
        <w:szCs w:val="2"/>
      </w:rPr>
    </w:pPr>
    <w:r>
      <w:rPr>
        <w:sz w:val="24"/>
        <w:szCs w:val="24"/>
        <w:lang w:val="en-US" w:eastAsia="en-US"/>
      </w:rPr>
      <mc:AlternateContent>
        <mc:Choice Requires="wps">
          <w:drawing>
            <wp:anchor distT="0" distB="0" distL="63500" distR="63500" simplePos="0" relativeHeight="251660288"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left:295.9pt;margin-top:771.5pt;height:14.65pt;width:23.95pt;mso-position-horizontal-relative:page;mso-position-vertical-relative:page;mso-wrap-style:none;z-index:-251656192;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AuJQnb6AQAAAQQAAA4AAABkcnMvZTJvRG9jLnhtbK1T&#10;wW7bMAy9D9g/CLovdrolK4w4Rdcgw4BuHdDuA2RZjoVZokApsbOvHyXbWdddetjFoCnq8b1HanMz&#10;mI6dFHoNtuTLRc6ZshJqbQ8l//G0f3fNmQ/C1qIDq0p+Vp7fbN++2fSuUFfQQlcrZARifdG7krch&#10;uCLLvGyVEX4BTlk6bACNCPSLh6xG0RO66bKrPF9nPWDtEKTynrK78ZBPiPgaQGgaLdUO5NEoG0ZU&#10;VJ0IJMm32nm+TWybRsnw0DReBdaVnJSG9KUmFFfxm203ojigcK2WEwXxGgovNBmhLTW9QO1EEOyI&#10;+h8ooyWChyYsJJhsFJIcIRXL/IU3j61wKmkhq727mO7/H6z8dvqOTNe0CZxZYWjgT2oI7BMM7GN0&#10;p3e+oKJHR2VhoHSsjEq9uwf50zMLd62wB3WLCH2rRE3slvFm9uzqiOMjSNV/hZraiGOABDQ0aCIg&#10;mcEInSZzvkwmUpGUfJ9/WK5XnEk6Wl6v89UqdRDFfNmhD58VGBaDkiMNPoGL070PkYwo5pLYy8Je&#10;d10afmf/SlBhzCTyke/IPAzVMJlRQX0mGQjjLtFLoqAF/MVZT3tUckvPhrPuiyUj4srNAc5BNQfC&#10;SrpY8sDZGN6FcTWPDvWhJdzZ6lsya6+TkOjqyGFiSZuR9E1bHFfv+X+q+vNy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AuJQnb6AQAAAQQAAA4AAAAAAAAAAQAgAAAAKAEAAGRycy9lMm9E&#10;b2MueG1sUEsFBgAAAAAGAAYAWQEAAJQFAAAAAA==&#10;">
              <v:fill on="f" focussize="0,0"/>
              <v:stroke on="f"/>
              <v:imagedata o:title=""/>
              <o:lock v:ext="edit" aspectratio="f"/>
              <v:textbox inset="0mm,0mm,0mm,0mm" style="mso-fit-shape-to-text:t;">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CB91">
    <w:pPr>
      <w:rPr>
        <w:sz w:val="2"/>
        <w:szCs w:val="2"/>
      </w:rPr>
    </w:pPr>
    <w:r>
      <w:rPr>
        <w:sz w:val="24"/>
        <w:szCs w:val="24"/>
        <w:lang w:val="en-US" w:eastAsia="en-US"/>
      </w:rPr>
      <mc:AlternateContent>
        <mc:Choice Requires="wps">
          <w:drawing>
            <wp:anchor distT="0" distB="0" distL="63500" distR="63500" simplePos="0" relativeHeight="251659264"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295.9pt;margin-top:771.5pt;height:14.65pt;width:23.95pt;mso-position-horizontal-relative:page;mso-position-vertical-relative:page;mso-wrap-style:none;z-index:-251657216;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Jmd8fn6AQAAAQQAAA4AAABkcnMvZTJvRG9jLnhtbK1T&#10;TY/bIBC9V+p/QNwbO2kTraw4q+1GqSptP6Td/gCMsY1qGDSQ2Omv74DjdLu97KEXNAzD4703w/Z2&#10;ND07KfQabMmXi5wzZSXU2rYl//F0eHfDmQ/C1qIHq0p+Vp7f7t6+2Q6uUCvooK8VMgKxvhhcybsQ&#10;XJFlXnbKCL8ApywdNoBGBNpim9UoBkI3fbbK8002ANYOQSrvKbufDvkFEV8DCE2jpdqDPBplw4SK&#10;qheBJPlOO893iW3TKBm+NY1XgfUlJ6UhrfQIxVVcs91WFC0K12l5oSBeQ+GFJiO0pUevUHsRBDui&#10;/gfKaIngoQkLCSabhCRHSMUyf+HNYyecSlrIau+upvv/Byu/nr4j03XJV5xZYajhT2oM7COMbB3d&#10;GZwvqOjRUVkYKU0zk5R69wDyp2cW7jthW3WHCEOnRE3slvFm9uzqhOMjSDV8gZqeEccACWhs0ETr&#10;yAxG6NSZ87UzkYqk5Pv8w3Kz5kzS0fJmk68Tt0wU82WHPnxSYFgMSo7U+AQuTg8+RDKimEviWxYO&#10;uu9T83v7V4IKYyaRj3wn5mGsxosZFdRnkoEwzRL9JAo6wF+cDTRHJbf0bTjrP1syIo7cHOAcVHMg&#10;rKSLJQ+cTeF9mEbz6FC3HeHOVt+RWQedhERXJw4XljQZSd9liuPoPd+nqj8/d/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Jmd8fn6AQAAAQQAAA4AAAAAAAAAAQAgAAAAKAEAAGRycy9lMm9E&#10;b2MueG1sUEsFBgAAAAAGAAYAWQEAAJQFAAAAAA==&#10;">
              <v:fill on="f" focussize="0,0"/>
              <v:stroke on="f"/>
              <v:imagedata o:title=""/>
              <o:lock v:ext="edit" aspectratio="f"/>
              <v:textbox inset="0mm,0mm,0mm,0mm" style="mso-fit-shape-to-text:t;">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0F9656D"/>
    <w:multiLevelType w:val="multilevel"/>
    <w:tmpl w:val="10F9656D"/>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FC0005"/>
    <w:multiLevelType w:val="multilevel"/>
    <w:tmpl w:val="1DFC00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6339C"/>
    <w:multiLevelType w:val="multilevel"/>
    <w:tmpl w:val="2E6633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394F5C"/>
    <w:multiLevelType w:val="multilevel"/>
    <w:tmpl w:val="2F394F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1A2884"/>
    <w:multiLevelType w:val="multilevel"/>
    <w:tmpl w:val="6E1A2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5D"/>
    <w:rsid w:val="00013477"/>
    <w:rsid w:val="00047183"/>
    <w:rsid w:val="00071B65"/>
    <w:rsid w:val="000C5EF7"/>
    <w:rsid w:val="000D0C18"/>
    <w:rsid w:val="000D58E5"/>
    <w:rsid w:val="000E61A7"/>
    <w:rsid w:val="00130050"/>
    <w:rsid w:val="00131584"/>
    <w:rsid w:val="0014252E"/>
    <w:rsid w:val="00150B9C"/>
    <w:rsid w:val="001551F9"/>
    <w:rsid w:val="001772A8"/>
    <w:rsid w:val="001969F3"/>
    <w:rsid w:val="001F4D7E"/>
    <w:rsid w:val="002254C6"/>
    <w:rsid w:val="002311B1"/>
    <w:rsid w:val="002504D6"/>
    <w:rsid w:val="00262B70"/>
    <w:rsid w:val="002A1051"/>
    <w:rsid w:val="002C389F"/>
    <w:rsid w:val="002E608B"/>
    <w:rsid w:val="002F266C"/>
    <w:rsid w:val="002F39DA"/>
    <w:rsid w:val="0030506A"/>
    <w:rsid w:val="003139ED"/>
    <w:rsid w:val="003407DC"/>
    <w:rsid w:val="00362EC2"/>
    <w:rsid w:val="003A165D"/>
    <w:rsid w:val="004048E4"/>
    <w:rsid w:val="00454B34"/>
    <w:rsid w:val="00472C2F"/>
    <w:rsid w:val="004C364F"/>
    <w:rsid w:val="004C3C23"/>
    <w:rsid w:val="004D0D98"/>
    <w:rsid w:val="004E7A0C"/>
    <w:rsid w:val="004F4CEF"/>
    <w:rsid w:val="00512370"/>
    <w:rsid w:val="00516610"/>
    <w:rsid w:val="0053074E"/>
    <w:rsid w:val="00555E7C"/>
    <w:rsid w:val="00562261"/>
    <w:rsid w:val="005659DF"/>
    <w:rsid w:val="00567B21"/>
    <w:rsid w:val="0058222A"/>
    <w:rsid w:val="00590598"/>
    <w:rsid w:val="00596850"/>
    <w:rsid w:val="005D04E3"/>
    <w:rsid w:val="005E69CE"/>
    <w:rsid w:val="006037B2"/>
    <w:rsid w:val="00643A58"/>
    <w:rsid w:val="00651313"/>
    <w:rsid w:val="00654E3B"/>
    <w:rsid w:val="00680B9F"/>
    <w:rsid w:val="006905B4"/>
    <w:rsid w:val="006B6DAD"/>
    <w:rsid w:val="007162B5"/>
    <w:rsid w:val="007176A0"/>
    <w:rsid w:val="00730346"/>
    <w:rsid w:val="007D543A"/>
    <w:rsid w:val="0084680A"/>
    <w:rsid w:val="00853565"/>
    <w:rsid w:val="0087038D"/>
    <w:rsid w:val="008B50C0"/>
    <w:rsid w:val="00905131"/>
    <w:rsid w:val="009143A0"/>
    <w:rsid w:val="00914C4F"/>
    <w:rsid w:val="009705CA"/>
    <w:rsid w:val="009930E3"/>
    <w:rsid w:val="009A6B9F"/>
    <w:rsid w:val="009E4998"/>
    <w:rsid w:val="00A04ADE"/>
    <w:rsid w:val="00A16850"/>
    <w:rsid w:val="00A179B3"/>
    <w:rsid w:val="00A37656"/>
    <w:rsid w:val="00A41B8B"/>
    <w:rsid w:val="00A46BB9"/>
    <w:rsid w:val="00A75D61"/>
    <w:rsid w:val="00A82F52"/>
    <w:rsid w:val="00AB2D82"/>
    <w:rsid w:val="00AD66AD"/>
    <w:rsid w:val="00B327A2"/>
    <w:rsid w:val="00B6109C"/>
    <w:rsid w:val="00B6261B"/>
    <w:rsid w:val="00B7513F"/>
    <w:rsid w:val="00B857CC"/>
    <w:rsid w:val="00BB062D"/>
    <w:rsid w:val="00BE25E5"/>
    <w:rsid w:val="00C070DA"/>
    <w:rsid w:val="00C37705"/>
    <w:rsid w:val="00C6354D"/>
    <w:rsid w:val="00C7077A"/>
    <w:rsid w:val="00C7281F"/>
    <w:rsid w:val="00CA4E18"/>
    <w:rsid w:val="00CA553E"/>
    <w:rsid w:val="00CD3F63"/>
    <w:rsid w:val="00D47F43"/>
    <w:rsid w:val="00D70096"/>
    <w:rsid w:val="00D8031C"/>
    <w:rsid w:val="00DA1E43"/>
    <w:rsid w:val="00DF3DBF"/>
    <w:rsid w:val="00E0144B"/>
    <w:rsid w:val="00E05EFF"/>
    <w:rsid w:val="00E5509B"/>
    <w:rsid w:val="00E940FC"/>
    <w:rsid w:val="00EC7E54"/>
    <w:rsid w:val="00F04DA0"/>
    <w:rsid w:val="00F50D1D"/>
    <w:rsid w:val="00F5763E"/>
    <w:rsid w:val="00FA5D68"/>
    <w:rsid w:val="00FB6A52"/>
    <w:rsid w:val="1838351D"/>
  </w:rsids>
  <m:mathPr>
    <m:mathFont m:val="Cambria Math"/>
    <m:brkBin m:val="before"/>
    <m:brkBinSub m:val="--"/>
    <m:smallFrac m:val="0"/>
    <m:dispDef/>
    <m:lMargin m:val="0"/>
    <m:rMargin m:val="0"/>
    <m:defJc m:val="centerGroup"/>
    <m:wrapIndent m:val="1440"/>
    <m:intLim m:val="subSup"/>
    <m:naryLim m:val="undOvr"/>
  </m:mathPr>
  <w:themeFontLang w:val="bs-Latn-BA"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hr-HR" w:eastAsia="bs-Latn-BA" w:bidi="ar-SA"/>
    </w:rPr>
  </w:style>
  <w:style w:type="paragraph" w:styleId="2">
    <w:name w:val="heading 1"/>
    <w:basedOn w:val="1"/>
    <w:next w:val="1"/>
    <w:link w:val="54"/>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76092" w:themeColor="accent1" w:themeShade="BF"/>
      <w:sz w:val="24"/>
      <w:szCs w:val="24"/>
    </w:rPr>
  </w:style>
  <w:style w:type="paragraph" w:styleId="3">
    <w:name w:val="heading 2"/>
    <w:basedOn w:val="1"/>
    <w:next w:val="1"/>
    <w:link w:val="55"/>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76092" w:themeColor="accent1" w:themeShade="BF"/>
      <w:sz w:val="24"/>
      <w:szCs w:val="24"/>
    </w:rPr>
  </w:style>
  <w:style w:type="paragraph" w:styleId="4">
    <w:name w:val="heading 3"/>
    <w:basedOn w:val="1"/>
    <w:next w:val="1"/>
    <w:link w:val="56"/>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5">
    <w:name w:val="heading 4"/>
    <w:basedOn w:val="1"/>
    <w:next w:val="1"/>
    <w:link w:val="57"/>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6">
    <w:name w:val="heading 5"/>
    <w:basedOn w:val="1"/>
    <w:next w:val="1"/>
    <w:link w:val="58"/>
    <w:semiHidden/>
    <w:unhideWhenUsed/>
    <w:qFormat/>
    <w:uiPriority w:val="9"/>
    <w:pPr>
      <w:spacing w:before="200" w:after="80"/>
      <w:ind w:firstLine="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7">
    <w:name w:val="heading 6"/>
    <w:basedOn w:val="1"/>
    <w:next w:val="1"/>
    <w:link w:val="59"/>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7"/>
    <w:basedOn w:val="1"/>
    <w:next w:val="1"/>
    <w:link w:val="60"/>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9">
    <w:name w:val="heading 8"/>
    <w:basedOn w:val="1"/>
    <w:next w:val="1"/>
    <w:link w:val="61"/>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0">
    <w:name w:val="heading 9"/>
    <w:basedOn w:val="1"/>
    <w:next w:val="1"/>
    <w:link w:val="62"/>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2"/>
    <w:semiHidden/>
    <w:unhideWhenUsed/>
    <w:uiPriority w:val="99"/>
    <w:rPr>
      <w:rFonts w:ascii="Tahoma" w:hAnsi="Tahoma" w:cs="Tahoma"/>
      <w:sz w:val="16"/>
      <w:szCs w:val="16"/>
    </w:rPr>
  </w:style>
  <w:style w:type="paragraph" w:styleId="14">
    <w:name w:val="caption"/>
    <w:basedOn w:val="1"/>
    <w:next w:val="1"/>
    <w:semiHidden/>
    <w:unhideWhenUsed/>
    <w:qFormat/>
    <w:uiPriority w:val="35"/>
    <w:rPr>
      <w:b/>
      <w:bCs/>
      <w:sz w:val="18"/>
      <w:szCs w:val="18"/>
    </w:rPr>
  </w:style>
  <w:style w:type="character" w:styleId="15">
    <w:name w:val="annotation reference"/>
    <w:basedOn w:val="11"/>
    <w:semiHidden/>
    <w:unhideWhenUsed/>
    <w:qFormat/>
    <w:uiPriority w:val="99"/>
    <w:rPr>
      <w:sz w:val="16"/>
      <w:szCs w:val="16"/>
    </w:rPr>
  </w:style>
  <w:style w:type="paragraph" w:styleId="16">
    <w:name w:val="annotation text"/>
    <w:basedOn w:val="1"/>
    <w:link w:val="80"/>
    <w:semiHidden/>
    <w:unhideWhenUsed/>
    <w:uiPriority w:val="99"/>
    <w:rPr>
      <w:sz w:val="20"/>
      <w:szCs w:val="20"/>
    </w:rPr>
  </w:style>
  <w:style w:type="paragraph" w:styleId="17">
    <w:name w:val="annotation subject"/>
    <w:basedOn w:val="16"/>
    <w:next w:val="16"/>
    <w:link w:val="81"/>
    <w:semiHidden/>
    <w:unhideWhenUsed/>
    <w:qFormat/>
    <w:uiPriority w:val="99"/>
    <w:rPr>
      <w:b/>
      <w:bCs/>
    </w:rPr>
  </w:style>
  <w:style w:type="character" w:styleId="18">
    <w:name w:val="Emphasis"/>
    <w:qFormat/>
    <w:uiPriority w:val="20"/>
    <w:rPr>
      <w:b/>
      <w:bCs/>
      <w:i/>
      <w:iCs/>
      <w:color w:val="595959" w:themeColor="text1" w:themeTint="A6"/>
      <w14:textFill>
        <w14:solidFill>
          <w14:schemeClr w14:val="tx1">
            <w14:lumMod w14:val="65000"/>
            <w14:lumOff w14:val="35000"/>
          </w14:schemeClr>
        </w14:solidFill>
      </w14:textFill>
    </w:rPr>
  </w:style>
  <w:style w:type="paragraph" w:styleId="19">
    <w:name w:val="footer"/>
    <w:basedOn w:val="1"/>
    <w:link w:val="78"/>
    <w:unhideWhenUsed/>
    <w:qFormat/>
    <w:uiPriority w:val="99"/>
    <w:pPr>
      <w:tabs>
        <w:tab w:val="center" w:pos="4680"/>
        <w:tab w:val="right" w:pos="9360"/>
      </w:tabs>
    </w:pPr>
  </w:style>
  <w:style w:type="paragraph" w:styleId="20">
    <w:name w:val="header"/>
    <w:basedOn w:val="1"/>
    <w:link w:val="77"/>
    <w:unhideWhenUsed/>
    <w:uiPriority w:val="99"/>
    <w:pPr>
      <w:tabs>
        <w:tab w:val="center" w:pos="4680"/>
        <w:tab w:val="right" w:pos="9360"/>
      </w:tabs>
    </w:pPr>
  </w:style>
  <w:style w:type="character" w:styleId="21">
    <w:name w:val="Hyperlink"/>
    <w:basedOn w:val="11"/>
    <w:uiPriority w:val="0"/>
    <w:rPr>
      <w:color w:val="0066CC"/>
      <w:u w:val="single"/>
    </w:rPr>
  </w:style>
  <w:style w:type="character" w:styleId="22">
    <w:name w:val="Strong"/>
    <w:basedOn w:val="11"/>
    <w:qFormat/>
    <w:uiPriority w:val="22"/>
    <w:rPr>
      <w:b/>
      <w:bCs/>
      <w:spacing w:val="0"/>
    </w:rPr>
  </w:style>
  <w:style w:type="paragraph" w:styleId="23">
    <w:name w:val="Subtitle"/>
    <w:basedOn w:val="1"/>
    <w:next w:val="1"/>
    <w:link w:val="64"/>
    <w:qFormat/>
    <w:uiPriority w:val="11"/>
    <w:pPr>
      <w:spacing w:before="200" w:after="900"/>
      <w:ind w:firstLine="0"/>
      <w:jc w:val="right"/>
    </w:pPr>
    <w:rPr>
      <w:i/>
      <w:iCs/>
      <w:sz w:val="24"/>
      <w:szCs w:val="24"/>
    </w:rPr>
  </w:style>
  <w:style w:type="paragraph" w:styleId="24">
    <w:name w:val="Title"/>
    <w:basedOn w:val="1"/>
    <w:next w:val="1"/>
    <w:link w:val="63"/>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54061" w:themeColor="accent1" w:themeShade="80"/>
      <w:sz w:val="60"/>
      <w:szCs w:val="60"/>
    </w:rPr>
  </w:style>
  <w:style w:type="character" w:customStyle="1" w:styleId="25">
    <w:name w:val="Body text_"/>
    <w:basedOn w:val="11"/>
    <w:link w:val="26"/>
    <w:qFormat/>
    <w:uiPriority w:val="0"/>
    <w:rPr>
      <w:rFonts w:ascii="Arial" w:hAnsi="Arial" w:eastAsia="Arial" w:cs="Arial"/>
      <w:sz w:val="19"/>
      <w:szCs w:val="19"/>
      <w:u w:val="none"/>
    </w:rPr>
  </w:style>
  <w:style w:type="paragraph" w:customStyle="1" w:styleId="26">
    <w:name w:val="Body Text4"/>
    <w:basedOn w:val="1"/>
    <w:link w:val="25"/>
    <w:qFormat/>
    <w:uiPriority w:val="0"/>
    <w:pPr>
      <w:shd w:val="clear" w:color="auto" w:fill="FFFFFF"/>
      <w:spacing w:line="226" w:lineRule="exact"/>
      <w:ind w:hanging="580"/>
      <w:jc w:val="center"/>
    </w:pPr>
    <w:rPr>
      <w:rFonts w:ascii="Arial" w:hAnsi="Arial" w:eastAsia="Arial" w:cs="Arial"/>
      <w:sz w:val="19"/>
      <w:szCs w:val="19"/>
    </w:rPr>
  </w:style>
  <w:style w:type="character" w:customStyle="1" w:styleId="27">
    <w:name w:val="Table caption_"/>
    <w:basedOn w:val="11"/>
    <w:link w:val="28"/>
    <w:qFormat/>
    <w:uiPriority w:val="0"/>
    <w:rPr>
      <w:rFonts w:ascii="Arial" w:hAnsi="Arial" w:eastAsia="Arial" w:cs="Arial"/>
      <w:sz w:val="19"/>
      <w:szCs w:val="19"/>
      <w:u w:val="none"/>
    </w:rPr>
  </w:style>
  <w:style w:type="paragraph" w:customStyle="1" w:styleId="28">
    <w:name w:val="Table caption"/>
    <w:basedOn w:val="1"/>
    <w:link w:val="27"/>
    <w:qFormat/>
    <w:uiPriority w:val="0"/>
    <w:pPr>
      <w:shd w:val="clear" w:color="auto" w:fill="FFFFFF"/>
      <w:spacing w:line="0" w:lineRule="atLeast"/>
    </w:pPr>
    <w:rPr>
      <w:rFonts w:ascii="Arial" w:hAnsi="Arial" w:eastAsia="Arial" w:cs="Arial"/>
      <w:sz w:val="19"/>
      <w:szCs w:val="19"/>
    </w:rPr>
  </w:style>
  <w:style w:type="character" w:customStyle="1" w:styleId="29">
    <w:name w:val="Body Text1"/>
    <w:basedOn w:val="25"/>
    <w:qFormat/>
    <w:uiPriority w:val="0"/>
    <w:rPr>
      <w:rFonts w:ascii="Arial" w:hAnsi="Arial" w:eastAsia="Arial" w:cs="Arial"/>
      <w:color w:val="000000"/>
      <w:spacing w:val="0"/>
      <w:w w:val="100"/>
      <w:position w:val="0"/>
      <w:sz w:val="19"/>
      <w:szCs w:val="19"/>
      <w:u w:val="none"/>
      <w:lang w:val="hr-HR"/>
    </w:rPr>
  </w:style>
  <w:style w:type="character" w:customStyle="1" w:styleId="30">
    <w:name w:val="Heading #2_"/>
    <w:basedOn w:val="11"/>
    <w:link w:val="31"/>
    <w:qFormat/>
    <w:uiPriority w:val="0"/>
    <w:rPr>
      <w:rFonts w:ascii="Arial Narrow" w:hAnsi="Arial Narrow" w:eastAsia="Arial Narrow" w:cs="Arial Narrow"/>
      <w:b/>
      <w:bCs/>
      <w:spacing w:val="-20"/>
      <w:w w:val="200"/>
      <w:sz w:val="29"/>
      <w:szCs w:val="29"/>
      <w:u w:val="none"/>
    </w:rPr>
  </w:style>
  <w:style w:type="paragraph" w:customStyle="1" w:styleId="31">
    <w:name w:val="Heading #21"/>
    <w:basedOn w:val="1"/>
    <w:link w:val="30"/>
    <w:qFormat/>
    <w:uiPriority w:val="0"/>
    <w:pPr>
      <w:shd w:val="clear" w:color="auto" w:fill="FFFFFF"/>
      <w:spacing w:line="298" w:lineRule="exact"/>
      <w:outlineLvl w:val="1"/>
    </w:pPr>
    <w:rPr>
      <w:rFonts w:ascii="Arial Narrow" w:hAnsi="Arial Narrow" w:eastAsia="Arial Narrow" w:cs="Arial Narrow"/>
      <w:b/>
      <w:bCs/>
      <w:spacing w:val="-20"/>
      <w:w w:val="200"/>
      <w:sz w:val="29"/>
      <w:szCs w:val="29"/>
    </w:rPr>
  </w:style>
  <w:style w:type="character" w:customStyle="1" w:styleId="32">
    <w:name w:val="Heading #2"/>
    <w:basedOn w:val="30"/>
    <w:qFormat/>
    <w:uiPriority w:val="0"/>
    <w:rPr>
      <w:rFonts w:ascii="Arial Narrow" w:hAnsi="Arial Narrow" w:eastAsia="Arial Narrow" w:cs="Arial Narrow"/>
      <w:color w:val="000000"/>
      <w:spacing w:val="-20"/>
      <w:w w:val="200"/>
      <w:position w:val="0"/>
      <w:sz w:val="29"/>
      <w:szCs w:val="29"/>
      <w:u w:val="none"/>
      <w:lang w:val="hr-HR"/>
    </w:rPr>
  </w:style>
  <w:style w:type="character" w:customStyle="1" w:styleId="33">
    <w:name w:val="Body text (2)_"/>
    <w:basedOn w:val="11"/>
    <w:link w:val="34"/>
    <w:qFormat/>
    <w:uiPriority w:val="0"/>
    <w:rPr>
      <w:rFonts w:ascii="Arial" w:hAnsi="Arial" w:eastAsia="Arial" w:cs="Arial"/>
      <w:b/>
      <w:bCs/>
      <w:spacing w:val="-30"/>
      <w:w w:val="200"/>
      <w:sz w:val="26"/>
      <w:szCs w:val="26"/>
      <w:u w:val="none"/>
    </w:rPr>
  </w:style>
  <w:style w:type="paragraph" w:customStyle="1" w:styleId="34">
    <w:name w:val="Body text (2)1"/>
    <w:basedOn w:val="1"/>
    <w:link w:val="33"/>
    <w:qFormat/>
    <w:uiPriority w:val="0"/>
    <w:pPr>
      <w:shd w:val="clear" w:color="auto" w:fill="FFFFFF"/>
      <w:spacing w:line="298" w:lineRule="exact"/>
    </w:pPr>
    <w:rPr>
      <w:rFonts w:ascii="Arial" w:hAnsi="Arial" w:eastAsia="Arial" w:cs="Arial"/>
      <w:b/>
      <w:bCs/>
      <w:spacing w:val="-30"/>
      <w:w w:val="200"/>
      <w:sz w:val="26"/>
      <w:szCs w:val="26"/>
    </w:rPr>
  </w:style>
  <w:style w:type="character" w:customStyle="1" w:styleId="35">
    <w:name w:val="Body text (2)"/>
    <w:basedOn w:val="33"/>
    <w:uiPriority w:val="0"/>
    <w:rPr>
      <w:rFonts w:ascii="Arial" w:hAnsi="Arial" w:eastAsia="Arial" w:cs="Arial"/>
      <w:color w:val="000000"/>
      <w:spacing w:val="-30"/>
      <w:w w:val="200"/>
      <w:position w:val="0"/>
      <w:sz w:val="26"/>
      <w:szCs w:val="26"/>
      <w:u w:val="none"/>
      <w:lang w:val="hr-HR"/>
    </w:rPr>
  </w:style>
  <w:style w:type="character" w:customStyle="1" w:styleId="36">
    <w:name w:val="Heading #1_"/>
    <w:basedOn w:val="11"/>
    <w:link w:val="37"/>
    <w:qFormat/>
    <w:uiPriority w:val="0"/>
    <w:rPr>
      <w:rFonts w:ascii="Arial Narrow" w:hAnsi="Arial Narrow" w:eastAsia="Arial Narrow" w:cs="Arial Narrow"/>
      <w:spacing w:val="-20"/>
      <w:w w:val="250"/>
      <w:sz w:val="26"/>
      <w:szCs w:val="26"/>
      <w:u w:val="none"/>
    </w:rPr>
  </w:style>
  <w:style w:type="paragraph" w:customStyle="1" w:styleId="37">
    <w:name w:val="Heading #11"/>
    <w:basedOn w:val="1"/>
    <w:link w:val="36"/>
    <w:qFormat/>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38">
    <w:name w:val="Heading #1"/>
    <w:basedOn w:val="36"/>
    <w:qFormat/>
    <w:uiPriority w:val="0"/>
    <w:rPr>
      <w:rFonts w:ascii="Arial Narrow" w:hAnsi="Arial Narrow" w:eastAsia="Arial Narrow" w:cs="Arial Narrow"/>
      <w:color w:val="000000"/>
      <w:spacing w:val="-20"/>
      <w:w w:val="250"/>
      <w:position w:val="0"/>
      <w:sz w:val="26"/>
      <w:szCs w:val="26"/>
      <w:u w:val="none"/>
      <w:lang w:val="hr-HR"/>
    </w:rPr>
  </w:style>
  <w:style w:type="character" w:customStyle="1" w:styleId="39">
    <w:name w:val="Heading #1 + Segoe UI;Bold;Spacing 0 pt;Scale 100%"/>
    <w:basedOn w:val="36"/>
    <w:uiPriority w:val="0"/>
    <w:rPr>
      <w:rFonts w:ascii="Segoe UI" w:hAnsi="Segoe UI" w:eastAsia="Segoe UI" w:cs="Segoe UI"/>
      <w:b/>
      <w:bCs/>
      <w:color w:val="000000"/>
      <w:spacing w:val="0"/>
      <w:w w:val="100"/>
      <w:position w:val="0"/>
      <w:sz w:val="26"/>
      <w:szCs w:val="26"/>
      <w:u w:val="none"/>
    </w:rPr>
  </w:style>
  <w:style w:type="character" w:customStyle="1" w:styleId="40">
    <w:name w:val="Header or footer_"/>
    <w:basedOn w:val="11"/>
    <w:link w:val="41"/>
    <w:uiPriority w:val="0"/>
    <w:rPr>
      <w:rFonts w:ascii="Arial Narrow" w:hAnsi="Arial Narrow" w:eastAsia="Arial Narrow" w:cs="Arial Narrow"/>
      <w:spacing w:val="-20"/>
      <w:w w:val="250"/>
      <w:sz w:val="26"/>
      <w:szCs w:val="26"/>
      <w:u w:val="none"/>
    </w:rPr>
  </w:style>
  <w:style w:type="paragraph" w:customStyle="1" w:styleId="41">
    <w:name w:val="Header or footer1"/>
    <w:basedOn w:val="1"/>
    <w:link w:val="40"/>
    <w:uiPriority w:val="0"/>
    <w:pPr>
      <w:shd w:val="clear" w:color="auto" w:fill="FFFFFF"/>
      <w:spacing w:line="298" w:lineRule="exact"/>
    </w:pPr>
    <w:rPr>
      <w:rFonts w:ascii="Arial Narrow" w:hAnsi="Arial Narrow" w:eastAsia="Arial Narrow" w:cs="Arial Narrow"/>
      <w:spacing w:val="-20"/>
      <w:w w:val="250"/>
      <w:sz w:val="26"/>
      <w:szCs w:val="26"/>
    </w:rPr>
  </w:style>
  <w:style w:type="character" w:customStyle="1" w:styleId="42">
    <w:name w:val="Header or footer + Segoe UI;11 pt;Spacing 0 pt;Scale 100%"/>
    <w:basedOn w:val="40"/>
    <w:qFormat/>
    <w:uiPriority w:val="0"/>
    <w:rPr>
      <w:rFonts w:ascii="Segoe UI" w:hAnsi="Segoe UI" w:eastAsia="Segoe UI" w:cs="Segoe UI"/>
      <w:color w:val="000000"/>
      <w:spacing w:val="0"/>
      <w:w w:val="100"/>
      <w:position w:val="0"/>
      <w:sz w:val="22"/>
      <w:szCs w:val="22"/>
      <w:u w:val="none"/>
    </w:rPr>
  </w:style>
  <w:style w:type="character" w:customStyle="1" w:styleId="43">
    <w:name w:val="Header or footer + Arial;Bold;Spacing -1 pt;Scale 200%"/>
    <w:basedOn w:val="40"/>
    <w:uiPriority w:val="0"/>
    <w:rPr>
      <w:rFonts w:ascii="Arial" w:hAnsi="Arial" w:eastAsia="Arial" w:cs="Arial"/>
      <w:b/>
      <w:bCs/>
      <w:color w:val="000000"/>
      <w:spacing w:val="-30"/>
      <w:w w:val="200"/>
      <w:position w:val="0"/>
      <w:sz w:val="26"/>
      <w:szCs w:val="26"/>
      <w:u w:val="none"/>
      <w:lang w:val="hr-HR"/>
    </w:rPr>
  </w:style>
  <w:style w:type="character" w:customStyle="1" w:styleId="44">
    <w:name w:val="Header or footer + Arial;13;5 pt;Bold;Spacing -1 pt;Scale 200%"/>
    <w:basedOn w:val="40"/>
    <w:qFormat/>
    <w:uiPriority w:val="0"/>
    <w:rPr>
      <w:rFonts w:ascii="Arial" w:hAnsi="Arial" w:eastAsia="Arial" w:cs="Arial"/>
      <w:b/>
      <w:bCs/>
      <w:color w:val="000000"/>
      <w:spacing w:val="-30"/>
      <w:w w:val="200"/>
      <w:position w:val="0"/>
      <w:sz w:val="27"/>
      <w:szCs w:val="27"/>
      <w:u w:val="none"/>
      <w:lang w:val="hr-HR"/>
    </w:rPr>
  </w:style>
  <w:style w:type="character" w:customStyle="1" w:styleId="45">
    <w:name w:val="Header or footer"/>
    <w:basedOn w:val="40"/>
    <w:uiPriority w:val="0"/>
    <w:rPr>
      <w:rFonts w:ascii="Arial Narrow" w:hAnsi="Arial Narrow" w:eastAsia="Arial Narrow" w:cs="Arial Narrow"/>
      <w:color w:val="000000"/>
      <w:spacing w:val="-20"/>
      <w:w w:val="250"/>
      <w:position w:val="0"/>
      <w:sz w:val="26"/>
      <w:szCs w:val="26"/>
      <w:u w:val="none"/>
      <w:lang w:val="hr-HR"/>
    </w:rPr>
  </w:style>
  <w:style w:type="character" w:customStyle="1" w:styleId="46">
    <w:name w:val="Body Text2"/>
    <w:basedOn w:val="25"/>
    <w:qFormat/>
    <w:uiPriority w:val="0"/>
    <w:rPr>
      <w:rFonts w:ascii="Arial" w:hAnsi="Arial" w:eastAsia="Arial" w:cs="Arial"/>
      <w:color w:val="000000"/>
      <w:spacing w:val="0"/>
      <w:w w:val="100"/>
      <w:position w:val="0"/>
      <w:sz w:val="19"/>
      <w:szCs w:val="19"/>
      <w:u w:val="none"/>
      <w:lang w:val="hr-HR"/>
    </w:rPr>
  </w:style>
  <w:style w:type="character" w:customStyle="1" w:styleId="47">
    <w:name w:val="Body text + Italic;Spacing -1 pt"/>
    <w:basedOn w:val="25"/>
    <w:uiPriority w:val="0"/>
    <w:rPr>
      <w:rFonts w:ascii="Arial" w:hAnsi="Arial" w:eastAsia="Arial" w:cs="Arial"/>
      <w:i/>
      <w:iCs/>
      <w:color w:val="000000"/>
      <w:spacing w:val="-20"/>
      <w:w w:val="100"/>
      <w:position w:val="0"/>
      <w:sz w:val="19"/>
      <w:szCs w:val="19"/>
      <w:u w:val="none"/>
      <w:lang w:val="hr-HR"/>
    </w:rPr>
  </w:style>
  <w:style w:type="character" w:customStyle="1" w:styleId="48">
    <w:name w:val="Body text + 10 pt;Bold;Italic;Spacing -1 pt"/>
    <w:basedOn w:val="25"/>
    <w:uiPriority w:val="0"/>
    <w:rPr>
      <w:rFonts w:ascii="Arial" w:hAnsi="Arial" w:eastAsia="Arial" w:cs="Arial"/>
      <w:b/>
      <w:bCs/>
      <w:i/>
      <w:iCs/>
      <w:color w:val="000000"/>
      <w:spacing w:val="-20"/>
      <w:w w:val="100"/>
      <w:position w:val="0"/>
      <w:sz w:val="20"/>
      <w:szCs w:val="20"/>
      <w:u w:val="none"/>
      <w:lang w:val="hr-HR"/>
    </w:rPr>
  </w:style>
  <w:style w:type="character" w:customStyle="1" w:styleId="49">
    <w:name w:val="Body Text3"/>
    <w:basedOn w:val="25"/>
    <w:uiPriority w:val="0"/>
    <w:rPr>
      <w:rFonts w:ascii="Arial" w:hAnsi="Arial" w:eastAsia="Arial" w:cs="Arial"/>
      <w:color w:val="000000"/>
      <w:spacing w:val="0"/>
      <w:w w:val="100"/>
      <w:position w:val="0"/>
      <w:sz w:val="19"/>
      <w:szCs w:val="19"/>
      <w:u w:val="single"/>
      <w:lang w:val="hr-HR"/>
    </w:rPr>
  </w:style>
  <w:style w:type="character" w:customStyle="1" w:styleId="50">
    <w:name w:val="Heading #1 (2)_"/>
    <w:basedOn w:val="11"/>
    <w:link w:val="51"/>
    <w:uiPriority w:val="0"/>
    <w:rPr>
      <w:rFonts w:ascii="Arial Narrow" w:hAnsi="Arial Narrow" w:eastAsia="Arial Narrow" w:cs="Arial Narrow"/>
      <w:spacing w:val="-20"/>
      <w:w w:val="250"/>
      <w:sz w:val="26"/>
      <w:szCs w:val="26"/>
      <w:u w:val="none"/>
    </w:rPr>
  </w:style>
  <w:style w:type="paragraph" w:customStyle="1" w:styleId="51">
    <w:name w:val="Heading #1 (2)1"/>
    <w:basedOn w:val="1"/>
    <w:link w:val="50"/>
    <w:qFormat/>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52">
    <w:name w:val="Heading #1 (2)"/>
    <w:basedOn w:val="50"/>
    <w:uiPriority w:val="0"/>
    <w:rPr>
      <w:rFonts w:ascii="Arial Narrow" w:hAnsi="Arial Narrow" w:eastAsia="Arial Narrow" w:cs="Arial Narrow"/>
      <w:color w:val="000000"/>
      <w:spacing w:val="-20"/>
      <w:w w:val="250"/>
      <w:position w:val="0"/>
      <w:sz w:val="26"/>
      <w:szCs w:val="26"/>
      <w:u w:val="none"/>
      <w:lang w:val="hr-HR"/>
    </w:rPr>
  </w:style>
  <w:style w:type="character" w:customStyle="1" w:styleId="53">
    <w:name w:val="Heading #1 (2) + Segoe UI;Bold;Spacing 0 pt;Scale 100%"/>
    <w:basedOn w:val="50"/>
    <w:qFormat/>
    <w:uiPriority w:val="0"/>
    <w:rPr>
      <w:rFonts w:ascii="Segoe UI" w:hAnsi="Segoe UI" w:eastAsia="Segoe UI" w:cs="Segoe UI"/>
      <w:b/>
      <w:bCs/>
      <w:color w:val="000000"/>
      <w:spacing w:val="0"/>
      <w:w w:val="100"/>
      <w:position w:val="0"/>
      <w:sz w:val="26"/>
      <w:szCs w:val="26"/>
      <w:u w:val="none"/>
    </w:rPr>
  </w:style>
  <w:style w:type="character" w:customStyle="1" w:styleId="54">
    <w:name w:val="Heading 1 Char"/>
    <w:basedOn w:val="11"/>
    <w:link w:val="2"/>
    <w:qFormat/>
    <w:uiPriority w:val="9"/>
    <w:rPr>
      <w:rFonts w:asciiTheme="majorHAnsi" w:hAnsiTheme="majorHAnsi" w:eastAsiaTheme="majorEastAsia" w:cstheme="majorBidi"/>
      <w:b/>
      <w:bCs/>
      <w:color w:val="376092" w:themeColor="accent1" w:themeShade="BF"/>
      <w:sz w:val="24"/>
      <w:szCs w:val="24"/>
    </w:rPr>
  </w:style>
  <w:style w:type="character" w:customStyle="1" w:styleId="55">
    <w:name w:val="Heading 2 Char"/>
    <w:basedOn w:val="11"/>
    <w:link w:val="3"/>
    <w:semiHidden/>
    <w:qFormat/>
    <w:uiPriority w:val="9"/>
    <w:rPr>
      <w:rFonts w:asciiTheme="majorHAnsi" w:hAnsiTheme="majorHAnsi" w:eastAsiaTheme="majorEastAsia" w:cstheme="majorBidi"/>
      <w:color w:val="376092" w:themeColor="accent1" w:themeShade="BF"/>
      <w:sz w:val="24"/>
      <w:szCs w:val="24"/>
    </w:rPr>
  </w:style>
  <w:style w:type="character" w:customStyle="1" w:styleId="56">
    <w:name w:val="Heading 3 Char"/>
    <w:basedOn w:val="11"/>
    <w:link w:val="4"/>
    <w:semiHidden/>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57">
    <w:name w:val="Heading 4 Char"/>
    <w:basedOn w:val="11"/>
    <w:link w:val="5"/>
    <w:semiHidden/>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58">
    <w:name w:val="Heading 5 Char"/>
    <w:basedOn w:val="11"/>
    <w:link w:val="6"/>
    <w:semiHidden/>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59">
    <w:name w:val="Heading 6 Char"/>
    <w:basedOn w:val="11"/>
    <w:link w:val="7"/>
    <w:semiHidden/>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60">
    <w:name w:val="Heading 7 Char"/>
    <w:basedOn w:val="11"/>
    <w:link w:val="8"/>
    <w:semiHidden/>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61">
    <w:name w:val="Heading 8 Char"/>
    <w:basedOn w:val="11"/>
    <w:link w:val="9"/>
    <w:semiHidden/>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62">
    <w:name w:val="Heading 9 Char"/>
    <w:basedOn w:val="11"/>
    <w:link w:val="10"/>
    <w:semiHidden/>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63">
    <w:name w:val="Title Char"/>
    <w:basedOn w:val="11"/>
    <w:link w:val="24"/>
    <w:qFormat/>
    <w:uiPriority w:val="10"/>
    <w:rPr>
      <w:rFonts w:asciiTheme="majorHAnsi" w:hAnsiTheme="majorHAnsi" w:eastAsiaTheme="majorEastAsia" w:cstheme="majorBidi"/>
      <w:i/>
      <w:iCs/>
      <w:color w:val="254061" w:themeColor="accent1" w:themeShade="80"/>
      <w:sz w:val="60"/>
      <w:szCs w:val="60"/>
    </w:rPr>
  </w:style>
  <w:style w:type="character" w:customStyle="1" w:styleId="64">
    <w:name w:val="Subtitle Char"/>
    <w:basedOn w:val="11"/>
    <w:link w:val="23"/>
    <w:uiPriority w:val="11"/>
    <w:rPr>
      <w:i/>
      <w:iCs/>
      <w:sz w:val="24"/>
      <w:szCs w:val="24"/>
    </w:rPr>
  </w:style>
  <w:style w:type="paragraph" w:styleId="65">
    <w:name w:val="No Spacing"/>
    <w:basedOn w:val="1"/>
    <w:link w:val="79"/>
    <w:qFormat/>
    <w:uiPriority w:val="1"/>
    <w:pPr>
      <w:ind w:firstLine="0"/>
    </w:pPr>
  </w:style>
  <w:style w:type="paragraph" w:styleId="66">
    <w:name w:val="List Paragraph"/>
    <w:basedOn w:val="1"/>
    <w:qFormat/>
    <w:uiPriority w:val="34"/>
    <w:pPr>
      <w:ind w:left="720"/>
      <w:contextualSpacing/>
    </w:pPr>
  </w:style>
  <w:style w:type="paragraph" w:styleId="67">
    <w:name w:val="Quote"/>
    <w:basedOn w:val="1"/>
    <w:next w:val="1"/>
    <w:link w:val="68"/>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68">
    <w:name w:val="Quote Char"/>
    <w:basedOn w:val="11"/>
    <w:link w:val="67"/>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69">
    <w:name w:val="Intense Quote"/>
    <w:basedOn w:val="1"/>
    <w:next w:val="1"/>
    <w:link w:val="70"/>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70">
    <w:name w:val="Intense Quote Char"/>
    <w:basedOn w:val="11"/>
    <w:link w:val="69"/>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71">
    <w:name w:val="Subtle Emphasis"/>
    <w:qFormat/>
    <w:uiPriority w:val="19"/>
    <w:rPr>
      <w:i/>
      <w:iCs/>
      <w:color w:val="595959" w:themeColor="text1" w:themeTint="A6"/>
      <w14:textFill>
        <w14:solidFill>
          <w14:schemeClr w14:val="tx1">
            <w14:lumMod w14:val="65000"/>
            <w14:lumOff w14:val="35000"/>
          </w14:schemeClr>
        </w14:solidFill>
      </w14:textFill>
    </w:rPr>
  </w:style>
  <w:style w:type="character" w:customStyle="1" w:styleId="72">
    <w:name w:val="Intense Emphasis"/>
    <w:qFormat/>
    <w:uiPriority w:val="21"/>
    <w:rPr>
      <w:b/>
      <w:bCs/>
      <w:i/>
      <w:iCs/>
      <w:color w:val="4F81BD" w:themeColor="accent1"/>
      <w:sz w:val="22"/>
      <w:szCs w:val="22"/>
      <w14:textFill>
        <w14:solidFill>
          <w14:schemeClr w14:val="accent1"/>
        </w14:solidFill>
      </w14:textFill>
    </w:rPr>
  </w:style>
  <w:style w:type="character" w:customStyle="1" w:styleId="73">
    <w:name w:val="Subtle Reference"/>
    <w:qFormat/>
    <w:uiPriority w:val="31"/>
    <w:rPr>
      <w:color w:val="auto"/>
      <w:u w:val="single" w:color="9BBB59" w:themeColor="accent3"/>
    </w:rPr>
  </w:style>
  <w:style w:type="character" w:customStyle="1" w:styleId="74">
    <w:name w:val="Intense Reference"/>
    <w:basedOn w:val="11"/>
    <w:qFormat/>
    <w:uiPriority w:val="32"/>
    <w:rPr>
      <w:b/>
      <w:bCs/>
      <w:color w:val="77933C" w:themeColor="accent3" w:themeShade="BF"/>
      <w:u w:val="single" w:color="9BBB59" w:themeColor="accent3"/>
    </w:rPr>
  </w:style>
  <w:style w:type="character" w:customStyle="1" w:styleId="75">
    <w:name w:val="Book Title"/>
    <w:basedOn w:val="11"/>
    <w:qFormat/>
    <w:uiPriority w:val="33"/>
    <w:rPr>
      <w:rFonts w:asciiTheme="majorHAnsi" w:hAnsiTheme="majorHAnsi" w:eastAsiaTheme="majorEastAsia" w:cstheme="majorBidi"/>
      <w:b/>
      <w:bCs/>
      <w:i/>
      <w:iCs/>
      <w:color w:val="auto"/>
    </w:rPr>
  </w:style>
  <w:style w:type="paragraph" w:customStyle="1" w:styleId="76">
    <w:name w:val="TOC Heading"/>
    <w:basedOn w:val="2"/>
    <w:next w:val="1"/>
    <w:semiHidden/>
    <w:unhideWhenUsed/>
    <w:qFormat/>
    <w:uiPriority w:val="39"/>
    <w:pPr>
      <w:outlineLvl w:val="9"/>
    </w:pPr>
    <w:rPr>
      <w:lang w:bidi="en-US"/>
    </w:rPr>
  </w:style>
  <w:style w:type="character" w:customStyle="1" w:styleId="77">
    <w:name w:val="Header Char"/>
    <w:basedOn w:val="11"/>
    <w:link w:val="20"/>
    <w:uiPriority w:val="99"/>
  </w:style>
  <w:style w:type="character" w:customStyle="1" w:styleId="78">
    <w:name w:val="Footer Char"/>
    <w:basedOn w:val="11"/>
    <w:link w:val="19"/>
    <w:uiPriority w:val="99"/>
  </w:style>
  <w:style w:type="character" w:customStyle="1" w:styleId="79">
    <w:name w:val="No Spacing Char"/>
    <w:basedOn w:val="11"/>
    <w:link w:val="65"/>
    <w:uiPriority w:val="1"/>
  </w:style>
  <w:style w:type="character" w:customStyle="1" w:styleId="80">
    <w:name w:val="Comment Text Char"/>
    <w:basedOn w:val="11"/>
    <w:link w:val="16"/>
    <w:semiHidden/>
    <w:uiPriority w:val="99"/>
    <w:rPr>
      <w:sz w:val="20"/>
      <w:szCs w:val="20"/>
    </w:rPr>
  </w:style>
  <w:style w:type="character" w:customStyle="1" w:styleId="81">
    <w:name w:val="Comment Subject Char"/>
    <w:basedOn w:val="80"/>
    <w:link w:val="17"/>
    <w:semiHidden/>
    <w:uiPriority w:val="99"/>
    <w:rPr>
      <w:b/>
      <w:bCs/>
      <w:sz w:val="20"/>
      <w:szCs w:val="20"/>
    </w:rPr>
  </w:style>
  <w:style w:type="character" w:customStyle="1" w:styleId="82">
    <w:name w:val="Balloon Text Char"/>
    <w:basedOn w:val="11"/>
    <w:link w:val="13"/>
    <w:semiHidden/>
    <w:qFormat/>
    <w:uiPriority w:val="99"/>
    <w:rPr>
      <w:rFonts w:ascii="Tahoma" w:hAnsi="Tahoma" w:cs="Tahoma"/>
      <w:sz w:val="16"/>
      <w:szCs w:val="16"/>
    </w:rPr>
  </w:style>
  <w:style w:type="paragraph" w:customStyle="1" w:styleId="83">
    <w:name w:val="Char Char Char Char Char Char"/>
    <w:basedOn w:val="1"/>
    <w:uiPriority w:val="0"/>
    <w:pPr>
      <w:spacing w:after="160" w:line="240" w:lineRule="exact"/>
      <w:ind w:firstLine="0"/>
    </w:pPr>
    <w:rPr>
      <w:rFonts w:ascii="Tahoma" w:hAnsi="Tahoma" w:eastAsia="Times New Roman" w:cs="Times New Roman"/>
      <w:sz w:val="20"/>
      <w:szCs w:val="20"/>
      <w:lang w:val="en-US" w:eastAsia="en-US"/>
    </w:rPr>
  </w:style>
  <w:style w:type="paragraph" w:customStyle="1" w:styleId="84">
    <w:name w:val="Body Text7"/>
    <w:basedOn w:val="1"/>
    <w:uiPriority w:val="0"/>
    <w:pPr>
      <w:widowControl w:val="0"/>
      <w:shd w:val="clear" w:color="auto" w:fill="FFFFFF"/>
      <w:spacing w:line="0" w:lineRule="atLeast"/>
      <w:ind w:hanging="1320"/>
      <w:jc w:val="center"/>
    </w:pPr>
    <w:rPr>
      <w:rFonts w:ascii="Microsoft Sans Serif" w:hAnsi="Microsoft Sans Serif" w:eastAsia="Microsoft Sans Serif" w:cs="Microsoft Sans Serif"/>
      <w:color w:val="000000"/>
      <w:sz w:val="19"/>
      <w:szCs w:val="19"/>
    </w:rPr>
  </w:style>
  <w:style w:type="paragraph" w:customStyle="1" w:styleId="85">
    <w:name w:val="Revision"/>
    <w:hidden/>
    <w:semiHidden/>
    <w:qFormat/>
    <w:uiPriority w:val="99"/>
    <w:pPr>
      <w:ind w:firstLine="0"/>
    </w:pPr>
    <w:rPr>
      <w:rFonts w:asciiTheme="minorHAnsi" w:hAnsiTheme="minorHAnsi" w:eastAsiaTheme="minorEastAsia" w:cstheme="minorBidi"/>
      <w:sz w:val="22"/>
      <w:szCs w:val="22"/>
      <w:lang w:val="hr-HR" w:eastAsia="bs-Latn-B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44C02-AD43-43E7-B9D9-CD3EDC44B7B7}">
  <ds:schemaRefs/>
</ds:datastoreItem>
</file>

<file path=customXml/itemProps3.xml><?xml version="1.0" encoding="utf-8"?>
<ds:datastoreItem xmlns:ds="http://schemas.openxmlformats.org/officeDocument/2006/customXml" ds:itemID="{93987AA6-918A-441E-9B83-0985F09E01D5}">
  <ds:schemaRefs/>
</ds:datastoreItem>
</file>

<file path=customXml/itemProps4.xml><?xml version="1.0" encoding="utf-8"?>
<ds:datastoreItem xmlns:ds="http://schemas.openxmlformats.org/officeDocument/2006/customXml" ds:itemID="{2E19ACE6-69D9-4B05-87F4-4816AE3617FE}">
  <ds:schemaRefs/>
</ds:datastoreItem>
</file>

<file path=docProps/app.xml><?xml version="1.0" encoding="utf-8"?>
<Properties xmlns="http://schemas.openxmlformats.org/officeDocument/2006/extended-properties" xmlns:vt="http://schemas.openxmlformats.org/officeDocument/2006/docPropsVTypes">
  <Template>Normal</Template>
  <Pages>8</Pages>
  <Words>3068</Words>
  <Characters>17488</Characters>
  <Lines>145</Lines>
  <Paragraphs>41</Paragraphs>
  <TotalTime>0</TotalTime>
  <ScaleCrop>false</ScaleCrop>
  <LinksUpToDate>false</LinksUpToDate>
  <CharactersWithSpaces>20515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2023-12-04T10:22:00Z</dcterms:created>
  <dc:creator>karmen</dc:creator>
  <cp:lastModifiedBy>Haris</cp:lastModifiedBy>
  <dcterms:modified xsi:type="dcterms:W3CDTF">2025-02-21T14:50:50Z</dcterms:modified>
  <dc:title>PARTICULARS TO APPEAR ON &lt;THE OUTER PACKAGING&gt; &lt;AND&gt; &lt;THE IMMEDIATE PACKAGING&gt;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E88348106BA643E9B152BA45ACE31DF3_13</vt:lpwstr>
  </property>
</Properties>
</file>