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CCE0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14:paraId="615F69D7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SAŽETAK KARAKTERISTIKA LIJEKA</w:t>
      </w:r>
    </w:p>
    <w:p w14:paraId="246C4D5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9E02CEA">
      <w:pPr>
        <w:rPr>
          <w:rFonts w:ascii="Microsoft Sans Serif" w:hAnsi="Microsoft Sans Serif" w:cs="Microsoft Sans Serif"/>
          <w:sz w:val="20"/>
          <w:szCs w:val="20"/>
        </w:rPr>
      </w:pPr>
    </w:p>
    <w:p w14:paraId="58280830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2CF0AF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1.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NAZIV GOTOVOG LIJEKA</w:t>
      </w:r>
    </w:p>
    <w:p w14:paraId="2BE4139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Felkarid, 50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7D0B01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Felkarid, 100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2145544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flekainid</w:t>
      </w:r>
    </w:p>
    <w:p w14:paraId="0117E82D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C15606C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D32AA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2. KVALITATIVNI I KVANTITATIVNI SASTAV</w:t>
      </w:r>
    </w:p>
    <w:p w14:paraId="6BD67E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tableta sadrži 50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acetata.</w:t>
      </w:r>
    </w:p>
    <w:p w14:paraId="1ED05FB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AF3E8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 listu svih pomoćnih supstanci,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6.1.</w:t>
      </w:r>
    </w:p>
    <w:p w14:paraId="3A3823EC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60767CA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6C6E7D5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3. FARMACEUTSKI OBLIK</w:t>
      </w:r>
    </w:p>
    <w:p w14:paraId="67B89AB6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Felkarid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50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 tablete: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</w:p>
    <w:p w14:paraId="30142B22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ele do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ele, okrugle, bikonveksne tablete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.</w:t>
      </w:r>
    </w:p>
    <w:p w14:paraId="520E828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1B141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Felkarid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 100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, 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82B36B3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ele, okrugle, bikonveksne tablete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sa podionom linijom sa jedne strane.</w:t>
      </w:r>
    </w:p>
    <w:p w14:paraId="0CDE516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Tableta se može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eliti na jednake doze.</w:t>
      </w:r>
    </w:p>
    <w:p w14:paraId="47E50D12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3DD42045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393337A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4. KLINIČKI PODACI</w:t>
      </w:r>
    </w:p>
    <w:p w14:paraId="7CEB639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4.1. Terapijske indikacije</w:t>
      </w:r>
    </w:p>
    <w:p w14:paraId="6D57F10A">
      <w:pPr>
        <w:rPr>
          <w:rFonts w:ascii="Microsoft Sans Serif" w:hAnsi="Microsoft Sans Serif" w:cs="Microsoft Sans Serif"/>
          <w:sz w:val="20"/>
          <w:szCs w:val="20"/>
        </w:rPr>
      </w:pPr>
    </w:p>
    <w:p w14:paraId="61C7098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Felkarid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je indikovan za terapiju:</w:t>
      </w:r>
    </w:p>
    <w:p w14:paraId="2BC5C52E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-nodalne recipročne tahikardije; aritmija udruženih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Wolff-Parkinson-White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sindromom i sličnim stanjima </w:t>
      </w:r>
      <w:r>
        <w:rPr>
          <w:rFonts w:ascii="Microsoft Sans Serif" w:hAnsi="Microsoft Sans Serif" w:cs="Microsoft Sans Serif"/>
          <w:sz w:val="20"/>
          <w:szCs w:val="20"/>
        </w:rPr>
        <w:t>koje karakteri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še prisustvo dodatnih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akcesorni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h)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puteva za sprovođenje impulsa iz pretkomora u komore.</w:t>
      </w:r>
    </w:p>
    <w:p w14:paraId="5D2A4B94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Simptomatske neprekidne ventrikularne tahiaritmije.</w:t>
      </w:r>
    </w:p>
    <w:p w14:paraId="3AA24CC0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Preuranjene ventrikularne kontrakcije i/ili kratkotrajne ventrikularne tahikardije koje uzrokuju onesposoblјavajuće simptome, rezistentne na drugu terapiju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ili kada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podnošlјivost drugih pristupa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ečenju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nije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bila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zadovoljavajuća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672F5F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Paroksizmalne atrijalne aritmije (atrijalna fibrilacija, flater i tahikardija) kod pacijenata sa onesposoblјavajućim simptomima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kada je potreba za terapijom osnovana.</w:t>
      </w:r>
    </w:p>
    <w:p w14:paraId="3491569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Treba isklјučiti strukturnu bolest srca i/ili oštećenu funkciju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eve komore zbog mogućeg povećanog rizika od proaritmijskog efekta.</w:t>
      </w:r>
    </w:p>
    <w:p w14:paraId="46B465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acetat tablete se mogu koristiti za održavanje normalnog ritma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konverzij</w:t>
      </w:r>
      <w:r>
        <w:rPr>
          <w:rFonts w:ascii="Microsoft Sans Serif" w:hAnsi="Microsoft Sans Serif" w:cs="Microsoft Sans Serif"/>
          <w:sz w:val="20"/>
          <w:szCs w:val="20"/>
        </w:rPr>
        <w:t>e,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postignute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drugim sredstvima.</w:t>
      </w:r>
    </w:p>
    <w:p w14:paraId="11A02C5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8D2FEB8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4.2. Doziranje i način primjene</w:t>
      </w:r>
    </w:p>
    <w:p w14:paraId="6182BA40">
      <w:pPr>
        <w:rPr>
          <w:rFonts w:ascii="Microsoft Sans Serif" w:hAnsi="Microsoft Sans Serif" w:cs="Microsoft Sans Serif"/>
          <w:sz w:val="20"/>
          <w:szCs w:val="20"/>
        </w:rPr>
      </w:pPr>
    </w:p>
    <w:p w14:paraId="6F30082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Doziranje:</w:t>
      </w:r>
    </w:p>
    <w:p w14:paraId="20B6D23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Započinjanje terapije flekainid acetatom i prilagođavanje doze treba sprovoditi pod medicinskim nadzorom uz praćenje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plazmi. </w:t>
      </w:r>
    </w:p>
    <w:p w14:paraId="20AC15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toku ovih procedura može biti potrebna hospitalizacija za određene pacijente, posebno za pacijente sa životno ugrožavajućim ventrikularnim aritmijama. Odluku o tome treba don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pod nadzorom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ekara specijaliste. Kod pacijenata sa postojećom kardiomiopatijom organskog por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ekla, pogotovo kod onih sa infarktom miokarda u anamnezi, terapiju flekainidom treba otpočeti samo ukoliko drugi antiaritmici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nisu iz grupe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(naročito amjodaron)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nisu efikasni, ili ih pacijent ne podnosi dobro i kada nefarmakološki pristupi (operacija, ablacija ili implantacija defibrilatora) nisu indikovani. Tokom terapije zaht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eva se strog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medicinsk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04C750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D6B1E59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Odrasli:</w:t>
      </w:r>
    </w:p>
    <w:p w14:paraId="41781B5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Supraventrikularne aritmije: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preporučena početna doza je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50 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dva puta dnevno. Ukoliko je potrebno, doza se može povećati do maksimalne doze od 300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dnevno.</w:t>
      </w:r>
    </w:p>
    <w:p w14:paraId="37BDBEB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54AF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Ventrikularne aritmije: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preporučena početna doza je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dva puta dnevno. Maksimalna doza je 400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i ona je uglavnom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namijenjena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za pacijente krupne telesne građe ili kada je neophodna brza kontrola aritmije. Nakon 3-5 dana, preporučuje se progresivno smanjenje doze do najniže terapijske doze koja omogućava adekvatnu kontrolu aritmija..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Dodatno smanjenje doze 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ože biti moguće u toku dugotrajne terapije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ekom.</w:t>
      </w:r>
    </w:p>
    <w:p w14:paraId="28ADA87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9242915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Stariji pacijenti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6B48D44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Brzina eliminacije flekainida iz plazme može biti smanjena kod starijih pacijenata. Ovo treba uzeti u obzir pri prilagođavanju režima doziranja.</w:t>
      </w:r>
    </w:p>
    <w:p w14:paraId="6404BD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DB2ED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Pedijatrijski pacijenti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</w:p>
    <w:p w14:paraId="07A185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Nema dovolјno podataka o upotrebi flekainida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ece. Bezb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ednost i efikasnost nisu ustanovlјeni, tako da flekainid ne treba koristiti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godina.</w:t>
      </w:r>
    </w:p>
    <w:p w14:paraId="5A9A38B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97FC4B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Koncentracije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u plazmi:</w:t>
      </w:r>
    </w:p>
    <w:p w14:paraId="65AA655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osnovu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PVC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supresije (supresije prevremenih ventrikularnih kont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akcija), uočeno je da za postizanje maksimalnog terapijskog efekta mogu biti potrebne koncentracije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 od 200-1000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ng/ml.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Koncentracije flekainida u plazmi iznad 700-1000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ng/ml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udružene sa povećanim rizikom od pojave neželјenih </w:t>
      </w:r>
      <w:r>
        <w:rPr>
          <w:rFonts w:ascii="Microsoft Sans Serif" w:hAnsi="Microsoft Sans Serif" w:cs="Microsoft Sans Serif"/>
          <w:sz w:val="20"/>
          <w:szCs w:val="20"/>
        </w:rPr>
        <w:t>dejstava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4FE91AC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5274FD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kod pacijenata sa oštećenom renalnom funkcijom:</w:t>
      </w:r>
    </w:p>
    <w:p w14:paraId="102FF66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 značajnim oštećenjem funkcije bubrega (klirens kreatinina 35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ml/min/1,73 m</w:t>
      </w:r>
      <w:r>
        <w:rPr>
          <w:rFonts w:ascii="Microsoft Sans Serif" w:hAnsi="Microsoft Sans Serif" w:cs="Microsoft Sans Serif"/>
          <w:sz w:val="20"/>
          <w:szCs w:val="20"/>
          <w:vertAlign w:val="superscript"/>
          <w:lang w:val="en-GB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manje), maksimalna inicijalna doza bi trebalo da bude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dnevno (ili 50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dva puta dnevno). Kod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vih pacijenata preporučuje se često praćenje koncentracija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u plazmi. </w:t>
      </w:r>
    </w:p>
    <w:p w14:paraId="1B0D9A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3E63D1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eka kod pacijenata sa oštećenom funkcijom jetre:</w:t>
      </w:r>
    </w:p>
    <w:p w14:paraId="62C36F01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 oštećenom funkcijom jetre treba pažlјivo pratiti i dnevna doza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100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mg. </w:t>
      </w:r>
    </w:p>
    <w:p w14:paraId="7E8661BC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 trajnim pejsmejkerom treba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ečiti sa oprezom. Dnevna doza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200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mg.</w:t>
      </w:r>
    </w:p>
    <w:p w14:paraId="04606A7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koji istovremeno uzimaju cimetidin ili amjodaron obavezno je intenzivno pratiti. Kod nekih pacijenta je potrebno redukovati dozu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koja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biti veća od 200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dnevno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Ove pacijente treba pratiti i prilikom započinjanja terapije i tokom terapije održavanja.</w:t>
      </w:r>
    </w:p>
    <w:p w14:paraId="01E1837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Praćenje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i EKG se preporučuje u redovnim intervalima (kontrola EKG-a na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 dana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dugotrajni EKG na svaka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eseca) tokom terapije. Tokom otpočinjanja terapije i prilikom povećanja doze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eka, treba obaviti EKG na svaka 2-4 dana. </w:t>
      </w:r>
    </w:p>
    <w:p w14:paraId="437E42F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Kada se flekainid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kod pacijenata kod kojih je potrebna redukcija doze, EKG kontrolu je potrebno češće raditi (uz regularno praćenje koncentracije flekainida u plazmi). Prilagođavanje doze treba raditi u intervalima od 6-8 dana. Kod ovih pacijenata EKG treba raditi u 2. i 3. nedelјi, kako bi se doza individualno prilagodila pacijentu.</w:t>
      </w:r>
    </w:p>
    <w:p w14:paraId="5DDB5DB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3A7F6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Način prim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ene</w:t>
      </w:r>
    </w:p>
    <w:p w14:paraId="1DBB7E9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oralnu upotrebu. Tabletu progutati (sa nekom tečnošću).</w:t>
      </w:r>
    </w:p>
    <w:p w14:paraId="3CF414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AB74B27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4.3. Kontraindikacije</w:t>
      </w:r>
    </w:p>
    <w:p w14:paraId="64CB0F93">
      <w:pPr>
        <w:rPr>
          <w:rFonts w:ascii="Microsoft Sans Serif" w:hAnsi="Microsoft Sans Serif" w:cs="Microsoft Sans Serif"/>
          <w:sz w:val="20"/>
          <w:szCs w:val="20"/>
        </w:rPr>
      </w:pPr>
    </w:p>
    <w:p w14:paraId="5D2176B5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etlјivost na aktivnu supstancu ili bilo koju od pomoćnih supstanci navedenih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6.1.</w:t>
      </w:r>
    </w:p>
    <w:p w14:paraId="67D3E4B4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je kontraindikovan kod srčane insuficijencije i kod pacijenata sa infarktom miokarda u anamnezi koji imaju asimptomatsku ventrikularnu ektopiju ili asimptomatsku kratkotrajnu ventrikularnu tahikardiju.</w:t>
      </w:r>
    </w:p>
    <w:p w14:paraId="46F9BD42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dugotrajnom atrijalnom fibrilacijom kod kojih nije bilo pokušaja konverzije u sinusni ritam.</w:t>
      </w:r>
    </w:p>
    <w:p w14:paraId="75DE6E15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oslablјenom ventrikularnom funkcijom, kardiogenim šokom, teškom bradikardijom (manje od 50 otkucaja u minuti) i teškom hipotenzijom.</w:t>
      </w:r>
    </w:p>
    <w:p w14:paraId="7132050D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Kombinovana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ena sa antiaritmicima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(blokatori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kanala).</w:t>
      </w:r>
    </w:p>
    <w:p w14:paraId="26F8B371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 hemodinamički značajnim obolјenjem srčanog zaliska.</w:t>
      </w:r>
    </w:p>
    <w:p w14:paraId="2E08C94C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ne postoji stimulator srčanog ritma, flekainid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da se daje pacijentima sa disfunkcijom sinusnog čvora, poremećajem atrijalne kondukcije, atrioventrikularnim blokom drugog ili većeg stepena,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blokom grane Hisovog snopa ili distalnim blokom.</w:t>
      </w:r>
    </w:p>
    <w:p w14:paraId="221F3AE2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 sa asimptomatskim ili blago simptomatskim ventrikularnim aritmijama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ju da koriste flekainid.</w:t>
      </w:r>
    </w:p>
    <w:p w14:paraId="2322B483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Pacijenti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sindromom.</w:t>
      </w:r>
    </w:p>
    <w:p w14:paraId="0573D93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860BB5E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4.4. Posebna upozorenja i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opreza pri upotrebi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eka</w:t>
      </w:r>
    </w:p>
    <w:p w14:paraId="4200DB51">
      <w:pPr>
        <w:rPr>
          <w:rFonts w:ascii="Microsoft Sans Serif" w:hAnsi="Microsoft Sans Serif" w:cs="Microsoft Sans Serif"/>
          <w:sz w:val="20"/>
          <w:szCs w:val="20"/>
        </w:rPr>
      </w:pPr>
    </w:p>
    <w:p w14:paraId="35EA87E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Terapija oralnim flekainidom treba da se odvija u bolničkim uslovima ili pod nadzorom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ekara specijalista kod pacijenata sa:</w:t>
      </w:r>
    </w:p>
    <w:p w14:paraId="016D25E1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AV-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nodalnom recipročnom tahikardijom; aritmijama udruženih sa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Wolff-Parkinson-White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sindromom i sličnim stanjima koj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karakteriše prisustvo </w:t>
      </w:r>
      <w:r>
        <w:rPr>
          <w:rFonts w:ascii="Microsoft Sans Serif" w:hAnsi="Microsoft Sans Serif" w:cs="Microsoft Sans Serif"/>
          <w:sz w:val="20"/>
          <w:szCs w:val="20"/>
        </w:rPr>
        <w:t>dodatnih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akcesornih</w:t>
      </w:r>
      <w:r>
        <w:rPr>
          <w:rFonts w:ascii="Microsoft Sans Serif" w:hAnsi="Microsoft Sans Serif" w:cs="Microsoft Sans Serif"/>
          <w:sz w:val="20"/>
          <w:szCs w:val="20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puteva</w:t>
      </w:r>
      <w:r>
        <w:rPr>
          <w:rFonts w:ascii="Microsoft Sans Serif" w:hAnsi="Microsoft Sans Serif" w:cs="Microsoft Sans Serif"/>
          <w:sz w:val="20"/>
          <w:szCs w:val="20"/>
        </w:rPr>
        <w:t xml:space="preserve"> za sprovođenje impulsa iz pretkomora u komore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352E49B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Paroksizmalnom atrijalnom fibrilacijom kod pacijenata sa onesposoblјavajućim simptomima.</w:t>
      </w:r>
    </w:p>
    <w:p w14:paraId="2E18ED2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Započinjanje terapije flekainidom i prilagođavanje doze treba sprovoditi pod medicinskim nadzorom, praćenjem EKG-a i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 Kod nekih pacijenata je moguća hospitalizacija zbog navedenih procedura, pogotovo kod onih sa životno ugrožavajućim ventrikularnim aritmijama.</w:t>
      </w:r>
    </w:p>
    <w:p w14:paraId="0D4F6E4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Flekainid, kao i ostali antiaritmici, može imati proaritmogeni efekat, tj. može dovesti do pojave ozbilјnijeg tipa aritmije, povećanja učestalosti postojeće aritmije ili ozbilјnosti simptoma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4.8).</w:t>
      </w:r>
    </w:p>
    <w:p w14:paraId="3B46639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 flekainida treba 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kod pacijenata sa strukturnim obolјenjem srca ili poremećajem funkcije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eve komore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4.8).</w:t>
      </w:r>
    </w:p>
    <w:p w14:paraId="1667BB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856C7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Potrebno je korigovati poremećaj ravnoteže elektrolita (npr. hipokalemija i hiperkalemija),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pogledati dio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4.5 za određene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ekove koji dovode do poremećaja ravnoteže elektrolita).</w:t>
      </w:r>
    </w:p>
    <w:p w14:paraId="2D9F026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Hipokalemija ili hiperkalemija može uticati na efekat antiaritmika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Hipokalemija može da se javi kod pacijenata koji primenjuju diuretike, kortikosteroide i laksative.</w:t>
      </w:r>
    </w:p>
    <w:p w14:paraId="482ADAF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upotrebe flekainida treba korigovati tešku bradikardiju ili naglašenu hipotenziju.</w:t>
      </w:r>
    </w:p>
    <w:p w14:paraId="2F200C0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79520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 obzirom da eliminacija flekainida iz plazme može biti u velikoj meri usporena kod pacijenata sa značajnim oštećenjem funkcije jetre,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ne bi trebalo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enjivati kod ove grupe pacijenta, osim ako potencijalna korist jasno prevazilazi rizik. U tom slučaju, preporučuje se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koncentracija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784C1A2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A9414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treba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sa oprezom kod pacijenata sa oslablјenom renalnom funkcijom (klirens kreatinina ≤ 35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ml/min/1,73 m</w:t>
      </w:r>
      <w:r>
        <w:rPr>
          <w:rFonts w:ascii="Microsoft Sans Serif" w:hAnsi="Microsoft Sans Serif" w:cs="Microsoft Sans Serif"/>
          <w:sz w:val="20"/>
          <w:szCs w:val="20"/>
          <w:vertAlign w:val="superscript"/>
          <w:lang w:val="en-GB"/>
        </w:rPr>
        <w:t>2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preporučuje se terapijsk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 praćenje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kod takvih pacijenata.</w:t>
      </w:r>
    </w:p>
    <w:p w14:paraId="3DEBCC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Brzina eliminacije flekainida iz plazme može biti smanjena kod starijih pacijenata. Ovo treba uzeti u obzir prilikom prilagođavanja doze.</w:t>
      </w:r>
    </w:p>
    <w:p w14:paraId="1A1ECA9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flekainida se ne preporučuje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godina, s obzirom da ne postoji dovolјno dokaza o njegovoj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 kod ove populacije pacijenata.</w:t>
      </w:r>
    </w:p>
    <w:p w14:paraId="2A50002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A23334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Poznato je da flekainid povećava prag nadražaja endokarda, tj. smanjuje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etlјivost endokarda na nadražaj. Ovaj efekat je reverzibilan i više utiče na akutni prag nadražaja nego na hronični.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zbog toga treba sa oprezom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svih pacijenata sa trajnim pejsmejkerom ili privremenom elektrostimulacijom srca i ne treba ga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pacijenata sa postojećim slabim pragom nadražaja ili pejsmejkerima koji se ne mogu programirati, izuzev ukoliko je dostupan adekvatan stimulator srčanog ritma.</w:t>
      </w:r>
    </w:p>
    <w:p w14:paraId="1372495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734FD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Uopšteno, dvostruko povećanje širine pulsa ili napona je dovolјno za ponovno generisanje impulsa, ali može biti teško postići ventrikularni prag nadražlјivosti manji od 1 Volta pri inicijalnoj implantaciji u prisustvu flekainida.</w:t>
      </w:r>
    </w:p>
    <w:p w14:paraId="3CCAB36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Mali negativan inotropni efekat flekainida može biti značajan kod pacijenata sa predispozicijom za srčanu insuficijenciju. Kod pojedinih pacijenata bila je otežana defibrilacija. U većini slučajeva, bilo je reči o pacijentima sa prethodnim obolјenjem srca koje prati uvećanje (hipertrofija) srca, pacijentima sa istorijom infarkta miokarda, aterosklerotičnim obolјenjem srca ili srčanom insuficijencijom.</w:t>
      </w:r>
    </w:p>
    <w:p w14:paraId="4751A7D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treba sa oprezom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pacijenata sa akutnom atrijalnom fibrilacijom nastalom nakon kardiološke hiru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ške intervencije.</w:t>
      </w:r>
    </w:p>
    <w:p w14:paraId="22A10E7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7B4D4E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Pokazano je da flekainid povećava rizik od mortaliteta kod pacijenata sa asimptomatskom ventrikularnom aritmijom nakon infarkta miokarda.</w:t>
      </w:r>
    </w:p>
    <w:p w14:paraId="0F5799E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Prijavlјeno je ubrzanje ventrikularnog ritma kod atrijalne fibrilacije u slučaju neusp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eha terapije.</w:t>
      </w:r>
    </w:p>
    <w:p w14:paraId="2EB8D8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Flekainid produžava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QT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interval i proširuje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QRS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kompleks za 12-20%. Efekat na JT interval je beznačajan.</w:t>
      </w:r>
    </w:p>
    <w:p w14:paraId="04673FB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 može biti demaskiran tokom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 U slučaju nastanka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na EKG-u tokom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ene terapije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flekainidom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koje mogu ukazati na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Brugada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sindrom, treba razmotriti obustavu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eka.</w:t>
      </w:r>
    </w:p>
    <w:p w14:paraId="0804F341">
      <w:pPr>
        <w:tabs>
          <w:tab w:val="left" w:pos="8222"/>
        </w:tabs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nije odobren za upotrebu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mlađe od 12 godina, međutim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toksičnost flekainida je zab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ežena tokom terapije flekainidom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kod koje je bio smanjen unos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i kod beba koje su prešle sa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ečne formule na obroke sa dekstrozom.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ečni proizvodi (ml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eko, ml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ečna formula 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erovatno jogurt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mogu smanjiti resorpciju flekainida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ece i beba.</w:t>
      </w:r>
    </w:p>
    <w:p w14:paraId="40F4C3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dodatna upozorenja i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ere opreza,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4.5.</w:t>
      </w:r>
    </w:p>
    <w:p w14:paraId="090D479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CDA9184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4.5. Interakcije sa drugim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ekovima i druge vrste interakcija</w:t>
      </w:r>
    </w:p>
    <w:p w14:paraId="480D4AE5">
      <w:pPr>
        <w:rPr>
          <w:rFonts w:ascii="Microsoft Sans Serif" w:hAnsi="Microsoft Sans Serif" w:cs="Microsoft Sans Serif"/>
          <w:sz w:val="20"/>
          <w:szCs w:val="20"/>
        </w:rPr>
      </w:pPr>
    </w:p>
    <w:p w14:paraId="40FF1A25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Flekainid ne treba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u isto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sa drugim antiaritmicima iz</w:t>
      </w:r>
    </w:p>
    <w:p w14:paraId="159AC6F3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(npr. hinidin).</w:t>
      </w:r>
    </w:p>
    <w:p w14:paraId="6DCF1305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C19903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uzeti u obzir mogućnost za aditivni negativni inotropni efekat antiaritmicima iz grupe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(npr. beta blokatori), ako su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enjivani istovremeno sa flekainidom.</w:t>
      </w:r>
    </w:p>
    <w:p w14:paraId="3BBF63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86781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III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Ukoliko se flekainid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enjuje zajedno sa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amjodaronom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potrebno je</w:t>
      </w:r>
    </w:p>
    <w:p w14:paraId="75EF92F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redukovati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uobičajenu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dozu flekainida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za 50%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intenzivno pratiti pacijenta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zbog mogućnosti pojave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neželјenih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dejstava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2E53CD0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ovom slučaju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preporučuje se praćenje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plazmi.</w:t>
      </w:r>
    </w:p>
    <w:p w14:paraId="2F5AA472">
      <w:pPr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3637BB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Antiaritmici grupe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IV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 flekainida sa</w:t>
      </w:r>
    </w:p>
    <w:p w14:paraId="5A8CEA5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blokatorima kalcijumovih kanala, kao što je verapamil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 treba razmotriti sa oprezom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7493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Životno-ugrožavajući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ili ponekad i fataln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neželјen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djelovanja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mogu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javiti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interakcije koje uzorkuju povećanja nivoa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4.9). Flekainid se u velikoj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eri metaboliše pomoću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pa istovremena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sa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ekovima koji inhibiraju (npr. antidepresivi, neuroleptici, propranolol, ritonavir, neki antihistaminici) ili indukuju (npr. fenitoin, fenobarbiton, karbamazepin) ovaj izoenzim može </w:t>
      </w:r>
      <w:r>
        <w:rPr>
          <w:rFonts w:ascii="Microsoft Sans Serif" w:hAnsi="Microsoft Sans Serif" w:cs="Microsoft Sans Serif"/>
          <w:sz w:val="20"/>
          <w:szCs w:val="20"/>
        </w:rPr>
        <w:t>adekvatno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povećati ili smanjiti koncentraciju flekainida u plazmi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(pogledati u nastavku teksta)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191EBD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610D3E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Do povećanja nivoa flekainida u plazmi može doći i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oštećene funkcije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bubrega, zbog smanjenog klirensa flekainida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4.4).</w:t>
      </w:r>
    </w:p>
    <w:p w14:paraId="6E9DD4A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7F3EA0D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Hipokalemiju, hiperkalemiju, kao i ostale poremećaje u ravnoteži elektrolita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korigovati</w:t>
      </w:r>
    </w:p>
    <w:p w14:paraId="2366D768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 Hipokalemija se može javiti pri istovremenoj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 flekainida sa</w:t>
      </w:r>
    </w:p>
    <w:p w14:paraId="3B626CB9">
      <w:pPr>
        <w:tabs>
          <w:tab w:val="left" w:pos="9356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diureticima, kortikosteroidima ili laksativima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uz rizik od kardiotoksičnosti.</w:t>
      </w:r>
    </w:p>
    <w:p w14:paraId="49F1DB09">
      <w:pPr>
        <w:rPr>
          <w:rFonts w:ascii="Microsoft Sans Serif" w:hAnsi="Microsoft Sans Serif" w:cs="Microsoft Sans Serif"/>
          <w:sz w:val="20"/>
          <w:szCs w:val="20"/>
        </w:rPr>
      </w:pPr>
    </w:p>
    <w:p w14:paraId="5E6CBC5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Antihistaminici: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Povećan je rizik od ventrikularnih aritmija kod istovremene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i mizolastina, astemizola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terfenadina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enu).</w:t>
      </w:r>
    </w:p>
    <w:p w14:paraId="0C8227C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83DC74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Antivirotici: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Koncentracije flekainida u plazmi su povećane pri istovremenoj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ritonavira, lopinavira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 indinavira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(povećan rizik od ventrikularnih aritmija, izb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egavati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enu).</w:t>
      </w:r>
    </w:p>
    <w:p w14:paraId="7512C68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C57443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Antidepresivi: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Paroksetin, fluoksetin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drugi antidepresivi povećavaju koncentracije flekainida u plazmi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stovremen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tricikličnim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antidepresivima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dovodi do povećanog rizika od nastanka aritmija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AE0F91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C03A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Antiepileptici: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Ograničeni podaci koji se odnose na pacijente koji su istovremeno primenjivali</w:t>
      </w:r>
    </w:p>
    <w:p w14:paraId="10A154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flekainid sa poznatim induktorima enzima (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fenitoin, fenobarbiton, karbamazepin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nagoveštavaju da može doći do povećanja brzine eliminacije flekainida za 30%.</w:t>
      </w:r>
    </w:p>
    <w:p w14:paraId="1839CA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C2B101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Antipsihotici: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Klozapin, haloperidol i risperidol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 povećan rizik od aritmija.</w:t>
      </w:r>
    </w:p>
    <w:p w14:paraId="1B15E17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178075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ekovi protiv malarije: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Hinin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halofantrin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povećavaju koncentracije flekainida u plazmi.</w:t>
      </w:r>
    </w:p>
    <w:p w14:paraId="64BDB43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CB8BE7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ekovi protiv glјivičnih infekcija: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Terbinafin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koncentracije flekainida u plazmi, s obzirom da inhibira aktivnost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66F8C1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5DEBF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Antagonisti histaminskih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H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2 receptora (antiulkusni lekovi):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 antagonist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cimetidin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inhibira metabolizam flekainida. Kod zdravih ispitanika koji su primali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cimetidin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(1 g dnevno) u toku nedelјu dana, koncentracije flekainida u plazmi bile su povećane za 30%, a poluvr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elimacije produženo za oko 10%.</w:t>
      </w:r>
    </w:p>
    <w:p w14:paraId="5E31BFD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59876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Preparati za odvikavanje od pušenja: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Istovremenu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enu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bupropiona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(metaboliše se posredstvom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CYP2D6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sa flekainidom treba sprovoditi sa oprezom, a terapiju treba započeti minimalnom terapijskom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dozom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bupropiona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Ukoliko se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bupropion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uklјuči kod pacijenta na već postojećoj terapiji flekainidom, potrebno je razmotriti potrebu smanjenja doze flekainida.</w:t>
      </w:r>
    </w:p>
    <w:p w14:paraId="34FAF14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A07ACA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Kardiotonični glikozidi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: Flekainid može da dovede do porasta nivoa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plazmi za</w:t>
      </w:r>
    </w:p>
    <w:p w14:paraId="337662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15%, što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erovatno nema klinički značaj kod pacijenata kod kojih su koncentracije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 u plazmi u rasponu terapijskih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ednosti. Preporučuje se da se koncentracij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plazmi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 manje od 6 sati nakon bilo koje doze digoksina,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ene flekainida.</w:t>
      </w:r>
    </w:p>
    <w:p w14:paraId="5FBDC7A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EA2572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Antikoagulansi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 Terapija flekainidom je kompatibilna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enom oralnih antikoagulanasa.</w:t>
      </w:r>
    </w:p>
    <w:p w14:paraId="04F606BA">
      <w:pPr>
        <w:rPr>
          <w:rFonts w:ascii="Microsoft Sans Serif" w:hAnsi="Microsoft Sans Serif" w:cs="Microsoft Sans Serif"/>
          <w:sz w:val="20"/>
          <w:szCs w:val="20"/>
        </w:rPr>
      </w:pPr>
    </w:p>
    <w:p w14:paraId="6D6CD0B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4.6.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T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rudnoć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dojenje</w:t>
      </w:r>
    </w:p>
    <w:p w14:paraId="028F8002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62E6E85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Trudnoća</w:t>
      </w:r>
    </w:p>
    <w:p w14:paraId="4E52BB1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Nema podataka o bezbjednosti primene flekainida kod trudnica. Kod novozelandskih bijelih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zečeva visoke doze flekainida prouzrokovale su određene abnormalnosti kod fetusa, ali ovi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efekti nisu zapaženi kod holandskih zečeva ili pacova (pogledati dio 5.3). Značaj ovih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podataka za lјude nije ustanovlјen. Podaci pokazuju da flekainid prolazi placentu do fetusa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 pacijentkinja koje uzimaju flekainid u toku trudnoće. Flekainid treba primjenjivati 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trudnoći samo ukoliko korist od primjene lijeka prevazilazi rizik. </w:t>
      </w:r>
    </w:p>
    <w:p w14:paraId="56E01282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6D32E50F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Dojenje</w:t>
      </w:r>
    </w:p>
    <w:p w14:paraId="548A5680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Flekainid se izlučuje u humano mlijeko. Koncentracije lijeka u plazmi odojčeta su 5-10 puta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niže od terapijskih koncentracija lijeka (pogledati dio 5.2). Iako je rizik od pojave neželјenih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dejstava kod novorođenčeta veoma mali, flekainid u periodu dojenja treba primjenjivati samo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ukoliko korist prevazilazi rizik.</w:t>
      </w:r>
    </w:p>
    <w:p w14:paraId="5A2555A0">
      <w:pPr>
        <w:rPr>
          <w:rFonts w:ascii="Microsoft Sans Serif" w:hAnsi="Microsoft Sans Serif" w:cs="Microsoft Sans Serif"/>
          <w:sz w:val="20"/>
          <w:szCs w:val="20"/>
        </w:rPr>
      </w:pPr>
    </w:p>
    <w:p w14:paraId="6552AEE5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4.7.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Uticaj lijeka na sposobnost upravlјanja vozilima i rukovanja mašinama</w:t>
      </w:r>
    </w:p>
    <w:p w14:paraId="300C63E1">
      <w:pPr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66607CA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Flekainid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-acetat</w:t>
      </w:r>
      <w:r>
        <w:rPr>
          <w:rFonts w:ascii="Microsoft Sans Serif" w:hAnsi="Microsoft Sans Serif" w:cs="Microsoft Sans Serif"/>
          <w:sz w:val="20"/>
          <w:szCs w:val="20"/>
        </w:rPr>
        <w:t xml:space="preserve"> ima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zanemarlјivo </w:t>
      </w:r>
      <w:r>
        <w:rPr>
          <w:rFonts w:ascii="Microsoft Sans Serif" w:hAnsi="Microsoft Sans Serif" w:cs="Microsoft Sans Serif"/>
          <w:sz w:val="20"/>
          <w:szCs w:val="20"/>
        </w:rPr>
        <w:t>umjeren uticaj na upravlјanje motornim vozil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ima</w:t>
      </w:r>
      <w:r>
        <w:rPr>
          <w:rFonts w:ascii="Microsoft Sans Serif" w:hAnsi="Microsoft Sans Serif" w:cs="Microsoft Sans Serif"/>
          <w:sz w:val="20"/>
          <w:szCs w:val="20"/>
        </w:rPr>
        <w:t xml:space="preserve"> i rukovanje mašinama.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sposobnost prilikom upravlјanja motornim vozil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ima</w:t>
      </w:r>
      <w:r>
        <w:rPr>
          <w:rFonts w:ascii="Microsoft Sans Serif" w:hAnsi="Microsoft Sans Serif" w:cs="Microsoft Sans Serif"/>
          <w:sz w:val="20"/>
          <w:szCs w:val="20"/>
        </w:rPr>
        <w:t xml:space="preserve"> i rukovanja mašinama mogu uticati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neželјena djelovanja, kao što su vrtoglavica i vizuelni poremećaji, ukoliko se jave.</w:t>
      </w:r>
    </w:p>
    <w:p w14:paraId="1E9B5C01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9254876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4.8. Neželјena djelovanja</w:t>
      </w:r>
    </w:p>
    <w:p w14:paraId="3659B640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2AB197D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Kao i drugi antiaritmici, flekainid može indukovati aritmiju.</w:t>
      </w:r>
    </w:p>
    <w:p w14:paraId="7A1B87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Postojeća aritmija može biti pogoršana ili može doći do pojave nove aritmije. 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 proaritmijskih efekata se najverovatnije može javiti kod pacijenata sa strukturnom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bolešću srca i/ili značajnim pogoršanjem funkcije leve komore.</w:t>
      </w:r>
    </w:p>
    <w:p w14:paraId="0D39462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Najčešća kardiovaskularna neželјena djelovanja su: 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blok drugog i trećeg stepena,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bradikardija, srčana insuficijencija, bol u grudima, infarkt miokarda, hipotenzija,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sinusni zastoj, tahikardija (AT i VT) i palpitacije.</w:t>
      </w:r>
    </w:p>
    <w:p w14:paraId="6944A6E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Najčešća neželјena djelovanja su vrtoglavica i vizuelni poremećaji, koji se javlјaju 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približno 15% pacijenata koji primenjuju lijek. Ova neželјena djelovanja su obično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prolazna i nestaju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nakon prekida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terapije, ili prilikom smanjenja doze. </w:t>
      </w:r>
    </w:p>
    <w:p w14:paraId="09C48F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Lista neželјenih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djelovanja navedenih u nastavku bazira se na podacima iz kliničkih ispitivanja, kao i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postmarketinškom praćenju lijeka.</w:t>
      </w:r>
    </w:p>
    <w:p w14:paraId="54BDB92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D7423F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Navedena neželјena djelovanja su u dalјem tekstu razvrstani po klasi sistema organa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učestalosti ispolјavanja. Učestalost je definisana kao:</w:t>
      </w:r>
    </w:p>
    <w:p w14:paraId="3B94BA0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eoma česta (≥1/10)</w:t>
      </w:r>
    </w:p>
    <w:p w14:paraId="53B1B6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esta (≥1/100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&lt;1/10)</w:t>
      </w:r>
    </w:p>
    <w:p w14:paraId="63A1CED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ovremena (≥1/1000 i &lt;1/100)</w:t>
      </w:r>
    </w:p>
    <w:p w14:paraId="5188D7D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etka (≥1/10 000 i &lt;1/1000)</w:t>
      </w:r>
    </w:p>
    <w:p w14:paraId="09CCFC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eoma rijetka (&lt;1/10 000)</w:t>
      </w:r>
    </w:p>
    <w:p w14:paraId="17FB656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epoznata učestalost (ne može se procjeniti na osnovu dostupnih podataka)</w:t>
      </w:r>
    </w:p>
    <w:p w14:paraId="226D77BC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C9728EF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krvi i limfnog sistema:</w:t>
      </w:r>
    </w:p>
    <w:p w14:paraId="2E0A372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smanjen broj eritrocita, leukocita i trombocita.</w:t>
      </w:r>
    </w:p>
    <w:p w14:paraId="58F2EDA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A94A7C9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Poremećaji imunološkog sistema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:</w:t>
      </w:r>
    </w:p>
    <w:p w14:paraId="33F5D51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rijetko: povećan nivo antinuklearnih antitela sa ili bez sistemske inflamacije.</w:t>
      </w:r>
    </w:p>
    <w:p w14:paraId="78FC8BA0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B8562C7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Psihijatrijski poremećaji:</w:t>
      </w:r>
    </w:p>
    <w:p w14:paraId="172B244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halucinacije, depresija, konfuzija, anksioznost, amnezija, insomnija.</w:t>
      </w:r>
    </w:p>
    <w:p w14:paraId="6D1B127A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42A0C0FD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nervnog sistema:</w:t>
      </w:r>
    </w:p>
    <w:p w14:paraId="2C188EB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Veoma često: vrtoglavica,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estica i ošamućenost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koji su obično prolazn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.</w:t>
      </w:r>
    </w:p>
    <w:p w14:paraId="4526DB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parestezija, ataksija, hipoestezija, hiperhidroza, sinkopa, tremor, crvenilo,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somnolencija, glavobolјa, periferna neuropatija, konvulzije, diskinezija.</w:t>
      </w:r>
    </w:p>
    <w:p w14:paraId="7EC122A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25B8BF4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oka:</w:t>
      </w:r>
    </w:p>
    <w:p w14:paraId="1D14F27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često: vizuelni poremećaji kao sto su diplopija i zamaglјen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7A6D5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Veoma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etko: depoziti rožnjače.</w:t>
      </w:r>
    </w:p>
    <w:p w14:paraId="6666505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E247B55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uha i centra za ravnotežu:</w:t>
      </w:r>
    </w:p>
    <w:p w14:paraId="589C5D6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tinitus, vertigo.</w:t>
      </w:r>
    </w:p>
    <w:p w14:paraId="01B7CCBA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335B7AB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Kardiološki poremećaji:</w:t>
      </w:r>
    </w:p>
    <w:p w14:paraId="3ED3C22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Često: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roaritmija (najverovatnije kod pacijenata sa strukturnim obolјenjem srca).</w:t>
      </w:r>
    </w:p>
    <w:p w14:paraId="5CCC81B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Povremeno: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 pacijenata sa atrijaln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 f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ibrilacijom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pri primjeni flekainida može se razviti 1:1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sprovođenje, sa povećanjem broja srčanih otkucaja.</w:t>
      </w:r>
    </w:p>
    <w:p w14:paraId="2C9958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Nepoznata učestalost (ne može se odrediti na osnovu dostupnih podataka):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ože doći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produženja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QRS intervala koje je dozno zavisno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4.4).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zmjena srčanog ritma (pogledati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4.4).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AV blok drugog i trećeg stepena, srčani arest, bradikardija, srčana insuficijencija/kongestivna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srčana insuficijencija, bol u grudima, hipotenzija, infarkt miokarda, palpitacije, sinusna pauza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ili arest i tahikardija (atrijalna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tahikadija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ventrikularna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tahikardija ili ventrikularna fibrilacija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).</w:t>
      </w:r>
    </w:p>
    <w:p w14:paraId="11E2D6C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askiranje postojećeg Brugada sindroma.</w:t>
      </w:r>
    </w:p>
    <w:p w14:paraId="465616B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FB31BF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Respiratorni, torakalni i medijastinalni poremećaji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45449B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Često: dispneja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4052C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pneumonitis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8C48C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učestalost: fibroza pluća, intersticijalna bolest pluća.</w:t>
      </w:r>
    </w:p>
    <w:p w14:paraId="71D04BC3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EF75965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Gastrointestinalni poremećaji:</w:t>
      </w:r>
    </w:p>
    <w:p w14:paraId="522D64B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mučnina, povraćanje, konstipacija, abdominalni bol, smanjen apetit, dijareja,</w:t>
      </w:r>
    </w:p>
    <w:p w14:paraId="327D7EF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dispepsija, flatulencija.</w:t>
      </w:r>
    </w:p>
    <w:p w14:paraId="137CDCA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382A472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Hepatobilijarni poremećaji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48F8F5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povećan nivo enzima jetre sa ili bez žutice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1E337F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učestalost: disfunkcija jetre.</w:t>
      </w:r>
    </w:p>
    <w:p w14:paraId="54E6A611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F7DC1E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Poremećaji na nivou kože i potkožnog tkiva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0683973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Povremeno: alergijski dermatitis, uklјučujući osip, alopecija.</w:t>
      </w:r>
    </w:p>
    <w:p w14:paraId="014C5DC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Rijetko: teška urtikarija.</w:t>
      </w:r>
    </w:p>
    <w:p w14:paraId="69B6D530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Veoma rijetko: fotosenzitivna reakcija.</w:t>
      </w:r>
    </w:p>
    <w:p w14:paraId="261D853B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558CF1D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Poremećaji mišićno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-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skeletnog i vezivnog tkiva:</w:t>
      </w:r>
    </w:p>
    <w:p w14:paraId="1B27856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 artralgija i mijalgija.</w:t>
      </w:r>
    </w:p>
    <w:p w14:paraId="56366DC7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011E5A9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  <w:t>Opšti poremećaji i reakcije na mestu primjene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:</w:t>
      </w:r>
    </w:p>
    <w:p w14:paraId="0485160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Često: astenija, umor, pireksija, edem, osećaj nelagodnosti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0AB3B4E">
      <w:pPr>
        <w:rPr>
          <w:rFonts w:ascii="Microsoft Sans Serif" w:hAnsi="Microsoft Sans Serif" w:cs="Microsoft Sans Serif"/>
          <w:sz w:val="20"/>
          <w:szCs w:val="20"/>
          <w:u w:val="single"/>
          <w:lang w:val="hr-HR"/>
        </w:rPr>
      </w:pPr>
    </w:p>
    <w:p w14:paraId="440ECAC1">
      <w:pP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  <w:t>Prijavljivanje sumnje na neželjena djelovanja lijeka</w:t>
      </w:r>
    </w:p>
    <w:p w14:paraId="06851726">
      <w:pPr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Prijavljivanje sumnje na neželjena djelovanja lijekova, a nakon stavljanja lijeka u promet je od velike važnosti za formiranje kompletnije slike o bezbjednosnom profilu lijeka, odnosno za formiranje što bolje ocjene odnosa korist/rizik pri terapijskoj primjeni lijeka.</w:t>
      </w:r>
    </w:p>
    <w:p w14:paraId="3AD5CFCB">
      <w:pPr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Proces prijavljivanja sumnji na neželjena djelovanja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3791610F">
      <w:pPr>
        <w:numPr>
          <w:ilvl w:val="0"/>
          <w:numId w:val="4"/>
        </w:numPr>
        <w:tabs>
          <w:tab w:val="left" w:pos="567"/>
          <w:tab w:val="clear" w:pos="284"/>
        </w:tabs>
        <w:ind w:left="0" w:firstLine="0"/>
        <w:contextualSpacing/>
        <w:rPr>
          <w:rFonts w:ascii="Microsoft Sans Serif" w:hAnsi="Microsoft Sans Serif" w:eastAsia="Calibri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>posredstvom softverske aplikacije za prijavu neželjenih dejstava lijekova za humanu upotrebu (IS Farmakovigilansa) o kojoj više informacija možete dobiti u našoj Glavnoj kancelariji za farmakovigilansu ili</w:t>
      </w:r>
    </w:p>
    <w:p w14:paraId="5F454CC5">
      <w:pPr>
        <w:numPr>
          <w:ilvl w:val="0"/>
          <w:numId w:val="4"/>
        </w:numPr>
        <w:tabs>
          <w:tab w:val="left" w:pos="567"/>
          <w:tab w:val="clear" w:pos="284"/>
        </w:tabs>
        <w:ind w:left="0" w:firstLine="0"/>
        <w:contextualSpacing/>
        <w:rPr>
          <w:rFonts w:ascii="Microsoft Sans Serif" w:hAnsi="Microsoft Sans Serif" w:eastAsia="Calibri" w:cs="Microsoft Sans Serif"/>
          <w:sz w:val="20"/>
          <w:szCs w:val="20"/>
          <w:lang w:val="bs-Latn-BA"/>
        </w:rPr>
      </w:pP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 xml:space="preserve">posredstvom odgovarajućeg obrasca za prijavljivanje sumnji na neželjena djelovanja lijeka, koji se mogu naći na internet stranici Agencije za lijekove: </w:t>
      </w:r>
      <w:r>
        <w:rPr>
          <w:rFonts w:ascii="Microsoft Sans Serif" w:hAnsi="Microsoft Sans Serif" w:eastAsia="Calibri" w:cs="Microsoft Sans Serif"/>
          <w:sz w:val="20"/>
          <w:szCs w:val="20"/>
          <w:u w:val="single"/>
          <w:lang w:val="bs-Latn-BA"/>
        </w:rPr>
        <w:t>www.almbih.gov.ba</w:t>
      </w: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 xml:space="preserve">. Popunjen obrazac se može dostaviti ALMBiH putem pošte, na adresu Agencija za lijekove i medicinska sredstva Bosne i Hercegovine, Veljka Mlađenovića bb, Banja Luka ili elektronske pošte (na e-mail adresu: </w:t>
      </w:r>
      <w:r>
        <w:rPr>
          <w:rFonts w:ascii="Microsoft Sans Serif" w:hAnsi="Microsoft Sans Serif" w:eastAsia="Calibri" w:cs="Microsoft Sans Serif"/>
          <w:sz w:val="20"/>
          <w:szCs w:val="20"/>
          <w:u w:val="single"/>
          <w:lang w:val="bs-Latn-BA"/>
        </w:rPr>
        <w:t>ndl@almbih.gov.ba</w:t>
      </w:r>
      <w:r>
        <w:rPr>
          <w:rFonts w:ascii="Microsoft Sans Serif" w:hAnsi="Microsoft Sans Serif" w:eastAsia="Calibri" w:cs="Microsoft Sans Serif"/>
          <w:sz w:val="20"/>
          <w:szCs w:val="20"/>
          <w:lang w:val="bs-Latn-BA"/>
        </w:rPr>
        <w:t>).</w:t>
      </w:r>
    </w:p>
    <w:p w14:paraId="5213F14B">
      <w:pPr>
        <w:rPr>
          <w:rFonts w:ascii="Microsoft Sans Serif" w:hAnsi="Microsoft Sans Serif" w:cs="Microsoft Sans Serif"/>
          <w:sz w:val="20"/>
          <w:szCs w:val="20"/>
        </w:rPr>
      </w:pPr>
    </w:p>
    <w:p w14:paraId="621CBAD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4.9. Predoziranje</w:t>
      </w:r>
    </w:p>
    <w:p w14:paraId="03398A5A">
      <w:pPr>
        <w:rPr>
          <w:rFonts w:ascii="Microsoft Sans Serif" w:hAnsi="Microsoft Sans Serif" w:cs="Microsoft Sans Serif"/>
          <w:sz w:val="20"/>
          <w:szCs w:val="20"/>
        </w:rPr>
      </w:pPr>
    </w:p>
    <w:p w14:paraId="517D5EE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Predoziranje flek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inidom može potencijalno ugroziti život pacijenta i zahtjeva hitnu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medicinsku intervenciju.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Interakcije sa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ekovima mogu takođe </w:t>
      </w:r>
      <w:r>
        <w:rPr>
          <w:rFonts w:ascii="Microsoft Sans Serif" w:hAnsi="Microsoft Sans Serif" w:cs="Microsoft Sans Serif"/>
          <w:sz w:val="20"/>
          <w:szCs w:val="20"/>
        </w:rPr>
        <w:t xml:space="preserve">povećati osjetlјivost na lijek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dovesti do </w:t>
      </w:r>
      <w:r>
        <w:rPr>
          <w:rFonts w:ascii="Microsoft Sans Serif" w:hAnsi="Microsoft Sans Serif" w:cs="Microsoft Sans Serif"/>
          <w:sz w:val="20"/>
          <w:szCs w:val="20"/>
        </w:rPr>
        <w:t xml:space="preserve">nivoa lijeka u plazmi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su veći nego terapeutski </w:t>
      </w:r>
      <w:r>
        <w:rPr>
          <w:rFonts w:ascii="Microsoft Sans Serif" w:hAnsi="Microsoft Sans Serif" w:cs="Microsoft Sans Serif"/>
          <w:sz w:val="20"/>
          <w:szCs w:val="20"/>
        </w:rPr>
        <w:t xml:space="preserve">(pogledati dio 4.5).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Predoziranje može dovesti do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hipotenzije, napada, bradikardije, kašnjenja u sprovođenju signala (sinoatrijalni ili AV blok)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pojave asistola.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QRS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QT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intervali su produženi i mogu se pojaviti ventrikularne aritmije. Flekainid može usporiti ili preokrenuti atrijalnu fibrilaciju u atrijalni flater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brzim provođenjem. </w:t>
      </w:r>
    </w:p>
    <w:p w14:paraId="51AEDDA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Nije poznat način za brzo uklanjanje flekainida iz organizma. Dijaliza i hemoperfuzija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Ukoliko je moguće, uklanja se neresorbovani lek iz gastrointestinalnog trakta.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Forsirana diureza sa acidifikacijom urina teoretski povećava ekskreciju leka. Intravenska lipidna emulzija može smanjiti aktivnu slobodnu koncentraciju flekainida.</w:t>
      </w:r>
    </w:p>
    <w:p w14:paraId="3C7AF5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poznat specifičan antidot. Intravenski natrijum bikarbonat 8.4% često smanjuje aktivnost flekainida na nivou receptora kroz nekoliko minuta.</w:t>
      </w:r>
    </w:p>
    <w:p w14:paraId="5435F13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Dodatne mere moraju biti </w:t>
      </w:r>
      <w:r>
        <w:rPr>
          <w:rFonts w:ascii="Microsoft Sans Serif" w:hAnsi="Microsoft Sans Serif" w:cs="Microsoft Sans Serif"/>
          <w:sz w:val="20"/>
          <w:szCs w:val="20"/>
        </w:rPr>
        <w:t xml:space="preserve">suportivne i mogu uklјučiti administraciju inotropnih agenasa ili srčanih stimulatora, kao što su dopamin, dobutamin ili izoproterenol, kao i mehanički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asistiranu </w:t>
      </w:r>
      <w:r>
        <w:rPr>
          <w:rFonts w:ascii="Microsoft Sans Serif" w:hAnsi="Microsoft Sans Serif" w:cs="Microsoft Sans Serif"/>
          <w:sz w:val="20"/>
          <w:szCs w:val="20"/>
        </w:rPr>
        <w:t>ventilaciju i asistiranu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cirkulaciju (npr. naduvavanje balona)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47419C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Treba razmotriti privremenu inserciju transvenoznog pejsmejkera, ukoliko postoje ozbilјni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poremećaji sprovođenja.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nekim slučajevima treba razmotriti ekstrakorporalnu membransku oksigenaciju (E</w:t>
      </w:r>
      <w:r>
        <w:rPr>
          <w:rFonts w:ascii="Microsoft Sans Serif" w:hAnsi="Microsoft Sans Serif" w:cs="Microsoft Sans Serif"/>
          <w:sz w:val="20"/>
          <w:szCs w:val="20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MO). </w:t>
      </w:r>
      <w:r>
        <w:rPr>
          <w:rFonts w:ascii="Microsoft Sans Serif" w:hAnsi="Microsoft Sans Serif" w:cs="Microsoft Sans Serif"/>
          <w:sz w:val="20"/>
          <w:szCs w:val="20"/>
        </w:rPr>
        <w:t>Imajući u vidu da poluvreme eliminacije leka iz plazme iznosi 20 časova,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možda će biti neophodno da se </w:t>
      </w:r>
      <w:r>
        <w:rPr>
          <w:rFonts w:ascii="Microsoft Sans Serif" w:hAnsi="Microsoft Sans Serif" w:cs="Microsoft Sans Serif"/>
          <w:sz w:val="20"/>
          <w:szCs w:val="20"/>
        </w:rPr>
        <w:t>ove suportivne mjere primjenj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uju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produženom vremenskom periodu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50DF415">
      <w:pPr>
        <w:rPr>
          <w:rFonts w:ascii="Microsoft Sans Serif" w:hAnsi="Microsoft Sans Serif" w:cs="Microsoft Sans Serif"/>
          <w:sz w:val="20"/>
          <w:szCs w:val="20"/>
        </w:rPr>
      </w:pPr>
    </w:p>
    <w:p w14:paraId="3888E0E0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6359AF14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5. FARMAKOLOŠKE KARAKTERISTIKE</w:t>
      </w:r>
    </w:p>
    <w:p w14:paraId="029E9039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5.1. Farmakodinamičke karakteristike</w:t>
      </w:r>
    </w:p>
    <w:p w14:paraId="180F9B26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9BFBC60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Farmakoterapijska grupa: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Antiaritmici, grupa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Ic</w:t>
      </w:r>
    </w:p>
    <w:p w14:paraId="3BAA88DD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</w:p>
    <w:p w14:paraId="185165E5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ATC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šifra</w:t>
      </w:r>
      <w:r>
        <w:rPr>
          <w:rFonts w:ascii="Microsoft Sans Serif" w:hAnsi="Microsoft Sans Serif" w:cs="Microsoft Sans Serif"/>
          <w:bCs/>
          <w:sz w:val="20"/>
          <w:szCs w:val="20"/>
        </w:rPr>
        <w:t>: C01BC04</w:t>
      </w:r>
    </w:p>
    <w:p w14:paraId="05BED358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</w:p>
    <w:p w14:paraId="04BE7F95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 je antiaritmik grupe Ic, koji se primjenjuje u terapiji teških, simptomatskih, ventrikularnih i supraventrikularnih aritmija.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bi trebalo da se upotreblјava u supresiji asimptomatskih ventrikularnih aritmija kod pacijenata sa infarkt</w:t>
      </w:r>
      <w:r>
        <w:rPr>
          <w:rFonts w:ascii="Microsoft Sans Serif" w:hAnsi="Microsoft Sans Serif" w:cs="Microsoft Sans Serif"/>
          <w:bCs/>
          <w:sz w:val="20"/>
          <w:szCs w:val="20"/>
        </w:rPr>
        <w:t>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miokarda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u anamnezi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Većina neželјenih </w:t>
      </w:r>
      <w:r>
        <w:rPr>
          <w:rFonts w:ascii="Microsoft Sans Serif" w:hAnsi="Microsoft Sans Serif" w:cs="Microsoft Sans Serif"/>
          <w:bCs/>
          <w:sz w:val="20"/>
          <w:szCs w:val="20"/>
        </w:rPr>
        <w:t>dejstava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se ispolјava na nivou centralnog nervnog sistema.</w:t>
      </w:r>
    </w:p>
    <w:p w14:paraId="1B313BD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Elektrofiziološki, flekainid je antiaritmijski lijek tipa lokalnih anestetika (grupa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Ic</w:t>
      </w:r>
      <w:r>
        <w:rPr>
          <w:rFonts w:ascii="Microsoft Sans Serif" w:hAnsi="Microsoft Sans Serif" w:cs="Microsoft Sans Serif"/>
          <w:bCs/>
          <w:sz w:val="20"/>
          <w:szCs w:val="20"/>
        </w:rPr>
        <w:t>).</w:t>
      </w:r>
    </w:p>
    <w:p w14:paraId="4AD170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Predstavlјa amidni tip lokalnog anestetika, strukturno sličan prokainamidu i enkainidu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(derivati benzamida).</w:t>
      </w:r>
    </w:p>
    <w:p w14:paraId="5FCB926D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Karakterizacija f</w:t>
      </w:r>
      <w:r>
        <w:rPr>
          <w:rFonts w:ascii="Microsoft Sans Serif" w:hAnsi="Microsoft Sans Serif" w:cs="Microsoft Sans Serif"/>
          <w:bCs/>
          <w:sz w:val="20"/>
          <w:szCs w:val="20"/>
        </w:rPr>
        <w:t>lekainid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antiaritmik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grupe Ic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 na osnovu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sljedeće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tri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karakteristike: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</w:t>
      </w:r>
      <w:r>
        <w:rPr>
          <w:rFonts w:ascii="Microsoft Sans Serif" w:hAnsi="Microsoft Sans Serif" w:cs="Microsoft Sans Serif"/>
          <w:bCs/>
          <w:sz w:val="20"/>
          <w:szCs w:val="20"/>
        </w:rPr>
        <w:t>načajna depresija brzih natrijumovih kanala u srcu; spor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 kinetika,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nastanak i prestanak blokade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natrijumovih kanala (u vezi sa sporim vezivanjem za natrijumove kanale i sporom disocijacijom)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diferencijalni efekat lijeka na trajanje akcionog potencijala u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mišiću </w:t>
      </w:r>
      <w:r>
        <w:rPr>
          <w:rFonts w:ascii="Microsoft Sans Serif" w:hAnsi="Microsoft Sans Serif" w:cs="Microsoft Sans Serif"/>
          <w:bCs/>
          <w:sz w:val="20"/>
          <w:szCs w:val="20"/>
        </w:rPr>
        <w:t>komor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nasuprot Purkinjeovim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vlaknima, i to bez efekta u početku, i značajno smanjenje kasnije. </w:t>
      </w:r>
    </w:p>
    <w:p w14:paraId="1FBD374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Kombinacija ovih efekata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dovodi do značajnog smanjenja brzine sprovođenja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vlaknima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koja zavis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od brzih kanala za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depolarizaciju, sa malim povećanjem efektivnog refraktornog perioda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kada je ispitivano 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izolovanom srčanom tkivu. Ove elektrofiziološke osobine flekainida dovode do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produženja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PR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intervala i širenja Q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RS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kompleksa na EKG-u. Veoma visoke koncentracije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flekainida imaju slab depresorni efekat na spore kanale u miokardu. Ovo je praćeno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negativnim inotropnim efektom.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Flekainid nema značajne interakcije sa autonomnim nervnim sistemom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nema 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erlјiv efekat na koronarne, pulmonarne i druge regionalne cirkulatorne sisteme.</w:t>
      </w:r>
    </w:p>
    <w:p w14:paraId="38FDF31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6456FC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5.2. Farmakokinetičke karakteristike</w:t>
      </w:r>
    </w:p>
    <w:p w14:paraId="0169C4E9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1B3DD6F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Apsorpcija</w:t>
      </w:r>
    </w:p>
    <w:p w14:paraId="7C42D8E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Nakon oralne primjene flekainid acetat se skoro u potpunosti resorbuje i ne podliježe presistemskom metabolizmu (tj. efektu prvog prolaza) u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značajnoj mjeri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. Biološka raspoloživost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</w:t>
      </w:r>
      <w:r>
        <w:rPr>
          <w:rFonts w:ascii="Microsoft Sans Serif" w:hAnsi="Microsoft Sans Serif" w:cs="Microsoft Sans Serif"/>
          <w:bCs/>
          <w:sz w:val="20"/>
          <w:szCs w:val="20"/>
        </w:rPr>
        <w:t>flekainid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acetata iznosi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oko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90%.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T</w:t>
      </w:r>
      <w:r>
        <w:rPr>
          <w:rFonts w:ascii="Microsoft Sans Serif" w:hAnsi="Microsoft Sans Serif" w:cs="Microsoft Sans Serif"/>
          <w:bCs/>
          <w:sz w:val="20"/>
          <w:szCs w:val="20"/>
        </w:rPr>
        <w:t>erapijske koncentracije lijeka u plazmi iznose 200-1000 ng/ml.</w:t>
      </w:r>
    </w:p>
    <w:p w14:paraId="34B133E9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8804E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Raspodjela</w:t>
      </w:r>
    </w:p>
    <w:p w14:paraId="04E38B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Stepen vezivanja flekainida za proteine plazme iznosi oko 40%. Flekainid prolazi placentu i izlučuje se u majčino mlijeko.</w:t>
      </w:r>
    </w:p>
    <w:p w14:paraId="0AC0BC3C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8613D76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Biotransformacija</w:t>
      </w:r>
    </w:p>
    <w:p w14:paraId="357FA85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 se intenzivno metaboliše (podložan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genetskom polimorfizmu), 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čemu nastaju 2 glavna metabolita: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</w:rPr>
        <w:t>-O-dealkilovani flekainid i m-O-dealkilovani laktam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flekainida koji mogu pokazati određenu aktivnost. </w:t>
      </w:r>
    </w:p>
    <w:p w14:paraId="1DC31E15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D69EE97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Izlučivanje</w:t>
      </w:r>
    </w:p>
    <w:p w14:paraId="63F300A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Flekainid se u najvećoj mjeri izlučuje urinom, približno 30% u nepromjenjenom obliku, dok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ostatak čine metaboliti. Oko 5% lijeka se izlučuje fecesom. Poluvrijeme eliminacije flekainida iznosi oko 20 časova.</w:t>
      </w:r>
    </w:p>
    <w:p w14:paraId="7C6CF2C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Hemodijalizom se može ukloniti samo oko 1% nepromenjenog flekainida.</w:t>
      </w:r>
    </w:p>
    <w:p w14:paraId="7AAB0D5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Izlučivanje flekainida je smanjeno u slučaju bubrežne insuficijencije, srčane insuficijencije i alkalnog urina.</w:t>
      </w:r>
    </w:p>
    <w:p w14:paraId="0F2BBA6B">
      <w:pPr>
        <w:rPr>
          <w:rFonts w:ascii="Microsoft Sans Serif" w:hAnsi="Microsoft Sans Serif" w:cs="Microsoft Sans Serif"/>
          <w:sz w:val="20"/>
          <w:szCs w:val="20"/>
        </w:rPr>
      </w:pPr>
    </w:p>
    <w:p w14:paraId="1B9B5F6F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5.3.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Ne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klinički podaci o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sigurnosti primjene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</w:t>
      </w:r>
    </w:p>
    <w:p w14:paraId="32A8E085">
      <w:pPr>
        <w:rPr>
          <w:rFonts w:ascii="Microsoft Sans Serif" w:hAnsi="Microsoft Sans Serif" w:cs="Microsoft Sans Serif"/>
          <w:sz w:val="20"/>
          <w:szCs w:val="20"/>
        </w:rPr>
      </w:pPr>
    </w:p>
    <w:p w14:paraId="13BA14D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Jedini pretklinički podaci koji su od značaja ljekarima koji propisuju lijek, a koji su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punjenje </w:t>
      </w:r>
      <w:r>
        <w:rPr>
          <w:rFonts w:ascii="Microsoft Sans Serif" w:hAnsi="Microsoft Sans Serif" w:cs="Microsoft Sans Serif"/>
          <w:sz w:val="20"/>
          <w:szCs w:val="20"/>
        </w:rPr>
        <w:t>onima koji su već navedeni u drugim dijelovima ovog Sažetka karakteristika lijeka, jesu oni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se odnose na reprodukciju. Na jednoj vrsti kunića pokazana je teratogenost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embrionalna toksičnost pri primjeni flekainida. Međutim, nije bilo dovolјno podataka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 uspostavlјanje bezb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ednosne margine za ovaj efekat</w:t>
      </w:r>
      <w:r>
        <w:rPr>
          <w:rFonts w:ascii="Microsoft Sans Serif" w:hAnsi="Microsoft Sans Serif" w:cs="Microsoft Sans Serif"/>
          <w:sz w:val="20"/>
          <w:szCs w:val="20"/>
        </w:rPr>
        <w:t xml:space="preserve">. Ovaj efekat nije pokazan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</w:t>
      </w:r>
      <w:r>
        <w:rPr>
          <w:rFonts w:ascii="Microsoft Sans Serif" w:hAnsi="Microsoft Sans Serif" w:cs="Microsoft Sans Serif"/>
          <w:sz w:val="20"/>
          <w:szCs w:val="20"/>
        </w:rPr>
        <w:t xml:space="preserve"> ostalim vrstama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kunića, pacovima i miševima.</w:t>
      </w:r>
    </w:p>
    <w:p w14:paraId="64BDB991">
      <w:pPr>
        <w:rPr>
          <w:rFonts w:ascii="Microsoft Sans Serif" w:hAnsi="Microsoft Sans Serif" w:cs="Microsoft Sans Serif"/>
          <w:sz w:val="20"/>
          <w:szCs w:val="20"/>
        </w:rPr>
      </w:pPr>
    </w:p>
    <w:p w14:paraId="733C2F9B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D84E47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6. FARMACEUTSKI PODACI</w:t>
      </w:r>
    </w:p>
    <w:p w14:paraId="4E3E70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6.1. Spisak pomo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ćnih supstanci</w:t>
      </w:r>
    </w:p>
    <w:p w14:paraId="4C5E2227">
      <w:pPr>
        <w:rPr>
          <w:rFonts w:ascii="Microsoft Sans Serif" w:hAnsi="Microsoft Sans Serif" w:cs="Microsoft Sans Serif"/>
          <w:sz w:val="20"/>
          <w:szCs w:val="20"/>
        </w:rPr>
      </w:pPr>
    </w:p>
    <w:p w14:paraId="5251142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Skrob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reželatinizirani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0B7FCC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Kroskarmeloza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natrijum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0CD8A8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Celuloza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28482D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Hidrogenizovano bilјno ulјe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740F9D8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Magnezijum</w:t>
      </w:r>
      <w:r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stearat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161C07A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C5EA55A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6.2. Inkompatibilnosti</w:t>
      </w:r>
    </w:p>
    <w:p w14:paraId="65FA480F">
      <w:pPr>
        <w:rPr>
          <w:rFonts w:ascii="Microsoft Sans Serif" w:hAnsi="Microsoft Sans Serif" w:cs="Microsoft Sans Serif"/>
          <w:sz w:val="20"/>
          <w:szCs w:val="20"/>
        </w:rPr>
      </w:pPr>
    </w:p>
    <w:p w14:paraId="4DAB438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enjivo.</w:t>
      </w:r>
    </w:p>
    <w:p w14:paraId="3E4AC1AD">
      <w:pPr>
        <w:rPr>
          <w:rFonts w:ascii="Microsoft Sans Serif" w:hAnsi="Microsoft Sans Serif" w:cs="Microsoft Sans Serif"/>
          <w:sz w:val="20"/>
          <w:szCs w:val="20"/>
        </w:rPr>
      </w:pPr>
    </w:p>
    <w:p w14:paraId="54F4DAB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6.3. Rok trajanja</w:t>
      </w:r>
    </w:p>
    <w:p w14:paraId="5076B821">
      <w:pPr>
        <w:rPr>
          <w:rFonts w:ascii="Microsoft Sans Serif" w:hAnsi="Microsoft Sans Serif" w:cs="Microsoft Sans Serif"/>
          <w:sz w:val="20"/>
          <w:szCs w:val="20"/>
        </w:rPr>
      </w:pPr>
    </w:p>
    <w:p w14:paraId="75829F2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2 godine.</w:t>
      </w:r>
    </w:p>
    <w:p w14:paraId="2F2195B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6790D1B">
      <w:pP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6.4. Posebne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pri čuvanju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 lijeka</w:t>
      </w:r>
    </w:p>
    <w:p w14:paraId="5CF8A22B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58F08007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Lijek treba čuvati na temperaturi do 30⁰C.</w:t>
      </w:r>
    </w:p>
    <w:p w14:paraId="3CF11C12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08CEBE6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6.5. Vrsta i sadržaj unutrašnjeg pakovanja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kontejnera</w:t>
      </w:r>
    </w:p>
    <w:p w14:paraId="7E6A289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9A30549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Unutrašnje pakovanje: blister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PVC/PVDC/Al-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folije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 Svaki blister sadrži 10 tableta.</w:t>
      </w:r>
    </w:p>
    <w:p w14:paraId="0E0EADC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Spolјašnje pakovanje: složiva kartonska kutija koja sadrži 30 tableta (3 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42E0A47">
      <w:pPr>
        <w:rPr>
          <w:rFonts w:ascii="Microsoft Sans Serif" w:hAnsi="Microsoft Sans Serif" w:cs="Microsoft Sans Serif"/>
          <w:sz w:val="20"/>
          <w:szCs w:val="20"/>
        </w:rPr>
      </w:pPr>
    </w:p>
    <w:p w14:paraId="554D3536">
      <w:pP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6.6.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Uputstva za upotrebu u rukovanje i p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ere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za uklanjanje neiskorištenog lijeka ili opadnih materijala koji potiču od lijeka</w:t>
      </w:r>
    </w:p>
    <w:p w14:paraId="0DFF3648">
      <w:pPr>
        <w:rPr>
          <w:rFonts w:ascii="Microsoft Sans Serif" w:hAnsi="Microsoft Sans Serif" w:cs="Microsoft Sans Serif"/>
          <w:sz w:val="20"/>
          <w:szCs w:val="20"/>
        </w:rPr>
      </w:pPr>
    </w:p>
    <w:p w14:paraId="12D21D95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Svu neiskorišćenu količinu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eka ili otpadnog materijala nakon njegove upotrebe treba ukloniti u skladu sa važećim propisima.</w:t>
      </w:r>
    </w:p>
    <w:p w14:paraId="21C5A42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6379A3A">
      <w:pPr>
        <w:numPr>
          <w:ilvl w:val="1"/>
          <w:numId w:val="5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</w:t>
      </w:r>
    </w:p>
    <w:p w14:paraId="0E247B0A">
      <w:pPr>
        <w:rPr>
          <w:rFonts w:ascii="Microsoft Sans Serif" w:hAnsi="Microsoft Sans Serif" w:cs="Microsoft Sans Serif"/>
          <w:sz w:val="20"/>
          <w:szCs w:val="20"/>
        </w:rPr>
      </w:pPr>
    </w:p>
    <w:p w14:paraId="2890EB8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5AA94D8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C10DF1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E4AFFB3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NAZIV I ADRESA PROIZVOĐAČA </w:t>
      </w:r>
    </w:p>
    <w:p w14:paraId="3E402C0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3EE6C723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7E35BBD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Aleksandar Makedonski br. 12, Skopje, </w:t>
      </w:r>
    </w:p>
    <w:p w14:paraId="5F507A0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D65B290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31800040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Proizvođač gotovog lijeka </w:t>
      </w:r>
    </w:p>
    <w:p w14:paraId="16966B19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7BAB081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Aleksandar Makedonski br. 12, Skopje, </w:t>
      </w:r>
    </w:p>
    <w:p w14:paraId="00993BA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19358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CC395F5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Nositelj dozvole za stavljanje gotovog lijeka u promet </w:t>
      </w:r>
    </w:p>
    <w:p w14:paraId="565CAE48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ALKALOID d. o. o Sarajevo </w:t>
      </w:r>
    </w:p>
    <w:p w14:paraId="3C96F33F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</w:t>
      </w:r>
    </w:p>
    <w:p w14:paraId="05FE91BB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Bosna i Hercegovina</w:t>
      </w:r>
    </w:p>
    <w:p w14:paraId="12295E3F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81149E9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A4D643C">
      <w:pPr>
        <w:tabs>
          <w:tab w:val="left" w:pos="360"/>
        </w:tabs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DOZVOLE ZA STAVLJANJE GOTOVOG LIJEKA U PROMET</w:t>
      </w:r>
    </w:p>
    <w:p w14:paraId="760B1D8C">
      <w:pPr>
        <w:rPr>
          <w:rFonts w:ascii="Microsoft Sans Serif" w:hAnsi="Microsoft Sans Serif" w:cs="Microsoft Sans Serif"/>
          <w:b/>
          <w:sz w:val="20"/>
          <w:szCs w:val="20"/>
          <w:lang w:val="pl-PL"/>
        </w:rPr>
      </w:pPr>
    </w:p>
    <w:p w14:paraId="2379763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Felkarid, 50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>: 04-07.3-1-1769/20  od 01.09.2021</w:t>
      </w:r>
    </w:p>
    <w:p w14:paraId="05B86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Felkarid, 100 mg,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tablete</w:t>
      </w:r>
      <w:r>
        <w:rPr>
          <w:rFonts w:ascii="Microsoft Sans Serif" w:hAnsi="Microsoft Sans Serif" w:cs="Microsoft Sans Serif"/>
          <w:sz w:val="20"/>
          <w:szCs w:val="20"/>
        </w:rPr>
        <w:t xml:space="preserve">: 04-07.3-1-1770/20 </w:t>
      </w:r>
      <w:r>
        <w:rPr>
          <w:rFonts w:ascii="Microsoft Sans Serif" w:hAnsi="Microsoft Sans Serif" w:cs="Microsoft Sans Serif"/>
          <w:sz w:val="20"/>
          <w:szCs w:val="20"/>
          <w:lang w:val="pl-PL"/>
        </w:rPr>
        <w:t xml:space="preserve"> od </w:t>
      </w:r>
      <w:r>
        <w:rPr>
          <w:rFonts w:ascii="Microsoft Sans Serif" w:hAnsi="Microsoft Sans Serif" w:cs="Microsoft Sans Serif"/>
          <w:sz w:val="20"/>
          <w:szCs w:val="20"/>
        </w:rPr>
        <w:t>01.09.2021</w:t>
      </w:r>
    </w:p>
    <w:p w14:paraId="0DD04769">
      <w:pPr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0A502E30">
      <w:pPr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41088CE7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DATUM REVIZIJE SAŽETKA KARAKTERISTIKA LIJEKA </w:t>
      </w:r>
    </w:p>
    <w:p w14:paraId="00124CDE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91B970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Novembar, 2021. godine</w:t>
      </w:r>
    </w:p>
    <w:p w14:paraId="127E7C42">
      <w:pPr>
        <w:rPr>
          <w:rFonts w:ascii="Microsoft Sans Serif" w:hAnsi="Microsoft Sans Serif" w:cs="Microsoft Sans Serif"/>
          <w:bCs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31228">
    <w:pPr>
      <w:pStyle w:val="12"/>
      <w:tabs>
        <w:tab w:val="left" w:pos="5448"/>
      </w:tabs>
      <w:spacing w:before="360"/>
      <w:jc w:val="center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749C500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6A7D6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EC1B287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33F57"/>
    <w:multiLevelType w:val="multilevel"/>
    <w:tmpl w:val="24033F5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9E504C"/>
    <w:multiLevelType w:val="multilevel"/>
    <w:tmpl w:val="309E504C"/>
    <w:lvl w:ilvl="0" w:tentative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7"/>
      <w:numFmt w:val="decimal"/>
      <w:lvlText w:val="%1.%2.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FD5544"/>
    <w:multiLevelType w:val="multilevel"/>
    <w:tmpl w:val="3DFD55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E5350CF"/>
    <w:multiLevelType w:val="multilevel"/>
    <w:tmpl w:val="5E5350C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A"/>
    <w:rsid w:val="00017801"/>
    <w:rsid w:val="00023AC6"/>
    <w:rsid w:val="00041D62"/>
    <w:rsid w:val="00052A45"/>
    <w:rsid w:val="00055B2B"/>
    <w:rsid w:val="00064273"/>
    <w:rsid w:val="00082C86"/>
    <w:rsid w:val="000833E1"/>
    <w:rsid w:val="00083BE0"/>
    <w:rsid w:val="00095572"/>
    <w:rsid w:val="00095FB6"/>
    <w:rsid w:val="0009758B"/>
    <w:rsid w:val="000A0F4A"/>
    <w:rsid w:val="000D52E8"/>
    <w:rsid w:val="000D5631"/>
    <w:rsid w:val="000E0C7E"/>
    <w:rsid w:val="000E4245"/>
    <w:rsid w:val="000E75C0"/>
    <w:rsid w:val="000F0B05"/>
    <w:rsid w:val="00102719"/>
    <w:rsid w:val="00113EFC"/>
    <w:rsid w:val="00115375"/>
    <w:rsid w:val="00124073"/>
    <w:rsid w:val="00141639"/>
    <w:rsid w:val="0014180A"/>
    <w:rsid w:val="001632CB"/>
    <w:rsid w:val="00173D18"/>
    <w:rsid w:val="00175772"/>
    <w:rsid w:val="00175A7E"/>
    <w:rsid w:val="001A52CA"/>
    <w:rsid w:val="001A798E"/>
    <w:rsid w:val="001B3066"/>
    <w:rsid w:val="001B706A"/>
    <w:rsid w:val="001D10C9"/>
    <w:rsid w:val="001D7312"/>
    <w:rsid w:val="001E0A07"/>
    <w:rsid w:val="001E20C1"/>
    <w:rsid w:val="001E6145"/>
    <w:rsid w:val="001E73A2"/>
    <w:rsid w:val="001F0F5B"/>
    <w:rsid w:val="001F175C"/>
    <w:rsid w:val="001F2D4E"/>
    <w:rsid w:val="001F39B6"/>
    <w:rsid w:val="00203990"/>
    <w:rsid w:val="0022218E"/>
    <w:rsid w:val="0022223A"/>
    <w:rsid w:val="0022774B"/>
    <w:rsid w:val="00231522"/>
    <w:rsid w:val="0024132F"/>
    <w:rsid w:val="00242DCD"/>
    <w:rsid w:val="00247C5C"/>
    <w:rsid w:val="00273BE0"/>
    <w:rsid w:val="00284993"/>
    <w:rsid w:val="00285091"/>
    <w:rsid w:val="002859E7"/>
    <w:rsid w:val="00285E7E"/>
    <w:rsid w:val="0029744B"/>
    <w:rsid w:val="002B07E9"/>
    <w:rsid w:val="002B3D95"/>
    <w:rsid w:val="002B6F6A"/>
    <w:rsid w:val="002C06D5"/>
    <w:rsid w:val="002C0FBF"/>
    <w:rsid w:val="002D6878"/>
    <w:rsid w:val="002F5E2F"/>
    <w:rsid w:val="0030097A"/>
    <w:rsid w:val="00316FC0"/>
    <w:rsid w:val="003452C0"/>
    <w:rsid w:val="00347A0E"/>
    <w:rsid w:val="003503D7"/>
    <w:rsid w:val="00363A5D"/>
    <w:rsid w:val="00365091"/>
    <w:rsid w:val="003729C1"/>
    <w:rsid w:val="00383195"/>
    <w:rsid w:val="003A0CF6"/>
    <w:rsid w:val="003A2DF8"/>
    <w:rsid w:val="003B2082"/>
    <w:rsid w:val="003B693B"/>
    <w:rsid w:val="003C18A4"/>
    <w:rsid w:val="003C5257"/>
    <w:rsid w:val="003C6FE1"/>
    <w:rsid w:val="003E0843"/>
    <w:rsid w:val="003E3EC7"/>
    <w:rsid w:val="004123CD"/>
    <w:rsid w:val="004234ED"/>
    <w:rsid w:val="00427D41"/>
    <w:rsid w:val="00462C33"/>
    <w:rsid w:val="004742C7"/>
    <w:rsid w:val="00482277"/>
    <w:rsid w:val="0048409F"/>
    <w:rsid w:val="0048419F"/>
    <w:rsid w:val="00492248"/>
    <w:rsid w:val="00492B42"/>
    <w:rsid w:val="00497648"/>
    <w:rsid w:val="004A34EE"/>
    <w:rsid w:val="004B1F3C"/>
    <w:rsid w:val="004B2131"/>
    <w:rsid w:val="004B5A11"/>
    <w:rsid w:val="004B7A50"/>
    <w:rsid w:val="004D230F"/>
    <w:rsid w:val="004D3538"/>
    <w:rsid w:val="004D5504"/>
    <w:rsid w:val="004F7B24"/>
    <w:rsid w:val="00503974"/>
    <w:rsid w:val="005058CE"/>
    <w:rsid w:val="0052230B"/>
    <w:rsid w:val="00524F91"/>
    <w:rsid w:val="00525A8A"/>
    <w:rsid w:val="005276F0"/>
    <w:rsid w:val="00530909"/>
    <w:rsid w:val="00561278"/>
    <w:rsid w:val="005B3388"/>
    <w:rsid w:val="005C3F73"/>
    <w:rsid w:val="005C7891"/>
    <w:rsid w:val="005D1EEE"/>
    <w:rsid w:val="005D3FC7"/>
    <w:rsid w:val="00603302"/>
    <w:rsid w:val="00604E4F"/>
    <w:rsid w:val="006054EE"/>
    <w:rsid w:val="006118B6"/>
    <w:rsid w:val="0062214D"/>
    <w:rsid w:val="006270C0"/>
    <w:rsid w:val="00630195"/>
    <w:rsid w:val="00631990"/>
    <w:rsid w:val="006473CD"/>
    <w:rsid w:val="006559AF"/>
    <w:rsid w:val="00657CF3"/>
    <w:rsid w:val="006605D2"/>
    <w:rsid w:val="00693874"/>
    <w:rsid w:val="00693F46"/>
    <w:rsid w:val="00697178"/>
    <w:rsid w:val="006A11B3"/>
    <w:rsid w:val="006A2EBD"/>
    <w:rsid w:val="006C22B8"/>
    <w:rsid w:val="006C4CFE"/>
    <w:rsid w:val="006E49D6"/>
    <w:rsid w:val="006F158F"/>
    <w:rsid w:val="00705C61"/>
    <w:rsid w:val="00706DBC"/>
    <w:rsid w:val="00746429"/>
    <w:rsid w:val="00747734"/>
    <w:rsid w:val="00764648"/>
    <w:rsid w:val="007672F3"/>
    <w:rsid w:val="007712F0"/>
    <w:rsid w:val="007714BD"/>
    <w:rsid w:val="007773C2"/>
    <w:rsid w:val="00781339"/>
    <w:rsid w:val="007A2601"/>
    <w:rsid w:val="007A3E79"/>
    <w:rsid w:val="007B16C4"/>
    <w:rsid w:val="007B17FE"/>
    <w:rsid w:val="007B37A1"/>
    <w:rsid w:val="007C2D7E"/>
    <w:rsid w:val="007D17FD"/>
    <w:rsid w:val="007D48C5"/>
    <w:rsid w:val="007E06F0"/>
    <w:rsid w:val="007E3AD6"/>
    <w:rsid w:val="00802DFC"/>
    <w:rsid w:val="00812446"/>
    <w:rsid w:val="00814781"/>
    <w:rsid w:val="00834DBB"/>
    <w:rsid w:val="00841F73"/>
    <w:rsid w:val="00842FFB"/>
    <w:rsid w:val="0086351A"/>
    <w:rsid w:val="00874B61"/>
    <w:rsid w:val="008A0481"/>
    <w:rsid w:val="008A460F"/>
    <w:rsid w:val="008A48B7"/>
    <w:rsid w:val="008A4E76"/>
    <w:rsid w:val="008A5A9E"/>
    <w:rsid w:val="008B3EB5"/>
    <w:rsid w:val="008C0404"/>
    <w:rsid w:val="008C3926"/>
    <w:rsid w:val="008C5809"/>
    <w:rsid w:val="008D426D"/>
    <w:rsid w:val="008D78C9"/>
    <w:rsid w:val="008E0FC9"/>
    <w:rsid w:val="008E28A6"/>
    <w:rsid w:val="008F7DA4"/>
    <w:rsid w:val="00904BB2"/>
    <w:rsid w:val="00913684"/>
    <w:rsid w:val="00923865"/>
    <w:rsid w:val="0093016E"/>
    <w:rsid w:val="009303D3"/>
    <w:rsid w:val="00934B4D"/>
    <w:rsid w:val="009372E9"/>
    <w:rsid w:val="00940891"/>
    <w:rsid w:val="009409DB"/>
    <w:rsid w:val="00952783"/>
    <w:rsid w:val="00955C75"/>
    <w:rsid w:val="009677DF"/>
    <w:rsid w:val="009760AE"/>
    <w:rsid w:val="009946F8"/>
    <w:rsid w:val="00996E6B"/>
    <w:rsid w:val="009A1D64"/>
    <w:rsid w:val="009B1292"/>
    <w:rsid w:val="009B2430"/>
    <w:rsid w:val="009B338B"/>
    <w:rsid w:val="009B3631"/>
    <w:rsid w:val="009B58AD"/>
    <w:rsid w:val="009B7935"/>
    <w:rsid w:val="009C06A7"/>
    <w:rsid w:val="009C7BA2"/>
    <w:rsid w:val="009D1161"/>
    <w:rsid w:val="009D365F"/>
    <w:rsid w:val="009D667B"/>
    <w:rsid w:val="009E57DA"/>
    <w:rsid w:val="009F4449"/>
    <w:rsid w:val="009F7445"/>
    <w:rsid w:val="00A01FF2"/>
    <w:rsid w:val="00A02252"/>
    <w:rsid w:val="00A03439"/>
    <w:rsid w:val="00A127F1"/>
    <w:rsid w:val="00A15E47"/>
    <w:rsid w:val="00A2342F"/>
    <w:rsid w:val="00A27130"/>
    <w:rsid w:val="00A53BAC"/>
    <w:rsid w:val="00A61238"/>
    <w:rsid w:val="00A6170A"/>
    <w:rsid w:val="00A7147C"/>
    <w:rsid w:val="00A7660B"/>
    <w:rsid w:val="00A820F4"/>
    <w:rsid w:val="00A83F20"/>
    <w:rsid w:val="00A86897"/>
    <w:rsid w:val="00A95733"/>
    <w:rsid w:val="00AA06C8"/>
    <w:rsid w:val="00AB167E"/>
    <w:rsid w:val="00AB5465"/>
    <w:rsid w:val="00AD0A2F"/>
    <w:rsid w:val="00AF1831"/>
    <w:rsid w:val="00B01ACD"/>
    <w:rsid w:val="00B11B1C"/>
    <w:rsid w:val="00B214EC"/>
    <w:rsid w:val="00B2353F"/>
    <w:rsid w:val="00B26FAC"/>
    <w:rsid w:val="00B31AA2"/>
    <w:rsid w:val="00B33A96"/>
    <w:rsid w:val="00B35976"/>
    <w:rsid w:val="00B47041"/>
    <w:rsid w:val="00B62521"/>
    <w:rsid w:val="00B631CE"/>
    <w:rsid w:val="00B734AE"/>
    <w:rsid w:val="00B74C0B"/>
    <w:rsid w:val="00B81BA2"/>
    <w:rsid w:val="00B8400D"/>
    <w:rsid w:val="00B93A37"/>
    <w:rsid w:val="00BA1819"/>
    <w:rsid w:val="00BA5A22"/>
    <w:rsid w:val="00BB55E5"/>
    <w:rsid w:val="00BD725A"/>
    <w:rsid w:val="00BF3750"/>
    <w:rsid w:val="00C05451"/>
    <w:rsid w:val="00C06244"/>
    <w:rsid w:val="00C50A38"/>
    <w:rsid w:val="00C536C2"/>
    <w:rsid w:val="00C55F47"/>
    <w:rsid w:val="00C56E2E"/>
    <w:rsid w:val="00C5730C"/>
    <w:rsid w:val="00C601E8"/>
    <w:rsid w:val="00C64A31"/>
    <w:rsid w:val="00C76115"/>
    <w:rsid w:val="00C82E8B"/>
    <w:rsid w:val="00C8470E"/>
    <w:rsid w:val="00C955A6"/>
    <w:rsid w:val="00C95A7F"/>
    <w:rsid w:val="00CA2169"/>
    <w:rsid w:val="00CB0DE7"/>
    <w:rsid w:val="00CB0E40"/>
    <w:rsid w:val="00CC4C88"/>
    <w:rsid w:val="00CD016F"/>
    <w:rsid w:val="00CD0B1F"/>
    <w:rsid w:val="00CD3F96"/>
    <w:rsid w:val="00CD66E2"/>
    <w:rsid w:val="00CE09F3"/>
    <w:rsid w:val="00CE76DA"/>
    <w:rsid w:val="00D0649D"/>
    <w:rsid w:val="00D11E94"/>
    <w:rsid w:val="00D30389"/>
    <w:rsid w:val="00D31E49"/>
    <w:rsid w:val="00D32C9A"/>
    <w:rsid w:val="00D337F6"/>
    <w:rsid w:val="00D36898"/>
    <w:rsid w:val="00D52CDB"/>
    <w:rsid w:val="00D55923"/>
    <w:rsid w:val="00D61710"/>
    <w:rsid w:val="00D6611E"/>
    <w:rsid w:val="00D721F9"/>
    <w:rsid w:val="00D85F37"/>
    <w:rsid w:val="00D90957"/>
    <w:rsid w:val="00D91303"/>
    <w:rsid w:val="00DA4A97"/>
    <w:rsid w:val="00DB03F5"/>
    <w:rsid w:val="00DB4534"/>
    <w:rsid w:val="00DD2A82"/>
    <w:rsid w:val="00DE0099"/>
    <w:rsid w:val="00DE6C29"/>
    <w:rsid w:val="00DF46E4"/>
    <w:rsid w:val="00E01B3D"/>
    <w:rsid w:val="00E04856"/>
    <w:rsid w:val="00E16D3C"/>
    <w:rsid w:val="00E40FA8"/>
    <w:rsid w:val="00E504B4"/>
    <w:rsid w:val="00E50CD3"/>
    <w:rsid w:val="00E56089"/>
    <w:rsid w:val="00E61486"/>
    <w:rsid w:val="00E80943"/>
    <w:rsid w:val="00E816EA"/>
    <w:rsid w:val="00E81910"/>
    <w:rsid w:val="00E87BE1"/>
    <w:rsid w:val="00E94534"/>
    <w:rsid w:val="00EA020F"/>
    <w:rsid w:val="00EA1F85"/>
    <w:rsid w:val="00EB650B"/>
    <w:rsid w:val="00EC043A"/>
    <w:rsid w:val="00ED735F"/>
    <w:rsid w:val="00EE0A00"/>
    <w:rsid w:val="00EF4A72"/>
    <w:rsid w:val="00F004F2"/>
    <w:rsid w:val="00F16D9B"/>
    <w:rsid w:val="00F3061D"/>
    <w:rsid w:val="00F45CFC"/>
    <w:rsid w:val="00F5775F"/>
    <w:rsid w:val="00F6283A"/>
    <w:rsid w:val="00F63F24"/>
    <w:rsid w:val="00F90EBC"/>
    <w:rsid w:val="00F9282C"/>
    <w:rsid w:val="00FD0CD1"/>
    <w:rsid w:val="00FD72D9"/>
    <w:rsid w:val="00FE79FA"/>
    <w:rsid w:val="00FF0477"/>
    <w:rsid w:val="00FF0D13"/>
    <w:rsid w:val="00FF5BB3"/>
    <w:rsid w:val="04A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9">
    <w:name w:val="annotation reference"/>
    <w:uiPriority w:val="0"/>
    <w:rPr>
      <w:sz w:val="16"/>
      <w:szCs w:val="16"/>
    </w:rPr>
  </w:style>
  <w:style w:type="paragraph" w:styleId="10">
    <w:name w:val="annotation text"/>
    <w:basedOn w:val="1"/>
    <w:semiHidden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uiPriority w:val="0"/>
    <w:rPr>
      <w:b/>
      <w:bCs/>
    </w:rPr>
  </w:style>
  <w:style w:type="paragraph" w:styleId="12">
    <w:name w:val="footer"/>
    <w:basedOn w:val="1"/>
    <w:link w:val="16"/>
    <w:uiPriority w:val="99"/>
    <w:pPr>
      <w:tabs>
        <w:tab w:val="center" w:pos="4536"/>
        <w:tab w:val="right" w:pos="9072"/>
        <w:tab w:val="clear" w:pos="284"/>
      </w:tabs>
    </w:pPr>
  </w:style>
  <w:style w:type="paragraph" w:styleId="13">
    <w:name w:val="header"/>
    <w:basedOn w:val="1"/>
    <w:link w:val="19"/>
    <w:uiPriority w:val="0"/>
    <w:pPr>
      <w:tabs>
        <w:tab w:val="center" w:pos="4536"/>
        <w:tab w:val="right" w:pos="9072"/>
        <w:tab w:val="clear" w:pos="284"/>
      </w:tabs>
    </w:pPr>
  </w:style>
  <w:style w:type="character" w:styleId="14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6"/>
    <w:uiPriority w:val="0"/>
  </w:style>
  <w:style w:type="character" w:customStyle="1" w:styleId="16">
    <w:name w:val="Footer Char"/>
    <w:basedOn w:val="6"/>
    <w:link w:val="12"/>
    <w:qFormat/>
    <w:uiPriority w:val="99"/>
    <w:rPr>
      <w:rFonts w:ascii="Humanist777" w:hAnsi="Humanist777"/>
      <w:sz w:val="24"/>
      <w:szCs w:val="24"/>
    </w:rPr>
  </w:style>
  <w:style w:type="paragraph" w:customStyle="1" w:styleId="17">
    <w:name w:val="NASLOV 123"/>
    <w:basedOn w:val="1"/>
    <w:qFormat/>
    <w:uiPriority w:val="0"/>
    <w:pPr>
      <w:spacing w:before="200" w:after="200"/>
      <w:jc w:val="left"/>
    </w:pPr>
    <w:rPr>
      <w:b/>
      <w:szCs w:val="22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Header Char"/>
    <w:basedOn w:val="6"/>
    <w:link w:val="13"/>
    <w:uiPriority w:val="0"/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9370-69CA-45FA-A720-D0D7E3A79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3650</Words>
  <Characters>24360</Characters>
  <Lines>203</Lines>
  <Paragraphs>55</Paragraphs>
  <TotalTime>0</TotalTime>
  <ScaleCrop>false</ScaleCrop>
  <LinksUpToDate>false</LinksUpToDate>
  <CharactersWithSpaces>27955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2021-10-19T07:31:00Z</dcterms:created>
  <dc:creator>TANJANE</dc:creator>
  <cp:lastModifiedBy>Haris</cp:lastModifiedBy>
  <cp:lastPrinted>2016-07-25T08:52:00Z</cp:lastPrinted>
  <dcterms:modified xsi:type="dcterms:W3CDTF">2025-02-21T14:51:12Z</dcterms:modified>
  <dc:title>SAŽETAK KARAKTERISTIKA LEKA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CDF7F593AB1F4217BBDA784501223475_13</vt:lpwstr>
  </property>
</Properties>
</file>