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0023">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1CDE1E0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B511627">
      <w:pPr>
        <w:pStyle w:val="23"/>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296D662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Nodriga</w:t>
      </w:r>
    </w:p>
    <w:p w14:paraId="06FF8D7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 mg, 50 mg, 70 mg, 100 mg, 140 mg</w:t>
      </w:r>
    </w:p>
    <w:p w14:paraId="1CCFBB39">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5AE08D1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dasatinib</w:t>
      </w:r>
    </w:p>
    <w:p w14:paraId="7392544B">
      <w:pPr>
        <w:rPr>
          <w:rFonts w:ascii="Microsoft Sans Serif" w:hAnsi="Microsoft Sans Serif" w:cs="Microsoft Sans Serif"/>
          <w:b/>
          <w:bCs/>
          <w:sz w:val="20"/>
          <w:szCs w:val="20"/>
          <w:lang w:val="sv-SE"/>
        </w:rPr>
      </w:pPr>
    </w:p>
    <w:p w14:paraId="102663EE">
      <w:pPr>
        <w:rPr>
          <w:rFonts w:ascii="Microsoft Sans Serif" w:hAnsi="Microsoft Sans Serif" w:cs="Microsoft Sans Serif"/>
          <w:b/>
          <w:bCs/>
          <w:sz w:val="20"/>
          <w:szCs w:val="20"/>
          <w:lang w:val="sv-SE"/>
        </w:rPr>
      </w:pPr>
    </w:p>
    <w:p w14:paraId="4FB8BB6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56DB239">
      <w:pPr>
        <w:pStyle w:val="23"/>
        <w:spacing w:before="0" w:after="0"/>
        <w:jc w:val="both"/>
        <w:rPr>
          <w:rFonts w:ascii="Microsoft Sans Serif" w:hAnsi="Microsoft Sans Serif" w:cs="Microsoft Sans Serif"/>
          <w:sz w:val="20"/>
          <w:szCs w:val="20"/>
          <w:lang w:val="sv-SE"/>
        </w:rPr>
      </w:pPr>
    </w:p>
    <w:p w14:paraId="7CF9551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20 mg, </w:t>
      </w:r>
      <w:r>
        <w:rPr>
          <w:rFonts w:ascii="Microsoft Sans Serif" w:hAnsi="Microsoft Sans Serif" w:cs="Microsoft Sans Serif"/>
          <w:b w:val="0"/>
          <w:sz w:val="20"/>
          <w:szCs w:val="20"/>
          <w:u w:val="single"/>
          <w:lang w:val="sr-Cyrl-RS"/>
        </w:rPr>
        <w:t>film tablete</w:t>
      </w:r>
    </w:p>
    <w:p w14:paraId="044195C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20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31B4E5A">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2999BDD8">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28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A14D792">
      <w:pPr>
        <w:pStyle w:val="23"/>
        <w:spacing w:before="0" w:after="0"/>
        <w:jc w:val="both"/>
        <w:rPr>
          <w:rFonts w:ascii="Microsoft Sans Serif" w:hAnsi="Microsoft Sans Serif" w:cs="Microsoft Sans Serif"/>
          <w:b w:val="0"/>
          <w:sz w:val="20"/>
          <w:szCs w:val="20"/>
          <w:lang w:val="sr-Cyrl-RS"/>
        </w:rPr>
      </w:pPr>
    </w:p>
    <w:p w14:paraId="5C9EB62F">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50 mg, </w:t>
      </w:r>
      <w:r>
        <w:rPr>
          <w:rFonts w:ascii="Microsoft Sans Serif" w:hAnsi="Microsoft Sans Serif" w:cs="Microsoft Sans Serif"/>
          <w:b w:val="0"/>
          <w:sz w:val="20"/>
          <w:szCs w:val="20"/>
          <w:u w:val="single"/>
          <w:lang w:val="sr-Cyrl-RS"/>
        </w:rPr>
        <w:t>film tablete</w:t>
      </w:r>
    </w:p>
    <w:p w14:paraId="4FC0011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50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13F79FC9">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1DB9AB3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69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76EA954D">
      <w:pPr>
        <w:pStyle w:val="23"/>
        <w:spacing w:before="0" w:after="0"/>
        <w:jc w:val="both"/>
        <w:rPr>
          <w:rFonts w:ascii="Microsoft Sans Serif" w:hAnsi="Microsoft Sans Serif" w:cs="Microsoft Sans Serif"/>
          <w:b w:val="0"/>
          <w:sz w:val="20"/>
          <w:szCs w:val="20"/>
          <w:u w:val="single"/>
          <w:lang w:val="sr-Cyrl-RS"/>
        </w:rPr>
      </w:pPr>
    </w:p>
    <w:p w14:paraId="206EA4E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70 mg, </w:t>
      </w:r>
      <w:r>
        <w:rPr>
          <w:rFonts w:ascii="Microsoft Sans Serif" w:hAnsi="Microsoft Sans Serif" w:cs="Microsoft Sans Serif"/>
          <w:b w:val="0"/>
          <w:sz w:val="20"/>
          <w:szCs w:val="20"/>
          <w:u w:val="single"/>
          <w:lang w:val="sr-Cyrl-RS"/>
        </w:rPr>
        <w:t>film tablete</w:t>
      </w:r>
    </w:p>
    <w:p w14:paraId="4FB839F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70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9944D42">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964D456">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97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2C32CEA5">
      <w:pPr>
        <w:pStyle w:val="23"/>
        <w:spacing w:before="0" w:after="0"/>
        <w:jc w:val="both"/>
        <w:rPr>
          <w:rFonts w:ascii="Microsoft Sans Serif" w:hAnsi="Microsoft Sans Serif" w:cs="Microsoft Sans Serif"/>
          <w:b w:val="0"/>
          <w:sz w:val="20"/>
          <w:szCs w:val="20"/>
          <w:u w:val="single"/>
          <w:lang w:val="sr-Cyrl-RS"/>
        </w:rPr>
      </w:pPr>
    </w:p>
    <w:p w14:paraId="342E5CE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100 mg, </w:t>
      </w:r>
      <w:r>
        <w:rPr>
          <w:rFonts w:ascii="Microsoft Sans Serif" w:hAnsi="Microsoft Sans Serif" w:cs="Microsoft Sans Serif"/>
          <w:b w:val="0"/>
          <w:sz w:val="20"/>
          <w:szCs w:val="20"/>
          <w:u w:val="single"/>
          <w:lang w:val="sr-Cyrl-RS"/>
        </w:rPr>
        <w:t>film tablete</w:t>
      </w:r>
    </w:p>
    <w:p w14:paraId="71AE859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100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4F471DB6">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64BA9B4">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138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4FBA4F62">
      <w:pPr>
        <w:pStyle w:val="23"/>
        <w:spacing w:before="0" w:after="0"/>
        <w:jc w:val="both"/>
        <w:rPr>
          <w:rFonts w:ascii="Microsoft Sans Serif" w:hAnsi="Microsoft Sans Serif" w:cs="Microsoft Sans Serif"/>
          <w:b w:val="0"/>
          <w:sz w:val="20"/>
          <w:szCs w:val="20"/>
          <w:u w:val="single"/>
          <w:lang w:val="sr-Cyrl-RS"/>
        </w:rPr>
      </w:pPr>
    </w:p>
    <w:p w14:paraId="3984392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140 mg, </w:t>
      </w:r>
      <w:r>
        <w:rPr>
          <w:rFonts w:ascii="Microsoft Sans Serif" w:hAnsi="Microsoft Sans Serif" w:cs="Microsoft Sans Serif"/>
          <w:b w:val="0"/>
          <w:sz w:val="20"/>
          <w:szCs w:val="20"/>
          <w:u w:val="single"/>
          <w:lang w:val="sr-Cyrl-RS"/>
        </w:rPr>
        <w:t>film tablete</w:t>
      </w:r>
    </w:p>
    <w:p w14:paraId="2091126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140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787C3B67">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50FFE8E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194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49619B8">
      <w:pPr>
        <w:pStyle w:val="23"/>
        <w:spacing w:before="0" w:after="0"/>
        <w:jc w:val="both"/>
        <w:rPr>
          <w:rFonts w:ascii="Microsoft Sans Serif" w:hAnsi="Microsoft Sans Serif" w:cs="Microsoft Sans Serif"/>
          <w:b w:val="0"/>
          <w:sz w:val="20"/>
          <w:szCs w:val="20"/>
          <w:lang w:val="sr-Cyrl-RS"/>
        </w:rPr>
      </w:pPr>
    </w:p>
    <w:p w14:paraId="0D6565B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Za listu svih pomoćnih supstanci, </w:t>
      </w:r>
      <w:r>
        <w:rPr>
          <w:rFonts w:ascii="Microsoft Sans Serif" w:hAnsi="Microsoft Sans Serif" w:cs="Microsoft Sans Serif"/>
          <w:b w:val="0"/>
          <w:sz w:val="20"/>
          <w:szCs w:val="20"/>
          <w:lang w:val="sr-Latn-RS"/>
        </w:rPr>
        <w:t>pogledat</w:t>
      </w:r>
      <w:r>
        <w:rPr>
          <w:rFonts w:ascii="Microsoft Sans Serif" w:hAnsi="Microsoft Sans Serif" w:cs="Microsoft Sans Serif"/>
          <w:b w:val="0"/>
          <w:sz w:val="20"/>
          <w:szCs w:val="20"/>
          <w:lang w:val="sr-Cyrl-RS"/>
        </w:rPr>
        <w:t xml:space="preserve">i </w:t>
      </w:r>
      <w:r>
        <w:rPr>
          <w:rFonts w:ascii="Microsoft Sans Serif" w:hAnsi="Microsoft Sans Serif" w:cs="Microsoft Sans Serif"/>
          <w:b w:val="0"/>
          <w:sz w:val="20"/>
          <w:szCs w:val="20"/>
        </w:rPr>
        <w:t>dio</w:t>
      </w:r>
      <w:r>
        <w:rPr>
          <w:rFonts w:ascii="Microsoft Sans Serif" w:hAnsi="Microsoft Sans Serif" w:cs="Microsoft Sans Serif"/>
          <w:b w:val="0"/>
          <w:sz w:val="20"/>
          <w:szCs w:val="20"/>
          <w:lang w:val="sr-Cyrl-RS"/>
        </w:rPr>
        <w:t xml:space="preserve"> 6.1.</w:t>
      </w:r>
    </w:p>
    <w:p w14:paraId="05FCB87D">
      <w:pPr>
        <w:widowControl w:val="0"/>
        <w:tabs>
          <w:tab w:val="clear" w:pos="284"/>
        </w:tabs>
        <w:rPr>
          <w:rFonts w:ascii="Microsoft Sans Serif" w:hAnsi="Microsoft Sans Serif" w:eastAsia="Calibri" w:cs="Microsoft Sans Serif"/>
          <w:sz w:val="20"/>
          <w:szCs w:val="20"/>
          <w:u w:val="single"/>
          <w:lang w:val="sr-Cyrl-RS"/>
        </w:rPr>
      </w:pPr>
    </w:p>
    <w:p w14:paraId="754A2D2D">
      <w:pPr>
        <w:pStyle w:val="23"/>
        <w:spacing w:before="0" w:after="0"/>
        <w:jc w:val="both"/>
        <w:rPr>
          <w:rFonts w:ascii="Microsoft Sans Serif" w:hAnsi="Microsoft Sans Serif" w:cs="Microsoft Sans Serif"/>
          <w:sz w:val="20"/>
          <w:szCs w:val="20"/>
          <w:lang w:val="sr-Cyrl-RS"/>
        </w:rPr>
      </w:pPr>
    </w:p>
    <w:p w14:paraId="3286790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4BC3307">
      <w:pPr>
        <w:pStyle w:val="23"/>
        <w:spacing w:before="0" w:after="0"/>
        <w:jc w:val="both"/>
        <w:rPr>
          <w:rFonts w:ascii="Microsoft Sans Serif" w:hAnsi="Microsoft Sans Serif" w:cs="Microsoft Sans Serif"/>
          <w:sz w:val="20"/>
          <w:szCs w:val="20"/>
          <w:lang w:val="sv-SE"/>
        </w:rPr>
      </w:pPr>
    </w:p>
    <w:p w14:paraId="6BDCE35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C125851">
      <w:pPr>
        <w:widowControl w:val="0"/>
        <w:tabs>
          <w:tab w:val="clear" w:pos="284"/>
        </w:tabs>
        <w:rPr>
          <w:rFonts w:ascii="Microsoft Sans Serif" w:hAnsi="Microsoft Sans Serif" w:eastAsia="Calibri" w:cs="Microsoft Sans Serif"/>
          <w:sz w:val="20"/>
          <w:szCs w:val="20"/>
          <w:u w:val="single"/>
          <w:lang w:val="sr-Latn-RS"/>
        </w:rPr>
      </w:pPr>
    </w:p>
    <w:p w14:paraId="17AE04B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09F8155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0D583055">
      <w:pPr>
        <w:widowControl w:val="0"/>
        <w:tabs>
          <w:tab w:val="clear" w:pos="284"/>
        </w:tabs>
        <w:rPr>
          <w:rFonts w:ascii="Microsoft Sans Serif" w:hAnsi="Microsoft Sans Serif" w:eastAsia="Calibri" w:cs="Microsoft Sans Serif"/>
          <w:sz w:val="20"/>
          <w:szCs w:val="20"/>
          <w:lang w:val="sr-Cyrl-RS"/>
        </w:rPr>
      </w:pPr>
    </w:p>
    <w:p w14:paraId="0B42F26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225A959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082892FA">
      <w:pPr>
        <w:widowControl w:val="0"/>
        <w:tabs>
          <w:tab w:val="clear" w:pos="284"/>
        </w:tabs>
        <w:rPr>
          <w:rFonts w:ascii="Microsoft Sans Serif" w:hAnsi="Microsoft Sans Serif" w:eastAsia="Calibri" w:cs="Microsoft Sans Serif"/>
          <w:sz w:val="20"/>
          <w:szCs w:val="20"/>
          <w:lang w:val="sr-Cyrl-RS"/>
        </w:rPr>
      </w:pPr>
    </w:p>
    <w:p w14:paraId="179B363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387CD5E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282779B4">
      <w:pPr>
        <w:widowControl w:val="0"/>
        <w:tabs>
          <w:tab w:val="clear" w:pos="284"/>
        </w:tabs>
        <w:rPr>
          <w:rFonts w:ascii="Microsoft Sans Serif" w:hAnsi="Microsoft Sans Serif" w:eastAsia="Calibri" w:cs="Microsoft Sans Serif"/>
          <w:sz w:val="20"/>
          <w:szCs w:val="20"/>
          <w:lang w:val="sr-Cyrl-RS"/>
        </w:rPr>
      </w:pPr>
    </w:p>
    <w:p w14:paraId="0D74C65C">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53EA745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647DFAEE">
      <w:pPr>
        <w:widowControl w:val="0"/>
        <w:tabs>
          <w:tab w:val="clear" w:pos="284"/>
        </w:tabs>
        <w:rPr>
          <w:rFonts w:ascii="Microsoft Sans Serif" w:hAnsi="Microsoft Sans Serif" w:eastAsia="Calibri" w:cs="Microsoft Sans Serif"/>
          <w:sz w:val="20"/>
          <w:szCs w:val="20"/>
          <w:lang w:val="sr-Cyrl-RS"/>
        </w:rPr>
      </w:pPr>
    </w:p>
    <w:p w14:paraId="501067A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20667BA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16A21EF8">
      <w:pPr>
        <w:widowControl w:val="0"/>
        <w:tabs>
          <w:tab w:val="clear" w:pos="284"/>
        </w:tabs>
        <w:rPr>
          <w:rFonts w:ascii="Microsoft Sans Serif" w:hAnsi="Microsoft Sans Serif" w:eastAsia="Calibri" w:cs="Microsoft Sans Serif"/>
          <w:sz w:val="20"/>
          <w:szCs w:val="20"/>
          <w:lang w:val="sr-Cyrl-RS"/>
        </w:rPr>
      </w:pPr>
    </w:p>
    <w:p w14:paraId="547F19BE">
      <w:pPr>
        <w:rPr>
          <w:rFonts w:ascii="Microsoft Sans Serif" w:hAnsi="Microsoft Sans Serif" w:cs="Microsoft Sans Serif"/>
          <w:sz w:val="20"/>
          <w:szCs w:val="20"/>
          <w:lang w:val="sr-Cyrl-RS"/>
        </w:rPr>
      </w:pPr>
    </w:p>
    <w:p w14:paraId="2B0B7653">
      <w:pPr>
        <w:pStyle w:val="23"/>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4EAD8A91">
      <w:pPr>
        <w:rPr>
          <w:rFonts w:ascii="Microsoft Sans Serif" w:hAnsi="Microsoft Sans Serif" w:cs="Microsoft Sans Serif"/>
          <w:b/>
          <w:bCs/>
          <w:sz w:val="20"/>
          <w:szCs w:val="20"/>
          <w:lang w:val="sr-Cyrl-RS"/>
        </w:rPr>
      </w:pPr>
    </w:p>
    <w:p w14:paraId="71C721F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7F70174A">
      <w:pPr>
        <w:rPr>
          <w:rFonts w:ascii="Microsoft Sans Serif" w:hAnsi="Microsoft Sans Serif" w:cs="Microsoft Sans Serif"/>
          <w:b/>
          <w:bCs/>
          <w:sz w:val="20"/>
          <w:szCs w:val="20"/>
          <w:lang w:val="sr-Cyrl-RS"/>
        </w:rPr>
      </w:pPr>
    </w:p>
    <w:p w14:paraId="178BA7E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dikovan za liječenje odraslih pacijenata sa:</w:t>
      </w:r>
    </w:p>
    <w:p w14:paraId="0FEC2CE1">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novodijagnostikovanom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pozitivnim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Filadelfija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hromozomom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fazi</w:t>
      </w:r>
      <w:r>
        <w:rPr>
          <w:rFonts w:ascii="Microsoft Sans Serif" w:hAnsi="Microsoft Sans Serif" w:cs="Microsoft Sans Serif"/>
          <w:bCs/>
          <w:sz w:val="20"/>
          <w:szCs w:val="20"/>
          <w:lang w:val="sr-Cyrl-RS"/>
        </w:rPr>
        <w:t>,</w:t>
      </w:r>
    </w:p>
    <w:p w14:paraId="72827539">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ubrzanja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p>
    <w:p w14:paraId="11D80279">
      <w:pPr>
        <w:pStyle w:val="29"/>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uklju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imatinibom</w:t>
      </w:r>
      <w:r>
        <w:rPr>
          <w:rFonts w:ascii="Microsoft Sans Serif" w:hAnsi="Microsoft Sans Serif" w:cs="Microsoft Sans Serif"/>
          <w:bCs/>
          <w:sz w:val="20"/>
          <w:szCs w:val="20"/>
          <w:lang w:val="sr-Cyrl-RS"/>
        </w:rPr>
        <w:t>,</w:t>
      </w:r>
    </w:p>
    <w:p w14:paraId="50B1FE82">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akutnom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577D8EB4">
      <w:pPr>
        <w:rPr>
          <w:rFonts w:ascii="Microsoft Sans Serif" w:hAnsi="Microsoft Sans Serif" w:cs="Microsoft Sans Serif"/>
          <w:bCs/>
          <w:sz w:val="20"/>
          <w:szCs w:val="20"/>
          <w:lang w:val="sr-Latn-RS"/>
        </w:rPr>
      </w:pPr>
    </w:p>
    <w:p w14:paraId="120DEA5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lang w:val="sr-Latn-RS"/>
        </w:rPr>
        <w:t>Nodriga je indikovan za liječenje pedijatrijskih pacijenata sa:</w:t>
      </w:r>
    </w:p>
    <w:p w14:paraId="66A71AB9">
      <w:pPr>
        <w:pStyle w:val="29"/>
        <w:numPr>
          <w:ilvl w:val="0"/>
          <w:numId w:val="1"/>
        </w:num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novodijagnostikovanom Ph+ HML u hroničnoj fazi (Ph+HML-H</w:t>
      </w:r>
      <w:r>
        <w:rPr>
          <w:rFonts w:ascii="Microsoft Sans Serif" w:hAnsi="Microsoft Sans Serif" w:cs="Microsoft Sans Serif"/>
          <w:bCs/>
          <w:sz w:val="20"/>
          <w:szCs w:val="20"/>
          <w:lang w:val="hr-BA"/>
        </w:rPr>
        <w:t>F</w:t>
      </w:r>
      <w:r>
        <w:rPr>
          <w:rFonts w:ascii="Microsoft Sans Serif" w:hAnsi="Microsoft Sans Serif" w:cs="Microsoft Sans Serif"/>
          <w:bCs/>
          <w:sz w:val="20"/>
          <w:szCs w:val="20"/>
          <w:lang w:val="sr-Latn-RS"/>
        </w:rPr>
        <w:t>) ili Ph+ HML u hroničnoj fazi koji su rezistentni ili nisu podnosili prethodnu terapiju, uključujući terapiju sa imatinibom</w:t>
      </w:r>
      <w:r>
        <w:rPr>
          <w:rFonts w:ascii="Microsoft Sans Serif" w:hAnsi="Microsoft Sans Serif" w:cs="Microsoft Sans Serif"/>
          <w:bCs/>
          <w:sz w:val="20"/>
          <w:szCs w:val="20"/>
          <w:lang w:val="sr-Cyrl-RS"/>
        </w:rPr>
        <w:t>,</w:t>
      </w:r>
    </w:p>
    <w:p w14:paraId="2799D97A">
      <w:pPr>
        <w:pStyle w:val="29"/>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novodijagnostikovanom Ph+ ALL u kombinaciji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h</w:t>
      </w:r>
      <w:r>
        <w:rPr>
          <w:rFonts w:ascii="Microsoft Sans Serif" w:hAnsi="Microsoft Sans Serif" w:cs="Microsoft Sans Serif"/>
          <w:bCs/>
          <w:sz w:val="20"/>
          <w:szCs w:val="20"/>
          <w:lang w:val="sv-SE"/>
        </w:rPr>
        <w:t>em</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v-SE"/>
        </w:rPr>
        <w:t>oterapijom.</w:t>
      </w:r>
    </w:p>
    <w:p w14:paraId="2A90B5DA">
      <w:pPr>
        <w:rPr>
          <w:rFonts w:ascii="Microsoft Sans Serif" w:hAnsi="Microsoft Sans Serif" w:cs="Microsoft Sans Serif"/>
          <w:sz w:val="20"/>
          <w:szCs w:val="20"/>
          <w:lang w:val="sv-SE"/>
        </w:rPr>
      </w:pPr>
    </w:p>
    <w:p w14:paraId="0C9D32B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5AEFA50">
      <w:pPr>
        <w:rPr>
          <w:rFonts w:ascii="Microsoft Sans Serif" w:hAnsi="Microsoft Sans Serif" w:cs="Microsoft Sans Serif"/>
          <w:sz w:val="20"/>
          <w:szCs w:val="20"/>
          <w:lang w:val="sv-SE"/>
        </w:rPr>
      </w:pPr>
    </w:p>
    <w:p w14:paraId="24C5772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Liječenje treba započeti ljekar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iskustvom u dijagnostikovanju i liječenju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leukemijom.</w:t>
      </w:r>
    </w:p>
    <w:p w14:paraId="4678CD76">
      <w:pPr>
        <w:rPr>
          <w:rFonts w:ascii="Microsoft Sans Serif" w:hAnsi="Microsoft Sans Serif" w:cs="Microsoft Sans Serif"/>
          <w:sz w:val="20"/>
          <w:szCs w:val="20"/>
          <w:lang w:val="sv-SE"/>
        </w:rPr>
      </w:pPr>
    </w:p>
    <w:p w14:paraId="236F0DD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7672F97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 pacijenti</w:t>
      </w:r>
    </w:p>
    <w:p w14:paraId="4F4652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dasatiniba </w:t>
      </w:r>
      <w:r>
        <w:rPr>
          <w:rFonts w:ascii="Microsoft Sans Serif" w:hAnsi="Microsoft Sans Serif" w:cs="Microsoft Sans Serif"/>
          <w:sz w:val="20"/>
          <w:szCs w:val="20"/>
          <w:lang w:val="mk-MK"/>
        </w:rPr>
        <w:t xml:space="preserve">kod </w:t>
      </w:r>
      <w:r>
        <w:rPr>
          <w:rFonts w:ascii="Microsoft Sans Serif" w:hAnsi="Microsoft Sans Serif" w:cs="Microsoft Sans Serif"/>
          <w:sz w:val="20"/>
          <w:szCs w:val="20"/>
          <w:lang w:val="sv-SE"/>
        </w:rPr>
        <w:t>u hroni</w:t>
      </w:r>
      <w:r>
        <w:rPr>
          <w:rFonts w:ascii="Microsoft Sans Serif" w:hAnsi="Microsoft Sans Serif" w:cs="Microsoft Sans Serif"/>
          <w:sz w:val="20"/>
          <w:szCs w:val="20"/>
          <w:lang w:val="hr-BA"/>
        </w:rPr>
        <w:t>čnoj fazi HML</w:t>
      </w:r>
      <w:r>
        <w:rPr>
          <w:rFonts w:ascii="Microsoft Sans Serif" w:hAnsi="Microsoft Sans Serif" w:cs="Microsoft Sans Serif"/>
          <w:sz w:val="20"/>
          <w:szCs w:val="20"/>
          <w:lang w:val="sv-SE"/>
        </w:rPr>
        <w:t xml:space="preserve"> iznosi 100 mg jednom dnevno (pogledati dio 4.4).</w:t>
      </w:r>
    </w:p>
    <w:p w14:paraId="3D98998F">
      <w:pPr>
        <w:rPr>
          <w:rFonts w:ascii="Microsoft Sans Serif" w:hAnsi="Microsoft Sans Serif" w:cs="Microsoft Sans Serif"/>
          <w:sz w:val="20"/>
          <w:szCs w:val="20"/>
          <w:u w:val="single"/>
          <w:lang w:val="sv-SE"/>
        </w:rPr>
      </w:pPr>
    </w:p>
    <w:p w14:paraId="728FB01D">
      <w:pPr>
        <w:rPr>
          <w:rFonts w:ascii="Microsoft Sans Serif" w:hAnsi="Microsoft Sans Serif" w:cs="Microsoft Sans Serif"/>
          <w:sz w:val="20"/>
          <w:szCs w:val="20"/>
        </w:rPr>
      </w:pPr>
      <w:r>
        <w:rPr>
          <w:rFonts w:ascii="Microsoft Sans Serif" w:hAnsi="Microsoft Sans Serif" w:cs="Microsoft Sans Serif"/>
          <w:sz w:val="20"/>
          <w:szCs w:val="20"/>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dasatiniba u fazi ubrzanja, mijeloidnoj ili limfoidnoj blast fazi (uznapredovala faza) HML ili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Ph+ ALL iznosi 140 mg jednom dnevno (pogledati dio 4.4).</w:t>
      </w:r>
    </w:p>
    <w:p w14:paraId="0D64364F">
      <w:pPr>
        <w:rPr>
          <w:rFonts w:ascii="Microsoft Sans Serif" w:hAnsi="Microsoft Sans Serif" w:cs="Microsoft Sans Serif"/>
          <w:sz w:val="20"/>
          <w:szCs w:val="20"/>
        </w:rPr>
      </w:pPr>
    </w:p>
    <w:p w14:paraId="294B79C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 xml:space="preserve">Pedijatrijska populacija (Ph+ HML-HF i </w:t>
      </w:r>
      <w:r>
        <w:rPr>
          <w:rFonts w:ascii="Microsoft Sans Serif" w:hAnsi="Microsoft Sans Serif" w:eastAsia="Calibri" w:cs="Microsoft Sans Serif"/>
          <w:sz w:val="20"/>
          <w:szCs w:val="20"/>
          <w:u w:val="single"/>
          <w:lang w:val="sr-Latn-RS"/>
        </w:rPr>
        <w:t>Ph</w:t>
      </w:r>
      <w:r>
        <w:rPr>
          <w:rFonts w:ascii="Microsoft Sans Serif" w:hAnsi="Microsoft Sans Serif" w:eastAsia="Calibri" w:cs="Microsoft Sans Serif"/>
          <w:sz w:val="20"/>
          <w:szCs w:val="20"/>
          <w:u w:val="single"/>
        </w:rPr>
        <w:t>+ ALL)</w:t>
      </w:r>
    </w:p>
    <w:p w14:paraId="678742A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rPr>
        <w:t xml:space="preserve">Doziranje </w:t>
      </w:r>
      <w:r>
        <w:rPr>
          <w:rFonts w:ascii="Microsoft Sans Serif" w:hAnsi="Microsoft Sans Serif" w:eastAsia="Calibri" w:cs="Microsoft Sans Serif"/>
          <w:sz w:val="20"/>
          <w:szCs w:val="20"/>
          <w:lang w:val="mk-MK"/>
        </w:rPr>
        <w:t>kod</w:t>
      </w:r>
      <w:r>
        <w:rPr>
          <w:rFonts w:ascii="Microsoft Sans Serif" w:hAnsi="Microsoft Sans Serif" w:eastAsia="Calibri" w:cs="Microsoft Sans Serif"/>
          <w:sz w:val="20"/>
          <w:szCs w:val="20"/>
        </w:rPr>
        <w:t xml:space="preserve"> djece i adolescen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bazira se na tjelesnoj masi (pogledati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rPr>
        <w:t>abelu 1). Dasatinib se primjenjuje oralno jednom dnevno u obliku dasatinib film tableta ili praška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 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izra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unati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tjelesnoj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čija je tjelesna masa ispod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individualnog </w:t>
      </w:r>
      <w:r>
        <w:rPr>
          <w:rFonts w:ascii="Microsoft Sans Serif" w:hAnsi="Microsoft Sans Serif" w:eastAsia="Calibri" w:cs="Microsoft Sans Serif"/>
          <w:sz w:val="20"/>
          <w:szCs w:val="20"/>
        </w:rPr>
        <w:t>odgovora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Nema iskustva u liječenju 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Nodriga kod djece ispod godinu dana.</w:t>
      </w:r>
    </w:p>
    <w:p w14:paraId="521EEAE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Dasatinib film tablete i dasatinib prašak za oralnu suspenziju nisu bioekvivalentni.</w:t>
      </w:r>
      <w:r>
        <w:rPr>
          <w:rFonts w:ascii="Microsoft Sans Serif" w:hAnsi="Microsoft Sans Serif" w:eastAsia="Calibri" w:cs="Microsoft Sans Serif"/>
          <w:sz w:val="20"/>
          <w:szCs w:val="20"/>
          <w:lang w:val="sr-Cyrl-RS"/>
        </w:rPr>
        <w:t xml:space="preserve"> Pacijenti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odnosno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uslovom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farmaceutski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oblik</w:t>
      </w:r>
      <w:r>
        <w:rPr>
          <w:rFonts w:ascii="Microsoft Sans Serif" w:hAnsi="Microsoft Sans Serif" w:eastAsia="Calibri" w:cs="Microsoft Sans Serif"/>
          <w:sz w:val="20"/>
          <w:szCs w:val="20"/>
          <w:lang w:val="sr-Cyrl-RS"/>
        </w:rPr>
        <w:t>.</w:t>
      </w:r>
    </w:p>
    <w:p w14:paraId="11CEE5A3">
      <w:pPr>
        <w:widowControl w:val="0"/>
        <w:tabs>
          <w:tab w:val="clear" w:pos="284"/>
        </w:tabs>
        <w:rPr>
          <w:rFonts w:ascii="Microsoft Sans Serif" w:hAnsi="Microsoft Sans Serif" w:eastAsia="Calibri" w:cs="Microsoft Sans Serif"/>
          <w:sz w:val="20"/>
          <w:szCs w:val="20"/>
          <w:lang w:val="sr-Cyrl-RS"/>
        </w:rPr>
      </w:pPr>
    </w:p>
    <w:p w14:paraId="0726C9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prikazana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1.</w:t>
      </w:r>
    </w:p>
    <w:p w14:paraId="761AAEE5">
      <w:pPr>
        <w:widowControl w:val="0"/>
        <w:tabs>
          <w:tab w:val="clear" w:pos="284"/>
        </w:tabs>
        <w:rPr>
          <w:rFonts w:ascii="Microsoft Sans Serif" w:hAnsi="Microsoft Sans Serif" w:eastAsia="Calibri" w:cs="Microsoft Sans Serif"/>
          <w:sz w:val="20"/>
          <w:szCs w:val="20"/>
          <w:lang w:val="sr-Cyrl-RS"/>
        </w:rPr>
      </w:pPr>
    </w:p>
    <w:p w14:paraId="1019772E">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rPr>
        <w:t>Tabela</w:t>
      </w:r>
      <w:r>
        <w:rPr>
          <w:rFonts w:ascii="Microsoft Sans Serif" w:hAnsi="Microsoft Sans Serif" w:eastAsia="Calibri" w:cs="Microsoft Sans Serif"/>
          <w:b/>
          <w:sz w:val="20"/>
          <w:szCs w:val="20"/>
          <w:lang w:val="sr-Cyrl-RS"/>
        </w:rPr>
        <w:t xml:space="preserve"> 1: </w:t>
      </w:r>
      <w:r>
        <w:rPr>
          <w:rFonts w:ascii="Microsoft Sans Serif" w:hAnsi="Microsoft Sans Serif" w:eastAsia="Calibri" w:cs="Microsoft Sans Serif"/>
          <w:b/>
          <w:sz w:val="20"/>
          <w:szCs w:val="20"/>
        </w:rPr>
        <w:t>Doza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Nodriga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tableta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pedijatrijske</w:t>
      </w:r>
      <w:r>
        <w:rPr>
          <w:rFonts w:ascii="Microsoft Sans Serif" w:hAnsi="Microsoft Sans Serif" w:eastAsia="Calibri" w:cs="Microsoft Sans Serif"/>
          <w:b/>
          <w:sz w:val="20"/>
          <w:szCs w:val="20"/>
          <w:lang w:val="sr-Cyrl-RS"/>
        </w:rPr>
        <w:t xml:space="preserve"> pacijente </w:t>
      </w:r>
      <w:r>
        <w:rPr>
          <w:rFonts w:ascii="Microsoft Sans Serif" w:hAnsi="Microsoft Sans Serif" w:eastAsia="Calibri" w:cs="Microsoft Sans Serif"/>
          <w:b/>
          <w:sz w:val="20"/>
          <w:szCs w:val="20"/>
        </w:rPr>
        <w:t>s</w:t>
      </w:r>
      <w:r>
        <w:rPr>
          <w:rFonts w:ascii="Microsoft Sans Serif" w:hAnsi="Microsoft Sans Serif" w:eastAsia="Calibri" w:cs="Microsoft Sans Serif"/>
          <w:b/>
          <w:sz w:val="20"/>
          <w:szCs w:val="20"/>
          <w:lang w:val="sr-Cyrl-RS"/>
        </w:rPr>
        <w:t xml:space="preserve">a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HML</w:t>
      </w:r>
      <w:r>
        <w:rPr>
          <w:rFonts w:ascii="Microsoft Sans Serif" w:hAnsi="Microsoft Sans Serif" w:eastAsia="Calibri" w:cs="Microsoft Sans Serif"/>
          <w:b/>
          <w:sz w:val="20"/>
          <w:szCs w:val="20"/>
          <w:lang w:val="sr-Cyrl-RS"/>
        </w:rPr>
        <w:t>-</w:t>
      </w:r>
      <w:r>
        <w:rPr>
          <w:rFonts w:ascii="Microsoft Sans Serif" w:hAnsi="Microsoft Sans Serif" w:eastAsia="Calibri" w:cs="Microsoft Sans Serif"/>
          <w:b/>
          <w:sz w:val="20"/>
          <w:szCs w:val="20"/>
        </w:rPr>
        <w:t>HF</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ili</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ALL</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71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bottom w:val="single" w:color="auto" w:sz="2" w:space="0"/>
            </w:tcBorders>
          </w:tcPr>
          <w:p w14:paraId="3BFDD270">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Tjelesna masa</w:t>
            </w:r>
            <w:r>
              <w:rPr>
                <w:rFonts w:ascii="Microsoft Sans Serif" w:hAnsi="Microsoft Sans Serif" w:eastAsia="Calibri" w:cs="Microsoft Sans Serif"/>
                <w:b/>
                <w:sz w:val="20"/>
                <w:szCs w:val="20"/>
              </w:rPr>
              <w:t xml:space="preserve"> (kg)</w:t>
            </w:r>
            <w:r>
              <w:rPr>
                <w:rFonts w:ascii="Microsoft Sans Serif" w:hAnsi="Microsoft Sans Serif" w:eastAsia="Calibri" w:cs="Microsoft Sans Serif"/>
                <w:b/>
                <w:sz w:val="20"/>
                <w:szCs w:val="20"/>
                <w:vertAlign w:val="superscript"/>
              </w:rPr>
              <w:t>a</w:t>
            </w:r>
          </w:p>
        </w:tc>
        <w:tc>
          <w:tcPr>
            <w:tcW w:w="4675" w:type="dxa"/>
            <w:tcBorders>
              <w:top w:val="single" w:color="auto" w:sz="2" w:space="0"/>
              <w:bottom w:val="single" w:color="auto" w:sz="2" w:space="0"/>
            </w:tcBorders>
          </w:tcPr>
          <w:p w14:paraId="137EEB68">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Dnevna doza</w:t>
            </w:r>
            <w:r>
              <w:rPr>
                <w:rFonts w:ascii="Microsoft Sans Serif" w:hAnsi="Microsoft Sans Serif" w:eastAsia="Calibri" w:cs="Microsoft Sans Serif"/>
                <w:b/>
                <w:sz w:val="20"/>
                <w:szCs w:val="20"/>
              </w:rPr>
              <w:t xml:space="preserve"> (mg)</w:t>
            </w:r>
          </w:p>
        </w:tc>
      </w:tr>
      <w:tr w14:paraId="3511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tcBorders>
          </w:tcPr>
          <w:p w14:paraId="7EB4B982">
            <w:pPr>
              <w:widowControl w:val="0"/>
              <w:tabs>
                <w:tab w:val="left" w:pos="1200"/>
                <w:tab w:val="left" w:pos="60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 10 do manje od 20 kg</w:t>
            </w:r>
          </w:p>
        </w:tc>
        <w:tc>
          <w:tcPr>
            <w:tcW w:w="4675" w:type="dxa"/>
            <w:tcBorders>
              <w:top w:val="single" w:color="auto" w:sz="2" w:space="0"/>
            </w:tcBorders>
          </w:tcPr>
          <w:p w14:paraId="763D9F31">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40 mg</w:t>
            </w:r>
          </w:p>
        </w:tc>
      </w:tr>
      <w:tr w14:paraId="0C7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C570655">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20 do manje od 30 kg</w:t>
            </w:r>
          </w:p>
        </w:tc>
        <w:tc>
          <w:tcPr>
            <w:tcW w:w="4675" w:type="dxa"/>
          </w:tcPr>
          <w:p w14:paraId="619AD8DF">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mg</w:t>
            </w:r>
          </w:p>
        </w:tc>
      </w:tr>
      <w:tr w14:paraId="3ED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8DA1DEE">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30 do manje od 45 kg</w:t>
            </w:r>
          </w:p>
        </w:tc>
        <w:tc>
          <w:tcPr>
            <w:tcW w:w="4675" w:type="dxa"/>
          </w:tcPr>
          <w:p w14:paraId="62BB19BC">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70 mg</w:t>
            </w:r>
          </w:p>
        </w:tc>
      </w:tr>
      <w:tr w14:paraId="551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bottom w:val="single" w:color="auto" w:sz="2" w:space="0"/>
            </w:tcBorders>
          </w:tcPr>
          <w:p w14:paraId="62A2610D">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najmanje 45 kg</w:t>
            </w:r>
          </w:p>
        </w:tc>
        <w:tc>
          <w:tcPr>
            <w:tcW w:w="4675" w:type="dxa"/>
            <w:tcBorders>
              <w:bottom w:val="single" w:color="auto" w:sz="2" w:space="0"/>
            </w:tcBorders>
          </w:tcPr>
          <w:p w14:paraId="0A7211A8">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100 mg</w:t>
            </w:r>
          </w:p>
        </w:tc>
      </w:tr>
    </w:tbl>
    <w:p w14:paraId="32920B2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Tableta se ne preporučuje za pacijente tjelesne mase ispod 10 kg; </w:t>
      </w:r>
      <w:r>
        <w:rPr>
          <w:rFonts w:ascii="Microsoft Sans Serif" w:hAnsi="Microsoft Sans Serif" w:eastAsia="Calibri" w:cs="Microsoft Sans Serif"/>
          <w:sz w:val="20"/>
          <w:szCs w:val="20"/>
          <w:lang w:val="sr-Cyrl-RS"/>
        </w:rPr>
        <w:t>kod tih pacijenata</w:t>
      </w:r>
      <w:r>
        <w:rPr>
          <w:rFonts w:ascii="Microsoft Sans Serif" w:hAnsi="Microsoft Sans Serif" w:eastAsia="Calibri" w:cs="Microsoft Sans Serif"/>
          <w:sz w:val="20"/>
          <w:szCs w:val="20"/>
        </w:rPr>
        <w:t xml:space="preserve"> treba koristiti prašak za 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p>
    <w:p w14:paraId="27C1C150">
      <w:pPr>
        <w:widowControl w:val="0"/>
        <w:tabs>
          <w:tab w:val="clear" w:pos="284"/>
        </w:tabs>
        <w:rPr>
          <w:rFonts w:ascii="Microsoft Sans Serif" w:hAnsi="Microsoft Sans Serif" w:eastAsia="Calibri" w:cs="Microsoft Sans Serif"/>
          <w:sz w:val="20"/>
          <w:szCs w:val="20"/>
        </w:rPr>
      </w:pPr>
    </w:p>
    <w:p w14:paraId="71729C8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Trajanje liječenja</w:t>
      </w:r>
    </w:p>
    <w:p w14:paraId="7137082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kliničkim ispitivanjima liječenje dasatinibom kod odraslih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HML-HF, u fazi ubrzanja, mijeloidnoj ili limfoidnoj blast fazi (uznapredovala faza) HML ili Ph+ ALL i pedijatrijskih pacijenata sa Ph+ HML-HF nastavilo </w:t>
      </w:r>
      <w:r>
        <w:rPr>
          <w:rFonts w:ascii="Microsoft Sans Serif" w:hAnsi="Microsoft Sans Serif" w:eastAsia="Calibri" w:cs="Microsoft Sans Serif"/>
          <w:sz w:val="20"/>
          <w:szCs w:val="20"/>
          <w:lang w:val="mk-MK"/>
        </w:rPr>
        <w:t xml:space="preserve">se </w:t>
      </w:r>
      <w:r>
        <w:rPr>
          <w:rFonts w:ascii="Microsoft Sans Serif" w:hAnsi="Microsoft Sans Serif" w:eastAsia="Calibri" w:cs="Microsoft Sans Serif"/>
          <w:sz w:val="20"/>
          <w:szCs w:val="20"/>
        </w:rPr>
        <w:t>do napredovanja bolesti ili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razvoja nepodnošlјivosti lijeka kod pacijenata. Uticaj prekida liječenja na dugoročan ishod 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postizanja citogenetskog ili molekularnog odgovora [uklјučujući potpun citogenetski odgovor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(engl. </w:t>
      </w:r>
      <w:r>
        <w:rPr>
          <w:rFonts w:ascii="Microsoft Sans Serif" w:hAnsi="Microsoft Sans Serif" w:eastAsia="Calibri" w:cs="Microsoft Sans Serif"/>
          <w:i/>
          <w:sz w:val="20"/>
          <w:szCs w:val="20"/>
        </w:rPr>
        <w:t>complete cytogenetic response (CCyR)</w:t>
      </w:r>
      <w:r>
        <w:rPr>
          <w:rFonts w:ascii="Microsoft Sans Serif" w:hAnsi="Microsoft Sans Serif" w:eastAsia="Calibri" w:cs="Microsoft Sans Serif"/>
          <w:sz w:val="20"/>
          <w:szCs w:val="20"/>
        </w:rPr>
        <w:t xml:space="preserve">), značajan molekularni odgovor (engl. </w:t>
      </w:r>
      <w:r>
        <w:rPr>
          <w:rFonts w:ascii="Microsoft Sans Serif" w:hAnsi="Microsoft Sans Serif" w:eastAsia="Calibri" w:cs="Microsoft Sans Serif"/>
          <w:i/>
          <w:sz w:val="20"/>
          <w:szCs w:val="20"/>
        </w:rPr>
        <w:t>major molecular response (MMR</w:t>
      </w:r>
      <w:r>
        <w:rPr>
          <w:rFonts w:ascii="Microsoft Sans Serif" w:hAnsi="Microsoft Sans Serif" w:eastAsia="Calibri" w:cs="Microsoft Sans Serif"/>
          <w:i/>
          <w:sz w:val="20"/>
          <w:szCs w:val="20"/>
          <w:lang w:val="sr-Cyrl-RS"/>
        </w:rPr>
        <w:t>)</w:t>
      </w:r>
      <w:r>
        <w:rPr>
          <w:rFonts w:ascii="Microsoft Sans Serif" w:hAnsi="Microsoft Sans Serif" w:eastAsia="Calibri" w:cs="Microsoft Sans Serif"/>
          <w:sz w:val="20"/>
          <w:szCs w:val="20"/>
        </w:rPr>
        <w:t>) i MR4,5] nije ispitivan.</w:t>
      </w:r>
    </w:p>
    <w:p w14:paraId="4D1B7CB7">
      <w:pPr>
        <w:widowControl w:val="0"/>
        <w:tabs>
          <w:tab w:val="clear" w:pos="284"/>
        </w:tabs>
        <w:rPr>
          <w:rFonts w:ascii="Microsoft Sans Serif" w:hAnsi="Microsoft Sans Serif" w:eastAsia="Calibri" w:cs="Microsoft Sans Serif"/>
          <w:sz w:val="20"/>
          <w:szCs w:val="20"/>
        </w:rPr>
      </w:pPr>
    </w:p>
    <w:p w14:paraId="41FA13E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 kliničkim ispitivanjima dasatinib</w:t>
      </w:r>
      <w:r>
        <w:rPr>
          <w:rFonts w:ascii="Microsoft Sans Serif" w:hAnsi="Microsoft Sans Serif" w:eastAsia="Calibri" w:cs="Microsoft Sans Serif"/>
          <w:sz w:val="20"/>
          <w:szCs w:val="20"/>
          <w:lang w:val="sr-Cyrl-RS"/>
        </w:rPr>
        <w:t xml:space="preserve"> se</w:t>
      </w:r>
      <w:r>
        <w:rPr>
          <w:rFonts w:ascii="Microsoft Sans Serif" w:hAnsi="Microsoft Sans Serif" w:eastAsia="Calibri" w:cs="Microsoft Sans Serif"/>
          <w:sz w:val="20"/>
          <w:szCs w:val="20"/>
        </w:rPr>
        <w:t xml:space="preserve">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primjenjivao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 xml:space="preserve">kontinuirano, kao dodatak uzastopnim blokovima osnovne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emioterapije, tokom najviše dvije godine.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podvrgnu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transplantiranju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nih</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elija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w:t>
      </w:r>
      <w:r>
        <w:rPr>
          <w:rFonts w:ascii="Microsoft Sans Serif" w:hAnsi="Microsoft Sans Serif" w:eastAsia="Calibri" w:cs="Microsoft Sans Serif"/>
          <w:sz w:val="20"/>
          <w:szCs w:val="20"/>
        </w:rPr>
        <w:t>godinu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w:t>
      </w:r>
      <w:r>
        <w:rPr>
          <w:rFonts w:ascii="Microsoft Sans Serif" w:hAnsi="Microsoft Sans Serif" w:eastAsia="Calibri" w:cs="Microsoft Sans Serif"/>
          <w:sz w:val="20"/>
          <w:szCs w:val="20"/>
          <w:lang w:val="sr-Cyrl-RS"/>
        </w:rPr>
        <w:t>.</w:t>
      </w:r>
    </w:p>
    <w:p w14:paraId="151034F1">
      <w:pPr>
        <w:widowControl w:val="0"/>
        <w:tabs>
          <w:tab w:val="clear" w:pos="284"/>
        </w:tabs>
        <w:rPr>
          <w:rFonts w:ascii="Microsoft Sans Serif" w:hAnsi="Microsoft Sans Serif" w:eastAsia="Calibri" w:cs="Microsoft Sans Serif"/>
          <w:sz w:val="20"/>
          <w:szCs w:val="20"/>
          <w:lang w:val="sr-Cyrl-RS"/>
        </w:rPr>
      </w:pPr>
    </w:p>
    <w:p w14:paraId="31DB9BC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Da bi se postigla preporučena doza, lijek Nodriga je dostupan u obliku </w:t>
      </w:r>
      <w:r>
        <w:rPr>
          <w:rFonts w:ascii="Microsoft Sans Serif" w:hAnsi="Microsoft Sans Serif" w:eastAsia="Calibri" w:cs="Microsoft Sans Serif"/>
          <w:sz w:val="20"/>
          <w:szCs w:val="20"/>
          <w:lang w:val="sr-Cyrl-RS"/>
        </w:rPr>
        <w:t>film</w:t>
      </w:r>
      <w:r>
        <w:rPr>
          <w:rFonts w:ascii="Microsoft Sans Serif" w:hAnsi="Microsoft Sans Serif" w:eastAsia="Calibri" w:cs="Microsoft Sans Serif"/>
          <w:sz w:val="20"/>
          <w:szCs w:val="20"/>
          <w:lang w:val="sv-SE"/>
        </w:rPr>
        <w:t xml:space="preserve"> tableta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20 mg, 50 mg, 70 mg, 100 mg i 140 mg. Preporučuje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se povećanje ili smanjenje doze na </w:t>
      </w:r>
      <w:r>
        <w:rPr>
          <w:rFonts w:ascii="Microsoft Sans Serif" w:hAnsi="Microsoft Sans Serif" w:eastAsia="Calibri" w:cs="Microsoft Sans Serif"/>
          <w:sz w:val="20"/>
          <w:szCs w:val="20"/>
          <w:lang w:val="sr-Cyrl-RS"/>
        </w:rPr>
        <w:t>osnovu</w:t>
      </w:r>
      <w:r>
        <w:rPr>
          <w:rFonts w:ascii="Microsoft Sans Serif" w:hAnsi="Microsoft Sans Serif" w:eastAsia="Calibri" w:cs="Microsoft Sans Serif"/>
          <w:sz w:val="20"/>
          <w:szCs w:val="20"/>
          <w:lang w:val="sv-SE"/>
        </w:rPr>
        <w:t xml:space="preserve"> kliničkog odgovora pacijenata i podnošl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ivosti lijeka.</w:t>
      </w:r>
    </w:p>
    <w:p w14:paraId="1F1FFF1F">
      <w:pPr>
        <w:widowControl w:val="0"/>
        <w:tabs>
          <w:tab w:val="clear" w:pos="284"/>
        </w:tabs>
        <w:rPr>
          <w:rFonts w:ascii="Microsoft Sans Serif" w:hAnsi="Microsoft Sans Serif" w:eastAsia="Calibri" w:cs="Microsoft Sans Serif"/>
          <w:sz w:val="20"/>
          <w:szCs w:val="20"/>
          <w:lang w:val="sv-SE"/>
        </w:rPr>
      </w:pPr>
    </w:p>
    <w:p w14:paraId="298B18BD">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Povećanje doze</w:t>
      </w:r>
    </w:p>
    <w:p w14:paraId="4743D0F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kliničkim ispitivanjima kod odraslih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HML i Ph+ ALL povećanje doze na 140 mg jednom dnevno (hronična faza HML) ili na 180 mg jednom dnevno (uznapredovala faza HML ili Ph+ALL) bilo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lang w:val="sv-SE"/>
        </w:rPr>
        <w:t>dopušteno kod pacijenata koji nisu postigli hematološki ili citogenetski odgovor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preporučenu početnu dozu.</w:t>
      </w:r>
    </w:p>
    <w:p w14:paraId="60574691">
      <w:pPr>
        <w:widowControl w:val="0"/>
        <w:tabs>
          <w:tab w:val="clear" w:pos="284"/>
        </w:tabs>
        <w:rPr>
          <w:rFonts w:ascii="Microsoft Sans Serif" w:hAnsi="Microsoft Sans Serif" w:eastAsia="Calibri" w:cs="Microsoft Sans Serif"/>
          <w:sz w:val="20"/>
          <w:szCs w:val="20"/>
          <w:lang w:val="sv-SE"/>
        </w:rPr>
      </w:pPr>
    </w:p>
    <w:p w14:paraId="080B694A">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Sljedeća povećanja doza prikazana u Tabeli 2 preporučuje se za pedijatrijske pacijente sa Ph+ HML-HF koji ne postignu hematološki, citogenetski i molekularni odgovor u preporučenim vremenskim tačkama, prema trenutno važećim terapijskim smernicama, i koji podnose liječenje.</w:t>
      </w:r>
    </w:p>
    <w:p w14:paraId="5D9E3619">
      <w:pPr>
        <w:widowControl w:val="0"/>
        <w:tabs>
          <w:tab w:val="clear" w:pos="284"/>
        </w:tabs>
        <w:rPr>
          <w:rFonts w:ascii="Microsoft Sans Serif" w:hAnsi="Microsoft Sans Serif" w:eastAsia="Calibri" w:cs="Microsoft Sans Serif"/>
          <w:sz w:val="20"/>
          <w:szCs w:val="20"/>
          <w:lang w:val="sv-SE"/>
        </w:rPr>
      </w:pPr>
    </w:p>
    <w:p w14:paraId="5D7A40FB">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b/>
          <w:sz w:val="20"/>
          <w:szCs w:val="20"/>
          <w:lang w:val="sv-SE"/>
        </w:rPr>
        <w:t>Tabela 2: Povećanje doze za pedijatrijsku populaciju sa Ph+ HML u hroničnoj fazi</w:t>
      </w:r>
    </w:p>
    <w:tbl>
      <w:tblPr>
        <w:tblStyle w:val="12"/>
        <w:tblW w:w="0" w:type="auto"/>
        <w:tblInd w:w="0" w:type="dxa"/>
        <w:tblLayout w:type="fixed"/>
        <w:tblCellMar>
          <w:top w:w="0" w:type="dxa"/>
          <w:left w:w="0" w:type="dxa"/>
          <w:bottom w:w="0" w:type="dxa"/>
          <w:right w:w="0" w:type="dxa"/>
        </w:tblCellMar>
      </w:tblPr>
      <w:tblGrid>
        <w:gridCol w:w="2387"/>
        <w:gridCol w:w="3150"/>
        <w:gridCol w:w="3102"/>
      </w:tblGrid>
      <w:tr w14:paraId="2F1BBA78">
        <w:tblPrEx>
          <w:tblCellMar>
            <w:top w:w="0" w:type="dxa"/>
            <w:left w:w="0" w:type="dxa"/>
            <w:bottom w:w="0" w:type="dxa"/>
            <w:right w:w="0" w:type="dxa"/>
          </w:tblCellMar>
        </w:tblPrEx>
        <w:trPr>
          <w:trHeight w:val="344" w:hRule="exact"/>
        </w:trPr>
        <w:tc>
          <w:tcPr>
            <w:tcW w:w="8639" w:type="dxa"/>
            <w:gridSpan w:val="3"/>
            <w:tcBorders>
              <w:top w:val="single" w:color="000000" w:sz="4" w:space="0"/>
              <w:left w:val="nil"/>
              <w:bottom w:val="single" w:color="000000" w:sz="4" w:space="0"/>
              <w:right w:val="nil"/>
            </w:tcBorders>
          </w:tcPr>
          <w:p w14:paraId="4E18F92B">
            <w:pPr>
              <w:spacing w:before="6"/>
              <w:jc w:val="center"/>
              <w:rPr>
                <w:rFonts w:ascii="Microsoft Sans Serif" w:hAnsi="Microsoft Sans Serif" w:cs="Microsoft Sans Serif"/>
                <w:b/>
                <w:bCs/>
                <w:spacing w:val="-1"/>
                <w:w w:val="103"/>
                <w:sz w:val="20"/>
                <w:szCs w:val="20"/>
              </w:rPr>
            </w:pPr>
            <w:r>
              <w:rPr>
                <w:rFonts w:ascii="Microsoft Sans Serif" w:hAnsi="Microsoft Sans Serif" w:cs="Microsoft Sans Serif"/>
                <w:b/>
                <w:bCs/>
                <w:position w:val="-1"/>
                <w:sz w:val="20"/>
                <w:szCs w:val="20"/>
              </w:rPr>
              <w:t>Doza (maksimalna dnevna doza)</w:t>
            </w:r>
          </w:p>
        </w:tc>
      </w:tr>
      <w:tr w14:paraId="07E89B85">
        <w:tblPrEx>
          <w:tblCellMar>
            <w:top w:w="0" w:type="dxa"/>
            <w:left w:w="0" w:type="dxa"/>
            <w:bottom w:w="0" w:type="dxa"/>
            <w:right w:w="0" w:type="dxa"/>
          </w:tblCellMar>
        </w:tblPrEx>
        <w:trPr>
          <w:trHeight w:val="344" w:hRule="exact"/>
        </w:trPr>
        <w:tc>
          <w:tcPr>
            <w:tcW w:w="2387" w:type="dxa"/>
            <w:tcBorders>
              <w:top w:val="single" w:color="000000" w:sz="4" w:space="0"/>
              <w:left w:val="nil"/>
              <w:bottom w:val="single" w:color="000000" w:sz="4" w:space="0"/>
              <w:right w:val="nil"/>
            </w:tcBorders>
          </w:tcPr>
          <w:p w14:paraId="55CD4AE2">
            <w:pPr>
              <w:rPr>
                <w:rFonts w:ascii="Microsoft Sans Serif" w:hAnsi="Microsoft Sans Serif" w:cs="Microsoft Sans Serif"/>
                <w:sz w:val="20"/>
                <w:szCs w:val="20"/>
              </w:rPr>
            </w:pPr>
          </w:p>
        </w:tc>
        <w:tc>
          <w:tcPr>
            <w:tcW w:w="3150" w:type="dxa"/>
            <w:tcBorders>
              <w:top w:val="single" w:color="000000" w:sz="4" w:space="0"/>
              <w:left w:val="nil"/>
              <w:bottom w:val="single" w:color="000000" w:sz="4" w:space="0"/>
              <w:right w:val="nil"/>
            </w:tcBorders>
          </w:tcPr>
          <w:p w14:paraId="3FBEB045">
            <w:pPr>
              <w:spacing w:before="6"/>
              <w:rPr>
                <w:rFonts w:ascii="Microsoft Sans Serif" w:hAnsi="Microsoft Sans Serif" w:cs="Microsoft Sans Serif"/>
                <w:sz w:val="20"/>
                <w:szCs w:val="20"/>
              </w:rPr>
            </w:pPr>
            <w:r>
              <w:rPr>
                <w:rFonts w:ascii="Microsoft Sans Serif" w:hAnsi="Microsoft Sans Serif" w:cs="Microsoft Sans Serif"/>
                <w:b/>
                <w:bCs/>
                <w:sz w:val="20"/>
                <w:szCs w:val="20"/>
              </w:rPr>
              <w:t>Početna doza</w:t>
            </w:r>
          </w:p>
        </w:tc>
        <w:tc>
          <w:tcPr>
            <w:tcW w:w="3102" w:type="dxa"/>
            <w:tcBorders>
              <w:top w:val="single" w:color="000000" w:sz="4" w:space="0"/>
              <w:left w:val="nil"/>
              <w:bottom w:val="single" w:color="000000" w:sz="4" w:space="0"/>
              <w:right w:val="nil"/>
            </w:tcBorders>
          </w:tcPr>
          <w:p w14:paraId="117D1DB0">
            <w:pPr>
              <w:spacing w:before="6"/>
              <w:rPr>
                <w:rFonts w:ascii="Microsoft Sans Serif" w:hAnsi="Microsoft Sans Serif" w:cs="Microsoft Sans Serif"/>
                <w:sz w:val="20"/>
                <w:szCs w:val="20"/>
              </w:rPr>
            </w:pPr>
            <w:r>
              <w:rPr>
                <w:rFonts w:ascii="Microsoft Sans Serif" w:hAnsi="Microsoft Sans Serif" w:cs="Microsoft Sans Serif"/>
                <w:b/>
                <w:bCs/>
                <w:spacing w:val="-1"/>
                <w:w w:val="103"/>
                <w:sz w:val="20"/>
                <w:szCs w:val="20"/>
              </w:rPr>
              <w:t>Povećanje doze</w:t>
            </w:r>
          </w:p>
        </w:tc>
      </w:tr>
      <w:tr w14:paraId="4572BBDF">
        <w:tblPrEx>
          <w:tblCellMar>
            <w:top w:w="0" w:type="dxa"/>
            <w:left w:w="0" w:type="dxa"/>
            <w:bottom w:w="0" w:type="dxa"/>
            <w:right w:w="0" w:type="dxa"/>
          </w:tblCellMar>
        </w:tblPrEx>
        <w:trPr>
          <w:trHeight w:val="1032" w:hRule="exact"/>
        </w:trPr>
        <w:tc>
          <w:tcPr>
            <w:tcW w:w="2387" w:type="dxa"/>
            <w:tcBorders>
              <w:top w:val="single" w:color="000000" w:sz="4" w:space="0"/>
              <w:left w:val="nil"/>
              <w:bottom w:val="single" w:color="000000" w:sz="4" w:space="0"/>
              <w:right w:val="nil"/>
            </w:tcBorders>
          </w:tcPr>
          <w:p w14:paraId="01A2E1BC">
            <w:pPr>
              <w:spacing w:before="6"/>
              <w:rPr>
                <w:rFonts w:ascii="Microsoft Sans Serif" w:hAnsi="Microsoft Sans Serif" w:cs="Microsoft Sans Serif"/>
                <w:sz w:val="20"/>
                <w:szCs w:val="20"/>
              </w:rPr>
            </w:pPr>
            <w:r>
              <w:rPr>
                <w:rFonts w:ascii="Microsoft Sans Serif" w:hAnsi="Microsoft Sans Serif" w:cs="Microsoft Sans Serif"/>
                <w:b/>
                <w:bCs/>
                <w:w w:val="103"/>
                <w:sz w:val="20"/>
                <w:szCs w:val="20"/>
              </w:rPr>
              <w:t>Tablete</w:t>
            </w:r>
          </w:p>
        </w:tc>
        <w:tc>
          <w:tcPr>
            <w:tcW w:w="3150" w:type="dxa"/>
            <w:tcBorders>
              <w:top w:val="single" w:color="000000" w:sz="4" w:space="0"/>
              <w:left w:val="nil"/>
              <w:bottom w:val="single" w:color="000000" w:sz="4" w:space="0"/>
              <w:right w:val="nil"/>
            </w:tcBorders>
          </w:tcPr>
          <w:p w14:paraId="60BAA769">
            <w:pPr>
              <w:spacing w:before="5"/>
              <w:rPr>
                <w:rFonts w:ascii="Microsoft Sans Serif" w:hAnsi="Microsoft Sans Serif" w:cs="Microsoft Sans Serif"/>
                <w:sz w:val="20"/>
                <w:szCs w:val="20"/>
              </w:rPr>
            </w:pPr>
            <w:r>
              <w:rPr>
                <w:rFonts w:ascii="Microsoft Sans Serif" w:hAnsi="Microsoft Sans Serif" w:cs="Microsoft Sans Serif"/>
                <w:sz w:val="20"/>
                <w:szCs w:val="20"/>
              </w:rPr>
              <w:t>40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73B5573C">
            <w:pPr>
              <w:spacing w:before="9"/>
              <w:rPr>
                <w:rFonts w:ascii="Microsoft Sans Serif" w:hAnsi="Microsoft Sans Serif" w:cs="Microsoft Sans Serif"/>
                <w:sz w:val="20"/>
                <w:szCs w:val="20"/>
              </w:rPr>
            </w:pPr>
            <w:r>
              <w:rPr>
                <w:rFonts w:ascii="Microsoft Sans Serif" w:hAnsi="Microsoft Sans Serif" w:cs="Microsoft Sans Serif"/>
                <w:sz w:val="20"/>
                <w:szCs w:val="20"/>
              </w:rPr>
              <w:t>60</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w w:val="103"/>
                <w:sz w:val="20"/>
                <w:szCs w:val="20"/>
              </w:rPr>
              <w:t>m</w:t>
            </w:r>
            <w:r>
              <w:rPr>
                <w:rFonts w:ascii="Microsoft Sans Serif" w:hAnsi="Microsoft Sans Serif" w:cs="Microsoft Sans Serif"/>
                <w:w w:val="103"/>
                <w:sz w:val="20"/>
                <w:szCs w:val="20"/>
              </w:rPr>
              <w:t>g</w:t>
            </w:r>
          </w:p>
          <w:p w14:paraId="0EE09A47">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598B4479">
            <w:pPr>
              <w:spacing w:before="7"/>
              <w:rPr>
                <w:rFonts w:ascii="Microsoft Sans Serif" w:hAnsi="Microsoft Sans Serif" w:cs="Microsoft Sans Serif"/>
                <w:sz w:val="20"/>
                <w:szCs w:val="20"/>
              </w:rPr>
            </w:pPr>
            <w:r>
              <w:rPr>
                <w:rFonts w:ascii="Microsoft Sans Serif" w:hAnsi="Microsoft Sans Serif" w:cs="Microsoft Sans Serif"/>
                <w:w w:val="103"/>
                <w:sz w:val="20"/>
                <w:szCs w:val="20"/>
              </w:rPr>
              <w:t>100 mg</w:t>
            </w:r>
          </w:p>
        </w:tc>
        <w:tc>
          <w:tcPr>
            <w:tcW w:w="3102" w:type="dxa"/>
            <w:tcBorders>
              <w:top w:val="single" w:color="000000" w:sz="4" w:space="0"/>
              <w:left w:val="nil"/>
              <w:bottom w:val="single" w:color="000000" w:sz="4" w:space="0"/>
              <w:right w:val="nil"/>
            </w:tcBorders>
          </w:tcPr>
          <w:p w14:paraId="4ECEB604">
            <w:pPr>
              <w:spacing w:before="5"/>
              <w:rPr>
                <w:rFonts w:ascii="Microsoft Sans Serif" w:hAnsi="Microsoft Sans Serif" w:cs="Microsoft Sans Serif"/>
                <w:sz w:val="20"/>
                <w:szCs w:val="20"/>
              </w:rPr>
            </w:pPr>
            <w:r>
              <w:rPr>
                <w:rFonts w:ascii="Microsoft Sans Serif" w:hAnsi="Microsoft Sans Serif" w:cs="Microsoft Sans Serif"/>
                <w:sz w:val="20"/>
                <w:szCs w:val="20"/>
              </w:rPr>
              <w:t>50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B298C0B">
            <w:pPr>
              <w:spacing w:before="9"/>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33EE84F9">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90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0700B6A">
            <w:pPr>
              <w:spacing w:before="7"/>
              <w:rPr>
                <w:rFonts w:ascii="Microsoft Sans Serif" w:hAnsi="Microsoft Sans Serif" w:cs="Microsoft Sans Serif"/>
                <w:w w:val="103"/>
                <w:sz w:val="20"/>
                <w:szCs w:val="20"/>
              </w:rPr>
            </w:pPr>
            <w:r>
              <w:rPr>
                <w:rFonts w:ascii="Microsoft Sans Serif" w:hAnsi="Microsoft Sans Serif" w:cs="Microsoft Sans Serif"/>
                <w:w w:val="103"/>
                <w:sz w:val="20"/>
                <w:szCs w:val="20"/>
              </w:rPr>
              <w:t>120 mg</w:t>
            </w:r>
          </w:p>
        </w:tc>
      </w:tr>
    </w:tbl>
    <w:p w14:paraId="6DF2F3C4">
      <w:pPr>
        <w:widowControl w:val="0"/>
        <w:tabs>
          <w:tab w:val="clear" w:pos="284"/>
        </w:tabs>
        <w:rPr>
          <w:rFonts w:ascii="Microsoft Sans Serif" w:hAnsi="Microsoft Sans Serif" w:eastAsia="Calibri" w:cs="Microsoft Sans Serif"/>
          <w:sz w:val="20"/>
          <w:szCs w:val="20"/>
          <w:lang w:val="sr-Cyrl-RS"/>
        </w:rPr>
      </w:pPr>
    </w:p>
    <w:p w14:paraId="38B64A6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w:t>
      </w:r>
    </w:p>
    <w:p w14:paraId="4450A9EE">
      <w:pPr>
        <w:widowControl w:val="0"/>
        <w:tabs>
          <w:tab w:val="clear" w:pos="284"/>
        </w:tabs>
        <w:rPr>
          <w:rFonts w:ascii="Microsoft Sans Serif" w:hAnsi="Microsoft Sans Serif" w:eastAsia="Calibri" w:cs="Microsoft Sans Serif"/>
          <w:sz w:val="20"/>
          <w:szCs w:val="20"/>
          <w:lang w:val="sr-Cyrl-RS"/>
        </w:rPr>
      </w:pPr>
    </w:p>
    <w:p w14:paraId="20BFAFCD">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Prilago</w:t>
      </w:r>
      <w:r>
        <w:rPr>
          <w:rFonts w:ascii="Microsoft Sans Serif" w:hAnsi="Microsoft Sans Serif" w:eastAsia="Calibri" w:cs="Microsoft Sans Serif"/>
          <w:sz w:val="20"/>
          <w:szCs w:val="20"/>
          <w:u w:val="single"/>
          <w:lang w:val="sr-Cyrl-RS"/>
        </w:rPr>
        <w:t>đ</w:t>
      </w:r>
      <w:r>
        <w:rPr>
          <w:rFonts w:ascii="Microsoft Sans Serif" w:hAnsi="Microsoft Sans Serif" w:eastAsia="Calibri" w:cs="Microsoft Sans Serif"/>
          <w:sz w:val="20"/>
          <w:szCs w:val="20"/>
          <w:u w:val="single"/>
        </w:rPr>
        <w:t>avanje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doze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lijeka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zbog</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enih</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reakcija</w:t>
      </w:r>
    </w:p>
    <w:p w14:paraId="74C80E9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Mijelosupresija</w:t>
      </w:r>
    </w:p>
    <w:p w14:paraId="2E067B1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w:t>
      </w:r>
      <w:r>
        <w:rPr>
          <w:rFonts w:ascii="Microsoft Sans Serif" w:hAnsi="Microsoft Sans Serif" w:eastAsia="Calibri" w:cs="Microsoft Sans Serif"/>
          <w:sz w:val="20"/>
          <w:szCs w:val="20"/>
          <w:lang w:val="sr-Cyrl-RS"/>
        </w:rPr>
        <w:t xml:space="preserve">om se upravlјala prekidom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mk-MK"/>
        </w:rPr>
        <w:t xml:space="preserve"> ukidanjem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Cyrl-RS"/>
        </w:rPr>
        <w:t xml:space="preserve">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eritrocita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w:t>
      </w:r>
    </w:p>
    <w:p w14:paraId="49ABD39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Hematopoetski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rezistentnom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mijelosupresijom</w:t>
      </w:r>
      <w:r>
        <w:rPr>
          <w:rFonts w:ascii="Microsoft Sans Serif" w:hAnsi="Microsoft Sans Serif" w:eastAsia="Calibri" w:cs="Microsoft Sans Serif"/>
          <w:sz w:val="20"/>
          <w:szCs w:val="20"/>
          <w:lang w:val="sr-Cyrl-RS"/>
        </w:rPr>
        <w:t>.</w:t>
      </w:r>
    </w:p>
    <w:p w14:paraId="5FE19D0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sumirane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navedene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zasebnom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odlomku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tabela</w:t>
      </w:r>
      <w:r>
        <w:rPr>
          <w:rFonts w:ascii="Microsoft Sans Serif" w:hAnsi="Microsoft Sans Serif" w:eastAsia="Calibri" w:cs="Microsoft Sans Serif"/>
          <w:sz w:val="20"/>
          <w:szCs w:val="20"/>
          <w:lang w:val="sr-Cyrl-RS"/>
        </w:rPr>
        <w:t>.</w:t>
      </w:r>
    </w:p>
    <w:p w14:paraId="1EA82AF6">
      <w:pPr>
        <w:widowControl w:val="0"/>
        <w:tabs>
          <w:tab w:val="left" w:pos="1300"/>
          <w:tab w:val="clear" w:pos="284"/>
        </w:tabs>
        <w:rPr>
          <w:rFonts w:ascii="Microsoft Sans Serif" w:hAnsi="Microsoft Sans Serif" w:cs="Microsoft Sans Serif"/>
          <w:b/>
          <w:bCs/>
          <w:sz w:val="20"/>
          <w:szCs w:val="20"/>
          <w:lang w:val="sr-Cyrl-RS"/>
        </w:rPr>
      </w:pPr>
    </w:p>
    <w:p w14:paraId="3484DE15">
      <w:pPr>
        <w:widowControl w:val="0"/>
        <w:tabs>
          <w:tab w:val="left" w:pos="1300"/>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3</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Prilago</w:t>
      </w:r>
      <w:r>
        <w:rPr>
          <w:rFonts w:ascii="Microsoft Sans Serif" w:hAnsi="Microsoft Sans Serif" w:cs="Microsoft Sans Serif"/>
          <w:b/>
          <w:sz w:val="20"/>
          <w:szCs w:val="20"/>
          <w:lang w:val="sr-Cyrl-RS"/>
        </w:rPr>
        <w:t>đ</w:t>
      </w:r>
      <w:r>
        <w:rPr>
          <w:rFonts w:ascii="Microsoft Sans Serif" w:hAnsi="Microsoft Sans Serif" w:cs="Microsoft Sans Serif"/>
          <w:b/>
          <w:sz w:val="20"/>
          <w:szCs w:val="20"/>
        </w:rPr>
        <w:t>avanje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doze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zbog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neutropenije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trombocitopenije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odraslih</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17"/>
        <w:gridCol w:w="4506"/>
      </w:tblGrid>
      <w:tr w14:paraId="47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29DB5637">
            <w:pPr>
              <w:widowControl w:val="0"/>
              <w:tabs>
                <w:tab w:val="left" w:pos="13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Odrasli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w:t>
            </w:r>
          </w:p>
        </w:tc>
        <w:tc>
          <w:tcPr>
            <w:tcW w:w="2517" w:type="dxa"/>
          </w:tcPr>
          <w:p w14:paraId="5E8745EF">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 xml:space="preserve">/l </w:t>
            </w:r>
            <w:r>
              <w:rPr>
                <w:rFonts w:ascii="Microsoft Sans Serif" w:hAnsi="Microsoft Sans Serif" w:eastAsia="Calibri" w:cs="Microsoft Sans Serif"/>
                <w:sz w:val="20"/>
                <w:szCs w:val="20"/>
                <w:lang w:val="hr-BA"/>
              </w:rPr>
              <w:t>i/ili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trombociti</w:t>
            </w:r>
            <w:r>
              <w:rPr>
                <w:rFonts w:ascii="Microsoft Sans Serif" w:hAnsi="Microsoft Sans Serif" w:eastAsia="Calibri" w:cs="Microsoft Sans Serif"/>
                <w:sz w:val="20"/>
                <w:szCs w:val="20"/>
                <w:lang w:val="sr-Cyrl-RS"/>
              </w:rPr>
              <w:t xml:space="preserve"> &lt; 50 </w:t>
            </w:r>
            <w:r>
              <w:rPr>
                <w:rFonts w:ascii="Microsoft Sans Serif" w:hAnsi="Microsoft Sans Serif" w:eastAsia="Calibri" w:cs="Microsoft Sans Serif"/>
                <w:sz w:val="20"/>
                <w:szCs w:val="20"/>
              </w:rPr>
              <w:t>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/l</w:t>
            </w:r>
          </w:p>
        </w:tc>
        <w:tc>
          <w:tcPr>
            <w:tcW w:w="4506" w:type="dxa"/>
          </w:tcPr>
          <w:p w14:paraId="2DAF1FB2">
            <w:pPr>
              <w:widowControl w:val="0"/>
              <w:tabs>
                <w:tab w:val="left" w:pos="1300"/>
                <w:tab w:val="clear" w:pos="284"/>
              </w:tabs>
              <w:contextualSpacing/>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1. Prekinuti terapiju dok ANC ne bude </w:t>
            </w:r>
            <w:r>
              <w:rPr>
                <w:rFonts w:ascii="Microsoft Sans Serif" w:hAnsi="Microsoft Sans Serif" w:eastAsia="Calibri" w:cs="Microsoft Sans Serif"/>
                <w:sz w:val="20"/>
                <w:szCs w:val="20"/>
                <w:lang w:val="sr-Cyrl-RS"/>
              </w:rPr>
              <w:t>≥ 1.0</w:t>
            </w:r>
            <w:r>
              <w:rPr>
                <w:rFonts w:ascii="Microsoft Sans Serif" w:hAnsi="Microsoft Sans Serif" w:eastAsia="Calibri" w:cs="Microsoft Sans Serif"/>
                <w:sz w:val="20"/>
                <w:szCs w:val="20"/>
                <w:lang w:val="fr-FR"/>
              </w:rPr>
              <w:t xml:space="preserve"> 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 xml:space="preserve">/l i trombociti </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hr-BA"/>
              </w:rPr>
              <w:t xml:space="preserve"> 50 </w:t>
            </w:r>
            <w:r>
              <w:rPr>
                <w:rFonts w:ascii="Microsoft Sans Serif" w:hAnsi="Microsoft Sans Serif" w:eastAsia="Calibri" w:cs="Microsoft Sans Serif"/>
                <w:sz w:val="20"/>
                <w:szCs w:val="20"/>
                <w:lang w:val="fr-FR"/>
              </w:rPr>
              <w:t>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/l</w:t>
            </w:r>
          </w:p>
          <w:p w14:paraId="4B40BDF6">
            <w:pPr>
              <w:widowControl w:val="0"/>
              <w:tabs>
                <w:tab w:val="left" w:pos="1300"/>
                <w:tab w:val="clear" w:pos="284"/>
              </w:tabs>
              <w:contextualSpacing/>
              <w:rPr>
                <w:rFonts w:ascii="Microsoft Sans Serif" w:hAnsi="Microsoft Sans Serif" w:eastAsia="Calibri" w:cs="Microsoft Sans Serif"/>
                <w:sz w:val="20"/>
                <w:szCs w:val="20"/>
                <w:lang w:val="fr-FR"/>
              </w:rPr>
            </w:pPr>
          </w:p>
          <w:p w14:paraId="2B8264D7">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2. Nastaviti liječenje dozom kojom se i započelo</w:t>
            </w:r>
          </w:p>
          <w:p w14:paraId="6EE5E01E">
            <w:pPr>
              <w:widowControl w:val="0"/>
              <w:tabs>
                <w:tab w:val="left" w:pos="1300"/>
                <w:tab w:val="clear" w:pos="284"/>
              </w:tabs>
              <w:contextualSpacing/>
              <w:rPr>
                <w:rFonts w:ascii="Microsoft Sans Serif" w:hAnsi="Microsoft Sans Serif" w:eastAsia="Calibri" w:cs="Microsoft Sans Serif"/>
                <w:sz w:val="20"/>
                <w:szCs w:val="20"/>
                <w:lang w:val="sv-SE"/>
              </w:rPr>
            </w:pPr>
          </w:p>
          <w:p w14:paraId="0692C662">
            <w:pPr>
              <w:widowControl w:val="0"/>
              <w:tabs>
                <w:tab w:val="left" w:pos="1300"/>
                <w:tab w:val="clear" w:pos="284"/>
              </w:tabs>
              <w:contextualSpacing/>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sv-SE"/>
              </w:rPr>
              <w:t>3. Ako su trombociti &lt; 25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i/ili se ANC smanjijo na &lt; 0.5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tokom &gt; 7 dana ponoviti 1. korak, a terapiju nastaviti smanjenom dozom od 80 mg jednom dnevno za drugu epizodu. Kod treće epizode potrebno je dalje smanjenje doze na 50 mg jednom dnevno (za novodijagnostifikovane pacijente) ili prekidanje terapije (kod pacijenata koji ne podnose ili su rezistentni na prethodnu terapiju uključujući terapiju imatinibom).</w:t>
            </w:r>
          </w:p>
        </w:tc>
      </w:tr>
      <w:tr w14:paraId="055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541E554E">
            <w:pPr>
              <w:widowControl w:val="0"/>
              <w:tabs>
                <w:tab w:val="left" w:pos="1300"/>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Odrasli u fazi ubrzanja i blastnoj fazi HML i Ph+ALL (početna doza od 140 mg 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dnevno)</w:t>
            </w:r>
          </w:p>
        </w:tc>
        <w:tc>
          <w:tcPr>
            <w:tcW w:w="2517" w:type="dxa"/>
          </w:tcPr>
          <w:p w14:paraId="2ABB6FF9">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i/ili trombociti &lt;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w:t>
            </w:r>
          </w:p>
        </w:tc>
        <w:tc>
          <w:tcPr>
            <w:tcW w:w="4506" w:type="dxa"/>
          </w:tcPr>
          <w:p w14:paraId="73C366BD">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1</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Provjeriti povezanost citopenije s</w:t>
            </w:r>
            <w:r>
              <w:rPr>
                <w:rFonts w:ascii="Microsoft Sans Serif" w:hAnsi="Microsoft Sans Serif" w:eastAsia="Calibri" w:cs="Microsoft Sans Serif"/>
                <w:sz w:val="20"/>
                <w:szCs w:val="20"/>
                <w:lang w:val="sr-Cyrl-RS"/>
              </w:rPr>
              <w:t>a</w:t>
            </w:r>
          </w:p>
          <w:p w14:paraId="5CBC8888">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(aspirat ili biopsija koštane</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srži).</w:t>
            </w:r>
          </w:p>
          <w:p w14:paraId="47CEA0EC">
            <w:pPr>
              <w:widowControl w:val="0"/>
              <w:tabs>
                <w:tab w:val="left" w:pos="1300"/>
                <w:tab w:val="clear" w:pos="284"/>
              </w:tabs>
              <w:contextualSpacing/>
              <w:rPr>
                <w:rFonts w:ascii="Microsoft Sans Serif" w:hAnsi="Microsoft Sans Serif" w:eastAsia="Calibri" w:cs="Microsoft Sans Serif"/>
                <w:sz w:val="20"/>
                <w:szCs w:val="20"/>
              </w:rPr>
            </w:pPr>
          </w:p>
          <w:p w14:paraId="5D005D91">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2</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Ako citopenija nije povezana s</w:t>
            </w:r>
            <w:r>
              <w:rPr>
                <w:rFonts w:ascii="Microsoft Sans Serif" w:hAnsi="Microsoft Sans Serif" w:eastAsia="Calibri" w:cs="Microsoft Sans Serif"/>
                <w:sz w:val="20"/>
                <w:szCs w:val="20"/>
                <w:lang w:val="sr-Cyrl-RS"/>
              </w:rPr>
              <w:t>a</w:t>
            </w:r>
          </w:p>
          <w:p w14:paraId="476EED8B">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prekinuti liječenje dok A</w:t>
            </w:r>
            <w:r>
              <w:rPr>
                <w:rFonts w:ascii="Microsoft Sans Serif" w:hAnsi="Microsoft Sans Serif" w:eastAsia="Calibri" w:cs="Microsoft Sans Serif"/>
                <w:sz w:val="20"/>
                <w:szCs w:val="20"/>
                <w:lang w:val="sr-Latn-RS"/>
              </w:rPr>
              <w:t>NC</w:t>
            </w:r>
            <w:r>
              <w:rPr>
                <w:rFonts w:ascii="Microsoft Sans Serif" w:hAnsi="Microsoft Sans Serif" w:eastAsia="Calibri" w:cs="Microsoft Sans Serif"/>
                <w:sz w:val="20"/>
                <w:szCs w:val="20"/>
              </w:rPr>
              <w:t xml:space="preserve"> ne bude ≥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 trombociti ≥ 20 x</w:t>
            </w:r>
          </w:p>
          <w:p w14:paraId="059BD9C5">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pa nastaviti liječenje dozom kojom</w:t>
            </w:r>
          </w:p>
          <w:p w14:paraId="46FE201A">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se i započelo.</w:t>
            </w:r>
          </w:p>
          <w:p w14:paraId="1E224E81">
            <w:pPr>
              <w:widowControl w:val="0"/>
              <w:tabs>
                <w:tab w:val="left" w:pos="1300"/>
                <w:tab w:val="clear" w:pos="284"/>
              </w:tabs>
              <w:contextualSpacing/>
              <w:rPr>
                <w:rFonts w:ascii="Microsoft Sans Serif" w:hAnsi="Microsoft Sans Serif" w:eastAsia="Calibri" w:cs="Microsoft Sans Serif"/>
                <w:sz w:val="20"/>
                <w:szCs w:val="20"/>
                <w:lang w:val="sv-SE"/>
              </w:rPr>
            </w:pPr>
          </w:p>
          <w:p w14:paraId="66049AAE">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3</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se ponovo javi citopenija, ponoviti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1. korak, a liječenje nastaviti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lang w:val="sv-SE"/>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lang w:val="sv-SE"/>
              </w:rPr>
              <w:t>om 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od 100 mg jednom dnevno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(druga epizoda) ili 80 mg jednom</w:t>
            </w:r>
          </w:p>
          <w:p w14:paraId="59AEF29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dnevno (treća epizoda).</w:t>
            </w:r>
          </w:p>
          <w:p w14:paraId="279E05A4">
            <w:pPr>
              <w:widowControl w:val="0"/>
              <w:tabs>
                <w:tab w:val="left" w:pos="1300"/>
                <w:tab w:val="clear" w:pos="284"/>
              </w:tabs>
              <w:contextualSpacing/>
              <w:rPr>
                <w:rFonts w:ascii="Microsoft Sans Serif" w:hAnsi="Microsoft Sans Serif" w:eastAsia="Calibri" w:cs="Microsoft Sans Serif"/>
                <w:sz w:val="20"/>
                <w:szCs w:val="20"/>
                <w:lang w:val="sv-SE"/>
              </w:rPr>
            </w:pPr>
          </w:p>
          <w:p w14:paraId="744B3C8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4</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je citopenija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leukemijom,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razmotriti postepeno povećanje doze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180 mg jednom dnevno.</w:t>
            </w:r>
          </w:p>
        </w:tc>
      </w:tr>
    </w:tbl>
    <w:p w14:paraId="15F236B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ANC: </w:t>
      </w:r>
      <w:r>
        <w:rPr>
          <w:rFonts w:ascii="Microsoft Sans Serif" w:hAnsi="Microsoft Sans Serif" w:cs="Microsoft Sans Serif"/>
          <w:sz w:val="20"/>
          <w:szCs w:val="20"/>
          <w:lang w:val="sr-Cyrl-RS"/>
        </w:rPr>
        <w:t xml:space="preserve">apsolutni broj neutrofila (engl. </w:t>
      </w:r>
      <w:r>
        <w:rPr>
          <w:rFonts w:ascii="Microsoft Sans Serif" w:hAnsi="Microsoft Sans Serif" w:cs="Microsoft Sans Serif"/>
          <w:i/>
          <w:sz w:val="20"/>
          <w:szCs w:val="20"/>
          <w:lang w:val="sv-SE"/>
        </w:rPr>
        <w:t>absolute neutrophil count</w:t>
      </w:r>
      <w:r>
        <w:rPr>
          <w:rFonts w:ascii="Microsoft Sans Serif" w:hAnsi="Microsoft Sans Serif" w:cs="Microsoft Sans Serif"/>
          <w:sz w:val="20"/>
          <w:szCs w:val="20"/>
          <w:lang w:val="sr-Cyrl-RS"/>
        </w:rPr>
        <w:t>)</w:t>
      </w:r>
    </w:p>
    <w:p w14:paraId="11A62924">
      <w:pPr>
        <w:widowControl w:val="0"/>
        <w:tabs>
          <w:tab w:val="clear" w:pos="284"/>
        </w:tabs>
        <w:rPr>
          <w:rFonts w:ascii="Microsoft Sans Serif" w:hAnsi="Microsoft Sans Serif" w:cs="Microsoft Sans Serif"/>
          <w:sz w:val="20"/>
          <w:szCs w:val="20"/>
          <w:lang w:val="sr-Latn-RS"/>
        </w:rPr>
      </w:pPr>
    </w:p>
    <w:p w14:paraId="3A8A7BA8">
      <w:pPr>
        <w:widowControl w:val="0"/>
        <w:tabs>
          <w:tab w:val="clear" w:pos="284"/>
        </w:tabs>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Tabela 4: Prilagođavanje doze zbog neutropenije i trombocitopenije kod pedijatrijske populacije sa</w:t>
      </w:r>
    </w:p>
    <w:p w14:paraId="1A6BFB7C">
      <w:pPr>
        <w:widowControl w:val="0"/>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Ph+ HML u hroničnoj fazi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912"/>
        <w:gridCol w:w="1696"/>
        <w:gridCol w:w="1625"/>
        <w:gridCol w:w="1779"/>
      </w:tblGrid>
      <w:tr w14:paraId="7FD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restart"/>
          </w:tcPr>
          <w:p w14:paraId="095852F2">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1. Ako citopenija traje duže od 3 nedelje, proveriti da li je povezana sa leukemijom (aspirat ili biopsija koštane</w:t>
            </w:r>
          </w:p>
          <w:p w14:paraId="1C72B76D">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srži).</w:t>
            </w:r>
          </w:p>
          <w:p w14:paraId="5C7B7B7E">
            <w:pPr>
              <w:pStyle w:val="29"/>
              <w:spacing w:before="37"/>
              <w:ind w:left="330"/>
              <w:rPr>
                <w:rFonts w:ascii="Microsoft Sans Serif" w:hAnsi="Microsoft Sans Serif" w:eastAsia="Times New Roman" w:cs="Microsoft Sans Serif"/>
                <w:w w:val="103"/>
                <w:sz w:val="20"/>
                <w:szCs w:val="20"/>
              </w:rPr>
            </w:pPr>
          </w:p>
          <w:p w14:paraId="67555677">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2. Ako citopenija nije povezana sa leukemijom, prekinuti terapiju dok ANC ne bude ≥1,0x10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i trombociti ≥75 x 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pa nastaviti terapiju početnom dozom ili smanjenom dozom.</w:t>
            </w:r>
          </w:p>
          <w:p w14:paraId="0BCFC83C">
            <w:pPr>
              <w:pStyle w:val="29"/>
              <w:spacing w:before="37"/>
              <w:ind w:left="330"/>
              <w:rPr>
                <w:rFonts w:ascii="Microsoft Sans Serif" w:hAnsi="Microsoft Sans Serif" w:eastAsia="Times New Roman" w:cs="Microsoft Sans Serif"/>
                <w:w w:val="103"/>
                <w:sz w:val="20"/>
                <w:szCs w:val="20"/>
              </w:rPr>
            </w:pPr>
          </w:p>
          <w:p w14:paraId="3AA38298">
            <w:pPr>
              <w:pStyle w:val="29"/>
              <w:spacing w:before="37"/>
              <w:ind w:left="330"/>
              <w:rPr>
                <w:rFonts w:ascii="Microsoft Sans Serif" w:hAnsi="Microsoft Sans Serif" w:eastAsia="Times New Roman" w:cs="Microsoft Sans Serif"/>
                <w:w w:val="103"/>
                <w:sz w:val="20"/>
                <w:szCs w:val="20"/>
                <w:lang w:val="mk-MK"/>
              </w:rPr>
            </w:pPr>
            <w:r>
              <w:rPr>
                <w:rFonts w:ascii="Microsoft Sans Serif" w:hAnsi="Microsoft Sans Serif" w:eastAsia="Times New Roman" w:cs="Microsoft Sans Serif"/>
                <w:w w:val="103"/>
                <w:sz w:val="20"/>
                <w:szCs w:val="20"/>
              </w:rPr>
              <w:t>3. Ako se citopenija ponovno javi, ponoviti aspirat/biopsiju koštane srži i nastaviti terapiju smanjenom dozom</w:t>
            </w:r>
            <w:r>
              <w:rPr>
                <w:rFonts w:ascii="Microsoft Sans Serif" w:hAnsi="Microsoft Sans Serif" w:eastAsia="Times New Roman" w:cs="Microsoft Sans Serif"/>
                <w:w w:val="103"/>
                <w:sz w:val="20"/>
                <w:szCs w:val="20"/>
                <w:lang w:val="mk-MK"/>
              </w:rPr>
              <w:t>.</w:t>
            </w:r>
          </w:p>
        </w:tc>
        <w:tc>
          <w:tcPr>
            <w:tcW w:w="6012" w:type="dxa"/>
            <w:gridSpan w:val="4"/>
          </w:tcPr>
          <w:p w14:paraId="2DD5D85D">
            <w:pPr>
              <w:widowControl w:val="0"/>
              <w:spacing w:line="228"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Doza (maksimalna dnevna doza)</w:t>
            </w:r>
          </w:p>
        </w:tc>
      </w:tr>
      <w:tr w14:paraId="05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6EC1BA96">
            <w:pPr>
              <w:widowControl w:val="0"/>
              <w:spacing w:before="37"/>
              <w:rPr>
                <w:rFonts w:ascii="Microsoft Sans Serif" w:hAnsi="Microsoft Sans Serif" w:eastAsia="Times New Roman" w:cs="Microsoft Sans Serif"/>
                <w:b/>
                <w:bCs/>
                <w:sz w:val="20"/>
                <w:szCs w:val="20"/>
              </w:rPr>
            </w:pPr>
          </w:p>
        </w:tc>
        <w:tc>
          <w:tcPr>
            <w:tcW w:w="912" w:type="dxa"/>
            <w:tcBorders>
              <w:right w:val="nil"/>
            </w:tcBorders>
          </w:tcPr>
          <w:p w14:paraId="191FF3AC">
            <w:pPr>
              <w:widowControl w:val="0"/>
              <w:spacing w:before="37"/>
              <w:rPr>
                <w:rFonts w:ascii="Microsoft Sans Serif" w:hAnsi="Microsoft Sans Serif" w:eastAsia="Times New Roman" w:cs="Microsoft Sans Serif"/>
                <w:b/>
                <w:bCs/>
                <w:sz w:val="20"/>
                <w:szCs w:val="20"/>
              </w:rPr>
            </w:pPr>
          </w:p>
        </w:tc>
        <w:tc>
          <w:tcPr>
            <w:tcW w:w="1696" w:type="dxa"/>
            <w:tcBorders>
              <w:left w:val="nil"/>
              <w:right w:val="nil"/>
            </w:tcBorders>
          </w:tcPr>
          <w:p w14:paraId="758E37A3">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Prvobitna</w:t>
            </w:r>
          </w:p>
          <w:p w14:paraId="79D3C59A">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početna doza</w:t>
            </w:r>
          </w:p>
        </w:tc>
        <w:tc>
          <w:tcPr>
            <w:tcW w:w="1625" w:type="dxa"/>
            <w:tcBorders>
              <w:left w:val="nil"/>
              <w:right w:val="nil"/>
            </w:tcBorders>
          </w:tcPr>
          <w:p w14:paraId="744A5C64">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63C75007">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jedan</w:t>
            </w:r>
          </w:p>
          <w:p w14:paraId="4C50A705">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w:t>
            </w:r>
          </w:p>
        </w:tc>
        <w:tc>
          <w:tcPr>
            <w:tcW w:w="1779" w:type="dxa"/>
            <w:tcBorders>
              <w:left w:val="nil"/>
            </w:tcBorders>
          </w:tcPr>
          <w:p w14:paraId="3C6E7F56">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7617E03A">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dva</w:t>
            </w:r>
          </w:p>
          <w:p w14:paraId="4D24513E">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nivoa</w:t>
            </w:r>
          </w:p>
        </w:tc>
      </w:tr>
      <w:tr w14:paraId="4D66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0D8BFA6A">
            <w:pPr>
              <w:widowControl w:val="0"/>
              <w:spacing w:before="37"/>
              <w:rPr>
                <w:rFonts w:ascii="Microsoft Sans Serif" w:hAnsi="Microsoft Sans Serif" w:eastAsia="Times New Roman" w:cs="Microsoft Sans Serif"/>
                <w:b/>
                <w:bCs/>
                <w:sz w:val="20"/>
                <w:szCs w:val="20"/>
                <w:lang w:val="sv-SE"/>
              </w:rPr>
            </w:pPr>
          </w:p>
        </w:tc>
        <w:tc>
          <w:tcPr>
            <w:tcW w:w="912" w:type="dxa"/>
            <w:tcBorders>
              <w:right w:val="nil"/>
            </w:tcBorders>
          </w:tcPr>
          <w:p w14:paraId="4E1274F2">
            <w:pPr>
              <w:widowControl w:val="0"/>
              <w:spacing w:before="37"/>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Tablete</w:t>
            </w:r>
          </w:p>
        </w:tc>
        <w:tc>
          <w:tcPr>
            <w:tcW w:w="1696" w:type="dxa"/>
            <w:tcBorders>
              <w:left w:val="nil"/>
              <w:right w:val="nil"/>
            </w:tcBorders>
          </w:tcPr>
          <w:p w14:paraId="351D49D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3FA6CCD1">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7D0C569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p w14:paraId="5D63224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100 mg</w:t>
            </w:r>
          </w:p>
        </w:tc>
        <w:tc>
          <w:tcPr>
            <w:tcW w:w="1625" w:type="dxa"/>
            <w:tcBorders>
              <w:left w:val="nil"/>
              <w:right w:val="nil"/>
            </w:tcBorders>
          </w:tcPr>
          <w:p w14:paraId="3F26801E">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430DCA9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032154C7">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30BE14EF">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80 mg</w:t>
            </w:r>
          </w:p>
        </w:tc>
        <w:tc>
          <w:tcPr>
            <w:tcW w:w="1779" w:type="dxa"/>
            <w:tcBorders>
              <w:left w:val="nil"/>
            </w:tcBorders>
          </w:tcPr>
          <w:p w14:paraId="0735E8FA">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w:t>
            </w:r>
          </w:p>
          <w:p w14:paraId="3A37624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79C17AF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50 mg</w:t>
            </w:r>
          </w:p>
          <w:p w14:paraId="0E96E1F2">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tc>
      </w:tr>
    </w:tbl>
    <w:p w14:paraId="4D4D1C3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ANC: </w:t>
      </w:r>
      <w:r>
        <w:rPr>
          <w:rFonts w:ascii="Microsoft Sans Serif" w:hAnsi="Microsoft Sans Serif" w:cs="Microsoft Sans Serif"/>
          <w:sz w:val="20"/>
          <w:szCs w:val="20"/>
          <w:lang w:val="sr-Cyrl-RS"/>
        </w:rPr>
        <w:t>apsolutni broj neutrofila</w:t>
      </w:r>
    </w:p>
    <w:p w14:paraId="2849317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hr-BA"/>
        </w:rPr>
        <w:t>nije dostupna tableta u nižoj dozi</w:t>
      </w:r>
    </w:p>
    <w:p w14:paraId="2E8500D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se kod pedijatrijskih pacijenata sa Ph+ HML u hroničnoj fazi ponovo javi neutropenija ili trombocitopenija stepena ≥ 3 tokom potpunog hematološkog odgovora, primjenu lijeka Nodriga treba privremeno prekinuti, a zatim se terapija može nastaviti smanjenom dozom. Po potrebi treba privremeno smanjiti dozu u slučaju citopenije srednjeg stepena i odgovora bolesti.</w:t>
      </w:r>
    </w:p>
    <w:p w14:paraId="6CB60FCF">
      <w:pPr>
        <w:widowControl w:val="0"/>
        <w:tabs>
          <w:tab w:val="clear" w:pos="284"/>
        </w:tabs>
        <w:rPr>
          <w:rFonts w:ascii="Microsoft Sans Serif" w:hAnsi="Microsoft Sans Serif" w:eastAsia="Calibri" w:cs="Microsoft Sans Serif"/>
          <w:sz w:val="20"/>
          <w:szCs w:val="20"/>
          <w:lang w:val="sr-Cyrl-RS"/>
        </w:rPr>
      </w:pPr>
    </w:p>
    <w:p w14:paraId="2DB0EAE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toksi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1 - 4.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7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ocenu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odredili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&lt; 10%,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bude</w:t>
      </w:r>
      <w:r>
        <w:rPr>
          <w:rFonts w:ascii="Microsoft Sans Serif" w:hAnsi="Microsoft Sans Serif" w:eastAsia="Calibri" w:cs="Microsoft Sans Serif"/>
          <w:sz w:val="20"/>
          <w:szCs w:val="20"/>
          <w:lang w:val="sr-Cyrl-RS"/>
        </w:rPr>
        <w:t xml:space="preserve"> &gt; 500//</w:t>
      </w:r>
      <w:r>
        <w:rPr>
          <w:rFonts w:ascii="Microsoft Sans Serif" w:hAnsi="Microsoft Sans Serif" w:eastAsia="Calibri" w:cs="Microsoft Sans Serif"/>
          <w:sz w:val="20"/>
          <w:szCs w:val="20"/>
        </w:rPr>
        <w:t>μl</w:t>
      </w:r>
      <w:r>
        <w:rPr>
          <w:rFonts w:ascii="Microsoft Sans Serif" w:hAnsi="Microsoft Sans Serif" w:eastAsia="Calibri" w:cs="Microsoft Sans Serif"/>
          <w:sz w:val="20"/>
          <w:szCs w:val="20"/>
          <w:lang w:val="sr-Cyrl-RS"/>
        </w:rPr>
        <w:t xml:space="preserve"> (0,5 </w:t>
      </w:r>
      <w:r>
        <w:rPr>
          <w:rFonts w:ascii="Microsoft Sans Serif" w:hAnsi="Microsoft Sans Serif" w:eastAsia="Calibri" w:cs="Microsoft Sans Serif"/>
          <w:sz w:val="20"/>
          <w:szCs w:val="20"/>
        </w:rPr>
        <w:t>x</w:t>
      </w:r>
      <w:r>
        <w:rPr>
          <w:rFonts w:ascii="Microsoft Sans Serif" w:hAnsi="Microsoft Sans Serif" w:eastAsia="Calibri" w:cs="Microsoft Sans Serif"/>
          <w:sz w:val="20"/>
          <w:szCs w:val="20"/>
          <w:lang w:val="sr-Cyrl-RS"/>
        </w:rPr>
        <w:t xml:space="preserve"> 10</w:t>
      </w:r>
      <w:r>
        <w:rPr>
          <w:rFonts w:ascii="Microsoft Sans Serif" w:hAnsi="Microsoft Sans Serif" w:eastAsia="Calibri" w:cs="Microsoft Sans Serif"/>
          <w:sz w:val="20"/>
          <w:szCs w:val="20"/>
          <w:vertAlign w:val="superscript"/>
          <w:lang w:val="sr-Cyrl-RS"/>
        </w:rPr>
        <w:t>9</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&gt; 10%,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7300145">
      <w:pPr>
        <w:widowControl w:val="0"/>
        <w:tabs>
          <w:tab w:val="clear" w:pos="284"/>
        </w:tabs>
        <w:rPr>
          <w:rFonts w:ascii="Microsoft Sans Serif" w:hAnsi="Microsoft Sans Serif" w:eastAsia="Calibri" w:cs="Microsoft Sans Serif"/>
          <w:sz w:val="20"/>
          <w:szCs w:val="20"/>
          <w:lang w:val="sr-Cyrl-RS"/>
        </w:rPr>
      </w:pPr>
    </w:p>
    <w:p w14:paraId="16C78475">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Nehematološke n</w:t>
      </w:r>
      <w:r>
        <w:rPr>
          <w:rFonts w:ascii="Microsoft Sans Serif" w:hAnsi="Microsoft Sans Serif" w:eastAsia="Calibri" w:cs="Microsoft Sans Serif"/>
          <w:i/>
          <w:sz w:val="20"/>
          <w:szCs w:val="20"/>
          <w:lang w:val="sr-Cyrl-RS"/>
        </w:rPr>
        <w:t>eželјene reakcije</w:t>
      </w:r>
    </w:p>
    <w:p w14:paraId="7F31428F">
      <w:pPr>
        <w:widowControl w:val="0"/>
        <w:tabs>
          <w:tab w:val="clear" w:pos="284"/>
        </w:tabs>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javi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povratka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zavisno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d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Kod pacijenata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hronićnoj fazi koji su primali 100 mg jednom dnevno, preporučuje se smanjenje doze na 80 mg jednom dnevno uz dalje smanjenje doze sa 80 mg jednm dnevno na 50 mg jednom dnevno, ukoliko je potrebno. Kod pacijenata sa HML u uznapredovaloj fazi ili sa Ph+ ALL koji primaju 140 mg jednom dnevno, preporučuje se smanjiti dozu na 100 mg jednom dnevno uz dal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 xml:space="preserve">e smanjenje sa 100 mg jednom dnevno na 50 mg jednom dnevno, ako je potrebno.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hr-BA"/>
        </w:rPr>
        <w:t xml:space="preserve">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HML u hroničnoj fazi koji imaju nehematološke neželjene reakcije treba se pridržavati prethodno navedenih preporuka za smanjenje doze u slučaju hematoloških neželjenih reakcija. Kod pedijatrijskih pacijenata sa Ph+ ALL koji imaju nehematološke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ene reakcije po potrebi treba smanjiti dozu za jed</w:t>
      </w:r>
      <w:r>
        <w:rPr>
          <w:rFonts w:ascii="Microsoft Sans Serif" w:hAnsi="Microsoft Sans Serif" w:eastAsia="Calibri" w:cs="Microsoft Sans Serif"/>
          <w:sz w:val="20"/>
          <w:szCs w:val="20"/>
          <w:lang w:val="sr-Cyrl-RS"/>
        </w:rPr>
        <w:t>an stepen</w:t>
      </w:r>
      <w:r>
        <w:rPr>
          <w:rFonts w:ascii="Microsoft Sans Serif" w:hAnsi="Microsoft Sans Serif" w:eastAsia="Calibri" w:cs="Microsoft Sans Serif"/>
          <w:sz w:val="20"/>
          <w:szCs w:val="20"/>
          <w:lang w:val="hr-BA"/>
        </w:rPr>
        <w:t>,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prethodno navedenim preporukama za smanjenje doze u slučaju hematoloških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enih reakcija.</w:t>
      </w:r>
    </w:p>
    <w:p w14:paraId="1FD361C9">
      <w:pPr>
        <w:widowControl w:val="0"/>
        <w:tabs>
          <w:tab w:val="clear" w:pos="284"/>
        </w:tabs>
        <w:rPr>
          <w:rFonts w:ascii="Microsoft Sans Serif" w:hAnsi="Microsoft Sans Serif" w:eastAsia="Calibri" w:cs="Microsoft Sans Serif"/>
          <w:sz w:val="20"/>
          <w:szCs w:val="20"/>
          <w:lang w:val="sr-Latn-RS"/>
        </w:rPr>
      </w:pPr>
    </w:p>
    <w:p w14:paraId="3E652594">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Pleuralni iz</w:t>
      </w:r>
      <w:r>
        <w:rPr>
          <w:rFonts w:ascii="Microsoft Sans Serif" w:hAnsi="Microsoft Sans Serif" w:eastAsia="Calibri" w:cs="Microsoft Sans Serif"/>
          <w:i/>
          <w:sz w:val="20"/>
          <w:szCs w:val="20"/>
          <w:lang w:val="sr-Cyrl-RS"/>
        </w:rPr>
        <w:t>li</w:t>
      </w:r>
      <w:r>
        <w:rPr>
          <w:rFonts w:ascii="Microsoft Sans Serif" w:hAnsi="Microsoft Sans Serif" w:eastAsia="Calibri" w:cs="Microsoft Sans Serif"/>
          <w:i/>
          <w:sz w:val="20"/>
          <w:szCs w:val="20"/>
          <w:lang w:val="sr-Latn-RS"/>
        </w:rPr>
        <w:t>v</w:t>
      </w:r>
    </w:p>
    <w:p w14:paraId="495F7CC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Ako se dijagnostikuje pleuralni izliv, treba prekinuti primjenu dasatiniba sve 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pacijent ne</w:t>
      </w:r>
      <w:r>
        <w:rPr>
          <w:rFonts w:ascii="Microsoft Sans Serif" w:hAnsi="Microsoft Sans Serif" w:eastAsia="Calibri" w:cs="Microsoft Sans Serif"/>
          <w:sz w:val="20"/>
          <w:szCs w:val="20"/>
          <w:lang w:val="mk-MK"/>
        </w:rPr>
        <w:t xml:space="preserve"> bude</w:t>
      </w:r>
      <w:r>
        <w:rPr>
          <w:rFonts w:ascii="Microsoft Sans Serif" w:hAnsi="Microsoft Sans Serif" w:eastAsia="Calibri" w:cs="Microsoft Sans Serif"/>
          <w:sz w:val="20"/>
          <w:szCs w:val="20"/>
          <w:lang w:val="sr-Latn-RS"/>
        </w:rPr>
        <w:t xml:space="preserve"> pregleda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mk-MK"/>
        </w:rPr>
        <w:t>asimptomatski</w:t>
      </w:r>
      <w:r>
        <w:rPr>
          <w:rFonts w:ascii="Microsoft Sans Serif" w:hAnsi="Microsoft Sans Serif" w:eastAsia="Calibri" w:cs="Microsoft Sans Serif"/>
          <w:sz w:val="20"/>
          <w:szCs w:val="20"/>
          <w:lang w:val="sr-Latn-RS"/>
        </w:rPr>
        <w:t xml:space="preserve"> ili </w:t>
      </w:r>
      <w:r>
        <w:rPr>
          <w:rFonts w:ascii="Microsoft Sans Serif" w:hAnsi="Microsoft Sans Serif" w:eastAsia="Calibri" w:cs="Microsoft Sans Serif"/>
          <w:sz w:val="20"/>
          <w:szCs w:val="20"/>
          <w:lang w:val="mk-MK"/>
        </w:rPr>
        <w:t xml:space="preserve">se ne vrati </w:t>
      </w:r>
      <w:r>
        <w:rPr>
          <w:rFonts w:ascii="Microsoft Sans Serif" w:hAnsi="Microsoft Sans Serif" w:eastAsia="Calibri" w:cs="Microsoft Sans Serif"/>
          <w:sz w:val="20"/>
          <w:szCs w:val="20"/>
          <w:lang w:val="sr-Latn-RS"/>
        </w:rPr>
        <w:t>na početno stanje. Ako se ova epizoda ne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ša u roku od približno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u dana, treba razmotriti primjenu diuretika ili kortikosteroida ili oba istovremeno (pogledati dijelove 4.4 i 4.8). Nakon povlačenja prve epizode, treba razmotriti ponovno uvođenje dasatiniba u istoj dozi. Nakon povlačenja naredne epizode, treba ponovo uvesti dasatinib u dozi </w:t>
      </w:r>
      <w:r>
        <w:rPr>
          <w:rFonts w:ascii="Microsoft Sans Serif" w:hAnsi="Microsoft Sans Serif" w:eastAsia="Calibri" w:cs="Microsoft Sans Serif"/>
          <w:sz w:val="20"/>
          <w:szCs w:val="20"/>
          <w:lang w:val="mk-MK"/>
        </w:rPr>
        <w:t>smanjenoj</w:t>
      </w:r>
      <w:r>
        <w:rPr>
          <w:rFonts w:ascii="Microsoft Sans Serif" w:hAnsi="Microsoft Sans Serif" w:eastAsia="Calibri" w:cs="Microsoft Sans Serif"/>
          <w:sz w:val="20"/>
          <w:szCs w:val="20"/>
          <w:lang w:val="sr-Latn-RS"/>
        </w:rPr>
        <w:t xml:space="preserve"> za jedan stepen. Nakon povlačenja teške (3. ili 4. stepen) epizode, liječenje se može prema potrebi nastaviti smanjenom dozom, 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lang w:val="sr-Latn-RS"/>
        </w:rPr>
        <w:t xml:space="preserve"> početne težine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ene reakcije.</w:t>
      </w:r>
    </w:p>
    <w:p w14:paraId="6F439CBC">
      <w:pPr>
        <w:widowControl w:val="0"/>
        <w:tabs>
          <w:tab w:val="clear" w:pos="284"/>
        </w:tabs>
        <w:rPr>
          <w:rFonts w:ascii="Microsoft Sans Serif" w:hAnsi="Microsoft Sans Serif" w:eastAsia="Calibri" w:cs="Microsoft Sans Serif"/>
          <w:sz w:val="20"/>
          <w:szCs w:val="20"/>
          <w:lang w:val="sr-Latn-RS"/>
        </w:rPr>
      </w:pPr>
    </w:p>
    <w:p w14:paraId="004F7D28">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Smanjenje doze kod istovremene primjene snažnih inhibitora CYP3A4</w:t>
      </w:r>
    </w:p>
    <w:p w14:paraId="0481183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Latn-RS"/>
        </w:rPr>
        <w:t>Potrebno je izbjegavati istovremenu primjenu snažnih inhibitora CYP3A4 i uzimanje soka od grejp</w:t>
      </w:r>
      <w:r>
        <w:rPr>
          <w:rFonts w:ascii="Microsoft Sans Serif" w:hAnsi="Microsoft Sans Serif" w:eastAsia="Calibri" w:cs="Microsoft Sans Serif"/>
          <w:sz w:val="20"/>
          <w:szCs w:val="20"/>
          <w:lang w:val="sr-Cyrl-RS"/>
        </w:rPr>
        <w:t xml:space="preserve">fruta </w:t>
      </w:r>
      <w:r>
        <w:rPr>
          <w:rFonts w:ascii="Microsoft Sans Serif" w:hAnsi="Microsoft Sans Serif" w:eastAsia="Calibri" w:cs="Microsoft Sans Serif"/>
          <w:sz w:val="20"/>
          <w:szCs w:val="20"/>
          <w:lang w:val="sr-Latn-RS"/>
        </w:rPr>
        <w:t>zajedno sa lijekom Nodriga (pogledati dio 4.5). Ako je moguće, za istovremenu primjenu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 xml:space="preserve">izabrati neki drugi lijek, koji ne inhibira ili minimalno inhibira enzimsku aktivnost. Ako se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r-Latn-RS"/>
        </w:rPr>
        <w:t>Nodriga mora primjenjivati istovremeno sa snažnim inhibitorom CYP3A4, potrebno je razmotriti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doze na:</w:t>
      </w:r>
    </w:p>
    <w:p w14:paraId="678B92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7073FB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2C92185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015950D7">
      <w:pPr>
        <w:widowControl w:val="0"/>
        <w:tabs>
          <w:tab w:val="clear" w:pos="284"/>
        </w:tabs>
        <w:rPr>
          <w:rFonts w:ascii="Microsoft Sans Serif" w:hAnsi="Microsoft Sans Serif" w:eastAsia="Calibri" w:cs="Microsoft Sans Serif"/>
          <w:sz w:val="20"/>
          <w:szCs w:val="20"/>
          <w:lang w:val="sr-Cyrl-RS"/>
        </w:rPr>
      </w:pPr>
    </w:p>
    <w:p w14:paraId="7BBD81E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tablete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prelazak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ćenja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641D8FE6">
      <w:pPr>
        <w:widowControl w:val="0"/>
        <w:tabs>
          <w:tab w:val="clear" w:pos="284"/>
        </w:tabs>
        <w:rPr>
          <w:rFonts w:ascii="Microsoft Sans Serif" w:hAnsi="Microsoft Sans Serif" w:eastAsia="Calibri" w:cs="Microsoft Sans Serif"/>
          <w:sz w:val="20"/>
          <w:szCs w:val="20"/>
          <w:lang w:val="sr-Cyrl-RS"/>
        </w:rPr>
      </w:pPr>
    </w:p>
    <w:p w14:paraId="302E284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Predvi</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krive</w:t>
      </w:r>
      <w:r>
        <w:rPr>
          <w:rFonts w:ascii="Microsoft Sans Serif" w:hAnsi="Microsoft Sans Serif" w:eastAsia="Calibri" w:cs="Microsoft Sans Serif"/>
          <w:sz w:val="20"/>
          <w:szCs w:val="20"/>
          <w:lang w:val="sr-Cyrl-RS"/>
        </w:rPr>
        <w:t xml:space="preserve"> (PIK)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dostupni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podnosi</w:t>
      </w:r>
      <w:r>
        <w:rPr>
          <w:rFonts w:ascii="Microsoft Sans Serif" w:hAnsi="Microsoft Sans Serif" w:eastAsia="Calibri" w:cs="Microsoft Sans Serif"/>
          <w:sz w:val="20"/>
          <w:szCs w:val="20"/>
          <w:lang w:val="sr-Cyrl-RS"/>
        </w:rPr>
        <w:t xml:space="preserve"> lijek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ćenje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5CC1B35">
      <w:pPr>
        <w:widowControl w:val="0"/>
        <w:tabs>
          <w:tab w:val="clear" w:pos="284"/>
        </w:tabs>
        <w:rPr>
          <w:rFonts w:ascii="Microsoft Sans Serif" w:hAnsi="Microsoft Sans Serif" w:eastAsia="Calibri" w:cs="Microsoft Sans Serif"/>
          <w:sz w:val="20"/>
          <w:szCs w:val="20"/>
          <w:lang w:val="sr-Cyrl-RS"/>
        </w:rPr>
      </w:pPr>
    </w:p>
    <w:p w14:paraId="2008AE73">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08192CC0">
      <w:pPr>
        <w:widowControl w:val="0"/>
        <w:tabs>
          <w:tab w:val="clear" w:pos="284"/>
        </w:tabs>
        <w:rPr>
          <w:rFonts w:ascii="Microsoft Sans Serif" w:hAnsi="Microsoft Sans Serif" w:eastAsia="Calibri" w:cs="Microsoft Sans Serif"/>
          <w:sz w:val="20"/>
          <w:szCs w:val="20"/>
          <w:lang w:val="sr-Cyrl-RS"/>
        </w:rPr>
      </w:pPr>
    </w:p>
    <w:p w14:paraId="48D6735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Starije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osobe</w:t>
      </w:r>
    </w:p>
    <w:p w14:paraId="661426F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pacijenata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staro</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nikakva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osoba</w:t>
      </w:r>
      <w:r>
        <w:rPr>
          <w:rFonts w:ascii="Microsoft Sans Serif" w:hAnsi="Microsoft Sans Serif" w:eastAsia="Calibri" w:cs="Microsoft Sans Serif"/>
          <w:sz w:val="20"/>
          <w:szCs w:val="20"/>
          <w:lang w:val="sr-Cyrl-RS"/>
        </w:rPr>
        <w:t>.</w:t>
      </w:r>
    </w:p>
    <w:p w14:paraId="2E281226">
      <w:pPr>
        <w:widowControl w:val="0"/>
        <w:tabs>
          <w:tab w:val="clear" w:pos="284"/>
        </w:tabs>
        <w:rPr>
          <w:rFonts w:ascii="Microsoft Sans Serif" w:hAnsi="Microsoft Sans Serif" w:eastAsia="Calibri" w:cs="Microsoft Sans Serif"/>
          <w:sz w:val="20"/>
          <w:szCs w:val="20"/>
          <w:lang w:val="sr-Cyrl-RS"/>
        </w:rPr>
      </w:pPr>
    </w:p>
    <w:p w14:paraId="524D00A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O</w:t>
      </w:r>
      <w:r>
        <w:rPr>
          <w:rFonts w:ascii="Microsoft Sans Serif" w:hAnsi="Microsoft Sans Serif" w:eastAsia="Calibri" w:cs="Microsoft Sans Serif"/>
          <w:i/>
          <w:sz w:val="20"/>
          <w:szCs w:val="20"/>
          <w:u w:val="single"/>
          <w:lang w:val="sr-Cyrl-RS"/>
        </w:rPr>
        <w:t>š</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enje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funkcije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jetre</w:t>
      </w:r>
    </w:p>
    <w:p w14:paraId="6F1F50D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Pacijenti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Ipak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oprezom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w:t>
      </w:r>
    </w:p>
    <w:p w14:paraId="1F6C8B0B">
      <w:pPr>
        <w:widowControl w:val="0"/>
        <w:tabs>
          <w:tab w:val="clear" w:pos="284"/>
        </w:tabs>
        <w:rPr>
          <w:rFonts w:ascii="Microsoft Sans Serif" w:hAnsi="Microsoft Sans Serif" w:eastAsia="Calibri" w:cs="Microsoft Sans Serif"/>
          <w:sz w:val="20"/>
          <w:szCs w:val="20"/>
          <w:lang w:val="sr-Cyrl-RS"/>
        </w:rPr>
      </w:pPr>
    </w:p>
    <w:p w14:paraId="1FEC285E">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O</w:t>
      </w:r>
      <w:r>
        <w:rPr>
          <w:rFonts w:ascii="Microsoft Sans Serif" w:hAnsi="Microsoft Sans Serif" w:eastAsia="Calibri" w:cs="Microsoft Sans Serif"/>
          <w:sz w:val="20"/>
          <w:szCs w:val="20"/>
          <w:u w:val="single"/>
          <w:lang w:val="sr-Cyrl-RS"/>
        </w:rPr>
        <w:t>š</w:t>
      </w:r>
      <w:r>
        <w:rPr>
          <w:rFonts w:ascii="Microsoft Sans Serif" w:hAnsi="Microsoft Sans Serif" w:eastAsia="Calibri" w:cs="Microsoft Sans Serif"/>
          <w:sz w:val="20"/>
          <w:szCs w:val="20"/>
          <w:u w:val="single"/>
        </w:rPr>
        <w:t>te</w:t>
      </w:r>
      <w:r>
        <w:rPr>
          <w:rFonts w:ascii="Microsoft Sans Serif" w:hAnsi="Microsoft Sans Serif" w:eastAsia="Calibri" w:cs="Microsoft Sans Serif"/>
          <w:sz w:val="20"/>
          <w:szCs w:val="20"/>
          <w:u w:val="single"/>
          <w:lang w:val="sr-Cyrl-RS"/>
        </w:rPr>
        <w:t>ć</w:t>
      </w:r>
      <w:r>
        <w:rPr>
          <w:rFonts w:ascii="Microsoft Sans Serif" w:hAnsi="Microsoft Sans Serif" w:eastAsia="Calibri" w:cs="Microsoft Sans Serif"/>
          <w:sz w:val="20"/>
          <w:szCs w:val="20"/>
          <w:u w:val="single"/>
        </w:rPr>
        <w:t>enje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funkcije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bubrega</w:t>
      </w:r>
    </w:p>
    <w:p w14:paraId="306CB00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s</w:t>
      </w:r>
      <w:r>
        <w:rPr>
          <w:rFonts w:ascii="Microsoft Sans Serif" w:hAnsi="Microsoft Sans Serif" w:eastAsia="Calibri" w:cs="Microsoft Sans Serif"/>
          <w:sz w:val="20"/>
          <w:szCs w:val="20"/>
        </w:rPr>
        <w:t>provedena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bubrega</w:t>
      </w:r>
      <w:r>
        <w:rPr>
          <w:rFonts w:ascii="Microsoft Sans Serif" w:hAnsi="Microsoft Sans Serif" w:eastAsia="Calibri" w:cs="Microsoft Sans Serif"/>
          <w:sz w:val="20"/>
          <w:szCs w:val="20"/>
          <w:lang w:val="sr-Cyrl-RS"/>
        </w:rPr>
        <w:t xml:space="preserve"> (studije kod pacijenata sa novodijagnostifikovanom HML u hroničnoj fazi isključile su pacijente sa koncentracijom kreatinina u serumu koja je bila &gt;3 puta od gornje granice normalne vrijednosti, a studije kod pacijenata sa HML u hroničnoj fazi koji ne podnose ili su rezistentni na prethodnu tarapiju imatinibom isključile su pacijente sa koncentracijom kreatinina u serumu koja je bila &gt; 1.5 puta od gornje granice normalne vrijednosti). </w:t>
      </w:r>
      <w:r>
        <w:rPr>
          <w:rFonts w:ascii="Microsoft Sans Serif" w:hAnsi="Microsoft Sans Serif" w:eastAsia="Calibri" w:cs="Microsoft Sans Serif"/>
          <w:sz w:val="20"/>
          <w:szCs w:val="20"/>
        </w:rPr>
        <w:t>Budu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metabolita</w:t>
      </w:r>
      <w:r>
        <w:rPr>
          <w:rFonts w:ascii="Microsoft Sans Serif" w:hAnsi="Microsoft Sans Serif" w:eastAsia="Calibri" w:cs="Microsoft Sans Serif"/>
          <w:sz w:val="20"/>
          <w:szCs w:val="20"/>
          <w:lang w:val="sr-Cyrl-RS"/>
        </w:rPr>
        <w:t xml:space="preserve"> &lt;4%,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insuficijencijom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ekuje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organizma</w:t>
      </w:r>
      <w:r>
        <w:rPr>
          <w:rFonts w:ascii="Microsoft Sans Serif" w:hAnsi="Microsoft Sans Serif" w:eastAsia="Calibri" w:cs="Microsoft Sans Serif"/>
          <w:sz w:val="20"/>
          <w:szCs w:val="20"/>
          <w:lang w:val="sr-Cyrl-RS"/>
        </w:rPr>
        <w:t>.</w:t>
      </w:r>
    </w:p>
    <w:p w14:paraId="7A0C8769">
      <w:pPr>
        <w:widowControl w:val="0"/>
        <w:tabs>
          <w:tab w:val="clear" w:pos="284"/>
        </w:tabs>
        <w:rPr>
          <w:rFonts w:ascii="Microsoft Sans Serif" w:hAnsi="Microsoft Sans Serif" w:eastAsia="Calibri" w:cs="Microsoft Sans Serif"/>
          <w:sz w:val="20"/>
          <w:szCs w:val="20"/>
          <w:lang w:val="sr-Cyrl-RS"/>
        </w:rPr>
      </w:pPr>
    </w:p>
    <w:p w14:paraId="4DB3CBD8">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Način primjene</w:t>
      </w:r>
    </w:p>
    <w:p w14:paraId="059FEB5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mora primjeniti oralno.</w:t>
      </w:r>
    </w:p>
    <w:p w14:paraId="7CF1DE6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Film tablete ne smiju se drobiti, sjeći niti žvakati, kako bi se održala dosljednost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doziranja i smanjio rizik dodira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kožom; moraju se progutati cijele. Film tablete ne smiju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se rastvarati jer je izloženost lijeku kod pacijenata koji uzmu rastvorenu tabletu manja nego kod onih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progutaju cijelu tabletu. Za</w:t>
      </w:r>
      <w:r>
        <w:rPr>
          <w:rFonts w:ascii="Microsoft Sans Serif" w:hAnsi="Microsoft Sans Serif" w:eastAsia="Calibri" w:cs="Microsoft Sans Serif"/>
          <w:sz w:val="20"/>
          <w:szCs w:val="20"/>
          <w:lang w:val="sr-Cyrl-RS"/>
        </w:rPr>
        <w:t xml:space="preserve"> pedijatrijske</w:t>
      </w:r>
      <w:r>
        <w:rPr>
          <w:rFonts w:ascii="Microsoft Sans Serif" w:hAnsi="Microsoft Sans Serif" w:eastAsia="Calibri" w:cs="Microsoft Sans Serif"/>
          <w:sz w:val="20"/>
          <w:szCs w:val="20"/>
          <w:lang w:val="sv-SE"/>
        </w:rPr>
        <w:t xml:space="preserve"> pacijente </w:t>
      </w:r>
      <w:r>
        <w:rPr>
          <w:rFonts w:ascii="Microsoft Sans Serif" w:hAnsi="Microsoft Sans Serif" w:eastAsia="Calibri" w:cs="Microsoft Sans Serif"/>
          <w:sz w:val="20"/>
          <w:szCs w:val="20"/>
          <w:lang w:val="sr-Cyrl-RS"/>
        </w:rPr>
        <w:t>sa</w:t>
      </w:r>
      <w:r>
        <w:rPr>
          <w:rFonts w:ascii="Microsoft Sans Serif" w:hAnsi="Microsoft Sans Serif" w:cs="Microsoft Sans Serif"/>
          <w:sz w:val="20"/>
          <w:szCs w:val="20"/>
          <w:lang w:val="sv-SE"/>
        </w:rPr>
        <w:t xml:space="preserve"> Ph+ HML-HF i </w:t>
      </w:r>
      <w:r>
        <w:rPr>
          <w:rFonts w:ascii="Microsoft Sans Serif" w:hAnsi="Microsoft Sans Serif" w:eastAsia="Calibri" w:cs="Microsoft Sans Serif"/>
          <w:sz w:val="20"/>
          <w:szCs w:val="20"/>
          <w:lang w:val="sr-Cyrl-RS"/>
        </w:rPr>
        <w:t xml:space="preserve">Ph+ ALL </w:t>
      </w:r>
      <w:r>
        <w:rPr>
          <w:rFonts w:ascii="Microsoft Sans Serif" w:hAnsi="Microsoft Sans Serif" w:eastAsia="Calibri" w:cs="Microsoft Sans Serif"/>
          <w:sz w:val="20"/>
          <w:szCs w:val="20"/>
          <w:lang w:val="hr-BA"/>
        </w:rPr>
        <w:t xml:space="preserve">i odrasle pacijente sa HML u hroničnoj fazi </w:t>
      </w:r>
      <w:r>
        <w:rPr>
          <w:rFonts w:ascii="Microsoft Sans Serif" w:hAnsi="Microsoft Sans Serif" w:eastAsia="Calibri" w:cs="Microsoft Sans Serif"/>
          <w:sz w:val="20"/>
          <w:szCs w:val="20"/>
          <w:lang w:val="sv-SE"/>
        </w:rPr>
        <w:t>koji ne mogu progutati tablete dostupan je i prašak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za oralnu suspenziju.</w:t>
      </w:r>
    </w:p>
    <w:p w14:paraId="65EDA7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može uzimati uz obrok ili bez njega, ali se mora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uvijek dosljedno ili ujutro ili uveče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lang w:val="sr-Cyrl-RS"/>
        </w:rPr>
        <w:t xml:space="preserve"> 5.2)</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ne smije uzimati sa grejpfrutom ni sokom od grejpfruta (pogledati 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4.5).</w:t>
      </w:r>
    </w:p>
    <w:p w14:paraId="69476427">
      <w:pPr>
        <w:widowControl w:val="0"/>
        <w:tabs>
          <w:tab w:val="clear" w:pos="284"/>
        </w:tabs>
        <w:rPr>
          <w:rFonts w:ascii="Microsoft Sans Serif" w:hAnsi="Microsoft Sans Serif" w:eastAsia="Calibri" w:cs="Microsoft Sans Serif"/>
          <w:sz w:val="20"/>
          <w:szCs w:val="20"/>
          <w:lang w:val="sv-SE"/>
        </w:rPr>
      </w:pPr>
    </w:p>
    <w:p w14:paraId="561C66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1A938361">
      <w:pPr>
        <w:rPr>
          <w:rFonts w:ascii="Microsoft Sans Serif" w:hAnsi="Microsoft Sans Serif" w:cs="Microsoft Sans Serif"/>
          <w:b/>
          <w:bCs/>
          <w:sz w:val="20"/>
          <w:szCs w:val="20"/>
          <w:lang w:val="sv-SE"/>
        </w:rPr>
      </w:pPr>
    </w:p>
    <w:p w14:paraId="2823D0C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neku od pomoćnih supstanci navedenih u dijelu 6.1.</w:t>
      </w:r>
    </w:p>
    <w:p w14:paraId="1DFA4D50">
      <w:pPr>
        <w:rPr>
          <w:rFonts w:ascii="Microsoft Sans Serif" w:hAnsi="Microsoft Sans Serif" w:cs="Microsoft Sans Serif"/>
          <w:b/>
          <w:bCs/>
          <w:sz w:val="20"/>
          <w:szCs w:val="20"/>
          <w:lang w:val="sv-SE"/>
        </w:rPr>
      </w:pPr>
    </w:p>
    <w:p w14:paraId="2F7C1E4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4.4. Posebna upozorenja i mjere opreza pri upotrebi </w:t>
      </w:r>
      <w:r>
        <w:rPr>
          <w:rFonts w:ascii="Microsoft Sans Serif" w:hAnsi="Microsoft Sans Serif" w:cs="Microsoft Sans Serif"/>
          <w:b/>
          <w:bCs/>
          <w:sz w:val="20"/>
          <w:szCs w:val="20"/>
          <w:lang w:val="sr-Latn-RS"/>
        </w:rPr>
        <w:t>lijeka</w:t>
      </w:r>
    </w:p>
    <w:p w14:paraId="47A20436">
      <w:pPr>
        <w:widowControl w:val="0"/>
        <w:tabs>
          <w:tab w:val="clear" w:pos="284"/>
        </w:tabs>
        <w:rPr>
          <w:rFonts w:ascii="Microsoft Sans Serif" w:hAnsi="Microsoft Sans Serif" w:cs="Microsoft Sans Serif"/>
          <w:sz w:val="20"/>
          <w:szCs w:val="20"/>
          <w:lang w:val="sv-SE"/>
        </w:rPr>
      </w:pPr>
    </w:p>
    <w:p w14:paraId="2D886439">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Klinički značajne interakcije</w:t>
      </w:r>
    </w:p>
    <w:p w14:paraId="64799D5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Dasatinib je supstrat i inhibitor citohroma P450 (CYP) 3A4. Stoga postoji mogućnost interakcije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 xml:space="preserve">drugim istovremeno primjenjenim lijekovima koji se metabolišu primarno preko </w:t>
      </w:r>
      <w:r>
        <w:rPr>
          <w:rFonts w:ascii="Microsoft Sans Serif" w:hAnsi="Microsoft Sans Serif" w:cs="Microsoft Sans Serif"/>
          <w:sz w:val="20"/>
          <w:szCs w:val="20"/>
          <w:lang w:val="sr-Latn-RS"/>
        </w:rPr>
        <w:t>CYP</w:t>
      </w:r>
      <w:r>
        <w:rPr>
          <w:rFonts w:ascii="Microsoft Sans Serif" w:hAnsi="Microsoft Sans Serif" w:cs="Microsoft Sans Serif"/>
          <w:sz w:val="20"/>
          <w:szCs w:val="20"/>
          <w:lang w:val="sv-SE"/>
        </w:rPr>
        <w:t>3A4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mijenjaju aktivnost tog enzima (pogledati dio 4.5).</w:t>
      </w:r>
    </w:p>
    <w:p w14:paraId="22280796">
      <w:pPr>
        <w:widowControl w:val="0"/>
        <w:tabs>
          <w:tab w:val="clear" w:pos="284"/>
        </w:tabs>
        <w:rPr>
          <w:rFonts w:ascii="Microsoft Sans Serif" w:hAnsi="Microsoft Sans Serif" w:cs="Microsoft Sans Serif"/>
          <w:sz w:val="20"/>
          <w:szCs w:val="20"/>
          <w:lang w:val="sv-SE"/>
        </w:rPr>
      </w:pPr>
    </w:p>
    <w:p w14:paraId="289633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dasatiniba i lijekova ili supstanci koje potentno inhibiraju CYP3A4 (npr. 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itrakonazol, eritromicin, klaritromicin, ritonavir, telitromicin, sok od grejpfruta) može povećati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dasatinibu. Stoga se kod pacijenata koji primaju dasatinib ne preporučuje istovremena primjena potentnih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CYP3A4 (pogledati dio 4.5).</w:t>
      </w:r>
    </w:p>
    <w:p w14:paraId="5C608495">
      <w:pPr>
        <w:widowControl w:val="0"/>
        <w:tabs>
          <w:tab w:val="clear" w:pos="284"/>
        </w:tabs>
        <w:rPr>
          <w:rFonts w:ascii="Microsoft Sans Serif" w:hAnsi="Microsoft Sans Serif" w:cs="Microsoft Sans Serif"/>
          <w:sz w:val="20"/>
          <w:szCs w:val="20"/>
          <w:lang w:val="sv-SE"/>
        </w:rPr>
      </w:pPr>
    </w:p>
    <w:p w14:paraId="2541A87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dasatiniba i lijekova koji indukuju CYP3A4 (npr. deksametazon, 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 rifampicin, fenobarbital ili bilјni pr</w:t>
      </w:r>
      <w:r>
        <w:rPr>
          <w:rFonts w:ascii="Microsoft Sans Serif" w:hAnsi="Microsoft Sans Serif" w:cs="Microsoft Sans Serif"/>
          <w:sz w:val="20"/>
          <w:szCs w:val="20"/>
          <w:lang w:val="sr-Cyrl-RS"/>
        </w:rPr>
        <w:t>eparati</w:t>
      </w:r>
      <w:r>
        <w:rPr>
          <w:rFonts w:ascii="Microsoft Sans Serif" w:hAnsi="Microsoft Sans Serif" w:cs="Microsoft Sans Serif"/>
          <w:sz w:val="20"/>
          <w:szCs w:val="20"/>
        </w:rPr>
        <w:t xml:space="preserve"> koji sadrže Hypericum perforatum,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 pod imenom „kantarion“) mogu znatno smanjiti izloženost dasatinibu i time povećati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 od neuspjeha liječenja. Stoga je kod pacijenata koji primaju dasatinib potrebno izabrati alternativne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manjim potencijalom za indukciju CYP3A4 (pogledati dio 4.5).</w:t>
      </w:r>
    </w:p>
    <w:p w14:paraId="62E97CBA">
      <w:pPr>
        <w:widowControl w:val="0"/>
        <w:tabs>
          <w:tab w:val="clear" w:pos="284"/>
        </w:tabs>
        <w:rPr>
          <w:rFonts w:ascii="Microsoft Sans Serif" w:hAnsi="Microsoft Sans Serif" w:cs="Microsoft Sans Serif"/>
          <w:sz w:val="20"/>
          <w:szCs w:val="20"/>
        </w:rPr>
      </w:pPr>
    </w:p>
    <w:p w14:paraId="2E0DAB0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 primjena dasatiniba i supstrata CYP3A4 može povećati izloženost supstratu CYP3A4.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indeks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astemizol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terfenadin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pimozid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h</w:t>
      </w:r>
      <w:r>
        <w:rPr>
          <w:rFonts w:ascii="Microsoft Sans Serif" w:hAnsi="Microsoft Sans Serif" w:eastAsia="Calibri" w:cs="Microsoft Sans Serif"/>
          <w:sz w:val="20"/>
          <w:szCs w:val="20"/>
        </w:rPr>
        <w:t>inidin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bepridil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alkaloidi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ergotamin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dihidroergotamin</w:t>
      </w:r>
      <w:r>
        <w:rPr>
          <w:rFonts w:ascii="Microsoft Sans Serif" w:hAnsi="Microsoft Sans Serif" w:eastAsia="Calibri" w:cs="Microsoft Sans Serif"/>
          <w:sz w:val="20"/>
          <w:szCs w:val="20"/>
          <w:lang w:val="sr-Cyrl-RS"/>
        </w:rPr>
        <w:t>)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6B2BC3BC">
      <w:pPr>
        <w:widowControl w:val="0"/>
        <w:tabs>
          <w:tab w:val="clear" w:pos="284"/>
        </w:tabs>
        <w:rPr>
          <w:rFonts w:ascii="Microsoft Sans Serif" w:hAnsi="Microsoft Sans Serif" w:eastAsia="Calibri" w:cs="Microsoft Sans Serif"/>
          <w:sz w:val="20"/>
          <w:szCs w:val="20"/>
          <w:lang w:val="sr-Cyrl-RS"/>
        </w:rPr>
      </w:pPr>
    </w:p>
    <w:p w14:paraId="5D67156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histaminskih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famotidin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omeprazol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proizvodi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poslije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0DC7D6CA">
      <w:pPr>
        <w:widowControl w:val="0"/>
        <w:tabs>
          <w:tab w:val="clear" w:pos="284"/>
        </w:tabs>
        <w:rPr>
          <w:rFonts w:ascii="Microsoft Sans Serif" w:hAnsi="Microsoft Sans Serif" w:eastAsia="Calibri" w:cs="Microsoft Sans Serif"/>
          <w:sz w:val="20"/>
          <w:szCs w:val="20"/>
          <w:lang w:val="sr-Cyrl-RS"/>
        </w:rPr>
      </w:pPr>
    </w:p>
    <w:p w14:paraId="4687AFD1">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5E70B3C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lang w:val="sr-Cyrl-RS"/>
        </w:rPr>
        <w:t xml:space="preserve"> studije pojedinačne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jetre.</w:t>
      </w:r>
    </w:p>
    <w:p w14:paraId="63453D78">
      <w:pPr>
        <w:widowControl w:val="0"/>
        <w:tabs>
          <w:tab w:val="clear" w:pos="284"/>
        </w:tabs>
        <w:rPr>
          <w:rFonts w:ascii="Microsoft Sans Serif" w:hAnsi="Microsoft Sans Serif" w:eastAsia="Calibri" w:cs="Microsoft Sans Serif"/>
          <w:sz w:val="20"/>
          <w:szCs w:val="20"/>
          <w:lang w:val="sr-Cyrl-RS"/>
        </w:rPr>
      </w:pPr>
    </w:p>
    <w:p w14:paraId="72541535">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Va</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reakcije</w:t>
      </w:r>
    </w:p>
    <w:p w14:paraId="4E4EEA8D">
      <w:pPr>
        <w:widowControl w:val="0"/>
        <w:tabs>
          <w:tab w:val="clear" w:pos="284"/>
        </w:tabs>
        <w:rPr>
          <w:rFonts w:ascii="Microsoft Sans Serif" w:hAnsi="Microsoft Sans Serif" w:eastAsia="Calibri" w:cs="Microsoft Sans Serif"/>
          <w:i/>
          <w:sz w:val="20"/>
          <w:szCs w:val="20"/>
          <w:u w:val="single"/>
          <w:lang w:val="sr-Cyrl-RS"/>
        </w:rPr>
      </w:pPr>
    </w:p>
    <w:p w14:paraId="1EBE92A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Mijelosupresija</w:t>
      </w:r>
    </w:p>
    <w:p w14:paraId="027219B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anemijom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ihova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12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konsolidacijskih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oporavka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Mijelosupresija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reverzibilna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w:t>
      </w:r>
    </w:p>
    <w:p w14:paraId="50ECE726">
      <w:pPr>
        <w:widowControl w:val="0"/>
        <w:tabs>
          <w:tab w:val="clear" w:pos="284"/>
        </w:tabs>
        <w:rPr>
          <w:rFonts w:ascii="Microsoft Sans Serif" w:hAnsi="Microsoft Sans Serif" w:cs="Microsoft Sans Serif"/>
          <w:sz w:val="20"/>
          <w:szCs w:val="20"/>
          <w:lang w:val="sr-Cyrl-RS"/>
        </w:rPr>
      </w:pPr>
    </w:p>
    <w:p w14:paraId="2B6C8E3F">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Krvarenje</w:t>
      </w:r>
    </w:p>
    <w:p w14:paraId="7E99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=548), 5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=304),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centralnom nervnom sistemu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trombocitopenijom</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Common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Toxicity</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CTC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r-Cyrl-RS"/>
        </w:rPr>
        <w:t>).</w:t>
      </w:r>
    </w:p>
    <w:p w14:paraId="76EBB78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generalno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zahtjevalo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transfuzije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krvarenja 3. ili 4. stepena javila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se kod 2%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HML u uznapredovaloj fazi.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tih pacijenata većina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povezanih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krvarenjima bila je povezana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trombocitopenijom 3. ili 4. stepena (pogledati dio 4.8). Dodatno,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određivanje trombocita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upućuje na to</w:t>
      </w:r>
      <w:r>
        <w:rPr>
          <w:rFonts w:ascii="Microsoft Sans Serif" w:hAnsi="Microsoft Sans Serif" w:cs="Microsoft Sans Serif"/>
          <w:sz w:val="20"/>
          <w:szCs w:val="20"/>
          <w:lang w:val="sv-SE"/>
        </w:rPr>
        <w:t xml:space="preserve"> da liječenje dasatinibom reverzibilno utiče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aktivaciju trombocita.</w:t>
      </w:r>
      <w:r>
        <w:rPr>
          <w:rFonts w:ascii="Microsoft Sans Serif" w:hAnsi="Microsoft Sans Serif" w:cs="Microsoft Sans Serif"/>
          <w:sz w:val="20"/>
          <w:szCs w:val="20"/>
          <w:lang w:val="sr-Cyrl-RS"/>
        </w:rPr>
        <w:t xml:space="preserve"> </w:t>
      </w:r>
    </w:p>
    <w:p w14:paraId="5E7EA738">
      <w:pPr>
        <w:widowControl w:val="0"/>
        <w:tabs>
          <w:tab w:val="clear" w:pos="284"/>
        </w:tabs>
        <w:rPr>
          <w:rFonts w:ascii="Microsoft Sans Serif" w:hAnsi="Microsoft Sans Serif" w:cs="Microsoft Sans Serif"/>
          <w:sz w:val="20"/>
          <w:szCs w:val="20"/>
          <w:lang w:val="sr-Cyrl-RS"/>
        </w:rPr>
      </w:pPr>
    </w:p>
    <w:p w14:paraId="7054D0F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Oprez je potreban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antikoagulanse</w:t>
      </w:r>
      <w:r>
        <w:rPr>
          <w:rFonts w:ascii="Microsoft Sans Serif" w:hAnsi="Microsoft Sans Serif" w:cs="Microsoft Sans Serif"/>
          <w:sz w:val="20"/>
          <w:szCs w:val="20"/>
          <w:lang w:val="sr-Cyrl-RS"/>
        </w:rPr>
        <w:t>.</w:t>
      </w:r>
    </w:p>
    <w:p w14:paraId="5304E70A">
      <w:pPr>
        <w:widowControl w:val="0"/>
        <w:tabs>
          <w:tab w:val="clear" w:pos="284"/>
        </w:tabs>
        <w:rPr>
          <w:rFonts w:ascii="Microsoft Sans Serif" w:hAnsi="Microsoft Sans Serif" w:eastAsia="Calibri" w:cs="Microsoft Sans Serif"/>
          <w:i/>
          <w:sz w:val="20"/>
          <w:szCs w:val="20"/>
          <w:lang w:val="sr-Cyrl-RS"/>
        </w:rPr>
      </w:pPr>
    </w:p>
    <w:p w14:paraId="7E20572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Zadr</w:t>
      </w:r>
      <w:r>
        <w:rPr>
          <w:rFonts w:ascii="Microsoft Sans Serif" w:hAnsi="Microsoft Sans Serif" w:eastAsia="Calibri" w:cs="Microsoft Sans Serif"/>
          <w:i/>
          <w:sz w:val="20"/>
          <w:szCs w:val="20"/>
          <w:u w:val="single"/>
          <w:lang w:val="sr-Cyrl-RS"/>
        </w:rPr>
        <w:t>ž</w:t>
      </w:r>
      <w:r>
        <w:rPr>
          <w:rFonts w:ascii="Microsoft Sans Serif" w:hAnsi="Microsoft Sans Serif" w:eastAsia="Calibri" w:cs="Microsoft Sans Serif"/>
          <w:i/>
          <w:sz w:val="20"/>
          <w:szCs w:val="20"/>
          <w:u w:val="single"/>
        </w:rPr>
        <w:t>avanje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č</w:t>
      </w:r>
      <w:r>
        <w:rPr>
          <w:rFonts w:ascii="Microsoft Sans Serif" w:hAnsi="Microsoft Sans Serif" w:eastAsia="Calibri" w:cs="Microsoft Sans Serif"/>
          <w:i/>
          <w:sz w:val="20"/>
          <w:szCs w:val="20"/>
          <w:u w:val="single"/>
        </w:rPr>
        <w:t>nosti</w:t>
      </w:r>
    </w:p>
    <w:p w14:paraId="7BB42F6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III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13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(5%)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i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32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(6%)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=548).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=304),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8%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7%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edem</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w:t>
      </w:r>
    </w:p>
    <w:p w14:paraId="3645BDF2">
      <w:pPr>
        <w:widowControl w:val="0"/>
        <w:tabs>
          <w:tab w:val="clear" w:pos="284"/>
        </w:tabs>
        <w:rPr>
          <w:rFonts w:ascii="Microsoft Sans Serif" w:hAnsi="Microsoft Sans Serif" w:eastAsia="Calibri" w:cs="Microsoft Sans Serif"/>
          <w:sz w:val="20"/>
          <w:szCs w:val="20"/>
          <w:lang w:val="sr-Cyrl-RS"/>
        </w:rPr>
      </w:pPr>
    </w:p>
    <w:p w14:paraId="4A8BD98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al</w:t>
      </w:r>
      <w:r>
        <w:rPr>
          <w:rFonts w:ascii="Microsoft Sans Serif" w:hAnsi="Microsoft Sans Serif" w:eastAsia="Calibri" w:cs="Microsoft Sans Serif"/>
          <w:sz w:val="20"/>
          <w:szCs w:val="20"/>
          <w:lang w:val="sr-Cyrl-RS"/>
        </w:rPr>
        <w:t xml:space="preserve">ј,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rendgenski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snimak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zahtjevati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torakocenteze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kiseonikom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uglavnom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zbrinute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suportivnih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ivale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diuretika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kratkotrajnu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steroida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65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vjerovatno</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javlјanja </w:t>
      </w:r>
      <w:r>
        <w:rPr>
          <w:rFonts w:ascii="Microsoft Sans Serif" w:hAnsi="Microsoft Sans Serif" w:eastAsia="Calibri" w:cs="Microsoft Sans Serif"/>
          <w:sz w:val="20"/>
          <w:szCs w:val="20"/>
        </w:rPr>
        <w:t>pleuralnog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kongestivnog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zastoja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mla</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stariji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pažlјivo pratiti.</w:t>
      </w:r>
      <w:r>
        <w:rPr>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hilotoraksa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pleuralnim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6E0F7CD3">
      <w:pPr>
        <w:widowControl w:val="0"/>
        <w:tabs>
          <w:tab w:val="clear" w:pos="284"/>
        </w:tabs>
        <w:rPr>
          <w:rFonts w:ascii="Microsoft Sans Serif" w:hAnsi="Microsoft Sans Serif" w:eastAsia="Calibri" w:cs="Microsoft Sans Serif"/>
          <w:sz w:val="20"/>
          <w:szCs w:val="20"/>
          <w:lang w:val="sr-Cyrl-RS"/>
        </w:rPr>
      </w:pPr>
    </w:p>
    <w:p w14:paraId="6334904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Plu</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na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arterijska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hipertenzija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PAH</w:t>
      </w:r>
      <w:r>
        <w:rPr>
          <w:rFonts w:ascii="Microsoft Sans Serif" w:hAnsi="Microsoft Sans Serif" w:eastAsia="Calibri" w:cs="Microsoft Sans Serif"/>
          <w:i/>
          <w:sz w:val="20"/>
          <w:szCs w:val="20"/>
          <w:u w:val="single"/>
          <w:lang w:val="sr-Cyrl-RS"/>
        </w:rPr>
        <w:t>)</w:t>
      </w:r>
    </w:p>
    <w:p w14:paraId="728EF323">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prekapilarna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arterijska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kateterizacijom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ajevima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la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slučajeve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w:t>
      </w:r>
    </w:p>
    <w:p w14:paraId="064359A2">
      <w:pPr>
        <w:widowControl w:val="0"/>
        <w:tabs>
          <w:tab w:val="clear" w:pos="284"/>
        </w:tabs>
        <w:rPr>
          <w:rFonts w:ascii="Microsoft Sans Serif" w:hAnsi="Microsoft Sans Serif" w:eastAsia="Calibri" w:cs="Microsoft Sans Serif"/>
          <w:sz w:val="20"/>
          <w:szCs w:val="20"/>
          <w:lang w:val="sr-Cyrl-RS"/>
        </w:rPr>
      </w:pPr>
    </w:p>
    <w:p w14:paraId="71128AA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e treba </w:t>
      </w:r>
      <w:r>
        <w:rPr>
          <w:rFonts w:ascii="Microsoft Sans Serif" w:hAnsi="Microsoft Sans Serif" w:eastAsia="Calibri" w:cs="Microsoft Sans Serif"/>
          <w:sz w:val="20"/>
          <w:szCs w:val="20"/>
        </w:rPr>
        <w:t>pregledati</w:t>
      </w:r>
      <w:r>
        <w:rPr>
          <w:rFonts w:ascii="Microsoft Sans Serif" w:hAnsi="Microsoft Sans Serif" w:eastAsia="Calibri" w:cs="Microsoft Sans Serif"/>
          <w:sz w:val="20"/>
          <w:szCs w:val="20"/>
          <w:lang w:val="sr-Cyrl-RS"/>
        </w:rPr>
        <w:t xml:space="preserve"> kako bi se utvrdili </w:t>
      </w:r>
      <w:r>
        <w:rPr>
          <w:rFonts w:ascii="Microsoft Sans Serif" w:hAnsi="Microsoft Sans Serif" w:eastAsia="Calibri" w:cs="Microsoft Sans Serif"/>
          <w:sz w:val="20"/>
          <w:szCs w:val="20"/>
        </w:rPr>
        <w:t>zna</w:t>
      </w:r>
      <w:r>
        <w:rPr>
          <w:rFonts w:ascii="Microsoft Sans Serif" w:hAnsi="Microsoft Sans Serif" w:eastAsia="Calibri" w:cs="Microsoft Sans Serif"/>
          <w:sz w:val="20"/>
          <w:szCs w:val="20"/>
          <w:lang w:val="sr-Cyrl-RS"/>
        </w:rPr>
        <w:t xml:space="preserve">ci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w:t>
      </w:r>
      <w:r>
        <w:rPr>
          <w:rFonts w:ascii="Microsoft Sans Serif" w:hAnsi="Microsoft Sans Serif" w:eastAsia="Calibri" w:cs="Microsoft Sans Serif"/>
          <w:sz w:val="20"/>
          <w:szCs w:val="20"/>
          <w:lang w:val="sr-Cyrl-RS"/>
        </w:rPr>
        <w:t xml:space="preserve">i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napraviti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faktori</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Kod</w:t>
      </w:r>
      <w:r>
        <w:rPr>
          <w:rFonts w:ascii="Microsoft Sans Serif" w:hAnsi="Microsoft Sans Serif" w:eastAsia="Calibri" w:cs="Microsoft Sans Serif"/>
          <w:sz w:val="20"/>
          <w:szCs w:val="20"/>
        </w:rPr>
        <w:t xml:space="preserve"> pacijenata koji razviju dispneju i umor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početka terapije mora se razmotriti uobičajena etiologija tih simptoma, uklјučujući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plućni edem, anemiju ili infiltraciju pluća.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preporukama za liječenje nehematoloških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(pogledati dio 4.2), za vrijeme ove evaluacije mora se smanjiti doza dasatiniba ili 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njegova primjena. Ako se ne pronađe objašnjenje ili uzrok ili ako nema pobolјšanja na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 ili prekid terapije, mora se razmotriti dijagnoza PAH-a. Dijagnostički pristup mora sljediti i biti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 skladu sa standardnim smjernicama. Ako se potvrdi PAH, primjena dasatiniba mora se trajno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 Praćenje pacijenata mora biti u skladu sa standardnim smjernicama. Nakon 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 dasatinibom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 koji su primali dasatinib primjećena su pobolјšanja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hemodinamskih i kliničkih parametara.</w:t>
      </w:r>
    </w:p>
    <w:p w14:paraId="6F5D720B">
      <w:pPr>
        <w:widowControl w:val="0"/>
        <w:tabs>
          <w:tab w:val="clear" w:pos="284"/>
        </w:tabs>
        <w:rPr>
          <w:rFonts w:ascii="Microsoft Sans Serif" w:hAnsi="Microsoft Sans Serif" w:eastAsia="Calibri" w:cs="Microsoft Sans Serif"/>
          <w:i/>
          <w:sz w:val="20"/>
          <w:szCs w:val="20"/>
        </w:rPr>
      </w:pPr>
    </w:p>
    <w:p w14:paraId="31A127A1">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 xml:space="preserve">Produženje QT intervala </w:t>
      </w:r>
    </w:p>
    <w:p w14:paraId="0E7A06C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Podaci iz ispitivanja </w:t>
      </w:r>
      <w:r>
        <w:rPr>
          <w:rFonts w:ascii="Microsoft Sans Serif" w:hAnsi="Microsoft Sans Serif" w:eastAsia="Calibri" w:cs="Microsoft Sans Serif"/>
          <w:i/>
          <w:sz w:val="20"/>
          <w:szCs w:val="20"/>
        </w:rPr>
        <w:t>in vitro</w:t>
      </w:r>
      <w:r>
        <w:rPr>
          <w:rFonts w:ascii="Microsoft Sans Serif" w:hAnsi="Microsoft Sans Serif" w:eastAsia="Calibri" w:cs="Microsoft Sans Serif"/>
          <w:sz w:val="20"/>
          <w:szCs w:val="20"/>
        </w:rPr>
        <w:t xml:space="preserve"> pokazuju da dasatinib može produžiti repolarizaciju srčane komore (QT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 (pogledati dio 5.3). Od 258 pacijenata liječenih dasatinibom i 258 pacijenata liječenih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 u ispitivanju faze III terapije novodijagnostikovane CML u hroničnoj fazi, nakon najmanje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60 mjeseci praćenja, po 1 pacijent (&lt; 1%) u svakoj grupi imao je produženje 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prijavlјeno kao neželјena reakcija. </w:t>
      </w:r>
      <w:r>
        <w:rPr>
          <w:rFonts w:ascii="Microsoft Sans Serif" w:hAnsi="Microsoft Sans Serif" w:eastAsia="Calibri" w:cs="Microsoft Sans Serif"/>
          <w:sz w:val="20"/>
          <w:szCs w:val="20"/>
          <w:lang w:val="sr-Cyrl-RS"/>
        </w:rPr>
        <w:t>Srednja vrijednost</w:t>
      </w:r>
      <w:r>
        <w:rPr>
          <w:rFonts w:ascii="Microsoft Sans Serif" w:hAnsi="Microsoft Sans Serif" w:eastAsia="Calibri" w:cs="Microsoft Sans Serif"/>
          <w:sz w:val="20"/>
          <w:szCs w:val="20"/>
        </w:rPr>
        <w:t xml:space="preserve"> promene QT</w:t>
      </w:r>
      <w:r>
        <w:rPr>
          <w:rFonts w:ascii="Microsoft Sans Serif" w:hAnsi="Microsoft Sans Serif" w:eastAsia="Calibri" w:cs="Microsoft Sans Serif"/>
          <w:sz w:val="20"/>
          <w:szCs w:val="20"/>
          <w:lang w:val="sr-Latn-RS"/>
        </w:rPr>
        <w:t>cF</w:t>
      </w:r>
      <w:r>
        <w:rPr>
          <w:rFonts w:ascii="Microsoft Sans Serif" w:hAnsi="Microsoft Sans Serif" w:eastAsia="Calibri" w:cs="Microsoft Sans Serif"/>
          <w:sz w:val="20"/>
          <w:szCs w:val="20"/>
        </w:rPr>
        <w:t xml:space="preserve"> u odnosu na početnu vrijednost iznosila je 3,0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kod pacijenata liječenih dasatinibom u odnosu na 8,2 msec kod pacijenata liječenih imatinibom. 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jedan </w:t>
      </w:r>
      <w:r>
        <w:rPr>
          <w:rFonts w:ascii="Microsoft Sans Serif" w:hAnsi="Microsoft Sans Serif" w:eastAsia="Calibri" w:cs="Microsoft Sans Serif"/>
          <w:sz w:val="20"/>
          <w:szCs w:val="20"/>
          <w:lang w:val="sr-Cyrl-RS"/>
        </w:rPr>
        <w:t>pacijent</w:t>
      </w:r>
      <w:r>
        <w:rPr>
          <w:rFonts w:ascii="Microsoft Sans Serif" w:hAnsi="Microsoft Sans Serif" w:eastAsia="Calibri" w:cs="Microsoft Sans Serif"/>
          <w:sz w:val="20"/>
          <w:szCs w:val="20"/>
        </w:rPr>
        <w:t xml:space="preserve"> (&lt;1%) u svakoj grupi imao je QTcF &gt;500 msec.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865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leukemijom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bili lečeni dasatinibom u kliničkim ispitivanjima faze II, prosječne promjene od početnih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vrijednosti QTc intervala prema Fridericija metodi (QTcF) iznosile su 4-6 msec; gornje granice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intervala pouzdanosti za sve prosječne promjene u odnosu na početne vrijednosti bile su &lt;7 msec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 dio 4.8).</w:t>
      </w:r>
    </w:p>
    <w:p w14:paraId="7A620DF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Produženja QTc intervala bila su prijavlјena kao neželјene reakcije u 15 (1%) od 2182 pacijenata koji su rezistentni </w:t>
      </w:r>
      <w:r>
        <w:rPr>
          <w:rFonts w:ascii="Microsoft Sans Serif" w:hAnsi="Microsoft Sans Serif" w:eastAsia="Calibri" w:cs="Microsoft Sans Serif"/>
          <w:sz w:val="20"/>
          <w:szCs w:val="20"/>
          <w:lang w:val="sr-Cyrl-RS"/>
        </w:rPr>
        <w:t>ili ne podnose</w:t>
      </w:r>
      <w:r>
        <w:rPr>
          <w:rFonts w:ascii="Microsoft Sans Serif" w:hAnsi="Microsoft Sans Serif" w:eastAsia="Calibri" w:cs="Microsoft Sans Serif"/>
          <w:sz w:val="20"/>
          <w:szCs w:val="20"/>
        </w:rPr>
        <w:t xml:space="preserve"> prethodnu terapiju imatinibom, a koji su primali dasatinib u kliničkim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ispitivanjima.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21 pacijenta (&lt;1%) zabilježen je QTcF &gt;500 msec.</w:t>
      </w:r>
    </w:p>
    <w:p w14:paraId="0070777B">
      <w:pPr>
        <w:widowControl w:val="0"/>
        <w:tabs>
          <w:tab w:val="clear" w:pos="284"/>
        </w:tabs>
        <w:rPr>
          <w:rFonts w:ascii="Microsoft Sans Serif" w:hAnsi="Microsoft Sans Serif" w:eastAsia="Calibri" w:cs="Microsoft Sans Serif"/>
          <w:sz w:val="20"/>
          <w:szCs w:val="20"/>
        </w:rPr>
      </w:pPr>
    </w:p>
    <w:p w14:paraId="3B3D359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se mora primjenjivati sa oprezom kod pacijenata koji imaju ili kod kojih se može razviti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produženje QTc intervala. To uklјučuje 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hipokalemijom ili hipomagnezemijom,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kongenitalnim sindromom dugog QT intervala, pacijente koji uzimaju antiaritmike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lijekove koji mogu dovesti do produženja QT intervala te pacijente na kumulativno visokoj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dozi antraciklinske terapije. Hipokalemija ili hipomagnezemija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moraju korigovati prije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p>
    <w:p w14:paraId="47A87D47">
      <w:pPr>
        <w:widowControl w:val="0"/>
        <w:tabs>
          <w:tab w:val="clear" w:pos="284"/>
        </w:tabs>
        <w:rPr>
          <w:rFonts w:ascii="Microsoft Sans Serif" w:hAnsi="Microsoft Sans Serif" w:eastAsia="Calibri" w:cs="Microsoft Sans Serif"/>
          <w:sz w:val="20"/>
          <w:szCs w:val="20"/>
        </w:rPr>
      </w:pPr>
    </w:p>
    <w:p w14:paraId="25DAE56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lang w:val="sr-Cyrl-RS"/>
        </w:rPr>
        <w:t>Kardiološke neželјene reakcije</w:t>
      </w:r>
    </w:p>
    <w:p w14:paraId="03709DD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je ispitivan u randomizovanom kliničkom ispitivanju kod 519 pacijenata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 HML u hroničnoj fazi u koje su bili uklјučeni pacijenti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postojećom srčanom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bolešću.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kao što su kongestivna srčana insuficijencija/srčana disfunkcija,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aritmije, palpitacije, produženje QT intervala i infarkt miokarda (uklјučujući slučajeve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smrtnim ishodom) bile su zabilježene kod pacijenata koji su uzimali dasatinib.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bile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češće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 </w:t>
      </w:r>
      <w:r>
        <w:rPr>
          <w:rFonts w:ascii="Microsoft Sans Serif" w:hAnsi="Microsoft Sans Serif" w:eastAsia="Calibri" w:cs="Microsoft Sans Serif"/>
          <w:sz w:val="20"/>
          <w:szCs w:val="20"/>
          <w:lang w:val="sr-Cyrl-RS"/>
        </w:rPr>
        <w:t xml:space="preserve">rizika </w:t>
      </w:r>
      <w:r>
        <w:rPr>
          <w:rFonts w:ascii="Microsoft Sans Serif" w:hAnsi="Microsoft Sans Serif" w:eastAsia="Calibri" w:cs="Microsoft Sans Serif"/>
          <w:sz w:val="20"/>
          <w:szCs w:val="20"/>
        </w:rPr>
        <w:t xml:space="preserve">ili srčanom bolešću u anamnezi.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(npr. hipertenzija, hiperlipidemija, šećerna bolest) ili srčanom bolešću u anamnezi (npr. prethodna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perkutana koronarna intervencija, potvrđena bolest koronarnih arterija) moraju se pažlјivo pratiti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 kliničkih znakova i simptoma koji upućuju na disfunkciju srca, kao što su bol u grudima,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nedostatak vazduha i dijaforeza.</w:t>
      </w:r>
    </w:p>
    <w:p w14:paraId="6DF3881B">
      <w:pPr>
        <w:widowControl w:val="0"/>
        <w:tabs>
          <w:tab w:val="clear" w:pos="284"/>
        </w:tabs>
        <w:rPr>
          <w:rFonts w:ascii="Microsoft Sans Serif" w:hAnsi="Microsoft Sans Serif" w:eastAsia="Calibri" w:cs="Microsoft Sans Serif"/>
          <w:sz w:val="20"/>
          <w:szCs w:val="20"/>
        </w:rPr>
      </w:pPr>
    </w:p>
    <w:p w14:paraId="0608510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Ako se razviju ti klinički znakovi ili simptomi, ljekarima se savjetuje da privremeno prekinu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 dasatiniba i razmotre potrebu za primjenom neke druge terapije specifične za CML.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povlačenja tih znakova i simptoma, a prije nastavka liječenja dasatinibom, mora se izvršiti procjena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srčane funkcije. </w:t>
      </w:r>
      <w:r>
        <w:rPr>
          <w:rFonts w:ascii="Microsoft Sans Serif" w:hAnsi="Microsoft Sans Serif" w:eastAsia="Calibri" w:cs="Microsoft Sans Serif"/>
          <w:sz w:val="20"/>
          <w:szCs w:val="20"/>
          <w:lang w:val="sr-Cyrl-RS"/>
        </w:rPr>
        <w:t>Može se nastaviti sa primjenom dasatiniba</w:t>
      </w:r>
      <w:r>
        <w:rPr>
          <w:rFonts w:ascii="Microsoft Sans Serif" w:hAnsi="Microsoft Sans Serif" w:eastAsia="Calibri" w:cs="Microsoft Sans Serif"/>
          <w:sz w:val="20"/>
          <w:szCs w:val="20"/>
        </w:rPr>
        <w:t xml:space="preserve"> u prethodnoj dozi u slučaju da su neželјene 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 blage/umjerene (≤2 stepena) ili u smanjenoj dozi u slučaju teških neželјenih reakcija (≥3 stepena)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rPr>
        <w:t xml:space="preserve"> 4.2).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kod kojih se nastavlјa liječenje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se periodično kontrolisati.</w:t>
      </w:r>
    </w:p>
    <w:p w14:paraId="2A6EC66C">
      <w:pPr>
        <w:widowControl w:val="0"/>
        <w:tabs>
          <w:tab w:val="clear" w:pos="284"/>
        </w:tabs>
        <w:rPr>
          <w:rFonts w:ascii="Microsoft Sans Serif" w:hAnsi="Microsoft Sans Serif" w:eastAsia="Calibri" w:cs="Microsoft Sans Serif"/>
          <w:sz w:val="20"/>
          <w:szCs w:val="20"/>
          <w:lang w:val="sr-Cyrl-RS"/>
        </w:rPr>
      </w:pPr>
    </w:p>
    <w:p w14:paraId="081A42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nekontrolisanom ili značajnom kardiovaskularnom bolešću nisu bili uklјučeni u klinička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p>
    <w:p w14:paraId="16760FFA">
      <w:pPr>
        <w:widowControl w:val="0"/>
        <w:tabs>
          <w:tab w:val="clear" w:pos="284"/>
        </w:tabs>
        <w:rPr>
          <w:rFonts w:ascii="Microsoft Sans Serif" w:hAnsi="Microsoft Sans Serif" w:eastAsia="Calibri" w:cs="Microsoft Sans Serif"/>
          <w:i/>
          <w:sz w:val="20"/>
          <w:szCs w:val="20"/>
          <w:u w:val="single"/>
        </w:rPr>
      </w:pPr>
    </w:p>
    <w:p w14:paraId="6D5949ED">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Trombotična mikroangiopatija (TMA)</w:t>
      </w:r>
    </w:p>
    <w:p w14:paraId="0B1341C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Inhibitori BCR-ABL tirozin kinaze povezani su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trombotičnom mikroangiopatijom (TMA),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uklјučujući pojedinačne slučajeve prijavlјene </w:t>
      </w:r>
      <w:r>
        <w:rPr>
          <w:rFonts w:ascii="Microsoft Sans Serif" w:hAnsi="Microsoft Sans Serif" w:eastAsia="Calibri" w:cs="Microsoft Sans Serif"/>
          <w:sz w:val="20"/>
          <w:szCs w:val="20"/>
          <w:lang w:val="sr-Cyrl-RS"/>
        </w:rPr>
        <w:t>prilikom</w:t>
      </w:r>
      <w:r>
        <w:rPr>
          <w:rFonts w:ascii="Microsoft Sans Serif" w:hAnsi="Microsoft Sans Serif" w:eastAsia="Calibri" w:cs="Microsoft Sans Serif"/>
          <w:sz w:val="20"/>
          <w:szCs w:val="20"/>
        </w:rPr>
        <w:t xml:space="preserve"> primjene dasatiniba (pogledati dio 4.8). Ako</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 xml:space="preserve">laboratorijski ili klinički nalazi </w:t>
      </w:r>
      <w:r>
        <w:rPr>
          <w:rFonts w:ascii="Microsoft Sans Serif" w:hAnsi="Microsoft Sans Serif" w:eastAsia="Calibri" w:cs="Microsoft Sans Serif"/>
          <w:sz w:val="20"/>
          <w:szCs w:val="20"/>
          <w:lang w:val="sr-Cyrl-RS"/>
        </w:rPr>
        <w:t xml:space="preserve">povezani sa </w:t>
      </w:r>
      <w:r>
        <w:rPr>
          <w:rFonts w:ascii="Microsoft Sans Serif" w:hAnsi="Microsoft Sans Serif" w:eastAsia="Calibri" w:cs="Microsoft Sans Serif"/>
          <w:sz w:val="20"/>
          <w:szCs w:val="20"/>
        </w:rPr>
        <w:t xml:space="preserve">TMA </w:t>
      </w:r>
      <w:r>
        <w:rPr>
          <w:rFonts w:ascii="Microsoft Sans Serif" w:hAnsi="Microsoft Sans Serif" w:eastAsia="Calibri" w:cs="Microsoft Sans Serif"/>
          <w:sz w:val="20"/>
          <w:szCs w:val="20"/>
          <w:lang w:val="mk-MK"/>
        </w:rPr>
        <w:t xml:space="preserve">pojave </w:t>
      </w:r>
      <w:r>
        <w:rPr>
          <w:rFonts w:ascii="Microsoft Sans Serif" w:hAnsi="Microsoft Sans Serif" w:eastAsia="Calibri" w:cs="Microsoft Sans Serif"/>
          <w:sz w:val="20"/>
          <w:szCs w:val="20"/>
        </w:rPr>
        <w:t>kod pacijenta koji prima dasatinib, potrebno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prekinuti liječenje dasatinibom i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provesti detalјnu procjenu zbog utvrđivanja TMA, uklјučujući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određivanje aktivnosti enzima ADAMTS13 i postojanja </w:t>
      </w:r>
      <w:r>
        <w:rPr>
          <w:rFonts w:ascii="Microsoft Sans Serif" w:hAnsi="Microsoft Sans Serif" w:eastAsia="Calibri" w:cs="Microsoft Sans Serif"/>
          <w:sz w:val="20"/>
          <w:szCs w:val="20"/>
          <w:lang w:val="mk-MK"/>
        </w:rPr>
        <w:t>anti-</w:t>
      </w:r>
      <w:r>
        <w:rPr>
          <w:rFonts w:ascii="Microsoft Sans Serif" w:hAnsi="Microsoft Sans Serif" w:eastAsia="Calibri" w:cs="Microsoft Sans Serif"/>
          <w:sz w:val="20"/>
          <w:szCs w:val="20"/>
        </w:rPr>
        <w:t>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Ako je </w:t>
      </w:r>
      <w:r>
        <w:rPr>
          <w:rFonts w:ascii="Microsoft Sans Serif" w:hAnsi="Microsoft Sans Serif" w:eastAsia="Calibri" w:cs="Microsoft Sans Serif"/>
          <w:sz w:val="20"/>
          <w:szCs w:val="20"/>
          <w:lang w:val="sr-Cyrl-RS"/>
        </w:rPr>
        <w:t>nivo anti-</w:t>
      </w:r>
      <w:r>
        <w:rPr>
          <w:rFonts w:ascii="Microsoft Sans Serif" w:hAnsi="Microsoft Sans Serif" w:eastAsia="Calibri" w:cs="Microsoft Sans Serif"/>
          <w:sz w:val="20"/>
          <w:szCs w:val="20"/>
        </w:rPr>
        <w:t xml:space="preserve"> 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povišen, a aktivnost enzima ADAMTS13 niska, liječenje dasatinibom </w:t>
      </w:r>
      <w:r>
        <w:rPr>
          <w:rFonts w:ascii="Microsoft Sans Serif" w:hAnsi="Microsoft Sans Serif" w:eastAsia="Calibri" w:cs="Microsoft Sans Serif"/>
          <w:sz w:val="20"/>
          <w:szCs w:val="20"/>
          <w:lang w:val="sr-Cyrl-RS"/>
        </w:rPr>
        <w:t>se</w:t>
      </w:r>
      <w:r>
        <w:rPr>
          <w:rFonts w:ascii="Microsoft Sans Serif" w:hAnsi="Microsoft Sans Serif" w:eastAsia="Calibri" w:cs="Microsoft Sans Serif"/>
          <w:sz w:val="20"/>
          <w:szCs w:val="20"/>
        </w:rPr>
        <w:t xml:space="preserve"> 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smije nastaviti.</w:t>
      </w:r>
    </w:p>
    <w:p w14:paraId="7CCFB985">
      <w:pPr>
        <w:widowControl w:val="0"/>
        <w:tabs>
          <w:tab w:val="clear" w:pos="284"/>
        </w:tabs>
        <w:rPr>
          <w:rFonts w:ascii="Microsoft Sans Serif" w:hAnsi="Microsoft Sans Serif" w:eastAsia="Calibri" w:cs="Microsoft Sans Serif"/>
          <w:sz w:val="20"/>
          <w:szCs w:val="20"/>
          <w:lang w:val="sr-Latn-RS"/>
        </w:rPr>
      </w:pPr>
    </w:p>
    <w:p w14:paraId="043672B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 xml:space="preserve">Reaktivacija virusa </w:t>
      </w:r>
      <w:r>
        <w:rPr>
          <w:rFonts w:ascii="Microsoft Sans Serif" w:hAnsi="Microsoft Sans Serif" w:eastAsia="Calibri" w:cs="Microsoft Sans Serif"/>
          <w:i/>
          <w:sz w:val="20"/>
          <w:szCs w:val="20"/>
          <w:u w:val="single"/>
        </w:rPr>
        <w:t>hepatitis B</w:t>
      </w:r>
    </w:p>
    <w:p w14:paraId="37DC498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hronični nosioci virusa hepatitis B pojavila se ponovna aktivacija tog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što su primili inhibitore BCR-ABL tirozin kinaze. U 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 transplantacije jetre ili smrtnog ishoda.</w:t>
      </w:r>
    </w:p>
    <w:p w14:paraId="74B8AD5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je potrebno testirati na infekciju HBV-om prije početka liječenja </w:t>
      </w:r>
      <w:r>
        <w:rPr>
          <w:rFonts w:ascii="Microsoft Sans Serif" w:hAnsi="Microsoft Sans Serif" w:eastAsia="Calibri" w:cs="Microsoft Sans Serif"/>
          <w:sz w:val="20"/>
          <w:szCs w:val="20"/>
          <w:lang w:val="hr-BA"/>
        </w:rPr>
        <w:t>Nodriga</w:t>
      </w:r>
      <w:r>
        <w:rPr>
          <w:rFonts w:ascii="Microsoft Sans Serif" w:hAnsi="Microsoft Sans Serif" w:eastAsia="Calibri" w:cs="Microsoft Sans Serif"/>
          <w:sz w:val="20"/>
          <w:szCs w:val="20"/>
        </w:rPr>
        <w:t>. Prije početka liječenja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pozitivnim serološkim nalazima na hepatitis B (uklјučujući one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aktivnom bolešću) i za pacijente za koje se pokaže da su pozitivni na HBV tokom liječenja,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 je savjetovati se sa stručnjacima za bolesti jetre i liječenje hepatitisa B. Nosi</w:t>
      </w:r>
      <w:r>
        <w:rPr>
          <w:rFonts w:ascii="Microsoft Sans Serif" w:hAnsi="Microsoft Sans Serif" w:eastAsia="Calibri" w:cs="Microsoft Sans Serif"/>
          <w:sz w:val="20"/>
          <w:szCs w:val="20"/>
          <w:lang w:val="sr-Cyrl-RS"/>
        </w:rPr>
        <w:t>oce</w:t>
      </w:r>
      <w:r>
        <w:rPr>
          <w:rFonts w:ascii="Microsoft Sans Serif" w:hAnsi="Microsoft Sans Serif" w:eastAsia="Calibri" w:cs="Microsoft Sans Serif"/>
          <w:sz w:val="20"/>
          <w:szCs w:val="20"/>
        </w:rPr>
        <w:t xml:space="preserve">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HBV kojima je potrebno liječenje lijekom Nodriga, potrebno je pažlјivo pratiti zbog utvrđivanja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eventualnih znakova i simptoma aktivne infekcije HBV-om tokom terapije te nekoliko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završetka terapije (pogledati dio 4.8).</w:t>
      </w:r>
    </w:p>
    <w:p w14:paraId="6BDDC075">
      <w:pPr>
        <w:widowControl w:val="0"/>
        <w:tabs>
          <w:tab w:val="clear" w:pos="284"/>
        </w:tabs>
        <w:rPr>
          <w:rFonts w:ascii="Microsoft Sans Serif" w:hAnsi="Microsoft Sans Serif" w:eastAsia="Calibri" w:cs="Microsoft Sans Serif"/>
          <w:sz w:val="20"/>
          <w:szCs w:val="20"/>
        </w:rPr>
      </w:pPr>
    </w:p>
    <w:p w14:paraId="405B8463">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Uticaj na rast i razvoj kod pedijatrijskih pacijenata</w:t>
      </w:r>
    </w:p>
    <w:p w14:paraId="11F29F5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ispitivanjima dasatiniba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 koji su bili rezistentni na imatinib/nisu podnosili imatinib 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w:t>
      </w:r>
      <w:r>
        <w:rPr>
          <w:rFonts w:ascii="Microsoft Sans Serif" w:hAnsi="Microsoft Sans Serif" w:cs="Microsoft Sans Serif"/>
          <w:sz w:val="20"/>
          <w:szCs w:val="20"/>
          <w:lang w:val="sr-Cyrl-RS"/>
        </w:rPr>
        <w:t xml:space="preserve"> koji prethodno nisu bili liječeni</w:t>
      </w:r>
      <w:r>
        <w:rPr>
          <w:rFonts w:ascii="Microsoft Sans Serif" w:hAnsi="Microsoft Sans Serif" w:cs="Microsoft Sans Serif"/>
          <w:sz w:val="20"/>
          <w:szCs w:val="20"/>
        </w:rPr>
        <w:t>, lijekom uzrokovani neželјeni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najmanje 2 godine liječenja prijavlјeni kod 6 (4,6%) pacijenata, a jedan od njih bio je teškog intenziteta (zastoj u rastu 3. stepena). Tih 6 slučajeva uklјučivalo je slučajeve kasnog srastanja epifize, osteopenije, zastoja u rastu i ginekomastije (pogledati dio 5.1). Ove rezultate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teško tumačiti u kontekstu hroničnih bolesti kao što je HML i zahtjevaju dugoročno praćenje.</w:t>
      </w:r>
    </w:p>
    <w:p w14:paraId="0933E405">
      <w:pPr>
        <w:widowControl w:val="0"/>
        <w:tabs>
          <w:tab w:val="clear" w:pos="284"/>
        </w:tabs>
        <w:rPr>
          <w:rFonts w:ascii="Microsoft Sans Serif" w:hAnsi="Microsoft Sans Serif" w:cs="Microsoft Sans Serif"/>
          <w:sz w:val="20"/>
          <w:szCs w:val="20"/>
        </w:rPr>
      </w:pPr>
    </w:p>
    <w:p w14:paraId="23D66F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ispitivanjima dasatiniba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hem</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oterapijom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novodijagnostikovanim Ph+ ALL, lijekom uzrokovani neželјeni 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najviše 2 godine liječenja prijavlјeni kod 1 (0,6%) pacijenta. Radilo se o osteopeniji 1. stepena.</w:t>
      </w:r>
    </w:p>
    <w:p w14:paraId="5B7711AC">
      <w:pPr>
        <w:widowControl w:val="0"/>
        <w:tabs>
          <w:tab w:val="clear" w:pos="284"/>
        </w:tabs>
        <w:rPr>
          <w:rFonts w:ascii="Microsoft Sans Serif" w:hAnsi="Microsoft Sans Serif" w:cs="Microsoft Sans Serif"/>
          <w:sz w:val="20"/>
          <w:szCs w:val="20"/>
        </w:rPr>
      </w:pPr>
    </w:p>
    <w:p w14:paraId="3AF72600">
      <w:pPr>
        <w:widowControl w:val="0"/>
        <w:tabs>
          <w:tab w:val="clear" w:pos="284"/>
        </w:tabs>
        <w:spacing w:line="248" w:lineRule="auto"/>
        <w:jc w:val="left"/>
        <w:rPr>
          <w:rFonts w:ascii="Microsoft Sans Serif" w:hAnsi="Microsoft Sans Serif" w:cs="Microsoft Sans Serif"/>
          <w:sz w:val="20"/>
          <w:szCs w:val="20"/>
        </w:rPr>
      </w:pPr>
      <w:r>
        <w:rPr>
          <w:rFonts w:ascii="Microsoft Sans Serif" w:hAnsi="Microsoft Sans Serif" w:cs="Microsoft Sans Serif"/>
          <w:sz w:val="20"/>
          <w:szCs w:val="20"/>
        </w:rPr>
        <w:t>U kliničkim ispitivanjima primjećeno je usporavanje rasta kod pedijatrijskih pacijenata liječenih dasatinibom (pogledati dio 4.8). Poslije najviše 2 godine liječenja, primijećen je opadajući trend očekivane visine, u istom stepenu kao što je primijećeno kod upotrebe samo hemoterapije, bez uticaja na očekivanu težinu i indeks tjelesne težine (BMI) i bez povezanosti sa abnormalnostima nivoa hormona ili sa abnormalnostima drugih laboratorijskih parametara. Preporučuje se praćenje rasta i razvoja kostiju kod pedijatrijskih pacijenata</w:t>
      </w:r>
      <w:r>
        <w:rPr>
          <w:szCs w:val="22"/>
        </w:rPr>
        <w:t>.</w:t>
      </w:r>
    </w:p>
    <w:p w14:paraId="6A3B6AD3">
      <w:pPr>
        <w:widowControl w:val="0"/>
        <w:tabs>
          <w:tab w:val="clear" w:pos="284"/>
        </w:tabs>
        <w:rPr>
          <w:rFonts w:ascii="Microsoft Sans Serif" w:hAnsi="Microsoft Sans Serif" w:eastAsia="Calibri" w:cs="Microsoft Sans Serif"/>
          <w:sz w:val="20"/>
          <w:szCs w:val="20"/>
          <w:u w:val="single"/>
        </w:rPr>
      </w:pPr>
    </w:p>
    <w:p w14:paraId="00B7A7E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Pomoćne supstance</w:t>
      </w:r>
    </w:p>
    <w:p w14:paraId="5EEC33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Ovaj lijek sadrži laktozu, monohidrat.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rijetkim nasljednim poreme</w:t>
      </w:r>
      <w:r>
        <w:rPr>
          <w:rFonts w:ascii="Microsoft Sans Serif" w:hAnsi="Microsoft Sans Serif" w:eastAsia="Calibri" w:cs="Microsoft Sans Serif"/>
          <w:sz w:val="20"/>
          <w:szCs w:val="20"/>
          <w:lang w:val="hr-BA"/>
        </w:rPr>
        <w:t>ćajem nepodnošenja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galaktoz</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rPr>
        <w:t xml:space="preserve">, totalnim nedostatkom laktaze ili </w:t>
      </w:r>
      <w:r>
        <w:rPr>
          <w:rFonts w:ascii="Microsoft Sans Serif" w:hAnsi="Microsoft Sans Serif" w:eastAsia="Calibri" w:cs="Microsoft Sans Serif"/>
          <w:sz w:val="20"/>
          <w:szCs w:val="20"/>
          <w:lang w:val="sr-Cyrl-RS"/>
        </w:rPr>
        <w:t>glukozn</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-galaktoz</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malapsorpcijom</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ne </w:t>
      </w:r>
      <w:r>
        <w:rPr>
          <w:rFonts w:ascii="Microsoft Sans Serif" w:hAnsi="Microsoft Sans Serif" w:eastAsia="Calibri" w:cs="Microsoft Sans Serif"/>
          <w:sz w:val="20"/>
          <w:szCs w:val="20"/>
          <w:lang w:val="hr-BA"/>
        </w:rPr>
        <w:t>bi trebali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ovaj lijek.</w:t>
      </w:r>
    </w:p>
    <w:p w14:paraId="25D010EE">
      <w:pPr>
        <w:rPr>
          <w:rFonts w:ascii="Microsoft Sans Serif" w:hAnsi="Microsoft Sans Serif" w:cs="Microsoft Sans Serif"/>
          <w:sz w:val="20"/>
          <w:szCs w:val="20"/>
        </w:rPr>
      </w:pPr>
    </w:p>
    <w:p w14:paraId="3A263A3A">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67948CA6">
      <w:pPr>
        <w:widowControl w:val="0"/>
        <w:tabs>
          <w:tab w:val="clear" w:pos="284"/>
        </w:tabs>
        <w:rPr>
          <w:rFonts w:ascii="Microsoft Sans Serif" w:hAnsi="Microsoft Sans Serif" w:cs="Microsoft Sans Serif"/>
          <w:sz w:val="20"/>
          <w:szCs w:val="20"/>
          <w:u w:val="single" w:color="000000"/>
        </w:rPr>
      </w:pPr>
    </w:p>
    <w:p w14:paraId="48E4A461">
      <w:pPr>
        <w:widowControl w:val="0"/>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Aktivne supstance</w:t>
      </w:r>
      <w:r>
        <w:rPr>
          <w:rFonts w:ascii="Microsoft Sans Serif" w:hAnsi="Microsoft Sans Serif" w:cs="Microsoft Sans Serif"/>
          <w:sz w:val="20"/>
          <w:szCs w:val="20"/>
          <w:u w:val="single"/>
        </w:rPr>
        <w:t xml:space="preserve"> koje mogu povećati koncentraciju dasatiniba u plazmi</w:t>
      </w:r>
    </w:p>
    <w:p w14:paraId="068302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ispitivanja pokazuju da je dasatinib supstrat enzima CYP3A4. Istovremena primjena dasatiniba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 ili supstanci koje su potentni inhibitori CYP3A4 (npr. ketokonazol, itrakonazol, eritromicin,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klaritromicin, ritonavir, telitromicin, sok od grejpfruta) može povećati izloženost dasatinibu. Stoga se 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preporučuje sistemska primjena jakih inhibitora enzima CYP3A4 kod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rPr>
        <w:t xml:space="preserve"> koji 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 (pogledati dio 4.2).</w:t>
      </w:r>
    </w:p>
    <w:p w14:paraId="20AED32B">
      <w:pPr>
        <w:widowControl w:val="0"/>
        <w:tabs>
          <w:tab w:val="clear" w:pos="284"/>
        </w:tabs>
        <w:rPr>
          <w:rFonts w:ascii="Microsoft Sans Serif" w:hAnsi="Microsoft Sans Serif" w:cs="Microsoft Sans Serif"/>
          <w:sz w:val="20"/>
          <w:szCs w:val="20"/>
        </w:rPr>
      </w:pPr>
    </w:p>
    <w:p w14:paraId="471398D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Na osnovu ispitivanja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vezanje dasatiniba za proteine plazme pri klinički značajnim koncentracijama iznosi oko 96%. Nisu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provedena ispitivanja kojima bi se </w:t>
      </w:r>
      <w:r>
        <w:rPr>
          <w:rFonts w:ascii="Microsoft Sans Serif" w:hAnsi="Microsoft Sans Serif" w:cs="Microsoft Sans Serif"/>
          <w:sz w:val="20"/>
          <w:szCs w:val="20"/>
          <w:lang w:val="sr-Cyrl-RS"/>
        </w:rPr>
        <w:t>procjenile</w:t>
      </w:r>
      <w:r>
        <w:rPr>
          <w:rFonts w:ascii="Microsoft Sans Serif" w:hAnsi="Microsoft Sans Serif" w:cs="Microsoft Sans Serif"/>
          <w:sz w:val="20"/>
          <w:szCs w:val="20"/>
        </w:rPr>
        <w:t xml:space="preserv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drugim </w:t>
      </w:r>
      <w:r>
        <w:rPr>
          <w:rFonts w:ascii="Microsoft Sans Serif" w:hAnsi="Microsoft Sans Serif" w:cs="Microsoft Sans Serif"/>
          <w:sz w:val="20"/>
          <w:szCs w:val="20"/>
        </w:rPr>
        <w:t xml:space="preserve">lijekovima </w:t>
      </w:r>
      <w:r>
        <w:rPr>
          <w:rFonts w:ascii="Microsoft Sans Serif" w:hAnsi="Microsoft Sans Serif" w:cs="Microsoft Sans Serif"/>
          <w:sz w:val="20"/>
          <w:szCs w:val="20"/>
          <w:lang w:val="sr-Cyrl-RS"/>
        </w:rPr>
        <w:t>vezanim</w:t>
      </w:r>
      <w:r>
        <w:rPr>
          <w:rFonts w:ascii="Microsoft Sans Serif" w:hAnsi="Microsoft Sans Serif" w:cs="Microsoft Sans Serif"/>
          <w:sz w:val="20"/>
          <w:szCs w:val="20"/>
        </w:rPr>
        <w:t xml:space="preserve"> za proteine. Nije poznato u kojoj mjeri dasatinib može istisnuti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 lijekove iz veze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proteinima i obrnuto i koliki klinički značaj to ima.</w:t>
      </w:r>
    </w:p>
    <w:p w14:paraId="55DB9E2A">
      <w:pPr>
        <w:widowControl w:val="0"/>
        <w:tabs>
          <w:tab w:val="clear" w:pos="284"/>
        </w:tabs>
        <w:rPr>
          <w:rFonts w:ascii="Microsoft Sans Serif" w:hAnsi="Microsoft Sans Serif" w:cs="Microsoft Sans Serif"/>
          <w:sz w:val="20"/>
          <w:szCs w:val="20"/>
        </w:rPr>
      </w:pPr>
    </w:p>
    <w:p w14:paraId="64278EA3">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koje mogu smanjiti koncentraciju dasatiniba u plazmi</w:t>
      </w:r>
    </w:p>
    <w:p w14:paraId="4AEB1E0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Kad</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se dasatinib primjenio nakon 8 dana svakodnevne primjene 600 mg rifampicina, potentnog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induktora CYP3A4, PIK dasatiniba smanjio se za 82%. Drugi lijekovi koji indu</w:t>
      </w:r>
      <w:r>
        <w:rPr>
          <w:rFonts w:ascii="Microsoft Sans Serif" w:hAnsi="Microsoft Sans Serif" w:eastAsia="Calibri" w:cs="Microsoft Sans Serif"/>
          <w:sz w:val="20"/>
          <w:szCs w:val="20"/>
          <w:lang w:val="sr-Cyrl-RS"/>
        </w:rPr>
        <w:t>kuju</w:t>
      </w:r>
      <w:r>
        <w:rPr>
          <w:rFonts w:ascii="Microsoft Sans Serif" w:hAnsi="Microsoft Sans Serif" w:eastAsia="Calibri" w:cs="Microsoft Sans Serif"/>
          <w:sz w:val="20"/>
          <w:szCs w:val="20"/>
        </w:rPr>
        <w:t xml:space="preserve"> aktivnost</w:t>
      </w:r>
    </w:p>
    <w:p w14:paraId="38EBF0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CYP3A4 (npr. deksametazon, fenitoin, karbamazepin, fenobarbital ili bilјni preparati koji sadrže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i/>
          <w:sz w:val="20"/>
          <w:szCs w:val="20"/>
        </w:rPr>
        <w:t>Hypericum perforatum</w:t>
      </w:r>
      <w:r>
        <w:rPr>
          <w:rFonts w:ascii="Microsoft Sans Serif" w:hAnsi="Microsoft Sans Serif" w:eastAsia="Calibri" w:cs="Microsoft Sans Serif"/>
          <w:sz w:val="20"/>
          <w:szCs w:val="20"/>
        </w:rPr>
        <w:t>, poznat i kao „kantarion“) takođe mogu pojačati metabolizam i 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koncentraciju dasatiniba u plazmi. Stoga se ne preporučuje istovremena primjena potentnih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i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kod kojih je indikovana primjena rifampicina ili drugih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moraju se koristiti alternativni lijekovi </w:t>
      </w:r>
      <w:r>
        <w:rPr>
          <w:rFonts w:ascii="Microsoft Sans Serif" w:hAnsi="Microsoft Sans Serif" w:eastAsia="Calibri" w:cs="Microsoft Sans Serif"/>
          <w:sz w:val="20"/>
          <w:szCs w:val="20"/>
          <w:lang w:val="sr-Cyrl-RS"/>
        </w:rPr>
        <w:t>sa manjim potencijalom za indukciju ovog</w:t>
      </w:r>
      <w:r>
        <w:rPr>
          <w:rFonts w:ascii="Microsoft Sans Serif" w:hAnsi="Microsoft Sans Serif" w:eastAsia="Calibri" w:cs="Microsoft Sans Serif"/>
          <w:sz w:val="20"/>
          <w:szCs w:val="20"/>
        </w:rPr>
        <w:t xml:space="preserve"> enzim</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Dopuštena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 primjena dasatiniba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slabim induktorom CYP3A4; kod istovremene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očekuje se smanjenje </w:t>
      </w:r>
      <w:r>
        <w:rPr>
          <w:rFonts w:ascii="Microsoft Sans Serif" w:hAnsi="Microsoft Sans Serif" w:eastAsia="Calibri" w:cs="Microsoft Sans Serif"/>
          <w:sz w:val="20"/>
          <w:szCs w:val="20"/>
          <w:lang w:val="sr-Latn-RS"/>
        </w:rPr>
        <w:t>PIK-a</w:t>
      </w:r>
      <w:r>
        <w:rPr>
          <w:rFonts w:ascii="Microsoft Sans Serif" w:hAnsi="Microsoft Sans Serif" w:eastAsia="Calibri" w:cs="Microsoft Sans Serif"/>
          <w:sz w:val="20"/>
          <w:szCs w:val="20"/>
        </w:rPr>
        <w:t xml:space="preserve"> dasatiniba za približno 25%, što vjerovatno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 klinički značajno.</w:t>
      </w:r>
    </w:p>
    <w:p w14:paraId="6027188F">
      <w:pPr>
        <w:widowControl w:val="0"/>
        <w:tabs>
          <w:tab w:val="clear" w:pos="284"/>
        </w:tabs>
        <w:rPr>
          <w:rFonts w:ascii="Microsoft Sans Serif" w:hAnsi="Microsoft Sans Serif" w:eastAsia="Calibri" w:cs="Microsoft Sans Serif"/>
          <w:sz w:val="20"/>
          <w:szCs w:val="20"/>
        </w:rPr>
      </w:pPr>
    </w:p>
    <w:p w14:paraId="56E61CB6">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Antagonisti histaminskih H2 receptora i inhibitori protonske pumpe</w:t>
      </w:r>
    </w:p>
    <w:p w14:paraId="54E8482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Dugotrajna supresija sekrecije želudačne kiseline antagonistima </w:t>
      </w:r>
      <w:r>
        <w:rPr>
          <w:rFonts w:ascii="Microsoft Sans Serif" w:hAnsi="Microsoft Sans Serif" w:eastAsia="Calibri" w:cs="Microsoft Sans Serif"/>
          <w:sz w:val="20"/>
          <w:szCs w:val="20"/>
          <w:lang w:val="sr-Latn-RS"/>
        </w:rPr>
        <w:t>H</w:t>
      </w:r>
      <w:r>
        <w:rPr>
          <w:rFonts w:ascii="Microsoft Sans Serif" w:hAnsi="Microsoft Sans Serif" w:eastAsia="Calibri" w:cs="Microsoft Sans Serif"/>
          <w:sz w:val="20"/>
          <w:szCs w:val="20"/>
        </w:rPr>
        <w:t>2 receptora ili inhibitorima 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 (npr. famotidin i omeprazol) vjerovatno će smanjiti izloženost dasatinibu. U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pojedinačne doze kod zdravih ispitanika, primjenom famotidina 10 sati prije pojedinačne 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 smanjila se izloženost dasatinibu za 61%. U ispitivanju 14 zdravih ispitanika, primjena</w:t>
      </w:r>
      <w:r>
        <w:rPr>
          <w:rFonts w:ascii="Microsoft Sans Serif" w:hAnsi="Microsoft Sans Serif" w:eastAsia="Calibri" w:cs="Microsoft Sans Serif"/>
          <w:sz w:val="20"/>
          <w:szCs w:val="20"/>
          <w:lang w:val="sr-Cyrl-RS"/>
        </w:rPr>
        <w:t xml:space="preserve"> pojedinačne</w:t>
      </w:r>
      <w:r>
        <w:rPr>
          <w:rFonts w:ascii="Microsoft Sans Serif" w:hAnsi="Microsoft Sans Serif" w:eastAsia="Calibri" w:cs="Microsoft Sans Serif"/>
          <w:sz w:val="20"/>
          <w:szCs w:val="20"/>
        </w:rPr>
        <w:t xml:space="preserve"> doze dasatiniba od 100 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22 sata nakon četverodnevne primjene doze omeprazola od 40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u stanju dinamičke ravnote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 smanjila je PIK dasatiniba za 43%, a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dasatiniba za 42%. </w:t>
      </w: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pacijenata koji primaju dasatinib mora se razmotriti primjena antacida umesto antagonista H2</w:t>
      </w:r>
      <w:r>
        <w:rPr>
          <w:rFonts w:eastAsia="Calibri"/>
          <w:szCs w:val="22"/>
          <w:lang w:val="sr-Cyrl-RS"/>
        </w:rPr>
        <w:t xml:space="preserve"> </w:t>
      </w:r>
      <w:r>
        <w:rPr>
          <w:rFonts w:ascii="Microsoft Sans Serif" w:hAnsi="Microsoft Sans Serif" w:eastAsia="Calibri" w:cs="Microsoft Sans Serif"/>
          <w:sz w:val="20"/>
          <w:szCs w:val="20"/>
        </w:rPr>
        <w:t>receptora ili inhibitora protonske pumpe (pogledati dio 4.4).</w:t>
      </w:r>
    </w:p>
    <w:p w14:paraId="07A4BCB8">
      <w:pPr>
        <w:widowControl w:val="0"/>
        <w:tabs>
          <w:tab w:val="clear" w:pos="284"/>
        </w:tabs>
        <w:rPr>
          <w:rFonts w:ascii="Microsoft Sans Serif" w:hAnsi="Microsoft Sans Serif" w:cs="Microsoft Sans Serif"/>
          <w:sz w:val="20"/>
          <w:szCs w:val="20"/>
        </w:rPr>
      </w:pPr>
    </w:p>
    <w:p w14:paraId="55E8923E">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Antacidi</w:t>
      </w:r>
    </w:p>
    <w:p w14:paraId="563F45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Pret</w:t>
      </w:r>
      <w:r>
        <w:rPr>
          <w:rFonts w:ascii="Microsoft Sans Serif" w:hAnsi="Microsoft Sans Serif" w:cs="Microsoft Sans Serif"/>
          <w:sz w:val="20"/>
          <w:szCs w:val="20"/>
        </w:rPr>
        <w:t>klinički podaci pokazuju da rastvorlјivost dasatiniba zavisi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pH.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zdravih ispitanika 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primjena antacida </w:t>
      </w:r>
      <w:r>
        <w:rPr>
          <w:rFonts w:ascii="Microsoft Sans Serif" w:hAnsi="Microsoft Sans Serif" w:cs="Microsoft Sans Serif"/>
          <w:sz w:val="20"/>
          <w:szCs w:val="20"/>
          <w:lang w:val="sr-Cyrl-RS"/>
        </w:rPr>
        <w:t>na bazi</w:t>
      </w:r>
      <w:r>
        <w:rPr>
          <w:rFonts w:ascii="Microsoft Sans Serif" w:hAnsi="Microsoft Sans Serif" w:cs="Microsoft Sans Serif"/>
          <w:sz w:val="20"/>
          <w:szCs w:val="20"/>
        </w:rPr>
        <w:t xml:space="preserve"> aluminijum hidroksida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magnezijum hidroksida i dasatiniba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smanjila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nakon pojedinačne doze za 55%,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58%. Međutim, kad su antacidi bili primjenjeni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2 sata prije pojedinačne doze dasatiniba, nisu bile </w:t>
      </w:r>
      <w:r>
        <w:rPr>
          <w:rFonts w:ascii="Microsoft Sans Serif" w:hAnsi="Microsoft Sans Serif" w:cs="Microsoft Sans Serif"/>
          <w:sz w:val="20"/>
          <w:szCs w:val="20"/>
          <w:lang w:val="sr-Cyrl-RS"/>
        </w:rPr>
        <w:t>za</w:t>
      </w:r>
      <w:r>
        <w:rPr>
          <w:rFonts w:ascii="Microsoft Sans Serif" w:hAnsi="Microsoft Sans Serif" w:cs="Microsoft Sans Serif"/>
          <w:sz w:val="20"/>
          <w:szCs w:val="20"/>
        </w:rPr>
        <w:t>pažene nikakve značajne promjene u koncentraciji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ili izloženosti dasatinibu. Stoga se antacidi mogu primjeniti najmanje 2 sata prije ili 2 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 primjene dasatiniba (pogledati dio 4.4).</w:t>
      </w:r>
    </w:p>
    <w:p w14:paraId="2E756003">
      <w:pPr>
        <w:widowControl w:val="0"/>
        <w:tabs>
          <w:tab w:val="clear" w:pos="284"/>
        </w:tabs>
        <w:rPr>
          <w:rFonts w:ascii="Microsoft Sans Serif" w:hAnsi="Microsoft Sans Serif" w:eastAsia="Calibri" w:cs="Microsoft Sans Serif"/>
          <w:sz w:val="20"/>
          <w:szCs w:val="20"/>
        </w:rPr>
      </w:pPr>
    </w:p>
    <w:p w14:paraId="67F1322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čije koncentracije u plazmi </w:t>
      </w:r>
      <w:r>
        <w:rPr>
          <w:rFonts w:ascii="Microsoft Sans Serif" w:hAnsi="Microsoft Sans Serif" w:eastAsia="Calibri" w:cs="Microsoft Sans Serif"/>
          <w:sz w:val="20"/>
          <w:szCs w:val="20"/>
          <w:u w:val="single"/>
          <w:lang w:val="sr-Cyrl-RS"/>
        </w:rPr>
        <w:t xml:space="preserve">mogu da budu </w:t>
      </w:r>
      <w:r>
        <w:rPr>
          <w:rFonts w:ascii="Microsoft Sans Serif" w:hAnsi="Microsoft Sans Serif" w:eastAsia="Calibri" w:cs="Microsoft Sans Serif"/>
          <w:sz w:val="20"/>
          <w:szCs w:val="20"/>
          <w:u w:val="single"/>
        </w:rPr>
        <w:t>promjenjene zbog dasatiniba</w:t>
      </w:r>
    </w:p>
    <w:p w14:paraId="2B1EAF15">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Istovremena primjena dasatiniba i supstrata CYP3A4 može povećati izloženost supstratu CYP3A4. </w:t>
      </w:r>
      <w:r>
        <w:rPr>
          <w:rFonts w:ascii="Microsoft Sans Serif" w:hAnsi="Microsoft Sans Serif" w:eastAsia="Calibri" w:cs="Microsoft Sans Serif"/>
          <w:sz w:val="20"/>
          <w:szCs w:val="20"/>
          <w:lang w:val="sr-Cyrl-RS"/>
        </w:rPr>
        <w:t xml:space="preserve">U </w:t>
      </w:r>
      <w:r>
        <w:rPr>
          <w:rFonts w:ascii="Microsoft Sans Serif" w:hAnsi="Microsoft Sans Serif" w:eastAsia="Calibri" w:cs="Microsoft Sans Serif"/>
          <w:sz w:val="20"/>
          <w:szCs w:val="20"/>
        </w:rPr>
        <w:t>ispitivanju kod zdravih ispitanika, pojedinačna doza od 100 mg dasatiniba povećala je PIK i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izloženosti simvastatinu, poznatom supstratu CYP3A4, za 20% odnosno za 37%. Ne može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isklјučiti mogućnost da su takvi uticaji još veći nakon višestrukih doza dasatiniba. Zbog toga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supstrati CYP3A4 za koje se zna da imaju </w:t>
      </w:r>
      <w:r>
        <w:rPr>
          <w:rFonts w:ascii="Microsoft Sans Serif" w:hAnsi="Microsoft Sans Serif" w:eastAsia="Calibri" w:cs="Microsoft Sans Serif"/>
          <w:sz w:val="20"/>
          <w:szCs w:val="20"/>
          <w:lang w:val="sr-Cyrl-RS"/>
        </w:rPr>
        <w:t>uzak</w:t>
      </w:r>
      <w:r>
        <w:rPr>
          <w:rFonts w:ascii="Microsoft Sans Serif" w:hAnsi="Microsoft Sans Serif" w:eastAsia="Calibri" w:cs="Microsoft Sans Serif"/>
          <w:sz w:val="20"/>
          <w:szCs w:val="20"/>
        </w:rPr>
        <w:t xml:space="preserve"> terapijski indeks (npr. astemizol, terfenadin, 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pimozid,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inidin, bepridil ili ergot alkaloidi [ergotamin, dihidroergotamin])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primjenjivati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oprezom kod pacijenata koji primaju dasatinib (pogledati dio 4.4).</w:t>
      </w:r>
    </w:p>
    <w:p w14:paraId="532F7E1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Podaci iz ispitivanja in vitro pokazuju da postoji i potencijalni rizik od interakcije sa 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CYP2C8, kao što su glitazoni.</w:t>
      </w:r>
    </w:p>
    <w:p w14:paraId="6E34564C">
      <w:pPr>
        <w:widowControl w:val="0"/>
        <w:tabs>
          <w:tab w:val="clear" w:pos="284"/>
        </w:tabs>
        <w:rPr>
          <w:rFonts w:ascii="Microsoft Sans Serif" w:hAnsi="Microsoft Sans Serif" w:eastAsia="Calibri" w:cs="Microsoft Sans Serif"/>
          <w:sz w:val="20"/>
          <w:szCs w:val="20"/>
        </w:rPr>
      </w:pPr>
    </w:p>
    <w:p w14:paraId="68DF979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4C88BE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Ispitivanja interakcija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samo kod odraslih</w:t>
      </w:r>
      <w:r>
        <w:rPr>
          <w:rFonts w:ascii="Microsoft Sans Serif" w:hAnsi="Microsoft Sans Serif" w:eastAsia="Calibri" w:cs="Microsoft Sans Serif"/>
          <w:sz w:val="20"/>
          <w:szCs w:val="20"/>
          <w:lang w:val="sr-Cyrl-RS"/>
        </w:rPr>
        <w:t>.</w:t>
      </w:r>
    </w:p>
    <w:p w14:paraId="41D96D59">
      <w:pPr>
        <w:rPr>
          <w:rFonts w:ascii="Microsoft Sans Serif" w:hAnsi="Microsoft Sans Serif" w:cs="Microsoft Sans Serif"/>
          <w:sz w:val="20"/>
          <w:szCs w:val="20"/>
        </w:rPr>
      </w:pPr>
    </w:p>
    <w:p w14:paraId="4D44D648">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4DD7806">
      <w:pPr>
        <w:rPr>
          <w:rFonts w:ascii="Microsoft Sans Serif" w:hAnsi="Microsoft Sans Serif" w:cs="Microsoft Sans Serif"/>
          <w:sz w:val="20"/>
          <w:szCs w:val="20"/>
        </w:rPr>
      </w:pPr>
    </w:p>
    <w:p w14:paraId="1F525F4A">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ene u reproduktivnom periodu/kontracepcija kod muškaraca i žena</w:t>
      </w:r>
    </w:p>
    <w:p w14:paraId="361E5CF2">
      <w:pPr>
        <w:rPr>
          <w:rFonts w:ascii="Microsoft Sans Serif" w:hAnsi="Microsoft Sans Serif" w:cs="Microsoft Sans Serif"/>
          <w:sz w:val="20"/>
          <w:szCs w:val="20"/>
        </w:rPr>
      </w:pPr>
      <w:r>
        <w:rPr>
          <w:rFonts w:ascii="Microsoft Sans Serif" w:hAnsi="Microsoft Sans Serif" w:cs="Microsoft Sans Serif"/>
          <w:sz w:val="20"/>
          <w:szCs w:val="20"/>
        </w:rPr>
        <w:t>Muškarci i žene u reproduktivnom periodu koji su polno aktivni trebaju koristiti efikasne 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 tokom liječenja.</w:t>
      </w:r>
    </w:p>
    <w:p w14:paraId="45E07932">
      <w:pPr>
        <w:rPr>
          <w:rFonts w:ascii="Microsoft Sans Serif" w:hAnsi="Microsoft Sans Serif" w:cs="Microsoft Sans Serif"/>
          <w:sz w:val="20"/>
          <w:szCs w:val="20"/>
        </w:rPr>
      </w:pPr>
    </w:p>
    <w:p w14:paraId="4F963F5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C60778F">
      <w:pPr>
        <w:rPr>
          <w:rFonts w:ascii="Microsoft Sans Serif" w:hAnsi="Microsoft Sans Serif" w:cs="Microsoft Sans Serif"/>
          <w:sz w:val="20"/>
          <w:szCs w:val="20"/>
        </w:rPr>
      </w:pPr>
      <w:r>
        <w:rPr>
          <w:rFonts w:ascii="Microsoft Sans Serif" w:hAnsi="Microsoft Sans Serif" w:cs="Microsoft Sans Serif"/>
          <w:sz w:val="20"/>
          <w:szCs w:val="20"/>
        </w:rPr>
        <w:t>Iskustva kod lјudi ukazuju na sumnju da dasatinib uzrokuje kongenitalne malformacije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oštećenje neuralne cijevi i štetan farmakološki uticaj na fetus ako se primjenjuje tokom trudnoće.</w:t>
      </w:r>
    </w:p>
    <w:p w14:paraId="7BD77FB6">
      <w:pPr>
        <w:rPr>
          <w:rFonts w:ascii="Microsoft Sans Serif" w:hAnsi="Microsoft Sans Serif" w:cs="Microsoft Sans Serif"/>
          <w:sz w:val="20"/>
          <w:szCs w:val="20"/>
        </w:rPr>
      </w:pPr>
      <w:r>
        <w:rPr>
          <w:rFonts w:ascii="Microsoft Sans Serif" w:hAnsi="Microsoft Sans Serif" w:cs="Microsoft Sans Serif"/>
          <w:sz w:val="20"/>
          <w:szCs w:val="20"/>
        </w:rPr>
        <w:t>Ispitivanja kod životinja pokazala su reproduktivnu toksičnost (vidjeti odjeljak 5.3).</w:t>
      </w:r>
    </w:p>
    <w:p w14:paraId="5CD8A11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 xml:space="preserve">Nodriga se ne smije uzimati tokom trudnoće osim ako kliničko stanje </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ne 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liječenje dasatinibom. U slučaju da se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Nodriga primjenjuje tokom trudnoće, pacijent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informisati o potencijalnim rizicima za fetus.</w:t>
      </w:r>
    </w:p>
    <w:p w14:paraId="2DC924D4">
      <w:pPr>
        <w:widowControl w:val="0"/>
        <w:tabs>
          <w:tab w:val="clear" w:pos="284"/>
        </w:tabs>
        <w:rPr>
          <w:rFonts w:ascii="Microsoft Sans Serif" w:hAnsi="Microsoft Sans Serif" w:eastAsia="Calibri" w:cs="Microsoft Sans Serif"/>
          <w:sz w:val="20"/>
          <w:szCs w:val="20"/>
        </w:rPr>
      </w:pPr>
    </w:p>
    <w:p w14:paraId="1896A0BA">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Dojenje</w:t>
      </w:r>
    </w:p>
    <w:p w14:paraId="600790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Informacije o izlučivanju dasatiniba u majčino mlijeko kod lјudi ili životinja </w:t>
      </w:r>
      <w:r>
        <w:rPr>
          <w:rFonts w:ascii="Microsoft Sans Serif" w:hAnsi="Microsoft Sans Serif" w:eastAsia="Calibri" w:cs="Microsoft Sans Serif"/>
          <w:sz w:val="20"/>
          <w:szCs w:val="20"/>
          <w:lang w:val="sr-Cyrl-RS"/>
        </w:rPr>
        <w:t>nedovolјne</w:t>
      </w:r>
      <w:r>
        <w:rPr>
          <w:rFonts w:ascii="Microsoft Sans Serif" w:hAnsi="Microsoft Sans Serif" w:eastAsia="Calibri" w:cs="Microsoft Sans Serif"/>
          <w:sz w:val="20"/>
          <w:szCs w:val="20"/>
        </w:rPr>
        <w:t xml:space="preserve"> su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ograničene. Fizičko-hemijski i dostupni farmakodinamski/toksikološki podaci ukazuju na to da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kod lјudi izlučuje u majčino mlijeko i ne može se isklјučiti rizik za odojče.</w:t>
      </w:r>
    </w:p>
    <w:p w14:paraId="1D3700C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Za vrijeme liječenja lijekom Nodriga dojenje se mora prekinuti.</w:t>
      </w:r>
    </w:p>
    <w:p w14:paraId="370BCD15">
      <w:pPr>
        <w:widowControl w:val="0"/>
        <w:tabs>
          <w:tab w:val="clear" w:pos="284"/>
        </w:tabs>
        <w:rPr>
          <w:rFonts w:ascii="Microsoft Sans Serif" w:hAnsi="Microsoft Sans Serif" w:eastAsia="Calibri" w:cs="Microsoft Sans Serif"/>
          <w:sz w:val="20"/>
          <w:szCs w:val="20"/>
        </w:rPr>
      </w:pPr>
    </w:p>
    <w:p w14:paraId="5AC766A2">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Cyrl-RS"/>
        </w:rPr>
        <w:t>Plodnost</w:t>
      </w:r>
    </w:p>
    <w:p w14:paraId="601DB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na životinjama liječenje dasatinibom nije uticalo na plodnost mužjaka ni ženki</w:t>
      </w:r>
      <w:r>
        <w:rPr>
          <w:rFonts w:ascii="Microsoft Sans Serif" w:hAnsi="Microsoft Sans Serif" w:eastAsia="Calibri" w:cs="Microsoft Sans Serif"/>
          <w:sz w:val="20"/>
          <w:szCs w:val="20"/>
          <w:lang w:val="sr-Cyrl-RS"/>
        </w:rPr>
        <w:t xml:space="preserve"> pacova</w:t>
      </w:r>
      <w:r>
        <w:rPr>
          <w:rFonts w:ascii="Microsoft Sans Serif" w:hAnsi="Microsoft Sans Serif" w:eastAsia="Calibri" w:cs="Microsoft Sans Serif"/>
          <w:sz w:val="20"/>
          <w:szCs w:val="20"/>
        </w:rPr>
        <w:t xml:space="preserve"> (pogledati dio 5.3). Ljekari i drugi zdravstveni radnici treba da savjetuju muškarce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odgovarajuće starosti o mogućim efektima lijeka Nodriga na plodnost. To savjetovanje može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uklјučivati razmatranje mogućnosti odlaganja sperme.</w:t>
      </w:r>
    </w:p>
    <w:p w14:paraId="168003E2">
      <w:pPr>
        <w:rPr>
          <w:rFonts w:ascii="Microsoft Sans Serif" w:hAnsi="Microsoft Sans Serif" w:cs="Microsoft Sans Serif"/>
          <w:sz w:val="20"/>
          <w:szCs w:val="20"/>
        </w:rPr>
      </w:pPr>
    </w:p>
    <w:p w14:paraId="4821B80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509D2CCC">
      <w:pPr>
        <w:rPr>
          <w:rFonts w:ascii="Microsoft Sans Serif" w:hAnsi="Microsoft Sans Serif" w:cs="Microsoft Sans Serif"/>
          <w:bCs/>
          <w:sz w:val="20"/>
          <w:szCs w:val="20"/>
          <w:lang w:val="ru-RU"/>
        </w:rPr>
      </w:pPr>
    </w:p>
    <w:p w14:paraId="38CC628E">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ru-RU"/>
        </w:rPr>
        <w:t xml:space="preserve"> ima mali uticaj na sposobnost upravlјanja vozilima i rukovanja mašinama. Pacijent se mora upozoriti na neželјen</w:t>
      </w:r>
      <w:r>
        <w:rPr>
          <w:rFonts w:ascii="Microsoft Sans Serif" w:hAnsi="Microsoft Sans Serif" w:cs="Microsoft Sans Serif"/>
          <w:bCs/>
          <w:sz w:val="20"/>
          <w:szCs w:val="20"/>
        </w:rPr>
        <w:t>a djelovanja</w:t>
      </w:r>
      <w:r>
        <w:rPr>
          <w:rFonts w:ascii="Microsoft Sans Serif" w:hAnsi="Microsoft Sans Serif" w:cs="Microsoft Sans Serif"/>
          <w:bCs/>
          <w:sz w:val="20"/>
          <w:szCs w:val="20"/>
          <w:lang w:val="ru-RU"/>
        </w:rPr>
        <w:t xml:space="preserve"> poput vrtoglavice ili zamaglјenog vida, koje se mogu javiti tokom liječenja dasatinibom. Stoga se preporučuje oprez prilikom upravlјanja vozilima i rukovanja mašinama.</w:t>
      </w:r>
    </w:p>
    <w:p w14:paraId="47338CBF">
      <w:pPr>
        <w:rPr>
          <w:rFonts w:ascii="Microsoft Sans Serif" w:hAnsi="Microsoft Sans Serif" w:cs="Microsoft Sans Serif"/>
          <w:sz w:val="20"/>
          <w:szCs w:val="20"/>
        </w:rPr>
      </w:pPr>
    </w:p>
    <w:p w14:paraId="1FAB5E8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0C55D3B6">
      <w:pPr>
        <w:rPr>
          <w:rFonts w:ascii="Microsoft Sans Serif" w:hAnsi="Microsoft Sans Serif" w:cs="Microsoft Sans Serif"/>
          <w:sz w:val="20"/>
          <w:szCs w:val="20"/>
          <w:u w:val="single"/>
          <w:lang w:val="hr-HR"/>
        </w:rPr>
      </w:pPr>
    </w:p>
    <w:p w14:paraId="725723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Sažetak bezbjedonosnog profila</w:t>
      </w:r>
    </w:p>
    <w:p w14:paraId="3A84DC1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Podaci navedeni u nastavku </w:t>
      </w:r>
      <w:r>
        <w:rPr>
          <w:rFonts w:ascii="Microsoft Sans Serif" w:hAnsi="Microsoft Sans Serif" w:cs="Microsoft Sans Serif"/>
          <w:sz w:val="20"/>
          <w:szCs w:val="20"/>
          <w:lang w:val="mk-MK"/>
        </w:rPr>
        <w:t xml:space="preserve">teksta </w:t>
      </w:r>
      <w:r>
        <w:rPr>
          <w:rFonts w:ascii="Microsoft Sans Serif" w:hAnsi="Microsoft Sans Serif" w:cs="Microsoft Sans Serif"/>
          <w:sz w:val="20"/>
          <w:szCs w:val="20"/>
          <w:lang w:val="hr-HR"/>
        </w:rPr>
        <w:t>odražavaju izloženost dasatinibu u monoterapiji u svim dozama koje su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ispitivale u kliničkim ispitivanjima (N=2900), a obuhvataju 324 odrasla 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novodijagnostikovanim HML u hroničnoj fazi, 2388 odraslih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Ph+ ALL ili HML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HR"/>
        </w:rPr>
        <w:t>hroničnoj ili uznapredovaloj fazi koji su bili rezistentni na imatinib ili ga nisu podnosili i 188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pedijatrijskih pacijenata.</w:t>
      </w:r>
    </w:p>
    <w:p w14:paraId="004D0881">
      <w:pPr>
        <w:rPr>
          <w:rFonts w:ascii="Microsoft Sans Serif" w:hAnsi="Microsoft Sans Serif" w:cs="Microsoft Sans Serif"/>
          <w:sz w:val="20"/>
          <w:szCs w:val="20"/>
          <w:lang w:val="sr-Cyrl-RS"/>
        </w:rPr>
      </w:pPr>
    </w:p>
    <w:p w14:paraId="15FC8E11">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HR"/>
        </w:rPr>
        <w:t xml:space="preserve"> 2712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 HML u uznapredovaloj fazi ili Ph+ ALL,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trajanja liječenja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19,2 mjeseca (raspon 0-93,2 mjeseca). U randomizovanom ispitivanju</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lang w:val="hr-HR"/>
        </w:rPr>
        <w:t>provedenom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novodijagnostikovanom HML u hroničnoj fazi,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iznosila je približno 60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1618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hroničnoj fazi iznosila je 29 mjeseci (raspon 0-9</w:t>
      </w:r>
      <w:r>
        <w:rPr>
          <w:rFonts w:ascii="Microsoft Sans Serif" w:hAnsi="Microsoft Sans Serif" w:cs="Microsoft Sans Serif"/>
          <w:sz w:val="20"/>
          <w:szCs w:val="20"/>
          <w:lang w:val="mk-MK"/>
        </w:rPr>
        <w:t>2</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mk-MK"/>
        </w:rPr>
        <w:t>9</w:t>
      </w:r>
      <w:r>
        <w:rPr>
          <w:rFonts w:ascii="Microsoft Sans Serif" w:hAnsi="Microsoft Sans Serif" w:cs="Microsoft Sans Serif"/>
          <w:sz w:val="20"/>
          <w:szCs w:val="20"/>
          <w:lang w:val="hr-HR"/>
        </w:rPr>
        <w:t xml:space="preserve">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1094 odrasla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uznapredovaloj fazi ili Ph+ ALL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6,2 mjeseca (raspon </w:t>
      </w:r>
      <w:r>
        <w:rPr>
          <w:rFonts w:ascii="Microsoft Sans Serif" w:hAnsi="Microsoft Sans Serif" w:cs="Microsoft Sans Serif"/>
          <w:sz w:val="20"/>
          <w:szCs w:val="20"/>
          <w:lang w:val="mk-MK"/>
        </w:rPr>
        <w:t>0-93,2</w:t>
      </w:r>
      <w:r>
        <w:rPr>
          <w:rFonts w:ascii="Microsoft Sans Serif" w:hAnsi="Microsoft Sans Serif" w:cs="Microsoft Sans Serif"/>
          <w:sz w:val="20"/>
          <w:szCs w:val="20"/>
          <w:lang w:val="hr-HR"/>
        </w:rPr>
        <w:t xml:space="preserve"> mjeseci).</w:t>
      </w:r>
    </w:p>
    <w:p w14:paraId="14E2D3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188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u pedijatrijskim ispitivanjima iznosila je 26,3 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(raspon 0-99,6 mjeseci). U podgrupi od 130 pedijatrijskih pacijenat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liječenih dasatinibom,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iznosila je 42,3 mjeseca (raspon 0,1- 99,6 mjeseci).</w:t>
      </w:r>
    </w:p>
    <w:p w14:paraId="43FB5623">
      <w:pPr>
        <w:widowControl w:val="0"/>
        <w:tabs>
          <w:tab w:val="clear" w:pos="284"/>
        </w:tabs>
        <w:rPr>
          <w:rFonts w:ascii="Microsoft Sans Serif" w:hAnsi="Microsoft Sans Serif" w:cs="Microsoft Sans Serif"/>
          <w:sz w:val="20"/>
          <w:szCs w:val="20"/>
          <w:lang w:val="sr-Cyrl-RS"/>
        </w:rPr>
      </w:pPr>
    </w:p>
    <w:p w14:paraId="1C2451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Većina pacijenata koji su primali dasatinib u nekom trenutku tokom liječenja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razvila neželјena djelovanja. U cjelokupnoj populaciji od 2712 odraslih ispitanika liječenih dasatinibom, kod 520 (19%) razvile su se neželјena djelovanja koje su dovele do prekida liječenja.</w:t>
      </w:r>
    </w:p>
    <w:p w14:paraId="1CE3251F">
      <w:pPr>
        <w:widowControl w:val="0"/>
        <w:tabs>
          <w:tab w:val="clear" w:pos="284"/>
        </w:tabs>
        <w:rPr>
          <w:rFonts w:ascii="Microsoft Sans Serif" w:hAnsi="Microsoft Sans Serif" w:eastAsia="Calibri" w:cs="Microsoft Sans Serif"/>
          <w:sz w:val="20"/>
          <w:szCs w:val="20"/>
        </w:rPr>
      </w:pPr>
    </w:p>
    <w:p w14:paraId="3855E0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Cjelokupan sigurnosni profil dasatiniba u pedijatrijskoj populaciji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w:t>
      </w:r>
      <w:r>
        <w:rPr>
          <w:rFonts w:ascii="Microsoft Sans Serif" w:hAnsi="Microsoft Sans Serif" w:eastAsia="Calibri" w:cs="Microsoft Sans Serif"/>
          <w:sz w:val="20"/>
          <w:szCs w:val="20"/>
          <w:lang w:val="hr-BA"/>
        </w:rPr>
        <w:t>H</w:t>
      </w:r>
      <w:r>
        <w:rPr>
          <w:rFonts w:ascii="Microsoft Sans Serif" w:hAnsi="Microsoft Sans Serif" w:eastAsia="Calibri" w:cs="Microsoft Sans Serif"/>
          <w:sz w:val="20"/>
          <w:szCs w:val="20"/>
        </w:rPr>
        <w:t>ML u hroničnoj fazi bio je sličan onome u odrasloj populaciji, nezavisno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rPr>
        <w:t xml:space="preserve"> formulacije, s tim da kod pedijatrijskih pacijenata nisu prijavlјeni slučajevi perikardijalnog izliva, pleuralnog izliva, plućnog edema ni plućne hipertenzije. Od 130 pedijatrijskih ispitanika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liječenih dasatinibom,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 (1,5%) pacijenta javile su se neželјena djelovanja koje su dovele do prekida liječenja.</w:t>
      </w:r>
      <w:r>
        <w:rPr>
          <w:rFonts w:ascii="Microsoft Sans Serif" w:hAnsi="Microsoft Sans Serif" w:eastAsia="Calibri" w:cs="Microsoft Sans Serif"/>
          <w:sz w:val="20"/>
          <w:szCs w:val="20"/>
          <w:lang w:val="sr-Cyrl-RS"/>
        </w:rPr>
        <w:t xml:space="preserve"> </w:t>
      </w:r>
    </w:p>
    <w:p w14:paraId="41EA98D4">
      <w:pPr>
        <w:widowControl w:val="0"/>
        <w:tabs>
          <w:tab w:val="clear" w:pos="284"/>
        </w:tabs>
        <w:rPr>
          <w:rFonts w:ascii="Microsoft Sans Serif" w:hAnsi="Microsoft Sans Serif" w:eastAsia="Calibri" w:cs="Microsoft Sans Serif"/>
          <w:sz w:val="20"/>
          <w:szCs w:val="20"/>
        </w:rPr>
      </w:pPr>
    </w:p>
    <w:p w14:paraId="5FF5D19C">
      <w:pPr>
        <w:widowControl w:val="0"/>
        <w:tabs>
          <w:tab w:val="clear" w:pos="284"/>
        </w:tabs>
        <w:rPr>
          <w:rFonts w:ascii="Microsoft Sans Serif" w:hAnsi="Microsoft Sans Serif" w:eastAsia="Calibri" w:cs="Microsoft Sans Serif"/>
          <w:sz w:val="20"/>
          <w:szCs w:val="20"/>
          <w:u w:val="single"/>
          <w:lang w:val="hr-BA"/>
        </w:rPr>
      </w:pPr>
      <w:r>
        <w:rPr>
          <w:rFonts w:ascii="Microsoft Sans Serif" w:hAnsi="Microsoft Sans Serif" w:eastAsia="Calibri" w:cs="Microsoft Sans Serif"/>
          <w:sz w:val="20"/>
          <w:szCs w:val="20"/>
          <w:u w:val="single"/>
        </w:rPr>
        <w:t xml:space="preserve">Tabelarni pregled neželјenih </w:t>
      </w:r>
      <w:r>
        <w:rPr>
          <w:rFonts w:ascii="Microsoft Sans Serif" w:hAnsi="Microsoft Sans Serif" w:eastAsia="Calibri" w:cs="Microsoft Sans Serif"/>
          <w:sz w:val="20"/>
          <w:szCs w:val="20"/>
          <w:u w:val="single"/>
          <w:lang w:val="hr-BA"/>
        </w:rPr>
        <w:t>dejstava</w:t>
      </w:r>
    </w:p>
    <w:p w14:paraId="74772A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rPr>
        <w:t>edeća neželјena djelovanja su, osim promjena u laboratorijskim nalazima, bile prijavlјene kod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dasatinibom kao monoterapijom, uklјučenih u klinička ispitivanja dasatiniba i iskustvo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stavlјanja lijeka u promet (Tabela </w:t>
      </w:r>
      <w:r>
        <w:rPr>
          <w:rFonts w:ascii="Microsoft Sans Serif" w:hAnsi="Microsoft Sans Serif" w:eastAsia="Calibri" w:cs="Microsoft Sans Serif"/>
          <w:sz w:val="20"/>
          <w:szCs w:val="20"/>
          <w:lang w:val="sr-Latn-RS"/>
        </w:rPr>
        <w:t>5</w:t>
      </w:r>
      <w:r>
        <w:rPr>
          <w:rFonts w:ascii="Microsoft Sans Serif" w:hAnsi="Microsoft Sans Serif" w:eastAsia="Calibri" w:cs="Microsoft Sans Serif"/>
          <w:sz w:val="20"/>
          <w:szCs w:val="20"/>
        </w:rPr>
        <w:t xml:space="preserve">). Neželјena djelovanja su prikazana prema </w:t>
      </w:r>
      <w:r>
        <w:rPr>
          <w:rFonts w:ascii="Microsoft Sans Serif" w:hAnsi="Microsoft Sans Serif" w:eastAsia="Calibri" w:cs="Microsoft Sans Serif"/>
          <w:sz w:val="20"/>
          <w:szCs w:val="20"/>
          <w:lang w:val="mk-MK"/>
        </w:rPr>
        <w:t xml:space="preserve">klasi </w:t>
      </w:r>
      <w:r>
        <w:rPr>
          <w:rFonts w:ascii="Microsoft Sans Serif" w:hAnsi="Microsoft Sans Serif" w:eastAsia="Calibri" w:cs="Microsoft Sans Serif"/>
          <w:sz w:val="20"/>
          <w:szCs w:val="20"/>
        </w:rPr>
        <w:t>sistem</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rPr>
        <w:t xml:space="preserve"> organa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učestalosti. Učestalost se definiše na sljedeći način: veoma često (≥1/10); često (≥1/100 i &lt;1/10); </w:t>
      </w:r>
      <w:r>
        <w:rPr>
          <w:rFonts w:ascii="Microsoft Sans Serif" w:hAnsi="Microsoft Sans Serif" w:eastAsia="Calibri" w:cs="Microsoft Sans Serif"/>
          <w:sz w:val="20"/>
          <w:szCs w:val="20"/>
          <w:lang w:val="sr-Cyrl-RS"/>
        </w:rPr>
        <w:t>povremeno</w:t>
      </w:r>
      <w:r>
        <w:rPr>
          <w:rFonts w:ascii="Microsoft Sans Serif" w:hAnsi="Microsoft Sans Serif" w:eastAsia="Calibri" w:cs="Microsoft Sans Serif"/>
          <w:sz w:val="20"/>
          <w:szCs w:val="20"/>
        </w:rPr>
        <w:t xml:space="preserve"> (≥1/1000 i &lt;1/100); rijetko (≥1/10 000 i &lt;1/1000); nepoznato (ne može se procijeniti na osnovu raspoloživih podataka).</w:t>
      </w:r>
    </w:p>
    <w:p w14:paraId="1A9DF9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Unutar svake grupe učestalosti neželјena djelovanja su prikazane u </w:t>
      </w:r>
      <w:r>
        <w:rPr>
          <w:rFonts w:ascii="Microsoft Sans Serif" w:hAnsi="Microsoft Sans Serif" w:eastAsia="Calibri" w:cs="Microsoft Sans Serif"/>
          <w:sz w:val="20"/>
          <w:szCs w:val="20"/>
          <w:lang w:val="sr-Cyrl-RS"/>
        </w:rPr>
        <w:t>o</w:t>
      </w:r>
      <w:r>
        <w:rPr>
          <w:rFonts w:ascii="Microsoft Sans Serif" w:hAnsi="Microsoft Sans Serif" w:eastAsia="Calibri" w:cs="Microsoft Sans Serif"/>
          <w:sz w:val="20"/>
          <w:szCs w:val="20"/>
        </w:rPr>
        <w:t>padajućem nizu prema ozbilјnosti.</w:t>
      </w:r>
    </w:p>
    <w:p w14:paraId="72584A6A">
      <w:pPr>
        <w:widowControl w:val="0"/>
        <w:tabs>
          <w:tab w:val="clear" w:pos="284"/>
        </w:tabs>
        <w:rPr>
          <w:rFonts w:ascii="Microsoft Sans Serif" w:hAnsi="Microsoft Sans Serif" w:eastAsia="Calibri" w:cs="Microsoft Sans Serif"/>
          <w:b/>
          <w:sz w:val="20"/>
          <w:szCs w:val="20"/>
          <w:lang w:val="sr-Cyrl-RS"/>
        </w:rPr>
      </w:pPr>
    </w:p>
    <w:p w14:paraId="173FF120">
      <w:pPr>
        <w:widowControl w:val="0"/>
        <w:tabs>
          <w:tab w:val="clear" w:pos="284"/>
        </w:tabs>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sr-Cyrl-RS"/>
        </w:rPr>
        <w:t xml:space="preserve">Tabela </w:t>
      </w:r>
      <w:r>
        <w:rPr>
          <w:rFonts w:ascii="Microsoft Sans Serif" w:hAnsi="Microsoft Sans Serif" w:eastAsia="Calibri" w:cs="Microsoft Sans Serif"/>
          <w:b/>
          <w:sz w:val="20"/>
          <w:szCs w:val="20"/>
          <w:lang w:val="sr-Latn-RS"/>
        </w:rPr>
        <w:t>5</w:t>
      </w:r>
      <w:r>
        <w:rPr>
          <w:rFonts w:ascii="Microsoft Sans Serif" w:hAnsi="Microsoft Sans Serif" w:eastAsia="Calibri" w:cs="Microsoft Sans Serif"/>
          <w:b/>
          <w:sz w:val="20"/>
          <w:szCs w:val="20"/>
          <w:lang w:val="sr-Cyrl-RS"/>
        </w:rPr>
        <w:t xml:space="preserve">: Tabelarni pregled neželјenih </w:t>
      </w:r>
      <w:r>
        <w:rPr>
          <w:rFonts w:ascii="Microsoft Sans Serif" w:hAnsi="Microsoft Sans Serif" w:eastAsia="Calibri" w:cs="Microsoft Sans Serif"/>
          <w:b/>
          <w:sz w:val="20"/>
          <w:szCs w:val="20"/>
          <w:lang w:val="hr-BA"/>
        </w:rPr>
        <w:t>dejstava</w:t>
      </w:r>
    </w:p>
    <w:tbl>
      <w:tblPr>
        <w:tblStyle w:val="12"/>
        <w:tblW w:w="9356" w:type="dxa"/>
        <w:tblInd w:w="5" w:type="dxa"/>
        <w:tblLayout w:type="autofit"/>
        <w:tblCellMar>
          <w:top w:w="0" w:type="dxa"/>
          <w:left w:w="0" w:type="dxa"/>
          <w:bottom w:w="0" w:type="dxa"/>
          <w:right w:w="0" w:type="dxa"/>
        </w:tblCellMar>
      </w:tblPr>
      <w:tblGrid>
        <w:gridCol w:w="1700"/>
        <w:gridCol w:w="7656"/>
      </w:tblGrid>
      <w:tr w14:paraId="4577A227">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05E1C7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Infekcije i infestacije</w:t>
            </w:r>
          </w:p>
        </w:tc>
      </w:tr>
      <w:tr w14:paraId="2F87FD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9949B9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521DF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infekcije</w:t>
            </w:r>
            <w:r>
              <w:rPr>
                <w:rFonts w:ascii="Microsoft Sans Serif" w:hAnsi="Microsoft Sans Serif" w:cs="Microsoft Sans Serif"/>
                <w:sz w:val="20"/>
                <w:szCs w:val="20"/>
              </w:rPr>
              <w:t xml:space="preserve"> (uklјučujući bakterijske, virusne, glјivične, nespecifične)</w:t>
            </w:r>
          </w:p>
        </w:tc>
      </w:tr>
      <w:tr w14:paraId="0F6BD14A">
        <w:tblPrEx>
          <w:tblCellMar>
            <w:top w:w="0" w:type="dxa"/>
            <w:left w:w="0" w:type="dxa"/>
            <w:bottom w:w="0" w:type="dxa"/>
            <w:right w:w="0" w:type="dxa"/>
          </w:tblCellMar>
        </w:tblPrEx>
        <w:trPr>
          <w:trHeight w:val="1027" w:hRule="exact"/>
        </w:trPr>
        <w:tc>
          <w:tcPr>
            <w:tcW w:w="1700" w:type="dxa"/>
            <w:tcBorders>
              <w:top w:val="single" w:color="000000" w:sz="4" w:space="0"/>
              <w:left w:val="single" w:color="000000" w:sz="4" w:space="0"/>
              <w:bottom w:val="single" w:color="000000" w:sz="4" w:space="0"/>
              <w:right w:val="single" w:color="000000" w:sz="4" w:space="0"/>
            </w:tcBorders>
          </w:tcPr>
          <w:p w14:paraId="0F1CB1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AE146F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(uklјučujući bakterijsku, virusnu i glјivičnu), infekcije/upale gornjih dijelova respiratornog trakta, infekcija herpes virusom </w:t>
            </w:r>
            <w:r>
              <w:rPr>
                <w:rFonts w:ascii="Microsoft Sans Serif" w:hAnsi="Microsoft Sans Serif" w:cs="Microsoft Sans Serif"/>
                <w:sz w:val="20"/>
                <w:szCs w:val="20"/>
                <w:lang w:val="sr-Cyrl-RS"/>
              </w:rPr>
              <w:t xml:space="preserve">(uklјučujući citomegalovirus- </w:t>
            </w:r>
            <w:r>
              <w:rPr>
                <w:rFonts w:ascii="Microsoft Sans Serif" w:hAnsi="Microsoft Sans Serif" w:cs="Microsoft Sans Serif"/>
                <w:sz w:val="20"/>
                <w:szCs w:val="20"/>
                <w:lang w:val="sr-Latn-RS"/>
              </w:rPr>
              <w:t>CMV</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infektivni enterokolitis, sepsa (uklјučujući povremene slučajeve sa smrtnim ishodima)</w:t>
            </w:r>
          </w:p>
        </w:tc>
      </w:tr>
      <w:tr w14:paraId="592B7A8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648C4C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Nepoznato</w:t>
            </w:r>
          </w:p>
        </w:tc>
        <w:tc>
          <w:tcPr>
            <w:tcW w:w="7656" w:type="dxa"/>
            <w:tcBorders>
              <w:top w:val="single" w:color="000000" w:sz="4" w:space="0"/>
              <w:left w:val="single" w:color="000000" w:sz="4" w:space="0"/>
              <w:bottom w:val="single" w:color="000000" w:sz="4" w:space="0"/>
              <w:right w:val="single" w:color="000000" w:sz="4" w:space="0"/>
            </w:tcBorders>
          </w:tcPr>
          <w:p w14:paraId="20B19EF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reaktivacija </w:t>
            </w:r>
            <w:r>
              <w:rPr>
                <w:rFonts w:ascii="Microsoft Sans Serif" w:hAnsi="Microsoft Sans Serif" w:cs="Microsoft Sans Serif"/>
                <w:sz w:val="20"/>
                <w:szCs w:val="20"/>
                <w:lang w:val="sr-Cyrl-RS"/>
              </w:rPr>
              <w:t xml:space="preserve">virusa hepatitis </w:t>
            </w:r>
            <w:r>
              <w:rPr>
                <w:rFonts w:ascii="Microsoft Sans Serif" w:hAnsi="Microsoft Sans Serif" w:cs="Microsoft Sans Serif"/>
                <w:sz w:val="20"/>
                <w:szCs w:val="20"/>
                <w:lang w:val="sr-Latn-RS"/>
              </w:rPr>
              <w:t>B</w:t>
            </w:r>
          </w:p>
        </w:tc>
      </w:tr>
      <w:tr w14:paraId="0F6E9BDC">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408C4B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00FF58F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15E0D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03BCB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mijelosupresija</w:t>
            </w:r>
            <w:r>
              <w:rPr>
                <w:rFonts w:ascii="Microsoft Sans Serif" w:hAnsi="Microsoft Sans Serif" w:cs="Microsoft Sans Serif"/>
                <w:sz w:val="20"/>
                <w:szCs w:val="20"/>
              </w:rPr>
              <w:t xml:space="preserve"> (uklјučujući anemiju, neutropeniju, trombocitopeniju)</w:t>
            </w:r>
          </w:p>
        </w:tc>
      </w:tr>
      <w:tr w14:paraId="42D6A0F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F05038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E6424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r>
      <w:tr w14:paraId="726309D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EE94FF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17AD675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imfadenopatija, limfopenija</w:t>
            </w:r>
          </w:p>
        </w:tc>
      </w:tr>
      <w:tr w14:paraId="17E63E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7D59A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4FE4CF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plazija </w:t>
            </w:r>
            <w:r>
              <w:rPr>
                <w:rFonts w:ascii="Microsoft Sans Serif" w:hAnsi="Microsoft Sans Serif" w:cs="Microsoft Sans Serif"/>
                <w:sz w:val="20"/>
                <w:szCs w:val="20"/>
                <w:lang w:val="sr-Cyrl-RS"/>
              </w:rPr>
              <w:t>čistih crvenih krvnih zrnaca</w:t>
            </w:r>
          </w:p>
        </w:tc>
      </w:tr>
      <w:tr w14:paraId="09CE41C2">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704AF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62560EA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8BD6B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5C06E5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reosjetlјivost (uklјučujući nodozni eritem)</w:t>
            </w:r>
          </w:p>
        </w:tc>
      </w:tr>
      <w:tr w14:paraId="0A57FAC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A7CA0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A1D1F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anafilaktički šok </w:t>
            </w:r>
          </w:p>
        </w:tc>
      </w:tr>
      <w:tr w14:paraId="7B9F8B1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C3D02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Endokrini poremećaji</w:t>
            </w:r>
          </w:p>
        </w:tc>
      </w:tr>
      <w:tr w14:paraId="2DCAE97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32A8D2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118EC9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hipotireoidizam </w:t>
            </w:r>
          </w:p>
        </w:tc>
      </w:tr>
      <w:tr w14:paraId="69D5757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6AB4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4A5DB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hipertireoidizam</w:t>
            </w:r>
            <w:r>
              <w:rPr>
                <w:rFonts w:ascii="Microsoft Sans Serif" w:hAnsi="Microsoft Sans Serif" w:cs="Microsoft Sans Serif"/>
                <w:sz w:val="20"/>
                <w:szCs w:val="20"/>
              </w:rPr>
              <w:t>, tireoiditis</w:t>
            </w:r>
          </w:p>
        </w:tc>
      </w:tr>
      <w:tr w14:paraId="724A9CE8">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07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metabolizma i ishrane</w:t>
            </w:r>
          </w:p>
        </w:tc>
      </w:tr>
      <w:tr w14:paraId="1C818E5E">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725E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5A315A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apetita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hiperurikemija</w:t>
            </w:r>
          </w:p>
        </w:tc>
      </w:tr>
      <w:tr w14:paraId="61B8B129">
        <w:tblPrEx>
          <w:tblCellMar>
            <w:top w:w="0" w:type="dxa"/>
            <w:left w:w="0" w:type="dxa"/>
            <w:bottom w:w="0" w:type="dxa"/>
            <w:right w:w="0" w:type="dxa"/>
          </w:tblCellMar>
        </w:tblPrEx>
        <w:trPr>
          <w:trHeight w:val="578" w:hRule="exact"/>
        </w:trPr>
        <w:tc>
          <w:tcPr>
            <w:tcW w:w="1700" w:type="dxa"/>
            <w:tcBorders>
              <w:top w:val="single" w:color="000000" w:sz="4" w:space="0"/>
              <w:left w:val="single" w:color="000000" w:sz="4" w:space="0"/>
              <w:bottom w:val="single" w:color="000000" w:sz="4" w:space="0"/>
              <w:right w:val="single" w:color="000000" w:sz="4" w:space="0"/>
            </w:tcBorders>
          </w:tcPr>
          <w:p w14:paraId="313F6D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695AF6B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rom </w:t>
            </w:r>
            <w:r>
              <w:rPr>
                <w:rFonts w:ascii="Microsoft Sans Serif" w:hAnsi="Microsoft Sans Serif" w:cs="Microsoft Sans Serif"/>
                <w:sz w:val="20"/>
                <w:szCs w:val="20"/>
                <w:lang w:val="sr-Cyrl-RS"/>
              </w:rPr>
              <w:t>lize tumora</w:t>
            </w:r>
            <w:r>
              <w:rPr>
                <w:rFonts w:ascii="Microsoft Sans Serif" w:hAnsi="Microsoft Sans Serif" w:cs="Microsoft Sans Serif"/>
                <w:sz w:val="20"/>
                <w:szCs w:val="20"/>
              </w:rPr>
              <w:t>, dehidratacija, hipoalbuminemija, hiperh</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lesterolemija</w:t>
            </w:r>
          </w:p>
        </w:tc>
      </w:tr>
      <w:tr w14:paraId="384D98B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715F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69673A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p>
        </w:tc>
      </w:tr>
      <w:tr w14:paraId="6C09093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3E8FB9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Psihijatrijski poremećaji</w:t>
            </w:r>
          </w:p>
        </w:tc>
      </w:tr>
      <w:tr w14:paraId="59B7EE7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1B3DE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C6996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depresija</w:t>
            </w:r>
            <w:r>
              <w:rPr>
                <w:rFonts w:ascii="Microsoft Sans Serif" w:hAnsi="Microsoft Sans Serif" w:cs="Microsoft Sans Serif"/>
                <w:sz w:val="20"/>
                <w:szCs w:val="20"/>
              </w:rPr>
              <w:t>, insomnija</w:t>
            </w:r>
          </w:p>
        </w:tc>
      </w:tr>
      <w:tr w14:paraId="4B0016EE">
        <w:tblPrEx>
          <w:tblCellMar>
            <w:top w:w="0" w:type="dxa"/>
            <w:left w:w="0" w:type="dxa"/>
            <w:bottom w:w="0" w:type="dxa"/>
            <w:right w:w="0" w:type="dxa"/>
          </w:tblCellMar>
        </w:tblPrEx>
        <w:trPr>
          <w:trHeight w:val="331" w:hRule="exact"/>
        </w:trPr>
        <w:tc>
          <w:tcPr>
            <w:tcW w:w="1700" w:type="dxa"/>
            <w:tcBorders>
              <w:top w:val="single" w:color="000000" w:sz="4" w:space="0"/>
              <w:left w:val="single" w:color="000000" w:sz="4" w:space="0"/>
              <w:bottom w:val="single" w:color="000000" w:sz="4" w:space="0"/>
              <w:right w:val="single" w:color="000000" w:sz="4" w:space="0"/>
            </w:tcBorders>
          </w:tcPr>
          <w:p w14:paraId="004484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5F9750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nksioznost, konfuzno stanje, emocionaln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nestabilnost, smanjen libido</w:t>
            </w:r>
          </w:p>
        </w:tc>
      </w:tr>
      <w:tr w14:paraId="0F76D4EE">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D7C954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07C82E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D35AA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34A326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lavobolјa </w:t>
            </w:r>
          </w:p>
        </w:tc>
      </w:tr>
      <w:tr w14:paraId="1B5A8645">
        <w:tblPrEx>
          <w:tblCellMar>
            <w:top w:w="0" w:type="dxa"/>
            <w:left w:w="0" w:type="dxa"/>
            <w:bottom w:w="0" w:type="dxa"/>
            <w:right w:w="0" w:type="dxa"/>
          </w:tblCellMar>
        </w:tblPrEx>
        <w:trPr>
          <w:trHeight w:val="550" w:hRule="exact"/>
        </w:trPr>
        <w:tc>
          <w:tcPr>
            <w:tcW w:w="1700" w:type="dxa"/>
            <w:tcBorders>
              <w:top w:val="single" w:color="000000" w:sz="4" w:space="0"/>
              <w:left w:val="single" w:color="000000" w:sz="4" w:space="0"/>
              <w:bottom w:val="single" w:color="000000" w:sz="4" w:space="0"/>
              <w:right w:val="single" w:color="000000" w:sz="4" w:space="0"/>
            </w:tcBorders>
          </w:tcPr>
          <w:p w14:paraId="03B741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5D38D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rPr>
              <w:t xml:space="preserve"> (uklјučujući perifernu neuropatiju), vrtoglavica, disgeuzija, somnolencija</w:t>
            </w:r>
          </w:p>
        </w:tc>
      </w:tr>
      <w:tr w14:paraId="0ADACA0D">
        <w:trPr>
          <w:trHeight w:val="352" w:hRule="exact"/>
        </w:trPr>
        <w:tc>
          <w:tcPr>
            <w:tcW w:w="1700" w:type="dxa"/>
            <w:tcBorders>
              <w:top w:val="single" w:color="000000" w:sz="4" w:space="0"/>
              <w:left w:val="single" w:color="000000" w:sz="4" w:space="0"/>
              <w:bottom w:val="single" w:color="000000" w:sz="4" w:space="0"/>
              <w:right w:val="single" w:color="000000" w:sz="4" w:space="0"/>
            </w:tcBorders>
          </w:tcPr>
          <w:p w14:paraId="7ADDC9B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98FC08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rvarenje </w:t>
            </w:r>
            <w:r>
              <w:rPr>
                <w:rFonts w:ascii="Microsoft Sans Serif" w:hAnsi="Microsoft Sans Serif" w:cs="Microsoft Sans Serif"/>
                <w:sz w:val="20"/>
                <w:szCs w:val="20"/>
                <w:lang w:val="sr-Cyrl-RS"/>
              </w:rPr>
              <w:t>u CNS-u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sinkopa, tremor, amnezija, poremećaj ravnoteže</w:t>
            </w:r>
          </w:p>
        </w:tc>
      </w:tr>
      <w:tr w14:paraId="70660B77">
        <w:tblPrEx>
          <w:tblCellMar>
            <w:top w:w="0" w:type="dxa"/>
            <w:left w:w="0" w:type="dxa"/>
            <w:bottom w:w="0" w:type="dxa"/>
            <w:right w:w="0" w:type="dxa"/>
          </w:tblCellMar>
        </w:tblPrEx>
        <w:trPr>
          <w:trHeight w:val="640" w:hRule="exact"/>
        </w:trPr>
        <w:tc>
          <w:tcPr>
            <w:tcW w:w="1700" w:type="dxa"/>
            <w:tcBorders>
              <w:top w:val="single" w:color="000000" w:sz="4" w:space="0"/>
              <w:left w:val="single" w:color="000000" w:sz="4" w:space="0"/>
              <w:bottom w:val="single" w:color="000000" w:sz="4" w:space="0"/>
              <w:right w:val="single" w:color="000000" w:sz="4" w:space="0"/>
            </w:tcBorders>
          </w:tcPr>
          <w:p w14:paraId="06860C9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5F9EF69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xml:space="preserve">, tranzitorni ishemijski napad, konvulzije, optički neuritis, </w:t>
            </w:r>
            <w:r>
              <w:rPr>
                <w:rFonts w:ascii="Microsoft Sans Serif" w:hAnsi="Microsoft Sans Serif" w:cs="Microsoft Sans Serif"/>
                <w:sz w:val="20"/>
                <w:szCs w:val="20"/>
                <w:lang w:val="sr-Cyrl-RS"/>
              </w:rPr>
              <w:t xml:space="preserve">paraliza </w:t>
            </w:r>
            <w:r>
              <w:rPr>
                <w:rFonts w:ascii="Microsoft Sans Serif" w:hAnsi="Microsoft Sans Serif" w:cs="Microsoft Sans Serif"/>
                <w:sz w:val="20"/>
                <w:szCs w:val="20"/>
              </w:rPr>
              <w:t>VII</w:t>
            </w:r>
            <w:r>
              <w:rPr>
                <w:rFonts w:ascii="Microsoft Sans Serif" w:hAnsi="Microsoft Sans Serif" w:cs="Microsoft Sans Serif"/>
                <w:sz w:val="20"/>
                <w:szCs w:val="20"/>
                <w:lang w:val="sr-Cyrl-RS"/>
              </w:rPr>
              <w:t xml:space="preserve"> moždanog nerva</w:t>
            </w:r>
            <w:r>
              <w:rPr>
                <w:rFonts w:ascii="Microsoft Sans Serif" w:hAnsi="Microsoft Sans Serif" w:cs="Microsoft Sans Serif"/>
                <w:sz w:val="20"/>
                <w:szCs w:val="20"/>
              </w:rPr>
              <w:t>, demencija, ataksija</w:t>
            </w:r>
          </w:p>
        </w:tc>
      </w:tr>
      <w:tr w14:paraId="4FFF28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5D2B8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3DFC141">
        <w:tblPrEx>
          <w:tblCellMar>
            <w:top w:w="0" w:type="dxa"/>
            <w:left w:w="0" w:type="dxa"/>
            <w:bottom w:w="0" w:type="dxa"/>
            <w:right w:w="0" w:type="dxa"/>
          </w:tblCellMar>
        </w:tblPrEx>
        <w:trPr>
          <w:trHeight w:val="568" w:hRule="exact"/>
        </w:trPr>
        <w:tc>
          <w:tcPr>
            <w:tcW w:w="1700" w:type="dxa"/>
            <w:tcBorders>
              <w:top w:val="single" w:color="000000" w:sz="4" w:space="0"/>
              <w:left w:val="single" w:color="000000" w:sz="4" w:space="0"/>
              <w:bottom w:val="single" w:color="000000" w:sz="4" w:space="0"/>
              <w:right w:val="single" w:color="000000" w:sz="4" w:space="0"/>
            </w:tcBorders>
          </w:tcPr>
          <w:p w14:paraId="0AB54B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820F8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vida</w:t>
            </w:r>
            <w:r>
              <w:rPr>
                <w:rFonts w:ascii="Microsoft Sans Serif" w:hAnsi="Microsoft Sans Serif" w:cs="Microsoft Sans Serif"/>
                <w:sz w:val="20"/>
                <w:szCs w:val="20"/>
              </w:rPr>
              <w:t xml:space="preserve"> (uklјučujući smetnje vida, zamaglјen vid i smanjena oštrina vida), suvoća oka</w:t>
            </w:r>
          </w:p>
        </w:tc>
      </w:tr>
      <w:tr w14:paraId="1A97544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A05C1F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9EE008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smetnje vida</w:t>
            </w:r>
            <w:r>
              <w:rPr>
                <w:rFonts w:ascii="Microsoft Sans Serif" w:hAnsi="Microsoft Sans Serif" w:cs="Microsoft Sans Serif"/>
                <w:sz w:val="20"/>
                <w:szCs w:val="20"/>
              </w:rPr>
              <w:t>, konjuktivitis, fotofobija, pojačano suzenje</w:t>
            </w:r>
          </w:p>
        </w:tc>
      </w:tr>
      <w:tr w14:paraId="2C2EBBD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A88C65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uha i labirinta</w:t>
            </w:r>
          </w:p>
        </w:tc>
      </w:tr>
      <w:tr w14:paraId="441D5D15">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7E83F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3DB036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tinitus </w:t>
            </w:r>
          </w:p>
        </w:tc>
      </w:tr>
      <w:tr w14:paraId="443EFF8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588B4F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89416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ubitak </w:t>
            </w:r>
            <w:r>
              <w:rPr>
                <w:rFonts w:ascii="Microsoft Sans Serif" w:hAnsi="Microsoft Sans Serif" w:cs="Microsoft Sans Serif"/>
                <w:sz w:val="20"/>
                <w:szCs w:val="20"/>
                <w:lang w:val="sr-Cyrl-RS"/>
              </w:rPr>
              <w:t>sluha</w:t>
            </w:r>
            <w:r>
              <w:rPr>
                <w:rFonts w:ascii="Microsoft Sans Serif" w:hAnsi="Microsoft Sans Serif" w:cs="Microsoft Sans Serif"/>
                <w:sz w:val="20"/>
                <w:szCs w:val="20"/>
              </w:rPr>
              <w:t xml:space="preserve">, vrtoglavica </w:t>
            </w:r>
          </w:p>
        </w:tc>
      </w:tr>
      <w:tr w14:paraId="2D4D84BB">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FDD71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Srčani poremećaji </w:t>
            </w:r>
          </w:p>
        </w:tc>
      </w:tr>
      <w:tr w14:paraId="2C1A073F">
        <w:tblPrEx>
          <w:tblCellMar>
            <w:top w:w="0" w:type="dxa"/>
            <w:left w:w="0" w:type="dxa"/>
            <w:bottom w:w="0" w:type="dxa"/>
            <w:right w:w="0" w:type="dxa"/>
          </w:tblCellMar>
        </w:tblPrEx>
        <w:trPr>
          <w:trHeight w:val="658" w:hRule="exact"/>
        </w:trPr>
        <w:tc>
          <w:tcPr>
            <w:tcW w:w="1700" w:type="dxa"/>
            <w:tcBorders>
              <w:top w:val="single" w:color="000000" w:sz="4" w:space="0"/>
              <w:left w:val="single" w:color="000000" w:sz="4" w:space="0"/>
              <w:bottom w:val="single" w:color="000000" w:sz="4" w:space="0"/>
              <w:right w:val="single" w:color="000000" w:sz="4" w:space="0"/>
            </w:tcBorders>
          </w:tcPr>
          <w:p w14:paraId="11E9B8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E54F3C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ongestivni </w:t>
            </w:r>
            <w:r>
              <w:rPr>
                <w:rFonts w:ascii="Microsoft Sans Serif" w:hAnsi="Microsoft Sans Serif" w:cs="Microsoft Sans Serif"/>
                <w:sz w:val="20"/>
                <w:szCs w:val="20"/>
                <w:lang w:val="sr-Cyrl-RS"/>
              </w:rPr>
              <w:t>srčani zastoj</w:t>
            </w:r>
            <w:r>
              <w:rPr>
                <w:rFonts w:ascii="Microsoft Sans Serif" w:hAnsi="Microsoft Sans Serif" w:cs="Microsoft Sans Serif"/>
                <w:sz w:val="20"/>
                <w:szCs w:val="20"/>
              </w:rPr>
              <w:t>/srčana disfunkcija</w:t>
            </w: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 perikardijalni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aritmije (uklјučujući tahikardiju), palpitacije </w:t>
            </w:r>
          </w:p>
        </w:tc>
      </w:tr>
      <w:tr w14:paraId="2721069C">
        <w:tblPrEx>
          <w:tblCellMar>
            <w:top w:w="0" w:type="dxa"/>
            <w:left w:w="0" w:type="dxa"/>
            <w:bottom w:w="0" w:type="dxa"/>
            <w:right w:w="0" w:type="dxa"/>
          </w:tblCellMar>
        </w:tblPrEx>
        <w:trPr>
          <w:trHeight w:val="1055" w:hRule="exact"/>
        </w:trPr>
        <w:tc>
          <w:tcPr>
            <w:tcW w:w="1700" w:type="dxa"/>
            <w:tcBorders>
              <w:top w:val="single" w:color="000000" w:sz="4" w:space="0"/>
              <w:left w:val="single" w:color="000000" w:sz="4" w:space="0"/>
              <w:bottom w:val="single" w:color="000000" w:sz="4" w:space="0"/>
              <w:right w:val="single" w:color="000000" w:sz="4" w:space="0"/>
            </w:tcBorders>
          </w:tcPr>
          <w:p w14:paraId="7D94B47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4CDBCBA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rPr>
              <w:t xml:space="preserve"> (uklјučujući one sa smrtnim ishodom)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elektrokardiografski vidlјivo produženje </w:t>
            </w:r>
            <w:r>
              <w:rPr>
                <w:rFonts w:ascii="Microsoft Sans Serif" w:hAnsi="Microsoft Sans Serif" w:cs="Microsoft Sans Serif"/>
                <w:sz w:val="20"/>
                <w:szCs w:val="20"/>
                <w:lang w:val="sr-Latn-RS"/>
              </w:rPr>
              <w:t>QT</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perikarditis, ventrikularna aritmija (uklјučujući ventrikularnu tahikardiju), angina pektoris, kardiomegalija, abnormalnost </w:t>
            </w:r>
            <w:r>
              <w:rPr>
                <w:rFonts w:ascii="Microsoft Sans Serif" w:hAnsi="Microsoft Sans Serif" w:cs="Microsoft Sans Serif"/>
                <w:sz w:val="20"/>
                <w:szCs w:val="20"/>
                <w:lang w:val="sr-Cyrl-RS"/>
              </w:rPr>
              <w:t>T- talasa na elektrokardiogramu</w:t>
            </w:r>
            <w:r>
              <w:rPr>
                <w:rFonts w:ascii="Microsoft Sans Serif" w:hAnsi="Microsoft Sans Serif" w:cs="Microsoft Sans Serif"/>
                <w:sz w:val="20"/>
                <w:szCs w:val="20"/>
              </w:rPr>
              <w:t>, povišene vrijednosti troponina</w:t>
            </w:r>
          </w:p>
        </w:tc>
      </w:tr>
      <w:tr w14:paraId="60C30025">
        <w:tblPrEx>
          <w:tblCellMar>
            <w:top w:w="0" w:type="dxa"/>
            <w:left w:w="0" w:type="dxa"/>
            <w:bottom w:w="0" w:type="dxa"/>
            <w:right w:w="0" w:type="dxa"/>
          </w:tblCellMar>
        </w:tblPrEx>
        <w:trPr>
          <w:trHeight w:val="558" w:hRule="exact"/>
        </w:trPr>
        <w:tc>
          <w:tcPr>
            <w:tcW w:w="1700" w:type="dxa"/>
            <w:tcBorders>
              <w:top w:val="single" w:color="000000" w:sz="4" w:space="0"/>
              <w:left w:val="single" w:color="000000" w:sz="4" w:space="0"/>
              <w:bottom w:val="single" w:color="000000" w:sz="4" w:space="0"/>
              <w:right w:val="single" w:color="000000" w:sz="4" w:space="0"/>
            </w:tcBorders>
          </w:tcPr>
          <w:p w14:paraId="39075D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6AABED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lućno </w:t>
            </w:r>
            <w:r>
              <w:rPr>
                <w:rFonts w:ascii="Microsoft Sans Serif" w:hAnsi="Microsoft Sans Serif" w:cs="Microsoft Sans Serif"/>
                <w:sz w:val="20"/>
                <w:szCs w:val="20"/>
                <w:lang w:val="sr-Cyrl-RS"/>
              </w:rPr>
              <w:t>srce</w:t>
            </w:r>
            <w:r>
              <w:rPr>
                <w:rFonts w:ascii="Microsoft Sans Serif" w:hAnsi="Microsoft Sans Serif" w:cs="Microsoft Sans Serif"/>
                <w:sz w:val="20"/>
                <w:szCs w:val="20"/>
              </w:rPr>
              <w:t xml:space="preserve">, miokarditis, akutni koronarni sindrom, srčani zastoj, produženje </w:t>
            </w:r>
            <w:r>
              <w:rPr>
                <w:rFonts w:ascii="Microsoft Sans Serif" w:hAnsi="Microsoft Sans Serif" w:cs="Microsoft Sans Serif"/>
                <w:sz w:val="20"/>
                <w:szCs w:val="20"/>
                <w:lang w:val="sr-Latn-RS"/>
              </w:rPr>
              <w:t xml:space="preserve">PR </w:t>
            </w:r>
            <w:r>
              <w:rPr>
                <w:rFonts w:ascii="Microsoft Sans Serif" w:hAnsi="Microsoft Sans Serif" w:cs="Microsoft Sans Serif"/>
                <w:sz w:val="20"/>
                <w:szCs w:val="20"/>
                <w:lang w:val="sr-Cyrl-RS"/>
              </w:rPr>
              <w:t>intervala na elektrokardiogramu</w:t>
            </w:r>
            <w:r>
              <w:rPr>
                <w:rFonts w:ascii="Microsoft Sans Serif" w:hAnsi="Microsoft Sans Serif" w:cs="Microsoft Sans Serif"/>
                <w:sz w:val="20"/>
                <w:szCs w:val="20"/>
              </w:rPr>
              <w:t>, bolest koronarnih arterija, pleuroperikarditis</w:t>
            </w:r>
          </w:p>
        </w:tc>
      </w:tr>
      <w:tr w14:paraId="05AF107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E9719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DB6B7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trijalna </w:t>
            </w:r>
            <w:r>
              <w:rPr>
                <w:rFonts w:ascii="Microsoft Sans Serif" w:hAnsi="Microsoft Sans Serif" w:cs="Microsoft Sans Serif"/>
                <w:sz w:val="20"/>
                <w:szCs w:val="20"/>
                <w:lang w:val="sr-Cyrl-RS"/>
              </w:rPr>
              <w:t>fibrilacija</w:t>
            </w:r>
            <w:r>
              <w:rPr>
                <w:rFonts w:ascii="Microsoft Sans Serif" w:hAnsi="Microsoft Sans Serif" w:cs="Microsoft Sans Serif"/>
                <w:sz w:val="20"/>
                <w:szCs w:val="20"/>
              </w:rPr>
              <w:t>/atrijalni flater</w:t>
            </w:r>
          </w:p>
        </w:tc>
      </w:tr>
      <w:tr w14:paraId="35A9EEF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817D74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4617BB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34275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79B859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w:t>
            </w:r>
            <w:r>
              <w:rPr>
                <w:rFonts w:ascii="Microsoft Sans Serif" w:hAnsi="Microsoft Sans Serif" w:cs="Microsoft Sans Serif"/>
                <w:sz w:val="20"/>
                <w:szCs w:val="20"/>
                <w:vertAlign w:val="superscript"/>
              </w:rPr>
              <w:t>*d</w:t>
            </w:r>
          </w:p>
        </w:tc>
      </w:tr>
      <w:tr w14:paraId="6A26325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AD36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C1E86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ipertenzija, naleti crvenila</w:t>
            </w:r>
          </w:p>
        </w:tc>
      </w:tr>
      <w:tr w14:paraId="15EF215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66766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7E20B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ipotenzija, tromboflebitis, tromboza</w:t>
            </w:r>
          </w:p>
        </w:tc>
      </w:tr>
      <w:tr w14:paraId="22B2F63D">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1DED5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2CB479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embolija, livedo reticularis</w:t>
            </w:r>
          </w:p>
        </w:tc>
      </w:tr>
      <w:tr w14:paraId="1315911D">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469D40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9BD6D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trombotična mikroangiopatija</w:t>
            </w:r>
          </w:p>
        </w:tc>
      </w:tr>
      <w:tr w14:paraId="0F9AD2E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6CBCF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4DB425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199F3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4A1CCB6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dispneja</w:t>
            </w:r>
          </w:p>
        </w:tc>
      </w:tr>
      <w:tr w14:paraId="77B21493">
        <w:tblPrEx>
          <w:tblCellMar>
            <w:top w:w="0" w:type="dxa"/>
            <w:left w:w="0" w:type="dxa"/>
            <w:bottom w:w="0" w:type="dxa"/>
            <w:right w:w="0" w:type="dxa"/>
          </w:tblCellMar>
        </w:tblPrEx>
        <w:trPr>
          <w:trHeight w:val="608" w:hRule="exact"/>
        </w:trPr>
        <w:tc>
          <w:tcPr>
            <w:tcW w:w="1700" w:type="dxa"/>
            <w:tcBorders>
              <w:top w:val="single" w:color="000000" w:sz="4" w:space="0"/>
              <w:left w:val="single" w:color="000000" w:sz="4" w:space="0"/>
              <w:bottom w:val="single" w:color="000000" w:sz="4" w:space="0"/>
              <w:right w:val="single" w:color="000000" w:sz="4" w:space="0"/>
            </w:tcBorders>
          </w:tcPr>
          <w:p w14:paraId="13174AD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7F9E51B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lućni </w:t>
            </w: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hipertenzija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plućni infiltrati, pneumonitis, kašalј</w:t>
            </w:r>
          </w:p>
        </w:tc>
      </w:tr>
      <w:tr w14:paraId="4C8BBD2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5CC3AA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6F3A84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lućna </w:t>
            </w:r>
            <w:r>
              <w:rPr>
                <w:rFonts w:ascii="Microsoft Sans Serif" w:hAnsi="Microsoft Sans Serif" w:cs="Microsoft Sans Serif"/>
                <w:sz w:val="20"/>
                <w:szCs w:val="20"/>
                <w:lang w:val="sr-Cyrl-RS"/>
              </w:rPr>
              <w:t>arterijska hipertenzija</w:t>
            </w:r>
            <w:r>
              <w:rPr>
                <w:rFonts w:ascii="Microsoft Sans Serif" w:hAnsi="Microsoft Sans Serif" w:cs="Microsoft Sans Serif"/>
                <w:sz w:val="20"/>
                <w:szCs w:val="20"/>
              </w:rPr>
              <w:t>, bronhospazam, astma, hilotoraks</w:t>
            </w:r>
            <w:r>
              <w:rPr>
                <w:w w:val="103"/>
                <w:vertAlign w:val="superscript"/>
              </w:rPr>
              <w:t>*</w:t>
            </w:r>
          </w:p>
        </w:tc>
      </w:tr>
      <w:tr w14:paraId="1DB78E0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7E469B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0B7940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rPr>
              <w:t>, akutni respiratorni distres sindrom</w:t>
            </w:r>
          </w:p>
        </w:tc>
      </w:tr>
      <w:tr w14:paraId="4BFA23AB">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25CFFA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6C5592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intestinalna bolest pluća</w:t>
            </w:r>
          </w:p>
        </w:tc>
      </w:tr>
      <w:tr w14:paraId="1D024EB1">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63727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3FD075F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C918F4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73177D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povraćanje, mučnina, abdominalni bol</w:t>
            </w:r>
          </w:p>
        </w:tc>
      </w:tr>
      <w:tr w14:paraId="4CBD19FC">
        <w:tblPrEx>
          <w:tblCellMar>
            <w:top w:w="0" w:type="dxa"/>
            <w:left w:w="0" w:type="dxa"/>
            <w:bottom w:w="0" w:type="dxa"/>
            <w:right w:w="0" w:type="dxa"/>
          </w:tblCellMar>
        </w:tblPrEx>
        <w:trPr>
          <w:trHeight w:val="766" w:hRule="exact"/>
        </w:trPr>
        <w:tc>
          <w:tcPr>
            <w:tcW w:w="1700" w:type="dxa"/>
            <w:tcBorders>
              <w:top w:val="single" w:color="000000" w:sz="4" w:space="0"/>
              <w:left w:val="single" w:color="000000" w:sz="4" w:space="0"/>
              <w:bottom w:val="single" w:color="000000" w:sz="4" w:space="0"/>
              <w:right w:val="single" w:color="000000" w:sz="4" w:space="0"/>
            </w:tcBorders>
          </w:tcPr>
          <w:p w14:paraId="3B4A310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47275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astrointestinalno </w:t>
            </w:r>
            <w:r>
              <w:rPr>
                <w:rFonts w:ascii="Microsoft Sans Serif" w:hAnsi="Microsoft Sans Serif" w:cs="Microsoft Sans Serif"/>
                <w:sz w:val="20"/>
                <w:szCs w:val="20"/>
                <w:lang w:val="sr-Cyrl-RS"/>
              </w:rPr>
              <w:t>krvarenje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kolitis (uklјučujući neutropenijski kolitis), gastritis, upala sluznica (uklјučujući mukozitis/stomatitis),  dispepsija, distenzija abdomena, konstipacija, poremećaji mekih tkiva usne duplјe</w:t>
            </w:r>
          </w:p>
        </w:tc>
      </w:tr>
      <w:tr w14:paraId="4505D30E">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0D9AA9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158C1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pankreatitis</w:t>
            </w:r>
            <w:r>
              <w:rPr>
                <w:rFonts w:ascii="Microsoft Sans Serif" w:hAnsi="Microsoft Sans Serif" w:cs="Microsoft Sans Serif"/>
                <w:sz w:val="20"/>
                <w:szCs w:val="20"/>
              </w:rPr>
              <w:t xml:space="preserve"> (uklјučujući akutni pankreatitis), ulkus u gornjem delu gastrointestinalnog trakta, ezofagitis, ascite</w:t>
            </w:r>
            <w:r>
              <w:rPr>
                <w:rFonts w:ascii="Microsoft Sans Serif" w:hAnsi="Microsoft Sans Serif" w:cs="Microsoft Sans Serif"/>
                <w:sz w:val="20"/>
                <w:szCs w:val="20"/>
                <w:lang w:val="sr-Cyrl-RS"/>
              </w:rPr>
              <w:t>s</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analna fisura, disfagija, gastroezofagusna refluksna bolest</w:t>
            </w:r>
          </w:p>
        </w:tc>
      </w:tr>
      <w:tr w14:paraId="2B73756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B7E869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FFE57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gastroenteropatija sa gubitkom proteina</w:t>
            </w:r>
            <w:r>
              <w:rPr>
                <w:rFonts w:ascii="Microsoft Sans Serif" w:hAnsi="Microsoft Sans Serif" w:cs="Microsoft Sans Serif"/>
                <w:sz w:val="20"/>
                <w:szCs w:val="20"/>
              </w:rPr>
              <w:t>, ileus, analna fistula</w:t>
            </w:r>
          </w:p>
        </w:tc>
      </w:tr>
      <w:tr w14:paraId="45C1CB0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76ADA3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294136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 xml:space="preserve">atalno </w:t>
            </w: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w:t>
            </w:r>
          </w:p>
        </w:tc>
      </w:tr>
      <w:tr w14:paraId="31ED825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695F5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7C01E54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FAD4BD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64479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rPr>
              <w:t>, holecistitis, holestaza</w:t>
            </w:r>
          </w:p>
        </w:tc>
      </w:tr>
      <w:tr w14:paraId="05888D95">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FC577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25B720A3">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2AC3E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04E6CF9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kožni osip</w:t>
            </w:r>
            <w:r>
              <w:rPr>
                <w:rFonts w:ascii="Microsoft Sans Serif" w:hAnsi="Microsoft Sans Serif" w:cs="Microsoft Sans Serif"/>
                <w:sz w:val="20"/>
                <w:szCs w:val="20"/>
                <w:vertAlign w:val="superscript"/>
              </w:rPr>
              <w:t>e</w:t>
            </w:r>
          </w:p>
        </w:tc>
      </w:tr>
      <w:tr w14:paraId="0F704733">
        <w:tblPrEx>
          <w:tblCellMar>
            <w:top w:w="0" w:type="dxa"/>
            <w:left w:w="0" w:type="dxa"/>
            <w:bottom w:w="0" w:type="dxa"/>
            <w:right w:w="0" w:type="dxa"/>
          </w:tblCellMar>
        </w:tblPrEx>
        <w:trPr>
          <w:trHeight w:val="560" w:hRule="exact"/>
        </w:trPr>
        <w:tc>
          <w:tcPr>
            <w:tcW w:w="1700" w:type="dxa"/>
            <w:tcBorders>
              <w:top w:val="single" w:color="000000" w:sz="4" w:space="0"/>
              <w:left w:val="single" w:color="000000" w:sz="4" w:space="0"/>
              <w:bottom w:val="single" w:color="000000" w:sz="4" w:space="0"/>
              <w:right w:val="single" w:color="000000" w:sz="4" w:space="0"/>
            </w:tcBorders>
          </w:tcPr>
          <w:p w14:paraId="7D6BD0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C3BDBE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lopecija, dermatitis (uklјučujući ekcem), pruritus, akne, suva koža, urtikarija, hiperhidroza</w:t>
            </w:r>
          </w:p>
        </w:tc>
      </w:tr>
      <w:tr w14:paraId="66E85BC4">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616822E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7310CF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neutrofilna dermatoza</w:t>
            </w:r>
            <w:r>
              <w:rPr>
                <w:rFonts w:ascii="Microsoft Sans Serif" w:hAnsi="Microsoft Sans Serif" w:cs="Microsoft Sans Serif"/>
                <w:sz w:val="20"/>
                <w:szCs w:val="20"/>
              </w:rPr>
              <w:t>, fotosenzitivnost, poremećaj pigmentacije, panikulitis, kožni ulkus, bulozna stanja, poremećaj noktiju, sindrom</w:t>
            </w:r>
            <w:r>
              <w:rPr>
                <w:rFonts w:ascii="Microsoft Sans Serif" w:hAnsi="Microsoft Sans Serif" w:cs="Microsoft Sans Serif"/>
                <w:sz w:val="20"/>
                <w:szCs w:val="20"/>
                <w:lang w:val="sr-Cyrl-RS"/>
              </w:rPr>
              <w:t xml:space="preserve"> palmarno plantarne eritrodizestezije</w:t>
            </w:r>
            <w:r>
              <w:rPr>
                <w:rFonts w:ascii="Microsoft Sans Serif" w:hAnsi="Microsoft Sans Serif" w:cs="Microsoft Sans Serif"/>
                <w:sz w:val="20"/>
                <w:szCs w:val="20"/>
              </w:rPr>
              <w:t>, poremećaj kose</w:t>
            </w:r>
          </w:p>
        </w:tc>
      </w:tr>
      <w:tr w14:paraId="47C0D62C">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B15626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7E6D722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rPr>
              <w:t>, kožna fibroza</w:t>
            </w:r>
          </w:p>
        </w:tc>
      </w:tr>
      <w:tr w14:paraId="34ECC48D">
        <w:tblPrEx>
          <w:tblCellMar>
            <w:top w:w="0" w:type="dxa"/>
            <w:left w:w="0" w:type="dxa"/>
            <w:bottom w:w="0" w:type="dxa"/>
            <w:right w:w="0" w:type="dxa"/>
          </w:tblCellMar>
        </w:tblPrEx>
        <w:trPr>
          <w:trHeight w:val="315" w:hRule="exact"/>
        </w:trPr>
        <w:tc>
          <w:tcPr>
            <w:tcW w:w="1700" w:type="dxa"/>
            <w:tcBorders>
              <w:top w:val="single" w:color="000000" w:sz="4" w:space="0"/>
              <w:left w:val="single" w:color="000000" w:sz="4" w:space="0"/>
              <w:bottom w:val="single" w:color="000000" w:sz="4" w:space="0"/>
              <w:right w:val="single" w:color="000000" w:sz="4" w:space="0"/>
            </w:tcBorders>
          </w:tcPr>
          <w:p w14:paraId="4BE543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548623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 ov</w:t>
            </w:r>
            <w:r>
              <w:rPr>
                <w:rFonts w:ascii="Microsoft Sans Serif" w:hAnsi="Microsoft Sans Serif" w:cs="Microsoft Sans Serif"/>
                <w:sz w:val="20"/>
                <w:szCs w:val="20"/>
              </w:rPr>
              <w:t xml:space="preserve"> sindrom</w:t>
            </w:r>
            <w:r>
              <w:rPr>
                <w:rFonts w:ascii="Microsoft Sans Serif" w:hAnsi="Microsoft Sans Serif" w:cs="Microsoft Sans Serif"/>
                <w:sz w:val="20"/>
                <w:szCs w:val="20"/>
                <w:vertAlign w:val="superscript"/>
              </w:rPr>
              <w:t>f</w:t>
            </w:r>
          </w:p>
        </w:tc>
      </w:tr>
      <w:tr w14:paraId="19659D6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A3D36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 koštanog sistema i vezivnog tkiva</w:t>
            </w:r>
          </w:p>
        </w:tc>
      </w:tr>
      <w:tr w14:paraId="7FF28CE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6A55177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D722B4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išićno-</w:t>
            </w:r>
            <w:r>
              <w:rPr>
                <w:rFonts w:ascii="Microsoft Sans Serif" w:hAnsi="Microsoft Sans Serif" w:cs="Microsoft Sans Serif"/>
                <w:sz w:val="20"/>
                <w:szCs w:val="20"/>
                <w:lang w:val="sr-Cyrl-RS"/>
              </w:rPr>
              <w:t xml:space="preserve"> koštani bol</w:t>
            </w:r>
            <w:r>
              <w:rPr>
                <w:rFonts w:ascii="Microsoft Sans Serif" w:hAnsi="Microsoft Sans Serif" w:cs="Microsoft Sans Serif"/>
                <w:sz w:val="20"/>
                <w:szCs w:val="20"/>
                <w:vertAlign w:val="superscript"/>
              </w:rPr>
              <w:t>g</w:t>
            </w:r>
          </w:p>
        </w:tc>
      </w:tr>
      <w:tr w14:paraId="401075DC">
        <w:tblPrEx>
          <w:tblCellMar>
            <w:top w:w="0" w:type="dxa"/>
            <w:left w:w="0" w:type="dxa"/>
            <w:bottom w:w="0" w:type="dxa"/>
            <w:right w:w="0" w:type="dxa"/>
          </w:tblCellMar>
        </w:tblPrEx>
        <w:trPr>
          <w:trHeight w:val="351" w:hRule="exact"/>
        </w:trPr>
        <w:tc>
          <w:tcPr>
            <w:tcW w:w="1700" w:type="dxa"/>
            <w:tcBorders>
              <w:top w:val="single" w:color="000000" w:sz="4" w:space="0"/>
              <w:left w:val="single" w:color="000000" w:sz="4" w:space="0"/>
              <w:bottom w:val="single" w:color="000000" w:sz="4" w:space="0"/>
              <w:right w:val="single" w:color="000000" w:sz="4" w:space="0"/>
            </w:tcBorders>
          </w:tcPr>
          <w:p w14:paraId="1714FC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1B2A47C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artralgija</w:t>
            </w:r>
            <w:r>
              <w:rPr>
                <w:rFonts w:ascii="Microsoft Sans Serif" w:hAnsi="Microsoft Sans Serif" w:cs="Microsoft Sans Serif"/>
                <w:sz w:val="20"/>
                <w:szCs w:val="20"/>
              </w:rPr>
              <w:t>, mijalgija, mišićna slabost, mišićno- koštana ukočenost, spazam mišića</w:t>
            </w:r>
          </w:p>
        </w:tc>
      </w:tr>
      <w:tr w14:paraId="0486CB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286473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467286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rabdomioliza</w:t>
            </w:r>
            <w:r>
              <w:rPr>
                <w:rFonts w:ascii="Microsoft Sans Serif" w:hAnsi="Microsoft Sans Serif" w:cs="Microsoft Sans Serif"/>
                <w:sz w:val="20"/>
                <w:szCs w:val="20"/>
              </w:rPr>
              <w:t>, osteonekroza, upala mišića, tendinitis, artritis</w:t>
            </w:r>
          </w:p>
        </w:tc>
      </w:tr>
      <w:tr w14:paraId="1E8387F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245F22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068C61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kasno srastanje epifiza</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zastoj u rastu</w:t>
            </w:r>
            <w:r>
              <w:rPr>
                <w:rFonts w:ascii="Microsoft Sans Serif" w:hAnsi="Microsoft Sans Serif" w:cs="Microsoft Sans Serif"/>
                <w:sz w:val="20"/>
                <w:szCs w:val="20"/>
                <w:vertAlign w:val="superscript"/>
              </w:rPr>
              <w:t>h</w:t>
            </w:r>
          </w:p>
        </w:tc>
      </w:tr>
      <w:tr w14:paraId="07911E3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702F5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2A2ECADF">
        <w:tblPrEx>
          <w:tblCellMar>
            <w:top w:w="0" w:type="dxa"/>
            <w:left w:w="0" w:type="dxa"/>
            <w:bottom w:w="0" w:type="dxa"/>
            <w:right w:w="0" w:type="dxa"/>
          </w:tblCellMar>
        </w:tblPrEx>
        <w:trPr>
          <w:trHeight w:val="534" w:hRule="exact"/>
        </w:trPr>
        <w:tc>
          <w:tcPr>
            <w:tcW w:w="1700" w:type="dxa"/>
            <w:tcBorders>
              <w:top w:val="single" w:color="000000" w:sz="4" w:space="0"/>
              <w:left w:val="single" w:color="000000" w:sz="4" w:space="0"/>
              <w:bottom w:val="single" w:color="000000" w:sz="4" w:space="0"/>
              <w:right w:val="single" w:color="000000" w:sz="4" w:space="0"/>
            </w:tcBorders>
          </w:tcPr>
          <w:p w14:paraId="65421C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44084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bubrega</w:t>
            </w:r>
            <w:r>
              <w:rPr>
                <w:rFonts w:ascii="Microsoft Sans Serif" w:hAnsi="Microsoft Sans Serif" w:cs="Microsoft Sans Serif"/>
                <w:sz w:val="20"/>
                <w:szCs w:val="20"/>
              </w:rPr>
              <w:t xml:space="preserve"> (uklјučujući bubrežnu insuficijenciju), učestalo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 proteinurija</w:t>
            </w:r>
          </w:p>
        </w:tc>
      </w:tr>
      <w:tr w14:paraId="12640CD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029A7A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91269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r>
      <w:tr w14:paraId="65A07DBB">
        <w:tblPrEx>
          <w:tblCellMar>
            <w:top w:w="0" w:type="dxa"/>
            <w:left w:w="0" w:type="dxa"/>
            <w:bottom w:w="0" w:type="dxa"/>
            <w:right w:w="0" w:type="dxa"/>
          </w:tblCellMar>
        </w:tblPrEx>
        <w:trPr>
          <w:trHeight w:val="266"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34D401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Trudnoća, puerperijum i perinatalna stanja</w:t>
            </w:r>
          </w:p>
        </w:tc>
      </w:tr>
      <w:tr w14:paraId="2884917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90464C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89BB5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abortus </w:t>
            </w:r>
          </w:p>
        </w:tc>
      </w:tr>
      <w:tr w14:paraId="40D6065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00CC834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reproduktivnog sistema i dojki</w:t>
            </w:r>
          </w:p>
        </w:tc>
      </w:tr>
      <w:tr w14:paraId="3D5DAD1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DBE7B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F8DC8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ginekomastija</w:t>
            </w:r>
            <w:r>
              <w:rPr>
                <w:rFonts w:ascii="Microsoft Sans Serif" w:hAnsi="Microsoft Sans Serif" w:cs="Microsoft Sans Serif"/>
                <w:sz w:val="20"/>
                <w:szCs w:val="20"/>
              </w:rPr>
              <w:t>, menstrualni poremećaj</w:t>
            </w:r>
          </w:p>
        </w:tc>
      </w:tr>
      <w:tr w14:paraId="572616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4DC69A9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estu primjene</w:t>
            </w:r>
          </w:p>
        </w:tc>
      </w:tr>
      <w:tr w14:paraId="59D615CF">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B2DD5C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86FF3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periferni edem</w:t>
            </w:r>
            <w:r>
              <w:rPr>
                <w:rFonts w:ascii="Microsoft Sans Serif" w:hAnsi="Microsoft Sans Serif" w:cs="Microsoft Sans Serif"/>
                <w:sz w:val="20"/>
                <w:szCs w:val="20"/>
                <w:vertAlign w:val="superscript"/>
              </w:rPr>
              <w:t>i</w:t>
            </w:r>
            <w:r>
              <w:rPr>
                <w:rFonts w:ascii="Microsoft Sans Serif" w:hAnsi="Microsoft Sans Serif" w:cs="Microsoft Sans Serif"/>
                <w:sz w:val="20"/>
                <w:szCs w:val="20"/>
              </w:rPr>
              <w:t>, umor, pireksija, edem lica</w:t>
            </w:r>
            <w:r>
              <w:rPr>
                <w:rFonts w:ascii="Microsoft Sans Serif" w:hAnsi="Microsoft Sans Serif" w:cs="Microsoft Sans Serif"/>
                <w:sz w:val="20"/>
                <w:szCs w:val="20"/>
                <w:vertAlign w:val="superscript"/>
              </w:rPr>
              <w:t>j</w:t>
            </w:r>
          </w:p>
        </w:tc>
      </w:tr>
      <w:tr w14:paraId="73EB7336">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0F86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3FA9E60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r>
              <w:rPr>
                <w:rFonts w:ascii="Microsoft Sans Serif" w:hAnsi="Microsoft Sans Serif" w:cs="Microsoft Sans Serif"/>
                <w:sz w:val="20"/>
                <w:szCs w:val="20"/>
              </w:rPr>
              <w:t>, bol, bol u grudima, 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drhtavica</w:t>
            </w:r>
          </w:p>
        </w:tc>
      </w:tr>
      <w:tr w14:paraId="1A4C72F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AAFCD7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5690E0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malaksalost</w:t>
            </w:r>
            <w:r>
              <w:rPr>
                <w:rFonts w:ascii="Microsoft Sans Serif" w:hAnsi="Microsoft Sans Serif" w:cs="Microsoft Sans Serif"/>
                <w:sz w:val="20"/>
                <w:szCs w:val="20"/>
              </w:rPr>
              <w:t>, drugi povr</w:t>
            </w:r>
            <w:r>
              <w:rPr>
                <w:rFonts w:ascii="Microsoft Sans Serif" w:hAnsi="Microsoft Sans Serif" w:cs="Microsoft Sans Serif"/>
                <w:sz w:val="20"/>
                <w:szCs w:val="20"/>
                <w:lang w:val="sr-Cyrl-RS"/>
              </w:rPr>
              <w:t>šinski edemi</w:t>
            </w:r>
            <w:r>
              <w:rPr>
                <w:rFonts w:ascii="Microsoft Sans Serif" w:hAnsi="Microsoft Sans Serif" w:cs="Microsoft Sans Serif"/>
                <w:sz w:val="20"/>
                <w:szCs w:val="20"/>
                <w:vertAlign w:val="superscript"/>
              </w:rPr>
              <w:t>l</w:t>
            </w:r>
          </w:p>
        </w:tc>
      </w:tr>
      <w:tr w14:paraId="387FAA7F">
        <w:tblPrEx>
          <w:tblCellMar>
            <w:top w:w="0" w:type="dxa"/>
            <w:left w:w="0" w:type="dxa"/>
            <w:bottom w:w="0" w:type="dxa"/>
            <w:right w:w="0" w:type="dxa"/>
          </w:tblCellMar>
        </w:tblPrEx>
        <w:trPr>
          <w:trHeight w:val="307" w:hRule="exact"/>
        </w:trPr>
        <w:tc>
          <w:tcPr>
            <w:tcW w:w="1700" w:type="dxa"/>
            <w:tcBorders>
              <w:top w:val="single" w:color="000000" w:sz="4" w:space="0"/>
              <w:left w:val="single" w:color="000000" w:sz="4" w:space="0"/>
              <w:bottom w:val="single" w:color="000000" w:sz="4" w:space="0"/>
              <w:right w:val="single" w:color="000000" w:sz="4" w:space="0"/>
            </w:tcBorders>
          </w:tcPr>
          <w:p w14:paraId="01E460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158D8B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hoda</w:t>
            </w:r>
          </w:p>
        </w:tc>
      </w:tr>
      <w:tr w14:paraId="04F97EC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4BCA0D5">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Analize </w:t>
            </w:r>
          </w:p>
          <w:p w14:paraId="2372C4ED">
            <w:pPr>
              <w:widowControl w:val="0"/>
              <w:tabs>
                <w:tab w:val="clear" w:pos="284"/>
              </w:tabs>
              <w:rPr>
                <w:rFonts w:ascii="Microsoft Sans Serif" w:hAnsi="Microsoft Sans Serif" w:cs="Microsoft Sans Serif"/>
                <w:sz w:val="20"/>
                <w:szCs w:val="20"/>
                <w:lang w:val="sr-Cyrl-RS"/>
              </w:rPr>
            </w:pPr>
          </w:p>
        </w:tc>
      </w:tr>
      <w:tr w14:paraId="2590617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2809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A2C6E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težine</w:t>
            </w:r>
            <w:r>
              <w:rPr>
                <w:rFonts w:ascii="Microsoft Sans Serif" w:hAnsi="Microsoft Sans Serif" w:cs="Microsoft Sans Serif"/>
                <w:sz w:val="20"/>
                <w:szCs w:val="20"/>
              </w:rPr>
              <w:t>, povećanje tjelesne težine</w:t>
            </w:r>
          </w:p>
        </w:tc>
      </w:tr>
      <w:tr w14:paraId="6F017158">
        <w:tblPrEx>
          <w:tblCellMar>
            <w:top w:w="0" w:type="dxa"/>
            <w:left w:w="0" w:type="dxa"/>
            <w:bottom w:w="0" w:type="dxa"/>
            <w:right w:w="0" w:type="dxa"/>
          </w:tblCellMar>
        </w:tblPrEx>
        <w:trPr>
          <w:trHeight w:val="619" w:hRule="exact"/>
        </w:trPr>
        <w:tc>
          <w:tcPr>
            <w:tcW w:w="1700" w:type="dxa"/>
            <w:tcBorders>
              <w:top w:val="single" w:color="000000" w:sz="4" w:space="0"/>
              <w:left w:val="single" w:color="000000" w:sz="4" w:space="0"/>
              <w:bottom w:val="single" w:color="000000" w:sz="4" w:space="0"/>
              <w:right w:val="single" w:color="000000" w:sz="4" w:space="0"/>
            </w:tcBorders>
          </w:tcPr>
          <w:p w14:paraId="2EF785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68B7D20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povišene vrijednosti kreatin fosfokinaze</w:t>
            </w:r>
            <w:r>
              <w:rPr>
                <w:rFonts w:ascii="Microsoft Sans Serif" w:hAnsi="Microsoft Sans Serif" w:cs="Microsoft Sans Serif"/>
                <w:sz w:val="20"/>
                <w:szCs w:val="20"/>
              </w:rPr>
              <w:t>, povišene vrijednosti gama- glutamil transferaze</w:t>
            </w:r>
          </w:p>
        </w:tc>
      </w:tr>
      <w:tr w14:paraId="5A12831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566212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7B3A9FD1">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33C3D3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09040B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kontuzije </w:t>
            </w:r>
          </w:p>
        </w:tc>
      </w:tr>
    </w:tbl>
    <w:p w14:paraId="1311FF1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a</w:t>
      </w:r>
      <w:r>
        <w:rPr>
          <w:rFonts w:ascii="Microsoft Sans Serif" w:hAnsi="Microsoft Sans Serif" w:eastAsia="Calibri" w:cs="Microsoft Sans Serif"/>
          <w:sz w:val="20"/>
          <w:szCs w:val="20"/>
          <w:lang w:val="sr-Cyrl-RS"/>
        </w:rPr>
        <w:t xml:space="preserve"> Uklјučuje smanjen apetit, brz nastup os</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eća</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a sitosti, pojačan apetit</w:t>
      </w:r>
    </w:p>
    <w:p w14:paraId="34744AC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lang w:val="sr-Cyrl-RS"/>
        </w:rPr>
        <w:t xml:space="preserve"> Uklјučuje krvarenje u centralnom nervnom sistemu, cerebralni hematom, cerebralno krvarenje, ekstraduralni hematom, intrakranijalno krvarenje, hemoragijski moždani udar, subarahnoidalno krvarenje, subduralni hematom ili subduralno krvarenje</w:t>
      </w:r>
    </w:p>
    <w:p w14:paraId="6C64C4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c</w:t>
      </w:r>
      <w:r>
        <w:rPr>
          <w:rFonts w:ascii="Microsoft Sans Serif" w:hAnsi="Microsoft Sans Serif" w:eastAsia="Calibri" w:cs="Microsoft Sans Serif"/>
          <w:sz w:val="20"/>
          <w:szCs w:val="20"/>
          <w:lang w:val="sr-Cyrl-RS"/>
        </w:rPr>
        <w:t xml:space="preserve"> Uklјučuje povišene vrijednosti natriuretskog peptida</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u mozgu, ventrikularnu disfunkciju, disfunkciju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disfunkciju desne komore, srčanu insuficijenciju, akutnu srčanu insuficijenciju, hroničnu srčanu insuficijenciju, kongestivnu srčanu insuficijenciju, kardiomiopatiju, kongestivnu kardiomiopatiju, dijastolnu disfunkciju, smanjenje ejekcione frakcije i insuficijenciju komore, insuficijenciju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insuficijenciju desne komore i ventrikularnu hipokineziju</w:t>
      </w:r>
    </w:p>
    <w:p w14:paraId="70DEBB8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d</w:t>
      </w:r>
      <w:r>
        <w:rPr>
          <w:rFonts w:ascii="Microsoft Sans Serif" w:hAnsi="Microsoft Sans Serif" w:eastAsia="Calibri" w:cs="Microsoft Sans Serif"/>
          <w:sz w:val="20"/>
          <w:szCs w:val="20"/>
          <w:lang w:val="sr-Cyrl-RS"/>
        </w:rPr>
        <w:t xml:space="preserve"> Isklјučuje gastrointestinalno krvarenje i krvarenje u centralnom nervnom sistemu; ov</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djelovanja</w:t>
      </w:r>
      <w:r>
        <w:rPr>
          <w:rFonts w:ascii="Microsoft Sans Serif" w:hAnsi="Microsoft Sans Serif" w:eastAsia="Calibri" w:cs="Microsoft Sans Serif"/>
          <w:sz w:val="20"/>
          <w:szCs w:val="20"/>
          <w:lang w:val="sr-Cyrl-RS"/>
        </w:rPr>
        <w:t xml:space="preserve"> su prijavlјen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u okviru gastrointestinalnih poremećaja odnosno poremećaja nervnog sistema</w:t>
      </w:r>
    </w:p>
    <w:p w14:paraId="2BCCCF6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e</w:t>
      </w:r>
      <w:r>
        <w:rPr>
          <w:rFonts w:ascii="Microsoft Sans Serif" w:hAnsi="Microsoft Sans Serif" w:eastAsia="Calibri" w:cs="Microsoft Sans Serif"/>
          <w:sz w:val="20"/>
          <w:szCs w:val="20"/>
          <w:lang w:val="sr-Cyrl-RS"/>
        </w:rPr>
        <w:t xml:space="preserve"> Uklјučuje medikamentoznu erupciju, eritem, multiformni eritem, eritrozu, eksfolijativni osip, generalizirani eritem, genitalni osip, osip sa osećajem vrućine, milia, milijariju, pustuloznu psorijazu, osip, eritematozni osip, folikularni osip, generalizirani osip, makularni osip, makulopapulozni osip, papulozni osip, pruritički osip, pustulozni osip, vezikularni osip, lјuštenje kože, nadraženost kože, toksičnu kožnu erupciju, vezikularnu urtikariju i vaskulitični osip</w:t>
      </w:r>
    </w:p>
    <w:p w14:paraId="6B3EA16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f</w:t>
      </w:r>
      <w:r>
        <w:rPr>
          <w:rFonts w:ascii="Microsoft Sans Serif" w:hAnsi="Microsoft Sans Serif" w:eastAsia="Calibri" w:cs="Microsoft Sans Serif"/>
          <w:sz w:val="20"/>
          <w:szCs w:val="20"/>
          <w:lang w:val="sr-Cyrl-RS"/>
        </w:rPr>
        <w:t xml:space="preserve"> Nakon stavlјanja lijeka u promet prijavlјeni su pojedinačni slučajevi </w:t>
      </w:r>
      <w:r>
        <w:rPr>
          <w:rFonts w:ascii="Microsoft Sans Serif" w:hAnsi="Microsoft Sans Serif" w:eastAsia="Calibri" w:cs="Microsoft Sans Serif"/>
          <w:sz w:val="20"/>
          <w:szCs w:val="20"/>
          <w:lang w:val="sr-Latn-RS"/>
        </w:rPr>
        <w:t>Stevens</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Johnson-</w:t>
      </w:r>
      <w:r>
        <w:rPr>
          <w:rFonts w:ascii="Microsoft Sans Serif" w:hAnsi="Microsoft Sans Serif" w:eastAsia="Calibri" w:cs="Microsoft Sans Serif"/>
          <w:sz w:val="20"/>
          <w:szCs w:val="20"/>
          <w:lang w:val="sr-Cyrl-RS"/>
        </w:rPr>
        <w:t>ovog sindroma. Nije se moglo utvrditi da li je t</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mukokutan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dejstvo</w:t>
      </w:r>
      <w:r>
        <w:rPr>
          <w:rFonts w:ascii="Microsoft Sans Serif" w:hAnsi="Microsoft Sans Serif" w:eastAsia="Calibri" w:cs="Microsoft Sans Serif"/>
          <w:sz w:val="20"/>
          <w:szCs w:val="20"/>
          <w:lang w:val="sr-Cyrl-RS"/>
        </w:rPr>
        <w:t xml:space="preserve"> direktno povezan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sa dasatinibom ili sa istovremeno 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enjivanim lijekovima</w:t>
      </w:r>
    </w:p>
    <w:p w14:paraId="5CC1C7B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g</w:t>
      </w:r>
      <w:r>
        <w:rPr>
          <w:rFonts w:ascii="Microsoft Sans Serif" w:hAnsi="Microsoft Sans Serif" w:eastAsia="Calibri" w:cs="Microsoft Sans Serif"/>
          <w:sz w:val="20"/>
          <w:szCs w:val="20"/>
          <w:lang w:val="sr-Cyrl-RS"/>
        </w:rPr>
        <w:t xml:space="preserve"> Mišićno- koštani bol prijavlјen tokom liječenja ili nakon prekida liječenja</w:t>
      </w:r>
    </w:p>
    <w:p w14:paraId="1117FB1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h</w:t>
      </w:r>
      <w:r>
        <w:rPr>
          <w:rFonts w:ascii="Microsoft Sans Serif" w:hAnsi="Microsoft Sans Serif" w:eastAsia="Calibri" w:cs="Microsoft Sans Serif"/>
          <w:sz w:val="20"/>
          <w:szCs w:val="20"/>
          <w:lang w:val="sr-Cyrl-RS"/>
        </w:rPr>
        <w:t xml:space="preserve"> Prijavlјeno često u pedijatrijskim ispitivanjima</w:t>
      </w:r>
    </w:p>
    <w:p w14:paraId="600991D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i</w:t>
      </w:r>
      <w:r>
        <w:rPr>
          <w:rFonts w:ascii="Microsoft Sans Serif" w:hAnsi="Microsoft Sans Serif" w:eastAsia="Calibri" w:cs="Microsoft Sans Serif"/>
          <w:sz w:val="20"/>
          <w:szCs w:val="20"/>
          <w:lang w:val="sr-Cyrl-RS"/>
        </w:rPr>
        <w:t xml:space="preserve"> Gravitacijski edem, lokalizovani edem, periferni edem</w:t>
      </w:r>
    </w:p>
    <w:p w14:paraId="6A2D3DD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j</w:t>
      </w:r>
      <w:r>
        <w:rPr>
          <w:rFonts w:ascii="Microsoft Sans Serif" w:hAnsi="Microsoft Sans Serif" w:eastAsia="Calibri" w:cs="Microsoft Sans Serif"/>
          <w:sz w:val="20"/>
          <w:szCs w:val="20"/>
          <w:lang w:val="sr-Cyrl-RS"/>
        </w:rPr>
        <w:t xml:space="preserve"> Edem konjunktiva, edem oka, oticanje oka, edem očnih kapaka, edem lica, edem usana, makularni edem, edem usta, orbitalni edem, periorbitalni edem, oticanje lica</w:t>
      </w:r>
    </w:p>
    <w:p w14:paraId="64AB808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k</w:t>
      </w:r>
      <w:r>
        <w:rPr>
          <w:rFonts w:ascii="Microsoft Sans Serif" w:hAnsi="Microsoft Sans Serif" w:eastAsia="Calibri" w:cs="Microsoft Sans Serif"/>
          <w:sz w:val="20"/>
          <w:szCs w:val="20"/>
          <w:lang w:val="sr-Cyrl-RS"/>
        </w:rPr>
        <w:t xml:space="preserve"> Preopterećenje tečnošću, zadržavanje tečnosti, gastrointestinalni edem, generalizovani edem, periferno oticanje, edem, edem zbog srčane bolesti, perinefritički izliv, postproceduralni edem, viscelarni edem</w:t>
      </w:r>
    </w:p>
    <w:p w14:paraId="226DD5A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l</w:t>
      </w:r>
      <w:r>
        <w:rPr>
          <w:rFonts w:ascii="Microsoft Sans Serif" w:hAnsi="Microsoft Sans Serif" w:eastAsia="Calibri" w:cs="Microsoft Sans Serif"/>
          <w:sz w:val="20"/>
          <w:szCs w:val="20"/>
          <w:lang w:val="sr-Cyrl-RS"/>
        </w:rPr>
        <w:t xml:space="preserve"> Oticanje genitalija, edem na mestu incizije, genitalni edem, edem penisa, oticanje penisa, edem skrotuma, oticanje kože, oticanje testisa, vulvovaginalno oticanje</w:t>
      </w:r>
    </w:p>
    <w:p w14:paraId="6AAABDD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Za detalјnije informacije, vidjeti dio Opis odabranih neželјenih </w:t>
      </w:r>
      <w:r>
        <w:rPr>
          <w:rFonts w:ascii="Microsoft Sans Serif" w:hAnsi="Microsoft Sans Serif" w:eastAsia="Calibri" w:cs="Microsoft Sans Serif"/>
          <w:sz w:val="20"/>
          <w:szCs w:val="20"/>
        </w:rPr>
        <w:t>dejstava</w:t>
      </w:r>
    </w:p>
    <w:p w14:paraId="419ED6E1">
      <w:pPr>
        <w:widowControl w:val="0"/>
        <w:tabs>
          <w:tab w:val="clear" w:pos="284"/>
        </w:tabs>
        <w:rPr>
          <w:rFonts w:ascii="Microsoft Sans Serif" w:hAnsi="Microsoft Sans Serif" w:eastAsia="Calibri" w:cs="Microsoft Sans Serif"/>
          <w:sz w:val="20"/>
          <w:szCs w:val="20"/>
          <w:u w:val="single"/>
        </w:rPr>
      </w:pPr>
    </w:p>
    <w:p w14:paraId="63F6D31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dejstava</w:t>
      </w:r>
    </w:p>
    <w:p w14:paraId="0F0DD854">
      <w:pPr>
        <w:widowControl w:val="0"/>
        <w:tabs>
          <w:tab w:val="clear" w:pos="284"/>
        </w:tabs>
        <w:rPr>
          <w:rFonts w:ascii="Microsoft Sans Serif" w:hAnsi="Microsoft Sans Serif" w:eastAsia="Calibri" w:cs="Microsoft Sans Serif"/>
          <w:sz w:val="20"/>
          <w:szCs w:val="20"/>
          <w:u w:val="single"/>
        </w:rPr>
      </w:pPr>
    </w:p>
    <w:p w14:paraId="2130CB5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Mijelosupresija</w:t>
      </w:r>
    </w:p>
    <w:p w14:paraId="67F64EC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Liječenje dasatinibom povezano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anemijom, neutropenijom i trombocitopenijom. </w:t>
      </w:r>
      <w:r>
        <w:rPr>
          <w:rFonts w:ascii="Microsoft Sans Serif" w:hAnsi="Microsoft Sans Serif" w:eastAsia="Calibri" w:cs="Microsoft Sans Serif"/>
          <w:sz w:val="20"/>
          <w:szCs w:val="20"/>
          <w:lang w:val="sr-Cyrl-RS"/>
        </w:rPr>
        <w:t>Ove</w:t>
      </w:r>
      <w:r>
        <w:rPr>
          <w:rFonts w:ascii="Microsoft Sans Serif" w:hAnsi="Microsoft Sans Serif" w:eastAsia="Calibri" w:cs="Microsoft Sans Serif"/>
          <w:sz w:val="20"/>
          <w:szCs w:val="20"/>
        </w:rPr>
        <w:t xml:space="preserve"> promjene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ranije i češće javlјaju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Latn-RS"/>
        </w:rPr>
        <w:t>HML</w:t>
      </w:r>
      <w:r>
        <w:rPr>
          <w:rFonts w:ascii="Microsoft Sans Serif" w:hAnsi="Microsoft Sans Serif" w:eastAsia="Calibri" w:cs="Microsoft Sans Serif"/>
          <w:sz w:val="20"/>
          <w:szCs w:val="20"/>
        </w:rPr>
        <w:t xml:space="preserve"> u uznapredovaloj fazi ili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nego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(pogledati dio 4.4).</w:t>
      </w:r>
    </w:p>
    <w:p w14:paraId="6F3917A2">
      <w:pPr>
        <w:widowControl w:val="0"/>
        <w:tabs>
          <w:tab w:val="clear" w:pos="284"/>
        </w:tabs>
        <w:rPr>
          <w:rFonts w:ascii="Microsoft Sans Serif" w:hAnsi="Microsoft Sans Serif" w:eastAsia="Calibri" w:cs="Microsoft Sans Serif"/>
          <w:sz w:val="20"/>
          <w:szCs w:val="20"/>
        </w:rPr>
      </w:pPr>
    </w:p>
    <w:p w14:paraId="7C4C9EE7">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w:t>
      </w:r>
    </w:p>
    <w:p w14:paraId="22790A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uzimali dasatinib zabilježene su neželјene reakcije krvarenja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lijekom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rasponu od petehija i epistakse do gastrointestinalnog krvarenja i krvarenja u centralnom nervnom sistemu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(CNS) 3. ili 4. stepena (pogledati dio 4.4).</w:t>
      </w:r>
    </w:p>
    <w:p w14:paraId="0038CC45">
      <w:pPr>
        <w:widowControl w:val="0"/>
        <w:tabs>
          <w:tab w:val="clear" w:pos="284"/>
        </w:tabs>
        <w:rPr>
          <w:rFonts w:ascii="Microsoft Sans Serif" w:hAnsi="Microsoft Sans Serif" w:cs="Microsoft Sans Serif"/>
          <w:sz w:val="20"/>
          <w:szCs w:val="20"/>
        </w:rPr>
      </w:pPr>
    </w:p>
    <w:p w14:paraId="1E012499">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Zadržavanje tečnosti</w:t>
      </w:r>
    </w:p>
    <w:p w14:paraId="2CE5B78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Razna neželјena djelovanja poput pleuralnog izliva, ascita, plućnog edema i perikardijalnog izliva sa ili 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površinskih edema mogu se zajednički opisati kao “zadržavanje tečnosti”. Nakon najmanje 60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mjeseci praćenja u ispitivanju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novodijagnostikovanom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neželјena djelovanja zadržavanja tečnosti uzrokovana primjenom dasatiniba uklјučivale su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(28%), površinski edem (14%), plućnu hipertenziju (5%), generalizirani edem (4%) i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(4%). Kongestivna srčana insuficijencija/srčana disfunkcija i plućni edem prijavlјeni su kod &lt; 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Kumulativna stopa pleuralnog izliva (svi stepeni) uzrokovana primjenom 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 vremena iznosila je 10% nakon 12 mjeseci, 14% nakon 24 mjeseca, 19% nakon 36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24% nakon 48 mjeseci i 28% nakon 60 mjeseci. Ukupno je 46 pacijenata liječenih dasatinibom imalo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rekurentne pleuralne izlive.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17 pacijenata zabilježena su 2 odvojena neželјena djelovanja, kod njih 6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3 neželјena djelovanja, kod 18 pacijenata zabilježeno je 4 – 8 neželјenih dejstava, dok je kod 5 pacijenata zabilježeno &gt; 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epizoda pleuralnog izliva.</w:t>
      </w:r>
    </w:p>
    <w:p w14:paraId="2E389B6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vremena do nastupa prvog pleuralnog izliva 1. ili 2. stepena uzrokovanog primjenom dasatiniba iznosila je 114 nedelјa (raspon: 4 - 299 nedelјa). Manje od 10%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imalo je teške pleuralne izlive (3. ili 4. stepena) uzrokovane primjenom dasatiniba. 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vremena do nastupa prvog pleuralnog izliva ≥ 3. stepena uzrokovanog primjenom dasatiniba iznosila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175 nedelјa (raspon: 114 - 274 nedelјa).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trajanja pleuralnog izliva (svi stepeni)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uzrokovanog primjenom dasatiniba iznosila je 283 dana (~40 nedelјa).</w:t>
      </w:r>
    </w:p>
    <w:p w14:paraId="1D3950E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Pleuralni izliv obično je bio reverzibilan i zbrinjavao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privremenim prekidom liječenja dasatinibom i primjenom diuretika ili drugim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sr-Latn-RS"/>
        </w:rPr>
        <w:t>dg</w:t>
      </w:r>
      <w:r>
        <w:rPr>
          <w:rFonts w:ascii="Microsoft Sans Serif" w:hAnsi="Microsoft Sans Serif" w:cs="Microsoft Sans Serif"/>
          <w:sz w:val="20"/>
          <w:szCs w:val="20"/>
          <w:lang w:val="mk-MK"/>
        </w:rPr>
        <w:t>ovaraju</w:t>
      </w:r>
      <w:r>
        <w:rPr>
          <w:rFonts w:ascii="Microsoft Sans Serif" w:hAnsi="Microsoft Sans Serif" w:cs="Microsoft Sans Serif"/>
          <w:sz w:val="20"/>
          <w:szCs w:val="20"/>
          <w:lang w:val="sr-Cyrl-RS"/>
        </w:rPr>
        <w:t>ćim suportivnim terapijskim mjerama</w:t>
      </w:r>
      <w:r>
        <w:rPr>
          <w:rFonts w:ascii="Microsoft Sans Serif" w:hAnsi="Microsoft Sans Serif" w:cs="Microsoft Sans Serif"/>
          <w:sz w:val="20"/>
          <w:szCs w:val="20"/>
        </w:rPr>
        <w:t xml:space="preserve"> (pogledati dijelove 4.2 i 4.4). Među pacijentima liječenim dasatinibom koji su imali pleuralni izliv uzrokovan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primjenom lijeka (n=73),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njih 45 (62%) privremeno je prekinuta primjena lijeka, dok je kod 30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(41%) smanjena doza. Uz to, 34 (47%) pacijenta primala su diuretike, 23 (32%)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 a njih 20 (27%) i kortikosteroide i diuretike. Devet (12%) pacijenata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podvrgnuto terapijskoj torakocentezi.</w:t>
      </w:r>
    </w:p>
    <w:p w14:paraId="3AE1EC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Šest posto pacijenata liječenih dasatinibom prekinulo je liječenje zbog pleuralnog izliva uzrokovanog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 lijeka. Pleuralni izliv nije uticao na sposobnost pacijenata da postignu odgovor. 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liječenim dasatinibom, njih 96% postiglo je cCCyR, 82% postiglo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MMR, a njih 50% postiglo je MR4,5 uprkos privremenom prekidu primjene lijeka ili prilagođenoj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w:t>
      </w:r>
    </w:p>
    <w:p w14:paraId="082802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Pogledati dio 4.4 za više informacija o pacijentima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u hroničnoj fazi i HML u 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 ili Ph+ ALL.</w:t>
      </w:r>
    </w:p>
    <w:p w14:paraId="0DC5A4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Prijavljeni su slučajevi hilotoraksa kod pacijenata sa pleuralnim izlivom. Neki slučajevi hilotoraksa su se povukli nakon prekida, prestanka ili smanjenja doze dasatiniba, ali je većina slučajeva takođe zahtjevala dodatni tretman. </w:t>
      </w:r>
    </w:p>
    <w:p w14:paraId="3AF1D0EB">
      <w:pPr>
        <w:widowControl w:val="0"/>
        <w:tabs>
          <w:tab w:val="clear" w:pos="284"/>
        </w:tabs>
        <w:rPr>
          <w:rFonts w:ascii="Microsoft Sans Serif" w:hAnsi="Microsoft Sans Serif" w:eastAsia="Calibri" w:cs="Microsoft Sans Serif"/>
          <w:sz w:val="20"/>
          <w:szCs w:val="20"/>
        </w:rPr>
      </w:pPr>
    </w:p>
    <w:p w14:paraId="69E89C90">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Plućna arterijska hipertenzija (PAH)</w:t>
      </w:r>
    </w:p>
    <w:p w14:paraId="5CBC59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Prijavlјena je PAH (prekapilarna plućna arterijska hipertenzija potvrđena kateterizacijom desne 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izloženošću dasatinibu. U tim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PAH bila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početka terapije dasatinibom, pa čak i nakon više od godinu dana liječenja.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prijavlјenom tokom liječenja dasatinibom često su istovremeno uzimali druge lijekove ili 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komorbiditet uz osnovnu malignu bolest. Nakon prekida primjene dasatiniba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w:t>
      </w:r>
      <w:r>
        <w:rPr>
          <w:rFonts w:ascii="Microsoft Sans Serif" w:hAnsi="Microsoft Sans Serif" w:eastAsia="Calibri" w:cs="Microsoft Sans Serif"/>
          <w:sz w:val="20"/>
          <w:szCs w:val="20"/>
          <w:lang w:val="sr-Cyrl-RS"/>
        </w:rPr>
        <w:t xml:space="preserve"> za</w:t>
      </w:r>
      <w:r>
        <w:rPr>
          <w:rFonts w:ascii="Microsoft Sans Serif" w:hAnsi="Microsoft Sans Serif" w:eastAsia="Calibri" w:cs="Microsoft Sans Serif"/>
          <w:sz w:val="20"/>
          <w:szCs w:val="20"/>
        </w:rPr>
        <w:t>pažena su pobolјšanja hemodinamskih i kliničkih parametara.</w:t>
      </w:r>
    </w:p>
    <w:p w14:paraId="008E1CF2">
      <w:pPr>
        <w:widowControl w:val="0"/>
        <w:tabs>
          <w:tab w:val="clear" w:pos="284"/>
        </w:tabs>
        <w:rPr>
          <w:rFonts w:ascii="Microsoft Sans Serif" w:hAnsi="Microsoft Sans Serif" w:eastAsia="Calibri" w:cs="Microsoft Sans Serif"/>
          <w:sz w:val="20"/>
          <w:szCs w:val="20"/>
        </w:rPr>
      </w:pPr>
    </w:p>
    <w:p w14:paraId="66F92F9A">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Produženje QT intervala</w:t>
      </w:r>
    </w:p>
    <w:p w14:paraId="00A41D9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faze III kod pacijenata sa novodijagnostikovanom HML u hroničnoj fazi, nakon najmanje 12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mjeseci praćenja (pogledati dio 4.4), jedan pacijent (&lt;1%) u grupi liječenoj dasatinibom imao je QTcF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&gt;500 msec. Nakon najmanje 60 mjeseci praćenja nije bilo dodatnih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QTcF &gt;500 msec.</w:t>
      </w:r>
    </w:p>
    <w:p w14:paraId="330F714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5 kliničkih ispitivanja faze II kod pacijenata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urađeni su EKG pregledi prije početka i za vrijeme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unapred određenim vremenskim tačkama, uz centralno očitavanje nalaza, kod svih 865 pacijenata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primali dasatinib u dozi od 70 mg dva puta dnevno. QT interval je bio korigovan za srčanu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frekvenciju prema Fridericijinoj metodi. U svim vremenskim tačkama nakon doze 8. dana, prosječna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 u dužini QTcF intervala u odnosu na početnu iznosila je 4-6 msec, uz gornju granicu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raspona pouzdanosti od &lt;7 msec. Od 2182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su rezistentni</w:t>
      </w:r>
      <w:r>
        <w:rPr>
          <w:rFonts w:ascii="Microsoft Sans Serif" w:hAnsi="Microsoft Sans Serif" w:eastAsia="Calibri" w:cs="Microsoft Sans Serif"/>
          <w:sz w:val="20"/>
          <w:szCs w:val="20"/>
          <w:lang w:val="sr-Cyrl-RS"/>
        </w:rPr>
        <w:t xml:space="preserve"> ili</w:t>
      </w:r>
      <w:r>
        <w:rPr>
          <w:rFonts w:ascii="Microsoft Sans Serif" w:hAnsi="Microsoft Sans Serif" w:eastAsia="Calibri" w:cs="Microsoft Sans Serif"/>
          <w:sz w:val="20"/>
          <w:szCs w:val="20"/>
        </w:rPr>
        <w:t xml:space="preserve"> ne podnose prethodnu terapiju 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 primali su dasatinib u kliničkim ispitivanjima, 15 (1%) je imalo produ</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 zabilježeno kao neželјeno dejstvo. Dvadeset jedan pacijent (1%) imao je QTcF &gt; 500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(pogledati dio 4.4).</w:t>
      </w:r>
    </w:p>
    <w:p w14:paraId="6E23F8B1">
      <w:pPr>
        <w:widowControl w:val="0"/>
        <w:tabs>
          <w:tab w:val="clear" w:pos="284"/>
        </w:tabs>
        <w:rPr>
          <w:rFonts w:ascii="Microsoft Sans Serif" w:hAnsi="Microsoft Sans Serif" w:cs="Microsoft Sans Serif"/>
          <w:i/>
          <w:sz w:val="20"/>
          <w:szCs w:val="20"/>
          <w:u w:val="single"/>
        </w:rPr>
      </w:pPr>
    </w:p>
    <w:p w14:paraId="5C00E67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Srčana neželјena djelovanja</w:t>
      </w:r>
    </w:p>
    <w:p w14:paraId="2995E27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faktorima </w:t>
      </w:r>
      <w:r>
        <w:rPr>
          <w:rFonts w:ascii="Microsoft Sans Serif" w:hAnsi="Microsoft Sans Serif" w:cs="Microsoft Sans Serif"/>
          <w:sz w:val="20"/>
          <w:szCs w:val="20"/>
          <w:lang w:val="sr-Cyrl-RS"/>
        </w:rPr>
        <w:t xml:space="preserve">rizika </w:t>
      </w:r>
      <w:r>
        <w:rPr>
          <w:rFonts w:ascii="Microsoft Sans Serif" w:hAnsi="Microsoft Sans Serif" w:cs="Microsoft Sans Serif"/>
          <w:sz w:val="20"/>
          <w:szCs w:val="20"/>
        </w:rPr>
        <w:t>ili srčanom bolešću u anamnezi mora se pažlјivo pratiti na znakove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simptome poremećaja srčane funkcije i </w:t>
      </w:r>
      <w:r>
        <w:rPr>
          <w:rFonts w:ascii="Microsoft Sans Serif" w:hAnsi="Microsoft Sans Serif" w:cs="Microsoft Sans Serif"/>
          <w:sz w:val="20"/>
          <w:szCs w:val="20"/>
          <w:lang w:val="sr-Cyrl-RS"/>
        </w:rPr>
        <w:t>treba ih procijeniti</w:t>
      </w:r>
      <w:r>
        <w:rPr>
          <w:rFonts w:ascii="Microsoft Sans Serif" w:hAnsi="Microsoft Sans Serif" w:cs="Microsoft Sans Serif"/>
          <w:sz w:val="20"/>
          <w:szCs w:val="20"/>
        </w:rPr>
        <w:t xml:space="preserve"> i liječiti na odgovarajući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način (pogledati dio 4.4).</w:t>
      </w:r>
    </w:p>
    <w:p w14:paraId="2041B7CF">
      <w:pPr>
        <w:widowControl w:val="0"/>
        <w:tabs>
          <w:tab w:val="clear" w:pos="284"/>
        </w:tabs>
        <w:rPr>
          <w:rFonts w:ascii="Microsoft Sans Serif" w:hAnsi="Microsoft Sans Serif" w:eastAsia="Calibri" w:cs="Microsoft Sans Serif"/>
          <w:sz w:val="20"/>
          <w:szCs w:val="20"/>
        </w:rPr>
      </w:pPr>
    </w:p>
    <w:p w14:paraId="14354B48">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Reaktivacija virusa</w:t>
      </w:r>
      <w:r>
        <w:rPr>
          <w:rFonts w:ascii="Microsoft Sans Serif" w:hAnsi="Microsoft Sans Serif" w:eastAsia="Calibri" w:cs="Microsoft Sans Serif"/>
          <w:i/>
          <w:sz w:val="20"/>
          <w:szCs w:val="20"/>
          <w:u w:val="single"/>
        </w:rPr>
        <w:t xml:space="preserve"> hepatitis B</w:t>
      </w:r>
    </w:p>
    <w:p w14:paraId="1A782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Reaktivacija virusa</w:t>
      </w:r>
      <w:r>
        <w:rPr>
          <w:rFonts w:ascii="Microsoft Sans Serif" w:hAnsi="Microsoft Sans Serif" w:eastAsia="Calibri" w:cs="Microsoft Sans Serif"/>
          <w:sz w:val="20"/>
          <w:szCs w:val="20"/>
        </w:rPr>
        <w:t xml:space="preserve"> hepatitis B zabilježena je u vezi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inhibitorima BCR-ABL tirozin kinaze.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 jetre ili smrtnog ishoda (pogledati dio 4.4).</w:t>
      </w:r>
    </w:p>
    <w:p w14:paraId="24D6381B">
      <w:pPr>
        <w:widowControl w:val="0"/>
        <w:tabs>
          <w:tab w:val="clear" w:pos="284"/>
        </w:tabs>
        <w:rPr>
          <w:rFonts w:ascii="Microsoft Sans Serif" w:hAnsi="Microsoft Sans Serif" w:eastAsia="Calibri" w:cs="Microsoft Sans Serif"/>
          <w:sz w:val="20"/>
          <w:szCs w:val="20"/>
        </w:rPr>
      </w:pPr>
    </w:p>
    <w:p w14:paraId="33971B2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bila je 30 mjeseci), incidenca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pleuralnog izliva i kongestivne insuficijencije srca/srčane disfunkcije bila je manja u grupi koja je primala dasatinib u dozi od 100 mg jednom dnevno nego u grupi koja je primala dasatinib u 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Manja učestalost mijelosupresije prijavlјena je u grupi liječenoj dozom od 100 mg jednom dnevno (pogledati </w:t>
      </w:r>
      <w:r>
        <w:rPr>
          <w:rFonts w:ascii="Microsoft Sans Serif" w:hAnsi="Microsoft Sans Serif" w:eastAsia="Calibri" w:cs="Microsoft Sans Serif"/>
          <w:sz w:val="20"/>
          <w:szCs w:val="20"/>
          <w:lang w:val="sr-Cyrl-RS"/>
        </w:rPr>
        <w:t>u nastavku teksta</w:t>
      </w:r>
      <w:r>
        <w:rPr>
          <w:rFonts w:ascii="Microsoft Sans Serif" w:hAnsi="Microsoft Sans Serif" w:eastAsia="Calibri" w:cs="Microsoft Sans Serif"/>
          <w:sz w:val="20"/>
          <w:szCs w:val="20"/>
        </w:rPr>
        <w:t xml:space="preserve"> pod Laboratorijski poremećaji).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 liječenoj dozom od 100 mg jednom dnevno iznosila je 37 mjeseci (raspon: 1-91 mjesec).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Kumulativne stope odabranih neželјenih dejstava prijavlјenih u grupi liječenoj preporučenom početnom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dozom od 100 mg jednom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a.</w:t>
      </w:r>
    </w:p>
    <w:p w14:paraId="416AE1E7">
      <w:pPr>
        <w:widowControl w:val="0"/>
        <w:tabs>
          <w:tab w:val="clear" w:pos="284"/>
        </w:tabs>
        <w:rPr>
          <w:rFonts w:ascii="Microsoft Sans Serif" w:hAnsi="Microsoft Sans Serif" w:eastAsia="Calibri" w:cs="Microsoft Sans Serif"/>
          <w:sz w:val="20"/>
          <w:szCs w:val="20"/>
        </w:rPr>
      </w:pPr>
    </w:p>
    <w:p w14:paraId="3C6938CE">
      <w:pPr>
        <w:widowControl w:val="0"/>
        <w:tabs>
          <w:tab w:val="clear" w:pos="284"/>
        </w:tabs>
        <w:rPr>
          <w:rFonts w:ascii="Microsoft Sans Serif" w:hAnsi="Microsoft Sans Serif" w:eastAsia="Calibri" w:cs="Microsoft Sans Serif"/>
          <w:b/>
          <w:sz w:val="20"/>
          <w:szCs w:val="20"/>
          <w:vertAlign w:val="superscript"/>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6</w:t>
      </w:r>
      <w:r>
        <w:rPr>
          <w:rFonts w:ascii="Microsoft Sans Serif" w:hAnsi="Microsoft Sans Serif" w:eastAsia="Calibri" w:cs="Microsoft Sans Serif"/>
          <w:b/>
          <w:sz w:val="20"/>
          <w:szCs w:val="20"/>
        </w:rPr>
        <w:t>a: Odabrana neželјena djelovanja prijavlјena u ispitivanju optimizacije doze faze 3 (pacijenti sa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HML u hroničnoj fazi su rezistentni </w:t>
      </w:r>
      <w:r>
        <w:rPr>
          <w:rFonts w:ascii="Microsoft Sans Serif" w:hAnsi="Microsoft Sans Serif" w:eastAsia="Calibri" w:cs="Microsoft Sans Serif"/>
          <w:b/>
          <w:sz w:val="20"/>
          <w:szCs w:val="20"/>
          <w:lang w:val="sr-Cyrl-RS"/>
        </w:rPr>
        <w:t xml:space="preserve">ili </w:t>
      </w:r>
      <w:r>
        <w:rPr>
          <w:rFonts w:ascii="Microsoft Sans Serif" w:hAnsi="Microsoft Sans Serif" w:eastAsia="Calibri" w:cs="Microsoft Sans Serif"/>
          <w:b/>
          <w:sz w:val="20"/>
          <w:szCs w:val="20"/>
        </w:rPr>
        <w:t>ne podnose imatinib)</w:t>
      </w:r>
      <w:r>
        <w:rPr>
          <w:rFonts w:ascii="Microsoft Sans Serif" w:hAnsi="Microsoft Sans Serif" w:eastAsia="Calibri" w:cs="Microsoft Sans Serif"/>
          <w:b/>
          <w:sz w:val="20"/>
          <w:szCs w:val="20"/>
          <w:vertAlign w:val="superscript"/>
        </w:rPr>
        <w:t>a</w:t>
      </w:r>
    </w:p>
    <w:tbl>
      <w:tblPr>
        <w:tblStyle w:val="12"/>
        <w:tblW w:w="9053" w:type="dxa"/>
        <w:tblInd w:w="0" w:type="dxa"/>
        <w:tblLayout w:type="fixed"/>
        <w:tblCellMar>
          <w:top w:w="0" w:type="dxa"/>
          <w:left w:w="0" w:type="dxa"/>
          <w:bottom w:w="0" w:type="dxa"/>
          <w:right w:w="0" w:type="dxa"/>
        </w:tblCellMar>
      </w:tblPr>
      <w:tblGrid>
        <w:gridCol w:w="2851"/>
        <w:gridCol w:w="2066"/>
        <w:gridCol w:w="2067"/>
        <w:gridCol w:w="2069"/>
      </w:tblGrid>
      <w:tr w14:paraId="04243768">
        <w:tblPrEx>
          <w:tblCellMar>
            <w:top w:w="0" w:type="dxa"/>
            <w:left w:w="0" w:type="dxa"/>
            <w:bottom w:w="0" w:type="dxa"/>
            <w:right w:w="0" w:type="dxa"/>
          </w:tblCellMar>
        </w:tblPrEx>
        <w:trPr>
          <w:trHeight w:val="549" w:hRule="exact"/>
        </w:trPr>
        <w:tc>
          <w:tcPr>
            <w:tcW w:w="2851" w:type="dxa"/>
            <w:tcBorders>
              <w:top w:val="single" w:color="000000" w:sz="4" w:space="0"/>
              <w:left w:val="nil"/>
              <w:bottom w:val="single" w:color="000000" w:sz="4" w:space="0"/>
              <w:right w:val="single" w:color="000000" w:sz="4" w:space="0"/>
            </w:tcBorders>
          </w:tcPr>
          <w:p w14:paraId="59FA894A">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7B71BE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2 godine praćenja</w:t>
            </w:r>
          </w:p>
        </w:tc>
        <w:tc>
          <w:tcPr>
            <w:tcW w:w="2067" w:type="dxa"/>
            <w:tcBorders>
              <w:top w:val="single" w:color="000000" w:sz="4" w:space="0"/>
              <w:left w:val="single" w:color="000000" w:sz="4" w:space="0"/>
              <w:bottom w:val="single" w:color="000000" w:sz="4" w:space="0"/>
              <w:right w:val="single" w:color="000000" w:sz="4" w:space="0"/>
            </w:tcBorders>
          </w:tcPr>
          <w:p w14:paraId="559FDD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5 godina praćenja</w:t>
            </w:r>
          </w:p>
        </w:tc>
        <w:tc>
          <w:tcPr>
            <w:tcW w:w="2069" w:type="dxa"/>
            <w:tcBorders>
              <w:top w:val="single" w:color="000000" w:sz="4" w:space="0"/>
              <w:left w:val="single" w:color="000000" w:sz="4" w:space="0"/>
              <w:bottom w:val="single" w:color="000000" w:sz="4" w:space="0"/>
              <w:right w:val="nil"/>
            </w:tcBorders>
          </w:tcPr>
          <w:p w14:paraId="70EE61A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7 godina praćenja</w:t>
            </w:r>
          </w:p>
        </w:tc>
      </w:tr>
      <w:tr w14:paraId="28DDDBDD">
        <w:tblPrEx>
          <w:tblCellMar>
            <w:top w:w="0" w:type="dxa"/>
            <w:left w:w="0" w:type="dxa"/>
            <w:bottom w:w="0" w:type="dxa"/>
            <w:right w:w="0" w:type="dxa"/>
          </w:tblCellMar>
        </w:tblPrEx>
        <w:trPr>
          <w:trHeight w:val="595" w:hRule="exact"/>
        </w:trPr>
        <w:tc>
          <w:tcPr>
            <w:tcW w:w="2851" w:type="dxa"/>
            <w:tcBorders>
              <w:top w:val="single" w:color="000000" w:sz="4" w:space="0"/>
              <w:left w:val="nil"/>
              <w:bottom w:val="single" w:color="000000" w:sz="4" w:space="0"/>
              <w:right w:val="single" w:color="000000" w:sz="4" w:space="0"/>
            </w:tcBorders>
          </w:tcPr>
          <w:p w14:paraId="7C6E430E">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2D0F6BB8">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43A44098">
            <w:pPr>
              <w:widowControl w:val="0"/>
              <w:tabs>
                <w:tab w:val="left" w:pos="1300"/>
                <w:tab w:val="left" w:pos="1460"/>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stepeni         stepen</w:t>
            </w:r>
          </w:p>
        </w:tc>
        <w:tc>
          <w:tcPr>
            <w:tcW w:w="2067" w:type="dxa"/>
            <w:tcBorders>
              <w:top w:val="single" w:color="000000" w:sz="4" w:space="0"/>
              <w:left w:val="single" w:color="000000" w:sz="4" w:space="0"/>
              <w:bottom w:val="single" w:color="000000" w:sz="4" w:space="0"/>
              <w:right w:val="single" w:color="000000" w:sz="4" w:space="0"/>
            </w:tcBorders>
          </w:tcPr>
          <w:p w14:paraId="0F4EDD64">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F8FF47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c>
          <w:tcPr>
            <w:tcW w:w="2069" w:type="dxa"/>
            <w:tcBorders>
              <w:top w:val="single" w:color="000000" w:sz="4" w:space="0"/>
              <w:left w:val="single" w:color="000000" w:sz="4" w:space="0"/>
              <w:bottom w:val="single" w:color="000000" w:sz="4" w:space="0"/>
              <w:right w:val="nil"/>
            </w:tcBorders>
          </w:tcPr>
          <w:p w14:paraId="30A21003">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44CFEF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r>
      <w:tr w14:paraId="035C2B69">
        <w:tblPrEx>
          <w:tblCellMar>
            <w:top w:w="0" w:type="dxa"/>
            <w:left w:w="0" w:type="dxa"/>
            <w:bottom w:w="0" w:type="dxa"/>
            <w:right w:w="0" w:type="dxa"/>
          </w:tblCellMar>
        </w:tblPrEx>
        <w:trPr>
          <w:trHeight w:val="307" w:hRule="exact"/>
        </w:trPr>
        <w:tc>
          <w:tcPr>
            <w:tcW w:w="2851" w:type="dxa"/>
            <w:tcBorders>
              <w:top w:val="single" w:color="000000" w:sz="4" w:space="0"/>
              <w:left w:val="nil"/>
              <w:bottom w:val="single" w:color="000000" w:sz="4" w:space="0"/>
              <w:right w:val="single" w:color="000000" w:sz="4" w:space="0"/>
            </w:tcBorders>
          </w:tcPr>
          <w:p w14:paraId="6248857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202" w:type="dxa"/>
            <w:gridSpan w:val="3"/>
            <w:tcBorders>
              <w:top w:val="single" w:color="000000" w:sz="4" w:space="0"/>
              <w:left w:val="single" w:color="000000" w:sz="4" w:space="0"/>
              <w:bottom w:val="single" w:color="000000" w:sz="4" w:space="0"/>
              <w:right w:val="nil"/>
            </w:tcBorders>
          </w:tcPr>
          <w:p w14:paraId="13356B25">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lang w:val="sr-Cyrl-RS"/>
              </w:rPr>
              <w:t>Procenat</w:t>
            </w:r>
            <w:r>
              <w:rPr>
                <w:rFonts w:ascii="Microsoft Sans Serif" w:hAnsi="Microsoft Sans Serif" w:cs="Microsoft Sans Serif"/>
                <w:sz w:val="20"/>
                <w:szCs w:val="20"/>
              </w:rPr>
              <w:t xml:space="preserve"> (%) pacijenata</w:t>
            </w:r>
          </w:p>
        </w:tc>
      </w:tr>
      <w:tr w14:paraId="453E336F">
        <w:tblPrEx>
          <w:tblCellMar>
            <w:top w:w="0" w:type="dxa"/>
            <w:left w:w="0" w:type="dxa"/>
            <w:bottom w:w="0" w:type="dxa"/>
            <w:right w:w="0" w:type="dxa"/>
          </w:tblCellMar>
        </w:tblPrEx>
        <w:trPr>
          <w:trHeight w:val="2132" w:hRule="exact"/>
        </w:trPr>
        <w:tc>
          <w:tcPr>
            <w:tcW w:w="2851" w:type="dxa"/>
            <w:tcBorders>
              <w:top w:val="single" w:color="000000" w:sz="4" w:space="0"/>
              <w:left w:val="nil"/>
              <w:bottom w:val="single" w:color="000000" w:sz="4" w:space="0"/>
              <w:right w:val="single" w:color="000000" w:sz="4" w:space="0"/>
            </w:tcBorders>
          </w:tcPr>
          <w:p w14:paraId="01F9FA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p w14:paraId="6E15FDB4">
            <w:pPr>
              <w:widowControl w:val="0"/>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Zadržavanje tečnosti</w:t>
            </w:r>
            <w:r>
              <w:rPr>
                <w:rFonts w:ascii="Microsoft Sans Serif" w:hAnsi="Microsoft Sans Serif" w:cs="Microsoft Sans Serif"/>
                <w:b/>
                <w:bCs/>
                <w:sz w:val="20"/>
                <w:szCs w:val="20"/>
              </w:rPr>
              <w:t xml:space="preserve"> </w:t>
            </w:r>
          </w:p>
          <w:p w14:paraId="5CB2CDB0">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Površinski edem</w:t>
            </w:r>
            <w:r>
              <w:rPr>
                <w:rFonts w:ascii="Microsoft Sans Serif" w:hAnsi="Microsoft Sans Serif" w:cs="Microsoft Sans Serif"/>
                <w:sz w:val="20"/>
                <w:szCs w:val="20"/>
              </w:rPr>
              <w:t xml:space="preserve"> </w:t>
            </w:r>
          </w:p>
          <w:p w14:paraId="5289CE0D">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rPr>
              <w:t xml:space="preserve"> </w:t>
            </w:r>
          </w:p>
          <w:p w14:paraId="0BB29EE5">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w:t>
            </w:r>
          </w:p>
          <w:p w14:paraId="5E866652">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p w14:paraId="65103B4B">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Plućna hipertenzija</w:t>
            </w:r>
          </w:p>
          <w:p w14:paraId="3ABF8E7A">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Hemoragija</w:t>
            </w:r>
          </w:p>
          <w:p w14:paraId="61C9BD2E">
            <w:pPr>
              <w:widowControl w:val="0"/>
              <w:tabs>
                <w:tab w:val="clear" w:pos="284"/>
              </w:tabs>
              <w:ind w:left="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066" w:type="dxa"/>
            <w:tcBorders>
              <w:top w:val="single" w:color="000000" w:sz="4" w:space="0"/>
              <w:left w:val="single" w:color="000000" w:sz="4" w:space="0"/>
              <w:bottom w:val="single" w:color="000000" w:sz="4" w:space="0"/>
              <w:right w:val="single" w:color="000000" w:sz="4" w:space="0"/>
            </w:tcBorders>
          </w:tcPr>
          <w:p w14:paraId="136B65E8">
            <w:pPr>
              <w:widowControl w:val="0"/>
              <w:tabs>
                <w:tab w:val="left" w:pos="139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27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1A3120BE">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69C1D9F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4CD484E5">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0FFB11B2">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2DE29E9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9EB319D">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EDB52A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EFF1C8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7" w:type="dxa"/>
            <w:tcBorders>
              <w:top w:val="single" w:color="000000" w:sz="4" w:space="0"/>
              <w:left w:val="single" w:color="000000" w:sz="4" w:space="0"/>
              <w:bottom w:val="single" w:color="000000" w:sz="4" w:space="0"/>
              <w:right w:val="single" w:color="000000" w:sz="4" w:space="0"/>
            </w:tcBorders>
          </w:tcPr>
          <w:p w14:paraId="5BF70A23">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F4CD46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42 </w:t>
            </w:r>
            <w:r>
              <w:rPr>
                <w:rFonts w:ascii="Microsoft Sans Serif" w:hAnsi="Microsoft Sans Serif" w:cs="Microsoft Sans Serif"/>
                <w:sz w:val="20"/>
                <w:szCs w:val="20"/>
              </w:rPr>
              <w:tab/>
            </w:r>
            <w:r>
              <w:rPr>
                <w:rFonts w:ascii="Microsoft Sans Serif" w:hAnsi="Microsoft Sans Serif" w:cs="Microsoft Sans Serif"/>
                <w:sz w:val="20"/>
                <w:szCs w:val="20"/>
              </w:rPr>
              <w:t>6</w:t>
            </w:r>
          </w:p>
          <w:p w14:paraId="317D5EA4">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31A490A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114DE65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489FCE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CB91D2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4A1957A">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5F03779">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9" w:type="dxa"/>
            <w:tcBorders>
              <w:top w:val="single" w:color="000000" w:sz="4" w:space="0"/>
              <w:left w:val="single" w:color="000000" w:sz="4" w:space="0"/>
              <w:bottom w:val="single" w:color="000000" w:sz="4" w:space="0"/>
              <w:right w:val="nil"/>
            </w:tcBorders>
          </w:tcPr>
          <w:p w14:paraId="3B8CE1B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6BD062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48 </w:t>
            </w:r>
            <w:r>
              <w:rPr>
                <w:rFonts w:ascii="Microsoft Sans Serif" w:hAnsi="Microsoft Sans Serif" w:cs="Microsoft Sans Serif"/>
                <w:sz w:val="20"/>
                <w:szCs w:val="20"/>
              </w:rPr>
              <w:tab/>
            </w:r>
            <w:r>
              <w:rPr>
                <w:rFonts w:ascii="Microsoft Sans Serif" w:hAnsi="Microsoft Sans Serif" w:cs="Microsoft Sans Serif"/>
                <w:sz w:val="20"/>
                <w:szCs w:val="20"/>
              </w:rPr>
              <w:t>7</w:t>
            </w:r>
          </w:p>
          <w:p w14:paraId="3CA0B3C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22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C1D649B">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5</w:t>
            </w:r>
          </w:p>
          <w:p w14:paraId="0EA9788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682CF4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357B682">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4701648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B7A7DF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r>
    </w:tbl>
    <w:p w14:paraId="7E47FB9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u populaciji liječenoj preporučenom početnom dozom od 100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jedanput dnevno (</w:t>
      </w:r>
      <w:r>
        <w:rPr>
          <w:rFonts w:ascii="Microsoft Sans Serif" w:hAnsi="Microsoft Sans Serif" w:eastAsia="Calibri" w:cs="Microsoft Sans Serif"/>
          <w:sz w:val="20"/>
          <w:szCs w:val="20"/>
          <w:lang w:val="sr-Latn-RS"/>
        </w:rPr>
        <w:t>n</w:t>
      </w:r>
      <w:r>
        <w:rPr>
          <w:rFonts w:ascii="Microsoft Sans Serif" w:hAnsi="Microsoft Sans Serif" w:eastAsia="Calibri" w:cs="Microsoft Sans Serif"/>
          <w:sz w:val="20"/>
          <w:szCs w:val="20"/>
        </w:rPr>
        <w:t>=165)</w:t>
      </w:r>
    </w:p>
    <w:p w14:paraId="2A8BE0FE">
      <w:pPr>
        <w:widowControl w:val="0"/>
        <w:tabs>
          <w:tab w:val="clear" w:pos="284"/>
        </w:tabs>
        <w:rPr>
          <w:rFonts w:ascii="Microsoft Sans Serif" w:hAnsi="Microsoft Sans Serif" w:eastAsia="Calibri" w:cs="Microsoft Sans Serif"/>
          <w:sz w:val="20"/>
          <w:szCs w:val="20"/>
        </w:rPr>
      </w:pPr>
    </w:p>
    <w:p w14:paraId="07FC9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u uznapredovaloj fazi HML i Ph+ ALL, medijana trajanja liječenja bi</w:t>
      </w:r>
      <w:r>
        <w:rPr>
          <w:rFonts w:ascii="Microsoft Sans Serif" w:hAnsi="Microsoft Sans Serif" w:eastAsia="Calibri" w:cs="Microsoft Sans Serif"/>
          <w:sz w:val="20"/>
          <w:szCs w:val="20"/>
          <w:lang w:val="sr-Cyrl-RS"/>
        </w:rPr>
        <w:t>la</w:t>
      </w:r>
      <w:r>
        <w:rPr>
          <w:rFonts w:ascii="Microsoft Sans Serif" w:hAnsi="Microsoft Sans Serif" w:eastAsia="Calibri" w:cs="Microsoft Sans Serif"/>
          <w:sz w:val="20"/>
          <w:szCs w:val="20"/>
        </w:rPr>
        <w:t xml:space="preserve"> je 14 mjeseci za ubrzanu fazu HML, 3 mjeseca za mijeloidnu blastnu krizu HML, 4 mjeseca za limfoidnu blastnu krizu HML i 3 mjeseca za Ph+ ALL. Odabrana ne</w:t>
      </w:r>
      <w:r>
        <w:rPr>
          <w:rFonts w:ascii="Microsoft Sans Serif" w:hAnsi="Microsoft Sans Serif" w:eastAsia="Calibri" w:cs="Microsoft Sans Serif"/>
          <w:sz w:val="20"/>
          <w:szCs w:val="20"/>
          <w:lang w:val="sr-Cyrl-RS"/>
        </w:rPr>
        <w:t>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djelovanja prijavlјena uz primjenu preporučene početne doze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b. Ispitivan je i režim liječenja dozom 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Režim liječenja dozom od 140 mg jednom dnevno pokazao je sličan profil djelotvornosti kao i režim liječenja dozom od 70 mg dva puta dnevno, ali je imao povolјniji profil sigurnosti.</w:t>
      </w:r>
    </w:p>
    <w:p w14:paraId="0373BCF0">
      <w:pPr>
        <w:widowControl w:val="0"/>
        <w:tabs>
          <w:tab w:val="clear" w:pos="284"/>
        </w:tabs>
        <w:rPr>
          <w:rFonts w:ascii="Microsoft Sans Serif" w:hAnsi="Microsoft Sans Serif" w:cs="Microsoft Sans Serif"/>
          <w:sz w:val="20"/>
          <w:szCs w:val="20"/>
        </w:rPr>
      </w:pPr>
    </w:p>
    <w:p w14:paraId="20505C97">
      <w:pPr>
        <w:widowControl w:val="0"/>
        <w:tabs>
          <w:tab w:val="clear" w:pos="284"/>
        </w:tabs>
        <w:rPr>
          <w:rFonts w:ascii="Microsoft Sans Serif" w:hAnsi="Microsoft Sans Serif" w:cs="Microsoft Sans Serif"/>
          <w:b/>
          <w:sz w:val="20"/>
          <w:szCs w:val="20"/>
          <w:vertAlign w:val="superscript"/>
        </w:rPr>
      </w:pPr>
      <w:r>
        <w:rPr>
          <w:rFonts w:ascii="Microsoft Sans Serif" w:hAnsi="Microsoft Sans Serif" w:cs="Microsoft Sans Serif"/>
          <w:b/>
          <w:sz w:val="20"/>
          <w:szCs w:val="20"/>
        </w:rPr>
        <w:t xml:space="preserve">Tabela </w:t>
      </w:r>
      <w:r>
        <w:rPr>
          <w:rFonts w:ascii="Microsoft Sans Serif" w:hAnsi="Microsoft Sans Serif" w:cs="Microsoft Sans Serif"/>
          <w:b/>
          <w:sz w:val="20"/>
          <w:szCs w:val="20"/>
          <w:lang w:val="sr-Latn-RS"/>
        </w:rPr>
        <w:t>6</w:t>
      </w:r>
      <w:r>
        <w:rPr>
          <w:rFonts w:ascii="Microsoft Sans Serif" w:hAnsi="Microsoft Sans Serif" w:cs="Microsoft Sans Serif"/>
          <w:b/>
          <w:sz w:val="20"/>
          <w:szCs w:val="20"/>
        </w:rPr>
        <w:t>b: Odabrana neželјena djelovanja prijavlјena u ispitivanju optimizacije doze faze III: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uznapredovala faza HML i Ph+ ALL</w:t>
      </w:r>
      <w:r>
        <w:rPr>
          <w:rFonts w:ascii="Microsoft Sans Serif" w:hAnsi="Microsoft Sans Serif" w:cs="Microsoft Sans Serif"/>
          <w:b/>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8"/>
        <w:gridCol w:w="2820"/>
        <w:gridCol w:w="3204"/>
      </w:tblGrid>
      <w:tr w14:paraId="03BDA65F">
        <w:tblPrEx>
          <w:tblCellMar>
            <w:top w:w="0" w:type="dxa"/>
            <w:left w:w="0" w:type="dxa"/>
            <w:bottom w:w="0" w:type="dxa"/>
            <w:right w:w="0" w:type="dxa"/>
          </w:tblCellMar>
        </w:tblPrEx>
        <w:trPr>
          <w:trHeight w:val="693" w:hRule="exact"/>
        </w:trPr>
        <w:tc>
          <w:tcPr>
            <w:tcW w:w="3048" w:type="dxa"/>
            <w:tcBorders>
              <w:top w:val="single" w:color="auto" w:sz="4" w:space="0"/>
              <w:left w:val="nil"/>
              <w:right w:val="nil"/>
            </w:tcBorders>
          </w:tcPr>
          <w:p w14:paraId="0DCE4E95">
            <w:pPr>
              <w:widowControl w:val="0"/>
              <w:tabs>
                <w:tab w:val="clear" w:pos="284"/>
              </w:tabs>
              <w:rPr>
                <w:rFonts w:ascii="Microsoft Sans Serif" w:hAnsi="Microsoft Sans Serif" w:eastAsia="Calibri" w:cs="Microsoft Sans Serif"/>
                <w:sz w:val="20"/>
                <w:szCs w:val="20"/>
              </w:rPr>
            </w:pPr>
          </w:p>
        </w:tc>
        <w:tc>
          <w:tcPr>
            <w:tcW w:w="6024" w:type="dxa"/>
            <w:gridSpan w:val="2"/>
            <w:tcBorders>
              <w:top w:val="single" w:color="auto" w:sz="4" w:space="0"/>
              <w:left w:val="nil"/>
              <w:right w:val="nil"/>
            </w:tcBorders>
          </w:tcPr>
          <w:p w14:paraId="3EA96612">
            <w:pPr>
              <w:widowControl w:val="0"/>
              <w:tabs>
                <w:tab w:val="clear" w:pos="284"/>
              </w:tabs>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140 mg jednom dnevno</w:t>
            </w:r>
            <w:r>
              <w:rPr>
                <w:rFonts w:ascii="Microsoft Sans Serif" w:hAnsi="Microsoft Sans Serif" w:eastAsia="Calibri" w:cs="Microsoft Sans Serif"/>
                <w:b/>
                <w:sz w:val="20"/>
                <w:szCs w:val="20"/>
              </w:rPr>
              <w:br w:type="textWrapping"/>
            </w:r>
            <w:r>
              <w:rPr>
                <w:rFonts w:ascii="Microsoft Sans Serif" w:hAnsi="Microsoft Sans Serif" w:eastAsia="Calibri" w:cs="Microsoft Sans Serif"/>
                <w:b/>
                <w:sz w:val="20"/>
                <w:szCs w:val="20"/>
                <w:u w:val="single"/>
              </w:rPr>
              <w:t>n=304</w:t>
            </w:r>
          </w:p>
        </w:tc>
      </w:tr>
      <w:tr w14:paraId="3062F9EE">
        <w:tblPrEx>
          <w:tblCellMar>
            <w:top w:w="0" w:type="dxa"/>
            <w:left w:w="0" w:type="dxa"/>
            <w:bottom w:w="0" w:type="dxa"/>
            <w:right w:w="0" w:type="dxa"/>
          </w:tblCellMar>
        </w:tblPrEx>
        <w:trPr>
          <w:trHeight w:val="381" w:hRule="exact"/>
        </w:trPr>
        <w:tc>
          <w:tcPr>
            <w:tcW w:w="3048" w:type="dxa"/>
            <w:tcBorders>
              <w:top w:val="nil"/>
              <w:left w:val="nil"/>
              <w:right w:val="nil"/>
            </w:tcBorders>
          </w:tcPr>
          <w:p w14:paraId="1DA43838">
            <w:pPr>
              <w:widowControl w:val="0"/>
              <w:tabs>
                <w:tab w:val="clear" w:pos="284"/>
              </w:tabs>
              <w:rPr>
                <w:rFonts w:ascii="Microsoft Sans Serif" w:hAnsi="Microsoft Sans Serif" w:eastAsia="Calibri" w:cs="Microsoft Sans Serif"/>
                <w:sz w:val="20"/>
                <w:szCs w:val="20"/>
              </w:rPr>
            </w:pPr>
          </w:p>
        </w:tc>
        <w:tc>
          <w:tcPr>
            <w:tcW w:w="2820" w:type="dxa"/>
            <w:tcBorders>
              <w:left w:val="nil"/>
              <w:right w:val="nil"/>
            </w:tcBorders>
          </w:tcPr>
          <w:p w14:paraId="400D8E8A">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lang w:val="sr-Cyrl-RS"/>
              </w:rPr>
              <w:t>Svi stepeni</w:t>
            </w:r>
          </w:p>
        </w:tc>
        <w:tc>
          <w:tcPr>
            <w:tcW w:w="3204" w:type="dxa"/>
            <w:tcBorders>
              <w:left w:val="nil"/>
              <w:right w:val="nil"/>
            </w:tcBorders>
          </w:tcPr>
          <w:p w14:paraId="632227EF">
            <w:pPr>
              <w:widowControl w:val="0"/>
              <w:tabs>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Stepen</w:t>
            </w:r>
            <w:r>
              <w:rPr>
                <w:rFonts w:ascii="Microsoft Sans Serif" w:hAnsi="Microsoft Sans Serif" w:eastAsia="Calibri" w:cs="Microsoft Sans Serif"/>
                <w:b/>
                <w:sz w:val="20"/>
                <w:szCs w:val="20"/>
              </w:rPr>
              <w:t xml:space="preserve"> 3/4</w:t>
            </w:r>
          </w:p>
        </w:tc>
      </w:tr>
      <w:tr w14:paraId="4E6DDA0F">
        <w:tblPrEx>
          <w:tblCellMar>
            <w:top w:w="0" w:type="dxa"/>
            <w:left w:w="0" w:type="dxa"/>
            <w:bottom w:w="0" w:type="dxa"/>
            <w:right w:w="0" w:type="dxa"/>
          </w:tblCellMar>
        </w:tblPrEx>
        <w:trPr>
          <w:trHeight w:val="292" w:hRule="exact"/>
        </w:trPr>
        <w:tc>
          <w:tcPr>
            <w:tcW w:w="3048" w:type="dxa"/>
            <w:tcBorders>
              <w:top w:val="nil"/>
              <w:left w:val="nil"/>
              <w:bottom w:val="single" w:color="000000" w:sz="4" w:space="0"/>
              <w:right w:val="nil"/>
            </w:tcBorders>
          </w:tcPr>
          <w:p w14:paraId="601AED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024" w:type="dxa"/>
            <w:gridSpan w:val="2"/>
            <w:tcBorders>
              <w:left w:val="nil"/>
              <w:bottom w:val="single" w:color="000000" w:sz="4" w:space="0"/>
              <w:right w:val="nil"/>
            </w:tcBorders>
          </w:tcPr>
          <w:p w14:paraId="0423046F">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A9E1923">
        <w:tblPrEx>
          <w:tblCellMar>
            <w:top w:w="0" w:type="dxa"/>
            <w:left w:w="0" w:type="dxa"/>
            <w:bottom w:w="0" w:type="dxa"/>
            <w:right w:w="0" w:type="dxa"/>
          </w:tblCellMar>
        </w:tblPrEx>
        <w:trPr>
          <w:trHeight w:val="268" w:hRule="exact"/>
        </w:trPr>
        <w:tc>
          <w:tcPr>
            <w:tcW w:w="3048" w:type="dxa"/>
            <w:tcBorders>
              <w:top w:val="single" w:color="000000" w:sz="4" w:space="0"/>
              <w:left w:val="nil"/>
              <w:bottom w:val="nil"/>
              <w:right w:val="nil"/>
            </w:tcBorders>
          </w:tcPr>
          <w:p w14:paraId="675353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tc>
        <w:tc>
          <w:tcPr>
            <w:tcW w:w="2820" w:type="dxa"/>
            <w:tcBorders>
              <w:top w:val="single" w:color="000000" w:sz="4" w:space="0"/>
              <w:left w:val="nil"/>
              <w:bottom w:val="nil"/>
              <w:right w:val="nil"/>
            </w:tcBorders>
          </w:tcPr>
          <w:p w14:paraId="02A71A1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3204" w:type="dxa"/>
            <w:tcBorders>
              <w:top w:val="single" w:color="000000" w:sz="4" w:space="0"/>
              <w:left w:val="nil"/>
              <w:bottom w:val="nil"/>
              <w:right w:val="nil"/>
            </w:tcBorders>
          </w:tcPr>
          <w:p w14:paraId="5FA15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w:t>
            </w:r>
          </w:p>
        </w:tc>
      </w:tr>
      <w:tr w14:paraId="79E39EBA">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2E37217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Zadržavanje tečnosti</w:t>
            </w:r>
          </w:p>
        </w:tc>
        <w:tc>
          <w:tcPr>
            <w:tcW w:w="2820" w:type="dxa"/>
            <w:tcBorders>
              <w:top w:val="nil"/>
              <w:left w:val="nil"/>
              <w:bottom w:val="nil"/>
              <w:right w:val="nil"/>
            </w:tcBorders>
          </w:tcPr>
          <w:p w14:paraId="140CA71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3204" w:type="dxa"/>
            <w:tcBorders>
              <w:top w:val="nil"/>
              <w:left w:val="nil"/>
              <w:bottom w:val="nil"/>
              <w:right w:val="nil"/>
            </w:tcBorders>
          </w:tcPr>
          <w:p w14:paraId="44728E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w:t>
            </w:r>
          </w:p>
        </w:tc>
      </w:tr>
      <w:tr w14:paraId="5836CF37">
        <w:tblPrEx>
          <w:tblCellMar>
            <w:top w:w="0" w:type="dxa"/>
            <w:left w:w="0" w:type="dxa"/>
            <w:bottom w:w="0" w:type="dxa"/>
            <w:right w:w="0" w:type="dxa"/>
          </w:tblCellMar>
        </w:tblPrEx>
        <w:trPr>
          <w:trHeight w:val="256" w:hRule="exact"/>
        </w:trPr>
        <w:tc>
          <w:tcPr>
            <w:tcW w:w="3048" w:type="dxa"/>
            <w:tcBorders>
              <w:top w:val="nil"/>
              <w:left w:val="nil"/>
              <w:bottom w:val="nil"/>
              <w:right w:val="nil"/>
            </w:tcBorders>
          </w:tcPr>
          <w:p w14:paraId="2C4D2F3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Površinski edemi</w:t>
            </w:r>
          </w:p>
        </w:tc>
        <w:tc>
          <w:tcPr>
            <w:tcW w:w="2820" w:type="dxa"/>
            <w:tcBorders>
              <w:top w:val="nil"/>
              <w:left w:val="nil"/>
              <w:bottom w:val="nil"/>
              <w:right w:val="nil"/>
            </w:tcBorders>
          </w:tcPr>
          <w:p w14:paraId="281955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3204" w:type="dxa"/>
            <w:tcBorders>
              <w:top w:val="nil"/>
              <w:left w:val="nil"/>
              <w:bottom w:val="nil"/>
              <w:right w:val="nil"/>
            </w:tcBorders>
          </w:tcPr>
          <w:p w14:paraId="6EF8C1F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&lt; 1</w:t>
            </w:r>
          </w:p>
        </w:tc>
      </w:tr>
      <w:tr w14:paraId="25D67F4F">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49B855C2">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Pleuralni izliv</w:t>
            </w:r>
          </w:p>
        </w:tc>
        <w:tc>
          <w:tcPr>
            <w:tcW w:w="2820" w:type="dxa"/>
            <w:tcBorders>
              <w:top w:val="nil"/>
              <w:left w:val="nil"/>
              <w:bottom w:val="nil"/>
              <w:right w:val="nil"/>
            </w:tcBorders>
          </w:tcPr>
          <w:p w14:paraId="3FBED9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3204" w:type="dxa"/>
            <w:tcBorders>
              <w:top w:val="nil"/>
              <w:left w:val="nil"/>
              <w:bottom w:val="nil"/>
              <w:right w:val="nil"/>
            </w:tcBorders>
          </w:tcPr>
          <w:p w14:paraId="179AB9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r w14:paraId="1F15BD7C">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30DEB605">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edemi</w:t>
            </w:r>
          </w:p>
        </w:tc>
        <w:tc>
          <w:tcPr>
            <w:tcW w:w="2820" w:type="dxa"/>
            <w:tcBorders>
              <w:top w:val="nil"/>
              <w:left w:val="nil"/>
              <w:bottom w:val="nil"/>
              <w:right w:val="nil"/>
            </w:tcBorders>
          </w:tcPr>
          <w:p w14:paraId="6AF999C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048C8D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710D4DA">
        <w:tblPrEx>
          <w:tblCellMar>
            <w:top w:w="0" w:type="dxa"/>
            <w:left w:w="0" w:type="dxa"/>
            <w:bottom w:w="0" w:type="dxa"/>
            <w:right w:w="0" w:type="dxa"/>
          </w:tblCellMar>
        </w:tblPrEx>
        <w:trPr>
          <w:trHeight w:val="730" w:hRule="exact"/>
        </w:trPr>
        <w:tc>
          <w:tcPr>
            <w:tcW w:w="3048" w:type="dxa"/>
            <w:tcBorders>
              <w:top w:val="nil"/>
              <w:left w:val="nil"/>
              <w:bottom w:val="nil"/>
              <w:right w:val="nil"/>
            </w:tcBorders>
          </w:tcPr>
          <w:p w14:paraId="11AE9485">
            <w:pPr>
              <w:widowControl w:val="0"/>
              <w:tabs>
                <w:tab w:val="clear" w:pos="284"/>
              </w:tabs>
              <w:ind w:left="152"/>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 srčana disfunkcija</w:t>
            </w:r>
            <w:r>
              <w:rPr>
                <w:rFonts w:ascii="Microsoft Sans Serif" w:hAnsi="Microsoft Sans Serif" w:cs="Microsoft Sans Serif"/>
                <w:sz w:val="20"/>
                <w:szCs w:val="20"/>
                <w:vertAlign w:val="superscript"/>
              </w:rPr>
              <w:t>b`</w:t>
            </w:r>
          </w:p>
        </w:tc>
        <w:tc>
          <w:tcPr>
            <w:tcW w:w="2820" w:type="dxa"/>
            <w:tcBorders>
              <w:top w:val="nil"/>
              <w:left w:val="nil"/>
              <w:bottom w:val="nil"/>
              <w:right w:val="nil"/>
            </w:tcBorders>
          </w:tcPr>
          <w:p w14:paraId="7184641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7EFFD16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75FCCD16">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1BC27BD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tc>
        <w:tc>
          <w:tcPr>
            <w:tcW w:w="2820" w:type="dxa"/>
            <w:tcBorders>
              <w:top w:val="nil"/>
              <w:left w:val="nil"/>
              <w:bottom w:val="nil"/>
              <w:right w:val="nil"/>
            </w:tcBorders>
          </w:tcPr>
          <w:p w14:paraId="0F1606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5B0BFD2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72319970">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7E54BD1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Plućni edem</w:t>
            </w:r>
          </w:p>
        </w:tc>
        <w:tc>
          <w:tcPr>
            <w:tcW w:w="2820" w:type="dxa"/>
            <w:tcBorders>
              <w:top w:val="nil"/>
              <w:left w:val="nil"/>
              <w:bottom w:val="nil"/>
              <w:right w:val="nil"/>
            </w:tcBorders>
          </w:tcPr>
          <w:p w14:paraId="13E76EE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30957EE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01E621A3">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73D848C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Hemoragija</w:t>
            </w:r>
          </w:p>
        </w:tc>
        <w:tc>
          <w:tcPr>
            <w:tcW w:w="2820" w:type="dxa"/>
            <w:tcBorders>
              <w:top w:val="nil"/>
              <w:left w:val="nil"/>
              <w:bottom w:val="nil"/>
              <w:right w:val="nil"/>
            </w:tcBorders>
          </w:tcPr>
          <w:p w14:paraId="4B6C2A0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204" w:type="dxa"/>
            <w:tcBorders>
              <w:top w:val="nil"/>
              <w:left w:val="nil"/>
              <w:bottom w:val="nil"/>
              <w:right w:val="nil"/>
            </w:tcBorders>
          </w:tcPr>
          <w:p w14:paraId="0F95D3A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r>
      <w:tr w14:paraId="2D551C19">
        <w:tblPrEx>
          <w:tblCellMar>
            <w:top w:w="0" w:type="dxa"/>
            <w:left w:w="0" w:type="dxa"/>
            <w:bottom w:w="0" w:type="dxa"/>
            <w:right w:w="0" w:type="dxa"/>
          </w:tblCellMar>
        </w:tblPrEx>
        <w:trPr>
          <w:trHeight w:val="369" w:hRule="exact"/>
        </w:trPr>
        <w:tc>
          <w:tcPr>
            <w:tcW w:w="3048" w:type="dxa"/>
            <w:tcBorders>
              <w:top w:val="nil"/>
              <w:left w:val="nil"/>
              <w:bottom w:val="single" w:color="000000" w:sz="4" w:space="0"/>
              <w:right w:val="nil"/>
            </w:tcBorders>
          </w:tcPr>
          <w:p w14:paraId="74A52DDF">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820" w:type="dxa"/>
            <w:tcBorders>
              <w:top w:val="nil"/>
              <w:left w:val="nil"/>
              <w:bottom w:val="single" w:color="000000" w:sz="4" w:space="0"/>
              <w:right w:val="nil"/>
            </w:tcBorders>
          </w:tcPr>
          <w:p w14:paraId="7FDDC50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3204" w:type="dxa"/>
            <w:tcBorders>
              <w:top w:val="nil"/>
              <w:left w:val="nil"/>
              <w:bottom w:val="single" w:color="000000" w:sz="4" w:space="0"/>
              <w:right w:val="nil"/>
            </w:tcBorders>
          </w:tcPr>
          <w:p w14:paraId="79DCF94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bl>
    <w:p w14:paraId="3523C12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ispitivanja optimizacije doze faze 3 u populaciji liječenoj preporučenom početnom dozom od 140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(n=304) prijavlјeni nakon 2 godine praćenja u sklopu ispitivanja</w:t>
      </w:r>
    </w:p>
    <w:p w14:paraId="37B6A9E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b </w:t>
      </w:r>
      <w:r>
        <w:rPr>
          <w:rFonts w:ascii="Microsoft Sans Serif" w:hAnsi="Microsoft Sans Serif" w:cs="Microsoft Sans Serif"/>
          <w:sz w:val="20"/>
          <w:szCs w:val="20"/>
        </w:rPr>
        <w:t>Uklјučuje ventrikularnu disfunkciju, srčanu insuficijenciju, kongestivnu srčanu insuficijenciju, kardiomiopatiju, kongestivnu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kardiomiopatiju, dijastolnu disfunkciju, smanjenje ejekcione frakcije i insuficijenciju komora.</w:t>
      </w:r>
    </w:p>
    <w:p w14:paraId="759FB7A2">
      <w:pPr>
        <w:widowControl w:val="0"/>
        <w:tabs>
          <w:tab w:val="clear" w:pos="284"/>
        </w:tabs>
        <w:rPr>
          <w:rFonts w:ascii="Microsoft Sans Serif" w:hAnsi="Microsoft Sans Serif" w:cs="Microsoft Sans Serif"/>
          <w:b/>
          <w:sz w:val="20"/>
          <w:szCs w:val="20"/>
        </w:rPr>
      </w:pPr>
    </w:p>
    <w:p w14:paraId="39921CB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Dodatno</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dva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ukupno 161 </w:t>
      </w:r>
      <w:r>
        <w:rPr>
          <w:rFonts w:ascii="Microsoft Sans Serif" w:hAnsi="Microsoft Sans Serif" w:eastAsia="Calibri" w:cs="Microsoft Sans Serif"/>
          <w:sz w:val="20"/>
          <w:szCs w:val="20"/>
          <w:lang w:val="mk-MK"/>
        </w:rPr>
        <w:t xml:space="preserve">pedijatrijskim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mk-MK"/>
        </w:rPr>
        <w:t>ima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koji su primali dasatinib u kombinaciji sa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U pivotalnom ispitivanju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učestvovalo 106 pedijatrijskih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 su primali 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potpornom ispitivanju, u kom je učestvovalo 55 pedijatrijskih pacijenata, njih 35 primalo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prema režimu isprekidane primjene (dvije nedelјe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zatim jednu do dvije nedelјe bez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dok je 20 pacijenata primalo dasatinib u kombinaciji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među 126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lijekom dasatinib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iznosila je 23,6 mjeseca (raspon 1,4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33 mjeseca).</w:t>
      </w:r>
    </w:p>
    <w:p w14:paraId="107EC8D8">
      <w:pPr>
        <w:widowControl w:val="0"/>
        <w:tabs>
          <w:tab w:val="clear" w:pos="284"/>
        </w:tabs>
        <w:rPr>
          <w:rFonts w:ascii="Microsoft Sans Serif" w:hAnsi="Microsoft Sans Serif" w:eastAsia="Calibri" w:cs="Microsoft Sans Serif"/>
          <w:sz w:val="20"/>
          <w:szCs w:val="20"/>
        </w:rPr>
      </w:pPr>
    </w:p>
    <w:p w14:paraId="3564360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Od 126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 2 (1,6%)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 imala su neželјena djelovanja koje su dovela do prekida liječenja. Neželјena djelovanja prijavlјene u ta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učestalošću od </w:t>
      </w:r>
      <w:r>
        <w:rPr>
          <w:rFonts w:eastAsia="Calibri"/>
          <w:szCs w:val="22"/>
        </w:rPr>
        <w:t>≥</w:t>
      </w:r>
      <w:r>
        <w:rPr>
          <w:rFonts w:ascii="Microsoft Sans Serif" w:hAnsi="Microsoft Sans Serif" w:eastAsia="Calibri" w:cs="Microsoft Sans Serif"/>
          <w:sz w:val="20"/>
          <w:szCs w:val="20"/>
        </w:rPr>
        <w:t>10% kod pacijenata liječenih prema režimu kontinuirane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primjene prikazane su u Tabeli </w:t>
      </w:r>
      <w:r>
        <w:rPr>
          <w:rFonts w:ascii="Microsoft Sans Serif" w:hAnsi="Microsoft Sans Serif" w:eastAsia="Calibri" w:cs="Microsoft Sans Serif"/>
          <w:sz w:val="20"/>
          <w:szCs w:val="20"/>
          <w:lang w:val="sr-Latn-RS"/>
        </w:rPr>
        <w:t>7</w:t>
      </w:r>
      <w:r>
        <w:rPr>
          <w:rFonts w:ascii="Microsoft Sans Serif" w:hAnsi="Microsoft Sans Serif" w:eastAsia="Calibri" w:cs="Microsoft Sans Serif"/>
          <w:sz w:val="20"/>
          <w:szCs w:val="20"/>
        </w:rPr>
        <w:t>. Treba napomenuti da je pleuralni izliv prijavlјen kod 7 (5,6%)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toj grupi i stoga nije uklјučen u tabelu.</w:t>
      </w:r>
    </w:p>
    <w:p w14:paraId="6CCF6599">
      <w:pPr>
        <w:widowControl w:val="0"/>
        <w:tabs>
          <w:tab w:val="clear" w:pos="284"/>
        </w:tabs>
        <w:rPr>
          <w:rFonts w:ascii="Microsoft Sans Serif" w:hAnsi="Microsoft Sans Serif" w:eastAsia="Calibri" w:cs="Microsoft Sans Serif"/>
          <w:sz w:val="20"/>
          <w:szCs w:val="20"/>
        </w:rPr>
      </w:pPr>
    </w:p>
    <w:p w14:paraId="6B799F3B">
      <w:pPr>
        <w:widowControl w:val="0"/>
        <w:tabs>
          <w:tab w:val="left" w:pos="1260"/>
          <w:tab w:val="clear" w:pos="284"/>
        </w:tabs>
        <w:rPr>
          <w:rFonts w:ascii="Microsoft Sans Serif" w:hAnsi="Microsoft Sans Serif" w:cs="Microsoft Sans Serif"/>
          <w:bCs/>
          <w:sz w:val="20"/>
          <w:szCs w:val="20"/>
          <w:vertAlign w:val="superscript"/>
        </w:rPr>
      </w:pPr>
      <w:r>
        <w:rPr>
          <w:rFonts w:ascii="Microsoft Sans Serif" w:hAnsi="Microsoft Sans Serif" w:cs="Microsoft Sans Serif"/>
          <w:b/>
          <w:bCs/>
          <w:sz w:val="20"/>
          <w:szCs w:val="20"/>
        </w:rPr>
        <w:t xml:space="preserve">Tabela </w:t>
      </w:r>
      <w:r>
        <w:rPr>
          <w:rFonts w:ascii="Microsoft Sans Serif" w:hAnsi="Microsoft Sans Serif" w:cs="Microsoft Sans Serif"/>
          <w:b/>
          <w:bCs/>
          <w:sz w:val="20"/>
          <w:szCs w:val="20"/>
          <w:lang w:val="sr-Latn-RS"/>
        </w:rPr>
        <w:t>7</w:t>
      </w:r>
      <w:r>
        <w:rPr>
          <w:rFonts w:ascii="Microsoft Sans Serif" w:hAnsi="Microsoft Sans Serif" w:cs="Microsoft Sans Serif"/>
          <w:b/>
          <w:bCs/>
          <w:sz w:val="20"/>
          <w:szCs w:val="20"/>
        </w:rPr>
        <w:t>: Neželјena djelovanja prijavlјene u ≥ 10% pedijatrijskih pacijenata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rPr>
        <w:t xml:space="preserve"> Ph+ ALL liječenih lijekom </w:t>
      </w:r>
      <w:r>
        <w:rPr>
          <w:rFonts w:ascii="Microsoft Sans Serif" w:hAnsi="Microsoft Sans Serif" w:cs="Microsoft Sans Serif"/>
          <w:b/>
          <w:bCs/>
          <w:sz w:val="20"/>
          <w:szCs w:val="20"/>
          <w:lang w:val="sr-Cyrl-RS"/>
        </w:rPr>
        <w:t>dasatinib</w:t>
      </w:r>
      <w:r>
        <w:rPr>
          <w:rFonts w:ascii="Microsoft Sans Serif" w:hAnsi="Microsoft Sans Serif" w:cs="Microsoft Sans Serif"/>
          <w:b/>
          <w:bCs/>
          <w:sz w:val="20"/>
          <w:szCs w:val="20"/>
        </w:rPr>
        <w:t xml:space="preserve"> prema režimu kontinuirane primjene u kombinaciji s</w:t>
      </w:r>
      <w:r>
        <w:rPr>
          <w:rFonts w:ascii="Microsoft Sans Serif" w:hAnsi="Microsoft Sans Serif" w:cs="Microsoft Sans Serif"/>
          <w:b/>
          <w:bCs/>
          <w:sz w:val="20"/>
          <w:szCs w:val="20"/>
          <w:lang w:val="sr-Cyrl-RS"/>
        </w:rPr>
        <w:t xml:space="preserve">a </w:t>
      </w:r>
      <w:r>
        <w:rPr>
          <w:rFonts w:ascii="Microsoft Sans Serif" w:hAnsi="Microsoft Sans Serif" w:cs="Microsoft Sans Serif"/>
          <w:b/>
          <w:bCs/>
          <w:sz w:val="20"/>
          <w:szCs w:val="20"/>
        </w:rPr>
        <w:t>hem</w:t>
      </w: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oterapijom (N=126)</w:t>
      </w:r>
      <w:r>
        <w:rPr>
          <w:rFonts w:ascii="Microsoft Sans Serif" w:hAnsi="Microsoft Sans Serif" w:cs="Microsoft Sans Serif"/>
          <w:bCs/>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0"/>
        <w:gridCol w:w="2681"/>
        <w:gridCol w:w="3351"/>
      </w:tblGrid>
      <w:tr w14:paraId="41588881">
        <w:tblPrEx>
          <w:tblCellMar>
            <w:top w:w="0" w:type="dxa"/>
            <w:left w:w="0" w:type="dxa"/>
            <w:bottom w:w="0" w:type="dxa"/>
            <w:right w:w="0" w:type="dxa"/>
          </w:tblCellMar>
        </w:tblPrEx>
        <w:trPr>
          <w:trHeight w:val="337" w:hRule="exact"/>
        </w:trPr>
        <w:tc>
          <w:tcPr>
            <w:tcW w:w="9072" w:type="dxa"/>
            <w:gridSpan w:val="3"/>
            <w:tcBorders>
              <w:top w:val="single" w:color="000000" w:sz="4" w:space="0"/>
              <w:left w:val="nil"/>
              <w:bottom w:val="nil"/>
              <w:right w:val="nil"/>
            </w:tcBorders>
          </w:tcPr>
          <w:p w14:paraId="7D2CF8FA">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E490B3C">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7C79961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Neželјene reakcije</w:t>
            </w:r>
          </w:p>
        </w:tc>
        <w:tc>
          <w:tcPr>
            <w:tcW w:w="2681" w:type="dxa"/>
            <w:tcBorders>
              <w:top w:val="single" w:color="000000" w:sz="4" w:space="0"/>
              <w:left w:val="nil"/>
              <w:bottom w:val="nil"/>
              <w:right w:val="nil"/>
            </w:tcBorders>
          </w:tcPr>
          <w:p w14:paraId="5F804A1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Svi stepeni</w:t>
            </w:r>
          </w:p>
        </w:tc>
        <w:tc>
          <w:tcPr>
            <w:tcW w:w="3351" w:type="dxa"/>
            <w:tcBorders>
              <w:top w:val="single" w:color="000000" w:sz="4" w:space="0"/>
              <w:left w:val="nil"/>
              <w:bottom w:val="nil"/>
              <w:right w:val="nil"/>
            </w:tcBorders>
          </w:tcPr>
          <w:p w14:paraId="57A775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w:t>
            </w:r>
            <w:r>
              <w:rPr>
                <w:rFonts w:ascii="Microsoft Sans Serif" w:hAnsi="Microsoft Sans Serif" w:cs="Microsoft Sans Serif"/>
                <w:b/>
                <w:bCs/>
                <w:sz w:val="20"/>
                <w:szCs w:val="20"/>
              </w:rPr>
              <w:t xml:space="preserve"> 3/4</w:t>
            </w:r>
          </w:p>
        </w:tc>
      </w:tr>
      <w:tr w14:paraId="7BBA3499">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6340DC7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c>
          <w:tcPr>
            <w:tcW w:w="2681" w:type="dxa"/>
            <w:tcBorders>
              <w:top w:val="single" w:color="000000" w:sz="4" w:space="0"/>
              <w:left w:val="nil"/>
              <w:bottom w:val="nil"/>
              <w:right w:val="nil"/>
            </w:tcBorders>
          </w:tcPr>
          <w:p w14:paraId="4A5732C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27.0</w:t>
            </w:r>
          </w:p>
        </w:tc>
        <w:tc>
          <w:tcPr>
            <w:tcW w:w="3351" w:type="dxa"/>
            <w:tcBorders>
              <w:top w:val="single" w:color="000000" w:sz="4" w:space="0"/>
              <w:left w:val="nil"/>
              <w:bottom w:val="nil"/>
              <w:right w:val="nil"/>
            </w:tcBorders>
          </w:tcPr>
          <w:p w14:paraId="0E44AD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26.2</w:t>
            </w:r>
          </w:p>
        </w:tc>
      </w:tr>
      <w:tr w14:paraId="3A0B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3180B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681" w:type="dxa"/>
            <w:tcBorders>
              <w:top w:val="nil"/>
              <w:left w:val="nil"/>
              <w:bottom w:val="nil"/>
              <w:right w:val="nil"/>
            </w:tcBorders>
          </w:tcPr>
          <w:p w14:paraId="32F4C0A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7290DA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13971904">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A309D7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2681" w:type="dxa"/>
            <w:tcBorders>
              <w:top w:val="nil"/>
              <w:left w:val="nil"/>
              <w:bottom w:val="nil"/>
              <w:right w:val="nil"/>
            </w:tcBorders>
          </w:tcPr>
          <w:p w14:paraId="1614EE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3C11D7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DE442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6A772B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abdomenu</w:t>
            </w:r>
          </w:p>
        </w:tc>
        <w:tc>
          <w:tcPr>
            <w:tcW w:w="2681" w:type="dxa"/>
            <w:tcBorders>
              <w:top w:val="nil"/>
              <w:left w:val="nil"/>
              <w:bottom w:val="nil"/>
              <w:right w:val="nil"/>
            </w:tcBorders>
          </w:tcPr>
          <w:p w14:paraId="00E89C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3351" w:type="dxa"/>
            <w:tcBorders>
              <w:top w:val="nil"/>
              <w:left w:val="nil"/>
              <w:bottom w:val="nil"/>
              <w:right w:val="nil"/>
            </w:tcBorders>
          </w:tcPr>
          <w:p w14:paraId="76BBCE3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6B83360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8DE82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2681" w:type="dxa"/>
            <w:tcBorders>
              <w:top w:val="nil"/>
              <w:left w:val="nil"/>
              <w:bottom w:val="nil"/>
              <w:right w:val="nil"/>
            </w:tcBorders>
          </w:tcPr>
          <w:p w14:paraId="6B359D7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02E6CE4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3F3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3BBAC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2681" w:type="dxa"/>
            <w:tcBorders>
              <w:top w:val="nil"/>
              <w:left w:val="nil"/>
              <w:bottom w:val="nil"/>
              <w:right w:val="nil"/>
            </w:tcBorders>
          </w:tcPr>
          <w:p w14:paraId="71D620F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3EBA80F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31D2478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737891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681" w:type="dxa"/>
            <w:tcBorders>
              <w:top w:val="nil"/>
              <w:left w:val="nil"/>
              <w:bottom w:val="nil"/>
              <w:right w:val="nil"/>
            </w:tcBorders>
          </w:tcPr>
          <w:p w14:paraId="7362A3E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11.1</w:t>
            </w:r>
          </w:p>
        </w:tc>
        <w:tc>
          <w:tcPr>
            <w:tcW w:w="3351" w:type="dxa"/>
            <w:tcBorders>
              <w:top w:val="nil"/>
              <w:left w:val="nil"/>
              <w:bottom w:val="nil"/>
              <w:right w:val="nil"/>
            </w:tcBorders>
          </w:tcPr>
          <w:p w14:paraId="2A37981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56BBC880">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6B0DEC9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p>
        </w:tc>
        <w:tc>
          <w:tcPr>
            <w:tcW w:w="2681" w:type="dxa"/>
            <w:tcBorders>
              <w:top w:val="nil"/>
              <w:left w:val="nil"/>
              <w:bottom w:val="nil"/>
              <w:right w:val="nil"/>
            </w:tcBorders>
          </w:tcPr>
          <w:p w14:paraId="103A36B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nil"/>
              <w:right w:val="nil"/>
            </w:tcBorders>
          </w:tcPr>
          <w:p w14:paraId="24511C6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8D3428A">
        <w:tblPrEx>
          <w:tblCellMar>
            <w:top w:w="0" w:type="dxa"/>
            <w:left w:w="0" w:type="dxa"/>
            <w:bottom w:w="0" w:type="dxa"/>
            <w:right w:w="0" w:type="dxa"/>
          </w:tblCellMar>
        </w:tblPrEx>
        <w:trPr>
          <w:trHeight w:val="260" w:hRule="exact"/>
        </w:trPr>
        <w:tc>
          <w:tcPr>
            <w:tcW w:w="3040" w:type="dxa"/>
            <w:tcBorders>
              <w:top w:val="nil"/>
              <w:left w:val="nil"/>
              <w:bottom w:val="single" w:color="000000" w:sz="4" w:space="0"/>
              <w:right w:val="nil"/>
            </w:tcBorders>
          </w:tcPr>
          <w:p w14:paraId="7D07C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2681" w:type="dxa"/>
            <w:tcBorders>
              <w:top w:val="nil"/>
              <w:left w:val="nil"/>
              <w:bottom w:val="single" w:color="000000" w:sz="4" w:space="0"/>
              <w:right w:val="nil"/>
            </w:tcBorders>
          </w:tcPr>
          <w:p w14:paraId="2E68E43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single" w:color="000000" w:sz="4" w:space="0"/>
              <w:right w:val="nil"/>
            </w:tcBorders>
          </w:tcPr>
          <w:p w14:paraId="090827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7BAC5829">
      <w:pPr>
        <w:widowControl w:val="0"/>
        <w:tabs>
          <w:tab w:val="left" w:pos="1260"/>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Od ukupno 106 pacijenata u pivotalnom ispitivanju, 24 pacijenta primila su prašak za oralnu suspenziju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dok je njih 8 primalo isklјučivo prašak za oralnu suspenziju.</w:t>
      </w:r>
    </w:p>
    <w:p w14:paraId="2B0DA2A3">
      <w:pPr>
        <w:widowControl w:val="0"/>
        <w:tabs>
          <w:tab w:val="clear" w:pos="284"/>
        </w:tabs>
        <w:rPr>
          <w:rFonts w:ascii="Microsoft Sans Serif" w:hAnsi="Microsoft Sans Serif" w:cs="Microsoft Sans Serif"/>
          <w:sz w:val="20"/>
          <w:szCs w:val="20"/>
        </w:rPr>
      </w:pPr>
    </w:p>
    <w:p w14:paraId="452520D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Poremećaji laboratorijskih nalaza</w:t>
      </w:r>
    </w:p>
    <w:p w14:paraId="3C694825">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rPr>
        <w:t>Hematologija</w:t>
      </w:r>
    </w:p>
    <w:p w14:paraId="2E01993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ispitivanju faze III novodijagnostikovane HML u </w:t>
      </w:r>
      <w:r>
        <w:rPr>
          <w:rFonts w:ascii="Microsoft Sans Serif" w:hAnsi="Microsoft Sans Serif" w:cs="Microsoft Sans Serif"/>
          <w:sz w:val="20"/>
          <w:szCs w:val="20"/>
          <w:lang w:val="sr-Cyrl-RS"/>
        </w:rPr>
        <w:t>h</w:t>
      </w:r>
      <w:r>
        <w:rPr>
          <w:rFonts w:ascii="Microsoft Sans Serif" w:hAnsi="Microsoft Sans Serif" w:cs="Microsoft Sans Serif"/>
          <w:sz w:val="20"/>
          <w:szCs w:val="20"/>
        </w:rPr>
        <w:t>roničnoj fazi, nakon najmanje 12 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praćenja bili su zabilježeni sljedeći poremećaji laboratorijskih nalaza 3. i 4. stepena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 uzimali dasatinib: neutropenija (21%), trombocitopenija (19%) i anemija (10%). Nakon 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60 mjeseci praćenja, kumulativna stopa pojave neutropenije bila je 29%, trombocitopenije 22%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anemije 13%.</w:t>
      </w:r>
    </w:p>
    <w:p w14:paraId="5DD64EA0">
      <w:pPr>
        <w:widowControl w:val="0"/>
        <w:tabs>
          <w:tab w:val="clear" w:pos="284"/>
        </w:tabs>
        <w:rPr>
          <w:rFonts w:ascii="Microsoft Sans Serif" w:hAnsi="Microsoft Sans Serif" w:cs="Microsoft Sans Serif"/>
          <w:sz w:val="20"/>
          <w:szCs w:val="20"/>
        </w:rPr>
      </w:pPr>
    </w:p>
    <w:p w14:paraId="0E5EE0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Nakon najmanje 12 mjeseci praćenja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novodijagnostikovanom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liječenih dasatinibom kod kojih se razvila mijelosupresija 3. ili 4. stepena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rPr>
        <w:t>oporavka je 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došlo nakon kratkog prekida terapije i/ili nakon smanjenja doze lijeka, dok je do trajnog 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liječenja došlo kod 1,6% pacijenata. Nakon najmanje 60 mjeseci praćenja kumulativna stopa 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 liječenja zbog mijelosupresije 3. ili 4. stepena bila je 2,3%.</w:t>
      </w:r>
    </w:p>
    <w:p w14:paraId="6A459192">
      <w:pPr>
        <w:widowControl w:val="0"/>
        <w:tabs>
          <w:tab w:val="clear" w:pos="284"/>
        </w:tabs>
        <w:rPr>
          <w:rFonts w:ascii="Microsoft Sans Serif" w:hAnsi="Microsoft Sans Serif" w:cs="Microsoft Sans Serif"/>
          <w:sz w:val="20"/>
          <w:szCs w:val="20"/>
          <w:lang w:val="sr-Cyrl-RS"/>
        </w:rPr>
      </w:pPr>
    </w:p>
    <w:p w14:paraId="68CE67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koji su rezistentni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ne podnose prethodnu terapiju 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citopenije (trombocitopenija, neutropenija i anemija) su bile konzistentan nalaz. Međutim, 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citopenija takođe je jasno zavisio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stadiju</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bolesti. Učestalost hematoloških poremećaja 3. ili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stepena prikazana je u Tabeli </w:t>
      </w:r>
      <w:r>
        <w:rPr>
          <w:rFonts w:ascii="Microsoft Sans Serif" w:hAnsi="Microsoft Sans Serif" w:cs="Microsoft Sans Serif"/>
          <w:sz w:val="20"/>
          <w:szCs w:val="20"/>
          <w:lang w:val="sr-Latn-RS"/>
        </w:rPr>
        <w:t>8</w:t>
      </w:r>
      <w:r>
        <w:rPr>
          <w:rFonts w:ascii="Microsoft Sans Serif" w:hAnsi="Microsoft Sans Serif" w:cs="Microsoft Sans Serif"/>
          <w:sz w:val="20"/>
          <w:szCs w:val="20"/>
        </w:rPr>
        <w:t>.</w:t>
      </w:r>
    </w:p>
    <w:p w14:paraId="6EA6B4B6">
      <w:pPr>
        <w:widowControl w:val="0"/>
        <w:tabs>
          <w:tab w:val="clear" w:pos="284"/>
        </w:tabs>
        <w:rPr>
          <w:rFonts w:ascii="Microsoft Sans Serif" w:hAnsi="Microsoft Sans Serif" w:eastAsia="Calibri" w:cs="Microsoft Sans Serif"/>
          <w:sz w:val="20"/>
          <w:szCs w:val="20"/>
        </w:rPr>
      </w:pPr>
    </w:p>
    <w:p w14:paraId="0C6F9B1D">
      <w:pPr>
        <w:widowControl w:val="0"/>
        <w:tabs>
          <w:tab w:val="clear" w:pos="284"/>
        </w:tabs>
        <w:rPr>
          <w:rFonts w:ascii="Microsoft Sans Serif" w:hAnsi="Microsoft Sans Serif" w:eastAsia="Calibri" w:cs="Microsoft Sans Serif"/>
          <w:b/>
          <w:sz w:val="20"/>
          <w:szCs w:val="20"/>
          <w:vertAlign w:val="superscript"/>
          <w:lang w:val="sr-Cyrl-RS"/>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8</w:t>
      </w:r>
      <w:r>
        <w:rPr>
          <w:rFonts w:ascii="Microsoft Sans Serif" w:hAnsi="Microsoft Sans Serif" w:eastAsia="Calibri" w:cs="Microsoft Sans Serif"/>
          <w:b/>
          <w:sz w:val="20"/>
          <w:szCs w:val="20"/>
        </w:rPr>
        <w:t>: Hematološki laboratorijski poremećaji 3/4 CTC stepena u kliničkim ispitivanjima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kod pacijenata </w:t>
      </w:r>
      <w:r>
        <w:rPr>
          <w:rFonts w:ascii="Microsoft Sans Serif" w:hAnsi="Microsoft Sans Serif" w:eastAsia="Calibri" w:cs="Microsoft Sans Serif"/>
          <w:b/>
          <w:sz w:val="20"/>
          <w:szCs w:val="20"/>
          <w:lang w:val="sr-Cyrl-RS"/>
        </w:rPr>
        <w:t xml:space="preserve">koji </w:t>
      </w:r>
      <w:r>
        <w:rPr>
          <w:rFonts w:ascii="Microsoft Sans Serif" w:hAnsi="Microsoft Sans Serif" w:eastAsia="Calibri" w:cs="Microsoft Sans Serif"/>
          <w:b/>
          <w:sz w:val="20"/>
          <w:szCs w:val="20"/>
        </w:rPr>
        <w:t xml:space="preserve">su rezistentni </w:t>
      </w:r>
      <w:r>
        <w:rPr>
          <w:rFonts w:ascii="Microsoft Sans Serif" w:hAnsi="Microsoft Sans Serif" w:eastAsia="Calibri" w:cs="Microsoft Sans Serif"/>
          <w:b/>
          <w:sz w:val="20"/>
          <w:szCs w:val="20"/>
          <w:lang w:val="mk-MK"/>
        </w:rPr>
        <w:t>ili nisu</w:t>
      </w:r>
      <w:r>
        <w:rPr>
          <w:rFonts w:ascii="Microsoft Sans Serif" w:hAnsi="Microsoft Sans Serif" w:eastAsia="Calibri" w:cs="Microsoft Sans Serif"/>
          <w:b/>
          <w:sz w:val="20"/>
          <w:szCs w:val="20"/>
        </w:rPr>
        <w:t xml:space="preserve"> podnosili prethodnu terapiju imatinibom</w:t>
      </w:r>
    </w:p>
    <w:tbl>
      <w:tblPr>
        <w:tblStyle w:val="12"/>
        <w:tblW w:w="0" w:type="auto"/>
        <w:tblInd w:w="0" w:type="dxa"/>
        <w:tblLayout w:type="fixed"/>
        <w:tblCellMar>
          <w:top w:w="0" w:type="dxa"/>
          <w:left w:w="0" w:type="dxa"/>
          <w:bottom w:w="0" w:type="dxa"/>
          <w:right w:w="0" w:type="dxa"/>
        </w:tblCellMar>
      </w:tblPr>
      <w:tblGrid>
        <w:gridCol w:w="3097"/>
        <w:gridCol w:w="1763"/>
        <w:gridCol w:w="1285"/>
        <w:gridCol w:w="1524"/>
        <w:gridCol w:w="1262"/>
      </w:tblGrid>
      <w:tr w14:paraId="1E14683A">
        <w:tblPrEx>
          <w:tblCellMar>
            <w:top w:w="0" w:type="dxa"/>
            <w:left w:w="0" w:type="dxa"/>
            <w:bottom w:w="0" w:type="dxa"/>
            <w:right w:w="0" w:type="dxa"/>
          </w:tblCellMar>
        </w:tblPrEx>
        <w:trPr>
          <w:trHeight w:val="1141" w:hRule="exact"/>
        </w:trPr>
        <w:tc>
          <w:tcPr>
            <w:tcW w:w="3097" w:type="dxa"/>
            <w:tcBorders>
              <w:top w:val="single" w:color="auto" w:sz="4" w:space="0"/>
              <w:left w:val="nil"/>
              <w:bottom w:val="nil"/>
              <w:right w:val="nil"/>
            </w:tcBorders>
          </w:tcPr>
          <w:p w14:paraId="4597D974">
            <w:pPr>
              <w:widowControl w:val="0"/>
              <w:tabs>
                <w:tab w:val="clear" w:pos="284"/>
              </w:tabs>
              <w:rPr>
                <w:rFonts w:ascii="Microsoft Sans Serif" w:hAnsi="Microsoft Sans Serif" w:cs="Microsoft Sans Serif"/>
                <w:sz w:val="20"/>
                <w:szCs w:val="20"/>
              </w:rPr>
            </w:pPr>
          </w:p>
        </w:tc>
        <w:tc>
          <w:tcPr>
            <w:tcW w:w="1763" w:type="dxa"/>
            <w:tcBorders>
              <w:top w:val="single" w:color="auto" w:sz="4" w:space="0"/>
              <w:left w:val="nil"/>
              <w:bottom w:val="single" w:color="auto" w:sz="12" w:space="0"/>
              <w:right w:val="nil"/>
            </w:tcBorders>
            <w:vAlign w:val="bottom"/>
          </w:tcPr>
          <w:p w14:paraId="6D7E060A">
            <w:pPr>
              <w:widowControl w:val="0"/>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Hronična faza</w:t>
            </w:r>
          </w:p>
          <w:p w14:paraId="16BA91BD">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(n= 165)</w:t>
            </w:r>
            <w:r>
              <w:rPr>
                <w:rFonts w:ascii="Microsoft Sans Serif" w:hAnsi="Microsoft Sans Serif" w:cs="Microsoft Sans Serif"/>
                <w:b/>
                <w:sz w:val="20"/>
                <w:szCs w:val="20"/>
                <w:vertAlign w:val="superscript"/>
              </w:rPr>
              <w:t>b</w:t>
            </w:r>
          </w:p>
        </w:tc>
        <w:tc>
          <w:tcPr>
            <w:tcW w:w="1285" w:type="dxa"/>
            <w:tcBorders>
              <w:top w:val="single" w:color="auto" w:sz="4" w:space="0"/>
              <w:left w:val="nil"/>
              <w:bottom w:val="single" w:color="auto" w:sz="12" w:space="0"/>
              <w:right w:val="nil"/>
            </w:tcBorders>
            <w:vAlign w:val="bottom"/>
          </w:tcPr>
          <w:p w14:paraId="0E75CC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Ubrzana faza</w:t>
            </w:r>
          </w:p>
          <w:p w14:paraId="5842EAE6">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bCs/>
                <w:sz w:val="20"/>
                <w:szCs w:val="20"/>
              </w:rPr>
              <w:t>(n= 157)</w:t>
            </w:r>
            <w:r>
              <w:rPr>
                <w:rFonts w:ascii="Microsoft Sans Serif" w:hAnsi="Microsoft Sans Serif" w:cs="Microsoft Sans Serif"/>
                <w:b/>
                <w:bCs/>
                <w:sz w:val="20"/>
                <w:szCs w:val="20"/>
                <w:vertAlign w:val="superscript"/>
              </w:rPr>
              <w:t>c</w:t>
            </w:r>
          </w:p>
        </w:tc>
        <w:tc>
          <w:tcPr>
            <w:tcW w:w="1524" w:type="dxa"/>
            <w:tcBorders>
              <w:top w:val="single" w:color="auto" w:sz="4" w:space="0"/>
              <w:left w:val="nil"/>
              <w:bottom w:val="single" w:color="auto" w:sz="12" w:space="0"/>
              <w:right w:val="nil"/>
            </w:tcBorders>
            <w:vAlign w:val="bottom"/>
          </w:tcPr>
          <w:p w14:paraId="7B4C51AB">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Mijeloidna blastna faza</w:t>
            </w:r>
            <w:r>
              <w:rPr>
                <w:rFonts w:ascii="Microsoft Sans Serif" w:hAnsi="Microsoft Sans Serif" w:cs="Microsoft Sans Serif"/>
                <w:b/>
                <w:bCs/>
                <w:sz w:val="20"/>
                <w:szCs w:val="20"/>
              </w:rPr>
              <w:t xml:space="preserve"> </w:t>
            </w:r>
          </w:p>
          <w:p w14:paraId="1A3A54BF">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(n= 74)</w:t>
            </w:r>
            <w:r>
              <w:rPr>
                <w:rFonts w:ascii="Microsoft Sans Serif" w:hAnsi="Microsoft Sans Serif" w:cs="Microsoft Sans Serif"/>
                <w:b/>
                <w:bCs/>
                <w:sz w:val="20"/>
                <w:szCs w:val="20"/>
                <w:vertAlign w:val="superscript"/>
              </w:rPr>
              <w:t>c</w:t>
            </w:r>
          </w:p>
        </w:tc>
        <w:tc>
          <w:tcPr>
            <w:tcW w:w="1262" w:type="dxa"/>
            <w:tcBorders>
              <w:top w:val="single" w:color="auto" w:sz="4" w:space="0"/>
              <w:left w:val="nil"/>
              <w:bottom w:val="single" w:color="auto" w:sz="12" w:space="0"/>
              <w:right w:val="nil"/>
            </w:tcBorders>
            <w:vAlign w:val="bottom"/>
          </w:tcPr>
          <w:p w14:paraId="4AD1D9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 xml:space="preserve">Limfoidna blastna faza i </w:t>
            </w:r>
            <w:r>
              <w:rPr>
                <w:rFonts w:ascii="Microsoft Sans Serif" w:hAnsi="Microsoft Sans Serif" w:cs="Microsoft Sans Serif"/>
                <w:b/>
                <w:bCs/>
                <w:sz w:val="20"/>
                <w:szCs w:val="20"/>
              </w:rPr>
              <w:t xml:space="preserve"> Ph+ ALL</w:t>
            </w:r>
          </w:p>
          <w:p w14:paraId="6F800A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168)</w:t>
            </w:r>
            <w:r>
              <w:rPr>
                <w:rFonts w:ascii="Microsoft Sans Serif" w:hAnsi="Microsoft Sans Serif" w:cs="Microsoft Sans Serif"/>
                <w:b/>
                <w:bCs/>
                <w:sz w:val="20"/>
                <w:szCs w:val="20"/>
                <w:vertAlign w:val="superscript"/>
              </w:rPr>
              <w:t>c</w:t>
            </w:r>
          </w:p>
        </w:tc>
      </w:tr>
      <w:tr w14:paraId="72C293AB">
        <w:tblPrEx>
          <w:tblCellMar>
            <w:top w:w="0" w:type="dxa"/>
            <w:left w:w="0" w:type="dxa"/>
            <w:bottom w:w="0" w:type="dxa"/>
            <w:right w:w="0" w:type="dxa"/>
          </w:tblCellMar>
        </w:tblPrEx>
        <w:trPr>
          <w:trHeight w:val="263" w:hRule="exact"/>
        </w:trPr>
        <w:tc>
          <w:tcPr>
            <w:tcW w:w="3097" w:type="dxa"/>
            <w:tcBorders>
              <w:top w:val="nil"/>
              <w:left w:val="nil"/>
              <w:bottom w:val="single" w:color="auto" w:sz="12" w:space="0"/>
              <w:right w:val="nil"/>
            </w:tcBorders>
          </w:tcPr>
          <w:p w14:paraId="0FEF2BF3">
            <w:pPr>
              <w:widowControl w:val="0"/>
              <w:tabs>
                <w:tab w:val="clear" w:pos="284"/>
              </w:tabs>
              <w:rPr>
                <w:rFonts w:ascii="Microsoft Sans Serif" w:hAnsi="Microsoft Sans Serif" w:cs="Microsoft Sans Serif"/>
                <w:sz w:val="20"/>
                <w:szCs w:val="20"/>
              </w:rPr>
            </w:pPr>
          </w:p>
        </w:tc>
        <w:tc>
          <w:tcPr>
            <w:tcW w:w="5834" w:type="dxa"/>
            <w:gridSpan w:val="4"/>
            <w:tcBorders>
              <w:top w:val="single" w:color="auto" w:sz="12" w:space="0"/>
              <w:left w:val="nil"/>
              <w:bottom w:val="single" w:color="auto" w:sz="12" w:space="0"/>
              <w:right w:val="nil"/>
            </w:tcBorders>
          </w:tcPr>
          <w:p w14:paraId="6575C990">
            <w:pPr>
              <w:widowControl w:val="0"/>
              <w:tabs>
                <w:tab w:val="clear" w:pos="284"/>
              </w:tabs>
              <w:jc w:val="center"/>
              <w:rPr>
                <w:rFonts w:ascii="Microsoft Sans Serif" w:hAnsi="Microsoft Sans Serif" w:cs="Microsoft Sans Serif"/>
                <w:b/>
                <w:sz w:val="20"/>
                <w:szCs w:val="20"/>
              </w:rPr>
            </w:pPr>
            <w:r>
              <w:rPr>
                <w:rFonts w:ascii="Microsoft Sans Serif" w:hAnsi="Microsoft Sans Serif" w:cs="Microsoft Sans Serif"/>
                <w:b/>
                <w:sz w:val="20"/>
                <w:szCs w:val="20"/>
                <w:lang w:val="sr-Cyrl-RS"/>
              </w:rPr>
              <w:t>Procenat</w:t>
            </w:r>
            <w:r>
              <w:rPr>
                <w:rFonts w:ascii="Microsoft Sans Serif" w:hAnsi="Microsoft Sans Serif" w:cs="Microsoft Sans Serif"/>
                <w:b/>
                <w:sz w:val="20"/>
                <w:szCs w:val="20"/>
              </w:rPr>
              <w:t xml:space="preserve"> (%) pacijenata</w:t>
            </w:r>
          </w:p>
        </w:tc>
      </w:tr>
      <w:tr w14:paraId="6ED0BA16">
        <w:tblPrEx>
          <w:tblCellMar>
            <w:top w:w="0" w:type="dxa"/>
            <w:left w:w="0" w:type="dxa"/>
            <w:bottom w:w="0" w:type="dxa"/>
            <w:right w:w="0" w:type="dxa"/>
          </w:tblCellMar>
        </w:tblPrEx>
        <w:trPr>
          <w:trHeight w:val="263" w:hRule="exact"/>
        </w:trPr>
        <w:tc>
          <w:tcPr>
            <w:tcW w:w="3097" w:type="dxa"/>
            <w:tcBorders>
              <w:top w:val="single" w:color="auto" w:sz="12" w:space="0"/>
              <w:left w:val="nil"/>
              <w:bottom w:val="nil"/>
              <w:right w:val="nil"/>
            </w:tcBorders>
          </w:tcPr>
          <w:p w14:paraId="2DA7F8B7">
            <w:pPr>
              <w:widowControl w:val="0"/>
              <w:tabs>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Hematološki parametri</w:t>
            </w:r>
          </w:p>
        </w:tc>
        <w:tc>
          <w:tcPr>
            <w:tcW w:w="1763" w:type="dxa"/>
            <w:tcBorders>
              <w:top w:val="single" w:color="auto" w:sz="12" w:space="0"/>
              <w:left w:val="nil"/>
              <w:bottom w:val="nil"/>
              <w:right w:val="nil"/>
            </w:tcBorders>
          </w:tcPr>
          <w:p w14:paraId="1FFD460C">
            <w:pPr>
              <w:widowControl w:val="0"/>
              <w:tabs>
                <w:tab w:val="clear" w:pos="284"/>
              </w:tabs>
              <w:rPr>
                <w:rFonts w:ascii="Microsoft Sans Serif" w:hAnsi="Microsoft Sans Serif" w:cs="Microsoft Sans Serif"/>
                <w:sz w:val="20"/>
                <w:szCs w:val="20"/>
              </w:rPr>
            </w:pPr>
          </w:p>
        </w:tc>
        <w:tc>
          <w:tcPr>
            <w:tcW w:w="1285" w:type="dxa"/>
            <w:tcBorders>
              <w:top w:val="single" w:color="auto" w:sz="12" w:space="0"/>
              <w:left w:val="nil"/>
              <w:bottom w:val="nil"/>
              <w:right w:val="nil"/>
            </w:tcBorders>
          </w:tcPr>
          <w:p w14:paraId="5274EB5D">
            <w:pPr>
              <w:widowControl w:val="0"/>
              <w:tabs>
                <w:tab w:val="clear" w:pos="284"/>
              </w:tabs>
              <w:rPr>
                <w:rFonts w:ascii="Microsoft Sans Serif" w:hAnsi="Microsoft Sans Serif" w:cs="Microsoft Sans Serif"/>
                <w:sz w:val="20"/>
                <w:szCs w:val="20"/>
              </w:rPr>
            </w:pPr>
          </w:p>
        </w:tc>
        <w:tc>
          <w:tcPr>
            <w:tcW w:w="1524" w:type="dxa"/>
            <w:tcBorders>
              <w:top w:val="single" w:color="auto" w:sz="12" w:space="0"/>
              <w:left w:val="nil"/>
              <w:bottom w:val="nil"/>
              <w:right w:val="nil"/>
            </w:tcBorders>
          </w:tcPr>
          <w:p w14:paraId="6A7620AE">
            <w:pPr>
              <w:widowControl w:val="0"/>
              <w:tabs>
                <w:tab w:val="clear" w:pos="284"/>
              </w:tabs>
              <w:rPr>
                <w:rFonts w:ascii="Microsoft Sans Serif" w:hAnsi="Microsoft Sans Serif" w:cs="Microsoft Sans Serif"/>
                <w:sz w:val="20"/>
                <w:szCs w:val="20"/>
              </w:rPr>
            </w:pPr>
          </w:p>
        </w:tc>
        <w:tc>
          <w:tcPr>
            <w:tcW w:w="1262" w:type="dxa"/>
            <w:tcBorders>
              <w:top w:val="single" w:color="auto" w:sz="12" w:space="0"/>
              <w:left w:val="nil"/>
              <w:bottom w:val="nil"/>
              <w:right w:val="nil"/>
            </w:tcBorders>
          </w:tcPr>
          <w:p w14:paraId="50D0A181">
            <w:pPr>
              <w:widowControl w:val="0"/>
              <w:tabs>
                <w:tab w:val="clear" w:pos="284"/>
              </w:tabs>
              <w:rPr>
                <w:rFonts w:ascii="Microsoft Sans Serif" w:hAnsi="Microsoft Sans Serif" w:cs="Microsoft Sans Serif"/>
                <w:sz w:val="20"/>
                <w:szCs w:val="20"/>
              </w:rPr>
            </w:pPr>
          </w:p>
        </w:tc>
      </w:tr>
      <w:tr w14:paraId="0B0EB917">
        <w:tblPrEx>
          <w:tblCellMar>
            <w:top w:w="0" w:type="dxa"/>
            <w:left w:w="0" w:type="dxa"/>
            <w:bottom w:w="0" w:type="dxa"/>
            <w:right w:w="0" w:type="dxa"/>
          </w:tblCellMar>
        </w:tblPrEx>
        <w:trPr>
          <w:trHeight w:val="263" w:hRule="exact"/>
        </w:trPr>
        <w:tc>
          <w:tcPr>
            <w:tcW w:w="3097" w:type="dxa"/>
            <w:tcBorders>
              <w:top w:val="nil"/>
              <w:left w:val="nil"/>
              <w:bottom w:val="nil"/>
              <w:right w:val="nil"/>
            </w:tcBorders>
          </w:tcPr>
          <w:p w14:paraId="587FD13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p>
        </w:tc>
        <w:tc>
          <w:tcPr>
            <w:tcW w:w="1763" w:type="dxa"/>
            <w:tcBorders>
              <w:top w:val="nil"/>
              <w:left w:val="nil"/>
              <w:bottom w:val="nil"/>
              <w:right w:val="nil"/>
            </w:tcBorders>
          </w:tcPr>
          <w:p w14:paraId="3A8AAC5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285" w:type="dxa"/>
            <w:tcBorders>
              <w:top w:val="nil"/>
              <w:left w:val="nil"/>
              <w:bottom w:val="nil"/>
              <w:right w:val="nil"/>
            </w:tcBorders>
          </w:tcPr>
          <w:p w14:paraId="75031CC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24" w:type="dxa"/>
            <w:tcBorders>
              <w:top w:val="nil"/>
              <w:left w:val="nil"/>
              <w:bottom w:val="nil"/>
              <w:right w:val="nil"/>
            </w:tcBorders>
          </w:tcPr>
          <w:p w14:paraId="1374434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262" w:type="dxa"/>
            <w:tcBorders>
              <w:top w:val="nil"/>
              <w:left w:val="nil"/>
              <w:bottom w:val="nil"/>
              <w:right w:val="nil"/>
            </w:tcBorders>
          </w:tcPr>
          <w:p w14:paraId="6E45E9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r w14:paraId="7A58FB62">
        <w:tblPrEx>
          <w:tblCellMar>
            <w:top w:w="0" w:type="dxa"/>
            <w:left w:w="0" w:type="dxa"/>
            <w:bottom w:w="0" w:type="dxa"/>
            <w:right w:w="0" w:type="dxa"/>
          </w:tblCellMar>
        </w:tblPrEx>
        <w:trPr>
          <w:trHeight w:val="266" w:hRule="exact"/>
        </w:trPr>
        <w:tc>
          <w:tcPr>
            <w:tcW w:w="3097" w:type="dxa"/>
            <w:tcBorders>
              <w:top w:val="nil"/>
              <w:left w:val="nil"/>
              <w:bottom w:val="nil"/>
              <w:right w:val="nil"/>
            </w:tcBorders>
          </w:tcPr>
          <w:p w14:paraId="4EDF701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w:t>
            </w:r>
          </w:p>
        </w:tc>
        <w:tc>
          <w:tcPr>
            <w:tcW w:w="1763" w:type="dxa"/>
            <w:tcBorders>
              <w:top w:val="nil"/>
              <w:left w:val="nil"/>
              <w:bottom w:val="nil"/>
              <w:right w:val="nil"/>
            </w:tcBorders>
          </w:tcPr>
          <w:p w14:paraId="6CDCCA5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85" w:type="dxa"/>
            <w:tcBorders>
              <w:top w:val="nil"/>
              <w:left w:val="nil"/>
              <w:bottom w:val="nil"/>
              <w:right w:val="nil"/>
            </w:tcBorders>
          </w:tcPr>
          <w:p w14:paraId="6D4A980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524" w:type="dxa"/>
            <w:tcBorders>
              <w:top w:val="nil"/>
              <w:left w:val="nil"/>
              <w:bottom w:val="nil"/>
              <w:right w:val="nil"/>
            </w:tcBorders>
          </w:tcPr>
          <w:p w14:paraId="61B8636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262" w:type="dxa"/>
            <w:tcBorders>
              <w:top w:val="nil"/>
              <w:left w:val="nil"/>
              <w:bottom w:val="nil"/>
              <w:right w:val="nil"/>
            </w:tcBorders>
          </w:tcPr>
          <w:p w14:paraId="79CAF6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r>
      <w:tr w14:paraId="79C81354">
        <w:tblPrEx>
          <w:tblCellMar>
            <w:top w:w="0" w:type="dxa"/>
            <w:left w:w="0" w:type="dxa"/>
            <w:bottom w:w="0" w:type="dxa"/>
            <w:right w:w="0" w:type="dxa"/>
          </w:tblCellMar>
        </w:tblPrEx>
        <w:trPr>
          <w:trHeight w:val="248" w:hRule="exact"/>
        </w:trPr>
        <w:tc>
          <w:tcPr>
            <w:tcW w:w="3097" w:type="dxa"/>
            <w:tcBorders>
              <w:top w:val="nil"/>
              <w:left w:val="nil"/>
              <w:bottom w:val="single" w:color="000000" w:sz="4" w:space="0"/>
              <w:right w:val="nil"/>
            </w:tcBorders>
          </w:tcPr>
          <w:p w14:paraId="42B0DD0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Anemija</w:t>
            </w:r>
          </w:p>
        </w:tc>
        <w:tc>
          <w:tcPr>
            <w:tcW w:w="1763" w:type="dxa"/>
            <w:tcBorders>
              <w:top w:val="nil"/>
              <w:left w:val="nil"/>
              <w:bottom w:val="single" w:color="000000" w:sz="4" w:space="0"/>
              <w:right w:val="nil"/>
            </w:tcBorders>
          </w:tcPr>
          <w:p w14:paraId="161B59B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285" w:type="dxa"/>
            <w:tcBorders>
              <w:top w:val="nil"/>
              <w:left w:val="nil"/>
              <w:bottom w:val="single" w:color="000000" w:sz="4" w:space="0"/>
              <w:right w:val="nil"/>
            </w:tcBorders>
          </w:tcPr>
          <w:p w14:paraId="324C85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524" w:type="dxa"/>
            <w:tcBorders>
              <w:top w:val="nil"/>
              <w:left w:val="nil"/>
              <w:bottom w:val="single" w:color="000000" w:sz="4" w:space="0"/>
              <w:right w:val="nil"/>
            </w:tcBorders>
          </w:tcPr>
          <w:p w14:paraId="3C9B6AA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c>
          <w:tcPr>
            <w:tcW w:w="1262" w:type="dxa"/>
            <w:tcBorders>
              <w:top w:val="nil"/>
              <w:left w:val="nil"/>
              <w:bottom w:val="single" w:color="000000" w:sz="4" w:space="0"/>
              <w:right w:val="nil"/>
            </w:tcBorders>
          </w:tcPr>
          <w:p w14:paraId="315736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bl>
    <w:p w14:paraId="0B9A699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nakon 2 godine praćenja u sklopu ispitivanja</w:t>
      </w:r>
    </w:p>
    <w:p w14:paraId="3DD0907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vertAlign w:val="superscript"/>
        </w:rPr>
        <w:t xml:space="preserve"> </w:t>
      </w:r>
      <w:r>
        <w:rPr>
          <w:rFonts w:ascii="Microsoft Sans Serif" w:hAnsi="Microsoft Sans Serif" w:eastAsia="Calibri" w:cs="Microsoft Sans Serif"/>
          <w:sz w:val="20"/>
          <w:szCs w:val="20"/>
        </w:rPr>
        <w:t xml:space="preserve">Rezultati ispitivanja CA180-034 uz preporučenu početnu dozu od 100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054295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c</w:t>
      </w:r>
      <w:r>
        <w:rPr>
          <w:rFonts w:ascii="Microsoft Sans Serif" w:hAnsi="Microsoft Sans Serif" w:eastAsia="Calibri" w:cs="Microsoft Sans Serif"/>
          <w:sz w:val="20"/>
          <w:szCs w:val="20"/>
        </w:rPr>
        <w:t xml:space="preserve"> Rezultati ispitivanja CA180-035 uz preporučenu početnu dozu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666DFD6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CTC stepeni: neutropenija (stepen 3 ≥ 0.5– &lt; 1.0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0.5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trombocitopenija (stepen 3 ≥ 25 – &lt;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50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25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anemija (hemoglobin stepen 3 ≥ 65 – &lt; 80 g/l, stepen 4 &lt; 65 g/l).</w:t>
      </w:r>
    </w:p>
    <w:p w14:paraId="24FD14C5">
      <w:pPr>
        <w:widowControl w:val="0"/>
        <w:tabs>
          <w:tab w:val="clear" w:pos="284"/>
        </w:tabs>
        <w:rPr>
          <w:rFonts w:ascii="Microsoft Sans Serif" w:hAnsi="Microsoft Sans Serif" w:eastAsia="Calibri" w:cs="Microsoft Sans Serif"/>
          <w:sz w:val="20"/>
          <w:szCs w:val="20"/>
        </w:rPr>
      </w:pPr>
    </w:p>
    <w:p w14:paraId="1127E91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Među pacijentima liječenim dozom od 100 mg jednom dnevno kumulativna incidenca citopenije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 4. stepena bila je slična u 2. i 5. godini, uklјučujući: neutropeniju (35% nasuprot 36%),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trombocitopeniju (23% nasuprot 24%) i anemiju (13% nasuprot 13%).</w:t>
      </w:r>
    </w:p>
    <w:p w14:paraId="4324B67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koji su razvili mijelosupresiju 3. ili 4. stepena,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oporavka je generalno došlo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kratkih prekida davanja lijeka i/ili smanjenja doze, dok je liječenje trajno prekinuto kod 5%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Većina pacijenata nastavila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liječenjem bez dalјih znakova mijelosupresije.</w:t>
      </w:r>
    </w:p>
    <w:p w14:paraId="66CED09B">
      <w:pPr>
        <w:widowControl w:val="0"/>
        <w:tabs>
          <w:tab w:val="clear" w:pos="284"/>
        </w:tabs>
        <w:rPr>
          <w:rFonts w:ascii="Microsoft Sans Serif" w:hAnsi="Microsoft Sans Serif" w:eastAsia="Calibri" w:cs="Microsoft Sans Serif"/>
          <w:sz w:val="20"/>
          <w:szCs w:val="20"/>
        </w:rPr>
      </w:pPr>
    </w:p>
    <w:p w14:paraId="2725B323">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Biohemijska ispitivanja</w:t>
      </w:r>
    </w:p>
    <w:p w14:paraId="39EF3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novodijagnostikovane HML u hroničnoj fazi, nakon najmanje 12 mjeseci praćenja,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hipofosfatemija 3. ili 4. stepena bila je zabilježena kod 4% pacijenata liječenih dasatinibom, dok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kreatinina i bilirubina 3. ili 4. stepena bile zabilježene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Nakon najmanje 60 mjeseci praćenja kumulativna stopa pojave hipofosfatemije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 bila je 7%, povišenje kreatinina</w:t>
      </w:r>
      <w:r>
        <w:rPr>
          <w:rFonts w:ascii="Microsoft Sans Serif" w:hAnsi="Microsoft Sans Serif" w:eastAsia="Calibri" w:cs="Microsoft Sans Serif"/>
          <w:sz w:val="20"/>
          <w:szCs w:val="20"/>
          <w:lang w:val="sr-Cyrl-RS"/>
        </w:rPr>
        <w:t xml:space="preserve"> i bilirubina</w:t>
      </w:r>
      <w:r>
        <w:rPr>
          <w:rFonts w:ascii="Microsoft Sans Serif" w:hAnsi="Microsoft Sans Serif" w:eastAsia="Calibri" w:cs="Microsoft Sans Serif"/>
          <w:sz w:val="20"/>
          <w:szCs w:val="20"/>
        </w:rPr>
        <w:t xml:space="preserve"> 3. ili 4. stepena bilo je 1%, a povišenje transaminaza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w:t>
      </w:r>
      <w:r>
        <w:rPr>
          <w:rFonts w:ascii="Microsoft Sans Serif" w:hAnsi="Microsoft Sans Serif" w:eastAsia="Calibri" w:cs="Microsoft Sans Serif"/>
          <w:sz w:val="20"/>
          <w:szCs w:val="20"/>
          <w:lang w:val="sr-Cyrl-RS"/>
        </w:rPr>
        <w:t>ep</w:t>
      </w:r>
      <w:r>
        <w:rPr>
          <w:rFonts w:ascii="Microsoft Sans Serif" w:hAnsi="Microsoft Sans Serif" w:eastAsia="Calibri" w:cs="Microsoft Sans Serif"/>
          <w:sz w:val="20"/>
          <w:szCs w:val="20"/>
          <w:lang w:val="sr-Latn-RS"/>
        </w:rPr>
        <w:t>e</w:t>
      </w:r>
      <w:r>
        <w:rPr>
          <w:rFonts w:ascii="Microsoft Sans Serif" w:hAnsi="Microsoft Sans Serif" w:eastAsia="Calibri" w:cs="Microsoft Sans Serif"/>
          <w:sz w:val="20"/>
          <w:szCs w:val="20"/>
          <w:lang w:val="sr-Cyrl-RS"/>
        </w:rPr>
        <w:t>na</w:t>
      </w:r>
      <w:r>
        <w:rPr>
          <w:rFonts w:ascii="Microsoft Sans Serif" w:hAnsi="Microsoft Sans Serif" w:eastAsia="Calibri" w:cs="Microsoft Sans Serif"/>
          <w:sz w:val="20"/>
          <w:szCs w:val="20"/>
        </w:rPr>
        <w:t xml:space="preserve"> je ostalo 1%. Nije bilo prekida terapije dasatinibom zbog ovih promjena biohemijskih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laboratorijskih parametara.</w:t>
      </w:r>
    </w:p>
    <w:p w14:paraId="4F1F5F0D">
      <w:pPr>
        <w:widowControl w:val="0"/>
        <w:tabs>
          <w:tab w:val="clear" w:pos="284"/>
        </w:tabs>
        <w:rPr>
          <w:rFonts w:ascii="Microsoft Sans Serif" w:hAnsi="Microsoft Sans Serif" w:eastAsia="Calibri" w:cs="Microsoft Sans Serif"/>
          <w:sz w:val="20"/>
          <w:szCs w:val="20"/>
        </w:rPr>
      </w:pPr>
    </w:p>
    <w:p w14:paraId="018E4EA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lang w:val="sr-Cyrl-RS"/>
        </w:rPr>
        <w:t>Dvogodišnje praćenje</w:t>
      </w:r>
    </w:p>
    <w:p w14:paraId="20715E4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3. ili 4. stepena u vrijednostima transaminaza ili bilirubina bilo je prijavlјeno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 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imatinib), uz zabilježenu povećanu učestalost od 1 do 7% kod pacijenata u uznapredovaloj fazi HML i Ph+ ALL.</w:t>
      </w:r>
    </w:p>
    <w:p w14:paraId="13B3E70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Vrijednosti su se obično normalizovale nakon smanjenja doze ili privremenog prekida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 optimizacije doze faze III, povišenje 3. ili 4. stepena vrijednosti transaminaza ili bilirubina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je prijavlјeno kod ≤1%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 slično nisku incidencu u sve četiri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liječene </w:t>
      </w:r>
      <w:r>
        <w:rPr>
          <w:rFonts w:ascii="Microsoft Sans Serif" w:hAnsi="Microsoft Sans Serif" w:eastAsia="Calibri" w:cs="Microsoft Sans Serif"/>
          <w:sz w:val="20"/>
          <w:szCs w:val="20"/>
          <w:lang w:val="sr-Cyrl-RS"/>
        </w:rPr>
        <w:t>grupe</w:t>
      </w:r>
      <w:r>
        <w:rPr>
          <w:rFonts w:ascii="Microsoft Sans Serif" w:hAnsi="Microsoft Sans Serif" w:eastAsia="Calibri" w:cs="Microsoft Sans Serif"/>
          <w:sz w:val="20"/>
          <w:szCs w:val="20"/>
        </w:rPr>
        <w:t>. U ispitivanju optimizacije doze faze III u uznapredovaloj fazi HML i Ph+ 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ili bilirubina 3. ili 4. stepena bile su zabilježene kod 1% do 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svim terapijskim grupama.</w:t>
      </w:r>
    </w:p>
    <w:p w14:paraId="42F9145C">
      <w:pPr>
        <w:widowControl w:val="0"/>
        <w:tabs>
          <w:tab w:val="clear" w:pos="284"/>
        </w:tabs>
        <w:rPr>
          <w:rFonts w:ascii="Microsoft Sans Serif" w:hAnsi="Microsoft Sans Serif" w:eastAsia="Calibri" w:cs="Microsoft Sans Serif"/>
          <w:sz w:val="20"/>
          <w:szCs w:val="20"/>
        </w:rPr>
      </w:pPr>
    </w:p>
    <w:p w14:paraId="3CD0BA7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oko 5% pacijenata liječenih dasatinibom, koji su imali normalne početne vrijednosti kalcijuma,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nekom trenutku tokom trajanja ispitivanja</w:t>
      </w:r>
      <w:r>
        <w:rPr>
          <w:rFonts w:ascii="Microsoft Sans Serif" w:hAnsi="Microsoft Sans Serif" w:eastAsia="Calibri" w:cs="Microsoft Sans Serif"/>
          <w:sz w:val="20"/>
          <w:szCs w:val="20"/>
          <w:lang w:val="sr-Cyrl-RS"/>
        </w:rPr>
        <w:t xml:space="preserve"> je</w:t>
      </w:r>
      <w:r>
        <w:rPr>
          <w:rFonts w:ascii="Microsoft Sans Serif" w:hAnsi="Microsoft Sans Serif" w:eastAsia="Calibri" w:cs="Microsoft Sans Serif"/>
          <w:sz w:val="20"/>
          <w:szCs w:val="20"/>
        </w:rPr>
        <w:t xml:space="preserve"> nastupila prolazna hipokalcijemija 3. ili 4. stepena.</w:t>
      </w:r>
    </w:p>
    <w:p w14:paraId="2E8EC0C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Generalno</w:t>
      </w:r>
      <w:r>
        <w:rPr>
          <w:rFonts w:ascii="Microsoft Sans Serif" w:hAnsi="Microsoft Sans Serif" w:eastAsia="Calibri" w:cs="Microsoft Sans Serif"/>
          <w:sz w:val="20"/>
          <w:szCs w:val="20"/>
        </w:rPr>
        <w:t>, snižene vrijednosti kalcijuma nisu bile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kliničkim simptomima.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razvili hipokalcijemiju 3. ili 4. stepena često bi se oporavili uz uzimanje oralnih preparata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nadoknadu kalcijuma.</w:t>
      </w:r>
    </w:p>
    <w:p w14:paraId="358544D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Hipokalcijemija, hipokalijemija i hipofosfatemija 3. ili 4. stepena prijavlјene su kod pacijenata u 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fazama HML, ali češće kod pacijenata u mijeloidnoj ili limfoidnoj blastnoj krizi HML i Ph+ ALL.</w:t>
      </w:r>
    </w:p>
    <w:p w14:paraId="54AEC3B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kreatinina 3. ili 4. stepena bilo je prijavlјeno kod &lt;1%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povećanu učestalost od 1 do 4% kod pacijenata u uznapredovaloj fazi HML.</w:t>
      </w:r>
    </w:p>
    <w:p w14:paraId="3404783F">
      <w:pPr>
        <w:widowControl w:val="0"/>
        <w:tabs>
          <w:tab w:val="clear" w:pos="284"/>
        </w:tabs>
        <w:rPr>
          <w:rFonts w:ascii="Microsoft Sans Serif" w:hAnsi="Microsoft Sans Serif" w:eastAsia="Calibri" w:cs="Microsoft Sans Serif"/>
          <w:sz w:val="20"/>
          <w:szCs w:val="20"/>
        </w:rPr>
      </w:pPr>
    </w:p>
    <w:p w14:paraId="2A85D491">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B3883A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Sigurnosni profil dasatiniba u monoterapiji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bio je uporediv sa sigurnosnim profilom kod odraslih. Sigurnosni profil dasatiniba koji se primjenjuje u kombinaciji sa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bio je u skladu sa poznatim sigurnosnim profilom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odraslih i očekivanim efektima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 uz izuzetak niže stope pleuralnog izliva kod pedijatrijskih pacijenata u odnosu na odrasle.</w:t>
      </w:r>
    </w:p>
    <w:p w14:paraId="1C8953C4">
      <w:pPr>
        <w:widowControl w:val="0"/>
        <w:tabs>
          <w:tab w:val="clear" w:pos="284"/>
        </w:tabs>
        <w:rPr>
          <w:rFonts w:ascii="Microsoft Sans Serif" w:hAnsi="Microsoft Sans Serif" w:eastAsia="Calibri" w:cs="Microsoft Sans Serif"/>
          <w:sz w:val="20"/>
          <w:szCs w:val="20"/>
        </w:rPr>
      </w:pPr>
    </w:p>
    <w:p w14:paraId="7220B5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HML kod pedijatrijskih pacijenata stope odstupanja u laboratorijskim nalazima odgovarale su poznatom profilu za laboratorijske parametre kod odraslih.</w:t>
      </w:r>
    </w:p>
    <w:p w14:paraId="1DFE8725">
      <w:pPr>
        <w:widowControl w:val="0"/>
        <w:tabs>
          <w:tab w:val="clear" w:pos="284"/>
        </w:tabs>
        <w:rPr>
          <w:rFonts w:ascii="Microsoft Sans Serif" w:hAnsi="Microsoft Sans Serif" w:eastAsia="Calibri" w:cs="Microsoft Sans Serif"/>
          <w:sz w:val="20"/>
          <w:szCs w:val="20"/>
        </w:rPr>
      </w:pPr>
    </w:p>
    <w:p w14:paraId="6BE2C2E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ALL kod pedijatrijskih pacijenata stope odstupanja u laboratorijskim nalazima odgovarale su poznatom profilu za laboratorijske parametre kod odraslih, u kontekstu pacijen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akutnom leukemijom liječenom osnovnim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oterapijskim režimom.</w:t>
      </w:r>
    </w:p>
    <w:p w14:paraId="7D6AE491">
      <w:pPr>
        <w:widowControl w:val="0"/>
        <w:tabs>
          <w:tab w:val="clear" w:pos="284"/>
        </w:tabs>
        <w:rPr>
          <w:rFonts w:ascii="Microsoft Sans Serif" w:hAnsi="Microsoft Sans Serif" w:eastAsia="Calibri" w:cs="Microsoft Sans Serif"/>
          <w:sz w:val="20"/>
          <w:szCs w:val="20"/>
        </w:rPr>
      </w:pPr>
    </w:p>
    <w:p w14:paraId="08CF7BC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Posebna populacija</w:t>
      </w:r>
    </w:p>
    <w:p w14:paraId="1ACC206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Dok je sigurnosni profil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starijih pacijenata bio sličan onome u mlađoj populaciji, kod pacijenata starosti od 65 godina i više veća je vjerovatnoća nastanka često prijavlјenih neželјenih </w:t>
      </w:r>
      <w:r>
        <w:rPr>
          <w:rFonts w:ascii="Microsoft Sans Serif" w:hAnsi="Microsoft Sans Serif" w:eastAsia="Calibri" w:cs="Microsoft Sans Serif"/>
          <w:sz w:val="20"/>
          <w:szCs w:val="20"/>
          <w:lang w:val="hr-BA"/>
        </w:rPr>
        <w:t>dejstava</w:t>
      </w:r>
      <w:r>
        <w:rPr>
          <w:rFonts w:ascii="Microsoft Sans Serif" w:hAnsi="Microsoft Sans Serif" w:eastAsia="Calibri" w:cs="Microsoft Sans Serif"/>
          <w:sz w:val="20"/>
          <w:szCs w:val="20"/>
        </w:rPr>
        <w:t xml:space="preserve"> poput umora, pleuralnog izliva, dispneje, kašlјa, krvarenja u donjem delu gastrointestinalnog trakta i poremećaja apetita, kao i manje često prijavlјenih neželјenih dejstava poput distenzije abdomena, vrtoglavice, perikardijalnog izliva, kongestivne srčane insuficijencije i smanjenja tjelesne mase, pa stoga starije osobe moraju biti strogo praćene (pogledati dio 4.4).</w:t>
      </w:r>
    </w:p>
    <w:p w14:paraId="65C7034F">
      <w:pPr>
        <w:rPr>
          <w:rFonts w:ascii="Microsoft Sans Serif" w:hAnsi="Microsoft Sans Serif" w:cs="Microsoft Sans Serif"/>
          <w:sz w:val="20"/>
          <w:szCs w:val="20"/>
          <w:u w:val="single"/>
          <w:lang w:val="hr-HR"/>
        </w:rPr>
      </w:pPr>
    </w:p>
    <w:p w14:paraId="2413ADC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21FF671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23B4FA">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AE2B4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63F48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4D8FE59">
      <w:pPr>
        <w:rPr>
          <w:rFonts w:ascii="Microsoft Sans Serif" w:hAnsi="Microsoft Sans Serif" w:cs="Microsoft Sans Serif"/>
          <w:b/>
          <w:bCs/>
          <w:sz w:val="20"/>
          <w:szCs w:val="20"/>
        </w:rPr>
      </w:pPr>
    </w:p>
    <w:p w14:paraId="683AC8B8">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2332C23">
      <w:pPr>
        <w:rPr>
          <w:rFonts w:ascii="Microsoft Sans Serif" w:hAnsi="Microsoft Sans Serif" w:cs="Microsoft Sans Serif"/>
          <w:sz w:val="20"/>
          <w:szCs w:val="20"/>
        </w:rPr>
      </w:pPr>
    </w:p>
    <w:p w14:paraId="703106C4">
      <w:pPr>
        <w:rPr>
          <w:rFonts w:ascii="Microsoft Sans Serif" w:hAnsi="Microsoft Sans Serif" w:cs="Microsoft Sans Serif"/>
          <w:sz w:val="20"/>
          <w:szCs w:val="20"/>
        </w:rPr>
      </w:pPr>
      <w:r>
        <w:rPr>
          <w:rFonts w:ascii="Microsoft Sans Serif" w:hAnsi="Microsoft Sans Serif" w:cs="Microsoft Sans Serif"/>
          <w:sz w:val="20"/>
          <w:szCs w:val="20"/>
        </w:rPr>
        <w:t>Iskustvo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predoziranjem dasatinibom u kliničkim ispitivanjima ograničeno je na izolovane slučajeve.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Najveće predoziranje od 280 mg dnevno tokom jedne nedelјe prijavlјeno je kod dva pacijenta kod 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potom došlo do značajno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smanjenja broja trombocita. Budući da je dasatinib povezan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mijelosupresijom 3. ili 4. stepena (pogledati dio 4.4), pacijenti koji uzmu dozu veću od preporučene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 biti strogo praćeni zbog moguće mijelosupresije i primiti odgovarajuću suportivnu terapiju.</w:t>
      </w:r>
    </w:p>
    <w:p w14:paraId="01E06AA3">
      <w:pPr>
        <w:rPr>
          <w:rFonts w:ascii="Microsoft Sans Serif" w:hAnsi="Microsoft Sans Serif" w:cs="Microsoft Sans Serif"/>
          <w:sz w:val="20"/>
          <w:szCs w:val="20"/>
        </w:rPr>
      </w:pPr>
    </w:p>
    <w:p w14:paraId="40D9E314">
      <w:pPr>
        <w:rPr>
          <w:rFonts w:ascii="Microsoft Sans Serif" w:hAnsi="Microsoft Sans Serif" w:cs="Microsoft Sans Serif"/>
          <w:sz w:val="20"/>
          <w:szCs w:val="20"/>
        </w:rPr>
      </w:pPr>
    </w:p>
    <w:p w14:paraId="1967ACCF">
      <w:pPr>
        <w:rPr>
          <w:rFonts w:ascii="Microsoft Sans Serif" w:hAnsi="Microsoft Sans Serif" w:cs="Microsoft Sans Serif"/>
          <w:b/>
          <w:sz w:val="20"/>
          <w:szCs w:val="20"/>
        </w:rPr>
      </w:pPr>
      <w:r>
        <w:rPr>
          <w:rFonts w:ascii="Microsoft Sans Serif" w:hAnsi="Microsoft Sans Serif" w:cs="Microsoft Sans Serif"/>
          <w:b/>
          <w:sz w:val="20"/>
          <w:szCs w:val="20"/>
        </w:rPr>
        <w:t>5. FARMAKOLOŠKE KARAKTERISTIKE</w:t>
      </w:r>
    </w:p>
    <w:p w14:paraId="39C3A07F">
      <w:pPr>
        <w:rPr>
          <w:rFonts w:ascii="Microsoft Sans Serif" w:hAnsi="Microsoft Sans Serif" w:cs="Microsoft Sans Serif"/>
          <w:b/>
          <w:bCs/>
          <w:sz w:val="20"/>
          <w:szCs w:val="20"/>
        </w:rPr>
      </w:pPr>
    </w:p>
    <w:p w14:paraId="395D4084">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5.1. Farmakodinamske karakteristike </w:t>
      </w:r>
    </w:p>
    <w:p w14:paraId="367F889F">
      <w:pPr>
        <w:rPr>
          <w:rFonts w:ascii="Microsoft Sans Serif" w:hAnsi="Microsoft Sans Serif" w:cs="Microsoft Sans Serif"/>
          <w:b/>
          <w:bCs/>
          <w:sz w:val="20"/>
          <w:szCs w:val="20"/>
        </w:rPr>
      </w:pPr>
    </w:p>
    <w:p w14:paraId="4980E51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1447E77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lang w:val="sr-Cyrl-RS"/>
        </w:rPr>
        <w:t xml:space="preserve"> L01EA02</w:t>
      </w:r>
      <w:r>
        <w:rPr>
          <w:rFonts w:ascii="Microsoft Sans Serif" w:hAnsi="Microsoft Sans Serif" w:cs="Microsoft Sans Serif"/>
          <w:b/>
          <w:bCs/>
          <w:sz w:val="20"/>
          <w:szCs w:val="20"/>
          <w:lang w:val="sr-Cyrl-RS"/>
        </w:rPr>
        <w:t xml:space="preserve"> </w:t>
      </w:r>
    </w:p>
    <w:p w14:paraId="25870590">
      <w:pPr>
        <w:rPr>
          <w:rFonts w:ascii="Microsoft Sans Serif" w:hAnsi="Microsoft Sans Serif" w:cs="Microsoft Sans Serif"/>
          <w:b/>
          <w:bCs/>
          <w:sz w:val="20"/>
          <w:szCs w:val="20"/>
          <w:u w:val="single"/>
          <w:lang w:val="sr-Cyrl-RS"/>
        </w:rPr>
      </w:pPr>
    </w:p>
    <w:p w14:paraId="47ED3689">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Farmakodinamski efekti</w:t>
      </w:r>
    </w:p>
    <w:p w14:paraId="7251FBB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inhibira aktivnost </w:t>
      </w:r>
      <w:r>
        <w:rPr>
          <w:rFonts w:ascii="Microsoft Sans Serif" w:hAnsi="Microsoft Sans Serif" w:cs="Microsoft Sans Serif"/>
          <w:bCs/>
          <w:sz w:val="20"/>
          <w:szCs w:val="20"/>
          <w:lang w:val="sr-Latn-RS"/>
        </w:rPr>
        <w:t>BCR-ABL</w:t>
      </w:r>
      <w:r>
        <w:rPr>
          <w:rFonts w:ascii="Microsoft Sans Serif" w:hAnsi="Microsoft Sans Serif" w:cs="Microsoft Sans Serif"/>
          <w:bCs/>
          <w:sz w:val="20"/>
          <w:szCs w:val="20"/>
          <w:lang w:val="sr-Cyrl-RS"/>
        </w:rPr>
        <w:t xml:space="preserve"> kinaze iz porodice </w:t>
      </w:r>
      <w:r>
        <w:rPr>
          <w:rFonts w:ascii="Microsoft Sans Serif" w:hAnsi="Microsoft Sans Serif" w:cs="Microsoft Sans Serif"/>
          <w:bCs/>
          <w:sz w:val="20"/>
          <w:szCs w:val="20"/>
          <w:lang w:val="sr-Latn-RS"/>
        </w:rPr>
        <w:t xml:space="preserve">SRC </w:t>
      </w:r>
      <w:r>
        <w:rPr>
          <w:rFonts w:ascii="Microsoft Sans Serif" w:hAnsi="Microsoft Sans Serif" w:cs="Microsoft Sans Serif"/>
          <w:bCs/>
          <w:sz w:val="20"/>
          <w:szCs w:val="20"/>
          <w:lang w:val="sr-Cyrl-RS"/>
        </w:rPr>
        <w:t>kinaza, kao i mnogih drugih odabranih onkogenih kinaza, uklјučujući c-K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T, kinaze receptora efrina (E</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xml:space="preserve">) i receptora </w:t>
      </w:r>
      <w:r>
        <w:rPr>
          <w:rFonts w:ascii="Microsoft Sans Serif" w:hAnsi="Microsoft Sans Serif" w:cs="Microsoft Sans Serif"/>
          <w:bCs/>
          <w:sz w:val="20"/>
          <w:szCs w:val="20"/>
          <w:lang w:val="sr-Latn-RS"/>
        </w:rPr>
        <w:t>PDGF</w:t>
      </w:r>
      <w:r>
        <w:rPr>
          <w:rFonts w:ascii="Microsoft Sans Serif" w:hAnsi="Microsoft Sans Serif" w:cs="Microsoft Sans Serif"/>
          <w:bCs/>
          <w:sz w:val="20"/>
          <w:szCs w:val="20"/>
          <w:lang w:val="sr-Cyrl-RS"/>
        </w:rPr>
        <w:t>β. Dasatinib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snažan, subnanomolarni inhibitor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potentnošću već pri koncentraciji od samo 0,6-0,8 n</w:t>
      </w:r>
      <w:r>
        <w:rPr>
          <w:rFonts w:ascii="Microsoft Sans Serif" w:hAnsi="Microsoft Sans Serif" w:cs="Microsoft Sans Serif"/>
          <w:bCs/>
          <w:sz w:val="20"/>
          <w:szCs w:val="20"/>
          <w:lang w:val="sr-Latn-RS"/>
        </w:rPr>
        <w:t>M</w:t>
      </w:r>
      <w:r>
        <w:rPr>
          <w:rFonts w:ascii="Microsoft Sans Serif" w:hAnsi="Microsoft Sans Serif" w:cs="Microsoft Sans Serif"/>
          <w:bCs/>
          <w:sz w:val="20"/>
          <w:szCs w:val="20"/>
          <w:lang w:val="sr-Cyrl-RS"/>
        </w:rPr>
        <w:t xml:space="preserve">. Dasatinib se veže i za aktivni i za neaktivni oblik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enzima.</w:t>
      </w:r>
    </w:p>
    <w:p w14:paraId="4E325C11">
      <w:pPr>
        <w:rPr>
          <w:rFonts w:ascii="Microsoft Sans Serif" w:hAnsi="Microsoft Sans Serif" w:cs="Microsoft Sans Serif"/>
          <w:b/>
          <w:bCs/>
          <w:sz w:val="20"/>
          <w:szCs w:val="20"/>
          <w:lang w:val="sr-Cyrl-RS"/>
        </w:rPr>
      </w:pPr>
    </w:p>
    <w:p w14:paraId="7D02E831">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73928ED7">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 deluje na ćelij</w:t>
      </w:r>
      <w:r>
        <w:rPr>
          <w:rFonts w:ascii="Microsoft Sans Serif" w:hAnsi="Microsoft Sans Serif" w:cs="Microsoft Sans Serif"/>
          <w:bCs/>
          <w:sz w:val="20"/>
          <w:szCs w:val="20"/>
          <w:lang w:val="mk-MK"/>
        </w:rPr>
        <w:t>ske linije</w:t>
      </w:r>
      <w:r>
        <w:rPr>
          <w:rFonts w:ascii="Microsoft Sans Serif" w:hAnsi="Microsoft Sans Serif" w:cs="Microsoft Sans Serif"/>
          <w:bCs/>
          <w:sz w:val="20"/>
          <w:szCs w:val="20"/>
          <w:lang w:val="sr-Cyrl-RS"/>
        </w:rPr>
        <w:t xml:space="preserve"> leukemije koje predstavlјaju varijante bolesti osjetljive i rezistentne na imatinib. Ova neklinička ispitivanja pokazuju da dasatinib može da savlada otpornost na imatinib koja je rezultat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erne ekspresije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mutacije domena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aktivacije alternativnih puteva signalizacije koji uklјučuju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w:t>
      </w:r>
      <w:r>
        <w:rPr>
          <w:rFonts w:ascii="Microsoft Sans Serif" w:hAnsi="Microsoft Sans Serif" w:cs="Microsoft Sans Serif"/>
          <w:bCs/>
          <w:sz w:val="20"/>
          <w:szCs w:val="20"/>
          <w:lang w:val="sr-Latn-RS"/>
        </w:rPr>
        <w:t>LYN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HCK</w:t>
      </w:r>
      <w:r>
        <w:rPr>
          <w:rFonts w:ascii="Microsoft Sans Serif" w:hAnsi="Microsoft Sans Serif" w:cs="Microsoft Sans Serif"/>
          <w:bCs/>
          <w:sz w:val="20"/>
          <w:szCs w:val="20"/>
          <w:lang w:val="sr-Cyrl-RS"/>
        </w:rPr>
        <w:t>)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prekomerne ekspresije gena za rezistenciju na više lijekova. Dodatno, dasatinib inhibira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u subnanomolarnim koncentracijama.</w:t>
      </w:r>
    </w:p>
    <w:p w14:paraId="2F6BC77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In vivo</w:t>
      </w:r>
      <w:r>
        <w:rPr>
          <w:rFonts w:ascii="Microsoft Sans Serif" w:hAnsi="Microsoft Sans Serif" w:cs="Microsoft Sans Serif"/>
          <w:bCs/>
          <w:sz w:val="20"/>
          <w:szCs w:val="20"/>
          <w:lang w:val="sr-Cyrl-RS"/>
        </w:rPr>
        <w:t>, u zasebnim eksperimentima na mišjem modelu HML, dasatinib je zaustavio progresiju hronične HML do blastne faze i produžio preživljavanje miša koji je bio nosilac kulture ćelijskih linija HML pacijenata na različitim mjestima, uključujući i centralni nervni sistem.</w:t>
      </w:r>
    </w:p>
    <w:p w14:paraId="587ED5CD">
      <w:pPr>
        <w:rPr>
          <w:rFonts w:ascii="Microsoft Sans Serif" w:hAnsi="Microsoft Sans Serif" w:cs="Microsoft Sans Serif"/>
          <w:b/>
          <w:bCs/>
          <w:sz w:val="20"/>
          <w:szCs w:val="20"/>
          <w:lang w:val="sr-Cyrl-RS"/>
        </w:rPr>
      </w:pPr>
    </w:p>
    <w:p w14:paraId="1907B9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 i bezbjednost</w:t>
      </w:r>
    </w:p>
    <w:p w14:paraId="585CF75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U studiji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zabilježeni su hematološki i citogenetski odgovori u svim fazama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 kod</w:t>
      </w:r>
      <w:r>
        <w:rPr>
          <w:rFonts w:ascii="Microsoft Sans Serif" w:hAnsi="Microsoft Sans Serif" w:cs="Microsoft Sans Serif"/>
          <w:bCs/>
          <w:sz w:val="20"/>
          <w:szCs w:val="20"/>
          <w:lang w:val="sr-Cyrl-RS"/>
        </w:rPr>
        <w:t xml:space="preserve"> prvih </w:t>
      </w:r>
      <w:r>
        <w:rPr>
          <w:rFonts w:ascii="Microsoft Sans Serif" w:hAnsi="Microsoft Sans Serif" w:cs="Microsoft Sans Serif"/>
          <w:bCs/>
          <w:sz w:val="20"/>
          <w:szCs w:val="20"/>
          <w:lang w:val="hr-BA"/>
        </w:rPr>
        <w:t xml:space="preserve">84 </w:t>
      </w:r>
      <w:r>
        <w:rPr>
          <w:rFonts w:ascii="Microsoft Sans Serif" w:hAnsi="Microsoft Sans Serif" w:cs="Microsoft Sans Serif"/>
          <w:bCs/>
          <w:sz w:val="20"/>
          <w:szCs w:val="20"/>
          <w:lang w:val="sr-Cyrl-RS"/>
        </w:rPr>
        <w:t>liječenih pacijenata, koji su bili praćeni do 27 mjeseci. Odgovori su trajali za vrijeme svih faza</w:t>
      </w:r>
      <w:r>
        <w:rPr>
          <w:rFonts w:ascii="Microsoft Sans Serif" w:hAnsi="Microsoft Sans Serif" w:cs="Microsoft Sans Serif"/>
          <w:bCs/>
          <w:sz w:val="20"/>
          <w:szCs w:val="20"/>
          <w:lang w:val="hr-BA"/>
        </w:rPr>
        <w:t xml:space="preserve"> HML 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557780C1">
      <w:pPr>
        <w:rPr>
          <w:rFonts w:ascii="Microsoft Sans Serif" w:hAnsi="Microsoft Sans Serif" w:cs="Microsoft Sans Serif"/>
          <w:bCs/>
          <w:sz w:val="20"/>
          <w:szCs w:val="20"/>
          <w:lang w:val="sr-Cyrl-RS"/>
        </w:rPr>
      </w:pPr>
    </w:p>
    <w:p w14:paraId="65F9604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Sprovedene su četiri nekontrolisane otvorene kliničke studije faze II na jednoj grupi ispitanika da bi  se utvrdila efikasnost i bezbjednost primjene dasatiniba kod pacijenata sa HML u hroničnoj fazi, fazi ubrzanja ili mijeloidnoj blastnoj fazi, koji su rezistentni ili ne podnose imatinib. Jedna randomizovana nekomparativna studija sprovedena je kod pacijenata sa </w:t>
      </w:r>
      <w:r>
        <w:rPr>
          <w:rFonts w:ascii="Microsoft Sans Serif" w:hAnsi="Microsoft Sans Serif" w:cs="Microsoft Sans Serif"/>
          <w:bCs/>
          <w:sz w:val="20"/>
          <w:szCs w:val="20"/>
          <w:lang w:val="hr-BA"/>
        </w:rPr>
        <w:t>H</w:t>
      </w:r>
      <w:r>
        <w:rPr>
          <w:rFonts w:ascii="Microsoft Sans Serif" w:hAnsi="Microsoft Sans Serif" w:cs="Microsoft Sans Serif"/>
          <w:bCs/>
          <w:sz w:val="20"/>
          <w:szCs w:val="20"/>
          <w:lang w:val="sr-Cyrl-RS"/>
        </w:rPr>
        <w:t>ML u hroničnoj fazi kod kojih prethodno liječenje imatinibom u dozi od 400 mg ili 600 mg nije bilo uspješno. Početna doza dasatiniba iznosila je 70 mg dva puta dnevno. Bila su dozvoljena prilagođavanja doze radi poboljšanja efikasnosti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smanjenja toksičnosti (pogledati dio 4.2). Sprovedene su dvije randomizovane, otvorene studije faze III radi procjene efikasnosti  dasatiniba kada se primijenjuje jednom dnevno u poređenju sa primjenom dasatiniba dva puta dnevno. Uz to je sprovedena i jedna otvorena, randomizovana, komparativna studija faze III kod odraslih pacijenata sa novodijagnostifikovanom HML u hroničnoj fazi.</w:t>
      </w:r>
    </w:p>
    <w:p w14:paraId="5B3828E8">
      <w:pPr>
        <w:rPr>
          <w:rFonts w:ascii="Microsoft Sans Serif" w:hAnsi="Microsoft Sans Serif" w:cs="Microsoft Sans Serif"/>
          <w:bCs/>
          <w:sz w:val="20"/>
          <w:szCs w:val="20"/>
          <w:lang w:val="sr-Cyrl-RS"/>
        </w:rPr>
      </w:pPr>
    </w:p>
    <w:p w14:paraId="64934A7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zasniva se na stopi hematoloških i citogenetskih odgovora.</w:t>
      </w:r>
    </w:p>
    <w:p w14:paraId="019BEB8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Trajnost odgovora i procjena stope preživlјavanja dodatni su dokazi kliničke koristi dasatiniba.</w:t>
      </w:r>
    </w:p>
    <w:p w14:paraId="521DAD8F">
      <w:pPr>
        <w:rPr>
          <w:rFonts w:ascii="Microsoft Sans Serif" w:hAnsi="Microsoft Sans Serif" w:cs="Microsoft Sans Serif"/>
          <w:bCs/>
          <w:sz w:val="20"/>
          <w:szCs w:val="20"/>
          <w:lang w:val="sr-Cyrl-RS"/>
        </w:rPr>
      </w:pPr>
    </w:p>
    <w:p w14:paraId="55A86EE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Klinička ispitivanja uklјučila su ukupno 2712 pacijen</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ta, od kojih je 23% bilo od 65 godina i stariji, a 5% su bili od 75 godina i stariji.</w:t>
      </w:r>
    </w:p>
    <w:p w14:paraId="776A286E">
      <w:pPr>
        <w:rPr>
          <w:rFonts w:ascii="Microsoft Sans Serif" w:hAnsi="Microsoft Sans Serif" w:cs="Microsoft Sans Serif"/>
          <w:bCs/>
          <w:sz w:val="20"/>
          <w:szCs w:val="20"/>
          <w:lang w:val="sr-Latn-RS"/>
        </w:rPr>
      </w:pPr>
    </w:p>
    <w:p w14:paraId="3E85B278">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Hronična faza HML - novodijagnostifikovana</w:t>
      </w:r>
    </w:p>
    <w:p w14:paraId="3175BCC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Sprovedena je jedna međunarodna, otvorena, multicentrična, randomizovana, komparativna studija faze III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kod odraslih pacijenata sa novodijagnostifikovanom HML u hroničnoj fazi. Pacijenti su bili randomizovani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grupu koja je primala dasatinib 100 mg jednom dnevno ili imatinib 400 mg jednom dnevno. Primarni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parametar praćenja bila je stopa potvrđenog potpunog citogenetskog odgovora (cCCyR) u roku od 12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Sekundarni parametri praćenja uključivali su vreme cCCyR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erilo trajanja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javljanja cCCyR, stopu značajnog molekularnog odgovora (MMR),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MMR, preživljavanje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(PFS) i ukupno preživljavanje (OS). Ostali važni rezultati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erenja efikasnosti uključivali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su stope CCyR i potpunog molekularnog odgovora (CMR). Studija je u toku.</w:t>
      </w:r>
    </w:p>
    <w:p w14:paraId="1A0E570E">
      <w:pPr>
        <w:rPr>
          <w:rFonts w:ascii="Microsoft Sans Serif" w:hAnsi="Microsoft Sans Serif" w:cs="Microsoft Sans Serif"/>
          <w:bCs/>
          <w:sz w:val="20"/>
          <w:szCs w:val="20"/>
          <w:lang w:val="sr-Latn-RS"/>
        </w:rPr>
      </w:pPr>
    </w:p>
    <w:p w14:paraId="0F954C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Ukupno je 519 pacijenata bilo randomizovano 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terapijske grupe: 259 u grupu koja je primala dasatinib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260 u grupu koja je primala imatinib. Osnovne karakteristike su bile dobro izbalansirane kod te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terapijske grupe, uključujući starost (medijana starosti iznosila je 46 godina u grupi koja je primala dasatinib,</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u kojoj je 10% pacijenata bilo staro</w:t>
      </w:r>
      <w:r>
        <w:rPr>
          <w:rFonts w:ascii="Microsoft Sans Serif" w:hAnsi="Microsoft Sans Serif" w:cs="Microsoft Sans Serif"/>
          <w:bCs/>
          <w:sz w:val="20"/>
          <w:szCs w:val="20"/>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rPr>
        <w:t xml:space="preserve">godina </w:t>
      </w:r>
      <w:r>
        <w:rPr>
          <w:rFonts w:ascii="Microsoft Sans Serif" w:hAnsi="Microsoft Sans Serif" w:cs="Microsoft Sans Serif"/>
          <w:bCs/>
          <w:sz w:val="20"/>
          <w:szCs w:val="20"/>
          <w:lang w:val="sr-Cyrl-RS"/>
        </w:rPr>
        <w:t>ili više, a 49 godina u grupi koja je primala imatinib, u kojoj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11% pacijenata bilo staro</w:t>
      </w:r>
      <w:r>
        <w:rPr>
          <w:rFonts w:ascii="Microsoft Sans Serif" w:hAnsi="Microsoft Sans Serif" w:cs="Microsoft Sans Serif"/>
          <w:bCs/>
          <w:sz w:val="20"/>
          <w:szCs w:val="20"/>
          <w:lang w:val="hr-BA"/>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lang w:val="hr-BA"/>
        </w:rPr>
        <w:t xml:space="preserve">godina </w:t>
      </w:r>
      <w:r>
        <w:rPr>
          <w:rFonts w:ascii="Microsoft Sans Serif" w:hAnsi="Microsoft Sans Serif" w:cs="Microsoft Sans Serif"/>
          <w:bCs/>
          <w:sz w:val="20"/>
          <w:szCs w:val="20"/>
          <w:lang w:val="sr-Cyrl-RS"/>
        </w:rPr>
        <w:t>ili više), pol (44% žena u grupi koja je primala dasatinib i 37%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rasa (51%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 42% azijata u grupi koja je primala dasatinib i 55%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azijata u grupi koja je primala imatinib). Hasford</w:t>
      </w:r>
      <w:r>
        <w:rPr>
          <w:rFonts w:ascii="Microsoft Sans Serif" w:hAnsi="Microsoft Sans Serif" w:cs="Microsoft Sans Serif"/>
          <w:bCs/>
          <w:sz w:val="20"/>
          <w:szCs w:val="20"/>
          <w:lang w:val="hr-BA"/>
        </w:rPr>
        <w:t>-</w:t>
      </w:r>
      <w:r>
        <w:rPr>
          <w:rFonts w:ascii="Microsoft Sans Serif" w:hAnsi="Microsoft Sans Serif" w:cs="Microsoft Sans Serif"/>
          <w:bCs/>
          <w:sz w:val="20"/>
          <w:szCs w:val="20"/>
          <w:lang w:val="sr-Cyrl-RS"/>
        </w:rPr>
        <w:t>ovi skorovi na početku studije bili su slični kod ob</w:t>
      </w:r>
      <w:r>
        <w:rPr>
          <w:rFonts w:ascii="Microsoft Sans Serif" w:hAnsi="Microsoft Sans Serif" w:cs="Microsoft Sans Serif"/>
          <w:bCs/>
          <w:sz w:val="20"/>
          <w:szCs w:val="20"/>
          <w:lang w:val="sr-Latn-RS"/>
        </w:rPr>
        <w:t xml:space="preserve">je </w:t>
      </w:r>
      <w:r>
        <w:rPr>
          <w:rFonts w:ascii="Microsoft Sans Serif" w:hAnsi="Microsoft Sans Serif" w:cs="Microsoft Sans Serif"/>
          <w:bCs/>
          <w:sz w:val="20"/>
          <w:szCs w:val="20"/>
          <w:lang w:val="sr-Cyrl-RS"/>
        </w:rPr>
        <w:t>terapijske grupe (nizak rizik: 33% u grupi koja je primala dasatinib i 34% u grupi koja je primala imatinib;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 rizik: 48% u grupi koja je primala dasatinib i 47% u grupi koja je primala imatinib; visok rizik: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grupi koja je primala dasatinib i 19% u grupi koja je primala imatinib).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85% pacijenata randomiz</w:t>
      </w:r>
      <w:r>
        <w:rPr>
          <w:rFonts w:ascii="Microsoft Sans Serif" w:hAnsi="Microsoft Sans Serif" w:cs="Microsoft Sans Serif"/>
          <w:bCs/>
          <w:sz w:val="20"/>
          <w:szCs w:val="20"/>
          <w:lang w:val="hr-BA"/>
        </w:rPr>
        <w:t>ovanih</w:t>
      </w:r>
      <w:r>
        <w:rPr>
          <w:rFonts w:ascii="Microsoft Sans Serif" w:hAnsi="Microsoft Sans Serif" w:cs="Microsoft Sans Serif"/>
          <w:bCs/>
          <w:sz w:val="20"/>
          <w:szCs w:val="20"/>
          <w:lang w:val="sr-Cyrl-RS"/>
        </w:rPr>
        <w:t xml:space="preserve"> u grupu koja je primala dasatinib i 81% pacijenata randomiz</w:t>
      </w:r>
      <w:r>
        <w:rPr>
          <w:rFonts w:ascii="Microsoft Sans Serif" w:hAnsi="Microsoft Sans Serif" w:cs="Microsoft Sans Serif"/>
          <w:bCs/>
          <w:sz w:val="20"/>
          <w:szCs w:val="20"/>
        </w:rPr>
        <w:t>ovanih</w:t>
      </w:r>
      <w:r>
        <w:rPr>
          <w:rFonts w:ascii="Microsoft Sans Serif" w:hAnsi="Microsoft Sans Serif" w:cs="Microsoft Sans Serif"/>
          <w:bCs/>
          <w:sz w:val="20"/>
          <w:szCs w:val="20"/>
          <w:lang w:val="sr-Cyrl-RS"/>
        </w:rPr>
        <w:t xml:space="preserve"> u grupu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dalje je primalo terapiju prve linije. Prekid terapije u roku od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napredovanja bolesti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 je kod 3%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ekom dasatinib i 5%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7A0DE37C">
      <w:pPr>
        <w:rPr>
          <w:rFonts w:ascii="Microsoft Sans Serif" w:hAnsi="Microsoft Sans Serif" w:cs="Microsoft Sans Serif"/>
          <w:bCs/>
          <w:sz w:val="20"/>
          <w:szCs w:val="20"/>
          <w:lang w:val="sr-Latn-RS"/>
        </w:rPr>
      </w:pPr>
    </w:p>
    <w:p w14:paraId="0A56905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 pacijenata, 60% pacijenata randomizovanih u dasatinib grupu i 63%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randomizovanih u imatinib grupu primalo je prvu liniju terapije. Do prekida u roku od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zbog napredovanja bolesti došlo je kod 11%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dasatinibom i 14%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2A642D90">
      <w:pPr>
        <w:rPr>
          <w:rFonts w:ascii="Microsoft Sans Serif" w:hAnsi="Microsoft Sans Serif" w:cs="Microsoft Sans Serif"/>
          <w:bCs/>
          <w:sz w:val="20"/>
          <w:szCs w:val="20"/>
          <w:lang w:val="sr-Latn-RS"/>
        </w:rPr>
      </w:pPr>
    </w:p>
    <w:p w14:paraId="422D1BC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efikasnosti prikazani su u Tabeli 9. Udio pacijenata koji su postigli cCCyR bio je statistički značajno veći u grupi koja je primala dasatinib nego u grupi koja je primala imatinib u prvih 12 mjeseci terapije. Efikasnost lijeka dasatinib konzistentno je pokazana u svim podgrupama prema starosti, polu i početnom nivou skora rizika po Hasford</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w:t>
      </w:r>
    </w:p>
    <w:p w14:paraId="181A1463">
      <w:pPr>
        <w:rPr>
          <w:rFonts w:ascii="Microsoft Sans Serif" w:hAnsi="Microsoft Sans Serif" w:cs="Microsoft Sans Serif"/>
          <w:bCs/>
          <w:sz w:val="20"/>
          <w:szCs w:val="20"/>
          <w:lang w:val="sr-Latn-RS"/>
        </w:rPr>
      </w:pPr>
    </w:p>
    <w:p w14:paraId="578F558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9: Rezultati efikasnosti kod novodijagnostifikovanih pacijenata sa HML u hroničnoj fazi iz</w:t>
      </w:r>
    </w:p>
    <w:p w14:paraId="6034AA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studije faze 3</w:t>
      </w:r>
    </w:p>
    <w:tbl>
      <w:tblPr>
        <w:tblStyle w:val="21"/>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381"/>
        <w:gridCol w:w="1332"/>
        <w:gridCol w:w="752"/>
        <w:gridCol w:w="1932"/>
      </w:tblGrid>
      <w:tr w14:paraId="3A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5" w:type="dxa"/>
            <w:tcBorders>
              <w:top w:val="single" w:color="auto" w:sz="2" w:space="0"/>
              <w:bottom w:val="single" w:color="auto" w:sz="2" w:space="0"/>
            </w:tcBorders>
          </w:tcPr>
          <w:p w14:paraId="49DD4432">
            <w:pPr>
              <w:widowControl w:val="0"/>
              <w:tabs>
                <w:tab w:val="left" w:pos="1160"/>
              </w:tabs>
              <w:spacing w:line="247" w:lineRule="auto"/>
              <w:jc w:val="center"/>
              <w:rPr>
                <w:rFonts w:ascii="Times New Roman" w:hAnsi="Times New Roman" w:eastAsia="Times New Roman"/>
              </w:rPr>
            </w:pPr>
          </w:p>
        </w:tc>
        <w:tc>
          <w:tcPr>
            <w:tcW w:w="2381" w:type="dxa"/>
            <w:tcBorders>
              <w:top w:val="single" w:color="auto" w:sz="2" w:space="0"/>
              <w:bottom w:val="single" w:color="auto" w:sz="2" w:space="0"/>
            </w:tcBorders>
          </w:tcPr>
          <w:p w14:paraId="488E0EC6">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Dasatinib</w:t>
            </w:r>
          </w:p>
          <w:p w14:paraId="0CD9AF41">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N=259</w:t>
            </w:r>
          </w:p>
        </w:tc>
        <w:tc>
          <w:tcPr>
            <w:tcW w:w="2084" w:type="dxa"/>
            <w:gridSpan w:val="2"/>
            <w:tcBorders>
              <w:top w:val="single" w:color="auto" w:sz="2" w:space="0"/>
              <w:bottom w:val="single" w:color="auto" w:sz="2" w:space="0"/>
            </w:tcBorders>
          </w:tcPr>
          <w:p w14:paraId="1625049E">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Imatinib</w:t>
            </w:r>
          </w:p>
          <w:p w14:paraId="252ED720">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n=260</w:t>
            </w:r>
          </w:p>
        </w:tc>
        <w:tc>
          <w:tcPr>
            <w:tcW w:w="1932" w:type="dxa"/>
            <w:tcBorders>
              <w:top w:val="single" w:color="auto" w:sz="2" w:space="0"/>
              <w:bottom w:val="single" w:color="auto" w:sz="2" w:space="0"/>
            </w:tcBorders>
          </w:tcPr>
          <w:p w14:paraId="10FFA32C">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p-vrijednost</w:t>
            </w:r>
          </w:p>
        </w:tc>
      </w:tr>
      <w:tr w14:paraId="3A4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top w:val="single" w:color="auto" w:sz="2" w:space="0"/>
              <w:bottom w:val="single" w:color="auto" w:sz="2" w:space="0"/>
            </w:tcBorders>
          </w:tcPr>
          <w:p w14:paraId="7DF7CA0E">
            <w:pPr>
              <w:widowControl w:val="0"/>
              <w:tabs>
                <w:tab w:val="left" w:pos="1160"/>
              </w:tabs>
              <w:spacing w:line="247" w:lineRule="auto"/>
              <w:jc w:val="center"/>
              <w:rPr>
                <w:rFonts w:ascii="Times New Roman" w:hAnsi="Times New Roman" w:eastAsia="Times New Roman"/>
              </w:rPr>
            </w:pPr>
          </w:p>
        </w:tc>
        <w:tc>
          <w:tcPr>
            <w:tcW w:w="6397" w:type="dxa"/>
            <w:gridSpan w:val="4"/>
            <w:tcBorders>
              <w:top w:val="single" w:color="auto" w:sz="2" w:space="0"/>
              <w:bottom w:val="single" w:color="auto" w:sz="2" w:space="0"/>
            </w:tcBorders>
          </w:tcPr>
          <w:p w14:paraId="260F76A5">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odgovora (95% CI)</w:t>
            </w:r>
          </w:p>
        </w:tc>
      </w:tr>
      <w:tr w14:paraId="649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5F2D36A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p>
        </w:tc>
      </w:tr>
      <w:tr w14:paraId="0C6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2" w:type="dxa"/>
            <w:gridSpan w:val="5"/>
          </w:tcPr>
          <w:p w14:paraId="542AE37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u roku od 12 mjeseci</w:t>
            </w:r>
          </w:p>
        </w:tc>
      </w:tr>
      <w:tr w14:paraId="58A6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75" w:type="dxa"/>
          </w:tcPr>
          <w:p w14:paraId="7653EBC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0C89FF6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(71</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w:t>
            </w:r>
          </w:p>
        </w:tc>
        <w:tc>
          <w:tcPr>
            <w:tcW w:w="2084" w:type="dxa"/>
            <w:gridSpan w:val="2"/>
          </w:tcPr>
          <w:p w14:paraId="2517C37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66</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pacing w:val="-1"/>
                <w:sz w:val="20"/>
                <w:szCs w:val="20"/>
              </w:rPr>
              <w:t>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1BB3B8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lang w:val="sr-Cyrl-RS"/>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r>
      <w:tr w14:paraId="787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073FA9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C6115D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8</w:t>
            </w:r>
            <w:r>
              <w:rPr>
                <w:rFonts w:ascii="Microsoft Sans Serif" w:hAnsi="Microsoft Sans Serif" w:eastAsia="Calibri" w:cs="Microsoft Sans Serif"/>
                <w:spacing w:val="-1"/>
                <w:position w:val="1"/>
                <w:sz w:val="20"/>
                <w:szCs w:val="20"/>
              </w:rPr>
              <w:t>5</w:t>
            </w:r>
            <w:r>
              <w:rPr>
                <w:rFonts w:ascii="Microsoft Sans Serif" w:hAnsi="Microsoft Sans Serif" w:eastAsia="Times New Roman" w:cs="Microsoft Sans Serif"/>
                <w:spacing w:val="2"/>
                <w:position w:val="1"/>
                <w:sz w:val="20"/>
                <w:szCs w:val="20"/>
                <w:lang w:val="sr-Cyrl-RS"/>
              </w:rPr>
              <w:t>,</w:t>
            </w:r>
            <w:r>
              <w:rPr>
                <w:rFonts w:ascii="Microsoft Sans Serif" w:hAnsi="Microsoft Sans Serif" w:eastAsia="Calibri" w:cs="Microsoft Sans Serif"/>
                <w:position w:val="1"/>
                <w:sz w:val="20"/>
                <w:szCs w:val="20"/>
              </w:rPr>
              <w:t>3%</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(80</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4-89</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4</w:t>
            </w:r>
            <w:r>
              <w:rPr>
                <w:rFonts w:ascii="Microsoft Sans Serif" w:hAnsi="Microsoft Sans Serif" w:eastAsia="Calibri" w:cs="Microsoft Sans Serif"/>
                <w:position w:val="1"/>
                <w:sz w:val="20"/>
                <w:szCs w:val="20"/>
              </w:rPr>
              <w:t>)</w:t>
            </w:r>
          </w:p>
        </w:tc>
        <w:tc>
          <w:tcPr>
            <w:tcW w:w="2084" w:type="dxa"/>
            <w:gridSpan w:val="2"/>
          </w:tcPr>
          <w:p w14:paraId="438FF9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73</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position w:val="1"/>
                <w:sz w:val="20"/>
                <w:szCs w:val="20"/>
              </w:rPr>
              <w:t>5%</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w:t>
            </w:r>
            <w:r>
              <w:rPr>
                <w:rFonts w:ascii="Microsoft Sans Serif" w:hAnsi="Microsoft Sans Serif" w:eastAsia="Calibri" w:cs="Microsoft Sans Serif"/>
                <w:spacing w:val="1"/>
                <w:position w:val="1"/>
                <w:sz w:val="20"/>
                <w:szCs w:val="20"/>
              </w:rPr>
              <w:t>6</w:t>
            </w:r>
            <w:r>
              <w:rPr>
                <w:rFonts w:ascii="Microsoft Sans Serif" w:hAnsi="Microsoft Sans Serif" w:eastAsia="Calibri" w:cs="Microsoft Sans Serif"/>
                <w:spacing w:val="-1"/>
                <w:position w:val="1"/>
                <w:sz w:val="20"/>
                <w:szCs w:val="20"/>
              </w:rPr>
              <w:t>7</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7-78</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7</w:t>
            </w:r>
            <w:r>
              <w:rPr>
                <w:rFonts w:ascii="Microsoft Sans Serif" w:hAnsi="Microsoft Sans Serif" w:eastAsia="Calibri" w:cs="Microsoft Sans Serif"/>
                <w:position w:val="1"/>
                <w:sz w:val="20"/>
                <w:szCs w:val="20"/>
              </w:rPr>
              <w:t>)</w:t>
            </w:r>
          </w:p>
        </w:tc>
        <w:tc>
          <w:tcPr>
            <w:tcW w:w="1932" w:type="dxa"/>
          </w:tcPr>
          <w:p w14:paraId="055066A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6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072" w:type="dxa"/>
            <w:gridSpan w:val="5"/>
          </w:tcPr>
          <w:p w14:paraId="4CF7B7EA">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u roku od 24 mjeseca</w:t>
            </w:r>
          </w:p>
        </w:tc>
      </w:tr>
      <w:tr w14:paraId="73E2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0CB946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4D0A5C30">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217F6CA4">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74</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2%</w:t>
            </w:r>
          </w:p>
        </w:tc>
        <w:tc>
          <w:tcPr>
            <w:tcW w:w="1932" w:type="dxa"/>
          </w:tcPr>
          <w:p w14:paraId="307782D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59A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20A8B3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8ACA6A">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6C8428C2">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251C9C0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7A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644C765">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36 mjeseci</w:t>
            </w:r>
          </w:p>
        </w:tc>
      </w:tr>
      <w:tr w14:paraId="41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6460D9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28847BC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7D8D48E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30337873">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12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CBB51D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405EA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457D19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6B45006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01A8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508E643D">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48 mjeseci</w:t>
            </w:r>
          </w:p>
        </w:tc>
      </w:tr>
      <w:tr w14:paraId="5D2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7B2ED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3AC1E20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3B09E52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05A9C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28CE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C4EA59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3034120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58A4BE3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4322CAE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BD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4AF8031">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60 mjeseci</w:t>
            </w:r>
          </w:p>
        </w:tc>
      </w:tr>
      <w:tr w14:paraId="1538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BC5838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7353825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65BD5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2BA933E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53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6F97DC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1C5B431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74289BB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54EBCD8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9BA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6D35A4DE">
            <w:pPr>
              <w:widowControl w:val="0"/>
              <w:tabs>
                <w:tab w:val="left" w:pos="1160"/>
              </w:tabs>
              <w:spacing w:line="247" w:lineRule="auto"/>
              <w:rPr>
                <w:rFonts w:ascii="Microsoft Sans Serif" w:hAnsi="Microsoft Sans Serif" w:eastAsia="Times New Roman" w:cs="Microsoft Sans Serif"/>
                <w:b/>
                <w:position w:val="1"/>
                <w:sz w:val="20"/>
                <w:szCs w:val="20"/>
              </w:rPr>
            </w:pPr>
            <w:r>
              <w:rPr>
                <w:rFonts w:ascii="Microsoft Sans Serif" w:hAnsi="Microsoft Sans Serif" w:eastAsia="Calibri" w:cs="Microsoft Sans Serif"/>
                <w:b/>
                <w:position w:val="1"/>
                <w:sz w:val="20"/>
                <w:szCs w:val="20"/>
              </w:rPr>
              <w:t>Značajan molekularni</w:t>
            </w:r>
          </w:p>
          <w:p w14:paraId="309AB265">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position w:val="1"/>
                <w:sz w:val="20"/>
                <w:szCs w:val="20"/>
              </w:rPr>
              <w:t>odgovor</w:t>
            </w:r>
            <w:r>
              <w:rPr>
                <w:rFonts w:ascii="Microsoft Sans Serif" w:hAnsi="Microsoft Sans Serif" w:eastAsia="Calibri" w:cs="Microsoft Sans Serif"/>
                <w:b/>
                <w:position w:val="1"/>
                <w:sz w:val="20"/>
                <w:szCs w:val="20"/>
                <w:vertAlign w:val="superscript"/>
              </w:rPr>
              <w:t>c</w:t>
            </w:r>
          </w:p>
        </w:tc>
      </w:tr>
      <w:tr w14:paraId="521E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3DC3765">
            <w:pPr>
              <w:widowControl w:val="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12</w:t>
            </w:r>
            <w:r>
              <w:rPr>
                <w:rFonts w:ascii="Microsoft Sans Serif" w:hAnsi="Microsoft Sans Serif" w:eastAsia="Calibri" w:cs="Microsoft Sans Serif"/>
                <w:b/>
                <w:bCs/>
                <w:spacing w:val="8"/>
                <w:sz w:val="20"/>
                <w:szCs w:val="20"/>
              </w:rPr>
              <w:t xml:space="preserve"> </w:t>
            </w:r>
            <w:r>
              <w:rPr>
                <w:rFonts w:ascii="Microsoft Sans Serif" w:hAnsi="Microsoft Sans Serif" w:eastAsia="Calibri" w:cs="Microsoft Sans Serif"/>
                <w:b/>
                <w:bCs/>
                <w:spacing w:val="1"/>
                <w:sz w:val="20"/>
                <w:szCs w:val="20"/>
              </w:rPr>
              <w:t>mjeseci</w:t>
            </w:r>
          </w:p>
        </w:tc>
        <w:tc>
          <w:tcPr>
            <w:tcW w:w="2381" w:type="dxa"/>
          </w:tcPr>
          <w:p w14:paraId="7245FB9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5</w:t>
            </w:r>
            <w:r>
              <w:rPr>
                <w:rFonts w:ascii="Microsoft Sans Serif" w:hAnsi="Microsoft Sans Serif" w:eastAsia="Calibri" w:cs="Microsoft Sans Serif"/>
                <w:spacing w:val="-1"/>
                <w:sz w:val="20"/>
                <w:szCs w:val="20"/>
              </w:rPr>
              <w:t>2</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(45</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z w:val="20"/>
                <w:szCs w:val="20"/>
              </w:rPr>
              <w:t>–58</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w:t>
            </w:r>
          </w:p>
        </w:tc>
        <w:tc>
          <w:tcPr>
            <w:tcW w:w="2084" w:type="dxa"/>
            <w:gridSpan w:val="2"/>
          </w:tcPr>
          <w:p w14:paraId="01D1271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33</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4FD5A4C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3*</w:t>
            </w:r>
          </w:p>
        </w:tc>
      </w:tr>
      <w:tr w14:paraId="5FEF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CF8A1A8">
            <w:pPr>
              <w:widowControl w:val="0"/>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24</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mjeseca</w:t>
            </w:r>
          </w:p>
        </w:tc>
        <w:tc>
          <w:tcPr>
            <w:tcW w:w="2381" w:type="dxa"/>
          </w:tcPr>
          <w:p w14:paraId="195E9329">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4</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(58</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3-70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2084" w:type="dxa"/>
            <w:gridSpan w:val="2"/>
          </w:tcPr>
          <w:p w14:paraId="5C403960">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50%</w:t>
            </w:r>
            <w:r>
              <w:rPr>
                <w:rFonts w:ascii="Microsoft Sans Serif" w:hAnsi="Microsoft Sans Serif" w:eastAsia="Calibri" w:cs="Microsoft Sans Serif"/>
                <w:spacing w:val="14"/>
                <w:position w:val="2"/>
                <w:sz w:val="20"/>
                <w:szCs w:val="20"/>
              </w:rPr>
              <w:t xml:space="preserve"> </w:t>
            </w:r>
            <w:r>
              <w:rPr>
                <w:rFonts w:ascii="Microsoft Sans Serif" w:hAnsi="Microsoft Sans Serif" w:eastAsia="Calibri" w:cs="Microsoft Sans Serif"/>
                <w:spacing w:val="1"/>
                <w:position w:val="2"/>
                <w:sz w:val="20"/>
                <w:szCs w:val="20"/>
              </w:rPr>
              <w:t>(</w:t>
            </w:r>
            <w:r>
              <w:rPr>
                <w:rFonts w:ascii="Microsoft Sans Serif" w:hAnsi="Microsoft Sans Serif" w:eastAsia="Calibri" w:cs="Microsoft Sans Serif"/>
                <w:position w:val="2"/>
                <w:sz w:val="20"/>
                <w:szCs w:val="20"/>
              </w:rPr>
              <w:t>4</w:t>
            </w:r>
            <w:r>
              <w:rPr>
                <w:rFonts w:ascii="Microsoft Sans Serif" w:hAnsi="Microsoft Sans Serif" w:eastAsia="Calibri" w:cs="Microsoft Sans Serif"/>
                <w:spacing w:val="-1"/>
                <w:position w:val="2"/>
                <w:sz w:val="20"/>
                <w:szCs w:val="20"/>
              </w:rPr>
              <w:t>3</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2)</w:t>
            </w:r>
          </w:p>
        </w:tc>
        <w:tc>
          <w:tcPr>
            <w:tcW w:w="1932" w:type="dxa"/>
          </w:tcPr>
          <w:p w14:paraId="26E5FB88">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EA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C64A03B">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36</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3B63F6BD">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1%</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(63</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1-74</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7</w:t>
            </w:r>
            <w:r>
              <w:rPr>
                <w:rFonts w:ascii="Microsoft Sans Serif" w:hAnsi="Microsoft Sans Serif" w:eastAsia="Calibri" w:cs="Microsoft Sans Serif"/>
                <w:position w:val="2"/>
                <w:sz w:val="20"/>
                <w:szCs w:val="20"/>
              </w:rPr>
              <w:t>)</w:t>
            </w:r>
          </w:p>
        </w:tc>
        <w:tc>
          <w:tcPr>
            <w:tcW w:w="2084" w:type="dxa"/>
            <w:gridSpan w:val="2"/>
          </w:tcPr>
          <w:p w14:paraId="04FD7B84">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56</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2%</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4</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9-62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1932" w:type="dxa"/>
          </w:tcPr>
          <w:p w14:paraId="0B783C0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C3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736478D">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48</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18639F6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
                <w:position w:val="2"/>
                <w:sz w:val="20"/>
                <w:szCs w:val="20"/>
              </w:rPr>
              <w:t>5</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(70</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0-80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w:t>
            </w:r>
          </w:p>
        </w:tc>
        <w:tc>
          <w:tcPr>
            <w:tcW w:w="2084" w:type="dxa"/>
            <w:gridSpan w:val="2"/>
          </w:tcPr>
          <w:p w14:paraId="40E6E83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5-68</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6</w:t>
            </w:r>
            <w:r>
              <w:rPr>
                <w:rFonts w:ascii="Microsoft Sans Serif" w:hAnsi="Microsoft Sans Serif" w:eastAsia="Calibri" w:cs="Microsoft Sans Serif"/>
                <w:position w:val="2"/>
                <w:sz w:val="20"/>
                <w:szCs w:val="20"/>
              </w:rPr>
              <w:t>)</w:t>
            </w:r>
          </w:p>
        </w:tc>
        <w:tc>
          <w:tcPr>
            <w:tcW w:w="1932" w:type="dxa"/>
          </w:tcPr>
          <w:p w14:paraId="75676FD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w w:val="103"/>
                <w:sz w:val="20"/>
                <w:szCs w:val="20"/>
              </w:rPr>
              <w:t>-</w:t>
            </w:r>
          </w:p>
        </w:tc>
      </w:tr>
      <w:tr w14:paraId="243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1C47575C">
            <w:pPr>
              <w:widowControl w:val="0"/>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60</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w:t>
            </w:r>
            <w:r>
              <w:rPr>
                <w:rFonts w:ascii="Microsoft Sans Serif" w:hAnsi="Microsoft Sans Serif" w:eastAsia="Calibri" w:cs="Microsoft Sans Serif"/>
                <w:b/>
                <w:bCs/>
                <w:position w:val="-1"/>
                <w:sz w:val="20"/>
                <w:szCs w:val="20"/>
              </w:rPr>
              <w:t>jeseci</w:t>
            </w:r>
          </w:p>
        </w:tc>
        <w:tc>
          <w:tcPr>
            <w:tcW w:w="2381" w:type="dxa"/>
            <w:tcBorders>
              <w:bottom w:val="single" w:color="auto" w:sz="2" w:space="0"/>
            </w:tcBorders>
          </w:tcPr>
          <w:p w14:paraId="77EF3617">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(70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p>
        </w:tc>
        <w:tc>
          <w:tcPr>
            <w:tcW w:w="2084" w:type="dxa"/>
            <w:gridSpan w:val="2"/>
            <w:tcBorders>
              <w:bottom w:val="single" w:color="auto" w:sz="2" w:space="0"/>
            </w:tcBorders>
          </w:tcPr>
          <w:p w14:paraId="2EFB101C">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64</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1-70</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p>
        </w:tc>
        <w:tc>
          <w:tcPr>
            <w:tcW w:w="1932" w:type="dxa"/>
            <w:tcBorders>
              <w:bottom w:val="single" w:color="auto" w:sz="2" w:space="0"/>
            </w:tcBorders>
          </w:tcPr>
          <w:p w14:paraId="70A5D078">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1</w:t>
            </w:r>
          </w:p>
        </w:tc>
      </w:tr>
      <w:tr w14:paraId="1BDD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1A5DCF12">
            <w:pPr>
              <w:widowControl w:val="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b/>
                <w:bCs/>
                <w:sz w:val="20"/>
                <w:szCs w:val="20"/>
              </w:rPr>
              <w:t>Odnos rizika</w:t>
            </w:r>
            <w:r>
              <w:rPr>
                <w:rFonts w:ascii="Microsoft Sans Serif" w:hAnsi="Microsoft Sans Serif" w:eastAsia="Calibri" w:cs="Microsoft Sans Serif"/>
                <w:b/>
                <w:bCs/>
                <w:spacing w:val="14"/>
                <w:sz w:val="20"/>
                <w:szCs w:val="20"/>
              </w:rPr>
              <w:t xml:space="preserve"> </w:t>
            </w:r>
            <w:r>
              <w:rPr>
                <w:rFonts w:ascii="Microsoft Sans Serif" w:hAnsi="Microsoft Sans Serif" w:eastAsia="Calibri" w:cs="Microsoft Sans Serif"/>
                <w:b/>
                <w:bCs/>
                <w:w w:val="103"/>
                <w:sz w:val="20"/>
                <w:szCs w:val="20"/>
              </w:rPr>
              <w:t>(</w:t>
            </w:r>
            <w:r>
              <w:rPr>
                <w:rFonts w:ascii="Microsoft Sans Serif" w:hAnsi="Microsoft Sans Serif" w:eastAsia="Calibri" w:cs="Microsoft Sans Serif"/>
                <w:b/>
                <w:bCs/>
                <w:spacing w:val="-1"/>
                <w:w w:val="103"/>
                <w:sz w:val="20"/>
                <w:szCs w:val="20"/>
              </w:rPr>
              <w:t>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3"/>
                <w:sz w:val="20"/>
                <w:szCs w:val="20"/>
              </w:rPr>
              <w:t>)</w:t>
            </w:r>
          </w:p>
        </w:tc>
      </w:tr>
      <w:tr w14:paraId="3400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0609353">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u periodu od 12 mjeseci (99,99% CI)</w:t>
            </w:r>
          </w:p>
        </w:tc>
      </w:tr>
      <w:tr w14:paraId="38E4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5DB5CC1">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Vrijeme do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B82207F">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3)</w:t>
            </w:r>
          </w:p>
        </w:tc>
        <w:tc>
          <w:tcPr>
            <w:tcW w:w="2684" w:type="dxa"/>
            <w:gridSpan w:val="2"/>
          </w:tcPr>
          <w:p w14:paraId="6A256D71">
            <w:pPr>
              <w:widowControl w:val="0"/>
              <w:spacing w:line="20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0201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65D61F">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07D43DE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01</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2-3</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74587EB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250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5C42F58">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5258E7FC">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37C8950A">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035</w:t>
            </w:r>
          </w:p>
        </w:tc>
      </w:tr>
      <w:tr w14:paraId="58D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1E87BFF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sz w:val="20"/>
                <w:szCs w:val="20"/>
              </w:rPr>
              <w:t>u periodu od 24 mjeseca (95% CI)</w:t>
            </w:r>
          </w:p>
        </w:tc>
      </w:tr>
      <w:tr w14:paraId="01C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DE8F0E2">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w:t>
            </w:r>
            <w:r>
              <w:rPr>
                <w:rFonts w:ascii="Microsoft Sans Serif" w:hAnsi="Microsoft Sans Serif" w:eastAsia="Calibri" w:cs="Microsoft Sans Serif"/>
                <w:spacing w:val="20"/>
                <w:sz w:val="20"/>
                <w:szCs w:val="20"/>
              </w:rPr>
              <w:t xml:space="preserve">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C6DFEB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22-1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82)</w:t>
            </w:r>
          </w:p>
        </w:tc>
        <w:tc>
          <w:tcPr>
            <w:tcW w:w="2684" w:type="dxa"/>
            <w:gridSpan w:val="2"/>
          </w:tcPr>
          <w:p w14:paraId="42D1B2F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FB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20FB2D8">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7F4CB1D4">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34-2</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12)</w:t>
            </w:r>
          </w:p>
        </w:tc>
        <w:tc>
          <w:tcPr>
            <w:tcW w:w="2684" w:type="dxa"/>
            <w:gridSpan w:val="2"/>
          </w:tcPr>
          <w:p w14:paraId="3C4F0D0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7B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7306822">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67178C7B">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55-1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10)</w:t>
            </w:r>
          </w:p>
        </w:tc>
        <w:tc>
          <w:tcPr>
            <w:tcW w:w="2684" w:type="dxa"/>
            <w:gridSpan w:val="2"/>
          </w:tcPr>
          <w:p w14:paraId="0D754A5D">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01FB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49A60AD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bCs/>
                <w:sz w:val="20"/>
                <w:szCs w:val="20"/>
              </w:rPr>
              <w:t>u periodu od</w:t>
            </w:r>
            <w:r>
              <w:rPr>
                <w:rFonts w:ascii="Microsoft Sans Serif" w:hAnsi="Microsoft Sans Serif" w:eastAsia="Calibri" w:cs="Microsoft Sans Serif"/>
                <w:b/>
                <w:bCs/>
                <w:spacing w:val="18"/>
                <w:sz w:val="20"/>
                <w:szCs w:val="20"/>
              </w:rPr>
              <w:t xml:space="preserve"> </w:t>
            </w:r>
            <w:r>
              <w:rPr>
                <w:rFonts w:ascii="Microsoft Sans Serif" w:hAnsi="Microsoft Sans Serif" w:eastAsia="Calibri" w:cs="Microsoft Sans Serif"/>
                <w:b/>
                <w:bCs/>
                <w:sz w:val="20"/>
                <w:szCs w:val="20"/>
              </w:rPr>
              <w:t>36</w:t>
            </w:r>
            <w:r>
              <w:rPr>
                <w:rFonts w:ascii="Microsoft Sans Serif" w:hAnsi="Microsoft Sans Serif" w:eastAsia="Calibri" w:cs="Microsoft Sans Serif"/>
                <w:b/>
                <w:bCs/>
                <w:spacing w:val="9"/>
                <w:sz w:val="20"/>
                <w:szCs w:val="20"/>
              </w:rPr>
              <w:t xml:space="preserve"> </w:t>
            </w:r>
            <w:r>
              <w:rPr>
                <w:rFonts w:ascii="Microsoft Sans Serif" w:hAnsi="Microsoft Sans Serif" w:eastAsia="Calibri" w:cs="Microsoft Sans Serif"/>
                <w:b/>
                <w:bCs/>
                <w:sz w:val="20"/>
                <w:szCs w:val="20"/>
              </w:rPr>
              <w:t>mjeseci</w:t>
            </w:r>
            <w:r>
              <w:rPr>
                <w:rFonts w:ascii="Microsoft Sans Serif" w:hAnsi="Microsoft Sans Serif" w:eastAsia="Calibri" w:cs="Microsoft Sans Serif"/>
                <w:b/>
                <w:bCs/>
                <w:spacing w:val="21"/>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w:t>
            </w:r>
            <w:r>
              <w:rPr>
                <w:rFonts w:ascii="Microsoft Sans Serif" w:hAnsi="Microsoft Sans Serif" w:eastAsia="Calibri" w:cs="Microsoft Sans Serif"/>
                <w:b/>
                <w:bCs/>
                <w:spacing w:val="-1"/>
                <w:w w:val="103"/>
                <w:sz w:val="20"/>
                <w:szCs w:val="20"/>
              </w:rPr>
              <w:t>I</w:t>
            </w:r>
            <w:r>
              <w:rPr>
                <w:rFonts w:ascii="Microsoft Sans Serif" w:hAnsi="Microsoft Sans Serif" w:eastAsia="Calibri" w:cs="Microsoft Sans Serif"/>
                <w:b/>
                <w:bCs/>
                <w:w w:val="103"/>
                <w:sz w:val="20"/>
                <w:szCs w:val="20"/>
              </w:rPr>
              <w:t>)</w:t>
            </w:r>
          </w:p>
        </w:tc>
      </w:tr>
      <w:tr w14:paraId="69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5B1E371">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46F28D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48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22-1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80)</w:t>
            </w:r>
          </w:p>
        </w:tc>
        <w:tc>
          <w:tcPr>
            <w:tcW w:w="2684" w:type="dxa"/>
            <w:gridSpan w:val="2"/>
          </w:tcPr>
          <w:p w14:paraId="377D9E56">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DBE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5D0190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4B5D447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59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28-1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99)</w:t>
            </w:r>
          </w:p>
        </w:tc>
        <w:tc>
          <w:tcPr>
            <w:tcW w:w="2684" w:type="dxa"/>
            <w:gridSpan w:val="2"/>
          </w:tcPr>
          <w:p w14:paraId="54175254">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AE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95AFDF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22CED8E2">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53-1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11)</w:t>
            </w:r>
          </w:p>
        </w:tc>
        <w:tc>
          <w:tcPr>
            <w:tcW w:w="2684" w:type="dxa"/>
            <w:gridSpan w:val="2"/>
          </w:tcPr>
          <w:p w14:paraId="7463273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AA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740122E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48 mjeseci (95% CI)</w:t>
            </w:r>
          </w:p>
        </w:tc>
      </w:tr>
      <w:tr w14:paraId="27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7E3A6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737A621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3912F789">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7D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08B0525">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051182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91)</w:t>
            </w:r>
          </w:p>
        </w:tc>
        <w:tc>
          <w:tcPr>
            <w:tcW w:w="2684" w:type="dxa"/>
            <w:gridSpan w:val="2"/>
          </w:tcPr>
          <w:p w14:paraId="7218ADD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CB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B6845A7">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1A44F82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81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17)</w:t>
            </w:r>
          </w:p>
        </w:tc>
        <w:tc>
          <w:tcPr>
            <w:tcW w:w="2684" w:type="dxa"/>
            <w:gridSpan w:val="2"/>
          </w:tcPr>
          <w:p w14:paraId="62F1AE63">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EF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01E1653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60 mjeseci (95% CI)</w:t>
            </w:r>
          </w:p>
        </w:tc>
      </w:tr>
      <w:tr w14:paraId="10B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47724E8">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9CF8C96">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46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7A5101B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05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997F89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629B72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54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89)</w:t>
            </w:r>
          </w:p>
        </w:tc>
        <w:tc>
          <w:tcPr>
            <w:tcW w:w="2684" w:type="dxa"/>
            <w:gridSpan w:val="2"/>
          </w:tcPr>
          <w:p w14:paraId="3963AF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&lt;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37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60C6D05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Borders>
              <w:bottom w:val="single" w:color="auto" w:sz="2" w:space="0"/>
            </w:tcBorders>
          </w:tcPr>
          <w:p w14:paraId="4633A31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79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13)</w:t>
            </w:r>
          </w:p>
        </w:tc>
        <w:tc>
          <w:tcPr>
            <w:tcW w:w="2684" w:type="dxa"/>
            <w:gridSpan w:val="2"/>
            <w:tcBorders>
              <w:bottom w:val="single" w:color="auto" w:sz="2" w:space="0"/>
            </w:tcBorders>
          </w:tcPr>
          <w:p w14:paraId="4604DBD6">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3</w:t>
            </w:r>
          </w:p>
        </w:tc>
      </w:tr>
    </w:tbl>
    <w:p w14:paraId="4BA73A7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Potvrđen potpuni citogenetski odgovor (cCCyR) definiše se kao odgovor zabilježen na dva uzastopna pregleda (u razmaku od najmanje 28 dana)</w:t>
      </w:r>
    </w:p>
    <w:p w14:paraId="697BCC1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Potpuni citogenetski odgovor (CCyR) zasniva se na samo jednoj citogenetskoj procjeni koštane srži</w:t>
      </w:r>
    </w:p>
    <w:p w14:paraId="30ABA39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lang w:val="sr-Latn-RS"/>
        </w:rPr>
        <w:t xml:space="preserve"> Značajan molekularni odgovor (u bilo kom momentu) definisan je kao BCR-ABL odnos ≤ 0,1% na RQ-PCR u uzorcima periferne krvi standardizovan prema Međunarodnoj skali. Ovo su kumulativne vrijednosti koje predstavljaju minimum praćenja za navedeni vremenski rok</w:t>
      </w:r>
    </w:p>
    <w:p w14:paraId="60EBA9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Prilagođeno prema Hasford-ovom skoru i navedena statistička značajnost prema unaprijed određenom nominalnom nivou značajnosti. CI = interval pouzdanosti.</w:t>
      </w:r>
    </w:p>
    <w:p w14:paraId="644F8757">
      <w:pPr>
        <w:rPr>
          <w:rFonts w:ascii="Microsoft Sans Serif" w:hAnsi="Microsoft Sans Serif" w:cs="Microsoft Sans Serif"/>
          <w:bCs/>
          <w:sz w:val="20"/>
          <w:szCs w:val="20"/>
          <w:lang w:val="sr-Latn-RS"/>
        </w:rPr>
      </w:pPr>
    </w:p>
    <w:p w14:paraId="75A307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sa potvrđenim CCyR, nakon 60 mjeseci praćenja, medijana vremena do cCCyR iznosila je 3,1 mjeseci u grupi koja je primala dasatinib i 5,8 mjeseci u grupi koja je primala imatinib. Medijana vremena do MMR nakon 60 mjeseci praćenja bila je 9,3 mjeseci u grupi koja je primala dasatinib i 15,0 mjeseci u grupi koja je primala imatinib kod pacijenata sa MMR. Ovi rezultati su konzistentni sa rezultatima zablježenim nakon 12, 24 i 36 mjeseci.</w:t>
      </w:r>
    </w:p>
    <w:p w14:paraId="7BC8FF27">
      <w:pPr>
        <w:rPr>
          <w:rFonts w:ascii="Microsoft Sans Serif" w:hAnsi="Microsoft Sans Serif" w:cs="Microsoft Sans Serif"/>
          <w:bCs/>
          <w:sz w:val="20"/>
          <w:szCs w:val="20"/>
          <w:lang w:val="sr-Latn-RS"/>
        </w:rPr>
      </w:pPr>
    </w:p>
    <w:p w14:paraId="15D7D84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Vrijeme do MMR grafički je prikazano na Slici 1. Vrijeme do MMR konzistentno je bilo kraće kod pacijenata liječenih dasatinibom nego kod onih koji su liječeni imatinibom.</w:t>
      </w:r>
    </w:p>
    <w:p w14:paraId="3CB302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1: Procjena vremena po Kaplan-Meier-u do značajnog molekularnog odgovora (MMR)</w:t>
      </w:r>
    </w:p>
    <w:p w14:paraId="7CC5FE5C">
      <w:pPr>
        <w:rPr>
          <w:rFonts w:ascii="Microsoft Sans Serif" w:hAnsi="Microsoft Sans Serif" w:cs="Microsoft Sans Serif"/>
          <w:b/>
          <w:bCs/>
          <w:sz w:val="20"/>
          <w:szCs w:val="20"/>
          <w:lang w:val="sr-Latn-RS"/>
        </w:rPr>
      </w:pPr>
    </w:p>
    <w:p w14:paraId="3A8257D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1064260</wp:posOffset>
                </wp:positionV>
                <wp:extent cx="2424430" cy="285115"/>
                <wp:effectExtent l="2540" t="0" r="17145" b="1714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424115" cy="285115"/>
                        </a:xfrm>
                        <a:prstGeom prst="rect">
                          <a:avLst/>
                        </a:prstGeom>
                        <a:solidFill>
                          <a:srgbClr val="FFFFFF"/>
                        </a:solidFill>
                        <a:ln w="9525">
                          <a:solidFill>
                            <a:srgbClr val="000000"/>
                          </a:solidFill>
                          <a:miter lim="800000"/>
                        </a:ln>
                      </wps:spPr>
                      <wps:txb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83.8pt;height:22.45pt;width:190.9pt;rotation:-5898240f;z-index:251660288;mso-width-relative:page;mso-height-relative:page;" fillcolor="#FFFFFF" filled="t" stroked="t" coordsize="21600,21600" o:gfxdata="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ibn7aAAAADAEAAA8AAAAAAAAAAQAgAAAAIgAAAGRycy9k&#10;b3ducmV2LnhtbFBLAQIUABQAAAAIAIdO4kDd4weZOQIAAIsEAAAOAAAAAAAAAAEAIAAAACkBAABk&#10;cnMvZTJvRG9jLnhtbFBLBQYAAAAABgAGAFkBAADUBQAAAAA=&#10;">
                <v:fill on="t" focussize="0,0"/>
                <v:stroke color="#000000" miterlimit="8" joinstyle="miter"/>
                <v:imagedata o:title=""/>
                <o:lock v:ext="edit" aspectratio="f"/>
                <v:textbo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v:textbox>
              </v:shape>
            </w:pict>
          </mc:Fallback>
        </mc:AlternateContent>
      </w:r>
      <w:r>
        <w:rPr>
          <w:rFonts w:ascii="Microsoft Sans Serif" w:hAnsi="Microsoft Sans Serif" w:cs="Microsoft Sans Serif"/>
          <w:b/>
          <w:bCs/>
          <w:sz w:val="20"/>
          <w:szCs w:val="20"/>
        </w:rPr>
        <w:drawing>
          <wp:inline distT="0" distB="0" distL="0" distR="0">
            <wp:extent cx="4822190" cy="2639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2190" cy="2639695"/>
                    </a:xfrm>
                    <a:prstGeom prst="rect">
                      <a:avLst/>
                    </a:prstGeom>
                    <a:noFill/>
                  </pic:spPr>
                </pic:pic>
              </a:graphicData>
            </a:graphic>
          </wp:inline>
        </w:drawing>
      </w:r>
    </w:p>
    <w:p w14:paraId="1222CB48">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 xml:space="preserve">                                                                                                                           MJESECI</w:t>
      </w:r>
    </w:p>
    <w:p w14:paraId="79357A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 Dasatinib                                                                          ------ Imatinib</w:t>
      </w:r>
    </w:p>
    <w:p w14:paraId="1837B456">
      <w:pPr>
        <w:rPr>
          <w:szCs w:val="22"/>
        </w:rPr>
      </w:pPr>
      <w:r>
        <w:rPr>
          <w:rFonts w:ascii="Microsoft Sans Serif" w:hAnsi="Microsoft Sans Serif" w:cs="Microsoft Sans Serif"/>
          <w:bCs/>
          <w:sz w:val="20"/>
          <w:szCs w:val="20"/>
          <w:lang w:val="sr-Latn-RS"/>
        </w:rPr>
        <w:t xml:space="preserve">               </w:t>
      </w:r>
      <w:r>
        <w:drawing>
          <wp:anchor distT="0" distB="0" distL="114300" distR="114300" simplePos="0" relativeHeight="251659264" behindDoc="1" locked="0" layoutInCell="1" allowOverlap="1">
            <wp:simplePos x="0" y="0"/>
            <wp:positionH relativeFrom="page">
              <wp:posOffset>1177290</wp:posOffset>
            </wp:positionH>
            <wp:positionV relativeFrom="paragraph">
              <wp:posOffset>48260</wp:posOffset>
            </wp:positionV>
            <wp:extent cx="351155" cy="83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155" cy="83185"/>
                    </a:xfrm>
                    <a:prstGeom prst="rect">
                      <a:avLst/>
                    </a:prstGeom>
                    <a:noFill/>
                    <a:ln>
                      <a:noFill/>
                    </a:ln>
                  </pic:spPr>
                </pic:pic>
              </a:graphicData>
            </a:graphic>
          </wp:anchor>
        </w:drawing>
      </w:r>
      <w:r>
        <w:rPr>
          <w:szCs w:val="22"/>
        </w:rPr>
        <w:t xml:space="preserve">    </w:t>
      </w:r>
      <w:r>
        <w:rPr>
          <w:rFonts w:ascii="Microsoft Sans Serif" w:hAnsi="Microsoft Sans Serif" w:cs="Microsoft Sans Serif"/>
          <w:sz w:val="20"/>
          <w:szCs w:val="20"/>
        </w:rPr>
        <w:t>cenzurisano</w:t>
      </w:r>
      <w:r>
        <w:rPr>
          <w:szCs w:val="22"/>
        </w:rPr>
        <w:tab/>
      </w:r>
      <w:r>
        <w:rPr>
          <w:szCs w:val="22"/>
        </w:rPr>
        <w:t xml:space="preserve">                                                         </w:t>
      </w:r>
      <w:r>
        <w:rPr>
          <w:szCs w:val="22"/>
        </w:rPr>
        <w:drawing>
          <wp:inline distT="0" distB="0" distL="0" distR="0">
            <wp:extent cx="259080" cy="83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080" cy="83820"/>
                    </a:xfrm>
                    <a:prstGeom prst="rect">
                      <a:avLst/>
                    </a:prstGeom>
                    <a:noFill/>
                    <a:ln>
                      <a:noFill/>
                    </a:ln>
                  </pic:spPr>
                </pic:pic>
              </a:graphicData>
            </a:graphic>
          </wp:inline>
        </w:drawing>
      </w:r>
      <w:r>
        <w:rPr>
          <w:rFonts w:ascii="Microsoft Sans Serif" w:hAnsi="Microsoft Sans Serif" w:cs="Microsoft Sans Serif"/>
          <w:sz w:val="20"/>
          <w:szCs w:val="20"/>
        </w:rPr>
        <w:t>cenzurisano</w:t>
      </w:r>
    </w:p>
    <w:p w14:paraId="5F2E9B6A">
      <w:pPr>
        <w:rPr>
          <w:rFonts w:ascii="Microsoft Sans Serif" w:hAnsi="Microsoft Sans Serif" w:cs="Microsoft Sans Serif"/>
          <w:bCs/>
          <w:sz w:val="20"/>
          <w:szCs w:val="20"/>
          <w:lang w:val="sr-Latn-RS"/>
        </w:rPr>
      </w:pPr>
    </w:p>
    <w:p w14:paraId="71A97129">
      <w:pPr>
        <w:rPr>
          <w:rFonts w:ascii="Microsoft Sans Serif" w:hAnsi="Microsoft Sans Serif" w:cs="Microsoft Sans Serif"/>
          <w:bCs/>
          <w:sz w:val="20"/>
          <w:szCs w:val="20"/>
          <w:u w:val="single"/>
          <w:lang w:val="sr-Latn-RS"/>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1"/>
        <w:gridCol w:w="3081"/>
      </w:tblGrid>
      <w:tr w14:paraId="0CD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bottom w:val="single" w:color="auto" w:sz="12" w:space="0"/>
            </w:tcBorders>
          </w:tcPr>
          <w:p w14:paraId="036DD704">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GRUPA </w:t>
            </w:r>
          </w:p>
        </w:tc>
        <w:tc>
          <w:tcPr>
            <w:tcW w:w="3081" w:type="dxa"/>
            <w:tcBorders>
              <w:bottom w:val="single" w:color="auto" w:sz="12" w:space="0"/>
            </w:tcBorders>
          </w:tcPr>
          <w:p w14:paraId="0ACB59C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BROJ ONIH KOJI SU</w:t>
            </w:r>
          </w:p>
          <w:p w14:paraId="36408202">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ODGOVORILI/ </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KOJI SU</w:t>
            </w:r>
          </w:p>
          <w:p w14:paraId="63C86895">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RANDOMIZOVANI</w:t>
            </w:r>
          </w:p>
          <w:p w14:paraId="27DE6169">
            <w:pPr>
              <w:widowControl w:val="0"/>
              <w:rPr>
                <w:rFonts w:ascii="Microsoft Sans Serif" w:hAnsi="Microsoft Sans Serif" w:eastAsia="Calibri" w:cs="Microsoft Sans Serif"/>
                <w:bCs/>
                <w:sz w:val="20"/>
                <w:szCs w:val="20"/>
                <w:lang w:val="sr-Latn-RS"/>
              </w:rPr>
            </w:pPr>
          </w:p>
        </w:tc>
        <w:tc>
          <w:tcPr>
            <w:tcW w:w="3081" w:type="dxa"/>
            <w:tcBorders>
              <w:bottom w:val="single" w:color="auto" w:sz="12" w:space="0"/>
            </w:tcBorders>
          </w:tcPr>
          <w:p w14:paraId="194BD263">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ODNOS RIZIKA (95% CI)</w:t>
            </w:r>
          </w:p>
        </w:tc>
      </w:tr>
      <w:tr w14:paraId="179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top w:val="single" w:color="auto" w:sz="12" w:space="0"/>
            </w:tcBorders>
          </w:tcPr>
          <w:p w14:paraId="10F1F19C">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Dasatinib </w:t>
            </w:r>
          </w:p>
        </w:tc>
        <w:tc>
          <w:tcPr>
            <w:tcW w:w="3081" w:type="dxa"/>
            <w:tcBorders>
              <w:top w:val="single" w:color="auto" w:sz="12" w:space="0"/>
            </w:tcBorders>
          </w:tcPr>
          <w:p w14:paraId="2CCEB8E7">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198/259</w:t>
            </w:r>
          </w:p>
        </w:tc>
        <w:tc>
          <w:tcPr>
            <w:tcW w:w="3081" w:type="dxa"/>
            <w:tcBorders>
              <w:top w:val="single" w:color="auto" w:sz="12" w:space="0"/>
            </w:tcBorders>
          </w:tcPr>
          <w:p w14:paraId="1198377C">
            <w:pPr>
              <w:widowControl w:val="0"/>
              <w:rPr>
                <w:rFonts w:ascii="Microsoft Sans Serif" w:hAnsi="Microsoft Sans Serif" w:eastAsia="Calibri" w:cs="Microsoft Sans Serif"/>
                <w:bCs/>
                <w:sz w:val="20"/>
                <w:szCs w:val="20"/>
                <w:lang w:val="sr-Latn-RS"/>
              </w:rPr>
            </w:pPr>
          </w:p>
        </w:tc>
      </w:tr>
      <w:tr w14:paraId="585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53ED619E">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Imatinib </w:t>
            </w:r>
          </w:p>
        </w:tc>
        <w:tc>
          <w:tcPr>
            <w:tcW w:w="3081" w:type="dxa"/>
          </w:tcPr>
          <w:p w14:paraId="54C6D8B1">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167/260</w:t>
            </w:r>
          </w:p>
        </w:tc>
        <w:tc>
          <w:tcPr>
            <w:tcW w:w="3081" w:type="dxa"/>
          </w:tcPr>
          <w:p w14:paraId="6B73E686">
            <w:pPr>
              <w:widowControl w:val="0"/>
              <w:rPr>
                <w:rFonts w:ascii="Microsoft Sans Serif" w:hAnsi="Microsoft Sans Serif" w:eastAsia="Calibri" w:cs="Microsoft Sans Serif"/>
                <w:bCs/>
                <w:sz w:val="20"/>
                <w:szCs w:val="20"/>
                <w:lang w:val="sr-Latn-RS"/>
              </w:rPr>
            </w:pPr>
          </w:p>
        </w:tc>
      </w:tr>
      <w:tr w14:paraId="4A1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6607404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Dasatinib u odnosu na imatinib</w:t>
            </w:r>
          </w:p>
        </w:tc>
        <w:tc>
          <w:tcPr>
            <w:tcW w:w="3081" w:type="dxa"/>
          </w:tcPr>
          <w:p w14:paraId="3F3A7AFA">
            <w:pPr>
              <w:widowControl w:val="0"/>
              <w:rPr>
                <w:rFonts w:ascii="Microsoft Sans Serif" w:hAnsi="Microsoft Sans Serif" w:eastAsia="Calibri" w:cs="Microsoft Sans Serif"/>
                <w:bCs/>
                <w:sz w:val="20"/>
                <w:szCs w:val="20"/>
                <w:lang w:val="sr-Latn-RS"/>
              </w:rPr>
            </w:pPr>
          </w:p>
        </w:tc>
        <w:tc>
          <w:tcPr>
            <w:tcW w:w="3081" w:type="dxa"/>
          </w:tcPr>
          <w:p w14:paraId="418C9AB8">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1,54 (1,25 - 1,89)</w:t>
            </w:r>
          </w:p>
        </w:tc>
      </w:tr>
    </w:tbl>
    <w:p w14:paraId="0C671674">
      <w:pPr>
        <w:rPr>
          <w:rFonts w:ascii="Microsoft Sans Serif" w:hAnsi="Microsoft Sans Serif" w:cs="Microsoft Sans Serif"/>
          <w:bCs/>
          <w:sz w:val="20"/>
          <w:szCs w:val="20"/>
          <w:u w:val="single"/>
          <w:lang w:val="sr-Latn-RS"/>
        </w:rPr>
      </w:pPr>
    </w:p>
    <w:p w14:paraId="2AE647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cCCyR u terapijskoj grupi koja je primala dasatinib odnosno terapijskoj grupi koja je primala imatinib nakon 3 mjeseca (54% odnosno 30%), 6 mjeseci (70% odnosno 56%), 9 mjeseci (75% odnosno 63%), 24 mjeseca (80% i 74%), 36 mjeseci (83% i 77%), 48 mjeseci (83% i 79%) i 60 mjeseci (83% i 79%) bile su konzistentne sa primarnim parametrom praćenja. Stope MMR u terapijskoj grupi koja je primala dasatinib odnosno imatinib u periodu od 3 mjeseca (8% odnosno 0,4%), 6 mjeseci (27% odnosno 8%), 9 mjeseci (39% odnosno 18%), 12 mjeseci (46% odnosno 28%), 24 mjeseca (64% i 46%), 36 mjeseci (67% i 55% ), 48 mjeseci (73% i 60%) i 60 mjeseci (76% i 64%) takođe su bile konzistentne sa primarnim parametrom praćenja.</w:t>
      </w:r>
    </w:p>
    <w:p w14:paraId="791B17E5">
      <w:pPr>
        <w:rPr>
          <w:rFonts w:ascii="Microsoft Sans Serif" w:hAnsi="Microsoft Sans Serif" w:cs="Microsoft Sans Serif"/>
          <w:bCs/>
          <w:sz w:val="20"/>
          <w:szCs w:val="20"/>
          <w:lang w:val="sr-Latn-RS"/>
        </w:rPr>
      </w:pPr>
    </w:p>
    <w:p w14:paraId="2DEE8BA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MMR u specifičnim vremenskim tačkama grafički su prikazane na Slici 2. Stope MMR konzistentno su bile više kod pacijenata liječenih dasatinibom nego kod onih koji su liječeni imatinibom.</w:t>
      </w:r>
    </w:p>
    <w:p w14:paraId="52BC08E2">
      <w:pPr>
        <w:rPr>
          <w:rFonts w:ascii="Microsoft Sans Serif" w:hAnsi="Microsoft Sans Serif" w:cs="Microsoft Sans Serif"/>
          <w:bCs/>
          <w:sz w:val="20"/>
          <w:szCs w:val="20"/>
          <w:lang w:val="sr-Latn-RS"/>
        </w:rPr>
      </w:pPr>
    </w:p>
    <w:p w14:paraId="2D63FB4E">
      <w:pPr>
        <w:rPr>
          <w:rFonts w:ascii="Microsoft Sans Serif" w:hAnsi="Microsoft Sans Serif" w:cs="Microsoft Sans Serif"/>
          <w:b/>
          <w:bCs/>
          <w:sz w:val="20"/>
          <w:szCs w:val="20"/>
          <w:lang w:val="sr-Latn-RS"/>
        </w:rPr>
      </w:pPr>
    </w:p>
    <w:p w14:paraId="4BE1F7B7">
      <w:pPr>
        <w:rPr>
          <w:rFonts w:ascii="Microsoft Sans Serif" w:hAnsi="Microsoft Sans Serif" w:cs="Microsoft Sans Serif"/>
          <w:b/>
          <w:bCs/>
          <w:sz w:val="20"/>
          <w:szCs w:val="20"/>
          <w:lang w:val="sr-Latn-RS"/>
        </w:rPr>
      </w:pPr>
    </w:p>
    <w:p w14:paraId="2479F1BD">
      <w:pPr>
        <w:rPr>
          <w:rFonts w:ascii="Microsoft Sans Serif" w:hAnsi="Microsoft Sans Serif" w:cs="Microsoft Sans Serif"/>
          <w:b/>
          <w:bCs/>
          <w:sz w:val="20"/>
          <w:szCs w:val="20"/>
          <w:lang w:val="sr-Latn-RS"/>
        </w:rPr>
      </w:pPr>
    </w:p>
    <w:p w14:paraId="0BD89CC0">
      <w:pPr>
        <w:rPr>
          <w:rFonts w:ascii="Microsoft Sans Serif" w:hAnsi="Microsoft Sans Serif" w:cs="Microsoft Sans Serif"/>
          <w:b/>
          <w:bCs/>
          <w:sz w:val="20"/>
          <w:szCs w:val="20"/>
          <w:lang w:val="sr-Latn-RS"/>
        </w:rPr>
      </w:pPr>
    </w:p>
    <w:p w14:paraId="3C8BFD0E">
      <w:pPr>
        <w:rPr>
          <w:rFonts w:ascii="Microsoft Sans Serif" w:hAnsi="Microsoft Sans Serif" w:cs="Microsoft Sans Serif"/>
          <w:b/>
          <w:bCs/>
          <w:sz w:val="20"/>
          <w:szCs w:val="20"/>
          <w:lang w:val="sr-Latn-RS"/>
        </w:rPr>
      </w:pPr>
    </w:p>
    <w:p w14:paraId="4CA4B722">
      <w:pPr>
        <w:rPr>
          <w:rFonts w:ascii="Microsoft Sans Serif" w:hAnsi="Microsoft Sans Serif" w:cs="Microsoft Sans Serif"/>
          <w:b/>
          <w:bCs/>
          <w:sz w:val="20"/>
          <w:szCs w:val="20"/>
          <w:lang w:val="sr-Latn-RS"/>
        </w:rPr>
      </w:pPr>
    </w:p>
    <w:p w14:paraId="6D58326F">
      <w:pPr>
        <w:rPr>
          <w:rFonts w:ascii="Microsoft Sans Serif" w:hAnsi="Microsoft Sans Serif" w:cs="Microsoft Sans Serif"/>
          <w:b/>
          <w:bCs/>
          <w:sz w:val="20"/>
          <w:szCs w:val="20"/>
          <w:lang w:val="sr-Latn-RS"/>
        </w:rPr>
      </w:pPr>
    </w:p>
    <w:p w14:paraId="1E317EC7">
      <w:pPr>
        <w:rPr>
          <w:rFonts w:ascii="Microsoft Sans Serif" w:hAnsi="Microsoft Sans Serif" w:cs="Microsoft Sans Serif"/>
          <w:b/>
          <w:bCs/>
          <w:sz w:val="20"/>
          <w:szCs w:val="20"/>
          <w:lang w:val="sr-Latn-RS"/>
        </w:rPr>
      </w:pPr>
    </w:p>
    <w:p w14:paraId="0CBAB988">
      <w:pPr>
        <w:rPr>
          <w:rFonts w:ascii="Microsoft Sans Serif" w:hAnsi="Microsoft Sans Serif" w:cs="Microsoft Sans Serif"/>
          <w:b/>
          <w:bCs/>
          <w:sz w:val="20"/>
          <w:szCs w:val="20"/>
          <w:lang w:val="sr-Latn-RS"/>
        </w:rPr>
      </w:pPr>
    </w:p>
    <w:p w14:paraId="6D0933EB">
      <w:pPr>
        <w:rPr>
          <w:rFonts w:ascii="Microsoft Sans Serif" w:hAnsi="Microsoft Sans Serif" w:cs="Microsoft Sans Serif"/>
          <w:b/>
          <w:bCs/>
          <w:sz w:val="20"/>
          <w:szCs w:val="20"/>
          <w:lang w:val="sr-Latn-RS"/>
        </w:rPr>
      </w:pPr>
    </w:p>
    <w:p w14:paraId="336F991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2: Stope MMR tokom vremena - svi randomizovani pacijenti u studiji faze 3 sprovedenoj kod</w:t>
      </w:r>
    </w:p>
    <w:p w14:paraId="5B51265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2D057597">
      <w:pPr>
        <w:rPr>
          <w:rFonts w:ascii="Microsoft Sans Serif" w:hAnsi="Microsoft Sans Serif" w:cs="Microsoft Sans Serif"/>
          <w:bCs/>
          <w:sz w:val="20"/>
          <w:szCs w:val="20"/>
          <w:lang w:val="sr-Latn-RS"/>
        </w:rPr>
      </w:pPr>
    </w:p>
    <w:p w14:paraId="457CF7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68580</wp:posOffset>
                </wp:positionV>
                <wp:extent cx="885825" cy="476250"/>
                <wp:effectExtent l="0" t="0" r="28575" b="1905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825" cy="476250"/>
                        </a:xfrm>
                        <a:prstGeom prst="rect">
                          <a:avLst/>
                        </a:prstGeom>
                        <a:solidFill>
                          <a:srgbClr val="FFFFFF"/>
                        </a:solidFill>
                        <a:ln w="9525">
                          <a:solidFill>
                            <a:srgbClr val="000000"/>
                          </a:solidFill>
                          <a:miter lim="800000"/>
                        </a:ln>
                      </wps:spPr>
                      <wps:txb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2.8pt;margin-top:5.4pt;height:37.5pt;width:69.75pt;z-index:251665408;mso-width-relative:page;mso-height-relative:page;" fillcolor="#FFFFFF" filled="t" stroked="t" coordsize="21600,21600" o:gfxdata="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LV5bXAAAACQEAAA8AAAAAAAAAAQAgAAAAIgAAAGRycy9kb3ducmV2LnhtbFBLAQIUABQAAAAI&#10;AIdO4kA1hsh9JwIAAHoEAAAOAAAAAAAAAAEAIAAAACYBAABkcnMvZTJvRG9jLnhtbFBLBQYAAAAA&#10;BgAGAFkBAAC/BQAAAAA=&#10;">
                <v:fill on="t" focussize="0,0"/>
                <v:stroke color="#000000" miterlimit="8" joinstyle="miter"/>
                <v:imagedata o:title=""/>
                <o:lock v:ext="edit" aspectratio="f"/>
                <v:textbo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76200</wp:posOffset>
                </wp:positionV>
                <wp:extent cx="847725" cy="466725"/>
                <wp:effectExtent l="0" t="0" r="28575" b="28575"/>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47725" cy="466725"/>
                        </a:xfrm>
                        <a:prstGeom prst="rect">
                          <a:avLst/>
                        </a:prstGeom>
                        <a:solidFill>
                          <a:srgbClr val="FFFFFF"/>
                        </a:solidFill>
                        <a:ln w="9525">
                          <a:solidFill>
                            <a:srgbClr val="000000"/>
                          </a:solidFill>
                          <a:miter lim="800000"/>
                        </a:ln>
                      </wps:spPr>
                      <wps:txb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1.25pt;margin-top:6pt;height:36.75pt;width:66.75pt;z-index:251664384;mso-width-relative:page;mso-height-relative:page;" fillcolor="#FFFFFF" filled="t" stroked="t" coordsize="21600,21600" o:gfxdata="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w9t2AAAAAkBAAAPAAAAAAAAAAEAIAAAACIAAABkcnMvZG93bnJldi54bWxQSwECFAAUAAAACACH&#10;TuJAPcXYSyQCAAB6BAAADgAAAAAAAAABACAAAAAnAQAAZHJzL2Uyb0RvYy54bWxQSwUGAAAAAAYA&#10;BgBZAQAAvQUAAAAA&#10;">
                <v:fill on="t" focussize="0,0"/>
                <v:stroke color="#000000" miterlimit="8" joinstyle="miter"/>
                <v:imagedata o:title=""/>
                <o:lock v:ext="edit" aspectratio="f"/>
                <v:textbo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66675</wp:posOffset>
                </wp:positionV>
                <wp:extent cx="866775" cy="476250"/>
                <wp:effectExtent l="0" t="0" r="28575"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ln>
                      </wps:spPr>
                      <wps:txb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5.5pt;margin-top:5.25pt;height:37.5pt;width:68.25pt;z-index:251663360;mso-width-relative:page;mso-height-relative:page;" fillcolor="#FFFFFF" filled="t" stroked="t" coordsize="21600,21600" o:gfxdata="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TaS3YAAAACQEAAA8AAAAAAAAAAQAgAAAAIgAAAGRycy9kb3ducmV2LnhtbFBLAQIUABQA&#10;AAAIAIdO4kAITB45KQIAAHkEAAAOAAAAAAAAAAEAIAAAACcBAABkcnMvZTJvRG9jLnhtbFBLBQYA&#10;AAAABgAGAFkBAADCBQAAAAA=&#10;">
                <v:fill on="t" focussize="0,0"/>
                <v:stroke color="#000000" miterlimit="8" joinstyle="miter"/>
                <v:imagedata o:title=""/>
                <o:lock v:ext="edit" aspectratio="f"/>
                <v:textbo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390525</wp:posOffset>
                </wp:positionV>
                <wp:extent cx="828675" cy="447675"/>
                <wp:effectExtent l="0" t="0" r="28575" b="2857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47675"/>
                        </a:xfrm>
                        <a:prstGeom prst="rect">
                          <a:avLst/>
                        </a:prstGeom>
                        <a:solidFill>
                          <a:srgbClr val="FFFFFF"/>
                        </a:solidFill>
                        <a:ln w="9525">
                          <a:solidFill>
                            <a:srgbClr val="000000"/>
                          </a:solidFill>
                          <a:miter lim="800000"/>
                        </a:ln>
                      </wps:spPr>
                      <wps:txb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6.5pt;margin-top:30.75pt;height:35.25pt;width:65.25pt;z-index:251662336;mso-width-relative:page;mso-height-relative:page;" fillcolor="#FFFFFF" filled="t" stroked="t" coordsize="21600,21600" o:gfxdata="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jACs2QAAAAoBAAAPAAAAAAAAAAEAIAAAACIAAABkcnMvZG93bnJldi54bWxQSwECFAAUAAAA&#10;CACHTuJAXCrXkCYCAAB5BAAADgAAAAAAAAABACAAAAAoAQAAZHJzL2Uyb0RvYy54bWxQSwUGAAAA&#10;AAYABgBZAQAAwAUAAAAA&#10;">
                <v:fill on="t" focussize="0,0"/>
                <v:stroke color="#000000" miterlimit="8" joinstyle="miter"/>
                <v:imagedata o:title=""/>
                <o:lock v:ext="edit" aspectratio="f"/>
                <v:textbo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647700</wp:posOffset>
                </wp:positionV>
                <wp:extent cx="828675" cy="457200"/>
                <wp:effectExtent l="0" t="0" r="28575" b="1905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rgbClr val="000000"/>
                          </a:solidFill>
                          <a:miter lim="800000"/>
                        </a:ln>
                      </wps:spPr>
                      <wps:txb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51pt;height:36pt;width:65.25pt;z-index:251661312;mso-width-relative:page;mso-height-relative:page;" fillcolor="#FFFFFF" filled="t" stroked="t" coordsize="21600,21600" o:gfxdata="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QZQXXAAAACgEAAA8AAAAAAAAAAQAgAAAAIgAAAGRycy9kb3ducmV2LnhtbFBLAQIUABQAAAAI&#10;AIdO4kCc217oJwIAAHkEAAAOAAAAAAAAAAEAIAAAACYBAABkcnMvZTJvRG9jLnhtbFBLBQYAAAAA&#10;BgAGAFkBAAC/BQAAAAA=&#10;">
                <v:fill on="t" focussize="0,0"/>
                <v:stroke color="#000000" miterlimit="8" joinstyle="miter"/>
                <v:imagedata o:title=""/>
                <o:lock v:ext="edit" aspectratio="f"/>
                <v:textbo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6432" behindDoc="0" locked="0" layoutInCell="1" allowOverlap="1">
                <wp:simplePos x="0" y="0"/>
                <wp:positionH relativeFrom="column">
                  <wp:posOffset>-1196340</wp:posOffset>
                </wp:positionH>
                <wp:positionV relativeFrom="paragraph">
                  <wp:posOffset>1282065</wp:posOffset>
                </wp:positionV>
                <wp:extent cx="2009775" cy="383540"/>
                <wp:effectExtent l="0" t="5715" r="22860" b="2286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009775" cy="383224"/>
                        </a:xfrm>
                        <a:prstGeom prst="rect">
                          <a:avLst/>
                        </a:prstGeom>
                        <a:solidFill>
                          <a:srgbClr val="FFFFFF"/>
                        </a:solidFill>
                        <a:ln w="9525">
                          <a:solidFill>
                            <a:srgbClr val="000000"/>
                          </a:solidFill>
                          <a:miter lim="800000"/>
                        </a:ln>
                      </wps:spPr>
                      <wps:txb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2pt;margin-top:100.95pt;height:30.2pt;width:158.25pt;rotation:-5898240f;z-index:251666432;mso-width-relative:page;mso-height-relative:page;" fillcolor="#FFFFFF" filled="t" stroked="t" coordsize="21600,21600" o:gfxdata="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ku4qNoAAAAMAQAADwAAAAAAAAABACAAAAAiAAAAZHJzL2Rv&#10;d25yZXYueG1sUEsBAhQAFAAAAAgAh07iQBKn+o84AgAAigQAAA4AAAAAAAAAAQAgAAAAKQEAAGRy&#10;cy9lMm9Eb2MueG1sUEsFBgAAAAAGAAYAWQEAANMFAAAAAA==&#10;">
                <v:fill on="t" focussize="0,0"/>
                <v:stroke color="#000000" miterlimit="8" joinstyle="miter"/>
                <v:imagedata o:title=""/>
                <o:lock v:ext="edit" aspectratio="f"/>
                <v:textbo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v:textbox>
              </v:shape>
            </w:pict>
          </mc:Fallback>
        </mc:AlternateContent>
      </w:r>
      <w:r>
        <w:rPr>
          <w:rFonts w:ascii="Microsoft Sans Serif" w:hAnsi="Microsoft Sans Serif" w:cs="Microsoft Sans Serif"/>
          <w:b/>
          <w:bCs/>
          <w:sz w:val="20"/>
          <w:szCs w:val="20"/>
        </w:rPr>
        <w:drawing>
          <wp:inline distT="0" distB="0" distL="0" distR="0">
            <wp:extent cx="5078095" cy="2840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8095" cy="2840990"/>
                    </a:xfrm>
                    <a:prstGeom prst="rect">
                      <a:avLst/>
                    </a:prstGeom>
                    <a:noFill/>
                  </pic:spPr>
                </pic:pic>
              </a:graphicData>
            </a:graphic>
          </wp:inline>
        </w:drawing>
      </w:r>
    </w:p>
    <w:p w14:paraId="661E755A">
      <w:pPr>
        <w:rPr>
          <w:rFonts w:ascii="Microsoft Sans Serif" w:hAnsi="Microsoft Sans Serif" w:cs="Microsoft Sans Serif"/>
          <w:bCs/>
          <w:sz w:val="20"/>
          <w:szCs w:val="20"/>
          <w:u w:val="single"/>
          <w:lang w:val="sr-Latn-RS"/>
        </w:rPr>
      </w:pPr>
    </w:p>
    <w:p w14:paraId="3988F0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                                                                                                           Mjeseci od randomizacije</w:t>
      </w:r>
    </w:p>
    <w:p w14:paraId="3FDA69C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391851F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4C25056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7E265C77">
      <w:pPr>
        <w:rPr>
          <w:rFonts w:ascii="Microsoft Sans Serif" w:hAnsi="Microsoft Sans Serif" w:cs="Microsoft Sans Serif"/>
          <w:bCs/>
          <w:sz w:val="20"/>
          <w:szCs w:val="20"/>
          <w:u w:val="single"/>
          <w:lang w:val="sr-Latn-RS"/>
        </w:rPr>
      </w:pPr>
    </w:p>
    <w:p w14:paraId="5C95F3B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≤0,01% (smanjene 4-log) u bilo koje vrijeme bio je veći u grupi koja je dobijala dasatinib u poređenju sa grupom koja je dobijala imatinib (54,1% u odnosu na 45%).</w:t>
      </w:r>
    </w:p>
    <w:p w14:paraId="7FB4BBF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≤0,0032% (smanjenje 4,5-log) u bilo koje vreme bio je</w:t>
      </w:r>
    </w:p>
    <w:p w14:paraId="0C42B8B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veći u grupi koja je dobijala dasatinib u poređenju sa grupom koja je dobijala imatinib (44% u odnosu na 34%).</w:t>
      </w:r>
    </w:p>
    <w:p w14:paraId="4D14FF30">
      <w:pPr>
        <w:rPr>
          <w:rFonts w:ascii="Microsoft Sans Serif" w:hAnsi="Microsoft Sans Serif" w:cs="Microsoft Sans Serif"/>
          <w:bCs/>
          <w:sz w:val="20"/>
          <w:szCs w:val="20"/>
          <w:lang w:val="sr-Latn-RS"/>
        </w:rPr>
      </w:pPr>
    </w:p>
    <w:p w14:paraId="0C99DE3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MR4,5 tokom vremena grafički su prikazane na Slici 3. Stope MR4,5 konzistentno su bile ve</w:t>
      </w:r>
      <w:r>
        <w:rPr>
          <w:rFonts w:ascii="Microsoft Sans Serif" w:hAnsi="Microsoft Sans Serif" w:cs="Microsoft Sans Serif"/>
          <w:bCs/>
          <w:sz w:val="20"/>
          <w:szCs w:val="20"/>
          <w:lang w:val="hr-BA"/>
        </w:rPr>
        <w:t xml:space="preserve">će </w:t>
      </w:r>
      <w:r>
        <w:rPr>
          <w:rFonts w:ascii="Microsoft Sans Serif" w:hAnsi="Microsoft Sans Serif" w:cs="Microsoft Sans Serif"/>
          <w:bCs/>
          <w:sz w:val="20"/>
          <w:szCs w:val="20"/>
          <w:lang w:val="sr-Latn-RS"/>
        </w:rPr>
        <w:t>kod pacijenata liječenih dasatinibom nego kod onih koji su liječeni imatinibom.</w:t>
      </w:r>
    </w:p>
    <w:p w14:paraId="54A457C7">
      <w:pPr>
        <w:rPr>
          <w:rFonts w:ascii="Microsoft Sans Serif" w:hAnsi="Microsoft Sans Serif" w:cs="Microsoft Sans Serif"/>
          <w:bCs/>
          <w:sz w:val="20"/>
          <w:szCs w:val="20"/>
          <w:lang w:val="sr-Latn-RS"/>
        </w:rPr>
      </w:pPr>
    </w:p>
    <w:p w14:paraId="127042C7">
      <w:pPr>
        <w:rPr>
          <w:rFonts w:ascii="Microsoft Sans Serif" w:hAnsi="Microsoft Sans Serif" w:cs="Microsoft Sans Serif"/>
          <w:b/>
          <w:bCs/>
          <w:sz w:val="20"/>
          <w:szCs w:val="20"/>
          <w:lang w:val="sr-Latn-RS"/>
        </w:rPr>
      </w:pPr>
    </w:p>
    <w:p w14:paraId="61C57F69">
      <w:pPr>
        <w:rPr>
          <w:rFonts w:ascii="Microsoft Sans Serif" w:hAnsi="Microsoft Sans Serif" w:cs="Microsoft Sans Serif"/>
          <w:b/>
          <w:bCs/>
          <w:sz w:val="20"/>
          <w:szCs w:val="20"/>
          <w:lang w:val="sr-Latn-RS"/>
        </w:rPr>
      </w:pPr>
    </w:p>
    <w:p w14:paraId="082FDA15">
      <w:pPr>
        <w:rPr>
          <w:rFonts w:ascii="Microsoft Sans Serif" w:hAnsi="Microsoft Sans Serif" w:cs="Microsoft Sans Serif"/>
          <w:b/>
          <w:bCs/>
          <w:sz w:val="20"/>
          <w:szCs w:val="20"/>
          <w:lang w:val="sr-Latn-RS"/>
        </w:rPr>
      </w:pPr>
    </w:p>
    <w:p w14:paraId="3216D646">
      <w:pPr>
        <w:rPr>
          <w:rFonts w:ascii="Microsoft Sans Serif" w:hAnsi="Microsoft Sans Serif" w:cs="Microsoft Sans Serif"/>
          <w:b/>
          <w:bCs/>
          <w:sz w:val="20"/>
          <w:szCs w:val="20"/>
          <w:lang w:val="sr-Latn-RS"/>
        </w:rPr>
      </w:pPr>
    </w:p>
    <w:p w14:paraId="427094DC">
      <w:pPr>
        <w:rPr>
          <w:rFonts w:ascii="Microsoft Sans Serif" w:hAnsi="Microsoft Sans Serif" w:cs="Microsoft Sans Serif"/>
          <w:b/>
          <w:bCs/>
          <w:sz w:val="20"/>
          <w:szCs w:val="20"/>
          <w:lang w:val="sr-Latn-RS"/>
        </w:rPr>
      </w:pPr>
    </w:p>
    <w:p w14:paraId="7CCA9C82">
      <w:pPr>
        <w:rPr>
          <w:rFonts w:ascii="Microsoft Sans Serif" w:hAnsi="Microsoft Sans Serif" w:cs="Microsoft Sans Serif"/>
          <w:b/>
          <w:bCs/>
          <w:sz w:val="20"/>
          <w:szCs w:val="20"/>
          <w:lang w:val="sr-Latn-RS"/>
        </w:rPr>
      </w:pPr>
    </w:p>
    <w:p w14:paraId="39BA97BF">
      <w:pPr>
        <w:rPr>
          <w:rFonts w:ascii="Microsoft Sans Serif" w:hAnsi="Microsoft Sans Serif" w:cs="Microsoft Sans Serif"/>
          <w:b/>
          <w:bCs/>
          <w:sz w:val="20"/>
          <w:szCs w:val="20"/>
          <w:lang w:val="sr-Latn-RS"/>
        </w:rPr>
      </w:pPr>
    </w:p>
    <w:p w14:paraId="5ED029F9">
      <w:pPr>
        <w:rPr>
          <w:rFonts w:ascii="Microsoft Sans Serif" w:hAnsi="Microsoft Sans Serif" w:cs="Microsoft Sans Serif"/>
          <w:b/>
          <w:bCs/>
          <w:sz w:val="20"/>
          <w:szCs w:val="20"/>
          <w:lang w:val="sr-Latn-RS"/>
        </w:rPr>
      </w:pPr>
    </w:p>
    <w:p w14:paraId="29225BAA">
      <w:pPr>
        <w:rPr>
          <w:rFonts w:ascii="Microsoft Sans Serif" w:hAnsi="Microsoft Sans Serif" w:cs="Microsoft Sans Serif"/>
          <w:b/>
          <w:bCs/>
          <w:sz w:val="20"/>
          <w:szCs w:val="20"/>
          <w:lang w:val="sr-Latn-RS"/>
        </w:rPr>
      </w:pPr>
    </w:p>
    <w:p w14:paraId="3622DDE9">
      <w:pPr>
        <w:rPr>
          <w:rFonts w:ascii="Microsoft Sans Serif" w:hAnsi="Microsoft Sans Serif" w:cs="Microsoft Sans Serif"/>
          <w:b/>
          <w:bCs/>
          <w:sz w:val="20"/>
          <w:szCs w:val="20"/>
          <w:lang w:val="sr-Latn-RS"/>
        </w:rPr>
      </w:pPr>
    </w:p>
    <w:p w14:paraId="3345694A">
      <w:pPr>
        <w:rPr>
          <w:rFonts w:ascii="Microsoft Sans Serif" w:hAnsi="Microsoft Sans Serif" w:cs="Microsoft Sans Serif"/>
          <w:b/>
          <w:bCs/>
          <w:sz w:val="20"/>
          <w:szCs w:val="20"/>
          <w:lang w:val="sr-Latn-RS"/>
        </w:rPr>
      </w:pPr>
    </w:p>
    <w:p w14:paraId="57233004">
      <w:pPr>
        <w:rPr>
          <w:rFonts w:ascii="Microsoft Sans Serif" w:hAnsi="Microsoft Sans Serif" w:cs="Microsoft Sans Serif"/>
          <w:b/>
          <w:bCs/>
          <w:sz w:val="20"/>
          <w:szCs w:val="20"/>
          <w:lang w:val="sr-Latn-RS"/>
        </w:rPr>
      </w:pPr>
    </w:p>
    <w:p w14:paraId="259029BA">
      <w:pPr>
        <w:rPr>
          <w:rFonts w:ascii="Microsoft Sans Serif" w:hAnsi="Microsoft Sans Serif" w:cs="Microsoft Sans Serif"/>
          <w:b/>
          <w:bCs/>
          <w:sz w:val="20"/>
          <w:szCs w:val="20"/>
          <w:lang w:val="sr-Latn-RS"/>
        </w:rPr>
      </w:pPr>
    </w:p>
    <w:p w14:paraId="055A9046">
      <w:pPr>
        <w:rPr>
          <w:rFonts w:ascii="Microsoft Sans Serif" w:hAnsi="Microsoft Sans Serif" w:cs="Microsoft Sans Serif"/>
          <w:b/>
          <w:bCs/>
          <w:sz w:val="20"/>
          <w:szCs w:val="20"/>
          <w:lang w:val="sr-Latn-RS"/>
        </w:rPr>
      </w:pPr>
    </w:p>
    <w:p w14:paraId="61F96F0A">
      <w:pPr>
        <w:rPr>
          <w:rFonts w:ascii="Microsoft Sans Serif" w:hAnsi="Microsoft Sans Serif" w:cs="Microsoft Sans Serif"/>
          <w:b/>
          <w:bCs/>
          <w:sz w:val="20"/>
          <w:szCs w:val="20"/>
          <w:lang w:val="sr-Latn-RS"/>
        </w:rPr>
      </w:pPr>
    </w:p>
    <w:p w14:paraId="7A1938CB">
      <w:pPr>
        <w:rPr>
          <w:rFonts w:ascii="Microsoft Sans Serif" w:hAnsi="Microsoft Sans Serif" w:cs="Microsoft Sans Serif"/>
          <w:b/>
          <w:bCs/>
          <w:sz w:val="20"/>
          <w:szCs w:val="20"/>
          <w:lang w:val="sr-Latn-RS"/>
        </w:rPr>
      </w:pPr>
    </w:p>
    <w:p w14:paraId="2CC7F803">
      <w:pPr>
        <w:rPr>
          <w:rFonts w:ascii="Microsoft Sans Serif" w:hAnsi="Microsoft Sans Serif" w:cs="Microsoft Sans Serif"/>
          <w:b/>
          <w:bCs/>
          <w:sz w:val="20"/>
          <w:szCs w:val="20"/>
          <w:lang w:val="sr-Latn-RS"/>
        </w:rPr>
      </w:pPr>
    </w:p>
    <w:p w14:paraId="140AA942">
      <w:pPr>
        <w:rPr>
          <w:rFonts w:ascii="Microsoft Sans Serif" w:hAnsi="Microsoft Sans Serif" w:cs="Microsoft Sans Serif"/>
          <w:b/>
          <w:bCs/>
          <w:sz w:val="20"/>
          <w:szCs w:val="20"/>
          <w:lang w:val="sr-Latn-RS"/>
        </w:rPr>
      </w:pPr>
    </w:p>
    <w:p w14:paraId="0666CC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3: Stope MR 4.5 tokom vremena - svi randomizovani pacijenti u studiji faze 3 sprovedenoj kod</w:t>
      </w:r>
    </w:p>
    <w:p w14:paraId="3FC8512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370FDAF1">
      <w:pPr>
        <w:rPr>
          <w:rFonts w:ascii="Microsoft Sans Serif" w:hAnsi="Microsoft Sans Serif" w:cs="Microsoft Sans Serif"/>
          <w:b/>
          <w:bCs/>
          <w:sz w:val="20"/>
          <w:szCs w:val="20"/>
          <w:lang w:val="sr-Latn-RS"/>
        </w:rPr>
      </w:pPr>
    </w:p>
    <w:p w14:paraId="764F2A10">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rPr>
        <mc:AlternateContent>
          <mc:Choice Requires="wps">
            <w:drawing>
              <wp:anchor distT="0" distB="0" distL="114300" distR="114300" simplePos="0" relativeHeight="251672576" behindDoc="0" locked="0" layoutInCell="1" allowOverlap="1">
                <wp:simplePos x="0" y="0"/>
                <wp:positionH relativeFrom="column">
                  <wp:posOffset>-1337310</wp:posOffset>
                </wp:positionH>
                <wp:positionV relativeFrom="paragraph">
                  <wp:posOffset>1153795</wp:posOffset>
                </wp:positionV>
                <wp:extent cx="2219960" cy="325120"/>
                <wp:effectExtent l="0" t="5080" r="22860" b="2286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60" cy="325120"/>
                        </a:xfrm>
                        <a:prstGeom prst="rect">
                          <a:avLst/>
                        </a:prstGeom>
                        <a:solidFill>
                          <a:srgbClr val="FFFFFF"/>
                        </a:solidFill>
                        <a:ln w="9525">
                          <a:solidFill>
                            <a:srgbClr val="000000"/>
                          </a:solidFill>
                          <a:miter lim="800000"/>
                        </a:ln>
                      </wps:spPr>
                      <wps:txb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3pt;margin-top:90.85pt;height:25.6pt;width:174.8pt;rotation:-5898240f;z-index:251672576;mso-width-relative:page;mso-height-relative:page;" fillcolor="#FFFFFF" filled="t" stroked="t" coordsize="21600,21600" o:gfxdata="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6/MB7aAAAADAEAAA8AAAAAAAAAAQAgAAAAIgAAAGRycy9kb3du&#10;cmV2LnhtbFBLAQIUABQAAAAIAIdO4kB/bxgFNgIAAIoEAAAOAAAAAAAAAAEAIAAAACkBAABkcnMv&#10;ZTJvRG9jLnhtbFBLBQYAAAAABgAGAFkBAADRBQAAAAA=&#10;">
                <v:fill on="t" focussize="0,0"/>
                <v:stroke color="#000000" miterlimit="8" joinstyle="miter"/>
                <v:imagedata o:title=""/>
                <o:lock v:ext="edit" aspectratio="f"/>
                <v:textbo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464820</wp:posOffset>
                </wp:positionV>
                <wp:extent cx="819150" cy="485775"/>
                <wp:effectExtent l="0" t="0" r="19050" b="28575"/>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ln>
                      </wps:spPr>
                      <wps:txb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pt;margin-top:36.6pt;height:38.25pt;width:64.5pt;z-index:251670528;mso-width-relative:page;mso-height-relative:page;" fillcolor="#FFFFFF" filled="t" stroked="t" coordsize="21600,21600" o:gfxdata="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N9wTZAAAACgEAAA8AAAAAAAAAAQAgAAAAIgAAAGRycy9kb3ducmV2LnhtbFBLAQIUABQA&#10;AAAIAIdO4kAPJEbpKAIAAHoEAAAOAAAAAAAAAAEAIAAAACgBAABkcnMvZTJvRG9jLnhtbFBLBQYA&#10;AAAABgAGAFkBAADCBQAAAAA=&#10;">
                <v:fill on="t" focussize="0,0"/>
                <v:stroke color="#000000" miterlimit="8" joinstyle="miter"/>
                <v:imagedata o:title=""/>
                <o:lock v:ext="edit" aspectratio="f"/>
                <v:textbo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1255395</wp:posOffset>
                </wp:positionV>
                <wp:extent cx="790575" cy="485775"/>
                <wp:effectExtent l="0" t="0" r="28575" b="285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ln>
                      </wps:spPr>
                      <wps:txb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25pt;margin-top:98.85pt;height:38.25pt;width:62.25pt;z-index:251667456;mso-width-relative:page;mso-height-relative:page;" fillcolor="#FFFFFF" filled="t" stroked="t" coordsize="21600,21600" o:gfxdata="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NiXZAAAACgEAAA8AAAAAAAAAAQAgAAAAIgAAAGRycy9kb3ducmV2LnhtbFBLAQIUABQA&#10;AAAIAIdO4kDnsF1EKAIAAHoEAAAOAAAAAAAAAAEAIAAAACgBAABkcnMvZTJvRG9jLnhtbFBLBQYA&#10;AAAABgAGAFkBAADCBQAAAAA=&#10;">
                <v:fill on="t" focussize="0,0"/>
                <v:stroke color="#000000" miterlimit="8" joinstyle="miter"/>
                <v:imagedata o:title=""/>
                <o:lock v:ext="edit" aspectratio="f"/>
                <v:textbo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1552" behindDoc="0" locked="0" layoutInCell="1" allowOverlap="1">
                <wp:simplePos x="0" y="0"/>
                <wp:positionH relativeFrom="column">
                  <wp:posOffset>3848100</wp:posOffset>
                </wp:positionH>
                <wp:positionV relativeFrom="paragraph">
                  <wp:posOffset>207645</wp:posOffset>
                </wp:positionV>
                <wp:extent cx="809625" cy="1403985"/>
                <wp:effectExtent l="0" t="0" r="28575" b="24765"/>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3pt;margin-top:16.35pt;height:110.55pt;width:63.75pt;z-index:251671552;mso-width-relative:page;mso-height-relative:margin;mso-height-percent:200;" fillcolor="#FFFFFF" filled="t" stroked="t" coordsize="21600,21600" o:gfxdata="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t7qzYAAAACgEAAA8AAAAAAAAAAQAgAAAAIgAAAGRycy9kb3ducmV2LnhtbFBLAQIUABQA&#10;AAAIAIdO4kBOC1G4KQIAAHsEAAAOAAAAAAAAAAEAIAAAACcBAABkcnMvZTJvRG9jLnhtbFBLBQYA&#10;AAAABgAGAFkBAADCBQAAAAA=&#10;">
                <v:fill on="t" focussize="0,0"/>
                <v:stroke color="#000000" miterlimit="8" joinstyle="miter"/>
                <v:imagedata o:title=""/>
                <o:lock v:ext="edit" aspectratio="f"/>
                <v:textbox style="mso-fit-shape-to-text:t;">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721995</wp:posOffset>
                </wp:positionV>
                <wp:extent cx="752475" cy="1403985"/>
                <wp:effectExtent l="0" t="0" r="28575" b="2476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ln>
                      </wps:spPr>
                      <wps:txbx>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7.25pt;margin-top:56.85pt;height:110.55pt;width:59.25pt;z-index:251669504;mso-width-relative:page;mso-height-relative:margin;mso-height-percent:200;" fillcolor="#FFFFFF" filled="t" stroked="t" coordsize="21600,21600" o:gfxdata="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oCdYAAAALAQAADwAAAAAAAAABACAAAAAiAAAAZHJzL2Rvd25yZXYueG1sUEsBAhQAFAAA&#10;AAgAh07iQDnHy6EqAgAAewQAAA4AAAAAAAAAAQAgAAAAJQEAAGRycy9lMm9Eb2MueG1sUEsFBgAA&#10;AAAGAAYAWQEAAMEFAAAAAA==&#10;">
                <v:fill on="t" focussize="0,0"/>
                <v:stroke color="#000000" miterlimit="8" joinstyle="miter"/>
                <v:imagedata o:title=""/>
                <o:lock v:ext="edit" aspectratio="f"/>
                <v:textbox style="mso-fit-shape-to-text:t;">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998220</wp:posOffset>
                </wp:positionV>
                <wp:extent cx="809625" cy="1403985"/>
                <wp:effectExtent l="0" t="0" r="28575" b="2476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6pt;margin-top:78.6pt;height:110.55pt;width:63.75pt;z-index:251668480;mso-width-relative:page;mso-height-relative:margin;mso-height-percent:200;" fillcolor="#FFFFFF" filled="t" stroked="t" coordsize="21600,21600" o:gfxdata="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J2/9cAAAALAQAADwAAAAAAAAABACAAAAAiAAAAZHJzL2Rvd25yZXYueG1sUEsBAhQAFAAA&#10;AAgAh07iQFIMdCcpAgAAewQAAA4AAAAAAAAAAQAgAAAAJgEAAGRycy9lMm9Eb2MueG1sUEsFBgAA&#10;AAAGAAYAWQEAAMEFAAAAAA==&#10;">
                <v:fill on="t" focussize="0,0"/>
                <v:stroke color="#000000" miterlimit="8" joinstyle="miter"/>
                <v:imagedata o:title=""/>
                <o:lock v:ext="edit" aspectratio="f"/>
                <v:textbox style="mso-fit-shape-to-text:t;">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v:textbox>
              </v:shape>
            </w:pict>
          </mc:Fallback>
        </mc:AlternateContent>
      </w:r>
      <w:r>
        <w:rPr>
          <w:rFonts w:ascii="Microsoft Sans Serif" w:hAnsi="Microsoft Sans Serif" w:cs="Microsoft Sans Serif"/>
          <w:b/>
          <w:bCs/>
          <w:sz w:val="20"/>
          <w:szCs w:val="20"/>
        </w:rPr>
        <w:drawing>
          <wp:inline distT="0" distB="0" distL="0" distR="0">
            <wp:extent cx="4822190" cy="2664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2190" cy="2664460"/>
                    </a:xfrm>
                    <a:prstGeom prst="rect">
                      <a:avLst/>
                    </a:prstGeom>
                    <a:noFill/>
                  </pic:spPr>
                </pic:pic>
              </a:graphicData>
            </a:graphic>
          </wp:inline>
        </w:drawing>
      </w:r>
    </w:p>
    <w:p w14:paraId="05EFDA2D">
      <w:pPr>
        <w:jc w:val="cente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Latn-RS"/>
        </w:rPr>
        <w:t xml:space="preserve">                                                                   </w:t>
      </w:r>
      <w:r>
        <w:rPr>
          <w:rFonts w:ascii="Microsoft Sans Serif" w:hAnsi="Microsoft Sans Serif" w:cs="Microsoft Sans Serif"/>
          <w:b/>
          <w:bCs/>
          <w:sz w:val="20"/>
          <w:szCs w:val="20"/>
          <w:lang w:val="sr-Latn-RS"/>
        </w:rPr>
        <w:t>Mjeseci od randomizacije</w:t>
      </w:r>
    </w:p>
    <w:p w14:paraId="629D69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4BF5B33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2881F23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1C35727C">
      <w:pPr>
        <w:rPr>
          <w:rFonts w:ascii="Microsoft Sans Serif" w:hAnsi="Microsoft Sans Serif" w:cs="Microsoft Sans Serif"/>
          <w:bCs/>
          <w:sz w:val="20"/>
          <w:szCs w:val="20"/>
          <w:u w:val="single"/>
          <w:lang w:val="sr-Latn-RS"/>
        </w:rPr>
      </w:pPr>
    </w:p>
    <w:p w14:paraId="2A1D00C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MMR u bilo kom trenutku kod svake rizične grupe utvrđena prema Hasford-ovom skoru bila je veća u grupi koja je dobijala dasatinib u poređenju sa grupom koja je dobijala imatinib (nizak rizik: 90% odnosno 69%; srednji rizik: 71% odnosno 65%; visok rizik: 67% odnosno 54%).</w:t>
      </w:r>
    </w:p>
    <w:p w14:paraId="1CD54321">
      <w:pPr>
        <w:rPr>
          <w:rFonts w:ascii="Microsoft Sans Serif" w:hAnsi="Microsoft Sans Serif" w:cs="Microsoft Sans Serif"/>
          <w:bCs/>
          <w:sz w:val="20"/>
          <w:szCs w:val="20"/>
          <w:lang w:val="sr-Latn-RS"/>
        </w:rPr>
      </w:pPr>
    </w:p>
    <w:p w14:paraId="159B87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dodatnoj analizi, rani molekularni odgovor (definisan kao nivoi BCR-ABL ≤ 10% u 3. mesecu) postigao je veći broj pacijenata lečenih dasatinibom (84%) nego pacijenata lečenih imatinibom (64%). Kod pacijenata koji su postigli rani molekularni odgovor postojao je manji rizik od transformacije, veća stopa preživljavanja bez progresije bolesti (PFS) i veća stopa ukupnog preživljavanja (OS), kao što je prikazano u Tabeli 10.</w:t>
      </w:r>
    </w:p>
    <w:p w14:paraId="0A9A862E">
      <w:pPr>
        <w:rPr>
          <w:rFonts w:ascii="Microsoft Sans Serif" w:hAnsi="Microsoft Sans Serif" w:cs="Microsoft Sans Serif"/>
          <w:bCs/>
          <w:sz w:val="20"/>
          <w:szCs w:val="20"/>
          <w:lang w:val="sr-Latn-RS"/>
        </w:rPr>
      </w:pPr>
    </w:p>
    <w:p w14:paraId="3C7D13D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10: Pacijenti liječeni dasatinibom koji su imali BCR-ABL ≤ 10% i &gt; 10% u 3. mjesecu</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3"/>
        <w:gridCol w:w="2842"/>
        <w:gridCol w:w="2797"/>
      </w:tblGrid>
      <w:tr w14:paraId="183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2" w:space="0"/>
              <w:bottom w:val="single" w:color="auto" w:sz="12" w:space="0"/>
            </w:tcBorders>
          </w:tcPr>
          <w:p w14:paraId="32A64ADF">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D</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spacing w:val="1"/>
                <w:position w:val="-1"/>
                <w:sz w:val="20"/>
                <w:szCs w:val="20"/>
              </w:rPr>
              <w:t>s</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position w:val="-1"/>
                <w:sz w:val="20"/>
                <w:szCs w:val="20"/>
              </w:rPr>
              <w:t>tinib</w:t>
            </w:r>
            <w:r>
              <w:rPr>
                <w:rFonts w:ascii="Microsoft Sans Serif" w:hAnsi="Microsoft Sans Serif" w:eastAsia="Calibri" w:cs="Microsoft Sans Serif"/>
                <w:b/>
                <w:bCs/>
                <w:spacing w:val="27"/>
                <w:position w:val="-1"/>
                <w:sz w:val="20"/>
                <w:szCs w:val="20"/>
              </w:rPr>
              <w:t xml:space="preserve"> </w:t>
            </w:r>
            <w:r>
              <w:rPr>
                <w:rFonts w:ascii="Microsoft Sans Serif" w:hAnsi="Microsoft Sans Serif" w:eastAsia="Calibri" w:cs="Microsoft Sans Serif"/>
                <w:b/>
                <w:bCs/>
                <w:position w:val="-1"/>
                <w:sz w:val="20"/>
                <w:szCs w:val="20"/>
              </w:rPr>
              <w:t>N</w:t>
            </w:r>
            <w:r>
              <w:rPr>
                <w:rFonts w:ascii="Microsoft Sans Serif" w:hAnsi="Microsoft Sans Serif" w:eastAsia="Calibri" w:cs="Microsoft Sans Serif"/>
                <w:b/>
                <w:bCs/>
                <w:spacing w:val="7"/>
                <w:position w:val="-1"/>
                <w:sz w:val="20"/>
                <w:szCs w:val="20"/>
              </w:rPr>
              <w:t xml:space="preserve"> </w:t>
            </w:r>
            <w:r>
              <w:rPr>
                <w:rFonts w:ascii="Microsoft Sans Serif" w:hAnsi="Microsoft Sans Serif" w:eastAsia="Calibri" w:cs="Microsoft Sans Serif"/>
                <w:b/>
                <w:bCs/>
                <w:position w:val="-1"/>
                <w:sz w:val="20"/>
                <w:szCs w:val="20"/>
              </w:rPr>
              <w:t>=</w:t>
            </w:r>
            <w:r>
              <w:rPr>
                <w:rFonts w:ascii="Microsoft Sans Serif" w:hAnsi="Microsoft Sans Serif" w:eastAsia="Calibri" w:cs="Microsoft Sans Serif"/>
                <w:b/>
                <w:bCs/>
                <w:spacing w:val="6"/>
                <w:position w:val="-1"/>
                <w:sz w:val="20"/>
                <w:szCs w:val="20"/>
              </w:rPr>
              <w:t xml:space="preserve"> </w:t>
            </w:r>
            <w:r>
              <w:rPr>
                <w:rFonts w:ascii="Microsoft Sans Serif" w:hAnsi="Microsoft Sans Serif" w:eastAsia="Calibri" w:cs="Microsoft Sans Serif"/>
                <w:b/>
                <w:bCs/>
                <w:w w:val="103"/>
                <w:position w:val="-1"/>
                <w:sz w:val="20"/>
                <w:szCs w:val="20"/>
              </w:rPr>
              <w:t>235</w:t>
            </w:r>
          </w:p>
        </w:tc>
        <w:tc>
          <w:tcPr>
            <w:tcW w:w="2842" w:type="dxa"/>
            <w:tcBorders>
              <w:top w:val="single" w:color="auto" w:sz="2" w:space="0"/>
              <w:bottom w:val="single" w:color="auto" w:sz="12" w:space="0"/>
            </w:tcBorders>
          </w:tcPr>
          <w:p w14:paraId="292E8EA3">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1452786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 10% u 3. mjesecu</w:t>
            </w:r>
          </w:p>
        </w:tc>
        <w:tc>
          <w:tcPr>
            <w:tcW w:w="2797" w:type="dxa"/>
            <w:tcBorders>
              <w:top w:val="single" w:color="auto" w:sz="2" w:space="0"/>
              <w:bottom w:val="single" w:color="auto" w:sz="12" w:space="0"/>
            </w:tcBorders>
          </w:tcPr>
          <w:p w14:paraId="423C2948">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7427067B">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&gt; 10% u 3. mjesecu</w:t>
            </w:r>
          </w:p>
        </w:tc>
      </w:tr>
      <w:tr w14:paraId="0EB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12" w:space="0"/>
            </w:tcBorders>
          </w:tcPr>
          <w:p w14:paraId="1BAF05D6">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Broj pacijenata (%)</w:t>
            </w:r>
          </w:p>
        </w:tc>
        <w:tc>
          <w:tcPr>
            <w:tcW w:w="2842" w:type="dxa"/>
            <w:tcBorders>
              <w:top w:val="single" w:color="auto" w:sz="12" w:space="0"/>
            </w:tcBorders>
          </w:tcPr>
          <w:p w14:paraId="247F9D0A">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198 (84,3)</w:t>
            </w:r>
          </w:p>
        </w:tc>
        <w:tc>
          <w:tcPr>
            <w:tcW w:w="2797" w:type="dxa"/>
            <w:tcBorders>
              <w:top w:val="single" w:color="auto" w:sz="12" w:space="0"/>
            </w:tcBorders>
          </w:tcPr>
          <w:p w14:paraId="4EB848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37 (15,7)</w:t>
            </w:r>
          </w:p>
        </w:tc>
      </w:tr>
      <w:tr w14:paraId="51C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50235494">
            <w:pPr>
              <w:widowControl w:val="0"/>
              <w:tabs>
                <w:tab w:val="left" w:pos="1300"/>
              </w:tabs>
              <w:spacing w:line="227" w:lineRule="exact"/>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Transformacija u 60. mesecu, n/N</w:t>
            </w:r>
          </w:p>
          <w:p w14:paraId="564F6D2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z w:val="20"/>
                <w:szCs w:val="20"/>
              </w:rPr>
              <w:t>)</w:t>
            </w:r>
          </w:p>
        </w:tc>
        <w:tc>
          <w:tcPr>
            <w:tcW w:w="2842" w:type="dxa"/>
          </w:tcPr>
          <w:p w14:paraId="401B08F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6/198 (3,0)</w:t>
            </w:r>
          </w:p>
        </w:tc>
        <w:tc>
          <w:tcPr>
            <w:tcW w:w="2797" w:type="dxa"/>
          </w:tcPr>
          <w:p w14:paraId="6834EF55">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5/37 (13,5)</w:t>
            </w:r>
          </w:p>
        </w:tc>
      </w:tr>
      <w:tr w14:paraId="191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7A554000">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Stopa PFS u 60. mesecu (95% CI)</w:t>
            </w:r>
          </w:p>
        </w:tc>
        <w:tc>
          <w:tcPr>
            <w:tcW w:w="2842" w:type="dxa"/>
          </w:tcPr>
          <w:p w14:paraId="33852D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92,0% (89,6, 95,2)</w:t>
            </w:r>
          </w:p>
        </w:tc>
        <w:tc>
          <w:tcPr>
            <w:tcW w:w="2797" w:type="dxa"/>
          </w:tcPr>
          <w:p w14:paraId="17259D6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73,8% (52,0, 86,8)</w:t>
            </w:r>
          </w:p>
        </w:tc>
      </w:tr>
      <w:tr w14:paraId="30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33" w:type="dxa"/>
            <w:tcBorders>
              <w:bottom w:val="single" w:color="auto" w:sz="2" w:space="0"/>
            </w:tcBorders>
          </w:tcPr>
          <w:p w14:paraId="66EDAD18">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w w:val="103"/>
                <w:position w:val="-1"/>
                <w:sz w:val="20"/>
                <w:szCs w:val="20"/>
              </w:rPr>
              <w:t>Stopa OS u 60. mesecu (95% CI)</w:t>
            </w:r>
          </w:p>
        </w:tc>
        <w:tc>
          <w:tcPr>
            <w:tcW w:w="2842" w:type="dxa"/>
            <w:tcBorders>
              <w:bottom w:val="single" w:color="auto" w:sz="2" w:space="0"/>
            </w:tcBorders>
          </w:tcPr>
          <w:p w14:paraId="47166D33">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93,8% (89,3, 96,4)</w:t>
            </w:r>
          </w:p>
        </w:tc>
        <w:tc>
          <w:tcPr>
            <w:tcW w:w="2797" w:type="dxa"/>
            <w:tcBorders>
              <w:bottom w:val="single" w:color="auto" w:sz="2" w:space="0"/>
            </w:tcBorders>
          </w:tcPr>
          <w:p w14:paraId="4268248E">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80,6% (63,5, 90,2)</w:t>
            </w:r>
          </w:p>
        </w:tc>
      </w:tr>
    </w:tbl>
    <w:p w14:paraId="06F32BB1">
      <w:pPr>
        <w:rPr>
          <w:rFonts w:ascii="Microsoft Sans Serif" w:hAnsi="Microsoft Sans Serif" w:cs="Microsoft Sans Serif"/>
          <w:b/>
          <w:bCs/>
          <w:sz w:val="20"/>
          <w:szCs w:val="20"/>
          <w:lang w:val="sr-Latn-RS"/>
        </w:rPr>
      </w:pPr>
    </w:p>
    <w:p w14:paraId="64965AF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OS u specifičnim vremenskim tačkama grafički je prikazana na Slici 4. Stopa OS konzistentno je bila ve’ kod pacijenata liječenih dasatinibom koji su postigli nivo BCR-ABL ≤ 10% u 3. mjesecu nego kod onih koji nisu.</w:t>
      </w:r>
    </w:p>
    <w:p w14:paraId="3E098548">
      <w:pPr>
        <w:rPr>
          <w:rFonts w:ascii="Microsoft Sans Serif" w:hAnsi="Microsoft Sans Serif" w:cs="Microsoft Sans Serif"/>
          <w:bCs/>
          <w:sz w:val="20"/>
          <w:szCs w:val="20"/>
          <w:lang w:val="sr-Latn-RS"/>
        </w:rPr>
      </w:pPr>
    </w:p>
    <w:p w14:paraId="0064CE5C">
      <w:pPr>
        <w:rPr>
          <w:rFonts w:ascii="Microsoft Sans Serif" w:hAnsi="Microsoft Sans Serif" w:cs="Microsoft Sans Serif"/>
          <w:b/>
          <w:bCs/>
          <w:sz w:val="20"/>
          <w:szCs w:val="20"/>
          <w:lang w:val="sr-Latn-RS"/>
        </w:rPr>
      </w:pPr>
    </w:p>
    <w:p w14:paraId="4C80F51C">
      <w:pPr>
        <w:rPr>
          <w:rFonts w:ascii="Microsoft Sans Serif" w:hAnsi="Microsoft Sans Serif" w:cs="Microsoft Sans Serif"/>
          <w:b/>
          <w:bCs/>
          <w:sz w:val="20"/>
          <w:szCs w:val="20"/>
          <w:lang w:val="sr-Latn-RS"/>
        </w:rPr>
      </w:pPr>
    </w:p>
    <w:p w14:paraId="0C135C24">
      <w:pPr>
        <w:rPr>
          <w:rFonts w:ascii="Microsoft Sans Serif" w:hAnsi="Microsoft Sans Serif" w:cs="Microsoft Sans Serif"/>
          <w:b/>
          <w:bCs/>
          <w:sz w:val="20"/>
          <w:szCs w:val="20"/>
          <w:lang w:val="sr-Latn-RS"/>
        </w:rPr>
      </w:pPr>
    </w:p>
    <w:p w14:paraId="0ABA4962">
      <w:pPr>
        <w:rPr>
          <w:rFonts w:ascii="Microsoft Sans Serif" w:hAnsi="Microsoft Sans Serif" w:cs="Microsoft Sans Serif"/>
          <w:b/>
          <w:bCs/>
          <w:sz w:val="20"/>
          <w:szCs w:val="20"/>
          <w:lang w:val="sr-Latn-RS"/>
        </w:rPr>
      </w:pPr>
    </w:p>
    <w:p w14:paraId="772BA77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4: Grafikon ključnih vremenskih tačaka za ukupno preživljavanje pri primjeni dasatiniba prema</w:t>
      </w:r>
    </w:p>
    <w:p w14:paraId="60C3765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nivou BCR-ABL (≤ 10% ili &gt; 10%) u 3. mjesecu u studiji faze 3 sprovedenoj kod</w:t>
      </w:r>
    </w:p>
    <w:p w14:paraId="3A26469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novodijagnostifikovanih pacijenata sa HML u hroničnoj fazi</w:t>
      </w:r>
    </w:p>
    <w:p w14:paraId="21725CD9">
      <w:pPr>
        <w:rPr>
          <w:rFonts w:ascii="Microsoft Sans Serif" w:hAnsi="Microsoft Sans Serif" w:cs="Microsoft Sans Serif"/>
          <w:b/>
          <w:bCs/>
          <w:sz w:val="20"/>
          <w:szCs w:val="20"/>
          <w:lang w:val="sr-Latn-RS"/>
        </w:rPr>
      </w:pPr>
    </w:p>
    <w:p w14:paraId="3B60AC07">
      <w:pPr>
        <w:rPr>
          <w:rFonts w:ascii="Microsoft Sans Serif" w:hAnsi="Microsoft Sans Serif" w:cs="Microsoft Sans Serif"/>
          <w:b/>
          <w:bCs/>
          <w:sz w:val="20"/>
          <w:szCs w:val="20"/>
          <w:lang w:val="sr-Latn-RS"/>
        </w:rPr>
      </w:pPr>
    </w:p>
    <w:p w14:paraId="06B44F0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826770</wp:posOffset>
                </wp:positionV>
                <wp:extent cx="1677035" cy="276225"/>
                <wp:effectExtent l="0" t="4763" r="14288" b="14287"/>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20" cy="276225"/>
                        </a:xfrm>
                        <a:prstGeom prst="rect">
                          <a:avLst/>
                        </a:prstGeom>
                        <a:solidFill>
                          <a:srgbClr val="FFFFFF"/>
                        </a:solidFill>
                        <a:ln w="9525">
                          <a:solidFill>
                            <a:srgbClr val="000000"/>
                          </a:solidFill>
                          <a:miter lim="800000"/>
                        </a:ln>
                      </wps:spPr>
                      <wps:txb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35pt;margin-top:65.1pt;height:21.75pt;width:132.05pt;rotation:-5898240f;z-index:251673600;mso-width-relative:page;mso-height-relative:page;" fillcolor="#FFFFFF" filled="t" stroked="t" coordsize="21600,21600" o:gfxdata="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sXbtoAAAALAQAADwAAAAAAAAABACAAAAAiAAAAZHJzL2Rvd25y&#10;ZXYueG1sUEsBAhQAFAAAAAgAh07iQOaqM4o1AgAAigQAAA4AAAAAAAAAAQAgAAAAKQEAAGRycy9l&#10;Mm9Eb2MueG1sUEsFBgAAAAAGAAYAWQEAANAFAAAAAA==&#10;">
                <v:fill on="t" focussize="0,0"/>
                <v:stroke color="#000000" miterlimit="8" joinstyle="miter"/>
                <v:imagedata o:title=""/>
                <o:lock v:ext="edit" aspectratio="f"/>
                <v:textbo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v:textbox>
              </v:shape>
            </w:pict>
          </mc:Fallback>
        </mc:AlternateContent>
      </w:r>
      <w:r>
        <w:rPr>
          <w:rFonts w:ascii="Microsoft Sans Serif" w:hAnsi="Microsoft Sans Serif" w:cs="Microsoft Sans Serif"/>
          <w:b/>
          <w:bCs/>
          <w:sz w:val="20"/>
          <w:szCs w:val="20"/>
        </w:rPr>
        <w:drawing>
          <wp:inline distT="0" distB="0" distL="0" distR="0">
            <wp:extent cx="564515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45150" cy="1987550"/>
                    </a:xfrm>
                    <a:prstGeom prst="rect">
                      <a:avLst/>
                    </a:prstGeom>
                    <a:noFill/>
                  </pic:spPr>
                </pic:pic>
              </a:graphicData>
            </a:graphic>
          </wp:inline>
        </w:drawing>
      </w:r>
    </w:p>
    <w:p w14:paraId="4E497CA4">
      <w:pPr>
        <w:rPr>
          <w:rFonts w:ascii="Microsoft Sans Serif" w:hAnsi="Microsoft Sans Serif" w:cs="Microsoft Sans Serif"/>
          <w:b/>
          <w:bCs/>
          <w:sz w:val="20"/>
          <w:szCs w:val="20"/>
          <w:lang w:val="sr-Latn-RS"/>
        </w:rPr>
      </w:pPr>
    </w:p>
    <w:p w14:paraId="743F6E06">
      <w:pPr>
        <w:jc w:val="right"/>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mjeseci</w:t>
      </w:r>
    </w:p>
    <w:tbl>
      <w:tblPr>
        <w:tblStyle w:val="12"/>
        <w:tblW w:w="9321" w:type="dxa"/>
        <w:tblInd w:w="-180" w:type="dxa"/>
        <w:tblLayout w:type="fixed"/>
        <w:tblCellMar>
          <w:top w:w="0" w:type="dxa"/>
          <w:left w:w="0" w:type="dxa"/>
          <w:bottom w:w="0" w:type="dxa"/>
          <w:right w:w="0" w:type="dxa"/>
        </w:tblCellMar>
      </w:tblPr>
      <w:tblGrid>
        <w:gridCol w:w="1546"/>
        <w:gridCol w:w="288"/>
        <w:gridCol w:w="320"/>
        <w:gridCol w:w="337"/>
        <w:gridCol w:w="337"/>
        <w:gridCol w:w="338"/>
        <w:gridCol w:w="326"/>
        <w:gridCol w:w="333"/>
        <w:gridCol w:w="348"/>
        <w:gridCol w:w="343"/>
        <w:gridCol w:w="1293"/>
        <w:gridCol w:w="378"/>
        <w:gridCol w:w="1959"/>
        <w:gridCol w:w="615"/>
        <w:gridCol w:w="244"/>
        <w:gridCol w:w="316"/>
      </w:tblGrid>
      <w:tr w14:paraId="41FC1DDF">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6F110A21">
            <w:pPr>
              <w:spacing w:line="197" w:lineRule="exact"/>
              <w:ind w:left="180" w:right="-20"/>
              <w:rPr>
                <w:sz w:val="18"/>
                <w:szCs w:val="18"/>
              </w:rPr>
            </w:pPr>
            <w:r>
              <w:rPr>
                <w:b/>
                <w:bCs/>
                <w:sz w:val="18"/>
                <w:szCs w:val="18"/>
              </w:rPr>
              <w:t>P</w:t>
            </w:r>
            <w:r>
              <w:rPr>
                <w:b/>
                <w:bCs/>
                <w:spacing w:val="-1"/>
                <w:sz w:val="18"/>
                <w:szCs w:val="18"/>
              </w:rPr>
              <w:t>a</w:t>
            </w:r>
            <w:r>
              <w:rPr>
                <w:b/>
                <w:bCs/>
                <w:sz w:val="18"/>
                <w:szCs w:val="18"/>
              </w:rPr>
              <w:t>cijenti u riziku</w:t>
            </w:r>
          </w:p>
          <w:p w14:paraId="7BBE86A0">
            <w:pPr>
              <w:spacing w:line="180" w:lineRule="exact"/>
              <w:ind w:left="180" w:right="-20"/>
              <w:rPr>
                <w:rFonts w:ascii="Arial" w:hAnsi="Arial" w:eastAsia="Arial" w:cs="Arial"/>
                <w:sz w:val="16"/>
                <w:szCs w:val="16"/>
              </w:rPr>
            </w:pPr>
          </w:p>
        </w:tc>
        <w:tc>
          <w:tcPr>
            <w:tcW w:w="288" w:type="dxa"/>
            <w:tcBorders>
              <w:top w:val="nil"/>
              <w:left w:val="nil"/>
              <w:bottom w:val="nil"/>
              <w:right w:val="nil"/>
            </w:tcBorders>
          </w:tcPr>
          <w:p w14:paraId="573FA508">
            <w:pPr>
              <w:ind w:left="64" w:right="-20"/>
              <w:rPr>
                <w:rFonts w:ascii="Arial" w:hAnsi="Arial" w:eastAsia="Arial" w:cs="Arial"/>
                <w:sz w:val="16"/>
                <w:szCs w:val="16"/>
              </w:rPr>
            </w:pPr>
          </w:p>
        </w:tc>
        <w:tc>
          <w:tcPr>
            <w:tcW w:w="320" w:type="dxa"/>
            <w:tcBorders>
              <w:top w:val="nil"/>
              <w:left w:val="nil"/>
              <w:bottom w:val="nil"/>
              <w:right w:val="nil"/>
            </w:tcBorders>
          </w:tcPr>
          <w:p w14:paraId="3FAAF5F4">
            <w:pPr>
              <w:ind w:left="83" w:right="-20"/>
              <w:rPr>
                <w:rFonts w:ascii="Arial" w:hAnsi="Arial" w:eastAsia="Arial" w:cs="Arial"/>
                <w:sz w:val="16"/>
                <w:szCs w:val="16"/>
              </w:rPr>
            </w:pPr>
          </w:p>
        </w:tc>
        <w:tc>
          <w:tcPr>
            <w:tcW w:w="337" w:type="dxa"/>
            <w:tcBorders>
              <w:top w:val="nil"/>
              <w:left w:val="nil"/>
              <w:bottom w:val="nil"/>
              <w:right w:val="nil"/>
            </w:tcBorders>
          </w:tcPr>
          <w:p w14:paraId="1CAA6783">
            <w:pPr>
              <w:ind w:left="101" w:right="-20"/>
              <w:rPr>
                <w:rFonts w:ascii="Arial" w:hAnsi="Arial" w:eastAsia="Arial" w:cs="Arial"/>
                <w:sz w:val="16"/>
                <w:szCs w:val="16"/>
              </w:rPr>
            </w:pPr>
          </w:p>
        </w:tc>
        <w:tc>
          <w:tcPr>
            <w:tcW w:w="337" w:type="dxa"/>
            <w:tcBorders>
              <w:top w:val="nil"/>
              <w:left w:val="nil"/>
              <w:bottom w:val="nil"/>
              <w:right w:val="nil"/>
            </w:tcBorders>
          </w:tcPr>
          <w:p w14:paraId="5051C636">
            <w:pPr>
              <w:ind w:left="101" w:right="-20"/>
              <w:rPr>
                <w:rFonts w:ascii="Arial" w:hAnsi="Arial" w:eastAsia="Arial" w:cs="Arial"/>
                <w:sz w:val="16"/>
                <w:szCs w:val="16"/>
              </w:rPr>
            </w:pPr>
          </w:p>
        </w:tc>
        <w:tc>
          <w:tcPr>
            <w:tcW w:w="338" w:type="dxa"/>
            <w:tcBorders>
              <w:top w:val="nil"/>
              <w:left w:val="nil"/>
              <w:bottom w:val="nil"/>
              <w:right w:val="nil"/>
            </w:tcBorders>
          </w:tcPr>
          <w:p w14:paraId="6C2DD33E">
            <w:pPr>
              <w:ind w:left="101" w:right="-20"/>
              <w:rPr>
                <w:rFonts w:ascii="Arial" w:hAnsi="Arial" w:eastAsia="Arial" w:cs="Arial"/>
                <w:sz w:val="16"/>
                <w:szCs w:val="16"/>
              </w:rPr>
            </w:pPr>
          </w:p>
        </w:tc>
        <w:tc>
          <w:tcPr>
            <w:tcW w:w="326" w:type="dxa"/>
            <w:tcBorders>
              <w:top w:val="nil"/>
              <w:left w:val="nil"/>
              <w:bottom w:val="nil"/>
              <w:right w:val="nil"/>
            </w:tcBorders>
          </w:tcPr>
          <w:p w14:paraId="350DD242">
            <w:pPr>
              <w:ind w:left="102" w:right="-20"/>
              <w:rPr>
                <w:rFonts w:ascii="Arial" w:hAnsi="Arial" w:eastAsia="Arial" w:cs="Arial"/>
                <w:sz w:val="16"/>
                <w:szCs w:val="16"/>
              </w:rPr>
            </w:pPr>
          </w:p>
        </w:tc>
        <w:tc>
          <w:tcPr>
            <w:tcW w:w="333" w:type="dxa"/>
            <w:tcBorders>
              <w:top w:val="nil"/>
              <w:left w:val="nil"/>
              <w:bottom w:val="nil"/>
              <w:right w:val="nil"/>
            </w:tcBorders>
          </w:tcPr>
          <w:p w14:paraId="6E47F4A2">
            <w:pPr>
              <w:ind w:left="103" w:right="-20"/>
              <w:rPr>
                <w:rFonts w:ascii="Arial" w:hAnsi="Arial" w:eastAsia="Arial" w:cs="Arial"/>
                <w:sz w:val="16"/>
                <w:szCs w:val="16"/>
              </w:rPr>
            </w:pPr>
          </w:p>
        </w:tc>
        <w:tc>
          <w:tcPr>
            <w:tcW w:w="348" w:type="dxa"/>
            <w:tcBorders>
              <w:top w:val="nil"/>
              <w:left w:val="nil"/>
              <w:bottom w:val="nil"/>
              <w:right w:val="nil"/>
            </w:tcBorders>
          </w:tcPr>
          <w:p w14:paraId="5980CFB4">
            <w:pPr>
              <w:ind w:left="108" w:right="-20"/>
              <w:rPr>
                <w:rFonts w:ascii="Arial" w:hAnsi="Arial" w:eastAsia="Arial" w:cs="Arial"/>
                <w:sz w:val="16"/>
                <w:szCs w:val="16"/>
              </w:rPr>
            </w:pPr>
          </w:p>
        </w:tc>
        <w:tc>
          <w:tcPr>
            <w:tcW w:w="343" w:type="dxa"/>
            <w:tcBorders>
              <w:top w:val="nil"/>
              <w:left w:val="nil"/>
              <w:bottom w:val="nil"/>
              <w:right w:val="nil"/>
            </w:tcBorders>
          </w:tcPr>
          <w:p w14:paraId="3DAD191D">
            <w:pPr>
              <w:ind w:left="106" w:right="-20"/>
              <w:rPr>
                <w:rFonts w:ascii="Arial" w:hAnsi="Arial" w:eastAsia="Arial" w:cs="Arial"/>
                <w:sz w:val="16"/>
                <w:szCs w:val="16"/>
              </w:rPr>
            </w:pPr>
          </w:p>
        </w:tc>
        <w:tc>
          <w:tcPr>
            <w:tcW w:w="1293" w:type="dxa"/>
            <w:tcBorders>
              <w:top w:val="nil"/>
              <w:left w:val="nil"/>
              <w:bottom w:val="nil"/>
              <w:right w:val="nil"/>
            </w:tcBorders>
          </w:tcPr>
          <w:p w14:paraId="34A93684">
            <w:pPr>
              <w:ind w:left="102" w:right="-20"/>
              <w:rPr>
                <w:rFonts w:ascii="Arial" w:hAnsi="Arial" w:eastAsia="Arial" w:cs="Arial"/>
                <w:sz w:val="16"/>
                <w:szCs w:val="16"/>
              </w:rPr>
            </w:pPr>
          </w:p>
        </w:tc>
        <w:tc>
          <w:tcPr>
            <w:tcW w:w="378" w:type="dxa"/>
            <w:tcBorders>
              <w:top w:val="nil"/>
              <w:left w:val="nil"/>
              <w:bottom w:val="nil"/>
              <w:right w:val="nil"/>
            </w:tcBorders>
          </w:tcPr>
          <w:p w14:paraId="5A9D3CA5">
            <w:pPr>
              <w:ind w:left="152" w:right="-20"/>
              <w:rPr>
                <w:rFonts w:ascii="Arial" w:hAnsi="Arial" w:eastAsia="Arial" w:cs="Arial"/>
                <w:sz w:val="16"/>
                <w:szCs w:val="16"/>
              </w:rPr>
            </w:pPr>
          </w:p>
        </w:tc>
        <w:tc>
          <w:tcPr>
            <w:tcW w:w="1959" w:type="dxa"/>
            <w:tcBorders>
              <w:top w:val="nil"/>
              <w:left w:val="nil"/>
              <w:bottom w:val="nil"/>
              <w:right w:val="nil"/>
            </w:tcBorders>
          </w:tcPr>
          <w:p w14:paraId="5D2C65D9">
            <w:pPr>
              <w:ind w:left="109" w:right="-20"/>
              <w:rPr>
                <w:rFonts w:ascii="Arial" w:hAnsi="Arial" w:eastAsia="Arial" w:cs="Arial"/>
                <w:sz w:val="16"/>
                <w:szCs w:val="16"/>
              </w:rPr>
            </w:pPr>
          </w:p>
        </w:tc>
        <w:tc>
          <w:tcPr>
            <w:tcW w:w="615" w:type="dxa"/>
            <w:tcBorders>
              <w:top w:val="nil"/>
              <w:left w:val="nil"/>
              <w:bottom w:val="nil"/>
              <w:right w:val="nil"/>
            </w:tcBorders>
          </w:tcPr>
          <w:p w14:paraId="0B4C22DB">
            <w:pPr>
              <w:ind w:left="140" w:right="-20"/>
              <w:rPr>
                <w:rFonts w:ascii="Arial" w:hAnsi="Arial" w:eastAsia="Arial" w:cs="Arial"/>
                <w:sz w:val="16"/>
                <w:szCs w:val="16"/>
              </w:rPr>
            </w:pPr>
          </w:p>
        </w:tc>
        <w:tc>
          <w:tcPr>
            <w:tcW w:w="244" w:type="dxa"/>
            <w:tcBorders>
              <w:top w:val="nil"/>
              <w:left w:val="nil"/>
              <w:bottom w:val="nil"/>
              <w:right w:val="nil"/>
            </w:tcBorders>
          </w:tcPr>
          <w:p w14:paraId="02E1EA0E">
            <w:pPr>
              <w:ind w:left="68" w:right="46"/>
              <w:jc w:val="center"/>
              <w:rPr>
                <w:rFonts w:ascii="Arial" w:hAnsi="Arial" w:eastAsia="Arial" w:cs="Arial"/>
                <w:sz w:val="16"/>
                <w:szCs w:val="16"/>
              </w:rPr>
            </w:pPr>
          </w:p>
        </w:tc>
        <w:tc>
          <w:tcPr>
            <w:tcW w:w="316" w:type="dxa"/>
            <w:tcBorders>
              <w:top w:val="nil"/>
              <w:left w:val="nil"/>
              <w:bottom w:val="nil"/>
              <w:right w:val="nil"/>
            </w:tcBorders>
          </w:tcPr>
          <w:p w14:paraId="2FDCBAEF">
            <w:pPr>
              <w:ind w:left="98" w:right="-20"/>
              <w:rPr>
                <w:rFonts w:ascii="Arial" w:hAnsi="Arial" w:eastAsia="Arial" w:cs="Arial"/>
                <w:sz w:val="16"/>
                <w:szCs w:val="16"/>
              </w:rPr>
            </w:pPr>
          </w:p>
        </w:tc>
      </w:tr>
      <w:tr w14:paraId="67076D4D">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0012C397">
            <w:pPr>
              <w:spacing w:line="197" w:lineRule="exact"/>
              <w:ind w:left="180" w:right="-20"/>
              <w:rPr>
                <w:b/>
                <w:bCs/>
                <w:sz w:val="18"/>
                <w:szCs w:val="18"/>
              </w:rPr>
            </w:pPr>
            <w:r>
              <w:rPr>
                <w:rFonts w:ascii="Arial" w:hAnsi="Arial" w:eastAsia="Arial" w:cs="Arial"/>
                <w:spacing w:val="-15"/>
                <w:w w:val="78"/>
                <w:sz w:val="16"/>
                <w:szCs w:val="16"/>
              </w:rPr>
              <w:t>&lt;=</w:t>
            </w:r>
            <w:r>
              <w:rPr>
                <w:rFonts w:ascii="Arial" w:hAnsi="Arial" w:eastAsia="Arial" w:cs="Arial"/>
                <w:spacing w:val="-14"/>
                <w:w w:val="78"/>
                <w:sz w:val="16"/>
                <w:szCs w:val="16"/>
              </w:rPr>
              <w:t>10</w:t>
            </w:r>
            <w:r>
              <w:rPr>
                <w:rFonts w:ascii="Arial" w:hAnsi="Arial" w:eastAsia="Arial" w:cs="Arial"/>
                <w:w w:val="78"/>
                <w:sz w:val="16"/>
                <w:szCs w:val="16"/>
              </w:rPr>
              <w:t xml:space="preserve">%    </w:t>
            </w:r>
            <w:r>
              <w:rPr>
                <w:rFonts w:ascii="Arial" w:hAnsi="Arial" w:eastAsia="Arial" w:cs="Arial"/>
                <w:spacing w:val="8"/>
                <w:w w:val="78"/>
                <w:sz w:val="16"/>
                <w:szCs w:val="16"/>
              </w:rPr>
              <w:t xml:space="preserve"> </w:t>
            </w:r>
            <w:r>
              <w:rPr>
                <w:rFonts w:ascii="Arial" w:hAnsi="Arial" w:eastAsia="Arial" w:cs="Arial"/>
                <w:spacing w:val="-10"/>
                <w:w w:val="78"/>
                <w:sz w:val="16"/>
                <w:szCs w:val="16"/>
              </w:rPr>
              <w:t>1</w:t>
            </w:r>
            <w:r>
              <w:rPr>
                <w:rFonts w:ascii="Arial" w:hAnsi="Arial" w:eastAsia="Arial" w:cs="Arial"/>
                <w:spacing w:val="-12"/>
                <w:w w:val="78"/>
                <w:sz w:val="16"/>
                <w:szCs w:val="16"/>
              </w:rPr>
              <w:t>9</w:t>
            </w:r>
            <w:r>
              <w:rPr>
                <w:rFonts w:ascii="Arial" w:hAnsi="Arial" w:eastAsia="Arial" w:cs="Arial"/>
                <w:w w:val="78"/>
                <w:sz w:val="16"/>
                <w:szCs w:val="16"/>
              </w:rPr>
              <w:t xml:space="preserve">8   </w:t>
            </w:r>
            <w:r>
              <w:rPr>
                <w:rFonts w:ascii="Arial" w:hAnsi="Arial" w:eastAsia="Arial" w:cs="Arial"/>
                <w:spacing w:val="11"/>
                <w:w w:val="78"/>
                <w:sz w:val="16"/>
                <w:szCs w:val="16"/>
              </w:rPr>
              <w:t xml:space="preserve"> </w:t>
            </w:r>
            <w:r>
              <w:rPr>
                <w:rFonts w:ascii="Arial" w:hAnsi="Arial" w:eastAsia="Arial" w:cs="Arial"/>
                <w:spacing w:val="-16"/>
                <w:w w:val="82"/>
                <w:sz w:val="16"/>
                <w:szCs w:val="16"/>
              </w:rPr>
              <w:t>1</w:t>
            </w:r>
            <w:r>
              <w:rPr>
                <w:rFonts w:ascii="Arial" w:hAnsi="Arial" w:eastAsia="Arial" w:cs="Arial"/>
                <w:spacing w:val="-13"/>
                <w:w w:val="82"/>
                <w:sz w:val="16"/>
                <w:szCs w:val="16"/>
              </w:rPr>
              <w:t>9</w:t>
            </w:r>
            <w:r>
              <w:rPr>
                <w:rFonts w:ascii="Arial" w:hAnsi="Arial" w:eastAsia="Arial" w:cs="Arial"/>
                <w:w w:val="82"/>
                <w:sz w:val="16"/>
                <w:szCs w:val="16"/>
              </w:rPr>
              <w:t>8</w:t>
            </w:r>
          </w:p>
        </w:tc>
        <w:tc>
          <w:tcPr>
            <w:tcW w:w="288" w:type="dxa"/>
            <w:tcBorders>
              <w:top w:val="nil"/>
              <w:left w:val="nil"/>
              <w:bottom w:val="nil"/>
              <w:right w:val="nil"/>
            </w:tcBorders>
          </w:tcPr>
          <w:p w14:paraId="6AE62795">
            <w:pPr>
              <w:spacing w:before="3" w:line="190" w:lineRule="exact"/>
              <w:rPr>
                <w:sz w:val="19"/>
                <w:szCs w:val="19"/>
              </w:rPr>
            </w:pPr>
            <w:r>
              <w:rPr>
                <w:rFonts w:ascii="Arial" w:hAnsi="Arial" w:eastAsia="Arial" w:cs="Arial"/>
                <w:spacing w:val="-16"/>
                <w:w w:val="82"/>
                <w:sz w:val="16"/>
                <w:szCs w:val="16"/>
              </w:rPr>
              <w:t>197</w:t>
            </w:r>
          </w:p>
        </w:tc>
        <w:tc>
          <w:tcPr>
            <w:tcW w:w="320" w:type="dxa"/>
            <w:tcBorders>
              <w:top w:val="nil"/>
              <w:left w:val="nil"/>
              <w:bottom w:val="nil"/>
              <w:right w:val="nil"/>
            </w:tcBorders>
          </w:tcPr>
          <w:p w14:paraId="1A897405">
            <w:pPr>
              <w:spacing w:before="3" w:line="190" w:lineRule="exact"/>
              <w:rPr>
                <w:sz w:val="19"/>
                <w:szCs w:val="19"/>
              </w:rPr>
            </w:pPr>
            <w:r>
              <w:rPr>
                <w:rFonts w:ascii="Arial" w:hAnsi="Arial" w:eastAsia="Arial" w:cs="Arial"/>
                <w:spacing w:val="-16"/>
                <w:w w:val="82"/>
                <w:sz w:val="16"/>
                <w:szCs w:val="16"/>
              </w:rPr>
              <w:t>196</w:t>
            </w:r>
          </w:p>
        </w:tc>
        <w:tc>
          <w:tcPr>
            <w:tcW w:w="337" w:type="dxa"/>
            <w:tcBorders>
              <w:top w:val="nil"/>
              <w:left w:val="nil"/>
              <w:bottom w:val="nil"/>
              <w:right w:val="nil"/>
            </w:tcBorders>
          </w:tcPr>
          <w:p w14:paraId="2634B2DE">
            <w:pPr>
              <w:spacing w:before="3" w:line="190" w:lineRule="exact"/>
              <w:rPr>
                <w:sz w:val="19"/>
                <w:szCs w:val="19"/>
              </w:rPr>
            </w:pPr>
            <w:r>
              <w:rPr>
                <w:rFonts w:ascii="Arial" w:hAnsi="Arial" w:eastAsia="Arial" w:cs="Arial"/>
                <w:spacing w:val="-16"/>
                <w:w w:val="82"/>
                <w:sz w:val="16"/>
                <w:szCs w:val="16"/>
              </w:rPr>
              <w:t>195</w:t>
            </w:r>
          </w:p>
        </w:tc>
        <w:tc>
          <w:tcPr>
            <w:tcW w:w="337" w:type="dxa"/>
            <w:tcBorders>
              <w:top w:val="nil"/>
              <w:left w:val="nil"/>
              <w:bottom w:val="nil"/>
              <w:right w:val="nil"/>
            </w:tcBorders>
          </w:tcPr>
          <w:p w14:paraId="4EBEBA53">
            <w:pPr>
              <w:spacing w:before="3" w:line="190" w:lineRule="exact"/>
              <w:rPr>
                <w:sz w:val="19"/>
                <w:szCs w:val="19"/>
              </w:rPr>
            </w:pPr>
            <w:r>
              <w:rPr>
                <w:rFonts w:ascii="Arial" w:hAnsi="Arial" w:eastAsia="Arial" w:cs="Arial"/>
                <w:spacing w:val="-16"/>
                <w:w w:val="82"/>
                <w:sz w:val="16"/>
                <w:szCs w:val="16"/>
              </w:rPr>
              <w:t>193</w:t>
            </w:r>
          </w:p>
        </w:tc>
        <w:tc>
          <w:tcPr>
            <w:tcW w:w="338" w:type="dxa"/>
            <w:tcBorders>
              <w:top w:val="nil"/>
              <w:left w:val="nil"/>
              <w:bottom w:val="nil"/>
              <w:right w:val="nil"/>
            </w:tcBorders>
          </w:tcPr>
          <w:p w14:paraId="05FEED87">
            <w:pPr>
              <w:spacing w:before="3" w:line="190" w:lineRule="exact"/>
              <w:rPr>
                <w:sz w:val="19"/>
                <w:szCs w:val="19"/>
              </w:rPr>
            </w:pPr>
            <w:r>
              <w:rPr>
                <w:rFonts w:ascii="Arial" w:hAnsi="Arial" w:eastAsia="Arial" w:cs="Arial"/>
                <w:spacing w:val="-16"/>
                <w:w w:val="82"/>
                <w:sz w:val="16"/>
                <w:szCs w:val="16"/>
              </w:rPr>
              <w:t>193</w:t>
            </w:r>
          </w:p>
        </w:tc>
        <w:tc>
          <w:tcPr>
            <w:tcW w:w="326" w:type="dxa"/>
            <w:tcBorders>
              <w:top w:val="nil"/>
              <w:left w:val="nil"/>
              <w:bottom w:val="nil"/>
              <w:right w:val="nil"/>
            </w:tcBorders>
          </w:tcPr>
          <w:p w14:paraId="1FEB12AF">
            <w:pPr>
              <w:spacing w:before="3" w:line="190" w:lineRule="exact"/>
              <w:rPr>
                <w:sz w:val="19"/>
                <w:szCs w:val="19"/>
              </w:rPr>
            </w:pPr>
            <w:r>
              <w:rPr>
                <w:rFonts w:ascii="Arial" w:hAnsi="Arial" w:eastAsia="Arial" w:cs="Arial"/>
                <w:spacing w:val="-21"/>
                <w:w w:val="82"/>
                <w:sz w:val="16"/>
                <w:szCs w:val="16"/>
              </w:rPr>
              <w:t>191</w:t>
            </w:r>
          </w:p>
        </w:tc>
        <w:tc>
          <w:tcPr>
            <w:tcW w:w="333" w:type="dxa"/>
            <w:tcBorders>
              <w:top w:val="nil"/>
              <w:left w:val="nil"/>
              <w:bottom w:val="nil"/>
              <w:right w:val="nil"/>
            </w:tcBorders>
          </w:tcPr>
          <w:p w14:paraId="183897B9">
            <w:pPr>
              <w:spacing w:before="3" w:line="190" w:lineRule="exact"/>
              <w:rPr>
                <w:sz w:val="19"/>
                <w:szCs w:val="19"/>
              </w:rPr>
            </w:pPr>
            <w:r>
              <w:rPr>
                <w:rFonts w:ascii="Arial" w:hAnsi="Arial" w:eastAsia="Arial" w:cs="Arial"/>
                <w:spacing w:val="-21"/>
                <w:w w:val="82"/>
                <w:sz w:val="16"/>
                <w:szCs w:val="16"/>
              </w:rPr>
              <w:t>191</w:t>
            </w:r>
          </w:p>
        </w:tc>
        <w:tc>
          <w:tcPr>
            <w:tcW w:w="348" w:type="dxa"/>
            <w:tcBorders>
              <w:top w:val="nil"/>
              <w:left w:val="nil"/>
              <w:bottom w:val="nil"/>
              <w:right w:val="nil"/>
            </w:tcBorders>
          </w:tcPr>
          <w:p w14:paraId="4E214702">
            <w:pPr>
              <w:spacing w:before="3" w:line="190" w:lineRule="exact"/>
              <w:rPr>
                <w:sz w:val="19"/>
                <w:szCs w:val="19"/>
              </w:rPr>
            </w:pPr>
            <w:r>
              <w:rPr>
                <w:rFonts w:ascii="Arial" w:hAnsi="Arial" w:eastAsia="Arial" w:cs="Arial"/>
                <w:spacing w:val="-16"/>
                <w:w w:val="82"/>
                <w:sz w:val="16"/>
                <w:szCs w:val="16"/>
              </w:rPr>
              <w:t>190</w:t>
            </w:r>
          </w:p>
        </w:tc>
        <w:tc>
          <w:tcPr>
            <w:tcW w:w="343" w:type="dxa"/>
            <w:tcBorders>
              <w:top w:val="nil"/>
              <w:left w:val="nil"/>
              <w:bottom w:val="nil"/>
              <w:right w:val="nil"/>
            </w:tcBorders>
          </w:tcPr>
          <w:p w14:paraId="6DADF768">
            <w:pPr>
              <w:spacing w:before="3" w:line="190" w:lineRule="exact"/>
              <w:rPr>
                <w:sz w:val="19"/>
                <w:szCs w:val="19"/>
              </w:rPr>
            </w:pPr>
            <w:r>
              <w:rPr>
                <w:rFonts w:ascii="Arial" w:hAnsi="Arial" w:eastAsia="Arial" w:cs="Arial"/>
                <w:spacing w:val="-16"/>
                <w:w w:val="82"/>
                <w:sz w:val="16"/>
                <w:szCs w:val="16"/>
              </w:rPr>
              <w:t>188</w:t>
            </w:r>
          </w:p>
        </w:tc>
        <w:tc>
          <w:tcPr>
            <w:tcW w:w="1293" w:type="dxa"/>
            <w:tcBorders>
              <w:top w:val="nil"/>
              <w:left w:val="nil"/>
              <w:bottom w:val="nil"/>
              <w:right w:val="nil"/>
            </w:tcBorders>
          </w:tcPr>
          <w:p w14:paraId="45F94F43">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7   </w:t>
            </w:r>
            <w:r>
              <w:rPr>
                <w:rFonts w:ascii="Arial" w:hAnsi="Arial" w:eastAsia="Arial" w:cs="Arial"/>
                <w:spacing w:val="6"/>
                <w:w w:val="79"/>
                <w:sz w:val="16"/>
                <w:szCs w:val="16"/>
              </w:rPr>
              <w:t xml:space="preserve"> </w:t>
            </w:r>
            <w:r>
              <w:rPr>
                <w:rFonts w:ascii="Arial" w:hAnsi="Arial" w:eastAsia="Arial" w:cs="Arial"/>
                <w:spacing w:val="-13"/>
                <w:w w:val="79"/>
                <w:sz w:val="16"/>
                <w:szCs w:val="16"/>
              </w:rPr>
              <w:t>1</w:t>
            </w:r>
            <w:r>
              <w:rPr>
                <w:rFonts w:ascii="Arial" w:hAnsi="Arial" w:eastAsia="Arial" w:cs="Arial"/>
                <w:spacing w:val="-10"/>
                <w:w w:val="79"/>
                <w:sz w:val="16"/>
                <w:szCs w:val="16"/>
              </w:rPr>
              <w:t>8</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18</w:t>
            </w:r>
            <w:r>
              <w:rPr>
                <w:rFonts w:ascii="Arial" w:hAnsi="Arial" w:eastAsia="Arial" w:cs="Arial"/>
                <w:w w:val="79"/>
                <w:sz w:val="16"/>
                <w:szCs w:val="16"/>
              </w:rPr>
              <w:t xml:space="preserve">4   </w:t>
            </w:r>
            <w:r>
              <w:rPr>
                <w:rFonts w:ascii="Arial" w:hAnsi="Arial" w:eastAsia="Arial" w:cs="Arial"/>
                <w:spacing w:val="28"/>
                <w:w w:val="79"/>
                <w:sz w:val="16"/>
                <w:szCs w:val="16"/>
              </w:rPr>
              <w:t xml:space="preserve"> </w:t>
            </w:r>
            <w:r>
              <w:rPr>
                <w:rFonts w:ascii="Arial" w:hAnsi="Arial" w:eastAsia="Arial" w:cs="Arial"/>
                <w:spacing w:val="-21"/>
                <w:w w:val="82"/>
                <w:sz w:val="16"/>
                <w:szCs w:val="16"/>
              </w:rPr>
              <w:t>182</w:t>
            </w:r>
          </w:p>
        </w:tc>
        <w:tc>
          <w:tcPr>
            <w:tcW w:w="378" w:type="dxa"/>
            <w:tcBorders>
              <w:top w:val="nil"/>
              <w:left w:val="nil"/>
              <w:bottom w:val="nil"/>
              <w:right w:val="nil"/>
            </w:tcBorders>
          </w:tcPr>
          <w:p w14:paraId="08628832">
            <w:pPr>
              <w:spacing w:before="3" w:line="190" w:lineRule="exact"/>
              <w:rPr>
                <w:sz w:val="19"/>
                <w:szCs w:val="19"/>
              </w:rPr>
            </w:pPr>
            <w:r>
              <w:rPr>
                <w:rFonts w:ascii="Arial" w:hAnsi="Arial" w:eastAsia="Arial" w:cs="Arial"/>
                <w:spacing w:val="-21"/>
                <w:w w:val="82"/>
                <w:sz w:val="16"/>
                <w:szCs w:val="16"/>
              </w:rPr>
              <w:t>181</w:t>
            </w:r>
          </w:p>
        </w:tc>
        <w:tc>
          <w:tcPr>
            <w:tcW w:w="1959" w:type="dxa"/>
            <w:tcBorders>
              <w:top w:val="nil"/>
              <w:left w:val="nil"/>
              <w:bottom w:val="nil"/>
              <w:right w:val="nil"/>
            </w:tcBorders>
          </w:tcPr>
          <w:p w14:paraId="470FAB3F">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0  </w:t>
            </w:r>
            <w:r>
              <w:rPr>
                <w:rFonts w:ascii="Arial" w:hAnsi="Arial" w:eastAsia="Arial" w:cs="Arial"/>
                <w:spacing w:val="27"/>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9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9    </w:t>
            </w:r>
            <w:r>
              <w:rPr>
                <w:rFonts w:ascii="Arial" w:hAnsi="Arial" w:eastAsia="Arial" w:cs="Arial"/>
                <w:spacing w:val="6"/>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1    </w:t>
            </w:r>
            <w:r>
              <w:rPr>
                <w:rFonts w:ascii="Arial" w:hAnsi="Arial" w:eastAsia="Arial" w:cs="Arial"/>
                <w:spacing w:val="6"/>
                <w:w w:val="79"/>
                <w:sz w:val="16"/>
                <w:szCs w:val="16"/>
              </w:rPr>
              <w:t xml:space="preserve"> </w:t>
            </w:r>
            <w:r>
              <w:rPr>
                <w:rFonts w:ascii="Arial" w:hAnsi="Arial" w:eastAsia="Arial" w:cs="Arial"/>
                <w:spacing w:val="-11"/>
                <w:w w:val="82"/>
                <w:sz w:val="16"/>
                <w:szCs w:val="16"/>
              </w:rPr>
              <w:t>96</w:t>
            </w:r>
          </w:p>
        </w:tc>
        <w:tc>
          <w:tcPr>
            <w:tcW w:w="615" w:type="dxa"/>
            <w:tcBorders>
              <w:top w:val="nil"/>
              <w:left w:val="nil"/>
              <w:bottom w:val="nil"/>
              <w:right w:val="nil"/>
            </w:tcBorders>
          </w:tcPr>
          <w:p w14:paraId="3F297BDC">
            <w:pPr>
              <w:spacing w:before="3" w:line="190" w:lineRule="exact"/>
              <w:rPr>
                <w:sz w:val="19"/>
                <w:szCs w:val="19"/>
              </w:rPr>
            </w:pPr>
            <w:r>
              <w:rPr>
                <w:rFonts w:ascii="Arial" w:hAnsi="Arial" w:eastAsia="Arial" w:cs="Arial"/>
                <w:spacing w:val="-9"/>
                <w:w w:val="80"/>
                <w:sz w:val="16"/>
                <w:szCs w:val="16"/>
              </w:rPr>
              <w:t>5</w:t>
            </w:r>
            <w:r>
              <w:rPr>
                <w:rFonts w:ascii="Arial" w:hAnsi="Arial" w:eastAsia="Arial" w:cs="Arial"/>
                <w:w w:val="80"/>
                <w:sz w:val="16"/>
                <w:szCs w:val="16"/>
              </w:rPr>
              <w:t xml:space="preserve">4    </w:t>
            </w:r>
            <w:r>
              <w:rPr>
                <w:rFonts w:ascii="Arial" w:hAnsi="Arial" w:eastAsia="Arial" w:cs="Arial"/>
                <w:spacing w:val="7"/>
                <w:w w:val="80"/>
                <w:sz w:val="16"/>
                <w:szCs w:val="16"/>
              </w:rPr>
              <w:t xml:space="preserve"> </w:t>
            </w:r>
            <w:r>
              <w:rPr>
                <w:rFonts w:ascii="Arial" w:hAnsi="Arial" w:eastAsia="Arial" w:cs="Arial"/>
                <w:spacing w:val="-11"/>
                <w:w w:val="82"/>
                <w:sz w:val="16"/>
                <w:szCs w:val="16"/>
              </w:rPr>
              <w:t>29</w:t>
            </w:r>
          </w:p>
        </w:tc>
        <w:tc>
          <w:tcPr>
            <w:tcW w:w="244" w:type="dxa"/>
            <w:tcBorders>
              <w:top w:val="nil"/>
              <w:left w:val="nil"/>
              <w:bottom w:val="nil"/>
              <w:right w:val="nil"/>
            </w:tcBorders>
          </w:tcPr>
          <w:p w14:paraId="358176F2">
            <w:pPr>
              <w:spacing w:before="3" w:line="190" w:lineRule="exact"/>
              <w:rPr>
                <w:sz w:val="19"/>
                <w:szCs w:val="19"/>
              </w:rPr>
            </w:pPr>
            <w:r>
              <w:rPr>
                <w:rFonts w:ascii="Arial" w:hAnsi="Arial" w:eastAsia="Arial" w:cs="Arial"/>
                <w:w w:val="82"/>
                <w:sz w:val="16"/>
                <w:szCs w:val="16"/>
              </w:rPr>
              <w:t>3</w:t>
            </w:r>
          </w:p>
        </w:tc>
        <w:tc>
          <w:tcPr>
            <w:tcW w:w="316" w:type="dxa"/>
            <w:tcBorders>
              <w:top w:val="nil"/>
              <w:left w:val="nil"/>
              <w:bottom w:val="nil"/>
              <w:right w:val="nil"/>
            </w:tcBorders>
          </w:tcPr>
          <w:p w14:paraId="42BCFB74">
            <w:pPr>
              <w:spacing w:before="3" w:line="190" w:lineRule="exact"/>
              <w:rPr>
                <w:sz w:val="19"/>
                <w:szCs w:val="19"/>
              </w:rPr>
            </w:pPr>
            <w:r>
              <w:rPr>
                <w:rFonts w:ascii="Arial" w:hAnsi="Arial" w:eastAsia="Arial" w:cs="Arial"/>
                <w:w w:val="82"/>
                <w:sz w:val="16"/>
                <w:szCs w:val="16"/>
              </w:rPr>
              <w:t>0</w:t>
            </w:r>
          </w:p>
        </w:tc>
      </w:tr>
      <w:tr w14:paraId="1A5C9D68">
        <w:tblPrEx>
          <w:tblCellMar>
            <w:top w:w="0" w:type="dxa"/>
            <w:left w:w="0" w:type="dxa"/>
            <w:bottom w:w="0" w:type="dxa"/>
            <w:right w:w="0" w:type="dxa"/>
          </w:tblCellMar>
        </w:tblPrEx>
        <w:trPr>
          <w:trHeight w:val="287" w:hRule="exact"/>
        </w:trPr>
        <w:tc>
          <w:tcPr>
            <w:tcW w:w="1546" w:type="dxa"/>
            <w:tcBorders>
              <w:top w:val="nil"/>
              <w:left w:val="nil"/>
              <w:bottom w:val="nil"/>
              <w:right w:val="nil"/>
            </w:tcBorders>
          </w:tcPr>
          <w:p w14:paraId="22F90CD9">
            <w:pPr>
              <w:tabs>
                <w:tab w:val="left" w:pos="720"/>
              </w:tabs>
              <w:spacing w:line="178" w:lineRule="exact"/>
              <w:ind w:left="180" w:right="-20"/>
              <w:rPr>
                <w:rFonts w:ascii="Arial" w:hAnsi="Arial" w:eastAsia="Arial" w:cs="Arial"/>
                <w:sz w:val="16"/>
                <w:szCs w:val="16"/>
              </w:rPr>
            </w:pPr>
            <w:r>
              <w:rPr>
                <w:rFonts w:ascii="Arial" w:hAnsi="Arial" w:eastAsia="Arial" w:cs="Arial"/>
                <w:spacing w:val="-13"/>
                <w:w w:val="79"/>
                <w:sz w:val="16"/>
                <w:szCs w:val="16"/>
              </w:rPr>
              <w:t>&gt;10</w:t>
            </w:r>
            <w:r>
              <w:rPr>
                <w:rFonts w:ascii="Arial" w:hAnsi="Arial" w:eastAsia="Arial" w:cs="Arial"/>
                <w:w w:val="79"/>
                <w:sz w:val="16"/>
                <w:szCs w:val="16"/>
              </w:rPr>
              <w:t>%</w:t>
            </w:r>
            <w:r>
              <w:rPr>
                <w:rFonts w:ascii="Arial" w:hAnsi="Arial" w:eastAsia="Arial" w:cs="Arial"/>
                <w:spacing w:val="-33"/>
                <w:w w:val="79"/>
                <w:sz w:val="16"/>
                <w:szCs w:val="16"/>
              </w:rPr>
              <w:t xml:space="preserve"> </w:t>
            </w:r>
            <w:r>
              <w:rPr>
                <w:rFonts w:ascii="Arial" w:hAnsi="Arial" w:eastAsia="Arial" w:cs="Arial"/>
                <w:sz w:val="16"/>
                <w:szCs w:val="16"/>
              </w:rPr>
              <w:tab/>
            </w:r>
            <w:r>
              <w:rPr>
                <w:rFonts w:ascii="Arial" w:hAnsi="Arial" w:eastAsia="Arial" w:cs="Arial"/>
                <w:spacing w:val="-9"/>
                <w:w w:val="79"/>
                <w:sz w:val="16"/>
                <w:szCs w:val="16"/>
              </w:rPr>
              <w:t>3</w:t>
            </w:r>
            <w:r>
              <w:rPr>
                <w:rFonts w:ascii="Arial" w:hAnsi="Arial" w:eastAsia="Arial" w:cs="Arial"/>
                <w:w w:val="79"/>
                <w:sz w:val="16"/>
                <w:szCs w:val="16"/>
              </w:rPr>
              <w:t xml:space="preserve">7    </w:t>
            </w:r>
            <w:r>
              <w:rPr>
                <w:rFonts w:ascii="Arial" w:hAnsi="Arial" w:eastAsia="Arial" w:cs="Arial"/>
                <w:spacing w:val="20"/>
                <w:w w:val="79"/>
                <w:sz w:val="16"/>
                <w:szCs w:val="16"/>
              </w:rPr>
              <w:t xml:space="preserve"> </w:t>
            </w:r>
            <w:r>
              <w:rPr>
                <w:rFonts w:ascii="Arial" w:hAnsi="Arial" w:eastAsia="Arial" w:cs="Arial"/>
                <w:spacing w:val="-11"/>
                <w:w w:val="82"/>
                <w:sz w:val="16"/>
                <w:szCs w:val="16"/>
              </w:rPr>
              <w:t>37</w:t>
            </w:r>
          </w:p>
        </w:tc>
        <w:tc>
          <w:tcPr>
            <w:tcW w:w="288" w:type="dxa"/>
            <w:tcBorders>
              <w:top w:val="nil"/>
              <w:left w:val="nil"/>
              <w:bottom w:val="nil"/>
              <w:right w:val="nil"/>
            </w:tcBorders>
          </w:tcPr>
          <w:p w14:paraId="476EAD8F">
            <w:pPr>
              <w:spacing w:line="178" w:lineRule="exact"/>
              <w:ind w:left="88" w:right="-20"/>
              <w:rPr>
                <w:rFonts w:ascii="Arial" w:hAnsi="Arial" w:eastAsia="Arial" w:cs="Arial"/>
                <w:sz w:val="16"/>
                <w:szCs w:val="16"/>
              </w:rPr>
            </w:pPr>
            <w:r>
              <w:rPr>
                <w:rFonts w:ascii="Arial" w:hAnsi="Arial" w:eastAsia="Arial" w:cs="Arial"/>
                <w:spacing w:val="-11"/>
                <w:w w:val="82"/>
                <w:sz w:val="16"/>
                <w:szCs w:val="16"/>
              </w:rPr>
              <w:t>37</w:t>
            </w:r>
          </w:p>
        </w:tc>
        <w:tc>
          <w:tcPr>
            <w:tcW w:w="320" w:type="dxa"/>
            <w:tcBorders>
              <w:top w:val="nil"/>
              <w:left w:val="nil"/>
              <w:bottom w:val="nil"/>
              <w:right w:val="nil"/>
            </w:tcBorders>
          </w:tcPr>
          <w:p w14:paraId="7C0520C9">
            <w:pPr>
              <w:spacing w:line="178" w:lineRule="exact"/>
              <w:ind w:left="131" w:right="-20"/>
              <w:rPr>
                <w:rFonts w:ascii="Arial" w:hAnsi="Arial" w:eastAsia="Arial" w:cs="Arial"/>
                <w:sz w:val="16"/>
                <w:szCs w:val="16"/>
              </w:rPr>
            </w:pPr>
            <w:r>
              <w:rPr>
                <w:rFonts w:ascii="Arial" w:hAnsi="Arial" w:eastAsia="Arial" w:cs="Arial"/>
                <w:spacing w:val="-11"/>
                <w:w w:val="82"/>
                <w:sz w:val="16"/>
                <w:szCs w:val="16"/>
              </w:rPr>
              <w:t>35</w:t>
            </w:r>
          </w:p>
        </w:tc>
        <w:tc>
          <w:tcPr>
            <w:tcW w:w="337" w:type="dxa"/>
            <w:tcBorders>
              <w:top w:val="nil"/>
              <w:left w:val="nil"/>
              <w:bottom w:val="nil"/>
              <w:right w:val="nil"/>
            </w:tcBorders>
          </w:tcPr>
          <w:p w14:paraId="6BC7B70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7" w:type="dxa"/>
            <w:tcBorders>
              <w:top w:val="nil"/>
              <w:left w:val="nil"/>
              <w:bottom w:val="nil"/>
              <w:right w:val="nil"/>
            </w:tcBorders>
          </w:tcPr>
          <w:p w14:paraId="67C66DA0">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8" w:type="dxa"/>
            <w:tcBorders>
              <w:top w:val="nil"/>
              <w:left w:val="nil"/>
              <w:bottom w:val="nil"/>
              <w:right w:val="nil"/>
            </w:tcBorders>
          </w:tcPr>
          <w:p w14:paraId="42686F5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26" w:type="dxa"/>
            <w:tcBorders>
              <w:top w:val="nil"/>
              <w:left w:val="nil"/>
              <w:bottom w:val="nil"/>
              <w:right w:val="nil"/>
            </w:tcBorders>
          </w:tcPr>
          <w:p w14:paraId="3B850D44">
            <w:pPr>
              <w:spacing w:line="178" w:lineRule="exact"/>
              <w:ind w:left="102" w:right="-20"/>
              <w:rPr>
                <w:rFonts w:ascii="Arial" w:hAnsi="Arial" w:eastAsia="Arial" w:cs="Arial"/>
                <w:sz w:val="16"/>
                <w:szCs w:val="16"/>
              </w:rPr>
            </w:pPr>
            <w:r>
              <w:rPr>
                <w:rFonts w:ascii="Arial" w:hAnsi="Arial" w:eastAsia="Arial" w:cs="Arial"/>
                <w:spacing w:val="-11"/>
                <w:w w:val="82"/>
                <w:sz w:val="16"/>
                <w:szCs w:val="16"/>
              </w:rPr>
              <w:t>33</w:t>
            </w:r>
          </w:p>
        </w:tc>
        <w:tc>
          <w:tcPr>
            <w:tcW w:w="333" w:type="dxa"/>
            <w:tcBorders>
              <w:top w:val="nil"/>
              <w:left w:val="nil"/>
              <w:bottom w:val="nil"/>
              <w:right w:val="nil"/>
            </w:tcBorders>
          </w:tcPr>
          <w:p w14:paraId="7A5AB24E">
            <w:pPr>
              <w:spacing w:line="178" w:lineRule="exact"/>
              <w:ind w:left="103" w:right="-20"/>
              <w:rPr>
                <w:rFonts w:ascii="Arial" w:hAnsi="Arial" w:eastAsia="Arial" w:cs="Arial"/>
                <w:sz w:val="16"/>
                <w:szCs w:val="16"/>
              </w:rPr>
            </w:pPr>
            <w:r>
              <w:rPr>
                <w:rFonts w:ascii="Arial" w:hAnsi="Arial" w:eastAsia="Arial" w:cs="Arial"/>
                <w:spacing w:val="-11"/>
                <w:w w:val="82"/>
                <w:sz w:val="16"/>
                <w:szCs w:val="16"/>
              </w:rPr>
              <w:t>33</w:t>
            </w:r>
          </w:p>
        </w:tc>
        <w:tc>
          <w:tcPr>
            <w:tcW w:w="348" w:type="dxa"/>
            <w:tcBorders>
              <w:top w:val="nil"/>
              <w:left w:val="nil"/>
              <w:bottom w:val="nil"/>
              <w:right w:val="nil"/>
            </w:tcBorders>
          </w:tcPr>
          <w:p w14:paraId="04775AEB">
            <w:pPr>
              <w:spacing w:line="178" w:lineRule="exact"/>
              <w:ind w:left="108" w:right="-20"/>
              <w:rPr>
                <w:rFonts w:ascii="Arial" w:hAnsi="Arial" w:eastAsia="Arial" w:cs="Arial"/>
                <w:sz w:val="16"/>
                <w:szCs w:val="16"/>
              </w:rPr>
            </w:pPr>
            <w:r>
              <w:rPr>
                <w:rFonts w:ascii="Arial" w:hAnsi="Arial" w:eastAsia="Arial" w:cs="Arial"/>
                <w:spacing w:val="-21"/>
                <w:w w:val="82"/>
                <w:sz w:val="16"/>
                <w:szCs w:val="16"/>
              </w:rPr>
              <w:t>31</w:t>
            </w:r>
          </w:p>
        </w:tc>
        <w:tc>
          <w:tcPr>
            <w:tcW w:w="343" w:type="dxa"/>
            <w:tcBorders>
              <w:top w:val="nil"/>
              <w:left w:val="nil"/>
              <w:bottom w:val="nil"/>
              <w:right w:val="nil"/>
            </w:tcBorders>
          </w:tcPr>
          <w:p w14:paraId="71E79128">
            <w:pPr>
              <w:spacing w:line="178" w:lineRule="exact"/>
              <w:ind w:left="106" w:right="-20"/>
              <w:rPr>
                <w:rFonts w:ascii="Arial" w:hAnsi="Arial" w:eastAsia="Arial" w:cs="Arial"/>
                <w:sz w:val="16"/>
                <w:szCs w:val="16"/>
              </w:rPr>
            </w:pPr>
            <w:r>
              <w:rPr>
                <w:rFonts w:ascii="Arial" w:hAnsi="Arial" w:eastAsia="Arial" w:cs="Arial"/>
                <w:spacing w:val="-11"/>
                <w:w w:val="82"/>
                <w:sz w:val="16"/>
                <w:szCs w:val="16"/>
              </w:rPr>
              <w:t>30</w:t>
            </w:r>
          </w:p>
        </w:tc>
        <w:tc>
          <w:tcPr>
            <w:tcW w:w="1293" w:type="dxa"/>
            <w:tcBorders>
              <w:top w:val="nil"/>
              <w:left w:val="nil"/>
              <w:bottom w:val="nil"/>
              <w:right w:val="nil"/>
            </w:tcBorders>
          </w:tcPr>
          <w:p w14:paraId="5BB896AD">
            <w:pPr>
              <w:tabs>
                <w:tab w:val="left" w:pos="440"/>
                <w:tab w:val="left" w:pos="800"/>
                <w:tab w:val="left" w:pos="1160"/>
              </w:tabs>
              <w:spacing w:line="178" w:lineRule="exact"/>
              <w:ind w:left="102"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28</w:t>
            </w:r>
          </w:p>
        </w:tc>
        <w:tc>
          <w:tcPr>
            <w:tcW w:w="378" w:type="dxa"/>
            <w:tcBorders>
              <w:top w:val="nil"/>
              <w:left w:val="nil"/>
              <w:bottom w:val="nil"/>
              <w:right w:val="nil"/>
            </w:tcBorders>
          </w:tcPr>
          <w:p w14:paraId="53796175">
            <w:pPr>
              <w:spacing w:line="178" w:lineRule="exact"/>
              <w:ind w:left="120" w:right="91"/>
              <w:jc w:val="center"/>
              <w:rPr>
                <w:rFonts w:ascii="Arial" w:hAnsi="Arial" w:eastAsia="Arial" w:cs="Arial"/>
                <w:sz w:val="16"/>
                <w:szCs w:val="16"/>
              </w:rPr>
            </w:pPr>
            <w:r>
              <w:rPr>
                <w:rFonts w:ascii="Arial" w:hAnsi="Arial" w:eastAsia="Arial" w:cs="Arial"/>
                <w:spacing w:val="-11"/>
                <w:w w:val="82"/>
                <w:sz w:val="16"/>
                <w:szCs w:val="16"/>
              </w:rPr>
              <w:t>28</w:t>
            </w:r>
          </w:p>
        </w:tc>
        <w:tc>
          <w:tcPr>
            <w:tcW w:w="1959" w:type="dxa"/>
            <w:tcBorders>
              <w:top w:val="nil"/>
              <w:left w:val="nil"/>
              <w:bottom w:val="nil"/>
              <w:right w:val="nil"/>
            </w:tcBorders>
          </w:tcPr>
          <w:p w14:paraId="729CB3F2">
            <w:pPr>
              <w:tabs>
                <w:tab w:val="left" w:pos="460"/>
                <w:tab w:val="left" w:pos="820"/>
                <w:tab w:val="left" w:pos="1160"/>
                <w:tab w:val="left" w:pos="1540"/>
                <w:tab w:val="left" w:pos="1880"/>
              </w:tabs>
              <w:spacing w:line="178" w:lineRule="exact"/>
              <w:ind w:left="109"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8</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6</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15</w:t>
            </w:r>
          </w:p>
        </w:tc>
        <w:tc>
          <w:tcPr>
            <w:tcW w:w="615" w:type="dxa"/>
            <w:tcBorders>
              <w:top w:val="nil"/>
              <w:left w:val="nil"/>
              <w:bottom w:val="nil"/>
              <w:right w:val="nil"/>
            </w:tcBorders>
          </w:tcPr>
          <w:p w14:paraId="00B04115">
            <w:pPr>
              <w:spacing w:line="178" w:lineRule="exact"/>
              <w:ind w:left="140" w:right="-20"/>
              <w:rPr>
                <w:rFonts w:ascii="Arial" w:hAnsi="Arial" w:eastAsia="Arial" w:cs="Arial"/>
                <w:sz w:val="16"/>
                <w:szCs w:val="16"/>
              </w:rPr>
            </w:pPr>
            <w:r>
              <w:rPr>
                <w:rFonts w:ascii="Arial" w:hAnsi="Arial" w:eastAsia="Arial" w:cs="Arial"/>
                <w:spacing w:val="-9"/>
                <w:w w:val="82"/>
                <w:sz w:val="16"/>
                <w:szCs w:val="16"/>
              </w:rPr>
              <w:t>1</w:t>
            </w:r>
            <w:r>
              <w:rPr>
                <w:rFonts w:ascii="Arial" w:hAnsi="Arial" w:eastAsia="Arial" w:cs="Arial"/>
                <w:w w:val="82"/>
                <w:sz w:val="16"/>
                <w:szCs w:val="16"/>
              </w:rPr>
              <w:t xml:space="preserve">0   </w:t>
            </w:r>
            <w:r>
              <w:rPr>
                <w:rFonts w:ascii="Arial" w:hAnsi="Arial" w:eastAsia="Arial" w:cs="Arial"/>
                <w:spacing w:val="34"/>
                <w:w w:val="82"/>
                <w:sz w:val="16"/>
                <w:szCs w:val="16"/>
              </w:rPr>
              <w:t xml:space="preserve"> </w:t>
            </w:r>
            <w:r>
              <w:rPr>
                <w:rFonts w:ascii="Arial" w:hAnsi="Arial" w:eastAsia="Arial" w:cs="Arial"/>
                <w:w w:val="82"/>
                <w:sz w:val="16"/>
                <w:szCs w:val="16"/>
              </w:rPr>
              <w:t>6</w:t>
            </w:r>
          </w:p>
        </w:tc>
        <w:tc>
          <w:tcPr>
            <w:tcW w:w="244" w:type="dxa"/>
            <w:tcBorders>
              <w:top w:val="nil"/>
              <w:left w:val="nil"/>
              <w:bottom w:val="nil"/>
              <w:right w:val="nil"/>
            </w:tcBorders>
          </w:tcPr>
          <w:p w14:paraId="04BD60FB">
            <w:pPr>
              <w:spacing w:line="178" w:lineRule="exact"/>
              <w:ind w:left="68" w:right="46"/>
              <w:jc w:val="center"/>
              <w:rPr>
                <w:rFonts w:ascii="Arial" w:hAnsi="Arial" w:eastAsia="Arial" w:cs="Arial"/>
                <w:sz w:val="16"/>
                <w:szCs w:val="16"/>
              </w:rPr>
            </w:pPr>
            <w:r>
              <w:rPr>
                <w:rFonts w:ascii="Arial" w:hAnsi="Arial" w:eastAsia="Arial" w:cs="Arial"/>
                <w:w w:val="82"/>
                <w:sz w:val="16"/>
                <w:szCs w:val="16"/>
              </w:rPr>
              <w:t>0</w:t>
            </w:r>
          </w:p>
        </w:tc>
        <w:tc>
          <w:tcPr>
            <w:tcW w:w="316" w:type="dxa"/>
            <w:tcBorders>
              <w:top w:val="nil"/>
              <w:left w:val="nil"/>
              <w:bottom w:val="nil"/>
              <w:right w:val="nil"/>
            </w:tcBorders>
          </w:tcPr>
          <w:p w14:paraId="703E1FF3">
            <w:pPr>
              <w:spacing w:line="178" w:lineRule="exact"/>
              <w:ind w:left="98" w:right="-20"/>
              <w:rPr>
                <w:rFonts w:ascii="Arial" w:hAnsi="Arial" w:eastAsia="Arial" w:cs="Arial"/>
                <w:sz w:val="16"/>
                <w:szCs w:val="16"/>
              </w:rPr>
            </w:pPr>
            <w:r>
              <w:rPr>
                <w:rFonts w:ascii="Arial" w:hAnsi="Arial" w:eastAsia="Arial" w:cs="Arial"/>
                <w:w w:val="82"/>
                <w:sz w:val="16"/>
                <w:szCs w:val="16"/>
              </w:rPr>
              <w:t>0</w:t>
            </w:r>
          </w:p>
        </w:tc>
      </w:tr>
    </w:tbl>
    <w:p w14:paraId="2261C9DF">
      <w:pPr>
        <w:spacing w:line="206" w:lineRule="exact"/>
        <w:ind w:left="1162" w:right="2880" w:hanging="1072"/>
        <w:rPr>
          <w:sz w:val="18"/>
          <w:szCs w:val="18"/>
        </w:rPr>
      </w:pPr>
      <w:r>
        <w:drawing>
          <wp:anchor distT="0" distB="0" distL="114300" distR="114300" simplePos="0" relativeHeight="251674624" behindDoc="1" locked="0" layoutInCell="1" allowOverlap="1">
            <wp:simplePos x="0" y="0"/>
            <wp:positionH relativeFrom="page">
              <wp:posOffset>899795</wp:posOffset>
            </wp:positionH>
            <wp:positionV relativeFrom="paragraph">
              <wp:posOffset>151130</wp:posOffset>
            </wp:positionV>
            <wp:extent cx="372110" cy="85090"/>
            <wp:effectExtent l="0" t="0" r="889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2110" cy="85090"/>
                    </a:xfrm>
                    <a:prstGeom prst="rect">
                      <a:avLst/>
                    </a:prstGeom>
                    <a:noFill/>
                  </pic:spPr>
                </pic:pic>
              </a:graphicData>
            </a:graphic>
          </wp:anchor>
        </w:drawing>
      </w:r>
      <w:r>
        <w:rPr>
          <w:w w:val="210"/>
          <w:sz w:val="18"/>
          <w:szCs w:val="18"/>
          <w:u w:val="single" w:color="000000"/>
        </w:rPr>
        <w:t xml:space="preserve"> </w:t>
      </w:r>
      <w:r>
        <w:rPr>
          <w:sz w:val="18"/>
          <w:szCs w:val="18"/>
          <w:u w:val="single" w:color="000000"/>
        </w:rPr>
        <w:t xml:space="preserve">   </w:t>
      </w:r>
      <w:r>
        <w:rPr>
          <w:spacing w:val="-4"/>
          <w:sz w:val="18"/>
          <w:szCs w:val="18"/>
          <w:u w:val="single" w:color="000000"/>
        </w:rPr>
        <w:t xml:space="preserve"> </w:t>
      </w:r>
      <w:r>
        <w:rPr>
          <w:spacing w:val="-1"/>
          <w:sz w:val="18"/>
          <w:szCs w:val="18"/>
        </w:rPr>
        <w:t>≤</w:t>
      </w:r>
      <w:r>
        <w:rPr>
          <w:sz w:val="18"/>
          <w:szCs w:val="18"/>
        </w:rPr>
        <w:t>1</w:t>
      </w:r>
      <w:r>
        <w:rPr>
          <w:spacing w:val="2"/>
          <w:sz w:val="18"/>
          <w:szCs w:val="18"/>
        </w:rPr>
        <w:t>0</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w:t>
      </w:r>
      <w:r>
        <w:rPr>
          <w:spacing w:val="-7"/>
          <w:sz w:val="18"/>
          <w:szCs w:val="18"/>
        </w:rPr>
        <w:t xml:space="preserve"> </w:t>
      </w:r>
      <w:r>
        <w:rPr>
          <w:spacing w:val="-1"/>
          <w:sz w:val="18"/>
          <w:szCs w:val="18"/>
        </w:rPr>
        <w:t>&gt;</w:t>
      </w:r>
      <w:r>
        <w:rPr>
          <w:spacing w:val="1"/>
          <w:sz w:val="18"/>
          <w:szCs w:val="18"/>
        </w:rPr>
        <w:t>10</w:t>
      </w:r>
      <w:r>
        <w:rPr>
          <w:sz w:val="18"/>
          <w:szCs w:val="18"/>
        </w:rPr>
        <w:t xml:space="preserve">% </w:t>
      </w:r>
    </w:p>
    <w:p w14:paraId="1C8A3699">
      <w:pPr>
        <w:spacing w:line="206" w:lineRule="exact"/>
        <w:ind w:left="1162" w:right="2700" w:hanging="532"/>
        <w:rPr>
          <w:sz w:val="18"/>
          <w:szCs w:val="18"/>
          <w:lang w:val="sr-Cyrl-RS"/>
        </w:rPr>
      </w:pPr>
      <w:r>
        <w:rPr>
          <w:spacing w:val="1"/>
          <w:sz w:val="18"/>
          <w:szCs w:val="18"/>
        </w:rPr>
        <w:t>C</w:t>
      </w:r>
      <w:r>
        <w:rPr>
          <w:spacing w:val="2"/>
          <w:sz w:val="18"/>
          <w:szCs w:val="18"/>
        </w:rPr>
        <w:t>en</w:t>
      </w:r>
      <w:r>
        <w:rPr>
          <w:spacing w:val="-1"/>
          <w:sz w:val="18"/>
          <w:szCs w:val="18"/>
        </w:rPr>
        <w:t>zurisan</w:t>
      </w:r>
      <w:r>
        <w:rPr>
          <w:spacing w:val="-1"/>
          <w:sz w:val="18"/>
          <w:szCs w:val="18"/>
          <w:lang w:val="sr-Cyrl-RS"/>
        </w:rPr>
        <w:t>о</w:t>
      </w:r>
      <w:r>
        <w:rPr>
          <w:sz w:val="18"/>
          <w:szCs w:val="18"/>
        </w:rPr>
        <w:t xml:space="preserve">                                                                           </w:t>
      </w:r>
      <w:r>
        <w:rPr>
          <w:sz w:val="18"/>
          <w:szCs w:val="18"/>
        </w:rPr>
        <w:drawing>
          <wp:inline distT="0" distB="0" distL="0" distR="0">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 cy="85090"/>
                    </a:xfrm>
                    <a:prstGeom prst="rect">
                      <a:avLst/>
                    </a:prstGeom>
                    <a:noFill/>
                    <a:ln>
                      <a:noFill/>
                    </a:ln>
                  </pic:spPr>
                </pic:pic>
              </a:graphicData>
            </a:graphic>
          </wp:inline>
        </w:drawing>
      </w:r>
      <w:r>
        <w:rPr>
          <w:sz w:val="18"/>
          <w:szCs w:val="18"/>
        </w:rPr>
        <w:t>C</w:t>
      </w:r>
      <w:r>
        <w:rPr>
          <w:spacing w:val="-1"/>
          <w:sz w:val="18"/>
          <w:szCs w:val="18"/>
        </w:rPr>
        <w:t>e</w:t>
      </w:r>
      <w:r>
        <w:rPr>
          <w:spacing w:val="1"/>
          <w:sz w:val="18"/>
          <w:szCs w:val="18"/>
        </w:rPr>
        <w:t>n</w:t>
      </w:r>
      <w:r>
        <w:rPr>
          <w:sz w:val="18"/>
          <w:szCs w:val="18"/>
        </w:rPr>
        <w:t>zurisan</w:t>
      </w:r>
      <w:r>
        <w:rPr>
          <w:sz w:val="18"/>
          <w:szCs w:val="18"/>
          <w:lang w:val="sr-Cyrl-RS"/>
        </w:rPr>
        <w:t>о</w:t>
      </w:r>
    </w:p>
    <w:p w14:paraId="4514BBEB">
      <w:pPr>
        <w:rPr>
          <w:rFonts w:ascii="Microsoft Sans Serif" w:hAnsi="Microsoft Sans Serif" w:cs="Microsoft Sans Serif"/>
          <w:bCs/>
          <w:sz w:val="20"/>
          <w:szCs w:val="20"/>
          <w:u w:val="single"/>
          <w:lang w:val="sr-Latn-RS"/>
        </w:rPr>
      </w:pPr>
    </w:p>
    <w:tbl>
      <w:tblPr>
        <w:tblStyle w:val="12"/>
        <w:tblW w:w="9394" w:type="dxa"/>
        <w:tblInd w:w="-180" w:type="dxa"/>
        <w:tblLayout w:type="fixed"/>
        <w:tblCellMar>
          <w:top w:w="0" w:type="dxa"/>
          <w:left w:w="0" w:type="dxa"/>
          <w:bottom w:w="0" w:type="dxa"/>
          <w:right w:w="0" w:type="dxa"/>
        </w:tblCellMar>
      </w:tblPr>
      <w:tblGrid>
        <w:gridCol w:w="1456"/>
        <w:gridCol w:w="2867"/>
        <w:gridCol w:w="2378"/>
        <w:gridCol w:w="2693"/>
      </w:tblGrid>
      <w:tr w14:paraId="105FE8A4">
        <w:tblPrEx>
          <w:tblCellMar>
            <w:top w:w="0" w:type="dxa"/>
            <w:left w:w="0" w:type="dxa"/>
            <w:bottom w:w="0" w:type="dxa"/>
            <w:right w:w="0" w:type="dxa"/>
          </w:tblCellMar>
        </w:tblPrEx>
        <w:trPr>
          <w:trHeight w:val="489" w:hRule="exact"/>
        </w:trPr>
        <w:tc>
          <w:tcPr>
            <w:tcW w:w="1456" w:type="dxa"/>
            <w:tcBorders>
              <w:top w:val="nil"/>
              <w:left w:val="nil"/>
              <w:bottom w:val="nil"/>
              <w:right w:val="nil"/>
            </w:tcBorders>
          </w:tcPr>
          <w:p w14:paraId="2C9018E8">
            <w:pPr>
              <w:spacing w:before="36"/>
              <w:ind w:left="180" w:right="-20"/>
              <w:rPr>
                <w:rFonts w:ascii="Microsoft Sans Serif" w:hAnsi="Microsoft Sans Serif" w:cs="Microsoft Sans Serif"/>
                <w:sz w:val="20"/>
                <w:szCs w:val="20"/>
              </w:rPr>
            </w:pPr>
            <w:r>
              <w:rPr>
                <w:rFonts w:ascii="Microsoft Sans Serif" w:hAnsi="Microsoft Sans Serif" w:cs="Microsoft Sans Serif"/>
                <w:spacing w:val="-3"/>
                <w:sz w:val="20"/>
                <w:szCs w:val="20"/>
              </w:rPr>
              <w:t>G</w:t>
            </w:r>
            <w:r>
              <w:rPr>
                <w:rFonts w:ascii="Microsoft Sans Serif" w:hAnsi="Microsoft Sans Serif" w:cs="Microsoft Sans Serif"/>
                <w:sz w:val="20"/>
                <w:szCs w:val="20"/>
              </w:rPr>
              <w:t>RUPA</w:t>
            </w:r>
          </w:p>
        </w:tc>
        <w:tc>
          <w:tcPr>
            <w:tcW w:w="2867" w:type="dxa"/>
            <w:tcBorders>
              <w:top w:val="nil"/>
              <w:left w:val="nil"/>
              <w:bottom w:val="nil"/>
              <w:right w:val="nil"/>
            </w:tcBorders>
          </w:tcPr>
          <w:p w14:paraId="2F1846C3">
            <w:pPr>
              <w:spacing w:before="36"/>
              <w:ind w:left="549"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SMRTI</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L</w:t>
            </w:r>
            <w:r>
              <w:rPr>
                <w:rFonts w:ascii="Microsoft Sans Serif" w:hAnsi="Microsoft Sans Serif" w:cs="Microsoft Sans Serif"/>
                <w:spacing w:val="-1"/>
                <w:sz w:val="20"/>
                <w:szCs w:val="20"/>
              </w:rPr>
              <w:t>an</w:t>
            </w:r>
            <w:r>
              <w:rPr>
                <w:rFonts w:ascii="Microsoft Sans Serif" w:hAnsi="Microsoft Sans Serif" w:cs="Microsoft Sans Serif"/>
                <w:sz w:val="20"/>
                <w:szCs w:val="20"/>
              </w:rPr>
              <w:t>d</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P</w:t>
            </w:r>
            <w:r>
              <w:rPr>
                <w:rFonts w:ascii="Microsoft Sans Serif" w:hAnsi="Microsoft Sans Serif" w:cs="Microsoft Sans Serif"/>
                <w:spacing w:val="-3"/>
                <w:sz w:val="20"/>
                <w:szCs w:val="20"/>
              </w:rPr>
              <w:t>a</w:t>
            </w:r>
            <w:r>
              <w:rPr>
                <w:rFonts w:ascii="Microsoft Sans Serif" w:hAnsi="Microsoft Sans Serif" w:cs="Microsoft Sans Serif"/>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n</w:t>
            </w:r>
            <w:r>
              <w:rPr>
                <w:rFonts w:ascii="Microsoft Sans Serif" w:hAnsi="Microsoft Sans Serif" w:cs="Microsoft Sans Serif"/>
                <w:sz w:val="20"/>
                <w:szCs w:val="20"/>
              </w:rPr>
              <w:t>t</w:t>
            </w:r>
          </w:p>
        </w:tc>
        <w:tc>
          <w:tcPr>
            <w:tcW w:w="2378" w:type="dxa"/>
            <w:tcBorders>
              <w:top w:val="nil"/>
              <w:left w:val="nil"/>
              <w:bottom w:val="nil"/>
              <w:right w:val="nil"/>
            </w:tcBorders>
          </w:tcPr>
          <w:p w14:paraId="515F6F72">
            <w:pPr>
              <w:spacing w:before="36"/>
              <w:ind w:left="412" w:right="-20"/>
              <w:rPr>
                <w:rFonts w:ascii="Microsoft Sans Serif" w:hAnsi="Microsoft Sans Serif" w:cs="Microsoft Sans Serif"/>
                <w:sz w:val="20"/>
                <w:szCs w:val="20"/>
              </w:rPr>
            </w:pPr>
            <w:r>
              <w:rPr>
                <w:rFonts w:ascii="Microsoft Sans Serif" w:hAnsi="Microsoft Sans Serif" w:cs="Microsoft Sans Serif"/>
                <w:spacing w:val="1"/>
                <w:sz w:val="20"/>
                <w:szCs w:val="20"/>
              </w:rPr>
              <w:t>M</w:t>
            </w:r>
            <w:r>
              <w:rPr>
                <w:rFonts w:ascii="Microsoft Sans Serif" w:hAnsi="Microsoft Sans Serif" w:cs="Microsoft Sans Serif"/>
                <w:spacing w:val="-2"/>
                <w:sz w:val="20"/>
                <w:szCs w:val="20"/>
              </w:rPr>
              <w:t>E</w:t>
            </w:r>
            <w:r>
              <w:rPr>
                <w:rFonts w:ascii="Microsoft Sans Serif" w:hAnsi="Microsoft Sans Serif" w:cs="Microsoft Sans Serif"/>
                <w:sz w:val="20"/>
                <w:szCs w:val="20"/>
              </w:rPr>
              <w:t>DIJ</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NA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CI)</w:t>
            </w:r>
          </w:p>
        </w:tc>
        <w:tc>
          <w:tcPr>
            <w:tcW w:w="2693" w:type="dxa"/>
            <w:tcBorders>
              <w:top w:val="nil"/>
              <w:left w:val="nil"/>
              <w:bottom w:val="nil"/>
              <w:right w:val="nil"/>
            </w:tcBorders>
          </w:tcPr>
          <w:p w14:paraId="554342A0">
            <w:pPr>
              <w:spacing w:before="36"/>
              <w:ind w:left="419" w:right="-20"/>
              <w:rPr>
                <w:rFonts w:ascii="Microsoft Sans Serif" w:hAnsi="Microsoft Sans Serif" w:cs="Microsoft Sans Serif"/>
                <w:sz w:val="20"/>
                <w:szCs w:val="20"/>
              </w:rPr>
            </w:pPr>
            <w:r>
              <w:rPr>
                <w:rFonts w:ascii="Microsoft Sans Serif" w:hAnsi="Microsoft Sans Serif" w:cs="Microsoft Sans Serif"/>
                <w:sz w:val="20"/>
                <w:szCs w:val="20"/>
                <w:lang w:val="sr-Latn-RS"/>
              </w:rPr>
              <w:t>ODNOS RIZIKA</w:t>
            </w:r>
            <w:r>
              <w:rPr>
                <w:rFonts w:ascii="Microsoft Sans Serif" w:hAnsi="Microsoft Sans Serif" w:cs="Microsoft Sans Serif"/>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z w:val="20"/>
                <w:szCs w:val="20"/>
              </w:rPr>
              <w:t>I)</w:t>
            </w:r>
          </w:p>
        </w:tc>
      </w:tr>
      <w:tr w14:paraId="44661171">
        <w:tblPrEx>
          <w:tblCellMar>
            <w:top w:w="0" w:type="dxa"/>
            <w:left w:w="0" w:type="dxa"/>
            <w:bottom w:w="0" w:type="dxa"/>
            <w:right w:w="0" w:type="dxa"/>
          </w:tblCellMar>
        </w:tblPrEx>
        <w:trPr>
          <w:trHeight w:val="253" w:hRule="exact"/>
        </w:trPr>
        <w:tc>
          <w:tcPr>
            <w:tcW w:w="1456" w:type="dxa"/>
            <w:tcBorders>
              <w:top w:val="nil"/>
              <w:left w:val="nil"/>
              <w:bottom w:val="nil"/>
              <w:right w:val="nil"/>
            </w:tcBorders>
          </w:tcPr>
          <w:p w14:paraId="4A6CA05D">
            <w:pPr>
              <w:spacing w:line="201" w:lineRule="exact"/>
              <w:ind w:left="180"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2"/>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p>
        </w:tc>
        <w:tc>
          <w:tcPr>
            <w:tcW w:w="2867" w:type="dxa"/>
            <w:tcBorders>
              <w:top w:val="nil"/>
              <w:left w:val="nil"/>
              <w:bottom w:val="nil"/>
              <w:right w:val="nil"/>
            </w:tcBorders>
          </w:tcPr>
          <w:p w14:paraId="4450DFE2">
            <w:pPr>
              <w:spacing w:line="201"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14</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9</w:t>
            </w:r>
            <w:r>
              <w:rPr>
                <w:rFonts w:ascii="Microsoft Sans Serif" w:hAnsi="Microsoft Sans Serif" w:cs="Microsoft Sans Serif"/>
                <w:sz w:val="20"/>
                <w:szCs w:val="20"/>
              </w:rPr>
              <w:t>8</w:t>
            </w:r>
          </w:p>
        </w:tc>
        <w:tc>
          <w:tcPr>
            <w:tcW w:w="2378" w:type="dxa"/>
            <w:tcBorders>
              <w:top w:val="nil"/>
              <w:left w:val="nil"/>
              <w:bottom w:val="nil"/>
              <w:right w:val="nil"/>
            </w:tcBorders>
          </w:tcPr>
          <w:p w14:paraId="6DA9C19B">
            <w:pPr>
              <w:spacing w:line="201"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247555B7">
            <w:pPr>
              <w:rPr>
                <w:rFonts w:ascii="Microsoft Sans Serif" w:hAnsi="Microsoft Sans Serif" w:cs="Microsoft Sans Serif"/>
                <w:sz w:val="20"/>
                <w:szCs w:val="20"/>
              </w:rPr>
            </w:pPr>
          </w:p>
        </w:tc>
      </w:tr>
      <w:tr w14:paraId="2BE64351">
        <w:tblPrEx>
          <w:tblCellMar>
            <w:top w:w="0" w:type="dxa"/>
            <w:left w:w="0" w:type="dxa"/>
            <w:bottom w:w="0" w:type="dxa"/>
            <w:right w:w="0" w:type="dxa"/>
          </w:tblCellMar>
        </w:tblPrEx>
        <w:trPr>
          <w:trHeight w:val="248" w:hRule="exact"/>
        </w:trPr>
        <w:tc>
          <w:tcPr>
            <w:tcW w:w="1456" w:type="dxa"/>
            <w:tcBorders>
              <w:top w:val="nil"/>
              <w:left w:val="nil"/>
              <w:bottom w:val="nil"/>
              <w:right w:val="nil"/>
            </w:tcBorders>
          </w:tcPr>
          <w:p w14:paraId="1AB7EC3A">
            <w:pPr>
              <w:spacing w:line="197" w:lineRule="exact"/>
              <w:ind w:left="180" w:right="-20"/>
              <w:rPr>
                <w:rFonts w:ascii="Microsoft Sans Serif" w:hAnsi="Microsoft Sans Serif" w:cs="Microsoft Sans Serif"/>
                <w:sz w:val="20"/>
                <w:szCs w:val="20"/>
              </w:rPr>
            </w:pPr>
            <w:r>
              <w:rPr>
                <w:rFonts w:ascii="Microsoft Sans Serif" w:hAnsi="Microsoft Sans Serif" w:cs="Microsoft Sans Serif"/>
                <w:spacing w:val="-1"/>
                <w:sz w:val="20"/>
                <w:szCs w:val="20"/>
              </w:rPr>
              <w:t>&gt;</w:t>
            </w: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p>
        </w:tc>
        <w:tc>
          <w:tcPr>
            <w:tcW w:w="2867" w:type="dxa"/>
            <w:tcBorders>
              <w:top w:val="nil"/>
              <w:left w:val="nil"/>
              <w:bottom w:val="nil"/>
              <w:right w:val="nil"/>
            </w:tcBorders>
          </w:tcPr>
          <w:p w14:paraId="1CEE2E2F">
            <w:pPr>
              <w:spacing w:line="197"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8</w:t>
            </w:r>
            <w:r>
              <w:rPr>
                <w:rFonts w:ascii="Microsoft Sans Serif" w:hAnsi="Microsoft Sans Serif" w:cs="Microsoft Sans Serif"/>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7</w:t>
            </w:r>
          </w:p>
        </w:tc>
        <w:tc>
          <w:tcPr>
            <w:tcW w:w="2378" w:type="dxa"/>
            <w:tcBorders>
              <w:top w:val="nil"/>
              <w:left w:val="nil"/>
              <w:bottom w:val="nil"/>
              <w:right w:val="nil"/>
            </w:tcBorders>
          </w:tcPr>
          <w:p w14:paraId="786E94FE">
            <w:pPr>
              <w:spacing w:line="197"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4556BEE5">
            <w:pPr>
              <w:rPr>
                <w:rFonts w:ascii="Microsoft Sans Serif" w:hAnsi="Microsoft Sans Serif" w:cs="Microsoft Sans Serif"/>
                <w:sz w:val="20"/>
                <w:szCs w:val="20"/>
              </w:rPr>
            </w:pPr>
          </w:p>
        </w:tc>
      </w:tr>
      <w:tr w14:paraId="17D8E17B">
        <w:tblPrEx>
          <w:tblCellMar>
            <w:top w:w="0" w:type="dxa"/>
            <w:left w:w="0" w:type="dxa"/>
            <w:bottom w:w="0" w:type="dxa"/>
            <w:right w:w="0" w:type="dxa"/>
          </w:tblCellMar>
        </w:tblPrEx>
        <w:trPr>
          <w:trHeight w:val="305" w:hRule="exact"/>
        </w:trPr>
        <w:tc>
          <w:tcPr>
            <w:tcW w:w="9394" w:type="dxa"/>
            <w:gridSpan w:val="4"/>
            <w:tcBorders>
              <w:top w:val="nil"/>
              <w:left w:val="nil"/>
              <w:bottom w:val="nil"/>
              <w:right w:val="nil"/>
            </w:tcBorders>
          </w:tcPr>
          <w:p w14:paraId="3BB13206">
            <w:pPr>
              <w:spacing w:line="197" w:lineRule="exact"/>
              <w:ind w:right="959"/>
              <w:jc w:val="right"/>
              <w:rPr>
                <w:rFonts w:ascii="Microsoft Sans Serif" w:hAnsi="Microsoft Sans Serif" w:cs="Microsoft Sans Serif"/>
                <w:sz w:val="20"/>
                <w:szCs w:val="20"/>
              </w:rPr>
            </w:pPr>
            <w:r>
              <w:rPr>
                <w:rFonts w:ascii="Microsoft Sans Serif" w:hAnsi="Microsoft Sans Serif" w:cs="Microsoft Sans Serif"/>
                <w:spacing w:val="1"/>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2</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p>
        </w:tc>
      </w:tr>
    </w:tbl>
    <w:p w14:paraId="4D91413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Progresija bolesti bila je definisana kao povećanje broja belih krvnih ćelija uprkos odgovarajućem</w:t>
      </w:r>
    </w:p>
    <w:p w14:paraId="031E243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terapijskom zbrinjavanju, gubitak CHR, delimičan CyR ili CCyR, progresija u ubrzanu fazu ili blastnu fazu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ili smrt. Procjenjena 60-mjesečna stopa PFS bila je 88,9% (CI: 84% - 92,4%) i u grupi liječenoj dasatinibom i u grupi liječenoj imatinibom. U 60. mjesecu, transformacija u ubrzanu ili blastnu fazu javila se kod manje pacijenata liječenih dasatinibom (n=8; 3%) u poređenju sa pacijentima liječenim imatinibom (n=15; 5,8%).</w:t>
      </w:r>
    </w:p>
    <w:p w14:paraId="0DD9EB2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Procjenjena 60-mjesečna stopa preživljavanja kod pacijenata liječenih dasatinibom i imatinibom bila je 90,9% (CI: 86,6% - 93,8%) odnosno 89,6% (CI: 85,2% - 92,8%). Nije zabilježena razlika u OS (HR 1,01; 95% CI: 0,58-1,73; p=0,9800) ni PFS (HR 1,00; 95% CI: 0,58-1,72; p=0,9998) između dasatiniba i imatiniba.</w:t>
      </w:r>
    </w:p>
    <w:p w14:paraId="0A3A25B5">
      <w:pPr>
        <w:rPr>
          <w:rFonts w:ascii="Microsoft Sans Serif" w:hAnsi="Microsoft Sans Serif" w:cs="Microsoft Sans Serif"/>
          <w:bCs/>
          <w:sz w:val="20"/>
          <w:szCs w:val="20"/>
          <w:lang w:val="sr-Latn-RS"/>
        </w:rPr>
      </w:pPr>
    </w:p>
    <w:p w14:paraId="096D84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Kod pacijenata koji prijavljuju progresiju bolesti ili prekid terapije dasatinibom ili imatinibom, sprovedeno je BCR-ABL sekvencioniranje na uzorcima krvi pacijenata tamo gde su oni bili dostupni. Zabilježene su slične stope mutacija u obje grupe pacijenata. Mutacije T315I, F317I/L i V299L otkrivene su među pacijentima liječenim dasatinibom dok je u grupi pacijenata liječenih imatinibom otkriven drugačiji spektar mutacija. Na osnovu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podataka, čini se da dasatinib nije aktivan protiv T315I mutacija. </w:t>
      </w:r>
    </w:p>
    <w:p w14:paraId="5F9299F4">
      <w:pPr>
        <w:rPr>
          <w:rFonts w:ascii="Microsoft Sans Serif" w:hAnsi="Microsoft Sans Serif" w:cs="Microsoft Sans Serif"/>
          <w:bCs/>
          <w:sz w:val="20"/>
          <w:szCs w:val="20"/>
          <w:lang w:val="sr-Latn-RS"/>
        </w:rPr>
      </w:pPr>
    </w:p>
    <w:p w14:paraId="3732D326">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Hronična faza HML – rezistentnost ili nepodnošenje prethodne terapije imatinibom</w:t>
      </w:r>
    </w:p>
    <w:p w14:paraId="014BBE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Sprovedene su dvije kliničke studije kod pacijenata koji su rezistentni na imatinib ili ga ne podnose; primarni parametar praćenja efikasnosti u ovim studijama je bio značajan citogenetski odgovor (engl. </w:t>
      </w:r>
      <w:r>
        <w:rPr>
          <w:rFonts w:ascii="Microsoft Sans Serif" w:hAnsi="Microsoft Sans Serif" w:cs="Microsoft Sans Serif"/>
          <w:bCs/>
          <w:i/>
          <w:sz w:val="20"/>
          <w:szCs w:val="20"/>
          <w:lang w:val="sr-Latn-RS"/>
        </w:rPr>
        <w:t>Major Cytogenetic Response - MCyR</w:t>
      </w:r>
      <w:r>
        <w:rPr>
          <w:rFonts w:ascii="Microsoft Sans Serif" w:hAnsi="Microsoft Sans Serif" w:cs="Microsoft Sans Serif"/>
          <w:bCs/>
          <w:sz w:val="20"/>
          <w:szCs w:val="20"/>
          <w:lang w:val="sr-Latn-RS"/>
        </w:rPr>
        <w:t>).</w:t>
      </w:r>
    </w:p>
    <w:p w14:paraId="7EBDF469">
      <w:pPr>
        <w:rPr>
          <w:rFonts w:ascii="Microsoft Sans Serif" w:hAnsi="Microsoft Sans Serif" w:cs="Microsoft Sans Serif"/>
          <w:bCs/>
          <w:sz w:val="20"/>
          <w:szCs w:val="20"/>
          <w:lang w:val="sr-Latn-RS"/>
        </w:rPr>
      </w:pPr>
    </w:p>
    <w:p w14:paraId="51DA4D7D">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08703A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Sprovedena je jedna randomizovana, multicentrična, nekomparativna, otvorena studija kod pacijenata kod kojih početna terapija imatinibom u dozi od 400 ili 600 mg nije bila uspješna. Pacijenti su bili randomizovani (2:1) u dvije grupe, jednu koja je primala dasatinib (70 mg dva puta dnevno) i drugu koja je primala imatinib (400 mg dva puta dnevno). Prelazak iz jedne u drugu terapijsku grupu bio je dozvoljen ukoliko su se javili znaci progresije bolesti ili nepodnošenja lijeka koje se nije moglo riješiti prilagođavanjem doze. Primarni parametar praćenja bio je značajan citogenetski odgovor (MCyR) u 12. nedelji terapije. Rezultati su dostupni za 150 pacijenata: 101 pacijent randomizovan u grupu koja je primala dasatinib i 49 pacijenata randomizovanih u grupu koja je primala imatinib (svi rezistentni na imatinib). Medijana vremena od dijagnoze do randomizacije iznosila je 64 mjeseca u grupi koja je primala dasatinib i 52 meseca u grupi koja je primala imatinib. Svi pacijenti su prethodno bili opsežno liječeni. Potpuni hematološki odgovor (CHR -engl. </w:t>
      </w:r>
      <w:r>
        <w:rPr>
          <w:rFonts w:ascii="Microsoft Sans Serif" w:hAnsi="Microsoft Sans Serif" w:cs="Microsoft Sans Serif"/>
          <w:bCs/>
          <w:i/>
          <w:sz w:val="20"/>
          <w:szCs w:val="20"/>
          <w:lang w:val="sr-Latn-RS"/>
        </w:rPr>
        <w:t>complete haematologic response</w:t>
      </w:r>
      <w:r>
        <w:rPr>
          <w:rFonts w:ascii="Microsoft Sans Serif" w:hAnsi="Microsoft Sans Serif" w:cs="Microsoft Sans Serif"/>
          <w:bCs/>
          <w:sz w:val="20"/>
          <w:szCs w:val="20"/>
          <w:lang w:val="sr-Latn-RS"/>
        </w:rPr>
        <w:t>) na prethodnu terapiju imatinibom postiglo je 93% svih pacijenata. Značajan citogenetski odgovor na prethodnu terapiju imatinibom postiglo je 28% pacijenata u grupi koja je primala dasatinib i 29% pacijenata u grupi koja je primala imatinib. Medijana trajanja terapije iznosila je 23 mjeseca za dasatinib (s tim što je do tada 44% pacijenata bilo liječeno &gt;24 meseca), a 3 mjeseca za imatinib (s tim što je do tada 10% pacijenata bilo liječeno &gt;24 mjeseca). Prije prelaska u suprotnu grupu, 93% pacijenata koji su primali dasatinib i 82% pacijenata koji su primali imatinib postiglo je potpuni hematološki odgovor.</w:t>
      </w:r>
    </w:p>
    <w:p w14:paraId="4B556DFF">
      <w:pPr>
        <w:rPr>
          <w:rFonts w:ascii="Microsoft Sans Serif" w:hAnsi="Microsoft Sans Serif" w:cs="Microsoft Sans Serif"/>
          <w:bCs/>
          <w:sz w:val="20"/>
          <w:szCs w:val="20"/>
          <w:lang w:val="sr-Latn-RS"/>
        </w:rPr>
      </w:pPr>
    </w:p>
    <w:p w14:paraId="4230A6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3 mjeseca, značajan citogenetski odgovor je bio češći u grupi koja je primala dasatinib (36%) nego u grupi koja je primala imatinib (29%). Posebno treba istaći da je potpuni citogenetski odgovor (CCyR) zabilježen kod 22% pacijenata u grupi koja je dobijala dasatinib i samo kod 8% pacijenata u grupi koja je dobijala imatinib. Nakon dugotrajnije terapije i praćenja (medijana trajanja, 24 mjeseca), značajan citogenetski odgovor (MCyR) postiglo je 53% pacijenata liječenih dasatinibom (potpuni citogenetski odgovor kod 44%) i 33% pacijenata liječenih imatinibom (potpuni citogenetski odgovor kod 18%) prije prelaska u suprotnu grupu. Među pacijentima koji su primali imatinib u dozi od 400 mg pre uključenja u studiju, značajan citogenetski odgovor postiglo je 61% pacijenata u grupi koja je dobijala dasatinib i 50% pacijenata u grupi koja je dobijala imatinib.</w:t>
      </w:r>
    </w:p>
    <w:p w14:paraId="7959681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kod kojih se održao značajni citogenetski odgovor tokom 1 godine iznosio je 92% (95% CI: [85%-100%]) za dasatinib (potpuni citogenetski odgovor, 97%; 95% CI: [92%-100%]) i 74% (95% CI: [49%-100%]) za imatinib (potpuni citogenetski odgovor, 100%). Udio pacijenata kod kojih se održao značajni citogenetski odgovor tokom 18 mjeseci iznosio je 90% (95% CI: [82%-98%]) za dasatinib (potpuni citogenetski odgovor, 94%; 95% CI: [87%-100%]) i 74% (95% CI:[49%-100%]) za imatinib (potpuni citogenetski odgovor, 100%).</w:t>
      </w:r>
    </w:p>
    <w:p w14:paraId="000FAD26">
      <w:pPr>
        <w:rPr>
          <w:rFonts w:ascii="Microsoft Sans Serif" w:hAnsi="Microsoft Sans Serif" w:cs="Microsoft Sans Serif"/>
          <w:bCs/>
          <w:sz w:val="20"/>
          <w:szCs w:val="20"/>
          <w:lang w:val="sr-Latn-RS"/>
        </w:rPr>
      </w:pPr>
    </w:p>
    <w:p w14:paraId="244AF66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sa preživljavanje bez progresije bolesti (PFS) tokom 1 godine iznosilo je 91% (95% CI: [85%-97%]) za dasatinib i 73% (95% CI: [54%-91%]) za imatinib. Udio pacijenta sa PFS nakon 2 godine iznosilo je 86% (95% CI:[78%-93%]) za dasatinib i 65% (95% CI: [43%-87%]) za imatinib.</w:t>
      </w:r>
    </w:p>
    <w:p w14:paraId="2683B53A">
      <w:pPr>
        <w:rPr>
          <w:rFonts w:ascii="Microsoft Sans Serif" w:hAnsi="Microsoft Sans Serif" w:cs="Microsoft Sans Serif"/>
          <w:bCs/>
          <w:sz w:val="20"/>
          <w:szCs w:val="20"/>
          <w:lang w:val="sr-Latn-RS"/>
        </w:rPr>
      </w:pPr>
    </w:p>
    <w:p w14:paraId="7F4D2A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Terapija nije uspela kod 43% pacijenata u grupi koja je primala dasatinib i kod 82% u grupi koja je primala imatinib, a neuspjeh terapije definisan je kao progresija bolesti ili prelazak u drugu terapijsku grupu (izostanak odgovora, nepodnošenje ispitivanog lijeka, itd.).</w:t>
      </w:r>
    </w:p>
    <w:p w14:paraId="7D79713D">
      <w:pPr>
        <w:rPr>
          <w:rFonts w:ascii="Microsoft Sans Serif" w:hAnsi="Microsoft Sans Serif" w:cs="Microsoft Sans Serif"/>
          <w:bCs/>
          <w:sz w:val="20"/>
          <w:szCs w:val="20"/>
          <w:lang w:val="sr-Latn-RS"/>
        </w:rPr>
      </w:pPr>
    </w:p>
    <w:p w14:paraId="2A5EA93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(definisana kao BCR-ABL/kontrolni transkripti ≤0,1% po RQ-PCR u uzorcima periferne krvi) prije prelaska u drugu terapijsku grupu iznosila je 29% za dasatinib i 12% za imatinib.</w:t>
      </w:r>
    </w:p>
    <w:p w14:paraId="6CD8D3D1">
      <w:pPr>
        <w:rPr>
          <w:rFonts w:ascii="Microsoft Sans Serif" w:hAnsi="Microsoft Sans Serif" w:cs="Microsoft Sans Serif"/>
          <w:bCs/>
          <w:sz w:val="20"/>
          <w:szCs w:val="20"/>
          <w:lang w:val="sr-Latn-RS"/>
        </w:rPr>
      </w:pPr>
    </w:p>
    <w:p w14:paraId="7DC3669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3D4CE3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kod jednoj grupi pacijenata koji su rezistentni na imatinib ili ga ne podnose (tj. pacijenti kod kojih su značajna toksična djelovanja koja su se javila tokom terapije imatinibom onemogućila dalju terapiju).</w:t>
      </w:r>
    </w:p>
    <w:p w14:paraId="62DA8FC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Ukupno je 387 pacijenata primilo dasatinib u dozi od 70 mg dva puta dnevno (288 sa rezistencijom i 99 sa nepodnošljivošću). Medijana vremena od dijagnoze do početka terapije iznosila je 61 mjesec. Većina pacijenata (53%) prethodno je primala imatinib duže od 3 godine. Većina pacijenata sa rezistencijom (72%) primala je &gt;600 mg imatiniba. Uz imatinib, 35% pacijenata prethodno je primilo citotoksičnu hemioterapiju, 65% interferon, a 10% je imalo transplantaciju matičnih ćelija. Trideset i osam procenata pacijenata imalo je osnovne mutacije za koje se zna da uzrokuju rezistentnost na imatinib. Medijana trajanja terapije dasatinibom iznosila je 24 mjeseca, s tim što je do tada 51% pacijenata bilo liječeno &gt;24 mjeseca. Rezultati efikasnosti prikazani su u Tabeli 11. Značajan citogenetski odgovor postignut je kod 55% pacijenata rezistentnih na imatinib i 82% pacijenata koji nisu podnosili imatinib. Nakon najmanje 24 mjeseca praćenja, do progresije bolesti došlo je kod 21 od 240 pacijenata koji su postigli značajni citogenetski odgovor (MCyR) i kod njih medijana trajanja MCyR nije dostignuta.</w:t>
      </w:r>
    </w:p>
    <w:p w14:paraId="28D22B7F">
      <w:pPr>
        <w:rPr>
          <w:rFonts w:ascii="Microsoft Sans Serif" w:hAnsi="Microsoft Sans Serif" w:cs="Microsoft Sans Serif"/>
          <w:bCs/>
          <w:sz w:val="20"/>
          <w:szCs w:val="20"/>
          <w:lang w:val="sr-Latn-RS"/>
        </w:rPr>
      </w:pPr>
    </w:p>
    <w:p w14:paraId="75CADCC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95% (95% CI: [92%-98%]) pacijenata održalo je</w:t>
      </w:r>
    </w:p>
    <w:p w14:paraId="469D60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MCyR tokom 1 godine, dok je 88% (95% CI: [83%-93%]) održalo MCyR tokom 2 godine. Potpuni citogenetski odgovor (CCyR) tokom 1 godine održalo je 97% pacijenata (95% CI: [94%-99%]) a tokom 2 godine 90% pacijenata (95% CI: [86%-95%]). Četrdeset i dva procenta pacijenata rezistentnih na imatinib koji prethodno nisu postigli MCyR na imatinib (n=188) postigli su MCyR na dasatinib. </w:t>
      </w:r>
    </w:p>
    <w:p w14:paraId="6CFD8B8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Nađeno je 45 različitih BCR-ABL mutacija kod 38% pacijenata uključenih u ovu studiju. Potpuni hematološki odgovor (CHR) ili MCyR postignut je kod pacijenata koji su imali niz raznih BCR-ABL mutacija povezanih sa rezistentnošću na imatinib, osim T315I. Stope MCyR nakon 2 godine bile su slične bez obzira na to da li su pacijenti imali osnovnu BCR-ABL mutaciju (63%), mutaciju P-petlje (61%) ili nisu imali mutaciju (62%).</w:t>
      </w:r>
    </w:p>
    <w:p w14:paraId="5B10399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Među pacijentima rezistentnim na imatinib, procjenjena stopa preživljavanja bez progresije bolesti (PFS) iznosila je 88% (95% CI: [84%-92%]) nakon 1 godine i 75% (95% CI: [69%-81%]) nakon 2 godine. Kod pacijenata koji nisu podnosili imatinib, procjenjena stopa PFS iznosila je 98% (95% CI: [95%- 100%]) nakon 1 godine i 94% (95% CI: [88%-99%]) nakon 2 godine. </w:t>
      </w:r>
    </w:p>
    <w:p w14:paraId="504D3E4A">
      <w:pPr>
        <w:rPr>
          <w:rFonts w:ascii="Microsoft Sans Serif" w:hAnsi="Microsoft Sans Serif" w:cs="Microsoft Sans Serif"/>
          <w:bCs/>
          <w:sz w:val="20"/>
          <w:szCs w:val="20"/>
          <w:lang w:val="sr-Latn-RS"/>
        </w:rPr>
      </w:pPr>
    </w:p>
    <w:p w14:paraId="5280EE5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(MMR) nakon 24 mjeseca iznosila je 45% (35% za pacijente rezistentne na imatinib i 74% za pacijente koji ne podnose imatinib).</w:t>
      </w:r>
    </w:p>
    <w:p w14:paraId="21ACE209">
      <w:pPr>
        <w:rPr>
          <w:rFonts w:ascii="Microsoft Sans Serif" w:hAnsi="Microsoft Sans Serif" w:cs="Microsoft Sans Serif"/>
          <w:bCs/>
          <w:sz w:val="20"/>
          <w:szCs w:val="20"/>
          <w:u w:val="single"/>
          <w:lang w:val="sr-Latn-RS"/>
        </w:rPr>
      </w:pPr>
    </w:p>
    <w:p w14:paraId="37447B3D">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Faza ubrzanja HML</w:t>
      </w:r>
    </w:p>
    <w:p w14:paraId="5938A1C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2E3B53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174 pacijenta primalo dasatinib u dozi od 70 mg dva puta dnevno (161 koji su bili rezistentni i 13 koji nisu podnosili imatinib). Medijana vremena od dijagnoze do početka terapije iznosila je 82 meseca. Medijana trajanja terapije dasatinibom iznosila je 14 meseci sa 31% pacijenata liječenih &gt;24 mjeseca do tada. Stopa MMR (određenog kod 41 pacijenata sa CCyR) iznosila je 46% nakon 24 mjeseca. Dalji rezultati efikasnosti prikazani su u Tabeli 11.</w:t>
      </w:r>
    </w:p>
    <w:p w14:paraId="34A8FB49">
      <w:pPr>
        <w:rPr>
          <w:rFonts w:ascii="Microsoft Sans Serif" w:hAnsi="Microsoft Sans Serif" w:cs="Microsoft Sans Serif"/>
          <w:bCs/>
          <w:sz w:val="20"/>
          <w:szCs w:val="20"/>
          <w:u w:val="single"/>
          <w:lang w:val="sr-Latn-RS"/>
        </w:rPr>
      </w:pPr>
    </w:p>
    <w:p w14:paraId="350FA648">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Mijeloidna blastna faza HML</w:t>
      </w:r>
    </w:p>
    <w:p w14:paraId="346AFA5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5542F3C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109 pacijenata primalo dasatinib u dozi od 70 mg dva puta dnevno (99 rezistentnih i 10 koji nisu podnosili imatinib). Medijana vremena od dijagnoze do početka terapije iznosila je 48 mjeseci. Medijana trajanja terapije dasatinibom iznosila je 3,5 mjeseci sa time što je 12% pacijenata do tada bilo liječeno &gt;24 mjeseca. Stopa značajnog molekularnog odgovora (MMR) (određenog kod 19 pacijenata sa CCyR) bila je 68% nakon 24 mjeseca. Dalji rezultati efikasnosti prikazani su u Tabeli 11.</w:t>
      </w:r>
    </w:p>
    <w:p w14:paraId="0C8F0AE3">
      <w:pPr>
        <w:rPr>
          <w:rFonts w:ascii="Microsoft Sans Serif" w:hAnsi="Microsoft Sans Serif" w:cs="Microsoft Sans Serif"/>
          <w:bCs/>
          <w:sz w:val="20"/>
          <w:szCs w:val="20"/>
          <w:u w:val="single"/>
          <w:lang w:val="sr-Latn-RS"/>
        </w:rPr>
      </w:pPr>
    </w:p>
    <w:p w14:paraId="4EBD2C41">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Limfoidna blastna faza HML i Ph+ ALL</w:t>
      </w:r>
    </w:p>
    <w:p w14:paraId="0A7B04A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S</w:t>
      </w:r>
      <w:r>
        <w:rPr>
          <w:rFonts w:ascii="Microsoft Sans Serif" w:hAnsi="Microsoft Sans Serif" w:cs="Microsoft Sans Serif"/>
          <w:bCs/>
          <w:sz w:val="20"/>
          <w:szCs w:val="20"/>
          <w:lang w:val="sr-Cyrl-RS"/>
        </w:rPr>
        <w:t>proveden</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w:t>
      </w:r>
      <w:r>
        <w:rPr>
          <w:rFonts w:ascii="Microsoft Sans Serif" w:hAnsi="Microsoft Sans Serif" w:cs="Microsoft Sans Serif"/>
          <w:bCs/>
          <w:sz w:val="20"/>
          <w:szCs w:val="20"/>
        </w:rPr>
        <w:t xml:space="preserve"> jedna multicentri</w:t>
      </w:r>
      <w:r>
        <w:rPr>
          <w:rFonts w:ascii="Microsoft Sans Serif" w:hAnsi="Microsoft Sans Serif" w:cs="Microsoft Sans Serif"/>
          <w:bCs/>
          <w:sz w:val="20"/>
          <w:szCs w:val="20"/>
          <w:lang w:val="hr-BA"/>
        </w:rPr>
        <w:t xml:space="preserve">čna, otvorena studija na jednoj grupi </w:t>
      </w:r>
      <w:r>
        <w:rPr>
          <w:rFonts w:ascii="Microsoft Sans Serif" w:hAnsi="Microsoft Sans Serif" w:cs="Microsoft Sans Serif"/>
          <w:bCs/>
          <w:sz w:val="20"/>
          <w:szCs w:val="20"/>
          <w:lang w:val="sr-Cyrl-RS"/>
        </w:rPr>
        <w:t xml:space="preserve">pacijenata </w:t>
      </w:r>
      <w:r>
        <w:rPr>
          <w:rFonts w:ascii="Microsoft Sans Serif" w:hAnsi="Microsoft Sans Serif" w:cs="Microsoft Sans Serif"/>
          <w:bCs/>
          <w:sz w:val="20"/>
          <w:szCs w:val="20"/>
          <w:lang w:val="hr-BA"/>
        </w:rPr>
        <w:t xml:space="preserve">u limfoidnoj blastnj krizi HML ili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ALL</w:t>
      </w:r>
      <w:r>
        <w:rPr>
          <w:rFonts w:ascii="Microsoft Sans Serif" w:hAnsi="Microsoft Sans Serif" w:cs="Microsoft Sans Serif"/>
          <w:bCs/>
          <w:sz w:val="20"/>
          <w:szCs w:val="20"/>
          <w:lang w:val="sr-Cyrl-RS"/>
        </w:rPr>
        <w:t xml:space="preserve"> koji su rezistentni ili su intolerantni na prethodnu terpiju imatinibom. </w:t>
      </w:r>
      <w:r>
        <w:rPr>
          <w:rFonts w:ascii="Microsoft Sans Serif" w:hAnsi="Microsoft Sans Serif" w:cs="Microsoft Sans Serif"/>
          <w:bCs/>
          <w:sz w:val="20"/>
          <w:szCs w:val="20"/>
          <w:lang w:val="hr-BA"/>
        </w:rPr>
        <w:t>Ukupno 48 pacijenata u limfoidnoj blastnoj fazi HML primalo je dasatnib u dozi od 70 mg dva puta dnevno (42 je bilo rezistentno i 6 intolerantno na imatinib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Medijana vremena od dijagnoze do po</w:t>
      </w:r>
      <w:r>
        <w:rPr>
          <w:rFonts w:ascii="Microsoft Sans Serif" w:hAnsi="Microsoft Sans Serif" w:cs="Microsoft Sans Serif"/>
          <w:bCs/>
          <w:sz w:val="20"/>
          <w:szCs w:val="20"/>
          <w:lang w:val="hr-BA"/>
        </w:rPr>
        <w:t xml:space="preserve">četka terapije iznosila je 28 mjeseci. Medijana trajanje terapije dasatinibom iznosila je 3 mjeseca, s tim što je do tada 2% pacijenata bilo liječeno </w:t>
      </w:r>
      <w:r>
        <w:rPr>
          <w:rFonts w:ascii="Microsoft Sans Serif" w:hAnsi="Microsoft Sans Serif" w:cs="Microsoft Sans Serif"/>
          <w:bCs/>
          <w:sz w:val="20"/>
          <w:szCs w:val="20"/>
          <w:lang w:val="sr-Latn-RS"/>
        </w:rPr>
        <w:t>&gt;24 mjeseca. Stopa značajnog molekularnog odgovora (svih 22 lije</w:t>
      </w:r>
      <w:r>
        <w:rPr>
          <w:rFonts w:ascii="Microsoft Sans Serif" w:hAnsi="Microsoft Sans Serif" w:cs="Microsoft Sans Serif"/>
          <w:bCs/>
          <w:sz w:val="20"/>
          <w:szCs w:val="20"/>
          <w:lang w:val="hr-BA"/>
        </w:rPr>
        <w:t>č</w:t>
      </w:r>
      <w:r>
        <w:rPr>
          <w:rFonts w:ascii="Microsoft Sans Serif" w:hAnsi="Microsoft Sans Serif" w:cs="Microsoft Sans Serif"/>
          <w:bCs/>
          <w:sz w:val="20"/>
          <w:szCs w:val="20"/>
          <w:lang w:val="sr-Latn-RS"/>
        </w:rPr>
        <w:t xml:space="preserve">enih pacijenata sa potpunim citogenetskom odgovorom) iznosila je 50% nakon 24 mjeseca. </w:t>
      </w:r>
      <w:r>
        <w:rPr>
          <w:rFonts w:ascii="Microsoft Sans Serif" w:hAnsi="Microsoft Sans Serif" w:cs="Microsoft Sans Serif"/>
          <w:bCs/>
          <w:sz w:val="20"/>
          <w:szCs w:val="20"/>
          <w:lang w:val="hr-BA"/>
        </w:rPr>
        <w:t>Takođe,</w:t>
      </w:r>
      <w:r>
        <w:rPr>
          <w:rFonts w:ascii="Microsoft Sans Serif" w:hAnsi="Microsoft Sans Serif" w:cs="Microsoft Sans Serif"/>
          <w:bCs/>
          <w:sz w:val="20"/>
          <w:szCs w:val="20"/>
          <w:lang w:val="sr-Cyrl-RS"/>
        </w:rPr>
        <w:t xml:space="preserve"> 46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r-Cyrl-RS"/>
        </w:rPr>
        <w:t>lo je dasatinib u dozi od 70 mg dva puta dnevno (44 sa rezistencijom i 2 sa intolerancijom na imatinib). Medijana vremena od dijagnoze do početka liječenja iznosila je 18 mjeseci. Medijana trajanja liječenja dasatinibom iznosila je 3 mjeseca s tim da je do tada 7% pacijenata bilo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ečeno &gt;24 mjeseca. Stopa značajnog mol</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kularnog odgovora (svih 25 liječenih pacijenata sa potpunim citogenetskim odgovorom) iznosila je 52%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24 mjeseca.</w:t>
      </w:r>
      <w:r>
        <w:rPr>
          <w:rFonts w:ascii="Microsoft Sans Serif" w:hAnsi="Microsoft Sans Serif" w:cs="Microsoft Sans Serif"/>
          <w:bCs/>
          <w:sz w:val="20"/>
          <w:szCs w:val="20"/>
          <w:lang w:val="hr-BA"/>
        </w:rPr>
        <w:t xml:space="preserve"> Dalji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r</w:t>
      </w:r>
      <w:r>
        <w:rPr>
          <w:rFonts w:ascii="Microsoft Sans Serif" w:hAnsi="Microsoft Sans Serif" w:cs="Microsoft Sans Serif"/>
          <w:bCs/>
          <w:sz w:val="20"/>
          <w:szCs w:val="20"/>
          <w:lang w:val="sr-Cyrl-RS"/>
        </w:rPr>
        <w:t xml:space="preserve">ezultati efikasnosti prikazani su u Tabeli </w:t>
      </w:r>
      <w:r>
        <w:rPr>
          <w:rFonts w:ascii="Microsoft Sans Serif" w:hAnsi="Microsoft Sans Serif" w:cs="Microsoft Sans Serif"/>
          <w:bCs/>
          <w:sz w:val="20"/>
          <w:szCs w:val="20"/>
          <w:lang w:val="sr-Latn-RS"/>
        </w:rPr>
        <w:t>11</w:t>
      </w:r>
      <w:r>
        <w:rPr>
          <w:rFonts w:ascii="Microsoft Sans Serif" w:hAnsi="Microsoft Sans Serif" w:cs="Microsoft Sans Serif"/>
          <w:bCs/>
          <w:sz w:val="20"/>
          <w:szCs w:val="20"/>
          <w:lang w:val="sr-Cyrl-RS"/>
        </w:rPr>
        <w:t>. Treba napomenuti da je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hematološki odgovor (engl. </w:t>
      </w:r>
      <w:r>
        <w:rPr>
          <w:rFonts w:ascii="Microsoft Sans Serif" w:hAnsi="Microsoft Sans Serif" w:cs="Microsoft Sans Serif"/>
          <w:bCs/>
          <w:i/>
          <w:sz w:val="20"/>
          <w:szCs w:val="20"/>
          <w:lang w:val="sr-Cyrl-RS"/>
        </w:rPr>
        <w:t>major hematologic response, MaHR</w:t>
      </w:r>
      <w:r>
        <w:rPr>
          <w:rFonts w:ascii="Microsoft Sans Serif" w:hAnsi="Microsoft Sans Serif" w:cs="Microsoft Sans Serif"/>
          <w:bCs/>
          <w:sz w:val="20"/>
          <w:szCs w:val="20"/>
          <w:lang w:val="sr-Cyrl-RS"/>
        </w:rPr>
        <w:t>) brzo dostignut (uglavnom u roku od 35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dana od prve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dasatiniba kod pacijenata sa HML u limfocitnoj blastnoj fazi i u roku od 55 dana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Ph+ ALL).</w:t>
      </w:r>
    </w:p>
    <w:p w14:paraId="2AE9C4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b/>
      </w:r>
    </w:p>
    <w:p w14:paraId="651C9FF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RS"/>
        </w:rPr>
        <w:t>Tabela 11</w:t>
      </w:r>
      <w:r>
        <w:rPr>
          <w:rFonts w:ascii="Microsoft Sans Serif" w:hAnsi="Microsoft Sans Serif" w:cs="Microsoft Sans Serif"/>
          <w:b/>
          <w:bCs/>
          <w:sz w:val="20"/>
          <w:szCs w:val="20"/>
          <w:lang w:val="sr-Cyrl-RS"/>
        </w:rPr>
        <w:t>: Efikasnost dasatiniba u fazi</w:t>
      </w:r>
      <w:r>
        <w:rPr>
          <w:rFonts w:ascii="Microsoft Sans Serif" w:hAnsi="Microsoft Sans Serif" w:cs="Microsoft Sans Serif"/>
          <w:b/>
          <w:bCs/>
          <w:sz w:val="20"/>
          <w:szCs w:val="20"/>
          <w:lang w:val="sr-Latn-RS"/>
        </w:rPr>
        <w:t xml:space="preserve"> II </w:t>
      </w:r>
      <w:r>
        <w:rPr>
          <w:rFonts w:ascii="Microsoft Sans Serif" w:hAnsi="Microsoft Sans Serif" w:cs="Microsoft Sans Serif"/>
          <w:b/>
          <w:bCs/>
          <w:sz w:val="20"/>
          <w:szCs w:val="20"/>
          <w:lang w:val="sr-Cyrl-RS"/>
        </w:rPr>
        <w:t>kliničkih ispitivanja u jednoj grupi</w:t>
      </w:r>
      <w:r>
        <w:rPr>
          <w:rFonts w:ascii="Microsoft Sans Serif" w:hAnsi="Microsoft Sans Serif" w:cs="Microsoft Sans Serif"/>
          <w:b/>
          <w:bCs/>
          <w:sz w:val="20"/>
          <w:szCs w:val="20"/>
          <w:vertAlign w:val="superscript"/>
          <w:lang w:val="sr-Cyrl-RS"/>
        </w:rPr>
        <w:t>a</w:t>
      </w:r>
    </w:p>
    <w:tbl>
      <w:tblPr>
        <w:tblStyle w:val="12"/>
        <w:tblW w:w="0" w:type="auto"/>
        <w:tblInd w:w="0" w:type="dxa"/>
        <w:tblLayout w:type="autofit"/>
        <w:tblCellMar>
          <w:top w:w="0" w:type="dxa"/>
          <w:left w:w="108" w:type="dxa"/>
          <w:bottom w:w="0" w:type="dxa"/>
          <w:right w:w="108" w:type="dxa"/>
        </w:tblCellMar>
      </w:tblPr>
      <w:tblGrid>
        <w:gridCol w:w="2134"/>
        <w:gridCol w:w="1376"/>
        <w:gridCol w:w="1376"/>
        <w:gridCol w:w="1430"/>
        <w:gridCol w:w="1394"/>
        <w:gridCol w:w="1377"/>
      </w:tblGrid>
      <w:tr w14:paraId="11D46758">
        <w:tblPrEx>
          <w:tblCellMar>
            <w:top w:w="0" w:type="dxa"/>
            <w:left w:w="108" w:type="dxa"/>
            <w:bottom w:w="0" w:type="dxa"/>
            <w:right w:w="108" w:type="dxa"/>
          </w:tblCellMar>
        </w:tblPrEx>
        <w:tc>
          <w:tcPr>
            <w:tcW w:w="2134" w:type="dxa"/>
            <w:tcBorders>
              <w:top w:val="single" w:color="auto" w:sz="2" w:space="0"/>
              <w:bottom w:val="single" w:color="auto" w:sz="2" w:space="0"/>
            </w:tcBorders>
            <w:shd w:val="clear" w:color="auto" w:fill="auto"/>
          </w:tcPr>
          <w:p w14:paraId="1D9DD05C">
            <w:pPr>
              <w:widowControl w:val="0"/>
              <w:spacing w:line="276" w:lineRule="auto"/>
              <w:rPr>
                <w:rFonts w:ascii="Microsoft Sans Serif" w:hAnsi="Microsoft Sans Serif" w:eastAsia="Calibri" w:cs="Microsoft Sans Serif"/>
                <w:bCs/>
                <w:w w:val="101"/>
                <w:position w:val="7"/>
                <w:sz w:val="20"/>
                <w:szCs w:val="20"/>
              </w:rPr>
            </w:pPr>
          </w:p>
        </w:tc>
        <w:tc>
          <w:tcPr>
            <w:tcW w:w="1376" w:type="dxa"/>
            <w:tcBorders>
              <w:top w:val="single" w:color="auto" w:sz="2" w:space="0"/>
              <w:bottom w:val="single" w:color="auto" w:sz="2" w:space="0"/>
            </w:tcBorders>
            <w:shd w:val="clear" w:color="auto" w:fill="auto"/>
          </w:tcPr>
          <w:p w14:paraId="4A4F17FD">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Hroni</w:t>
            </w:r>
            <w:r>
              <w:rPr>
                <w:rFonts w:ascii="Microsoft Sans Serif" w:hAnsi="Microsoft Sans Serif" w:eastAsia="Calibri" w:cs="Microsoft Sans Serif"/>
                <w:b/>
                <w:sz w:val="20"/>
                <w:szCs w:val="20"/>
                <w:lang w:val="hr-BA"/>
              </w:rPr>
              <w:t>čna</w:t>
            </w:r>
            <w:r>
              <w:rPr>
                <w:rFonts w:ascii="Microsoft Sans Serif" w:hAnsi="Microsoft Sans Serif" w:eastAsia="Calibri" w:cs="Microsoft Sans Serif"/>
                <w:b/>
                <w:sz w:val="20"/>
                <w:szCs w:val="20"/>
              </w:rPr>
              <w:t xml:space="preserve"> </w:t>
            </w:r>
          </w:p>
          <w:p w14:paraId="575812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387)</w:t>
            </w:r>
          </w:p>
        </w:tc>
        <w:tc>
          <w:tcPr>
            <w:tcW w:w="1376" w:type="dxa"/>
            <w:tcBorders>
              <w:top w:val="single" w:color="auto" w:sz="2" w:space="0"/>
              <w:bottom w:val="single" w:color="auto" w:sz="2" w:space="0"/>
            </w:tcBorders>
            <w:shd w:val="clear" w:color="auto" w:fill="auto"/>
          </w:tcPr>
          <w:p w14:paraId="68BAB347">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Ubrzana</w:t>
            </w:r>
            <w:r>
              <w:rPr>
                <w:rFonts w:ascii="Microsoft Sans Serif" w:hAnsi="Microsoft Sans Serif" w:eastAsia="Calibri" w:cs="Microsoft Sans Serif"/>
                <w:b/>
                <w:sz w:val="20"/>
                <w:szCs w:val="20"/>
              </w:rPr>
              <w:t xml:space="preserve"> (n= 174)</w:t>
            </w:r>
          </w:p>
        </w:tc>
        <w:tc>
          <w:tcPr>
            <w:tcW w:w="1430" w:type="dxa"/>
            <w:tcBorders>
              <w:top w:val="single" w:color="auto" w:sz="2" w:space="0"/>
              <w:bottom w:val="single" w:color="auto" w:sz="2" w:space="0"/>
            </w:tcBorders>
            <w:shd w:val="clear" w:color="auto" w:fill="auto"/>
          </w:tcPr>
          <w:p w14:paraId="5D7C8A1A">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Mijeloidna blastna</w:t>
            </w:r>
          </w:p>
          <w:p w14:paraId="0DCAE3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109)</w:t>
            </w:r>
          </w:p>
        </w:tc>
        <w:tc>
          <w:tcPr>
            <w:tcW w:w="1394" w:type="dxa"/>
            <w:tcBorders>
              <w:top w:val="single" w:color="auto" w:sz="2" w:space="0"/>
              <w:bottom w:val="single" w:color="auto" w:sz="2" w:space="0"/>
            </w:tcBorders>
            <w:shd w:val="clear" w:color="auto" w:fill="auto"/>
          </w:tcPr>
          <w:p w14:paraId="3B767C17">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 xml:space="preserve">Limfidna blastna </w:t>
            </w:r>
          </w:p>
          <w:p w14:paraId="4B83419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48)</w:t>
            </w:r>
          </w:p>
        </w:tc>
        <w:tc>
          <w:tcPr>
            <w:tcW w:w="1377" w:type="dxa"/>
            <w:tcBorders>
              <w:top w:val="single" w:color="auto" w:sz="2" w:space="0"/>
              <w:bottom w:val="single" w:color="auto" w:sz="2" w:space="0"/>
            </w:tcBorders>
            <w:shd w:val="clear" w:color="auto" w:fill="auto"/>
          </w:tcPr>
          <w:p w14:paraId="05772EE5">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 ALL </w:t>
            </w:r>
          </w:p>
          <w:p w14:paraId="484ECB27">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46)</w:t>
            </w:r>
          </w:p>
        </w:tc>
      </w:tr>
      <w:tr w14:paraId="7612658C">
        <w:tblPrEx>
          <w:tblCellMar>
            <w:top w:w="0" w:type="dxa"/>
            <w:left w:w="108" w:type="dxa"/>
            <w:bottom w:w="0" w:type="dxa"/>
            <w:right w:w="108" w:type="dxa"/>
          </w:tblCellMar>
        </w:tblPrEx>
        <w:tc>
          <w:tcPr>
            <w:tcW w:w="9087" w:type="dxa"/>
            <w:gridSpan w:val="6"/>
            <w:tcBorders>
              <w:top w:val="single" w:color="auto" w:sz="2" w:space="0"/>
            </w:tcBorders>
            <w:shd w:val="clear" w:color="auto" w:fill="auto"/>
          </w:tcPr>
          <w:p w14:paraId="1C8D5C15">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Stopa hematološkog odgovora</w:t>
            </w:r>
            <w:r>
              <w:rPr>
                <w:rFonts w:ascii="Microsoft Sans Serif" w:hAnsi="Microsoft Sans Serif" w:eastAsia="Calibri" w:cs="Microsoft Sans Serif"/>
                <w:b/>
                <w:sz w:val="20"/>
                <w:szCs w:val="20"/>
              </w:rPr>
              <w:t xml:space="preserve"> </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w:t>
            </w:r>
          </w:p>
        </w:tc>
      </w:tr>
      <w:tr w14:paraId="4B2CEC3B">
        <w:tblPrEx>
          <w:tblCellMar>
            <w:top w:w="0" w:type="dxa"/>
            <w:left w:w="108" w:type="dxa"/>
            <w:bottom w:w="0" w:type="dxa"/>
            <w:right w:w="108" w:type="dxa"/>
          </w:tblCellMar>
        </w:tblPrEx>
        <w:tc>
          <w:tcPr>
            <w:tcW w:w="2134" w:type="dxa"/>
            <w:tcBorders>
              <w:top w:val="single" w:color="auto" w:sz="2" w:space="0"/>
            </w:tcBorders>
            <w:shd w:val="clear" w:color="auto" w:fill="auto"/>
          </w:tcPr>
          <w:p w14:paraId="3ACE967C">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MaHR (95% CI)</w:t>
            </w:r>
          </w:p>
        </w:tc>
        <w:tc>
          <w:tcPr>
            <w:tcW w:w="1376" w:type="dxa"/>
            <w:tcBorders>
              <w:top w:val="single" w:color="auto" w:sz="2" w:space="0"/>
            </w:tcBorders>
            <w:shd w:val="clear" w:color="auto" w:fill="auto"/>
          </w:tcPr>
          <w:p w14:paraId="226FD8C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tcBorders>
              <w:top w:val="single" w:color="auto" w:sz="2" w:space="0"/>
            </w:tcBorders>
            <w:shd w:val="clear" w:color="auto" w:fill="auto"/>
          </w:tcPr>
          <w:p w14:paraId="37DD34CC">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64% (57-72)</w:t>
            </w:r>
          </w:p>
        </w:tc>
        <w:tc>
          <w:tcPr>
            <w:tcW w:w="1430" w:type="dxa"/>
            <w:tcBorders>
              <w:top w:val="single" w:color="auto" w:sz="2" w:space="0"/>
            </w:tcBorders>
            <w:shd w:val="clear" w:color="auto" w:fill="auto"/>
          </w:tcPr>
          <w:p w14:paraId="3C3F4768">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33% (24-43)</w:t>
            </w:r>
          </w:p>
        </w:tc>
        <w:tc>
          <w:tcPr>
            <w:tcW w:w="1394" w:type="dxa"/>
            <w:tcBorders>
              <w:top w:val="single" w:color="auto" w:sz="2" w:space="0"/>
            </w:tcBorders>
            <w:shd w:val="clear" w:color="auto" w:fill="auto"/>
          </w:tcPr>
          <w:p w14:paraId="62A33DB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35% (22-51)</w:t>
            </w:r>
          </w:p>
        </w:tc>
        <w:tc>
          <w:tcPr>
            <w:tcW w:w="1377" w:type="dxa"/>
            <w:tcBorders>
              <w:top w:val="single" w:color="auto" w:sz="2" w:space="0"/>
            </w:tcBorders>
            <w:shd w:val="clear" w:color="auto" w:fill="auto"/>
          </w:tcPr>
          <w:p w14:paraId="2B82922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41% (27-57)</w:t>
            </w:r>
          </w:p>
        </w:tc>
      </w:tr>
      <w:tr w14:paraId="67356C01">
        <w:tblPrEx>
          <w:tblCellMar>
            <w:top w:w="0" w:type="dxa"/>
            <w:left w:w="108" w:type="dxa"/>
            <w:bottom w:w="0" w:type="dxa"/>
            <w:right w:w="108" w:type="dxa"/>
          </w:tblCellMar>
        </w:tblPrEx>
        <w:tc>
          <w:tcPr>
            <w:tcW w:w="2134" w:type="dxa"/>
            <w:shd w:val="clear" w:color="auto" w:fill="auto"/>
          </w:tcPr>
          <w:p w14:paraId="156F71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CHR (95% CI)</w:t>
            </w:r>
          </w:p>
        </w:tc>
        <w:tc>
          <w:tcPr>
            <w:tcW w:w="1376" w:type="dxa"/>
            <w:shd w:val="clear" w:color="auto" w:fill="auto"/>
          </w:tcPr>
          <w:p w14:paraId="6F4FA1A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91% (88-94)</w:t>
            </w:r>
          </w:p>
        </w:tc>
        <w:tc>
          <w:tcPr>
            <w:tcW w:w="1376" w:type="dxa"/>
            <w:shd w:val="clear" w:color="auto" w:fill="auto"/>
          </w:tcPr>
          <w:p w14:paraId="5CF8B55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50% (42-58)</w:t>
            </w:r>
          </w:p>
        </w:tc>
        <w:tc>
          <w:tcPr>
            <w:tcW w:w="1430" w:type="dxa"/>
            <w:shd w:val="clear" w:color="auto" w:fill="auto"/>
          </w:tcPr>
          <w:p w14:paraId="4C52B82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26% (18-35)</w:t>
            </w:r>
          </w:p>
        </w:tc>
        <w:tc>
          <w:tcPr>
            <w:tcW w:w="1394" w:type="dxa"/>
            <w:shd w:val="clear" w:color="auto" w:fill="auto"/>
          </w:tcPr>
          <w:p w14:paraId="1C709F2B">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29% (17-44)</w:t>
            </w:r>
          </w:p>
        </w:tc>
        <w:tc>
          <w:tcPr>
            <w:tcW w:w="1377" w:type="dxa"/>
            <w:shd w:val="clear" w:color="auto" w:fill="auto"/>
          </w:tcPr>
          <w:p w14:paraId="279702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35% (21-50)</w:t>
            </w:r>
          </w:p>
        </w:tc>
      </w:tr>
      <w:tr w14:paraId="5053BA66">
        <w:tblPrEx>
          <w:tblCellMar>
            <w:top w:w="0" w:type="dxa"/>
            <w:left w:w="108" w:type="dxa"/>
            <w:bottom w:w="0" w:type="dxa"/>
            <w:right w:w="108" w:type="dxa"/>
          </w:tblCellMar>
        </w:tblPrEx>
        <w:tc>
          <w:tcPr>
            <w:tcW w:w="2134" w:type="dxa"/>
            <w:shd w:val="clear" w:color="auto" w:fill="auto"/>
          </w:tcPr>
          <w:p w14:paraId="077D5BA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NEL (95% CI)</w:t>
            </w:r>
          </w:p>
        </w:tc>
        <w:tc>
          <w:tcPr>
            <w:tcW w:w="1376" w:type="dxa"/>
            <w:shd w:val="clear" w:color="auto" w:fill="auto"/>
          </w:tcPr>
          <w:p w14:paraId="6F32B23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shd w:val="clear" w:color="auto" w:fill="auto"/>
          </w:tcPr>
          <w:p w14:paraId="06ECEFC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w:t>
            </w:r>
            <w:r>
              <w:rPr>
                <w:rFonts w:ascii="Microsoft Sans Serif" w:hAnsi="Microsoft Sans Serif" w:eastAsia="Calibri" w:cs="Microsoft Sans Serif"/>
                <w:spacing w:val="13"/>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0-21)</w:t>
            </w:r>
            <w:r>
              <w:rPr>
                <w:rFonts w:ascii="Microsoft Sans Serif" w:hAnsi="Microsoft Sans Serif" w:eastAsia="Calibri" w:cs="Microsoft Sans Serif"/>
                <w:spacing w:val="-32"/>
                <w:sz w:val="20"/>
                <w:szCs w:val="20"/>
              </w:rPr>
              <w:t xml:space="preserve"> </w:t>
            </w:r>
          </w:p>
        </w:tc>
        <w:tc>
          <w:tcPr>
            <w:tcW w:w="1430" w:type="dxa"/>
            <w:shd w:val="clear" w:color="auto" w:fill="auto"/>
          </w:tcPr>
          <w:p w14:paraId="4AB79DD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z w:val="20"/>
                <w:szCs w:val="20"/>
              </w:rPr>
              <w:t>(3-1</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94" w:type="dxa"/>
            <w:shd w:val="clear" w:color="auto" w:fill="auto"/>
          </w:tcPr>
          <w:p w14:paraId="012F9801">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(1-1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77" w:type="dxa"/>
            <w:shd w:val="clear" w:color="auto" w:fill="auto"/>
          </w:tcPr>
          <w:p w14:paraId="19E70F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(1-1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tc>
      </w:tr>
      <w:tr w14:paraId="4B36034F">
        <w:tblPrEx>
          <w:tblCellMar>
            <w:top w:w="0" w:type="dxa"/>
            <w:left w:w="108" w:type="dxa"/>
            <w:bottom w:w="0" w:type="dxa"/>
            <w:right w:w="108" w:type="dxa"/>
          </w:tblCellMar>
        </w:tblPrEx>
        <w:tc>
          <w:tcPr>
            <w:tcW w:w="9087" w:type="dxa"/>
            <w:gridSpan w:val="6"/>
            <w:shd w:val="clear" w:color="auto" w:fill="auto"/>
          </w:tcPr>
          <w:p w14:paraId="3722C03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lang w:val="hr-BA"/>
              </w:rPr>
              <w:t>Trajanje</w:t>
            </w:r>
            <w:r>
              <w:rPr>
                <w:rFonts w:ascii="Microsoft Sans Serif" w:hAnsi="Microsoft Sans Serif" w:eastAsia="Calibri" w:cs="Microsoft Sans Serif"/>
                <w:bCs/>
                <w:w w:val="101"/>
                <w:position w:val="7"/>
                <w:sz w:val="20"/>
                <w:szCs w:val="20"/>
              </w:rPr>
              <w:t xml:space="preserve"> MaHR (%; procjene po</w:t>
            </w:r>
            <w:r>
              <w:rPr>
                <w:rFonts w:ascii="Microsoft Sans Serif" w:hAnsi="Microsoft Sans Serif" w:eastAsia="Calibri" w:cs="Microsoft Sans Serif"/>
                <w:bCs/>
                <w:w w:val="101"/>
                <w:position w:val="7"/>
                <w:sz w:val="20"/>
                <w:szCs w:val="20"/>
                <w:lang w:val="sr-Cyrl-RS"/>
              </w:rPr>
              <w:t xml:space="preserve"> </w:t>
            </w:r>
            <w:r>
              <w:rPr>
                <w:rFonts w:ascii="Microsoft Sans Serif" w:hAnsi="Microsoft Sans Serif" w:eastAsia="Calibri" w:cs="Microsoft Sans Serif"/>
                <w:bCs/>
                <w:w w:val="101"/>
                <w:position w:val="7"/>
                <w:sz w:val="20"/>
                <w:szCs w:val="20"/>
              </w:rPr>
              <w:t>Kaplan-Meier-u)</w:t>
            </w:r>
          </w:p>
        </w:tc>
      </w:tr>
      <w:tr w14:paraId="5FE04403">
        <w:tblPrEx>
          <w:tblCellMar>
            <w:top w:w="0" w:type="dxa"/>
            <w:left w:w="108" w:type="dxa"/>
            <w:bottom w:w="0" w:type="dxa"/>
            <w:right w:w="108" w:type="dxa"/>
          </w:tblCellMar>
        </w:tblPrEx>
        <w:tc>
          <w:tcPr>
            <w:tcW w:w="2134" w:type="dxa"/>
            <w:shd w:val="clear" w:color="auto" w:fill="auto"/>
          </w:tcPr>
          <w:p w14:paraId="7229C00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46B957B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shd w:val="clear" w:color="auto" w:fill="auto"/>
          </w:tcPr>
          <w:p w14:paraId="4F67BD4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79% (71-87)</w:t>
            </w:r>
          </w:p>
        </w:tc>
        <w:tc>
          <w:tcPr>
            <w:tcW w:w="1430" w:type="dxa"/>
            <w:shd w:val="clear" w:color="auto" w:fill="auto"/>
          </w:tcPr>
          <w:p w14:paraId="59D65CC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71% (55-87)</w:t>
            </w:r>
          </w:p>
        </w:tc>
        <w:tc>
          <w:tcPr>
            <w:tcW w:w="1394" w:type="dxa"/>
            <w:shd w:val="clear" w:color="auto" w:fill="auto"/>
          </w:tcPr>
          <w:p w14:paraId="0FB16F3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29% (3-56)</w:t>
            </w:r>
          </w:p>
        </w:tc>
        <w:tc>
          <w:tcPr>
            <w:tcW w:w="1377" w:type="dxa"/>
            <w:shd w:val="clear" w:color="auto" w:fill="auto"/>
          </w:tcPr>
          <w:p w14:paraId="2505858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32% (8-56)</w:t>
            </w:r>
          </w:p>
        </w:tc>
      </w:tr>
      <w:tr w14:paraId="7A313EF8">
        <w:tblPrEx>
          <w:tblCellMar>
            <w:top w:w="0" w:type="dxa"/>
            <w:left w:w="108" w:type="dxa"/>
            <w:bottom w:w="0" w:type="dxa"/>
            <w:right w:w="108" w:type="dxa"/>
          </w:tblCellMar>
        </w:tblPrEx>
        <w:tc>
          <w:tcPr>
            <w:tcW w:w="2134" w:type="dxa"/>
            <w:tcBorders>
              <w:bottom w:val="single" w:color="auto" w:sz="2" w:space="0"/>
            </w:tcBorders>
            <w:shd w:val="clear" w:color="auto" w:fill="auto"/>
          </w:tcPr>
          <w:p w14:paraId="399E1B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01876E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tcBorders>
              <w:bottom w:val="single" w:color="auto" w:sz="2" w:space="0"/>
            </w:tcBorders>
            <w:shd w:val="clear" w:color="auto" w:fill="auto"/>
          </w:tcPr>
          <w:p w14:paraId="43B02D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(50-70)</w:t>
            </w:r>
          </w:p>
        </w:tc>
        <w:tc>
          <w:tcPr>
            <w:tcW w:w="1430" w:type="dxa"/>
            <w:tcBorders>
              <w:bottom w:val="single" w:color="auto" w:sz="2" w:space="0"/>
            </w:tcBorders>
            <w:shd w:val="clear" w:color="auto" w:fill="auto"/>
          </w:tcPr>
          <w:p w14:paraId="58C9276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41% (21-60)</w:t>
            </w:r>
          </w:p>
        </w:tc>
        <w:tc>
          <w:tcPr>
            <w:tcW w:w="1394" w:type="dxa"/>
            <w:tcBorders>
              <w:bottom w:val="single" w:color="auto" w:sz="2" w:space="0"/>
            </w:tcBorders>
            <w:shd w:val="clear" w:color="auto" w:fill="auto"/>
          </w:tcPr>
          <w:p w14:paraId="37FA28F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 (0-28)</w:t>
            </w:r>
          </w:p>
        </w:tc>
        <w:tc>
          <w:tcPr>
            <w:tcW w:w="1377" w:type="dxa"/>
            <w:shd w:val="clear" w:color="auto" w:fill="auto"/>
          </w:tcPr>
          <w:p w14:paraId="130321B8">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24% (2-47)</w:t>
            </w:r>
          </w:p>
        </w:tc>
      </w:tr>
      <w:tr w14:paraId="7D6FF498">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4E49B9F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bCs/>
                <w:w w:val="101"/>
                <w:position w:val="7"/>
                <w:sz w:val="20"/>
                <w:szCs w:val="20"/>
                <w:lang w:val="hr-BA"/>
              </w:rPr>
              <w:t>Citogenetski odgovor</w:t>
            </w:r>
            <w:r>
              <w:rPr>
                <w:rFonts w:ascii="Microsoft Sans Serif" w:hAnsi="Microsoft Sans Serif" w:eastAsia="Calibri" w:cs="Microsoft Sans Serif"/>
                <w:b/>
                <w:bCs/>
                <w:w w:val="101"/>
                <w:position w:val="7"/>
                <w:sz w:val="20"/>
                <w:szCs w:val="20"/>
              </w:rPr>
              <w:t xml:space="preserve"> </w:t>
            </w:r>
            <w:r>
              <w:rPr>
                <w:rFonts w:ascii="Microsoft Sans Serif" w:hAnsi="Microsoft Sans Serif" w:eastAsia="Calibri" w:cs="Microsoft Sans Serif"/>
                <w:b/>
                <w:bCs/>
                <w:w w:val="101"/>
                <w:position w:val="7"/>
                <w:sz w:val="20"/>
                <w:szCs w:val="20"/>
                <w:vertAlign w:val="superscript"/>
              </w:rPr>
              <w:t>c</w:t>
            </w:r>
            <w:r>
              <w:rPr>
                <w:rFonts w:ascii="Microsoft Sans Serif" w:hAnsi="Microsoft Sans Serif" w:eastAsia="Calibri" w:cs="Microsoft Sans Serif"/>
                <w:b/>
                <w:bCs/>
                <w:w w:val="101"/>
                <w:position w:val="7"/>
                <w:sz w:val="20"/>
                <w:szCs w:val="20"/>
              </w:rPr>
              <w:t xml:space="preserve"> (%)</w:t>
            </w:r>
          </w:p>
        </w:tc>
      </w:tr>
      <w:tr w14:paraId="33C9761A">
        <w:tblPrEx>
          <w:tblCellMar>
            <w:top w:w="0" w:type="dxa"/>
            <w:left w:w="108" w:type="dxa"/>
            <w:bottom w:w="0" w:type="dxa"/>
            <w:right w:w="108" w:type="dxa"/>
          </w:tblCellMar>
        </w:tblPrEx>
        <w:tc>
          <w:tcPr>
            <w:tcW w:w="2134" w:type="dxa"/>
            <w:tcBorders>
              <w:top w:val="single" w:color="auto" w:sz="2" w:space="0"/>
            </w:tcBorders>
            <w:shd w:val="clear" w:color="auto" w:fill="auto"/>
          </w:tcPr>
          <w:p w14:paraId="4B07707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MCyR (95% CI)</w:t>
            </w:r>
          </w:p>
        </w:tc>
        <w:tc>
          <w:tcPr>
            <w:tcW w:w="1376" w:type="dxa"/>
            <w:tcBorders>
              <w:top w:val="single" w:color="auto" w:sz="2" w:space="0"/>
            </w:tcBorders>
            <w:shd w:val="clear" w:color="auto" w:fill="auto"/>
          </w:tcPr>
          <w:p w14:paraId="77717763">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62% (57-67)</w:t>
            </w:r>
          </w:p>
        </w:tc>
        <w:tc>
          <w:tcPr>
            <w:tcW w:w="1376" w:type="dxa"/>
            <w:tcBorders>
              <w:top w:val="single" w:color="auto" w:sz="2" w:space="0"/>
            </w:tcBorders>
            <w:shd w:val="clear" w:color="auto" w:fill="auto"/>
          </w:tcPr>
          <w:p w14:paraId="56FE171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40% (33-48)</w:t>
            </w:r>
          </w:p>
        </w:tc>
        <w:tc>
          <w:tcPr>
            <w:tcW w:w="1430" w:type="dxa"/>
            <w:tcBorders>
              <w:top w:val="single" w:color="auto" w:sz="2" w:space="0"/>
            </w:tcBorders>
            <w:shd w:val="clear" w:color="auto" w:fill="auto"/>
          </w:tcPr>
          <w:p w14:paraId="6CC8863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34% (25-44)</w:t>
            </w:r>
          </w:p>
        </w:tc>
        <w:tc>
          <w:tcPr>
            <w:tcW w:w="1394" w:type="dxa"/>
            <w:tcBorders>
              <w:top w:val="single" w:color="auto" w:sz="2" w:space="0"/>
            </w:tcBorders>
            <w:shd w:val="clear" w:color="auto" w:fill="auto"/>
          </w:tcPr>
          <w:p w14:paraId="63D233B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52% (37-67)</w:t>
            </w:r>
          </w:p>
        </w:tc>
        <w:tc>
          <w:tcPr>
            <w:tcW w:w="1377" w:type="dxa"/>
            <w:tcBorders>
              <w:top w:val="single" w:color="auto" w:sz="2" w:space="0"/>
            </w:tcBorders>
            <w:shd w:val="clear" w:color="auto" w:fill="auto"/>
          </w:tcPr>
          <w:p w14:paraId="1217BD65">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57% (41-71)</w:t>
            </w:r>
          </w:p>
        </w:tc>
      </w:tr>
      <w:tr w14:paraId="45CD253D">
        <w:tblPrEx>
          <w:tblCellMar>
            <w:top w:w="0" w:type="dxa"/>
            <w:left w:w="108" w:type="dxa"/>
            <w:bottom w:w="0" w:type="dxa"/>
            <w:right w:w="108" w:type="dxa"/>
          </w:tblCellMar>
        </w:tblPrEx>
        <w:tc>
          <w:tcPr>
            <w:tcW w:w="2134" w:type="dxa"/>
            <w:tcBorders>
              <w:bottom w:val="single" w:color="auto" w:sz="2" w:space="0"/>
            </w:tcBorders>
            <w:shd w:val="clear" w:color="auto" w:fill="auto"/>
          </w:tcPr>
          <w:p w14:paraId="52C495F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CCyR (95% CI)</w:t>
            </w:r>
          </w:p>
        </w:tc>
        <w:tc>
          <w:tcPr>
            <w:tcW w:w="1376" w:type="dxa"/>
            <w:tcBorders>
              <w:bottom w:val="single" w:color="auto" w:sz="2" w:space="0"/>
            </w:tcBorders>
            <w:shd w:val="clear" w:color="auto" w:fill="auto"/>
          </w:tcPr>
          <w:p w14:paraId="5AB917D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(48-59)</w:t>
            </w:r>
          </w:p>
        </w:tc>
        <w:tc>
          <w:tcPr>
            <w:tcW w:w="1376" w:type="dxa"/>
            <w:tcBorders>
              <w:bottom w:val="single" w:color="auto" w:sz="2" w:space="0"/>
            </w:tcBorders>
            <w:shd w:val="clear" w:color="auto" w:fill="auto"/>
          </w:tcPr>
          <w:p w14:paraId="09D566E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33% (26-41)</w:t>
            </w:r>
          </w:p>
        </w:tc>
        <w:tc>
          <w:tcPr>
            <w:tcW w:w="1430" w:type="dxa"/>
            <w:tcBorders>
              <w:bottom w:val="single" w:color="auto" w:sz="2" w:space="0"/>
            </w:tcBorders>
            <w:shd w:val="clear" w:color="auto" w:fill="auto"/>
          </w:tcPr>
          <w:p w14:paraId="5AD9A227">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27% (19-36)</w:t>
            </w:r>
          </w:p>
        </w:tc>
        <w:tc>
          <w:tcPr>
            <w:tcW w:w="1394" w:type="dxa"/>
            <w:tcBorders>
              <w:bottom w:val="single" w:color="auto" w:sz="2" w:space="0"/>
            </w:tcBorders>
            <w:shd w:val="clear" w:color="auto" w:fill="auto"/>
          </w:tcPr>
          <w:p w14:paraId="6A2EA42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46% (31-61)</w:t>
            </w:r>
          </w:p>
        </w:tc>
        <w:tc>
          <w:tcPr>
            <w:tcW w:w="1377" w:type="dxa"/>
            <w:tcBorders>
              <w:bottom w:val="single" w:color="auto" w:sz="2" w:space="0"/>
            </w:tcBorders>
            <w:shd w:val="clear" w:color="auto" w:fill="auto"/>
          </w:tcPr>
          <w:p w14:paraId="1A5B90C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(39-69)</w:t>
            </w:r>
          </w:p>
        </w:tc>
      </w:tr>
      <w:tr w14:paraId="12384F26">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6A1A68EE">
            <w:pPr>
              <w:widowControl w:val="0"/>
              <w:spacing w:line="276" w:lineRule="auto"/>
              <w:rPr>
                <w:rFonts w:ascii="Microsoft Sans Serif" w:hAnsi="Microsoft Sans Serif" w:eastAsia="Calibri" w:cs="Microsoft Sans Serif"/>
                <w:b/>
                <w:bCs/>
                <w:w w:val="101"/>
                <w:position w:val="7"/>
                <w:sz w:val="20"/>
                <w:szCs w:val="20"/>
                <w:lang w:val="hr-BA"/>
              </w:rPr>
            </w:pPr>
            <w:r>
              <w:rPr>
                <w:rFonts w:ascii="Microsoft Sans Serif" w:hAnsi="Microsoft Sans Serif" w:eastAsia="Calibri" w:cs="Microsoft Sans Serif"/>
                <w:b/>
                <w:bCs/>
                <w:w w:val="101"/>
                <w:position w:val="7"/>
                <w:sz w:val="20"/>
                <w:szCs w:val="20"/>
                <w:lang w:val="hr-BA"/>
              </w:rPr>
              <w:t>Preživljavanje</w:t>
            </w:r>
            <w:r>
              <w:rPr>
                <w:rFonts w:ascii="Microsoft Sans Serif" w:hAnsi="Microsoft Sans Serif" w:eastAsia="Calibri" w:cs="Microsoft Sans Serif"/>
                <w:b/>
                <w:bCs/>
                <w:w w:val="101"/>
                <w:position w:val="7"/>
                <w:sz w:val="20"/>
                <w:szCs w:val="20"/>
              </w:rPr>
              <w:t xml:space="preserve"> (%; </w:t>
            </w:r>
            <w:r>
              <w:rPr>
                <w:rFonts w:ascii="Microsoft Sans Serif" w:hAnsi="Microsoft Sans Serif" w:eastAsia="Calibri" w:cs="Microsoft Sans Serif"/>
                <w:b/>
                <w:bCs/>
                <w:w w:val="101"/>
                <w:position w:val="7"/>
                <w:sz w:val="20"/>
                <w:szCs w:val="20"/>
                <w:lang w:val="hr-BA"/>
              </w:rPr>
              <w:t>procjena po</w:t>
            </w:r>
            <w:r>
              <w:rPr>
                <w:rFonts w:ascii="Microsoft Sans Serif" w:hAnsi="Microsoft Sans Serif" w:eastAsia="Calibri" w:cs="Microsoft Sans Serif"/>
                <w:b/>
                <w:bCs/>
                <w:w w:val="101"/>
                <w:position w:val="7"/>
                <w:sz w:val="20"/>
                <w:szCs w:val="20"/>
                <w:lang w:val="sr-Cyrl-RS"/>
              </w:rPr>
              <w:t xml:space="preserve"> </w:t>
            </w:r>
            <w:r>
              <w:rPr>
                <w:rFonts w:ascii="Microsoft Sans Serif" w:hAnsi="Microsoft Sans Serif" w:eastAsia="Calibri" w:cs="Microsoft Sans Serif"/>
                <w:b/>
                <w:bCs/>
                <w:w w:val="101"/>
                <w:position w:val="7"/>
                <w:sz w:val="20"/>
                <w:szCs w:val="20"/>
              </w:rPr>
              <w:t>Kaplan-Meier-u)</w:t>
            </w:r>
          </w:p>
        </w:tc>
      </w:tr>
      <w:tr w14:paraId="77265C0D">
        <w:tblPrEx>
          <w:tblCellMar>
            <w:top w:w="0" w:type="dxa"/>
            <w:left w:w="108" w:type="dxa"/>
            <w:bottom w:w="0" w:type="dxa"/>
            <w:right w:w="108" w:type="dxa"/>
          </w:tblCellMar>
        </w:tblPrEx>
        <w:tc>
          <w:tcPr>
            <w:tcW w:w="2134" w:type="dxa"/>
            <w:tcBorders>
              <w:top w:val="single" w:color="auto" w:sz="2" w:space="0"/>
            </w:tcBorders>
            <w:shd w:val="clear" w:color="auto" w:fill="auto"/>
          </w:tcPr>
          <w:p w14:paraId="154132BC">
            <w:pPr>
              <w:widowControl w:val="0"/>
              <w:spacing w:line="276" w:lineRule="auto"/>
              <w:rPr>
                <w:rFonts w:ascii="Microsoft Sans Serif" w:hAnsi="Microsoft Sans Serif" w:eastAsia="Calibri" w:cs="Microsoft Sans Serif"/>
                <w:bCs/>
                <w:w w:val="101"/>
                <w:position w:val="7"/>
                <w:sz w:val="20"/>
                <w:szCs w:val="20"/>
                <w:lang w:val="hr-BA"/>
              </w:rPr>
            </w:pPr>
            <w:r>
              <w:rPr>
                <w:rFonts w:ascii="Microsoft Sans Serif" w:hAnsi="Microsoft Sans Serif" w:eastAsia="Calibri" w:cs="Microsoft Sans Serif"/>
                <w:bCs/>
                <w:w w:val="101"/>
                <w:position w:val="7"/>
                <w:sz w:val="20"/>
                <w:szCs w:val="20"/>
                <w:lang w:val="hr-BA"/>
              </w:rPr>
              <w:t>Bez progresije</w:t>
            </w:r>
          </w:p>
        </w:tc>
        <w:tc>
          <w:tcPr>
            <w:tcW w:w="1376" w:type="dxa"/>
            <w:tcBorders>
              <w:top w:val="single" w:color="auto" w:sz="2" w:space="0"/>
            </w:tcBorders>
            <w:shd w:val="clear" w:color="auto" w:fill="auto"/>
          </w:tcPr>
          <w:p w14:paraId="0144062E">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29ADC8D0">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AFD8C96">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3C071E3D">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81FCDC8">
            <w:pPr>
              <w:widowControl w:val="0"/>
              <w:spacing w:line="276" w:lineRule="auto"/>
              <w:rPr>
                <w:rFonts w:ascii="Microsoft Sans Serif" w:hAnsi="Microsoft Sans Serif" w:eastAsia="Calibri" w:cs="Microsoft Sans Serif"/>
                <w:sz w:val="20"/>
                <w:szCs w:val="20"/>
              </w:rPr>
            </w:pPr>
          </w:p>
        </w:tc>
      </w:tr>
      <w:tr w14:paraId="1CCF1ABD">
        <w:tblPrEx>
          <w:tblCellMar>
            <w:top w:w="0" w:type="dxa"/>
            <w:left w:w="108" w:type="dxa"/>
            <w:bottom w:w="0" w:type="dxa"/>
            <w:right w:w="108" w:type="dxa"/>
          </w:tblCellMar>
        </w:tblPrEx>
        <w:tc>
          <w:tcPr>
            <w:tcW w:w="2134" w:type="dxa"/>
            <w:shd w:val="clear" w:color="auto" w:fill="auto"/>
          </w:tcPr>
          <w:p w14:paraId="15A65C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2A2D008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91% (88-94)</w:t>
            </w:r>
          </w:p>
        </w:tc>
        <w:tc>
          <w:tcPr>
            <w:tcW w:w="1376" w:type="dxa"/>
            <w:shd w:val="clear" w:color="auto" w:fill="auto"/>
          </w:tcPr>
          <w:p w14:paraId="1B7909C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64% (57-72)</w:t>
            </w:r>
          </w:p>
        </w:tc>
        <w:tc>
          <w:tcPr>
            <w:tcW w:w="1430" w:type="dxa"/>
            <w:shd w:val="clear" w:color="auto" w:fill="auto"/>
          </w:tcPr>
          <w:p w14:paraId="0D7860D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(25-45)</w:t>
            </w:r>
          </w:p>
        </w:tc>
        <w:tc>
          <w:tcPr>
            <w:tcW w:w="1394" w:type="dxa"/>
            <w:shd w:val="clear" w:color="auto" w:fill="auto"/>
          </w:tcPr>
          <w:p w14:paraId="5E27301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 (3-25)</w:t>
            </w:r>
          </w:p>
        </w:tc>
        <w:tc>
          <w:tcPr>
            <w:tcW w:w="1377" w:type="dxa"/>
            <w:shd w:val="clear" w:color="auto" w:fill="auto"/>
          </w:tcPr>
          <w:p w14:paraId="206D512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21% (9-34)</w:t>
            </w:r>
          </w:p>
        </w:tc>
      </w:tr>
      <w:tr w14:paraId="414E2628">
        <w:tblPrEx>
          <w:tblCellMar>
            <w:top w:w="0" w:type="dxa"/>
            <w:left w:w="108" w:type="dxa"/>
            <w:bottom w:w="0" w:type="dxa"/>
            <w:right w:w="108" w:type="dxa"/>
          </w:tblCellMar>
        </w:tblPrEx>
        <w:tc>
          <w:tcPr>
            <w:tcW w:w="2134" w:type="dxa"/>
            <w:tcBorders>
              <w:bottom w:val="single" w:color="auto" w:sz="2" w:space="0"/>
            </w:tcBorders>
            <w:shd w:val="clear" w:color="auto" w:fill="auto"/>
          </w:tcPr>
          <w:p w14:paraId="504188C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D28CBA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 (75-84)</w:t>
            </w:r>
          </w:p>
        </w:tc>
        <w:tc>
          <w:tcPr>
            <w:tcW w:w="1376" w:type="dxa"/>
            <w:tcBorders>
              <w:bottom w:val="single" w:color="auto" w:sz="2" w:space="0"/>
            </w:tcBorders>
            <w:shd w:val="clear" w:color="auto" w:fill="auto"/>
          </w:tcPr>
          <w:p w14:paraId="211A8B1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46% (38-54)</w:t>
            </w:r>
          </w:p>
        </w:tc>
        <w:tc>
          <w:tcPr>
            <w:tcW w:w="1430" w:type="dxa"/>
            <w:tcBorders>
              <w:bottom w:val="single" w:color="auto" w:sz="2" w:space="0"/>
            </w:tcBorders>
            <w:shd w:val="clear" w:color="auto" w:fill="auto"/>
          </w:tcPr>
          <w:p w14:paraId="1256796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20% (11-29)</w:t>
            </w:r>
          </w:p>
        </w:tc>
        <w:tc>
          <w:tcPr>
            <w:tcW w:w="1394" w:type="dxa"/>
            <w:tcBorders>
              <w:bottom w:val="single" w:color="auto" w:sz="2" w:space="0"/>
            </w:tcBorders>
            <w:shd w:val="clear" w:color="auto" w:fill="auto"/>
          </w:tcPr>
          <w:p w14:paraId="1A7B1C1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 (0-13)</w:t>
            </w:r>
          </w:p>
        </w:tc>
        <w:tc>
          <w:tcPr>
            <w:tcW w:w="1377" w:type="dxa"/>
            <w:tcBorders>
              <w:bottom w:val="single" w:color="auto" w:sz="2" w:space="0"/>
            </w:tcBorders>
            <w:shd w:val="clear" w:color="auto" w:fill="auto"/>
          </w:tcPr>
          <w:p w14:paraId="7FF0508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12% (2-23)</w:t>
            </w:r>
          </w:p>
        </w:tc>
      </w:tr>
      <w:tr w14:paraId="7F071C5F">
        <w:tblPrEx>
          <w:tblCellMar>
            <w:top w:w="0" w:type="dxa"/>
            <w:left w:w="108" w:type="dxa"/>
            <w:bottom w:w="0" w:type="dxa"/>
            <w:right w:w="108" w:type="dxa"/>
          </w:tblCellMar>
        </w:tblPrEx>
        <w:tc>
          <w:tcPr>
            <w:tcW w:w="2134" w:type="dxa"/>
            <w:tcBorders>
              <w:top w:val="single" w:color="auto" w:sz="2" w:space="0"/>
            </w:tcBorders>
            <w:shd w:val="clear" w:color="auto" w:fill="auto"/>
          </w:tcPr>
          <w:p w14:paraId="6E1AA193">
            <w:pPr>
              <w:widowControl w:val="0"/>
              <w:spacing w:line="276" w:lineRule="auto"/>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Ukupno </w:t>
            </w:r>
          </w:p>
        </w:tc>
        <w:tc>
          <w:tcPr>
            <w:tcW w:w="1376" w:type="dxa"/>
            <w:tcBorders>
              <w:top w:val="single" w:color="auto" w:sz="2" w:space="0"/>
            </w:tcBorders>
            <w:shd w:val="clear" w:color="auto" w:fill="auto"/>
          </w:tcPr>
          <w:p w14:paraId="0EB56477">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5FDBD79C">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FEB6639">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54BD576C">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ECFA558">
            <w:pPr>
              <w:widowControl w:val="0"/>
              <w:spacing w:line="276" w:lineRule="auto"/>
              <w:rPr>
                <w:rFonts w:ascii="Microsoft Sans Serif" w:hAnsi="Microsoft Sans Serif" w:eastAsia="Calibri" w:cs="Microsoft Sans Serif"/>
                <w:sz w:val="20"/>
                <w:szCs w:val="20"/>
              </w:rPr>
            </w:pPr>
          </w:p>
        </w:tc>
      </w:tr>
      <w:tr w14:paraId="1A524200">
        <w:tblPrEx>
          <w:tblCellMar>
            <w:top w:w="0" w:type="dxa"/>
            <w:left w:w="108" w:type="dxa"/>
            <w:bottom w:w="0" w:type="dxa"/>
            <w:right w:w="108" w:type="dxa"/>
          </w:tblCellMar>
        </w:tblPrEx>
        <w:tc>
          <w:tcPr>
            <w:tcW w:w="2134" w:type="dxa"/>
            <w:shd w:val="clear" w:color="auto" w:fill="auto"/>
          </w:tcPr>
          <w:p w14:paraId="4ED86F0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60277B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97% (95-99)</w:t>
            </w:r>
          </w:p>
        </w:tc>
        <w:tc>
          <w:tcPr>
            <w:tcW w:w="1376" w:type="dxa"/>
            <w:shd w:val="clear" w:color="auto" w:fill="auto"/>
          </w:tcPr>
          <w:p w14:paraId="65B47E3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83% (77-89)</w:t>
            </w:r>
          </w:p>
        </w:tc>
        <w:tc>
          <w:tcPr>
            <w:tcW w:w="1430" w:type="dxa"/>
            <w:shd w:val="clear" w:color="auto" w:fill="auto"/>
          </w:tcPr>
          <w:p w14:paraId="585BFA1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48% (38-59)</w:t>
            </w:r>
          </w:p>
        </w:tc>
        <w:tc>
          <w:tcPr>
            <w:tcW w:w="1394" w:type="dxa"/>
            <w:shd w:val="clear" w:color="auto" w:fill="auto"/>
          </w:tcPr>
          <w:p w14:paraId="5B96684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 (14-47)</w:t>
            </w:r>
          </w:p>
        </w:tc>
        <w:tc>
          <w:tcPr>
            <w:tcW w:w="1377" w:type="dxa"/>
            <w:shd w:val="clear" w:color="auto" w:fill="auto"/>
          </w:tcPr>
          <w:p w14:paraId="342C15E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(20-51)</w:t>
            </w:r>
          </w:p>
        </w:tc>
      </w:tr>
      <w:tr w14:paraId="2770057A">
        <w:tblPrEx>
          <w:tblCellMar>
            <w:top w:w="0" w:type="dxa"/>
            <w:left w:w="108" w:type="dxa"/>
            <w:bottom w:w="0" w:type="dxa"/>
            <w:right w:w="108" w:type="dxa"/>
          </w:tblCellMar>
        </w:tblPrEx>
        <w:tc>
          <w:tcPr>
            <w:tcW w:w="2134" w:type="dxa"/>
            <w:tcBorders>
              <w:bottom w:val="single" w:color="auto" w:sz="2" w:space="0"/>
            </w:tcBorders>
            <w:shd w:val="clear" w:color="auto" w:fill="auto"/>
          </w:tcPr>
          <w:p w14:paraId="60BABB1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6A91B7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94% (91-97)</w:t>
            </w:r>
          </w:p>
        </w:tc>
        <w:tc>
          <w:tcPr>
            <w:tcW w:w="1376" w:type="dxa"/>
            <w:tcBorders>
              <w:bottom w:val="single" w:color="auto" w:sz="2" w:space="0"/>
            </w:tcBorders>
            <w:shd w:val="clear" w:color="auto" w:fill="auto"/>
          </w:tcPr>
          <w:p w14:paraId="508F1BC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72% (64-79)</w:t>
            </w:r>
          </w:p>
        </w:tc>
        <w:tc>
          <w:tcPr>
            <w:tcW w:w="1430" w:type="dxa"/>
            <w:tcBorders>
              <w:bottom w:val="single" w:color="auto" w:sz="2" w:space="0"/>
            </w:tcBorders>
            <w:shd w:val="clear" w:color="auto" w:fill="auto"/>
          </w:tcPr>
          <w:p w14:paraId="1D28F3F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38% (27-50)</w:t>
            </w:r>
          </w:p>
        </w:tc>
        <w:tc>
          <w:tcPr>
            <w:tcW w:w="1394" w:type="dxa"/>
            <w:tcBorders>
              <w:bottom w:val="single" w:color="auto" w:sz="2" w:space="0"/>
            </w:tcBorders>
            <w:shd w:val="clear" w:color="auto" w:fill="auto"/>
          </w:tcPr>
          <w:p w14:paraId="4724025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26% (10-42)</w:t>
            </w:r>
          </w:p>
        </w:tc>
        <w:tc>
          <w:tcPr>
            <w:tcW w:w="1377" w:type="dxa"/>
            <w:tcBorders>
              <w:bottom w:val="single" w:color="auto" w:sz="2" w:space="0"/>
            </w:tcBorders>
            <w:shd w:val="clear" w:color="auto" w:fill="auto"/>
          </w:tcPr>
          <w:p w14:paraId="4B7A21D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31% (16-47)</w:t>
            </w:r>
          </w:p>
        </w:tc>
      </w:tr>
    </w:tbl>
    <w:p w14:paraId="7031A5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prikazani u ovoj tabeli su iz ispitivanja u kojima se kao početna doza koristilo 70 mg dva puta dnevno. </w:t>
      </w:r>
      <w:r>
        <w:rPr>
          <w:rFonts w:ascii="Microsoft Sans Serif" w:hAnsi="Microsoft Sans Serif" w:cs="Microsoft Sans Serif"/>
          <w:bCs/>
          <w:sz w:val="20"/>
          <w:szCs w:val="20"/>
          <w:lang w:val="hr-BA"/>
        </w:rPr>
        <w:t>Pogledati dio</w:t>
      </w:r>
      <w:r>
        <w:rPr>
          <w:rFonts w:ascii="Microsoft Sans Serif" w:hAnsi="Microsoft Sans Serif" w:cs="Microsoft Sans Serif"/>
          <w:bCs/>
          <w:sz w:val="20"/>
          <w:szCs w:val="20"/>
          <w:lang w:val="sr-Cyrl-RS"/>
        </w:rPr>
        <w:t xml:space="preserve"> 4.2 za preporučenu početnu dozu.</w:t>
      </w:r>
    </w:p>
    <w:p w14:paraId="0FBE1019">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Boldovani brojevi</w:t>
      </w:r>
      <w:r>
        <w:rPr>
          <w:rFonts w:ascii="Microsoft Sans Serif" w:hAnsi="Microsoft Sans Serif" w:cs="Microsoft Sans Serif"/>
          <w:sz w:val="20"/>
          <w:szCs w:val="20"/>
        </w:rPr>
        <w:t xml:space="preserve"> pokazuju rezultate za primarne ishode</w:t>
      </w:r>
    </w:p>
    <w:p w14:paraId="097C40D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Latn-RS"/>
        </w:rPr>
        <w:t xml:space="preserve"> Kriterijumi hematološkog odgovora (svi odgovori potvrđeni poslije 4 nedelјe): Značajan hematološki odgovor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MaHR)= potpun hematološki odgovor (CHR) + NEL (nema dokaza leukemije)</w:t>
      </w:r>
    </w:p>
    <w:p w14:paraId="70752E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CHR (hronična HML): broj leukocita (WBC) ≤ institucionalna ULN, trombociti &lt;450000/mm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zahvaćenosti.</w:t>
      </w:r>
    </w:p>
    <w:p w14:paraId="10E5DE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uznapredovala HML/</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xml:space="preserve">, bez blasta ili promijelocita u perifernoj krvi, blasti u koštanoj srži ≤ 5%, &lt; 5% mijelociti plus metamijelociti u perifernoj krvi, bazofili u perifernoj krvi &lt; 20%, i bez ekstramedularne </w:t>
      </w:r>
      <w:r>
        <w:rPr>
          <w:rFonts w:ascii="Microsoft Sans Serif" w:hAnsi="Microsoft Sans Serif" w:cs="Microsoft Sans Serif"/>
          <w:bCs/>
          <w:sz w:val="20"/>
          <w:szCs w:val="20"/>
          <w:lang w:val="hr-BA"/>
        </w:rPr>
        <w:t>zahvaćenosti</w:t>
      </w:r>
      <w:r>
        <w:rPr>
          <w:rFonts w:ascii="Microsoft Sans Serif" w:hAnsi="Microsoft Sans Serif" w:cs="Microsoft Sans Serif"/>
          <w:bCs/>
          <w:sz w:val="20"/>
          <w:szCs w:val="20"/>
          <w:lang w:val="sr-Cyrl-RS"/>
        </w:rPr>
        <w:t>.</w:t>
      </w:r>
    </w:p>
    <w:p w14:paraId="4DD5685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NEL (nema dokaza leukemije)</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w:t>
      </w:r>
    </w:p>
    <w:p w14:paraId="0F1015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sr-Cyrl-RS"/>
        </w:rPr>
        <w:t xml:space="preserve"> </w:t>
      </w:r>
      <w:r>
        <w:rPr>
          <w:rFonts w:ascii="Microsoft Sans Serif" w:hAnsi="Microsoft Sans Serif" w:cs="Microsoft Sans Serif"/>
          <w:bCs/>
          <w:sz w:val="20"/>
          <w:szCs w:val="20"/>
          <w:lang w:val="sr-Latn-RS"/>
        </w:rPr>
        <w:t>Kriteriji</w:t>
      </w:r>
      <w:r>
        <w:rPr>
          <w:rFonts w:ascii="Microsoft Sans Serif" w:hAnsi="Microsoft Sans Serif" w:cs="Microsoft Sans Serif"/>
          <w:bCs/>
          <w:sz w:val="20"/>
          <w:szCs w:val="20"/>
          <w:lang w:val="sr-Cyrl-RS"/>
        </w:rPr>
        <w:t>jumi</w:t>
      </w:r>
      <w:r>
        <w:rPr>
          <w:rFonts w:ascii="Microsoft Sans Serif" w:hAnsi="Microsoft Sans Serif" w:cs="Microsoft Sans Serif"/>
          <w:bCs/>
          <w:sz w:val="20"/>
          <w:szCs w:val="20"/>
          <w:lang w:val="sr-Latn-RS"/>
        </w:rPr>
        <w:t xml:space="preserve"> citogenetskog odgovora: potpun (0% Ph+ metafaze) ili </w:t>
      </w:r>
      <w:r>
        <w:rPr>
          <w:rFonts w:ascii="Microsoft Sans Serif" w:hAnsi="Microsoft Sans Serif" w:cs="Microsoft Sans Serif"/>
          <w:bCs/>
          <w:sz w:val="20"/>
          <w:szCs w:val="20"/>
          <w:lang w:val="sr-Cyrl-RS"/>
        </w:rPr>
        <w:t>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limičan (&gt; 0%-35%). MCyR (0%-35%) obuhvata i potpun i djelimičan odgovor</w:t>
      </w:r>
    </w:p>
    <w:p w14:paraId="7704E9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 xml:space="preserve">n/a = nije primjenjivo, </w:t>
      </w:r>
      <w:r>
        <w:rPr>
          <w:rFonts w:ascii="Microsoft Sans Serif" w:hAnsi="Microsoft Sans Serif" w:cs="Microsoft Sans Serif"/>
          <w:bCs/>
          <w:sz w:val="20"/>
          <w:szCs w:val="20"/>
          <w:lang w:val="sr-Latn-RS"/>
        </w:rPr>
        <w:t>CI = interval pouzdanosti; ULN = gornja granica normalnih vrijednosti</w:t>
      </w:r>
    </w:p>
    <w:p w14:paraId="6B31AF9A">
      <w:pPr>
        <w:rPr>
          <w:rFonts w:ascii="Microsoft Sans Serif" w:hAnsi="Microsoft Sans Serif" w:cs="Microsoft Sans Serif"/>
          <w:bCs/>
          <w:sz w:val="20"/>
          <w:szCs w:val="20"/>
          <w:lang w:val="sr-Latn-RS"/>
        </w:rPr>
      </w:pPr>
    </w:p>
    <w:p w14:paraId="4A04B03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Ishod pacijenata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 xml:space="preserve"> transplanacijom koštane srži </w:t>
      </w:r>
      <w:r>
        <w:rPr>
          <w:rFonts w:ascii="Microsoft Sans Serif" w:hAnsi="Microsoft Sans Serif" w:cs="Microsoft Sans Serif"/>
          <w:bCs/>
          <w:sz w:val="20"/>
          <w:szCs w:val="20"/>
          <w:lang w:val="sr-Cyrl-RS"/>
        </w:rPr>
        <w:t>poslije</w:t>
      </w:r>
      <w:r>
        <w:rPr>
          <w:rFonts w:ascii="Microsoft Sans Serif" w:hAnsi="Microsoft Sans Serif" w:cs="Microsoft Sans Serif"/>
          <w:bCs/>
          <w:sz w:val="20"/>
          <w:szCs w:val="20"/>
          <w:lang w:val="sr-Latn-RS"/>
        </w:rPr>
        <w:t xml:space="preserve"> liječenja dasatinibom nije još u potpunosti</w:t>
      </w:r>
      <w:r>
        <w:rPr>
          <w:rFonts w:ascii="Microsoft Sans Serif" w:hAnsi="Microsoft Sans Serif" w:cs="Microsoft Sans Serif"/>
          <w:bCs/>
          <w:sz w:val="20"/>
          <w:szCs w:val="20"/>
          <w:lang w:val="sr-Cyrl-RS"/>
        </w:rPr>
        <w:t xml:space="preserv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w:t>
      </w:r>
    </w:p>
    <w:p w14:paraId="30EA5089">
      <w:pPr>
        <w:rPr>
          <w:rFonts w:ascii="Microsoft Sans Serif" w:hAnsi="Microsoft Sans Serif" w:cs="Microsoft Sans Serif"/>
          <w:bCs/>
          <w:sz w:val="20"/>
          <w:szCs w:val="20"/>
          <w:lang w:val="sr-Cyrl-RS"/>
        </w:rPr>
      </w:pPr>
    </w:p>
    <w:p w14:paraId="4ECFD38E">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Klinička studija faze III kod pacijenata sa HML u hroničnoj fazi, uznapredovaloj fazi ili fazi mijeloidne</w:t>
      </w:r>
    </w:p>
    <w:p w14:paraId="454884AA">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Cyrl-RS"/>
        </w:rPr>
        <w:t xml:space="preserve">blastne krize i Ph+ ALL koji </w:t>
      </w:r>
      <w:r>
        <w:rPr>
          <w:rFonts w:ascii="Microsoft Sans Serif" w:hAnsi="Microsoft Sans Serif" w:cs="Microsoft Sans Serif"/>
          <w:bCs/>
          <w:i/>
          <w:sz w:val="20"/>
          <w:szCs w:val="20"/>
          <w:u w:val="single"/>
          <w:lang w:val="sr-Latn-RS"/>
        </w:rPr>
        <w:t>su</w:t>
      </w:r>
      <w:r>
        <w:rPr>
          <w:rFonts w:ascii="Microsoft Sans Serif" w:hAnsi="Microsoft Sans Serif" w:cs="Microsoft Sans Serif"/>
          <w:bCs/>
          <w:i/>
          <w:sz w:val="20"/>
          <w:szCs w:val="20"/>
          <w:u w:val="single"/>
          <w:lang w:val="sr-Cyrl-RS"/>
        </w:rPr>
        <w:t xml:space="preserve">rezistentni ili </w:t>
      </w:r>
      <w:r>
        <w:rPr>
          <w:rFonts w:ascii="Microsoft Sans Serif" w:hAnsi="Microsoft Sans Serif" w:cs="Microsoft Sans Serif"/>
          <w:bCs/>
          <w:i/>
          <w:sz w:val="20"/>
          <w:szCs w:val="20"/>
          <w:u w:val="single"/>
        </w:rPr>
        <w:t>intolerantni na</w:t>
      </w:r>
      <w:r>
        <w:rPr>
          <w:rFonts w:ascii="Microsoft Sans Serif" w:hAnsi="Microsoft Sans Serif" w:cs="Microsoft Sans Serif"/>
          <w:bCs/>
          <w:i/>
          <w:sz w:val="20"/>
          <w:szCs w:val="20"/>
          <w:u w:val="single"/>
          <w:lang w:val="sr-Cyrl-RS"/>
        </w:rPr>
        <w:t xml:space="preserve"> imatinib</w:t>
      </w:r>
    </w:p>
    <w:p w14:paraId="7B5AD1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Sprovedene su</w:t>
      </w:r>
      <w:r>
        <w:rPr>
          <w:rFonts w:ascii="Microsoft Sans Serif" w:hAnsi="Microsoft Sans Serif" w:cs="Microsoft Sans Serif"/>
          <w:bCs/>
          <w:sz w:val="20"/>
          <w:szCs w:val="20"/>
        </w:rPr>
        <w:t xml:space="preserve"> dvije</w:t>
      </w:r>
      <w:r>
        <w:rPr>
          <w:rFonts w:ascii="Microsoft Sans Serif" w:hAnsi="Microsoft Sans Serif" w:cs="Microsoft Sans Serif"/>
          <w:bCs/>
          <w:sz w:val="20"/>
          <w:szCs w:val="20"/>
          <w:lang w:val="sr-Cyrl-RS"/>
        </w:rPr>
        <w:t xml:space="preserve"> randomizovane studije otvorenog tipa kako bi se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enila efikasnost </w:t>
      </w:r>
      <w:r>
        <w:rPr>
          <w:rFonts w:ascii="Microsoft Sans Serif" w:hAnsi="Microsoft Sans Serif" w:cs="Microsoft Sans Serif"/>
          <w:bCs/>
          <w:sz w:val="20"/>
          <w:szCs w:val="20"/>
          <w:lang w:val="hr-BA"/>
        </w:rPr>
        <w:t xml:space="preserve">primjene </w:t>
      </w:r>
      <w:r>
        <w:rPr>
          <w:rFonts w:ascii="Microsoft Sans Serif" w:hAnsi="Microsoft Sans Serif" w:cs="Microsoft Sans Serif"/>
          <w:bCs/>
          <w:sz w:val="20"/>
          <w:szCs w:val="20"/>
          <w:lang w:val="sr-Cyrl-RS"/>
        </w:rPr>
        <w:t xml:space="preserve">dasatiniba jednom dnevno u poređenju sa primjenom dasatiniba dva puta dnevno. Rezultati navedeni </w:t>
      </w:r>
      <w:r>
        <w:rPr>
          <w:rFonts w:ascii="Microsoft Sans Serif" w:hAnsi="Microsoft Sans Serif" w:cs="Microsoft Sans Serif"/>
          <w:bCs/>
          <w:sz w:val="20"/>
          <w:szCs w:val="20"/>
        </w:rPr>
        <w:t>u nastavku teksta</w:t>
      </w:r>
      <w:r>
        <w:rPr>
          <w:rFonts w:ascii="Microsoft Sans Serif" w:hAnsi="Microsoft Sans Serif" w:cs="Microsoft Sans Serif"/>
          <w:bCs/>
          <w:sz w:val="20"/>
          <w:szCs w:val="20"/>
          <w:lang w:val="sr-Cyrl-RS"/>
        </w:rPr>
        <w:t xml:space="preserve"> zasnivaju se na podacima nakon najmanje 2 godine i 7 godina praćenja od početka liječenja dasatinibom.</w:t>
      </w:r>
    </w:p>
    <w:p w14:paraId="14CDFE5C">
      <w:pPr>
        <w:rPr>
          <w:rFonts w:ascii="Microsoft Sans Serif" w:hAnsi="Microsoft Sans Serif" w:cs="Microsoft Sans Serif"/>
          <w:bCs/>
          <w:sz w:val="20"/>
          <w:szCs w:val="20"/>
          <w:lang w:val="sr-Latn-RS"/>
        </w:rPr>
      </w:pPr>
    </w:p>
    <w:p w14:paraId="5EE41CD5">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23BEAE8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HML u hroničnoj fazi, primarni parametar praćenja studije bio je značajan citogenetski odgovor kod pacijenata rezistentnih na imatinib. Glavni sekundarni parametar praćenja bio je značajan citogenetski odgovor prema ukupnom nivou dnevne doze kod pacijenata rezistentnih na imatinib. Drugi sekundarni parametri praćenja bili su trajanje značajnog citogenetskog odgovora, PFS i ukupno preživljavanje. Ukupno je bilo randomizovano 670 pacijenata, od kojih je 497 bilo rezistentno na imatinib, koji su bili randomizovani u četiri grupe koje su primale sljedeće doze dasatiniba: 100 mg jednom dnevno, 140 mg jednom dnevno, 50 mg dva puta dnevno ili 70 mg dva puta dnevno. Medijana trajanja liječenja za sve pacijente koji su još primali terapiju poslije najmanje 5 godina praćenja (n=205) iznosila je 59 mjeseci (raspon: 28-66 mjeseci). Medijana trajanja terapije za sve pacijente u 7. godini praćenja iznosila je 29,8 mjeseci (raspon &lt;1-92,9 mjeseci).</w:t>
      </w:r>
    </w:p>
    <w:p w14:paraId="653983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postignuta u svim grupama koje su primale dasatinib prema rasporedu doziranja jednom</w:t>
      </w:r>
    </w:p>
    <w:p w14:paraId="2F49817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dnevno, a dokazana je komparabilna efikasnost (neinferiornost) u odnosu na raspored doziranja dva puta dnevno po pitanju primarnog parametra praćenja efikasnosti (razlika u značajnom citogenetskom odgovoru 1,9%; 95% interval pouzdanosti [-6,8% - 10,6%]); međutim, režim liječenja dozom od 100 mg jednom dnevno pokazao je bolju bezbjednost i podnošljivost. Rezultati efikasnosti prikazani su u Tabelama 12 i 13.</w:t>
      </w:r>
    </w:p>
    <w:p w14:paraId="255A1BD6">
      <w:pPr>
        <w:rPr>
          <w:rFonts w:ascii="Microsoft Sans Serif" w:hAnsi="Microsoft Sans Serif" w:cs="Microsoft Sans Serif"/>
          <w:bCs/>
          <w:sz w:val="20"/>
          <w:szCs w:val="20"/>
          <w:lang w:val="sr-Latn-RS"/>
        </w:rPr>
      </w:pPr>
    </w:p>
    <w:p w14:paraId="31F87BA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12: Efikasnost leka dasatinib u studiji optimizacije doze faze III: pacijenti sa HML u hroničnoj</w:t>
      </w:r>
    </w:p>
    <w:p w14:paraId="3DA3C6F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fazi koji su rezistentni na imatinib ili ga ne podnose (2-godišnji rezultati)</w:t>
      </w:r>
      <w:r>
        <w:rPr>
          <w:rFonts w:ascii="Microsoft Sans Serif" w:hAnsi="Microsoft Sans Serif" w:cs="Microsoft Sans Serif"/>
          <w:b/>
          <w:bCs/>
          <w:sz w:val="20"/>
          <w:szCs w:val="20"/>
          <w:vertAlign w:val="superscript"/>
          <w:lang w:val="sr-Latn-RS"/>
        </w:rPr>
        <w:t>a</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5"/>
        <w:gridCol w:w="5137"/>
      </w:tblGrid>
      <w:tr w14:paraId="45C7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4D9351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Svi pacijenti </w:t>
            </w:r>
          </w:p>
        </w:tc>
        <w:tc>
          <w:tcPr>
            <w:tcW w:w="5137" w:type="dxa"/>
            <w:tcBorders>
              <w:top w:val="single" w:color="auto" w:sz="2" w:space="0"/>
              <w:bottom w:val="single" w:color="auto" w:sz="2" w:space="0"/>
            </w:tcBorders>
          </w:tcPr>
          <w:p w14:paraId="27A0256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n=167</w:t>
            </w:r>
          </w:p>
        </w:tc>
      </w:tr>
      <w:tr w14:paraId="57A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09414B74">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Pacijenti rezistentni na imatinib </w:t>
            </w:r>
          </w:p>
        </w:tc>
        <w:tc>
          <w:tcPr>
            <w:tcW w:w="5137" w:type="dxa"/>
            <w:tcBorders>
              <w:top w:val="single" w:color="auto" w:sz="2" w:space="0"/>
            </w:tcBorders>
          </w:tcPr>
          <w:p w14:paraId="28F846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n=124</w:t>
            </w:r>
          </w:p>
        </w:tc>
      </w:tr>
      <w:tr w14:paraId="522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tcBorders>
          </w:tcPr>
          <w:p w14:paraId="5A5A37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hematološkog odgovora</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 (95% CI)</w:t>
            </w:r>
          </w:p>
        </w:tc>
      </w:tr>
      <w:tr w14:paraId="7F5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bottom w:val="single" w:color="auto" w:sz="2" w:space="0"/>
            </w:tcBorders>
          </w:tcPr>
          <w:p w14:paraId="373B6ED8">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 xml:space="preserve">Potpun hematološki odgovor (CHR) </w:t>
            </w:r>
          </w:p>
        </w:tc>
        <w:tc>
          <w:tcPr>
            <w:tcW w:w="5137" w:type="dxa"/>
            <w:tcBorders>
              <w:bottom w:val="single" w:color="auto" w:sz="2" w:space="0"/>
            </w:tcBorders>
          </w:tcPr>
          <w:p w14:paraId="7E18253D">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92% (86-95)</w:t>
            </w:r>
          </w:p>
        </w:tc>
      </w:tr>
      <w:tr w14:paraId="00E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29AA2F3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r>
              <w:rPr>
                <w:rFonts w:ascii="Microsoft Sans Serif" w:hAnsi="Microsoft Sans Serif" w:eastAsia="Calibri" w:cs="Microsoft Sans Serif"/>
                <w:b/>
                <w:sz w:val="20"/>
                <w:szCs w:val="20"/>
                <w:vertAlign w:val="superscript"/>
              </w:rPr>
              <w:t>c</w:t>
            </w:r>
            <w:r>
              <w:rPr>
                <w:rFonts w:ascii="Microsoft Sans Serif" w:hAnsi="Microsoft Sans Serif" w:eastAsia="Calibri" w:cs="Microsoft Sans Serif"/>
                <w:b/>
                <w:sz w:val="20"/>
                <w:szCs w:val="20"/>
              </w:rPr>
              <w:t xml:space="preserve"> (%) (95% CI)</w:t>
            </w:r>
          </w:p>
        </w:tc>
      </w:tr>
      <w:tr w14:paraId="01F9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7257644E">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MCyR</w:t>
            </w:r>
          </w:p>
        </w:tc>
        <w:tc>
          <w:tcPr>
            <w:tcW w:w="5137" w:type="dxa"/>
            <w:tcBorders>
              <w:top w:val="single" w:color="auto" w:sz="2" w:space="0"/>
            </w:tcBorders>
          </w:tcPr>
          <w:p w14:paraId="1DAFF28F">
            <w:pPr>
              <w:widowControl w:val="0"/>
              <w:tabs>
                <w:tab w:val="left" w:pos="1300"/>
              </w:tabs>
              <w:spacing w:line="238" w:lineRule="exact"/>
              <w:rPr>
                <w:rFonts w:ascii="Microsoft Sans Serif" w:hAnsi="Microsoft Sans Serif" w:eastAsia="Times New Roman" w:cs="Microsoft Sans Serif"/>
                <w:sz w:val="20"/>
                <w:szCs w:val="20"/>
              </w:rPr>
            </w:pPr>
          </w:p>
        </w:tc>
      </w:tr>
      <w:tr w14:paraId="3D86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4D12456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Svi pacijenti </w:t>
            </w:r>
          </w:p>
        </w:tc>
        <w:tc>
          <w:tcPr>
            <w:tcW w:w="5137" w:type="dxa"/>
          </w:tcPr>
          <w:p w14:paraId="50FE0EB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63% (56-71)</w:t>
            </w:r>
          </w:p>
        </w:tc>
      </w:tr>
      <w:tr w14:paraId="15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6367A5B5">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1A4CF396">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59% (50-68)</w:t>
            </w:r>
          </w:p>
        </w:tc>
      </w:tr>
      <w:tr w14:paraId="05E7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75D49918">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c>
          <w:tcPr>
            <w:tcW w:w="5137" w:type="dxa"/>
          </w:tcPr>
          <w:p w14:paraId="780228E6">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r>
      <w:tr w14:paraId="004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35" w:type="dxa"/>
          </w:tcPr>
          <w:p w14:paraId="2E182093">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Pr>
          <w:p w14:paraId="6EA6637E">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50% (42-58)</w:t>
            </w:r>
          </w:p>
        </w:tc>
      </w:tr>
      <w:tr w14:paraId="31D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440A9609">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652AB12F">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44% (35-53)</w:t>
            </w:r>
          </w:p>
        </w:tc>
      </w:tr>
      <w:tr w14:paraId="2C9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696D98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Značajan molekularni odgovor kod pacijenata koji su postigli CCyR</w:t>
            </w:r>
            <w:r>
              <w:rPr>
                <w:rFonts w:ascii="Microsoft Sans Serif" w:hAnsi="Microsoft Sans Serif" w:eastAsia="Calibri" w:cs="Microsoft Sans Serif"/>
                <w:b/>
                <w:sz w:val="20"/>
                <w:szCs w:val="20"/>
                <w:vertAlign w:val="superscript"/>
              </w:rPr>
              <w:t>d</w:t>
            </w:r>
            <w:r>
              <w:rPr>
                <w:rFonts w:ascii="Microsoft Sans Serif" w:hAnsi="Microsoft Sans Serif" w:eastAsia="Calibri" w:cs="Microsoft Sans Serif"/>
                <w:b/>
                <w:sz w:val="20"/>
                <w:szCs w:val="20"/>
              </w:rPr>
              <w:t xml:space="preserve"> (%) (95% CI)</w:t>
            </w:r>
          </w:p>
        </w:tc>
      </w:tr>
      <w:tr w14:paraId="583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36CE28DC">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Borders>
              <w:top w:val="single" w:color="auto" w:sz="2" w:space="0"/>
            </w:tcBorders>
          </w:tcPr>
          <w:p w14:paraId="1E0245AF">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69% (58-79)</w:t>
            </w:r>
          </w:p>
        </w:tc>
      </w:tr>
      <w:tr w14:paraId="03DB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35" w:type="dxa"/>
            <w:tcBorders>
              <w:bottom w:val="single" w:color="auto" w:sz="2" w:space="0"/>
            </w:tcBorders>
          </w:tcPr>
          <w:p w14:paraId="77B82347">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Borders>
              <w:bottom w:val="single" w:color="auto" w:sz="2" w:space="0"/>
            </w:tcBorders>
          </w:tcPr>
          <w:p w14:paraId="6E2E5E11">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72% (58-83)</w:t>
            </w:r>
          </w:p>
        </w:tc>
      </w:tr>
    </w:tbl>
    <w:p w14:paraId="39EC88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Rezultati prijavljeni pri primjeni preporučene početne doze od 100 mg jednom dnevno</w:t>
      </w:r>
    </w:p>
    <w:p w14:paraId="4ACCAA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hematološkog odgovora (svi odgovori potvrđeni nakon 4 nedelje): Potpun hematološki odgovor (CHR) (HML u hroničnoj fazi): broj leukocita ≤ institucionalni ULN, trombociti &lt; 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bolesti</w:t>
      </w:r>
    </w:p>
    <w:p w14:paraId="7F794DB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citogenetskog odgovora: kompletan (0% Ph+ metafaze) ili parcijalan (&gt; 0%-35%). Značajan citogenetski odgovor</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(MCyR) (0%-35%) obuhvata i kompletan i parcijalan odgovor</w:t>
      </w:r>
    </w:p>
    <w:p w14:paraId="42A9E0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d</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značajnog molekularnog odgovora: Definisan kao BCR-ABL/kontrolni transkripti ≤ 0,1% po RQ-PCR u uzorcima periferne krvi</w:t>
      </w:r>
    </w:p>
    <w:p w14:paraId="0A123DBD">
      <w:pPr>
        <w:rPr>
          <w:rFonts w:ascii="Microsoft Sans Serif" w:hAnsi="Microsoft Sans Serif" w:cs="Microsoft Sans Serif"/>
          <w:bCs/>
          <w:sz w:val="20"/>
          <w:szCs w:val="20"/>
          <w:lang w:val="sr-Latn-RS"/>
        </w:rPr>
      </w:pPr>
    </w:p>
    <w:p w14:paraId="5835D0A3">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13: Dugoročna efikasnost dasatiniba u studiji optimizacije doze faze 3: pacijenti sa HML u</w:t>
      </w:r>
    </w:p>
    <w:p w14:paraId="1C1E6466">
      <w:pPr>
        <w:rPr>
          <w:rFonts w:ascii="Microsoft Sans Serif" w:hAnsi="Microsoft Sans Serif" w:cs="Microsoft Sans Serif"/>
          <w:b/>
          <w:bCs/>
          <w:sz w:val="20"/>
          <w:szCs w:val="20"/>
          <w:vertAlign w:val="superscript"/>
          <w:lang w:val="sr-Latn-RS"/>
        </w:rPr>
      </w:pPr>
      <w:r>
        <w:rPr>
          <w:rFonts w:ascii="Microsoft Sans Serif" w:hAnsi="Microsoft Sans Serif" w:cs="Microsoft Sans Serif"/>
          <w:b/>
          <w:bCs/>
          <w:sz w:val="20"/>
          <w:szCs w:val="20"/>
          <w:lang w:val="sr-Latn-RS"/>
        </w:rPr>
        <w:t>hroničnoj fazi koji su rezistentni na imatinib ili ga ne podnose</w:t>
      </w:r>
      <w:r>
        <w:rPr>
          <w:rFonts w:ascii="Microsoft Sans Serif" w:hAnsi="Microsoft Sans Serif" w:cs="Microsoft Sans Serif"/>
          <w:b/>
          <w:bCs/>
          <w:sz w:val="20"/>
          <w:szCs w:val="20"/>
          <w:vertAlign w:val="superscript"/>
          <w:lang w:val="sr-Latn-RS"/>
        </w:rPr>
        <w:t>3</w:t>
      </w:r>
    </w:p>
    <w:tbl>
      <w:tblPr>
        <w:tblStyle w:val="12"/>
        <w:tblW w:w="9072" w:type="dxa"/>
        <w:tblInd w:w="0" w:type="dxa"/>
        <w:tblLayout w:type="fixed"/>
        <w:tblCellMar>
          <w:top w:w="0" w:type="dxa"/>
          <w:left w:w="0" w:type="dxa"/>
          <w:bottom w:w="0" w:type="dxa"/>
          <w:right w:w="0" w:type="dxa"/>
        </w:tblCellMar>
      </w:tblPr>
      <w:tblGrid>
        <w:gridCol w:w="306"/>
        <w:gridCol w:w="2462"/>
        <w:gridCol w:w="382"/>
        <w:gridCol w:w="1303"/>
        <w:gridCol w:w="1501"/>
        <w:gridCol w:w="1525"/>
        <w:gridCol w:w="1593"/>
      </w:tblGrid>
      <w:tr w14:paraId="13205E3A">
        <w:tblPrEx>
          <w:tblCellMar>
            <w:top w:w="0" w:type="dxa"/>
            <w:left w:w="0" w:type="dxa"/>
            <w:bottom w:w="0" w:type="dxa"/>
            <w:right w:w="0" w:type="dxa"/>
          </w:tblCellMar>
        </w:tblPrEx>
        <w:trPr>
          <w:trHeight w:val="247" w:hRule="exact"/>
        </w:trPr>
        <w:tc>
          <w:tcPr>
            <w:tcW w:w="3150" w:type="dxa"/>
            <w:gridSpan w:val="3"/>
            <w:tcBorders>
              <w:top w:val="nil"/>
              <w:left w:val="nil"/>
              <w:bottom w:val="single" w:color="000000" w:sz="4" w:space="0"/>
              <w:right w:val="nil"/>
            </w:tcBorders>
          </w:tcPr>
          <w:p w14:paraId="58FC7DFE">
            <w:pPr>
              <w:rPr>
                <w:rFonts w:ascii="Microsoft Sans Serif" w:hAnsi="Microsoft Sans Serif" w:cs="Microsoft Sans Serif"/>
                <w:sz w:val="20"/>
                <w:szCs w:val="20"/>
              </w:rPr>
            </w:pPr>
          </w:p>
        </w:tc>
        <w:tc>
          <w:tcPr>
            <w:tcW w:w="1303" w:type="dxa"/>
            <w:tcBorders>
              <w:top w:val="single" w:color="000000" w:sz="4" w:space="0"/>
              <w:left w:val="nil"/>
              <w:bottom w:val="single" w:color="000000" w:sz="4" w:space="0"/>
              <w:right w:val="nil"/>
            </w:tcBorders>
          </w:tcPr>
          <w:p w14:paraId="697A4D31">
            <w:pPr>
              <w:spacing w:before="13"/>
              <w:jc w:val="center"/>
              <w:rPr>
                <w:rFonts w:ascii="Microsoft Sans Serif" w:hAnsi="Microsoft Sans Serif" w:cs="Microsoft Sans Serif"/>
                <w:sz w:val="20"/>
                <w:szCs w:val="20"/>
              </w:rPr>
            </w:pPr>
            <w:r>
              <w:rPr>
                <w:rFonts w:ascii="Microsoft Sans Serif" w:hAnsi="Microsoft Sans Serif" w:cs="Microsoft Sans Serif"/>
                <w:b/>
                <w:bCs/>
                <w:sz w:val="20"/>
                <w:szCs w:val="20"/>
              </w:rPr>
              <w:t>1</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01" w:type="dxa"/>
            <w:tcBorders>
              <w:top w:val="single" w:color="000000" w:sz="4" w:space="0"/>
              <w:left w:val="nil"/>
              <w:bottom w:val="single" w:color="000000" w:sz="4" w:space="0"/>
              <w:right w:val="nil"/>
            </w:tcBorders>
          </w:tcPr>
          <w:p w14:paraId="13F03B6D">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2</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w:t>
            </w:r>
            <w:r>
              <w:rPr>
                <w:rFonts w:ascii="Microsoft Sans Serif" w:hAnsi="Microsoft Sans Serif" w:cs="Microsoft Sans Serif"/>
                <w:b/>
                <w:bCs/>
                <w:w w:val="103"/>
                <w:sz w:val="20"/>
                <w:szCs w:val="20"/>
                <w:lang w:val="mk-MK"/>
              </w:rPr>
              <w:t>е</w:t>
            </w:r>
          </w:p>
        </w:tc>
        <w:tc>
          <w:tcPr>
            <w:tcW w:w="1525" w:type="dxa"/>
            <w:tcBorders>
              <w:top w:val="single" w:color="000000" w:sz="4" w:space="0"/>
              <w:left w:val="nil"/>
              <w:bottom w:val="single" w:color="000000" w:sz="4" w:space="0"/>
              <w:right w:val="nil"/>
            </w:tcBorders>
          </w:tcPr>
          <w:p w14:paraId="02248A49">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5</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93" w:type="dxa"/>
            <w:tcBorders>
              <w:top w:val="single" w:color="000000" w:sz="4" w:space="0"/>
              <w:left w:val="nil"/>
              <w:bottom w:val="single" w:color="000000" w:sz="4" w:space="0"/>
              <w:right w:val="nil"/>
            </w:tcBorders>
          </w:tcPr>
          <w:p w14:paraId="4ED9C326">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7</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r>
      <w:tr w14:paraId="0AB5AD87">
        <w:tblPrEx>
          <w:tblCellMar>
            <w:top w:w="0" w:type="dxa"/>
            <w:left w:w="0" w:type="dxa"/>
            <w:bottom w:w="0" w:type="dxa"/>
            <w:right w:w="0" w:type="dxa"/>
          </w:tblCellMar>
        </w:tblPrEx>
        <w:trPr>
          <w:trHeight w:val="249" w:hRule="exact"/>
        </w:trPr>
        <w:tc>
          <w:tcPr>
            <w:tcW w:w="3150" w:type="dxa"/>
            <w:gridSpan w:val="3"/>
            <w:tcBorders>
              <w:top w:val="single" w:color="000000" w:sz="4" w:space="0"/>
              <w:left w:val="nil"/>
              <w:bottom w:val="nil"/>
              <w:right w:val="nil"/>
            </w:tcBorders>
          </w:tcPr>
          <w:p w14:paraId="5BCBA43F">
            <w:pPr>
              <w:spacing w:before="13"/>
              <w:rPr>
                <w:rFonts w:ascii="Microsoft Sans Serif" w:hAnsi="Microsoft Sans Serif" w:cs="Microsoft Sans Serif"/>
                <w:sz w:val="20"/>
                <w:szCs w:val="20"/>
              </w:rPr>
            </w:pPr>
            <w:r>
              <w:rPr>
                <w:rFonts w:ascii="Microsoft Sans Serif" w:hAnsi="Microsoft Sans Serif" w:cs="Microsoft Sans Serif"/>
                <w:b/>
                <w:bCs/>
                <w:spacing w:val="1"/>
                <w:sz w:val="20"/>
                <w:szCs w:val="20"/>
              </w:rPr>
              <w:t>Značajan molekularan odgovor</w:t>
            </w:r>
          </w:p>
        </w:tc>
        <w:tc>
          <w:tcPr>
            <w:tcW w:w="1303" w:type="dxa"/>
            <w:tcBorders>
              <w:top w:val="single" w:color="000000" w:sz="4" w:space="0"/>
              <w:left w:val="nil"/>
              <w:bottom w:val="nil"/>
              <w:right w:val="nil"/>
            </w:tcBorders>
          </w:tcPr>
          <w:p w14:paraId="2E68E22D">
            <w:pPr>
              <w:rPr>
                <w:rFonts w:ascii="Microsoft Sans Serif" w:hAnsi="Microsoft Sans Serif" w:cs="Microsoft Sans Serif"/>
                <w:sz w:val="20"/>
                <w:szCs w:val="20"/>
              </w:rPr>
            </w:pPr>
          </w:p>
        </w:tc>
        <w:tc>
          <w:tcPr>
            <w:tcW w:w="1501" w:type="dxa"/>
            <w:tcBorders>
              <w:top w:val="single" w:color="000000" w:sz="4" w:space="0"/>
              <w:left w:val="nil"/>
              <w:bottom w:val="nil"/>
              <w:right w:val="nil"/>
            </w:tcBorders>
          </w:tcPr>
          <w:p w14:paraId="08B9914C">
            <w:pPr>
              <w:rPr>
                <w:rFonts w:ascii="Microsoft Sans Serif" w:hAnsi="Microsoft Sans Serif" w:cs="Microsoft Sans Serif"/>
                <w:sz w:val="20"/>
                <w:szCs w:val="20"/>
              </w:rPr>
            </w:pPr>
          </w:p>
        </w:tc>
        <w:tc>
          <w:tcPr>
            <w:tcW w:w="1525" w:type="dxa"/>
            <w:tcBorders>
              <w:top w:val="single" w:color="000000" w:sz="4" w:space="0"/>
              <w:left w:val="nil"/>
              <w:bottom w:val="nil"/>
              <w:right w:val="nil"/>
            </w:tcBorders>
          </w:tcPr>
          <w:p w14:paraId="5207C5E2">
            <w:pPr>
              <w:rPr>
                <w:rFonts w:ascii="Microsoft Sans Serif" w:hAnsi="Microsoft Sans Serif" w:cs="Microsoft Sans Serif"/>
                <w:sz w:val="20"/>
                <w:szCs w:val="20"/>
              </w:rPr>
            </w:pPr>
          </w:p>
        </w:tc>
        <w:tc>
          <w:tcPr>
            <w:tcW w:w="1593" w:type="dxa"/>
            <w:tcBorders>
              <w:top w:val="single" w:color="000000" w:sz="4" w:space="0"/>
              <w:left w:val="nil"/>
              <w:bottom w:val="nil"/>
              <w:right w:val="nil"/>
            </w:tcBorders>
          </w:tcPr>
          <w:p w14:paraId="0F3F4E90">
            <w:pPr>
              <w:rPr>
                <w:rFonts w:ascii="Microsoft Sans Serif" w:hAnsi="Microsoft Sans Serif" w:cs="Microsoft Sans Serif"/>
                <w:sz w:val="20"/>
                <w:szCs w:val="20"/>
              </w:rPr>
            </w:pPr>
          </w:p>
        </w:tc>
      </w:tr>
      <w:tr w14:paraId="224DEBA7">
        <w:tblPrEx>
          <w:tblCellMar>
            <w:top w:w="0" w:type="dxa"/>
            <w:left w:w="0" w:type="dxa"/>
            <w:bottom w:w="0" w:type="dxa"/>
            <w:right w:w="0" w:type="dxa"/>
          </w:tblCellMar>
        </w:tblPrEx>
        <w:trPr>
          <w:trHeight w:val="237" w:hRule="exact"/>
        </w:trPr>
        <w:tc>
          <w:tcPr>
            <w:tcW w:w="3150" w:type="dxa"/>
            <w:gridSpan w:val="3"/>
            <w:tcBorders>
              <w:top w:val="nil"/>
              <w:left w:val="nil"/>
              <w:bottom w:val="nil"/>
              <w:right w:val="nil"/>
            </w:tcBorders>
          </w:tcPr>
          <w:p w14:paraId="76CEC4E5">
            <w:pPr>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75646F83">
            <w:pPr>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2916EB34">
            <w:pPr>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7</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(57/</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5</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6F49F20B">
            <w:pPr>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4</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(7</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02D78D21">
            <w:pPr>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w w:val="103"/>
                <w:sz w:val="20"/>
                <w:szCs w:val="20"/>
              </w:rPr>
              <w:t>(73/</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27D368">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22563625">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Pacijenti rezistentni na i</w:t>
            </w:r>
            <w:r>
              <w:rPr>
                <w:rFonts w:ascii="Microsoft Sans Serif" w:hAnsi="Microsoft Sans Serif" w:cs="Microsoft Sans Serif"/>
                <w:spacing w:val="-1"/>
                <w:sz w:val="20"/>
                <w:szCs w:val="20"/>
              </w:rPr>
              <w:t>m</w:t>
            </w:r>
            <w:r>
              <w:rPr>
                <w:rFonts w:ascii="Microsoft Sans Serif" w:hAnsi="Microsoft Sans Serif" w:cs="Microsoft Sans Serif"/>
                <w:sz w:val="20"/>
                <w:szCs w:val="20"/>
              </w:rPr>
              <w:t>at</w:t>
            </w:r>
            <w:r>
              <w:rPr>
                <w:rFonts w:ascii="Microsoft Sans Serif" w:hAnsi="Microsoft Sans Serif" w:cs="Microsoft Sans Serif"/>
                <w:spacing w:val="1"/>
                <w:sz w:val="20"/>
                <w:szCs w:val="20"/>
              </w:rPr>
              <w:t>ini</w:t>
            </w:r>
            <w:r>
              <w:rPr>
                <w:rFonts w:ascii="Microsoft Sans Serif" w:hAnsi="Microsoft Sans Serif" w:cs="Microsoft Sans Serif"/>
                <w:spacing w:val="-1"/>
                <w:sz w:val="20"/>
                <w:szCs w:val="20"/>
              </w:rPr>
              <w:t>b</w:t>
            </w:r>
            <w:r>
              <w:rPr>
                <w:rFonts w:ascii="Microsoft Sans Serif" w:hAnsi="Microsoft Sans Serif" w:cs="Microsoft Sans Serif"/>
                <w:spacing w:val="45"/>
                <w:sz w:val="20"/>
                <w:szCs w:val="20"/>
              </w:rPr>
              <w:t xml:space="preserve"> </w:t>
            </w:r>
            <w:r>
              <w:rPr>
                <w:rFonts w:ascii="Microsoft Sans Serif" w:hAnsi="Microsoft Sans Serif" w:cs="Microsoft Sans Serif"/>
                <w:spacing w:val="1"/>
                <w:w w:val="103"/>
                <w:sz w:val="20"/>
                <w:szCs w:val="20"/>
              </w:rPr>
              <w:t>p</w:t>
            </w:r>
            <w:r>
              <w:rPr>
                <w:rFonts w:ascii="Microsoft Sans Serif" w:hAnsi="Microsoft Sans Serif" w:cs="Microsoft Sans Serif"/>
                <w:w w:val="103"/>
                <w:sz w:val="20"/>
                <w:szCs w:val="20"/>
              </w:rPr>
              <w:t>a</w:t>
            </w:r>
            <w:r>
              <w:rPr>
                <w:rFonts w:ascii="Microsoft Sans Serif" w:hAnsi="Microsoft Sans Serif" w:cs="Microsoft Sans Serif"/>
                <w:spacing w:val="1"/>
                <w:w w:val="103"/>
                <w:sz w:val="20"/>
                <w:szCs w:val="20"/>
              </w:rPr>
              <w:t>tie</w:t>
            </w:r>
            <w:r>
              <w:rPr>
                <w:rFonts w:ascii="Microsoft Sans Serif" w:hAnsi="Microsoft Sans Serif" w:cs="Microsoft Sans Serif"/>
                <w:spacing w:val="-1"/>
                <w:w w:val="103"/>
                <w:sz w:val="20"/>
                <w:szCs w:val="20"/>
              </w:rPr>
              <w:t>n</w:t>
            </w:r>
            <w:r>
              <w:rPr>
                <w:rFonts w:ascii="Microsoft Sans Serif" w:hAnsi="Microsoft Sans Serif" w:cs="Microsoft Sans Serif"/>
                <w:w w:val="103"/>
                <w:sz w:val="20"/>
                <w:szCs w:val="20"/>
              </w:rPr>
              <w:t>ts</w:t>
            </w:r>
          </w:p>
        </w:tc>
        <w:tc>
          <w:tcPr>
            <w:tcW w:w="1303" w:type="dxa"/>
            <w:tcBorders>
              <w:top w:val="nil"/>
              <w:left w:val="nil"/>
              <w:bottom w:val="nil"/>
              <w:right w:val="nil"/>
            </w:tcBorders>
          </w:tcPr>
          <w:p w14:paraId="6067F711">
            <w:pPr>
              <w:spacing w:before="1"/>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0F7E27E9">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(41/11</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75CDDC39">
            <w:pPr>
              <w:spacing w:before="1"/>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spacing w:val="-1"/>
                <w:w w:val="103"/>
                <w:sz w:val="20"/>
                <w:szCs w:val="20"/>
              </w:rPr>
              <w:t>0</w:t>
            </w:r>
            <w:r>
              <w:rPr>
                <w:rFonts w:ascii="Microsoft Sans Serif" w:hAnsi="Microsoft Sans Serif" w:cs="Microsoft Sans Serif"/>
                <w:spacing w:val="1"/>
                <w:w w:val="103"/>
                <w:sz w:val="20"/>
                <w:szCs w:val="20"/>
              </w:rPr>
              <w:t>/12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75867AF4">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1"/>
                <w:w w:val="103"/>
                <w:sz w:val="20"/>
                <w:szCs w:val="20"/>
              </w:rPr>
              <w:t>(</w:t>
            </w:r>
            <w:r>
              <w:rPr>
                <w:rFonts w:ascii="Microsoft Sans Serif" w:hAnsi="Microsoft Sans Serif" w:cs="Microsoft Sans Serif"/>
                <w:spacing w:val="-2"/>
                <w:w w:val="103"/>
                <w:sz w:val="20"/>
                <w:szCs w:val="20"/>
              </w:rPr>
              <w:t>5</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AE0B1F">
        <w:tblPrEx>
          <w:tblCellMar>
            <w:top w:w="0" w:type="dxa"/>
            <w:left w:w="0" w:type="dxa"/>
            <w:bottom w:w="0" w:type="dxa"/>
            <w:right w:w="0" w:type="dxa"/>
          </w:tblCellMar>
        </w:tblPrEx>
        <w:trPr>
          <w:trHeight w:val="918" w:hRule="exact"/>
        </w:trPr>
        <w:tc>
          <w:tcPr>
            <w:tcW w:w="3150" w:type="dxa"/>
            <w:gridSpan w:val="3"/>
            <w:tcBorders>
              <w:top w:val="nil"/>
              <w:left w:val="nil"/>
              <w:bottom w:val="nil"/>
              <w:right w:val="nil"/>
            </w:tcBorders>
          </w:tcPr>
          <w:p w14:paraId="69E624DB">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 imat</w:t>
            </w:r>
            <w:r>
              <w:rPr>
                <w:rFonts w:ascii="Microsoft Sans Serif" w:hAnsi="Microsoft Sans Serif" w:cs="Microsoft Sans Serif"/>
                <w:spacing w:val="1"/>
                <w:sz w:val="20"/>
                <w:szCs w:val="20"/>
              </w:rPr>
              <w:t>i</w:t>
            </w:r>
            <w:r>
              <w:rPr>
                <w:rFonts w:ascii="Microsoft Sans Serif" w:hAnsi="Microsoft Sans Serif" w:cs="Microsoft Sans Serif"/>
                <w:sz w:val="20"/>
                <w:szCs w:val="20"/>
              </w:rPr>
              <w:t>ni</w:t>
            </w:r>
            <w:r>
              <w:rPr>
                <w:rFonts w:ascii="Microsoft Sans Serif" w:hAnsi="Microsoft Sans Serif" w:cs="Microsoft Sans Serif"/>
                <w:spacing w:val="-1"/>
                <w:sz w:val="20"/>
                <w:szCs w:val="20"/>
              </w:rPr>
              <w:t>b</w:t>
            </w:r>
          </w:p>
          <w:p w14:paraId="3D20CADD">
            <w:pPr>
              <w:spacing w:line="239" w:lineRule="exact"/>
              <w:rPr>
                <w:rFonts w:ascii="Microsoft Sans Serif" w:hAnsi="Microsoft Sans Serif" w:cs="Microsoft Sans Serif"/>
                <w:sz w:val="20"/>
                <w:szCs w:val="20"/>
              </w:rPr>
            </w:pPr>
            <w:r>
              <w:rPr>
                <w:rFonts w:ascii="Microsoft Sans Serif" w:hAnsi="Microsoft Sans Serif" w:cs="Microsoft Sans Serif"/>
                <w:b/>
                <w:bCs/>
                <w:spacing w:val="-1"/>
                <w:sz w:val="20"/>
                <w:szCs w:val="20"/>
              </w:rPr>
              <w:t>Preživljavanje bez progresije bolesti</w:t>
            </w:r>
            <w:r>
              <w:rPr>
                <w:rFonts w:ascii="Microsoft Sans Serif" w:hAnsi="Microsoft Sans Serif" w:cs="Microsoft Sans Serif"/>
                <w:b/>
                <w:bCs/>
                <w:spacing w:val="-1"/>
                <w:sz w:val="20"/>
                <w:szCs w:val="20"/>
                <w:vertAlign w:val="superscript"/>
              </w:rPr>
              <w:t>b</w:t>
            </w:r>
          </w:p>
        </w:tc>
        <w:tc>
          <w:tcPr>
            <w:tcW w:w="1303" w:type="dxa"/>
            <w:tcBorders>
              <w:top w:val="nil"/>
              <w:left w:val="nil"/>
              <w:bottom w:val="nil"/>
              <w:right w:val="nil"/>
            </w:tcBorders>
          </w:tcPr>
          <w:p w14:paraId="2E1349F1">
            <w:pPr>
              <w:spacing w:before="2"/>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35086B3B">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37)</w:t>
            </w:r>
          </w:p>
        </w:tc>
        <w:tc>
          <w:tcPr>
            <w:tcW w:w="1525" w:type="dxa"/>
            <w:tcBorders>
              <w:top w:val="nil"/>
              <w:left w:val="nil"/>
              <w:bottom w:val="nil"/>
              <w:right w:val="nil"/>
            </w:tcBorders>
          </w:tcPr>
          <w:p w14:paraId="1F06979E">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40)</w:t>
            </w:r>
          </w:p>
        </w:tc>
        <w:tc>
          <w:tcPr>
            <w:tcW w:w="1593" w:type="dxa"/>
            <w:tcBorders>
              <w:top w:val="nil"/>
              <w:left w:val="nil"/>
              <w:bottom w:val="nil"/>
              <w:right w:val="nil"/>
            </w:tcBorders>
          </w:tcPr>
          <w:p w14:paraId="5AF3526D">
            <w:pPr>
              <w:spacing w:before="2"/>
              <w:rPr>
                <w:rFonts w:ascii="Microsoft Sans Serif" w:hAnsi="Microsoft Sans Serif" w:cs="Microsoft Sans Serif"/>
                <w:sz w:val="20"/>
                <w:szCs w:val="20"/>
              </w:rPr>
            </w:pPr>
            <w:r>
              <w:rPr>
                <w:rFonts w:ascii="Microsoft Sans Serif" w:hAnsi="Microsoft Sans Serif" w:cs="Microsoft Sans Serif"/>
                <w:sz w:val="20"/>
                <w:szCs w:val="20"/>
              </w:rPr>
              <w:t>55%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0)</w:t>
            </w:r>
          </w:p>
        </w:tc>
      </w:tr>
      <w:tr w14:paraId="70CF688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06ED70D8">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5E0EB402">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5)</w:t>
            </w:r>
          </w:p>
        </w:tc>
        <w:tc>
          <w:tcPr>
            <w:tcW w:w="1501" w:type="dxa"/>
            <w:tcBorders>
              <w:top w:val="nil"/>
              <w:left w:val="nil"/>
              <w:bottom w:val="nil"/>
              <w:right w:val="nil"/>
            </w:tcBorders>
          </w:tcPr>
          <w:p w14:paraId="751C8AA3">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80%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3,</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87)</w:t>
            </w:r>
          </w:p>
        </w:tc>
        <w:tc>
          <w:tcPr>
            <w:tcW w:w="1525" w:type="dxa"/>
            <w:tcBorders>
              <w:top w:val="nil"/>
              <w:left w:val="nil"/>
              <w:bottom w:val="nil"/>
              <w:right w:val="nil"/>
            </w:tcBorders>
          </w:tcPr>
          <w:p w14:paraId="62FF8E3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51%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w:t>
            </w:r>
            <w:r>
              <w:rPr>
                <w:rFonts w:ascii="Microsoft Sans Serif" w:hAnsi="Microsoft Sans Serif" w:cs="Microsoft Sans Serif"/>
                <w:sz w:val="20"/>
                <w:szCs w:val="20"/>
              </w:rPr>
              <w:t>1,</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60)</w:t>
            </w:r>
          </w:p>
        </w:tc>
        <w:tc>
          <w:tcPr>
            <w:tcW w:w="1593" w:type="dxa"/>
            <w:tcBorders>
              <w:top w:val="nil"/>
              <w:left w:val="nil"/>
              <w:bottom w:val="nil"/>
              <w:right w:val="nil"/>
            </w:tcBorders>
          </w:tcPr>
          <w:p w14:paraId="00FFCFB1">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w w:val="103"/>
                <w:sz w:val="20"/>
                <w:szCs w:val="20"/>
              </w:rPr>
              <w:t>1)</w:t>
            </w:r>
          </w:p>
        </w:tc>
      </w:tr>
      <w:tr w14:paraId="6B9CF51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5FE90756">
            <w:pPr>
              <w:spacing w:before="1"/>
              <w:rPr>
                <w:rFonts w:ascii="Microsoft Sans Serif" w:hAnsi="Microsoft Sans Serif" w:cs="Microsoft Sans Serif"/>
                <w:sz w:val="20"/>
                <w:szCs w:val="20"/>
              </w:rPr>
            </w:pPr>
            <w:r>
              <w:rPr>
                <w:rFonts w:ascii="Microsoft Sans Serif" w:hAnsi="Microsoft Sans Serif" w:cs="Microsoft Sans Serif"/>
                <w:sz w:val="20"/>
                <w:szCs w:val="20"/>
              </w:rPr>
              <w:t xml:space="preserve">Pacijenti rezistentni na </w:t>
            </w:r>
            <w:r>
              <w:rPr>
                <w:rFonts w:ascii="Microsoft Sans Serif" w:hAnsi="Microsoft Sans Serif" w:cs="Microsoft Sans Serif"/>
                <w:sz w:val="20"/>
                <w:szCs w:val="20"/>
                <w:lang w:val="hr-BA"/>
              </w:rPr>
              <w:t>i</w:t>
            </w:r>
            <w:r>
              <w:rPr>
                <w:rFonts w:ascii="Microsoft Sans Serif" w:hAnsi="Microsoft Sans Serif" w:cs="Microsoft Sans Serif"/>
                <w:sz w:val="20"/>
                <w:szCs w:val="20"/>
              </w:rPr>
              <w:t>matinib</w:t>
            </w:r>
          </w:p>
        </w:tc>
        <w:tc>
          <w:tcPr>
            <w:tcW w:w="1303" w:type="dxa"/>
            <w:tcBorders>
              <w:top w:val="nil"/>
              <w:left w:val="nil"/>
              <w:bottom w:val="nil"/>
              <w:right w:val="nil"/>
            </w:tcBorders>
          </w:tcPr>
          <w:p w14:paraId="09CB57F8">
            <w:pPr>
              <w:spacing w:before="1"/>
              <w:rPr>
                <w:rFonts w:ascii="Microsoft Sans Serif" w:hAnsi="Microsoft Sans Serif" w:cs="Microsoft Sans Serif"/>
                <w:sz w:val="20"/>
                <w:szCs w:val="20"/>
              </w:rPr>
            </w:pPr>
            <w:r>
              <w:rPr>
                <w:rFonts w:ascii="Microsoft Sans Serif" w:hAnsi="Microsoft Sans Serif" w:cs="Microsoft Sans Serif"/>
                <w:sz w:val="20"/>
                <w:szCs w:val="20"/>
              </w:rPr>
              <w:t>88%</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4)</w:t>
            </w:r>
          </w:p>
        </w:tc>
        <w:tc>
          <w:tcPr>
            <w:tcW w:w="1501" w:type="dxa"/>
            <w:tcBorders>
              <w:top w:val="nil"/>
              <w:left w:val="nil"/>
              <w:bottom w:val="nil"/>
              <w:right w:val="nil"/>
            </w:tcBorders>
          </w:tcPr>
          <w:p w14:paraId="58FA83E2">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25" w:type="dxa"/>
            <w:tcBorders>
              <w:top w:val="nil"/>
              <w:left w:val="nil"/>
              <w:bottom w:val="nil"/>
              <w:right w:val="nil"/>
            </w:tcBorders>
          </w:tcPr>
          <w:p w14:paraId="1DA2572F">
            <w:pPr>
              <w:spacing w:before="1"/>
              <w:rPr>
                <w:rFonts w:ascii="Microsoft Sans Serif" w:hAnsi="Microsoft Sans Serif" w:cs="Microsoft Sans Serif"/>
                <w:sz w:val="20"/>
                <w:szCs w:val="20"/>
              </w:rPr>
            </w:pPr>
            <w:r>
              <w:rPr>
                <w:rFonts w:ascii="Microsoft Sans Serif" w:hAnsi="Microsoft Sans Serif" w:cs="Microsoft Sans Serif"/>
                <w:sz w:val="20"/>
                <w:szCs w:val="20"/>
              </w:rPr>
              <w:t>49%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59)</w:t>
            </w:r>
          </w:p>
        </w:tc>
        <w:tc>
          <w:tcPr>
            <w:tcW w:w="1593" w:type="dxa"/>
            <w:tcBorders>
              <w:top w:val="nil"/>
              <w:left w:val="nil"/>
              <w:bottom w:val="nil"/>
              <w:right w:val="nil"/>
            </w:tcBorders>
          </w:tcPr>
          <w:p w14:paraId="77F776FE">
            <w:pPr>
              <w:spacing w:before="1"/>
              <w:rPr>
                <w:rFonts w:ascii="Microsoft Sans Serif" w:hAnsi="Microsoft Sans Serif" w:cs="Microsoft Sans Serif"/>
                <w:sz w:val="20"/>
                <w:szCs w:val="20"/>
              </w:rPr>
            </w:pPr>
            <w:r>
              <w:rPr>
                <w:rFonts w:ascii="Microsoft Sans Serif" w:hAnsi="Microsoft Sans Serif" w:cs="Microsoft Sans Serif"/>
                <w:sz w:val="20"/>
                <w:szCs w:val="20"/>
              </w:rPr>
              <w:t>39%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9)</w:t>
            </w:r>
          </w:p>
        </w:tc>
      </w:tr>
      <w:tr w14:paraId="6EC0EA3A">
        <w:tblPrEx>
          <w:tblCellMar>
            <w:top w:w="0" w:type="dxa"/>
            <w:left w:w="0" w:type="dxa"/>
            <w:bottom w:w="0" w:type="dxa"/>
            <w:right w:w="0" w:type="dxa"/>
          </w:tblCellMar>
        </w:tblPrEx>
        <w:trPr>
          <w:trHeight w:val="223" w:hRule="exact"/>
        </w:trPr>
        <w:tc>
          <w:tcPr>
            <w:tcW w:w="3150" w:type="dxa"/>
            <w:gridSpan w:val="3"/>
            <w:tcBorders>
              <w:top w:val="nil"/>
              <w:left w:val="nil"/>
              <w:bottom w:val="nil"/>
              <w:right w:val="nil"/>
            </w:tcBorders>
          </w:tcPr>
          <w:p w14:paraId="7F7284AF">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Pacijenti koji ne podnose imatinib</w:t>
            </w:r>
          </w:p>
        </w:tc>
        <w:tc>
          <w:tcPr>
            <w:tcW w:w="1303" w:type="dxa"/>
            <w:tcBorders>
              <w:top w:val="nil"/>
              <w:left w:val="nil"/>
              <w:bottom w:val="nil"/>
              <w:right w:val="nil"/>
            </w:tcBorders>
          </w:tcPr>
          <w:p w14:paraId="675922F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97%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9</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1</w:t>
            </w:r>
            <w:r>
              <w:rPr>
                <w:rFonts w:ascii="Microsoft Sans Serif" w:hAnsi="Microsoft Sans Serif" w:cs="Microsoft Sans Serif"/>
                <w:spacing w:val="1"/>
                <w:w w:val="103"/>
                <w:position w:val="-1"/>
                <w:sz w:val="20"/>
                <w:szCs w:val="20"/>
              </w:rPr>
              <w:t>0</w:t>
            </w:r>
            <w:r>
              <w:rPr>
                <w:rFonts w:ascii="Microsoft Sans Serif" w:hAnsi="Microsoft Sans Serif" w:cs="Microsoft Sans Serif"/>
                <w:w w:val="103"/>
                <w:position w:val="-1"/>
                <w:sz w:val="20"/>
                <w:szCs w:val="20"/>
              </w:rPr>
              <w:t>0)</w:t>
            </w:r>
          </w:p>
        </w:tc>
        <w:tc>
          <w:tcPr>
            <w:tcW w:w="1501" w:type="dxa"/>
            <w:tcBorders>
              <w:top w:val="nil"/>
              <w:left w:val="nil"/>
              <w:bottom w:val="nil"/>
              <w:right w:val="nil"/>
            </w:tcBorders>
          </w:tcPr>
          <w:p w14:paraId="61A00FA9">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87%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7</w:t>
            </w:r>
            <w:r>
              <w:rPr>
                <w:rFonts w:ascii="Microsoft Sans Serif" w:hAnsi="Microsoft Sans Serif" w:cs="Microsoft Sans Serif"/>
                <w:position w:val="-1"/>
                <w:sz w:val="20"/>
                <w:szCs w:val="20"/>
              </w:rPr>
              <w:t>6,</w:t>
            </w:r>
            <w:r>
              <w:rPr>
                <w:rFonts w:ascii="Microsoft Sans Serif" w:hAnsi="Microsoft Sans Serif" w:cs="Microsoft Sans Serif"/>
                <w:spacing w:val="12"/>
                <w:position w:val="-1"/>
                <w:sz w:val="20"/>
                <w:szCs w:val="20"/>
              </w:rPr>
              <w:t xml:space="preserve"> </w:t>
            </w:r>
            <w:r>
              <w:rPr>
                <w:rFonts w:ascii="Microsoft Sans Serif" w:hAnsi="Microsoft Sans Serif" w:cs="Microsoft Sans Serif"/>
                <w:w w:val="103"/>
                <w:position w:val="-1"/>
                <w:sz w:val="20"/>
                <w:szCs w:val="20"/>
              </w:rPr>
              <w:t>99)</w:t>
            </w:r>
          </w:p>
        </w:tc>
        <w:tc>
          <w:tcPr>
            <w:tcW w:w="1525" w:type="dxa"/>
            <w:tcBorders>
              <w:top w:val="nil"/>
              <w:left w:val="nil"/>
              <w:bottom w:val="nil"/>
              <w:right w:val="nil"/>
            </w:tcBorders>
          </w:tcPr>
          <w:p w14:paraId="5485B8B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56%</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7,</w:t>
            </w:r>
            <w:r>
              <w:rPr>
                <w:rFonts w:ascii="Microsoft Sans Serif" w:hAnsi="Microsoft Sans Serif" w:cs="Microsoft Sans Serif"/>
                <w:spacing w:val="11"/>
                <w:position w:val="-1"/>
                <w:sz w:val="20"/>
                <w:szCs w:val="20"/>
              </w:rPr>
              <w:t xml:space="preserve"> </w:t>
            </w:r>
            <w:r>
              <w:rPr>
                <w:rFonts w:ascii="Microsoft Sans Serif" w:hAnsi="Microsoft Sans Serif" w:cs="Microsoft Sans Serif"/>
                <w:w w:val="103"/>
                <w:position w:val="-1"/>
                <w:sz w:val="20"/>
                <w:szCs w:val="20"/>
              </w:rPr>
              <w:t>76)</w:t>
            </w:r>
          </w:p>
        </w:tc>
        <w:tc>
          <w:tcPr>
            <w:tcW w:w="1593" w:type="dxa"/>
            <w:tcBorders>
              <w:top w:val="nil"/>
              <w:left w:val="nil"/>
              <w:bottom w:val="nil"/>
              <w:right w:val="nil"/>
            </w:tcBorders>
          </w:tcPr>
          <w:p w14:paraId="290CE52E">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51%</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6</w:t>
            </w:r>
            <w:r>
              <w:rPr>
                <w:rFonts w:ascii="Microsoft Sans Serif" w:hAnsi="Microsoft Sans Serif" w:cs="Microsoft Sans Serif"/>
                <w:w w:val="103"/>
                <w:position w:val="-1"/>
                <w:sz w:val="20"/>
                <w:szCs w:val="20"/>
              </w:rPr>
              <w:t>7)</w:t>
            </w:r>
          </w:p>
        </w:tc>
      </w:tr>
      <w:tr w14:paraId="21D75D6C">
        <w:tblPrEx>
          <w:tblCellMar>
            <w:top w:w="0" w:type="dxa"/>
            <w:left w:w="0" w:type="dxa"/>
            <w:bottom w:w="0" w:type="dxa"/>
            <w:right w:w="0" w:type="dxa"/>
          </w:tblCellMar>
        </w:tblPrEx>
        <w:trPr>
          <w:trHeight w:val="253" w:hRule="exact"/>
        </w:trPr>
        <w:tc>
          <w:tcPr>
            <w:tcW w:w="9072" w:type="dxa"/>
            <w:gridSpan w:val="7"/>
            <w:tcBorders>
              <w:top w:val="nil"/>
              <w:left w:val="nil"/>
              <w:bottom w:val="nil"/>
              <w:right w:val="nil"/>
            </w:tcBorders>
          </w:tcPr>
          <w:p w14:paraId="79E6AF13">
            <w:pPr>
              <w:spacing w:before="16"/>
              <w:rPr>
                <w:rFonts w:ascii="Microsoft Sans Serif" w:hAnsi="Microsoft Sans Serif" w:cs="Microsoft Sans Serif"/>
                <w:sz w:val="20"/>
                <w:szCs w:val="20"/>
              </w:rPr>
            </w:pPr>
            <w:r>
              <w:rPr>
                <w:rFonts w:ascii="Microsoft Sans Serif" w:hAnsi="Microsoft Sans Serif" w:cs="Microsoft Sans Serif"/>
                <w:b/>
                <w:bCs/>
                <w:spacing w:val="-1"/>
                <w:sz w:val="20"/>
                <w:szCs w:val="20"/>
              </w:rPr>
              <w:t>Ukupno preživljavanje</w:t>
            </w:r>
          </w:p>
        </w:tc>
      </w:tr>
      <w:tr w14:paraId="7E8F9BB7">
        <w:tblPrEx>
          <w:tblCellMar>
            <w:top w:w="0" w:type="dxa"/>
            <w:left w:w="0" w:type="dxa"/>
            <w:bottom w:w="0" w:type="dxa"/>
            <w:right w:w="0" w:type="dxa"/>
          </w:tblCellMar>
        </w:tblPrEx>
        <w:trPr>
          <w:trHeight w:val="238" w:hRule="exact"/>
        </w:trPr>
        <w:tc>
          <w:tcPr>
            <w:tcW w:w="306" w:type="dxa"/>
            <w:tcBorders>
              <w:top w:val="nil"/>
              <w:left w:val="nil"/>
              <w:bottom w:val="nil"/>
              <w:right w:val="nil"/>
            </w:tcBorders>
          </w:tcPr>
          <w:p w14:paraId="5E27B2E7">
            <w:pPr>
              <w:rPr>
                <w:rFonts w:ascii="Microsoft Sans Serif" w:hAnsi="Microsoft Sans Serif" w:cs="Microsoft Sans Serif"/>
                <w:sz w:val="20"/>
                <w:szCs w:val="20"/>
              </w:rPr>
            </w:pPr>
          </w:p>
        </w:tc>
        <w:tc>
          <w:tcPr>
            <w:tcW w:w="2462" w:type="dxa"/>
            <w:tcBorders>
              <w:top w:val="nil"/>
              <w:left w:val="nil"/>
              <w:bottom w:val="nil"/>
              <w:right w:val="nil"/>
            </w:tcBorders>
          </w:tcPr>
          <w:p w14:paraId="34072A60">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685" w:type="dxa"/>
            <w:gridSpan w:val="2"/>
            <w:tcBorders>
              <w:top w:val="nil"/>
              <w:left w:val="nil"/>
              <w:bottom w:val="nil"/>
              <w:right w:val="nil"/>
            </w:tcBorders>
          </w:tcPr>
          <w:p w14:paraId="11F1724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96%</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9)</w:t>
            </w:r>
          </w:p>
        </w:tc>
        <w:tc>
          <w:tcPr>
            <w:tcW w:w="1501" w:type="dxa"/>
            <w:tcBorders>
              <w:top w:val="nil"/>
              <w:left w:val="nil"/>
              <w:bottom w:val="nil"/>
              <w:right w:val="nil"/>
            </w:tcBorders>
          </w:tcPr>
          <w:p w14:paraId="76B9D99E">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6,</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96)</w:t>
            </w:r>
          </w:p>
        </w:tc>
        <w:tc>
          <w:tcPr>
            <w:tcW w:w="1525" w:type="dxa"/>
            <w:tcBorders>
              <w:top w:val="nil"/>
              <w:left w:val="nil"/>
              <w:bottom w:val="nil"/>
              <w:right w:val="nil"/>
            </w:tcBorders>
          </w:tcPr>
          <w:p w14:paraId="52DE7BB5">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78%</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2,</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3C3CAB9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65%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6,</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2)</w:t>
            </w:r>
          </w:p>
        </w:tc>
      </w:tr>
      <w:tr w14:paraId="4F02A1D8">
        <w:tblPrEx>
          <w:tblCellMar>
            <w:top w:w="0" w:type="dxa"/>
            <w:left w:w="0" w:type="dxa"/>
            <w:bottom w:w="0" w:type="dxa"/>
            <w:right w:w="0" w:type="dxa"/>
          </w:tblCellMar>
        </w:tblPrEx>
        <w:trPr>
          <w:trHeight w:val="603" w:hRule="exact"/>
        </w:trPr>
        <w:tc>
          <w:tcPr>
            <w:tcW w:w="306" w:type="dxa"/>
            <w:tcBorders>
              <w:top w:val="nil"/>
              <w:left w:val="nil"/>
              <w:bottom w:val="nil"/>
              <w:right w:val="nil"/>
            </w:tcBorders>
          </w:tcPr>
          <w:p w14:paraId="6655AFD8">
            <w:pPr>
              <w:rPr>
                <w:rFonts w:ascii="Microsoft Sans Serif" w:hAnsi="Microsoft Sans Serif" w:cs="Microsoft Sans Serif"/>
                <w:sz w:val="20"/>
                <w:szCs w:val="20"/>
              </w:rPr>
            </w:pPr>
          </w:p>
        </w:tc>
        <w:tc>
          <w:tcPr>
            <w:tcW w:w="2462" w:type="dxa"/>
            <w:tcBorders>
              <w:top w:val="nil"/>
              <w:left w:val="nil"/>
              <w:bottom w:val="nil"/>
              <w:right w:val="nil"/>
            </w:tcBorders>
          </w:tcPr>
          <w:p w14:paraId="09D7E023">
            <w:pPr>
              <w:spacing w:before="1"/>
              <w:rPr>
                <w:rFonts w:ascii="Microsoft Sans Serif" w:hAnsi="Microsoft Sans Serif" w:cs="Microsoft Sans Serif"/>
                <w:sz w:val="20"/>
                <w:szCs w:val="20"/>
              </w:rPr>
            </w:pPr>
            <w:r>
              <w:rPr>
                <w:rFonts w:ascii="Microsoft Sans Serif" w:hAnsi="Microsoft Sans Serif" w:cs="Microsoft Sans Serif"/>
                <w:sz w:val="20"/>
                <w:szCs w:val="20"/>
              </w:rPr>
              <w:t>Pacijenti rezistentni na</w:t>
            </w:r>
          </w:p>
          <w:p w14:paraId="0047CEC2">
            <w:pPr>
              <w:spacing w:before="1"/>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nil"/>
              <w:right w:val="nil"/>
            </w:tcBorders>
          </w:tcPr>
          <w:p w14:paraId="5DD3A16C">
            <w:pPr>
              <w:spacing w:before="1"/>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8)</w:t>
            </w:r>
          </w:p>
        </w:tc>
        <w:tc>
          <w:tcPr>
            <w:tcW w:w="1501" w:type="dxa"/>
            <w:tcBorders>
              <w:top w:val="nil"/>
              <w:left w:val="nil"/>
              <w:bottom w:val="nil"/>
              <w:right w:val="nil"/>
            </w:tcBorders>
          </w:tcPr>
          <w:p w14:paraId="1AE487E0">
            <w:pPr>
              <w:spacing w:before="1"/>
              <w:rPr>
                <w:rFonts w:ascii="Microsoft Sans Serif" w:hAnsi="Microsoft Sans Serif" w:cs="Microsoft Sans Serif"/>
                <w:sz w:val="20"/>
                <w:szCs w:val="20"/>
              </w:rPr>
            </w:pPr>
            <w:r>
              <w:rPr>
                <w:rFonts w:ascii="Microsoft Sans Serif" w:hAnsi="Microsoft Sans Serif" w:cs="Microsoft Sans Serif"/>
                <w:sz w:val="20"/>
                <w:szCs w:val="20"/>
              </w:rPr>
              <w:t>89%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4,</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95)</w:t>
            </w:r>
          </w:p>
        </w:tc>
        <w:tc>
          <w:tcPr>
            <w:tcW w:w="1525" w:type="dxa"/>
            <w:tcBorders>
              <w:top w:val="nil"/>
              <w:left w:val="nil"/>
              <w:bottom w:val="nil"/>
              <w:right w:val="nil"/>
            </w:tcBorders>
          </w:tcPr>
          <w:p w14:paraId="4C3D63DB">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6A2CAD56">
            <w:pPr>
              <w:spacing w:before="1"/>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1)</w:t>
            </w:r>
          </w:p>
        </w:tc>
      </w:tr>
      <w:tr w14:paraId="1194108F">
        <w:tblPrEx>
          <w:tblCellMar>
            <w:top w:w="0" w:type="dxa"/>
            <w:left w:w="0" w:type="dxa"/>
            <w:bottom w:w="0" w:type="dxa"/>
            <w:right w:w="0" w:type="dxa"/>
          </w:tblCellMar>
        </w:tblPrEx>
        <w:trPr>
          <w:trHeight w:val="630" w:hRule="exact"/>
        </w:trPr>
        <w:tc>
          <w:tcPr>
            <w:tcW w:w="306" w:type="dxa"/>
            <w:tcBorders>
              <w:top w:val="nil"/>
              <w:left w:val="nil"/>
              <w:bottom w:val="single" w:color="000000" w:sz="4" w:space="0"/>
              <w:right w:val="nil"/>
            </w:tcBorders>
          </w:tcPr>
          <w:p w14:paraId="3307C0FF">
            <w:pPr>
              <w:rPr>
                <w:rFonts w:ascii="Microsoft Sans Serif" w:hAnsi="Microsoft Sans Serif" w:cs="Microsoft Sans Serif"/>
                <w:sz w:val="20"/>
                <w:szCs w:val="20"/>
              </w:rPr>
            </w:pPr>
          </w:p>
        </w:tc>
        <w:tc>
          <w:tcPr>
            <w:tcW w:w="2462" w:type="dxa"/>
            <w:tcBorders>
              <w:top w:val="nil"/>
              <w:left w:val="nil"/>
              <w:bottom w:val="single" w:color="000000" w:sz="4" w:space="0"/>
              <w:right w:val="nil"/>
            </w:tcBorders>
          </w:tcPr>
          <w:p w14:paraId="7D951A8E">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w:t>
            </w:r>
          </w:p>
          <w:p w14:paraId="4B83D532">
            <w:pPr>
              <w:spacing w:before="2"/>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single" w:color="000000" w:sz="4" w:space="0"/>
              <w:right w:val="nil"/>
            </w:tcBorders>
          </w:tcPr>
          <w:p w14:paraId="1B96C1D9">
            <w:pPr>
              <w:spacing w:before="2"/>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6"/>
                <w:sz w:val="20"/>
                <w:szCs w:val="20"/>
              </w:rPr>
              <w:t xml:space="preserve"> </w:t>
            </w: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0)</w:t>
            </w:r>
          </w:p>
        </w:tc>
        <w:tc>
          <w:tcPr>
            <w:tcW w:w="1501" w:type="dxa"/>
            <w:tcBorders>
              <w:top w:val="nil"/>
              <w:left w:val="nil"/>
              <w:bottom w:val="single" w:color="000000" w:sz="4" w:space="0"/>
              <w:right w:val="nil"/>
            </w:tcBorders>
          </w:tcPr>
          <w:p w14:paraId="01975DC7">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10</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25" w:type="dxa"/>
            <w:tcBorders>
              <w:top w:val="nil"/>
              <w:left w:val="nil"/>
              <w:bottom w:val="single" w:color="000000" w:sz="4" w:space="0"/>
              <w:right w:val="nil"/>
            </w:tcBorders>
          </w:tcPr>
          <w:p w14:paraId="26F55AC2">
            <w:pPr>
              <w:spacing w:before="2"/>
              <w:rPr>
                <w:rFonts w:ascii="Microsoft Sans Serif" w:hAnsi="Microsoft Sans Serif" w:cs="Microsoft Sans Serif"/>
                <w:sz w:val="20"/>
                <w:szCs w:val="20"/>
              </w:rPr>
            </w:pPr>
            <w:r>
              <w:rPr>
                <w:rFonts w:ascii="Microsoft Sans Serif" w:hAnsi="Microsoft Sans Serif" w:cs="Microsoft Sans Serif"/>
                <w:sz w:val="20"/>
                <w:szCs w:val="20"/>
              </w:rPr>
              <w:t>82%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2"/>
                <w:sz w:val="20"/>
                <w:szCs w:val="20"/>
              </w:rPr>
              <w:t>7</w:t>
            </w:r>
            <w:r>
              <w:rPr>
                <w:rFonts w:ascii="Microsoft Sans Serif" w:hAnsi="Microsoft Sans Serif" w:cs="Microsoft Sans Serif"/>
                <w:sz w:val="20"/>
                <w:szCs w:val="20"/>
              </w:rPr>
              <w:t>0,</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94)</w:t>
            </w:r>
          </w:p>
        </w:tc>
        <w:tc>
          <w:tcPr>
            <w:tcW w:w="1593" w:type="dxa"/>
            <w:tcBorders>
              <w:top w:val="nil"/>
              <w:left w:val="nil"/>
              <w:bottom w:val="single" w:color="000000" w:sz="4" w:space="0"/>
              <w:right w:val="nil"/>
            </w:tcBorders>
          </w:tcPr>
          <w:p w14:paraId="2DA7988C">
            <w:pPr>
              <w:spacing w:before="2"/>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2,</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8</w:t>
            </w:r>
            <w:r>
              <w:rPr>
                <w:rFonts w:ascii="Microsoft Sans Serif" w:hAnsi="Microsoft Sans Serif" w:cs="Microsoft Sans Serif"/>
                <w:w w:val="103"/>
                <w:sz w:val="20"/>
                <w:szCs w:val="20"/>
              </w:rPr>
              <w:t>2)</w:t>
            </w:r>
          </w:p>
        </w:tc>
      </w:tr>
    </w:tbl>
    <w:p w14:paraId="1E7049E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Rezultati prijavljeni pri primeni preporučene početne doze od 100 mg jednom dnevno.</w:t>
      </w:r>
    </w:p>
    <w:p w14:paraId="037E8B3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Progresija je definisana kao povećanje broja leukocita, gubitak potpunog hematološkog odgovora ili MCyR, povećanje Ph+ metafaza ≥30%, potvrđena AP/BP bolest ili smrt. PFS je analizirano prema ITT principu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 pacijenti su praćeni do događaja,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uključujući naknadnu terapiju.</w:t>
      </w:r>
    </w:p>
    <w:p w14:paraId="3784E6B5">
      <w:pPr>
        <w:rPr>
          <w:rFonts w:ascii="Microsoft Sans Serif" w:hAnsi="Microsoft Sans Serif" w:cs="Microsoft Sans Serif"/>
          <w:bCs/>
          <w:sz w:val="20"/>
          <w:szCs w:val="20"/>
          <w:lang w:val="sr-Latn-RS"/>
        </w:rPr>
      </w:pPr>
    </w:p>
    <w:p w14:paraId="47891F2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 značajan citogenetski odgovor održao se tokom 18 meseci kod 93%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(95% CI: [88%-98%]).</w:t>
      </w:r>
    </w:p>
    <w:p w14:paraId="7D0F2B4B">
      <w:pPr>
        <w:rPr>
          <w:rFonts w:ascii="Microsoft Sans Serif" w:hAnsi="Microsoft Sans Serif" w:cs="Microsoft Sans Serif"/>
          <w:bCs/>
          <w:sz w:val="20"/>
          <w:szCs w:val="20"/>
          <w:lang w:val="sr-Latn-RS"/>
        </w:rPr>
      </w:pPr>
    </w:p>
    <w:p w14:paraId="31F37D7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ocjenjivana i kod pacijenata koji nisu podnosili imatinib. Kod ove populacije pacijenata koji su dobijali dozu od 100 mg jednom dnevno, značajan citogenetski odgovor postignut je kod 77% i potpun citogenetski odgovor kod 67%.</w:t>
      </w:r>
    </w:p>
    <w:p w14:paraId="285C65E4">
      <w:pPr>
        <w:rPr>
          <w:rFonts w:ascii="Microsoft Sans Serif" w:hAnsi="Microsoft Sans Serif" w:cs="Microsoft Sans Serif"/>
          <w:bCs/>
          <w:sz w:val="20"/>
          <w:szCs w:val="20"/>
          <w:lang w:val="sr-Latn-RS"/>
        </w:rPr>
      </w:pPr>
    </w:p>
    <w:p w14:paraId="6520C054">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6A8F0E4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uznapredovale faze HML i Ph+ ALL, primarni parametar praćenja bio je značajan hematološki odgovor (MaHR). Ukupno je randomizovano 611 pacijenata u dvije grupe, jednu koja je primala 140 mg dasatiniba jednom dnevno i drugu koja je primala 70 mg dasatiniba dva puta dnevno. Medijana trajanja terapije iznosila je oko 6 mjeseci (raspon, 0,03-31 mjeseci).</w:t>
      </w:r>
    </w:p>
    <w:p w14:paraId="0093844D">
      <w:pPr>
        <w:rPr>
          <w:rFonts w:ascii="Microsoft Sans Serif" w:hAnsi="Microsoft Sans Serif" w:cs="Microsoft Sans Serif"/>
          <w:bCs/>
          <w:sz w:val="20"/>
          <w:szCs w:val="20"/>
          <w:lang w:val="sr-Latn-RS"/>
        </w:rPr>
      </w:pPr>
    </w:p>
    <w:p w14:paraId="0FD29E2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Raspored doziranja jednom dnevno pokazao je komparabilnu efikasnost (nije bio inferioran) kao i doziranje dva puta dnevno u odnosu na primarni parametar praćenja efikasnosti (razlika u značajnom hematološkom odgovoru 0,8%; 95% interval pouzdanosti [-7,1% - 8,7%]); međutim, režim liječenja dozom od 140 mg jednom dnevno pokazao je bolju bezbednosti i podnošljivost. </w:t>
      </w:r>
    </w:p>
    <w:p w14:paraId="142BA16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Stope odgovora prikazane su u Tabeli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w:t>
      </w:r>
    </w:p>
    <w:p w14:paraId="68DC263D">
      <w:pPr>
        <w:rPr>
          <w:rFonts w:ascii="Microsoft Sans Serif" w:hAnsi="Microsoft Sans Serif" w:cs="Microsoft Sans Serif"/>
          <w:bCs/>
          <w:sz w:val="20"/>
          <w:szCs w:val="20"/>
          <w:lang w:val="sr-Cyrl-RS"/>
        </w:rPr>
      </w:pPr>
    </w:p>
    <w:p w14:paraId="7163AF0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Tabela </w:t>
      </w:r>
      <w:r>
        <w:rPr>
          <w:rFonts w:ascii="Microsoft Sans Serif" w:hAnsi="Microsoft Sans Serif" w:cs="Microsoft Sans Serif"/>
          <w:b/>
          <w:bCs/>
          <w:sz w:val="20"/>
          <w:szCs w:val="20"/>
          <w:lang w:val="sr-Latn-RS"/>
        </w:rPr>
        <w:t>14</w:t>
      </w:r>
      <w:r>
        <w:rPr>
          <w:rFonts w:ascii="Microsoft Sans Serif" w:hAnsi="Microsoft Sans Serif" w:cs="Microsoft Sans Serif"/>
          <w:b/>
          <w:bCs/>
          <w:sz w:val="20"/>
          <w:szCs w:val="20"/>
          <w:lang w:val="sr-Cyrl-RS"/>
        </w:rPr>
        <w:t xml:space="preserve">: Efikasnost dasatiniba u ispitivanju optimizacije doze faze </w:t>
      </w:r>
      <w:r>
        <w:rPr>
          <w:rFonts w:ascii="Microsoft Sans Serif" w:hAnsi="Microsoft Sans Serif" w:cs="Microsoft Sans Serif"/>
          <w:b/>
          <w:bCs/>
          <w:sz w:val="20"/>
          <w:szCs w:val="20"/>
          <w:lang w:val="sr-Latn-RS"/>
        </w:rPr>
        <w:t>III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 xml:space="preserve">uznapredovala faza HML I </w:t>
      </w:r>
      <w:r>
        <w:rPr>
          <w:rFonts w:ascii="Microsoft Sans Serif" w:hAnsi="Microsoft Sans Serif" w:cs="Microsoft Sans Serif"/>
          <w:b/>
          <w:bCs/>
          <w:sz w:val="20"/>
          <w:szCs w:val="20"/>
          <w:lang w:val="sr-Latn-RS"/>
        </w:rPr>
        <w:t>Ph</w:t>
      </w:r>
      <w:r>
        <w:rPr>
          <w:rFonts w:ascii="Microsoft Sans Serif" w:hAnsi="Microsoft Sans Serif" w:cs="Microsoft Sans Serif"/>
          <w:b/>
          <w:bCs/>
          <w:sz w:val="20"/>
          <w:szCs w:val="20"/>
          <w:lang w:val="sr-Cyrl-RS"/>
        </w:rPr>
        <w:t>+ A</w:t>
      </w:r>
      <w:r>
        <w:rPr>
          <w:rFonts w:ascii="Microsoft Sans Serif" w:hAnsi="Microsoft Sans Serif" w:cs="Microsoft Sans Serif"/>
          <w:b/>
          <w:bCs/>
          <w:sz w:val="20"/>
          <w:szCs w:val="20"/>
          <w:lang w:val="sr-Latn-RS"/>
        </w:rPr>
        <w:t>LL</w:t>
      </w:r>
      <w:r>
        <w:rPr>
          <w:rFonts w:ascii="Microsoft Sans Serif" w:hAnsi="Microsoft Sans Serif" w:cs="Microsoft Sans Serif"/>
          <w:b/>
          <w:bCs/>
          <w:sz w:val="20"/>
          <w:szCs w:val="20"/>
          <w:lang w:val="sr-Cyrl-RS"/>
        </w:rPr>
        <w:t xml:space="preserve"> (2-godišnji rezultati)</w:t>
      </w:r>
      <w:r>
        <w:rPr>
          <w:rFonts w:ascii="Microsoft Sans Serif" w:hAnsi="Microsoft Sans Serif" w:cs="Microsoft Sans Serif"/>
          <w:b/>
          <w:bCs/>
          <w:sz w:val="20"/>
          <w:szCs w:val="20"/>
          <w:vertAlign w:val="superscript"/>
          <w:lang w:val="sr-Cyrl-RS"/>
        </w:rPr>
        <w:t>a</w:t>
      </w:r>
    </w:p>
    <w:tbl>
      <w:tblPr>
        <w:tblStyle w:val="12"/>
        <w:tblW w:w="0" w:type="auto"/>
        <w:tblInd w:w="108" w:type="dxa"/>
        <w:tblLayout w:type="autofit"/>
        <w:tblCellMar>
          <w:top w:w="0" w:type="dxa"/>
          <w:left w:w="108" w:type="dxa"/>
          <w:bottom w:w="0" w:type="dxa"/>
          <w:right w:w="108" w:type="dxa"/>
        </w:tblCellMar>
      </w:tblPr>
      <w:tblGrid>
        <w:gridCol w:w="1695"/>
        <w:gridCol w:w="1803"/>
        <w:gridCol w:w="1803"/>
        <w:gridCol w:w="1803"/>
        <w:gridCol w:w="1804"/>
      </w:tblGrid>
      <w:tr w14:paraId="0BE53452">
        <w:tblPrEx>
          <w:tblCellMar>
            <w:top w:w="0" w:type="dxa"/>
            <w:left w:w="108" w:type="dxa"/>
            <w:bottom w:w="0" w:type="dxa"/>
            <w:right w:w="108" w:type="dxa"/>
          </w:tblCellMar>
        </w:tblPrEx>
        <w:tc>
          <w:tcPr>
            <w:tcW w:w="1695" w:type="dxa"/>
            <w:tcBorders>
              <w:top w:val="single" w:color="auto" w:sz="2" w:space="0"/>
              <w:bottom w:val="single" w:color="auto" w:sz="2" w:space="0"/>
            </w:tcBorders>
            <w:shd w:val="clear" w:color="auto" w:fill="auto"/>
          </w:tcPr>
          <w:p w14:paraId="53D84B77">
            <w:pPr>
              <w:widowControl w:val="0"/>
              <w:spacing w:line="276" w:lineRule="auto"/>
              <w:rPr>
                <w:rFonts w:ascii="Microsoft Sans Serif" w:hAnsi="Microsoft Sans Serif" w:eastAsia="Calibri" w:cs="Microsoft Sans Serif"/>
                <w:sz w:val="20"/>
                <w:szCs w:val="20"/>
              </w:rPr>
            </w:pPr>
          </w:p>
        </w:tc>
        <w:tc>
          <w:tcPr>
            <w:tcW w:w="1803" w:type="dxa"/>
            <w:tcBorders>
              <w:top w:val="single" w:color="auto" w:sz="2" w:space="0"/>
              <w:bottom w:val="single" w:color="auto" w:sz="2" w:space="0"/>
            </w:tcBorders>
            <w:shd w:val="clear" w:color="auto" w:fill="auto"/>
          </w:tcPr>
          <w:p w14:paraId="2BD3E4DB">
            <w:pPr>
              <w:widowControl w:val="0"/>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Faza ubrzanja</w:t>
            </w:r>
          </w:p>
          <w:p w14:paraId="7AFF6A1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158)</w:t>
            </w:r>
          </w:p>
        </w:tc>
        <w:tc>
          <w:tcPr>
            <w:tcW w:w="1803" w:type="dxa"/>
            <w:tcBorders>
              <w:top w:val="single" w:color="auto" w:sz="2" w:space="0"/>
              <w:bottom w:val="single" w:color="auto" w:sz="2" w:space="0"/>
            </w:tcBorders>
            <w:shd w:val="clear" w:color="auto" w:fill="auto"/>
          </w:tcPr>
          <w:p w14:paraId="3396E275">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Mijeloidna blastna</w:t>
            </w:r>
          </w:p>
          <w:p w14:paraId="3E7A6929">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75)</w:t>
            </w:r>
          </w:p>
        </w:tc>
        <w:tc>
          <w:tcPr>
            <w:tcW w:w="1803" w:type="dxa"/>
            <w:tcBorders>
              <w:top w:val="single" w:color="auto" w:sz="2" w:space="0"/>
              <w:bottom w:val="single" w:color="auto" w:sz="2" w:space="0"/>
            </w:tcBorders>
            <w:shd w:val="clear" w:color="auto" w:fill="auto"/>
          </w:tcPr>
          <w:p w14:paraId="79212EBF">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Limfoidna blastna</w:t>
            </w:r>
          </w:p>
          <w:p w14:paraId="090B41F6">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33)</w:t>
            </w:r>
          </w:p>
        </w:tc>
        <w:tc>
          <w:tcPr>
            <w:tcW w:w="1804" w:type="dxa"/>
            <w:tcBorders>
              <w:top w:val="single" w:color="auto" w:sz="2" w:space="0"/>
              <w:bottom w:val="single" w:color="auto" w:sz="2" w:space="0"/>
            </w:tcBorders>
            <w:shd w:val="clear" w:color="auto" w:fill="auto"/>
          </w:tcPr>
          <w:p w14:paraId="0FEE357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Ph+ALL </w:t>
            </w:r>
          </w:p>
          <w:p w14:paraId="4086BBF3">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40)</w:t>
            </w:r>
          </w:p>
        </w:tc>
      </w:tr>
      <w:tr w14:paraId="0B349048">
        <w:tblPrEx>
          <w:tblCellMar>
            <w:top w:w="0" w:type="dxa"/>
            <w:left w:w="108" w:type="dxa"/>
            <w:bottom w:w="0" w:type="dxa"/>
            <w:right w:w="108" w:type="dxa"/>
          </w:tblCellMar>
        </w:tblPrEx>
        <w:tc>
          <w:tcPr>
            <w:tcW w:w="1695" w:type="dxa"/>
            <w:tcBorders>
              <w:top w:val="single" w:color="auto" w:sz="2" w:space="0"/>
            </w:tcBorders>
            <w:shd w:val="clear" w:color="auto" w:fill="auto"/>
          </w:tcPr>
          <w:p w14:paraId="7314D580">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MaH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1"/>
                <w:position w:val="8"/>
                <w:sz w:val="20"/>
                <w:szCs w:val="20"/>
              </w:rPr>
              <w:t xml:space="preserve">b </w:t>
            </w:r>
          </w:p>
          <w:p w14:paraId="014F73AF">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w w:val="103"/>
                <w:sz w:val="20"/>
                <w:szCs w:val="20"/>
              </w:rPr>
              <w:t>(95% CI)</w:t>
            </w:r>
          </w:p>
        </w:tc>
        <w:tc>
          <w:tcPr>
            <w:tcW w:w="1803" w:type="dxa"/>
            <w:tcBorders>
              <w:top w:val="single" w:color="auto" w:sz="2" w:space="0"/>
            </w:tcBorders>
            <w:shd w:val="clear" w:color="auto" w:fill="auto"/>
          </w:tcPr>
          <w:p w14:paraId="6015AE81">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66% (5</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74)</w:t>
            </w:r>
          </w:p>
        </w:tc>
        <w:tc>
          <w:tcPr>
            <w:tcW w:w="1803" w:type="dxa"/>
            <w:tcBorders>
              <w:top w:val="single" w:color="auto" w:sz="2" w:space="0"/>
            </w:tcBorders>
            <w:shd w:val="clear" w:color="auto" w:fill="auto"/>
          </w:tcPr>
          <w:p w14:paraId="3AD471F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0324F3A4">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(2</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61)</w:t>
            </w:r>
          </w:p>
        </w:tc>
        <w:tc>
          <w:tcPr>
            <w:tcW w:w="1804" w:type="dxa"/>
            <w:tcBorders>
              <w:top w:val="single" w:color="auto" w:sz="2" w:space="0"/>
            </w:tcBorders>
            <w:shd w:val="clear" w:color="auto" w:fill="auto"/>
          </w:tcPr>
          <w:p w14:paraId="3BA3851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38% (2</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54)</w:t>
            </w:r>
          </w:p>
        </w:tc>
      </w:tr>
      <w:tr w14:paraId="110D0E28">
        <w:tblPrEx>
          <w:tblCellMar>
            <w:top w:w="0" w:type="dxa"/>
            <w:left w:w="108" w:type="dxa"/>
            <w:bottom w:w="0" w:type="dxa"/>
            <w:right w:w="108" w:type="dxa"/>
          </w:tblCellMar>
        </w:tblPrEx>
        <w:tc>
          <w:tcPr>
            <w:tcW w:w="1695" w:type="dxa"/>
            <w:shd w:val="clear" w:color="auto" w:fill="auto"/>
          </w:tcPr>
          <w:p w14:paraId="7A8FDFFC">
            <w:pPr>
              <w:widowControl w:val="0"/>
              <w:spacing w:line="239"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CHR</w:t>
            </w:r>
            <w:r>
              <w:rPr>
                <w:rFonts w:ascii="Microsoft Sans Serif" w:hAnsi="Microsoft Sans Serif" w:eastAsia="Calibri" w:cs="Microsoft Sans Serif"/>
                <w:w w:val="101"/>
                <w:position w:val="9"/>
                <w:sz w:val="20"/>
                <w:szCs w:val="20"/>
              </w:rPr>
              <w:t>b</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shd w:val="clear" w:color="auto" w:fill="auto"/>
          </w:tcPr>
          <w:p w14:paraId="7C90D1D6">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47% (4</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56)</w:t>
            </w:r>
          </w:p>
        </w:tc>
        <w:tc>
          <w:tcPr>
            <w:tcW w:w="1803" w:type="dxa"/>
            <w:shd w:val="clear" w:color="auto" w:fill="auto"/>
          </w:tcPr>
          <w:p w14:paraId="5ACEF25B">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28)</w:t>
            </w:r>
          </w:p>
        </w:tc>
        <w:tc>
          <w:tcPr>
            <w:tcW w:w="1803" w:type="dxa"/>
            <w:shd w:val="clear" w:color="auto" w:fill="auto"/>
          </w:tcPr>
          <w:p w14:paraId="50347163">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shd w:val="clear" w:color="auto" w:fill="auto"/>
          </w:tcPr>
          <w:p w14:paraId="06EEC52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33% (1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49)</w:t>
            </w:r>
          </w:p>
        </w:tc>
      </w:tr>
      <w:tr w14:paraId="089536C6">
        <w:tblPrEx>
          <w:tblCellMar>
            <w:top w:w="0" w:type="dxa"/>
            <w:left w:w="108" w:type="dxa"/>
            <w:bottom w:w="0" w:type="dxa"/>
            <w:right w:w="108" w:type="dxa"/>
          </w:tblCellMar>
        </w:tblPrEx>
        <w:tc>
          <w:tcPr>
            <w:tcW w:w="1695" w:type="dxa"/>
            <w:tcBorders>
              <w:bottom w:val="single" w:color="auto" w:sz="2" w:space="0"/>
            </w:tcBorders>
            <w:shd w:val="clear" w:color="auto" w:fill="auto"/>
          </w:tcPr>
          <w:p w14:paraId="3CE4CA7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NE</w:t>
            </w:r>
            <w:r>
              <w:rPr>
                <w:rFonts w:ascii="Microsoft Sans Serif" w:hAnsi="Microsoft Sans Serif" w:eastAsia="Calibri" w:cs="Microsoft Sans Serif"/>
                <w:spacing w:val="1"/>
                <w:w w:val="103"/>
                <w:sz w:val="20"/>
                <w:szCs w:val="20"/>
              </w:rPr>
              <w:t>L</w:t>
            </w:r>
            <w:r>
              <w:rPr>
                <w:rFonts w:ascii="Microsoft Sans Serif" w:hAnsi="Microsoft Sans Serif" w:eastAsia="Calibri" w:cs="Microsoft Sans Serif"/>
                <w:w w:val="101"/>
                <w:position w:val="9"/>
                <w:sz w:val="20"/>
                <w:szCs w:val="20"/>
              </w:rPr>
              <w:t xml:space="preserve">b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3038A222">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19% (1</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26)</w:t>
            </w:r>
          </w:p>
        </w:tc>
        <w:tc>
          <w:tcPr>
            <w:tcW w:w="1803" w:type="dxa"/>
            <w:tcBorders>
              <w:bottom w:val="single" w:color="auto" w:sz="2" w:space="0"/>
            </w:tcBorders>
            <w:shd w:val="clear" w:color="auto" w:fill="auto"/>
          </w:tcPr>
          <w:p w14:paraId="07B0B6D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0)</w:t>
            </w:r>
          </w:p>
        </w:tc>
        <w:tc>
          <w:tcPr>
            <w:tcW w:w="1803" w:type="dxa"/>
            <w:tcBorders>
              <w:bottom w:val="single" w:color="auto" w:sz="2" w:space="0"/>
            </w:tcBorders>
            <w:shd w:val="clear" w:color="auto" w:fill="auto"/>
          </w:tcPr>
          <w:p w14:paraId="21630A55">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tcBorders>
              <w:bottom w:val="single" w:color="auto" w:sz="2" w:space="0"/>
            </w:tcBorders>
            <w:shd w:val="clear" w:color="auto" w:fill="auto"/>
          </w:tcPr>
          <w:p w14:paraId="6F902981">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spacing w:val="-1"/>
                <w:w w:val="103"/>
                <w:sz w:val="20"/>
                <w:szCs w:val="20"/>
              </w:rPr>
              <w:t>5% (1-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1"/>
                <w:w w:val="103"/>
                <w:sz w:val="20"/>
                <w:szCs w:val="20"/>
              </w:rPr>
              <w:t>7)</w:t>
            </w:r>
          </w:p>
        </w:tc>
      </w:tr>
      <w:tr w14:paraId="7448878A">
        <w:tblPrEx>
          <w:tblCellMar>
            <w:top w:w="0" w:type="dxa"/>
            <w:left w:w="108" w:type="dxa"/>
            <w:bottom w:w="0" w:type="dxa"/>
            <w:right w:w="108" w:type="dxa"/>
          </w:tblCellMar>
        </w:tblPrEx>
        <w:tc>
          <w:tcPr>
            <w:tcW w:w="1695" w:type="dxa"/>
            <w:tcBorders>
              <w:top w:val="single" w:color="auto" w:sz="2" w:space="0"/>
            </w:tcBorders>
            <w:shd w:val="clear" w:color="auto" w:fill="auto"/>
          </w:tcPr>
          <w:p w14:paraId="5F62F59C">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w w:val="103"/>
                <w:sz w:val="20"/>
                <w:szCs w:val="20"/>
              </w:rPr>
              <w:t>yR</w:t>
            </w:r>
            <w:r>
              <w:rPr>
                <w:rFonts w:ascii="Microsoft Sans Serif" w:hAnsi="Microsoft Sans Serif" w:eastAsia="Calibri" w:cs="Microsoft Sans Serif"/>
                <w:b/>
                <w:bCs/>
                <w:w w:val="101"/>
                <w:position w:val="8"/>
                <w:sz w:val="20"/>
                <w:szCs w:val="20"/>
              </w:rPr>
              <w:t xml:space="preserve">c </w:t>
            </w:r>
          </w:p>
          <w:p w14:paraId="72755DE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top w:val="single" w:color="auto" w:sz="2" w:space="0"/>
            </w:tcBorders>
            <w:shd w:val="clear" w:color="auto" w:fill="auto"/>
          </w:tcPr>
          <w:p w14:paraId="1BA046E7">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39% (3</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47)</w:t>
            </w:r>
          </w:p>
        </w:tc>
        <w:tc>
          <w:tcPr>
            <w:tcW w:w="1803" w:type="dxa"/>
            <w:tcBorders>
              <w:top w:val="single" w:color="auto" w:sz="2" w:space="0"/>
            </w:tcBorders>
            <w:shd w:val="clear" w:color="auto" w:fill="auto"/>
          </w:tcPr>
          <w:p w14:paraId="6ECCD99E">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43C56A1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(3</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69)</w:t>
            </w:r>
          </w:p>
        </w:tc>
        <w:tc>
          <w:tcPr>
            <w:tcW w:w="1804" w:type="dxa"/>
            <w:tcBorders>
              <w:top w:val="single" w:color="auto" w:sz="2" w:space="0"/>
            </w:tcBorders>
            <w:shd w:val="clear" w:color="auto" w:fill="auto"/>
          </w:tcPr>
          <w:p w14:paraId="078429E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70% (5</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83)</w:t>
            </w:r>
          </w:p>
        </w:tc>
      </w:tr>
      <w:tr w14:paraId="28F526C2">
        <w:tblPrEx>
          <w:tblCellMar>
            <w:top w:w="0" w:type="dxa"/>
            <w:left w:w="108" w:type="dxa"/>
            <w:bottom w:w="0" w:type="dxa"/>
            <w:right w:w="108" w:type="dxa"/>
          </w:tblCellMar>
        </w:tblPrEx>
        <w:tc>
          <w:tcPr>
            <w:tcW w:w="1695" w:type="dxa"/>
            <w:tcBorders>
              <w:bottom w:val="single" w:color="auto" w:sz="2" w:space="0"/>
            </w:tcBorders>
            <w:shd w:val="clear" w:color="auto" w:fill="auto"/>
          </w:tcPr>
          <w:p w14:paraId="1D84A64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2"/>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 xml:space="preserve">R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04ECCAD7">
            <w:pPr>
              <w:widowControl w:val="0"/>
              <w:spacing w:after="200"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32%</w:t>
            </w:r>
            <w:r>
              <w:rPr>
                <w:rFonts w:ascii="Microsoft Sans Serif" w:hAnsi="Microsoft Sans Serif" w:eastAsia="Calibri" w:cs="Microsoft Sans Serif"/>
                <w:w w:val="103"/>
                <w:position w:val="-1"/>
                <w:sz w:val="20"/>
                <w:szCs w:val="20"/>
              </w:rPr>
              <w:t>(2</w:t>
            </w:r>
            <w:r>
              <w:rPr>
                <w:rFonts w:ascii="Microsoft Sans Serif" w:hAnsi="Microsoft Sans Serif" w:eastAsia="Calibri" w:cs="Microsoft Sans Serif"/>
                <w:spacing w:val="-1"/>
                <w:w w:val="103"/>
                <w:position w:val="-1"/>
                <w:sz w:val="20"/>
                <w:szCs w:val="20"/>
              </w:rPr>
              <w:t>5</w:t>
            </w:r>
            <w:r>
              <w:rPr>
                <w:rFonts w:ascii="Microsoft Sans Serif" w:hAnsi="Microsoft Sans Serif" w:eastAsia="Calibri" w:cs="Microsoft Sans Serif"/>
                <w:spacing w:val="2"/>
                <w:w w:val="103"/>
                <w:position w:val="-1"/>
                <w:sz w:val="20"/>
                <w:szCs w:val="20"/>
              </w:rPr>
              <w:t>-</w:t>
            </w:r>
            <w:r>
              <w:rPr>
                <w:rFonts w:ascii="Microsoft Sans Serif" w:hAnsi="Microsoft Sans Serif" w:eastAsia="Calibri" w:cs="Microsoft Sans Serif"/>
                <w:w w:val="103"/>
                <w:position w:val="-1"/>
                <w:sz w:val="20"/>
                <w:szCs w:val="20"/>
              </w:rPr>
              <w:t>40)</w:t>
            </w:r>
          </w:p>
        </w:tc>
        <w:tc>
          <w:tcPr>
            <w:tcW w:w="1803" w:type="dxa"/>
            <w:tcBorders>
              <w:bottom w:val="single" w:color="auto" w:sz="2" w:space="0"/>
            </w:tcBorders>
            <w:shd w:val="clear" w:color="auto" w:fill="auto"/>
          </w:tcPr>
          <w:p w14:paraId="0B2E5F0B">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(10-28)</w:t>
            </w:r>
          </w:p>
        </w:tc>
        <w:tc>
          <w:tcPr>
            <w:tcW w:w="1803" w:type="dxa"/>
            <w:tcBorders>
              <w:bottom w:val="single" w:color="auto" w:sz="2" w:space="0"/>
            </w:tcBorders>
            <w:shd w:val="clear" w:color="auto" w:fill="auto"/>
          </w:tcPr>
          <w:p w14:paraId="0D00E0AC">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 (23-58)</w:t>
            </w:r>
          </w:p>
        </w:tc>
        <w:tc>
          <w:tcPr>
            <w:tcW w:w="1804" w:type="dxa"/>
            <w:tcBorders>
              <w:bottom w:val="single" w:color="auto" w:sz="2" w:space="0"/>
            </w:tcBorders>
            <w:shd w:val="clear" w:color="auto" w:fill="auto"/>
          </w:tcPr>
          <w:p w14:paraId="75B7D862">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50% (34-66)</w:t>
            </w:r>
          </w:p>
        </w:tc>
      </w:tr>
    </w:tbl>
    <w:p w14:paraId="1420B2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lang w:val="sr-Cyrl-RS"/>
        </w:rPr>
        <w:t>a</w:t>
      </w:r>
      <w:r>
        <w:rPr>
          <w:rFonts w:ascii="Microsoft Sans Serif" w:hAnsi="Microsoft Sans Serif" w:cs="Microsoft Sans Serif"/>
          <w:bCs/>
          <w:sz w:val="20"/>
          <w:szCs w:val="20"/>
          <w:lang w:val="sr-Cyrl-RS"/>
        </w:rPr>
        <w:t xml:space="preserve"> Rezultati prijavlјeni primjenom preporučene početne doze od 140 mg jednom dnevno (</w:t>
      </w:r>
      <w:r>
        <w:rPr>
          <w:rFonts w:ascii="Microsoft Sans Serif" w:hAnsi="Microsoft Sans Serif" w:cs="Microsoft Sans Serif"/>
          <w:bCs/>
          <w:sz w:val="20"/>
          <w:szCs w:val="20"/>
        </w:rPr>
        <w:t>pogledati dio</w:t>
      </w:r>
      <w:r>
        <w:rPr>
          <w:rFonts w:ascii="Microsoft Sans Serif" w:hAnsi="Microsoft Sans Serif" w:cs="Microsoft Sans Serif"/>
          <w:bCs/>
          <w:sz w:val="20"/>
          <w:szCs w:val="20"/>
          <w:lang w:val="sr-Cyrl-RS"/>
        </w:rPr>
        <w:t xml:space="preserve"> 4.2)</w:t>
      </w:r>
    </w:p>
    <w:p w14:paraId="455BD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Cyrl-RS"/>
        </w:rPr>
        <w:t xml:space="preserve"> Kriterijumi hematološkog odgovora (svi odgovori potvrđeni poslije 4 nedelјe): Značajan hematološki odgovor (</w:t>
      </w:r>
      <w:r>
        <w:rPr>
          <w:rFonts w:ascii="Microsoft Sans Serif" w:hAnsi="Microsoft Sans Serif" w:cs="Microsoft Sans Serif"/>
          <w:bCs/>
          <w:sz w:val="20"/>
          <w:szCs w:val="20"/>
          <w:lang w:val="sr-Latn-RS"/>
        </w:rPr>
        <w:t>MaHR</w:t>
      </w:r>
      <w:r>
        <w:rPr>
          <w:rFonts w:ascii="Microsoft Sans Serif" w:hAnsi="Microsoft Sans Serif" w:cs="Microsoft Sans Serif"/>
          <w:bCs/>
          <w:sz w:val="20"/>
          <w:szCs w:val="20"/>
          <w:lang w:val="sr-Cyrl-RS"/>
        </w:rPr>
        <w:t>) =potpun hematološki odgovor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 nema znakova leukemije (</w:t>
      </w: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engl</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Cyrl-RS"/>
        </w:rPr>
        <w:t>no evidence of leukaemia</w:t>
      </w:r>
      <w:r>
        <w:rPr>
          <w:rFonts w:ascii="Microsoft Sans Serif" w:hAnsi="Microsoft Sans Serif" w:cs="Microsoft Sans Serif"/>
          <w:bCs/>
          <w:sz w:val="20"/>
          <w:szCs w:val="20"/>
          <w:lang w:val="sr-Cyrl-RS"/>
        </w:rPr>
        <w:t>).</w:t>
      </w:r>
    </w:p>
    <w:p w14:paraId="6E70A7C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 (WBC)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bez blasta ili promijelocita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perifernoj krvi, blasti u koštanoj srži ≤ 5%, &lt; 5% mijelocita plus metamijelocita u perifernoj krvi, bazofili u perifernoj krvi &lt; 20%, i bez ekstramedularne infiltracije.</w:t>
      </w:r>
    </w:p>
    <w:p w14:paraId="72E09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w:t>
      </w:r>
    </w:p>
    <w:p w14:paraId="2E61816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CyR</w:t>
      </w:r>
      <w:r>
        <w:rPr>
          <w:rFonts w:ascii="Microsoft Sans Serif" w:hAnsi="Microsoft Sans Serif" w:cs="Microsoft Sans Serif"/>
          <w:bCs/>
          <w:sz w:val="20"/>
          <w:szCs w:val="20"/>
          <w:lang w:val="sr-Cyrl-RS"/>
        </w:rPr>
        <w:t xml:space="preserve"> uklјučuje i potpun (0%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metafaze) i delimičan (&gt; 0%-35%) odgovor.</w:t>
      </w:r>
    </w:p>
    <w:p w14:paraId="6DAF2FF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 interval pouzdanosti;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xml:space="preserve"> = gornja granica normalnih vrijednosti.</w:t>
      </w:r>
    </w:p>
    <w:p w14:paraId="566410FC">
      <w:pPr>
        <w:rPr>
          <w:rFonts w:ascii="Microsoft Sans Serif" w:hAnsi="Microsoft Sans Serif" w:cs="Microsoft Sans Serif"/>
          <w:bCs/>
          <w:sz w:val="20"/>
          <w:szCs w:val="20"/>
          <w:lang w:val="sr-Cyrl-RS"/>
        </w:rPr>
      </w:pPr>
    </w:p>
    <w:p w14:paraId="1B7172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fazi ubrzanja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nije postignuta ni</w:t>
      </w:r>
    </w:p>
    <w:p w14:paraId="6A38EB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MaHR ni medijana ukupnog preživljavanja, dok je medijana PFS iznosila 25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3602224">
      <w:pPr>
        <w:rPr>
          <w:rFonts w:ascii="Microsoft Sans Serif" w:hAnsi="Microsoft Sans Serif" w:cs="Microsoft Sans Serif"/>
          <w:bCs/>
          <w:sz w:val="20"/>
          <w:szCs w:val="20"/>
          <w:lang w:val="sr-Cyrl-RS"/>
        </w:rPr>
      </w:pPr>
    </w:p>
    <w:p w14:paraId="407160A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mijeloidnoj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trajanja MaHR iznosila je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4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eseca, a medijana ukupnog preživljavanja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1CFC09E">
      <w:pPr>
        <w:rPr>
          <w:rFonts w:ascii="Microsoft Sans Serif" w:hAnsi="Microsoft Sans Serif" w:cs="Microsoft Sans Serif"/>
          <w:bCs/>
          <w:sz w:val="20"/>
          <w:szCs w:val="20"/>
          <w:lang w:val="sr-Cyrl-RS"/>
        </w:rPr>
      </w:pPr>
    </w:p>
    <w:p w14:paraId="58960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limfoidnoj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p>
    <w:p w14:paraId="5356FC8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trajanja MaHR iznosila je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a medijana ukupnog preživljavanja 11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w:t>
      </w:r>
    </w:p>
    <w:p w14:paraId="695B170A">
      <w:pPr>
        <w:rPr>
          <w:rFonts w:ascii="Microsoft Sans Serif" w:hAnsi="Microsoft Sans Serif" w:cs="Microsoft Sans Serif"/>
          <w:bCs/>
          <w:sz w:val="20"/>
          <w:szCs w:val="20"/>
          <w:lang w:val="sr-Cyrl-RS"/>
        </w:rPr>
      </w:pPr>
    </w:p>
    <w:p w14:paraId="39EE589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liječenih dozom od 140 mg jednom dnevno, medijana trajanja Ma</w:t>
      </w:r>
      <w:r>
        <w:rPr>
          <w:rFonts w:ascii="Microsoft Sans Serif" w:hAnsi="Microsoft Sans Serif" w:cs="Microsoft Sans Serif"/>
          <w:bCs/>
          <w:sz w:val="20"/>
          <w:szCs w:val="20"/>
          <w:lang w:val="sr-Latn-RS"/>
        </w:rPr>
        <w:t xml:space="preserve">HR </w:t>
      </w:r>
      <w:r>
        <w:rPr>
          <w:rFonts w:ascii="Microsoft Sans Serif" w:hAnsi="Microsoft Sans Serif" w:cs="Microsoft Sans Serif"/>
          <w:bCs/>
          <w:sz w:val="20"/>
          <w:szCs w:val="20"/>
          <w:lang w:val="sr-Cyrl-RS"/>
        </w:rPr>
        <w:t xml:space="preserve">iznosila je 5 mjeseci, 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4 mjeseca, a medij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na ukupnog preživlјavanja 7 mjeseci.</w:t>
      </w:r>
    </w:p>
    <w:p w14:paraId="07C9C784">
      <w:pPr>
        <w:rPr>
          <w:rFonts w:ascii="Microsoft Sans Serif" w:hAnsi="Microsoft Sans Serif" w:cs="Microsoft Sans Serif"/>
          <w:bCs/>
          <w:sz w:val="20"/>
          <w:szCs w:val="20"/>
          <w:lang w:val="sr-Cyrl-RS"/>
        </w:rPr>
      </w:pPr>
    </w:p>
    <w:p w14:paraId="6463A2B4">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Pedijatrijska populacija</w:t>
      </w:r>
    </w:p>
    <w:p w14:paraId="5FF47F23">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Pedijatrijski pacijenti sa HML</w:t>
      </w:r>
    </w:p>
    <w:p w14:paraId="41BE4DB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130 pacijenata sa HML u hroničnoj fazi liječenih u dvije pedijatrijske studije - otvorenoj,</w:t>
      </w:r>
    </w:p>
    <w:p w14:paraId="6CBD597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nerandomizovanoj studiji faze I za utvrđivanje raspona doza i otvorenoj, nerandomizovanoj studiji faze II - 84 pacijenata (isključivo iz studije faze II) imalo je novodijagnostifikovanu HML u hroničnoj fazi, a 46 pacijenata (17 iz studije faze I i 29 iz studije faze II) bilo je rezistentno ili nije podnosilo prethodnu terapiju imatinibom. Devedeset i sedam od 130 pedijatrijskih pacijenata sa HML u hroničnoj fazi bilo je liječeno dasatinib tabletama u dozi od 60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xml:space="preserve"> jednom dnevno (maksimalna doza od 100 mg jednom dnevno za pacijente koji su imali veliku tjelesnu površinu (BSA)). Pacijenti su liječeni do progresije bolesti ili razvoja neprihvatljive toksičnosti.</w:t>
      </w:r>
    </w:p>
    <w:p w14:paraId="44712B70">
      <w:pPr>
        <w:rPr>
          <w:rFonts w:ascii="Microsoft Sans Serif" w:hAnsi="Microsoft Sans Serif" w:cs="Microsoft Sans Serif"/>
          <w:bCs/>
          <w:sz w:val="20"/>
          <w:szCs w:val="20"/>
          <w:lang w:val="sr-Latn-RS"/>
        </w:rPr>
      </w:pPr>
    </w:p>
    <w:p w14:paraId="6180CB1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Ključni parametri praćenja efikasnosti bili su potpuni citogenetski odgovor (CCyR), značajan citogenetski odgovor (MCyR) i značajan molekularni odgovor (MMR). Rezultati efikasnosti prikazani su na Tabeli 15.</w:t>
      </w:r>
    </w:p>
    <w:p w14:paraId="24FB8E84">
      <w:pPr>
        <w:rPr>
          <w:rFonts w:ascii="Microsoft Sans Serif" w:hAnsi="Microsoft Sans Serif" w:cs="Microsoft Sans Serif"/>
          <w:bCs/>
          <w:sz w:val="20"/>
          <w:szCs w:val="20"/>
          <w:u w:val="single"/>
          <w:lang w:val="sr-Latn-RS"/>
        </w:rPr>
      </w:pPr>
    </w:p>
    <w:p w14:paraId="2165A4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15: Efikasnost dasatiniba kod pedijatrijskih pacijenata sa HML u hroničnoj fazi</w:t>
      </w:r>
    </w:p>
    <w:p w14:paraId="5FB9205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Kumulativni odgovor tokom vremena prema minimalnom periodu praćenja</w:t>
      </w:r>
    </w:p>
    <w:tbl>
      <w:tblPr>
        <w:tblStyle w:val="21"/>
        <w:tblpPr w:leftFromText="180" w:rightFromText="180" w:vertAnchor="text" w:tblpX="108"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1452"/>
        <w:gridCol w:w="1416"/>
        <w:gridCol w:w="1416"/>
        <w:gridCol w:w="2476"/>
      </w:tblGrid>
      <w:tr w14:paraId="14D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279" w:type="dxa"/>
            <w:tcBorders>
              <w:top w:val="single" w:color="auto" w:sz="2" w:space="0"/>
              <w:bottom w:val="single" w:color="auto" w:sz="12" w:space="0"/>
            </w:tcBorders>
          </w:tcPr>
          <w:p w14:paraId="5292D0BE">
            <w:pPr>
              <w:widowControl w:val="0"/>
              <w:spacing w:line="249" w:lineRule="auto"/>
              <w:rPr>
                <w:rFonts w:ascii="Microsoft Sans Serif" w:hAnsi="Microsoft Sans Serif" w:eastAsia="Times New Roman" w:cs="Microsoft Sans Serif"/>
                <w:sz w:val="20"/>
                <w:szCs w:val="20"/>
              </w:rPr>
            </w:pPr>
          </w:p>
        </w:tc>
        <w:tc>
          <w:tcPr>
            <w:tcW w:w="1452" w:type="dxa"/>
            <w:tcBorders>
              <w:top w:val="single" w:color="auto" w:sz="2" w:space="0"/>
              <w:bottom w:val="single" w:color="auto" w:sz="12" w:space="0"/>
            </w:tcBorders>
          </w:tcPr>
          <w:p w14:paraId="655EFCF0">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3mjeseca</w:t>
            </w:r>
          </w:p>
        </w:tc>
        <w:tc>
          <w:tcPr>
            <w:tcW w:w="1416" w:type="dxa"/>
            <w:tcBorders>
              <w:top w:val="single" w:color="auto" w:sz="2" w:space="0"/>
              <w:bottom w:val="single" w:color="auto" w:sz="12" w:space="0"/>
            </w:tcBorders>
          </w:tcPr>
          <w:p w14:paraId="081A5CF5">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6 mjeseci</w:t>
            </w:r>
          </w:p>
        </w:tc>
        <w:tc>
          <w:tcPr>
            <w:tcW w:w="1416" w:type="dxa"/>
            <w:tcBorders>
              <w:top w:val="single" w:color="auto" w:sz="2" w:space="0"/>
              <w:bottom w:val="single" w:color="auto" w:sz="12" w:space="0"/>
            </w:tcBorders>
          </w:tcPr>
          <w:p w14:paraId="766CC757">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12 mjeseci</w:t>
            </w:r>
          </w:p>
        </w:tc>
        <w:tc>
          <w:tcPr>
            <w:tcW w:w="2476" w:type="dxa"/>
            <w:tcBorders>
              <w:top w:val="single" w:color="auto" w:sz="2" w:space="0"/>
              <w:bottom w:val="single" w:color="auto" w:sz="12" w:space="0"/>
            </w:tcBorders>
          </w:tcPr>
          <w:p w14:paraId="4628587B">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24 mjeseca</w:t>
            </w:r>
          </w:p>
        </w:tc>
      </w:tr>
      <w:tr w14:paraId="737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39" w:type="dxa"/>
            <w:gridSpan w:val="5"/>
            <w:tcBorders>
              <w:top w:val="single" w:color="auto" w:sz="12" w:space="0"/>
            </w:tcBorders>
          </w:tcPr>
          <w:p w14:paraId="1F073B0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CCyR (95% CI)</w:t>
            </w:r>
          </w:p>
        </w:tc>
      </w:tr>
      <w:tr w14:paraId="59B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662B875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F8A0DC6">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7E3F4B0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 xml:space="preserve">43,1% </w:t>
            </w:r>
            <w:r>
              <w:rPr>
                <w:rFonts w:ascii="Microsoft Sans Serif" w:hAnsi="Microsoft Sans Serif" w:eastAsia="Calibri" w:cs="Microsoft Sans Serif"/>
                <w:sz w:val="20"/>
                <w:szCs w:val="20"/>
                <w:lang w:val="mk-MK"/>
              </w:rPr>
              <w:t xml:space="preserve"> </w:t>
            </w:r>
          </w:p>
          <w:p w14:paraId="5D2F480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(29,3, 57.8)</w:t>
            </w:r>
          </w:p>
        </w:tc>
        <w:tc>
          <w:tcPr>
            <w:tcW w:w="1416" w:type="dxa"/>
          </w:tcPr>
          <w:p w14:paraId="79EB1CC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66,7% </w:t>
            </w:r>
          </w:p>
          <w:p w14:paraId="4BBB7E7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(52,1, 79,2)</w:t>
            </w:r>
          </w:p>
        </w:tc>
        <w:tc>
          <w:tcPr>
            <w:tcW w:w="1416" w:type="dxa"/>
          </w:tcPr>
          <w:p w14:paraId="72EE9C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4708FA3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(86,5, 99,5)</w:t>
            </w:r>
          </w:p>
        </w:tc>
        <w:tc>
          <w:tcPr>
            <w:tcW w:w="2476" w:type="dxa"/>
          </w:tcPr>
          <w:p w14:paraId="3E72D57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5674CBE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(86,5, 99,5)%</w:t>
            </w:r>
          </w:p>
        </w:tc>
      </w:tr>
      <w:tr w14:paraId="240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79" w:type="dxa"/>
          </w:tcPr>
          <w:p w14:paraId="0B0A068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1AA8C528">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w:t>
            </w:r>
          </w:p>
          <w:p w14:paraId="29CF70E7">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46</w:t>
            </w:r>
            <w:r>
              <w:rPr>
                <w:rFonts w:ascii="Microsoft Sans Serif" w:hAnsi="Microsoft Sans Serif" w:eastAsia="Calibri" w:cs="Microsoft Sans Serif"/>
                <w:w w:val="103"/>
                <w:sz w:val="20"/>
                <w:szCs w:val="20"/>
              </w:rPr>
              <w:t>)</w:t>
            </w:r>
            <w:r>
              <w:rPr>
                <w:rFonts w:ascii="Microsoft Sans Serif" w:hAnsi="Microsoft Sans Serif" w:eastAsia="Calibri" w:cs="Microsoft Sans Serif"/>
                <w:w w:val="101"/>
                <w:position w:val="8"/>
                <w:sz w:val="20"/>
                <w:szCs w:val="20"/>
              </w:rPr>
              <w:t>b</w:t>
            </w:r>
          </w:p>
        </w:tc>
        <w:tc>
          <w:tcPr>
            <w:tcW w:w="1452" w:type="dxa"/>
          </w:tcPr>
          <w:p w14:paraId="162B084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45,7% </w:t>
            </w:r>
          </w:p>
          <w:p w14:paraId="0BE9C578">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(30,9, 61,0)</w:t>
            </w:r>
          </w:p>
        </w:tc>
        <w:tc>
          <w:tcPr>
            <w:tcW w:w="1416" w:type="dxa"/>
          </w:tcPr>
          <w:p w14:paraId="2249441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71,7% </w:t>
            </w:r>
          </w:p>
          <w:p w14:paraId="6FC6FD3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(56,5, 84,0)</w:t>
            </w:r>
          </w:p>
        </w:tc>
        <w:tc>
          <w:tcPr>
            <w:tcW w:w="1416" w:type="dxa"/>
          </w:tcPr>
          <w:p w14:paraId="3FED7B1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78,3%</w:t>
            </w:r>
          </w:p>
          <w:p w14:paraId="149876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(63,6, 89,1)</w:t>
            </w:r>
          </w:p>
        </w:tc>
        <w:tc>
          <w:tcPr>
            <w:tcW w:w="2476" w:type="dxa"/>
          </w:tcPr>
          <w:p w14:paraId="3819293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82,6%</w:t>
            </w:r>
          </w:p>
          <w:p w14:paraId="384E048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(68,6, 92,2)</w:t>
            </w:r>
          </w:p>
        </w:tc>
      </w:tr>
      <w:tr w14:paraId="2C6B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9" w:type="dxa"/>
            <w:gridSpan w:val="5"/>
          </w:tcPr>
          <w:p w14:paraId="29A56792">
            <w:pPr>
              <w:widowControl w:val="0"/>
              <w:spacing w:line="249" w:lineRule="auto"/>
              <w:rPr>
                <w:rFonts w:ascii="Microsoft Sans Serif" w:hAnsi="Microsoft Sans Serif" w:eastAsia="Times New Roman" w:cs="Microsoft Sans Serif"/>
                <w:b/>
                <w:bCs/>
                <w:spacing w:val="-1"/>
                <w:w w:val="103"/>
                <w:sz w:val="20"/>
                <w:szCs w:val="20"/>
              </w:rPr>
            </w:pPr>
          </w:p>
          <w:p w14:paraId="0BA74E1A">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bCs/>
                <w:spacing w:val="-1"/>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spacing w:val="-1"/>
                <w:w w:val="103"/>
                <w:sz w:val="20"/>
                <w:szCs w:val="20"/>
              </w:rPr>
              <w:t>yR</w:t>
            </w:r>
            <w:r>
              <w:rPr>
                <w:rFonts w:ascii="Microsoft Sans Serif" w:hAnsi="Microsoft Sans Serif" w:eastAsia="Times New Roman" w:cs="Microsoft Sans Serif"/>
                <w:b/>
                <w:bCs/>
                <w:spacing w:val="-1"/>
                <w:w w:val="103"/>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CI)</w:t>
            </w:r>
          </w:p>
        </w:tc>
      </w:tr>
      <w:tr w14:paraId="467F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279" w:type="dxa"/>
          </w:tcPr>
          <w:p w14:paraId="47D4CBA0">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5A52F4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6D141B7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p w14:paraId="376ED8E2">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2)</w:t>
            </w:r>
          </w:p>
        </w:tc>
        <w:tc>
          <w:tcPr>
            <w:tcW w:w="1416" w:type="dxa"/>
          </w:tcPr>
          <w:p w14:paraId="32832D8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D77065C">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c>
          <w:tcPr>
            <w:tcW w:w="1416" w:type="dxa"/>
          </w:tcPr>
          <w:p w14:paraId="0A3BE19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p w14:paraId="364A6CE5">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(89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tc>
        <w:tc>
          <w:tcPr>
            <w:tcW w:w="2476" w:type="dxa"/>
          </w:tcPr>
          <w:p w14:paraId="60405D83">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0%</w:t>
            </w:r>
          </w:p>
          <w:p w14:paraId="20506001">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00)</w:t>
            </w:r>
          </w:p>
        </w:tc>
      </w:tr>
      <w:tr w14:paraId="7DF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5113E0A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30A9B50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i</w:t>
            </w:r>
            <w:r>
              <w:rPr>
                <w:rFonts w:ascii="Microsoft Sans Serif" w:hAnsi="Microsoft Sans Serif" w:eastAsia="Calibri" w:cs="Microsoft Sans Serif"/>
                <w:sz w:val="20"/>
                <w:szCs w:val="20"/>
              </w:rPr>
              <w:t>matinibom (N = 46)</w:t>
            </w:r>
            <w:r>
              <w:rPr>
                <w:rFonts w:ascii="Microsoft Sans Serif" w:hAnsi="Microsoft Sans Serif" w:eastAsia="Calibri" w:cs="Microsoft Sans Serif"/>
                <w:sz w:val="20"/>
                <w:szCs w:val="20"/>
                <w:vertAlign w:val="superscript"/>
              </w:rPr>
              <w:t>b</w:t>
            </w:r>
          </w:p>
        </w:tc>
        <w:tc>
          <w:tcPr>
            <w:tcW w:w="1452" w:type="dxa"/>
          </w:tcPr>
          <w:p w14:paraId="7991CC5D">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695A064A">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5</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9)</w:t>
            </w:r>
          </w:p>
        </w:tc>
        <w:tc>
          <w:tcPr>
            <w:tcW w:w="1416" w:type="dxa"/>
          </w:tcPr>
          <w:p w14:paraId="3DB0447C">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6%</w:t>
            </w:r>
          </w:p>
          <w:p w14:paraId="2E402FB3">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tc>
        <w:tc>
          <w:tcPr>
            <w:tcW w:w="1416" w:type="dxa"/>
          </w:tcPr>
          <w:p w14:paraId="6F72BA0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1F574369">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476" w:type="dxa"/>
          </w:tcPr>
          <w:p w14:paraId="71C1D4B4">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9</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3409FB1F">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w:t>
            </w:r>
          </w:p>
        </w:tc>
      </w:tr>
      <w:tr w14:paraId="3C7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9" w:type="dxa"/>
            <w:gridSpan w:val="5"/>
          </w:tcPr>
          <w:p w14:paraId="073FFA9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MMR (95% CI)</w:t>
            </w:r>
          </w:p>
        </w:tc>
      </w:tr>
      <w:tr w14:paraId="0EDE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0C671CC4">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 (N = 51)</w:t>
            </w:r>
            <w:r>
              <w:rPr>
                <w:rFonts w:ascii="Microsoft Sans Serif" w:hAnsi="Microsoft Sans Serif" w:eastAsia="Calibri" w:cs="Microsoft Sans Serif"/>
                <w:sz w:val="20"/>
                <w:szCs w:val="20"/>
                <w:vertAlign w:val="superscript"/>
              </w:rPr>
              <w:t>a</w:t>
            </w:r>
          </w:p>
        </w:tc>
        <w:tc>
          <w:tcPr>
            <w:tcW w:w="1452" w:type="dxa"/>
          </w:tcPr>
          <w:p w14:paraId="6AC73D54">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w:t>
            </w:r>
          </w:p>
          <w:p w14:paraId="7888AD35">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18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Pr>
          <w:p w14:paraId="2E69C776">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31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4%</w:t>
            </w:r>
          </w:p>
          <w:p w14:paraId="2B15C16D">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tc>
        <w:tc>
          <w:tcPr>
            <w:tcW w:w="1416" w:type="dxa"/>
          </w:tcPr>
          <w:p w14:paraId="7CAA37FA">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293279AB">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(42</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c>
          <w:tcPr>
            <w:tcW w:w="2476" w:type="dxa"/>
          </w:tcPr>
          <w:p w14:paraId="107254BD">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4</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w w:val="103"/>
                <w:sz w:val="20"/>
                <w:szCs w:val="20"/>
              </w:rPr>
              <w:t>%</w:t>
            </w:r>
          </w:p>
          <w:p w14:paraId="0D29924E">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0</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r>
      <w:tr w14:paraId="6BC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79" w:type="dxa"/>
            <w:tcBorders>
              <w:bottom w:val="single" w:color="auto" w:sz="2" w:space="0"/>
            </w:tcBorders>
          </w:tcPr>
          <w:p w14:paraId="62EF97B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0985EF7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 (N</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4"/>
                <w:sz w:val="20"/>
                <w:szCs w:val="20"/>
              </w:rPr>
              <w:t xml:space="preserve"> </w:t>
            </w:r>
            <w:r>
              <w:rPr>
                <w:rFonts w:ascii="Microsoft Sans Serif" w:hAnsi="Microsoft Sans Serif" w:eastAsia="Calibri" w:cs="Microsoft Sans Serif"/>
                <w:w w:val="103"/>
                <w:sz w:val="20"/>
                <w:szCs w:val="20"/>
              </w:rPr>
              <w:t>46)</w:t>
            </w:r>
            <w:r>
              <w:rPr>
                <w:rFonts w:ascii="Microsoft Sans Serif" w:hAnsi="Microsoft Sans Serif" w:eastAsia="Calibri" w:cs="Microsoft Sans Serif"/>
                <w:w w:val="101"/>
                <w:position w:val="8"/>
                <w:sz w:val="20"/>
                <w:szCs w:val="20"/>
              </w:rPr>
              <w:t>b</w:t>
            </w:r>
          </w:p>
        </w:tc>
        <w:tc>
          <w:tcPr>
            <w:tcW w:w="1452" w:type="dxa"/>
            <w:tcBorders>
              <w:bottom w:val="single" w:color="auto" w:sz="2" w:space="0"/>
            </w:tcBorders>
          </w:tcPr>
          <w:p w14:paraId="723F6C62">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p w14:paraId="062DDD7F">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28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Borders>
              <w:bottom w:val="single" w:color="auto" w:sz="2" w:space="0"/>
            </w:tcBorders>
          </w:tcPr>
          <w:p w14:paraId="28970836">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4522C680">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4</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tc>
        <w:tc>
          <w:tcPr>
            <w:tcW w:w="1416" w:type="dxa"/>
            <w:tcBorders>
              <w:bottom w:val="single" w:color="auto" w:sz="2" w:space="0"/>
            </w:tcBorders>
          </w:tcPr>
          <w:p w14:paraId="6225EFE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64710466">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(25</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spacing w:val="-1"/>
                <w:w w:val="103"/>
                <w:sz w:val="20"/>
                <w:szCs w:val="20"/>
              </w:rPr>
              <w:t>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6)</w:t>
            </w:r>
          </w:p>
        </w:tc>
        <w:tc>
          <w:tcPr>
            <w:tcW w:w="2476" w:type="dxa"/>
            <w:tcBorders>
              <w:bottom w:val="single" w:color="auto" w:sz="2" w:space="0"/>
            </w:tcBorders>
          </w:tcPr>
          <w:p w14:paraId="5EC29F9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B7111DC">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7</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w:t>
            </w:r>
          </w:p>
        </w:tc>
      </w:tr>
    </w:tbl>
    <w:p w14:paraId="442A90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Pacijenti sa novodijagnostifikovanom HML u hroničnoj fazi iz pedijatrijske studije faze II koji su primali lijek oralno u obliku tableta</w:t>
      </w:r>
    </w:p>
    <w:p w14:paraId="1B0EF79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Pacijenti sa HML u hroničnoj fazi iz pedijatrijskih studija faze I i faze II koji su bili rezistentni na terapija imatinibom ili ga nisu podnosili, a primali su lijek oralno u obliku tableta</w:t>
      </w:r>
    </w:p>
    <w:p w14:paraId="41118AD4">
      <w:pPr>
        <w:rPr>
          <w:rFonts w:ascii="Microsoft Sans Serif" w:hAnsi="Microsoft Sans Serif" w:cs="Microsoft Sans Serif"/>
          <w:bCs/>
          <w:sz w:val="20"/>
          <w:szCs w:val="20"/>
          <w:lang w:val="sr-Latn-RS"/>
        </w:rPr>
      </w:pPr>
    </w:p>
    <w:p w14:paraId="4ED177B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minimalno 7 godina praćenja u pedijatrijskoj studiji faze I, medijana trajanja PFS među 17 pacijenata sa HML u hroničnoj fazi koji su bili rezistentni na imatinib ili ga nisu podnosili iznosila je 53,6 mjeseci, dok je stopa OS iznosila 82,4%.</w:t>
      </w:r>
    </w:p>
    <w:p w14:paraId="1B3A2C52">
      <w:pPr>
        <w:rPr>
          <w:rFonts w:ascii="Microsoft Sans Serif" w:hAnsi="Microsoft Sans Serif" w:cs="Microsoft Sans Serif"/>
          <w:bCs/>
          <w:sz w:val="20"/>
          <w:szCs w:val="20"/>
          <w:lang w:val="sr-Latn-RS"/>
        </w:rPr>
      </w:pPr>
    </w:p>
    <w:p w14:paraId="481C82D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koji su primali lijek u obliku tableta u pedijatrijskoj studiji faze II, procjenjena 24- mjesečna stopa PFS kod 51 pacijenata sa novodijagnostifikovanom HML u hroničnoj fazi iznosila je 94,0% (82,6; 98,0), dok je kod 29 pacijenata sa HML u hroničnoj fazi koji su bili rezistentni na imatinib ili ga nisu podnosili ta stopa iznosila 81,7% (61,4; 92,0). Nakon 24 mjeseca praćenja, OS je iznosilo 100% kod pacijenata sa novodijagnostifikovanom bolešću i 96,6% kod onih koji su bili rezistentni na imatinib ili ga nisu podnosili.</w:t>
      </w:r>
    </w:p>
    <w:p w14:paraId="4B7C504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pedijatrijskoj studiji faze II, kod 1 pacijenata sa novodijagnostifikovanom bolešću i 2 pacijenata koja su bila rezistentna na imatinib ili ga nisu podnosila došlo je do progresije do blastne faze HML.</w:t>
      </w:r>
    </w:p>
    <w:p w14:paraId="7C71344F">
      <w:pPr>
        <w:rPr>
          <w:rFonts w:ascii="Microsoft Sans Serif" w:hAnsi="Microsoft Sans Serif" w:cs="Microsoft Sans Serif"/>
          <w:bCs/>
          <w:sz w:val="20"/>
          <w:szCs w:val="20"/>
          <w:lang w:val="sr-Latn-RS"/>
        </w:rPr>
      </w:pPr>
    </w:p>
    <w:p w14:paraId="60CB4F4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Bilo je 33 pedijatrijska pacijenta sa novodijagnostifikovanim HML u hroničnoj fazi koji su primali dasatinib prašak za oralnu suspenziju u dozi od 72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Pri primjeni te doze postignuta je 30% manja izloženost od one koja se postiže pri primeni preporučene doze. Kod tih pacijenata je CCyR nakon 12 mjeseci iznosio 87,9% [95% CI: (71,8 - 96,6)], a MMR 45,5% [95% CI: (28,1 - 63,6)].</w:t>
      </w:r>
    </w:p>
    <w:p w14:paraId="5E3C6753">
      <w:pPr>
        <w:rPr>
          <w:rFonts w:ascii="Microsoft Sans Serif" w:hAnsi="Microsoft Sans Serif" w:cs="Microsoft Sans Serif"/>
          <w:bCs/>
          <w:sz w:val="20"/>
          <w:szCs w:val="20"/>
          <w:lang w:val="sr-Latn-RS"/>
        </w:rPr>
      </w:pPr>
    </w:p>
    <w:p w14:paraId="72AC7C0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pedijatrijskim pacijentima sa HML u hroničnoj fazi liječenim dasatinibom koji su prethodno bili</w:t>
      </w:r>
    </w:p>
    <w:p w14:paraId="5E20003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izloženi imatinibu, na kraju terapijskog perioda utvrđene su sljedeće mutacije: T315A, E255K i F317L.</w:t>
      </w:r>
    </w:p>
    <w:p w14:paraId="7E9AF7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Međutim, mutacije E255K i F317L utvrđene su i prije lječenja. Među pacijentima sa novodijagnostifikovanom HML u hroničnoj fazi nisu pronađene nikakve mutacije na kraju terapijskog perioda.</w:t>
      </w:r>
    </w:p>
    <w:p w14:paraId="5D770683">
      <w:pPr>
        <w:rPr>
          <w:rFonts w:ascii="Microsoft Sans Serif" w:hAnsi="Microsoft Sans Serif" w:cs="Microsoft Sans Serif"/>
          <w:bCs/>
          <w:sz w:val="20"/>
          <w:szCs w:val="20"/>
          <w:u w:val="single"/>
          <w:lang w:val="sr-Latn-RS"/>
        </w:rPr>
      </w:pPr>
    </w:p>
    <w:p w14:paraId="558D01C2">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Pedijatrijski  pacijenti sa A</w:t>
      </w:r>
      <w:r>
        <w:rPr>
          <w:rFonts w:ascii="Microsoft Sans Serif" w:hAnsi="Microsoft Sans Serif" w:cs="Microsoft Sans Serif"/>
          <w:bCs/>
          <w:i/>
          <w:sz w:val="20"/>
          <w:szCs w:val="20"/>
          <w:u w:val="single"/>
          <w:lang w:val="sr-Latn-RS"/>
        </w:rPr>
        <w:t>LL</w:t>
      </w:r>
    </w:p>
    <w:p w14:paraId="493D39B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u kombinaciji sa hemioterapijom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enjivala se u pivotalnom ispitivanju sprovedenom kod pedijatrijskih pacijenata starijih od godinu dana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17033567">
      <w:pPr>
        <w:rPr>
          <w:rFonts w:ascii="Microsoft Sans Serif" w:hAnsi="Microsoft Sans Serif" w:cs="Microsoft Sans Serif"/>
          <w:bCs/>
          <w:sz w:val="20"/>
          <w:szCs w:val="20"/>
          <w:lang w:val="sr-Cyrl-RS"/>
        </w:rPr>
      </w:pPr>
    </w:p>
    <w:p w14:paraId="4CDB628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ovom multicentričnom ispitivanju faze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kontrolisanom podacima iz prethodnih ispitivanja, u kojem se ispitivao dasatinib kao dodatak standardnoj hemioterapiji, 106 pedijatrijskih pacijenata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od kojih su njih 104 imala potvrđen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primalo je dasatinib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dnevnoj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prema režimu kontinuirane primjene u toku najviše 24 mjeseca, u kombinaciji sa hemioterapijom. Osamdeset i dva pacijenta primala su isklјučivo tablete dasatiniba, dok su 24 pacijenta primila dasatinib u obliku praška za oralnu suspenziju najmanje jednom, a njih 8 primalo je dasatinib isklјučivo u obliku praška za oralnu suspenziju. Osnovni hemioterapijski režim bio je jednak onom koji se primjenjivao u ispitivanju A</w:t>
      </w:r>
      <w:r>
        <w:rPr>
          <w:rFonts w:ascii="Microsoft Sans Serif" w:hAnsi="Microsoft Sans Serif" w:cs="Microsoft Sans Serif"/>
          <w:bCs/>
          <w:sz w:val="20"/>
          <w:szCs w:val="20"/>
          <w:lang w:val="sr-Latn-RS"/>
        </w:rPr>
        <w:t>IEOP</w:t>
      </w:r>
      <w:r>
        <w:rPr>
          <w:rFonts w:ascii="Microsoft Sans Serif" w:hAnsi="Microsoft Sans Serif" w:cs="Microsoft Sans Serif"/>
          <w:bCs/>
          <w:sz w:val="20"/>
          <w:szCs w:val="20"/>
          <w:lang w:val="sr-Cyrl-RS"/>
        </w:rPr>
        <w:t>-BFM ALL 2000 (standardni hemioterap</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jski protokol sastavlјen od više lijekova). Primarn</w:t>
      </w:r>
      <w:r>
        <w:rPr>
          <w:rFonts w:ascii="Microsoft Sans Serif" w:hAnsi="Microsoft Sans Serif" w:cs="Microsoft Sans Serif"/>
          <w:bCs/>
          <w:sz w:val="20"/>
          <w:szCs w:val="20"/>
          <w:lang w:val="mk-MK"/>
        </w:rPr>
        <w:t>i</w:t>
      </w:r>
      <w:r>
        <w:rPr>
          <w:rFonts w:ascii="Microsoft Sans Serif" w:hAnsi="Microsoft Sans Serif" w:cs="Microsoft Sans Serif"/>
          <w:bCs/>
          <w:sz w:val="20"/>
          <w:szCs w:val="20"/>
          <w:lang w:val="sr-Cyrl-RS"/>
        </w:rPr>
        <w:t xml:space="preserve"> parametar praćenje ishoda za efikasnost bilo je trogodišnje preživlјavanje bez događaja (</w:t>
      </w:r>
      <w:r>
        <w:rPr>
          <w:rFonts w:ascii="Microsoft Sans Serif" w:hAnsi="Microsoft Sans Serif" w:cs="Microsoft Sans Serif"/>
          <w:bCs/>
          <w:sz w:val="20"/>
          <w:szCs w:val="20"/>
          <w:lang w:val="hr-BA"/>
        </w:rPr>
        <w:t xml:space="preserve">engl. </w:t>
      </w:r>
      <w:r>
        <w:rPr>
          <w:rFonts w:ascii="Microsoft Sans Serif" w:hAnsi="Microsoft Sans Serif" w:cs="Microsoft Sans Serif"/>
          <w:bCs/>
          <w:i/>
          <w:sz w:val="20"/>
          <w:szCs w:val="20"/>
          <w:lang w:val="hr-BA"/>
        </w:rPr>
        <w:t xml:space="preserve">event-free survival, </w:t>
      </w:r>
      <w:r>
        <w:rPr>
          <w:rFonts w:ascii="Microsoft Sans Serif" w:hAnsi="Microsoft Sans Serif" w:cs="Microsoft Sans Serif"/>
          <w:bCs/>
          <w:i/>
          <w:sz w:val="20"/>
          <w:szCs w:val="20"/>
          <w:lang w:val="sr-Cyrl-RS"/>
        </w:rPr>
        <w:t>E</w:t>
      </w:r>
      <w:r>
        <w:rPr>
          <w:rFonts w:ascii="Microsoft Sans Serif" w:hAnsi="Microsoft Sans Serif" w:cs="Microsoft Sans Serif"/>
          <w:bCs/>
          <w:i/>
          <w:sz w:val="20"/>
          <w:szCs w:val="20"/>
          <w:lang w:val="sr-Latn-RS"/>
        </w:rPr>
        <w:t>FS</w:t>
      </w:r>
      <w:r>
        <w:rPr>
          <w:rFonts w:ascii="Microsoft Sans Serif" w:hAnsi="Microsoft Sans Serif" w:cs="Microsoft Sans Serif"/>
          <w:bCs/>
          <w:sz w:val="20"/>
          <w:szCs w:val="20"/>
          <w:lang w:val="sr-Cyrl-RS"/>
        </w:rPr>
        <w:t>), čija je stopa iznosila 65,5% (55,5; 73,7).</w:t>
      </w:r>
    </w:p>
    <w:p w14:paraId="729E1B08">
      <w:pPr>
        <w:rPr>
          <w:rFonts w:ascii="Microsoft Sans Serif" w:hAnsi="Microsoft Sans Serif" w:cs="Microsoft Sans Serif"/>
          <w:bCs/>
          <w:sz w:val="20"/>
          <w:szCs w:val="20"/>
          <w:lang w:val="sr-Cyrl-RS"/>
        </w:rPr>
      </w:pPr>
    </w:p>
    <w:p w14:paraId="17603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Stopa negativnih nalaza minimalne rezidualne bolesti (engl. </w:t>
      </w:r>
      <w:r>
        <w:rPr>
          <w:rFonts w:ascii="Microsoft Sans Serif" w:hAnsi="Microsoft Sans Serif" w:cs="Microsoft Sans Serif"/>
          <w:bCs/>
          <w:i/>
          <w:sz w:val="20"/>
          <w:szCs w:val="20"/>
          <w:lang w:val="sr-Cyrl-RS"/>
        </w:rPr>
        <w:t xml:space="preserve">Minimal </w:t>
      </w:r>
      <w:r>
        <w:rPr>
          <w:rFonts w:ascii="Microsoft Sans Serif" w:hAnsi="Microsoft Sans Serif" w:cs="Microsoft Sans Serif"/>
          <w:bCs/>
          <w:i/>
          <w:sz w:val="20"/>
          <w:szCs w:val="20"/>
          <w:lang w:val="sr-Latn-RS"/>
        </w:rPr>
        <w:t>residual disease</w:t>
      </w:r>
      <w:r>
        <w:rPr>
          <w:rFonts w:ascii="Microsoft Sans Serif" w:hAnsi="Microsoft Sans Serif" w:cs="Microsoft Sans Serif"/>
          <w:bCs/>
          <w:i/>
          <w:sz w:val="20"/>
          <w:szCs w:val="20"/>
          <w:lang w:val="sr-Cyrl-RS"/>
        </w:rPr>
        <w:t>, M</w:t>
      </w:r>
      <w:r>
        <w:rPr>
          <w:rFonts w:ascii="Microsoft Sans Serif" w:hAnsi="Microsoft Sans Serif" w:cs="Microsoft Sans Serif"/>
          <w:bCs/>
          <w:i/>
          <w:sz w:val="20"/>
          <w:szCs w:val="20"/>
          <w:lang w:val="sr-Latn-RS"/>
        </w:rPr>
        <w:t>RD</w:t>
      </w:r>
      <w:r>
        <w:rPr>
          <w:rFonts w:ascii="Microsoft Sans Serif" w:hAnsi="Microsoft Sans Serif" w:cs="Microsoft Sans Serif"/>
          <w:bCs/>
          <w:sz w:val="20"/>
          <w:szCs w:val="20"/>
          <w:lang w:val="sr-Cyrl-RS"/>
        </w:rPr>
        <w:t>),</w:t>
      </w:r>
    </w:p>
    <w:p w14:paraId="6071033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na osnovu preuređenja baza u genu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r-Latn-RS"/>
        </w:rPr>
        <w:t>CR</w:t>
      </w:r>
      <w:r>
        <w:rPr>
          <w:rFonts w:ascii="Microsoft Sans Serif" w:hAnsi="Microsoft Sans Serif" w:cs="Microsoft Sans Serif"/>
          <w:bCs/>
          <w:sz w:val="20"/>
          <w:szCs w:val="20"/>
          <w:lang w:val="sr-Cyrl-RS"/>
        </w:rPr>
        <w:t xml:space="preserve"> do kraja konsolidacije, iznosila je 71,7% kod svih liječenih pacijenata. Kada se ta stopa izračunavala na osnovu 85 pacijenta kod kojih su se mogli ocijeniti podaci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TCR</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enjena je na 89,4%. Stopa negativnih nalaza na M</w:t>
      </w:r>
      <w:r>
        <w:rPr>
          <w:rFonts w:ascii="Microsoft Sans Serif" w:hAnsi="Microsoft Sans Serif" w:cs="Microsoft Sans Serif"/>
          <w:bCs/>
          <w:sz w:val="20"/>
          <w:szCs w:val="20"/>
          <w:lang w:val="sr-Latn-RS"/>
        </w:rPr>
        <w:t>RD</w:t>
      </w:r>
      <w:r>
        <w:rPr>
          <w:rFonts w:ascii="Microsoft Sans Serif" w:hAnsi="Microsoft Sans Serif" w:cs="Microsoft Sans Serif"/>
          <w:bCs/>
          <w:sz w:val="20"/>
          <w:szCs w:val="20"/>
          <w:lang w:val="sr-Cyrl-RS"/>
        </w:rPr>
        <w:t xml:space="preserve"> na kraju indukcije i konsolidacije izmjerena protočnom citometrijom iznosila je 66,0% odnosno 84,0%.</w:t>
      </w:r>
    </w:p>
    <w:p w14:paraId="78D00E6B">
      <w:pPr>
        <w:rPr>
          <w:rFonts w:ascii="Microsoft Sans Serif" w:hAnsi="Microsoft Sans Serif" w:cs="Microsoft Sans Serif"/>
          <w:sz w:val="20"/>
          <w:szCs w:val="20"/>
          <w:lang w:val="sr-Cyrl-RS"/>
        </w:rPr>
      </w:pPr>
    </w:p>
    <w:p w14:paraId="28E2AD6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6D838B8F">
      <w:pPr>
        <w:rPr>
          <w:rFonts w:ascii="Microsoft Sans Serif" w:hAnsi="Microsoft Sans Serif" w:cs="Microsoft Sans Serif"/>
          <w:b/>
          <w:bCs/>
          <w:sz w:val="20"/>
          <w:szCs w:val="20"/>
          <w:lang w:val="sv-SE"/>
        </w:rPr>
      </w:pPr>
    </w:p>
    <w:p w14:paraId="1B23625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Farmakokinetika dasatiniba ispitana je kod 229 zdravih odraslih ispitanika i 84 pacijenta.</w:t>
      </w:r>
    </w:p>
    <w:p w14:paraId="377FC113">
      <w:pPr>
        <w:rPr>
          <w:rFonts w:ascii="Microsoft Sans Serif" w:hAnsi="Microsoft Sans Serif" w:cs="Microsoft Sans Serif"/>
          <w:bCs/>
          <w:sz w:val="20"/>
          <w:szCs w:val="20"/>
          <w:u w:val="single"/>
          <w:lang w:val="sr-Cyrl-RS"/>
        </w:rPr>
      </w:pPr>
    </w:p>
    <w:p w14:paraId="3B1ED53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Resorpcija</w:t>
      </w:r>
    </w:p>
    <w:p w14:paraId="28E654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se brzo resorbuje kod pacijenata nakon oralne primjene, a maksimalnu koncentraciju postiže između 0,5-3 sata. Nakon oralne primjene, povećanje prosječne izloženosti (PIKτ) otprilike je proporcionalno povećanju doze u rasponu doza od 25 mg do 120 mg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dnevno.</w:t>
      </w:r>
    </w:p>
    <w:p w14:paraId="273B2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Ukupni srednji terminalni poluživot dasatiniba kod pacijenata iznosi oko 5-6 sati.</w:t>
      </w:r>
    </w:p>
    <w:p w14:paraId="58FD11EA">
      <w:pPr>
        <w:rPr>
          <w:rFonts w:ascii="Microsoft Sans Serif" w:hAnsi="Microsoft Sans Serif" w:cs="Microsoft Sans Serif"/>
          <w:bCs/>
          <w:sz w:val="20"/>
          <w:szCs w:val="20"/>
          <w:lang w:val="sr-Cyrl-RS"/>
        </w:rPr>
      </w:pPr>
    </w:p>
    <w:p w14:paraId="54AEC4C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prikuplјeni kod zdravih ispitanika koji su primili pojedinačnu dozu dasatiniba od 100 mg 30 minuta poslije obroka </w:t>
      </w:r>
      <w:r>
        <w:rPr>
          <w:rFonts w:ascii="Microsoft Sans Serif" w:hAnsi="Microsoft Sans Serif" w:cs="Microsoft Sans Serif"/>
          <w:bCs/>
          <w:sz w:val="20"/>
          <w:szCs w:val="20"/>
          <w:lang w:val="mk-MK"/>
        </w:rPr>
        <w:t xml:space="preserve">sa visokim sadržajem </w:t>
      </w:r>
      <w:r>
        <w:rPr>
          <w:rFonts w:ascii="Microsoft Sans Serif" w:hAnsi="Microsoft Sans Serif" w:cs="Microsoft Sans Serif"/>
          <w:bCs/>
          <w:sz w:val="20"/>
          <w:szCs w:val="20"/>
          <w:lang w:val="sr-Cyrl-RS"/>
        </w:rPr>
        <w:t>masti ukazuju na 14%-tno povećanje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Obrok sa niskim sadržajem masti 30 minuta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primjene dasatiniba rezultirao je 21%-tnim povećanjem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ećeni uticaji hrane ne predstavlјaju klinički važne promjene u izloženosti. Varijabilnost u izložnosti dasatinibu izraženija je nakon primjene natašte (47%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nego nakon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primjene uz obrok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niskim sadržajem masti (39%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ili obrok sa visokim sadržajem masti (32%</w:t>
      </w:r>
      <w:r>
        <w:rPr>
          <w:rFonts w:ascii="Microsoft Sans Serif" w:hAnsi="Microsoft Sans Serif" w:cs="Microsoft Sans Serif"/>
          <w:bCs/>
          <w:sz w:val="20"/>
          <w:szCs w:val="20"/>
          <w:lang w:val="sr-Latn-RS"/>
        </w:rPr>
        <w:t xml:space="preserve"> CV</w:t>
      </w:r>
      <w:r>
        <w:rPr>
          <w:rFonts w:ascii="Microsoft Sans Serif" w:hAnsi="Microsoft Sans Serif" w:cs="Microsoft Sans Serif"/>
          <w:bCs/>
          <w:sz w:val="20"/>
          <w:szCs w:val="20"/>
          <w:lang w:val="sr-Cyrl-RS"/>
        </w:rPr>
        <w:t>).</w:t>
      </w:r>
    </w:p>
    <w:p w14:paraId="137EF8EE">
      <w:pPr>
        <w:rPr>
          <w:rFonts w:ascii="Microsoft Sans Serif" w:hAnsi="Microsoft Sans Serif" w:cs="Microsoft Sans Serif"/>
          <w:bCs/>
          <w:sz w:val="20"/>
          <w:szCs w:val="20"/>
          <w:lang w:val="sr-Cyrl-RS"/>
        </w:rPr>
      </w:pPr>
    </w:p>
    <w:p w14:paraId="6A0B29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Prema analizi populacijske farmakokinetike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pacijenata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enjeno je da je varijabilnost u izloženosti dasatinibu prvenstveno posljedica varijabilnosti u bioraspoloživosti u pojedinim vremenskim tačkama (44%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i u manjoj mjeri posljedica interindividualne varijabilnosti u bioraspoloživosti i interindividualne varijabilnosti u klirensu (30% odnosno 32%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Ne očekuje se da će ta nasumična varijabilnost u izloženosti u pojedinim vremenskim tačkama uticati na </w:t>
      </w:r>
      <w:r>
        <w:rPr>
          <w:rFonts w:ascii="Microsoft Sans Serif" w:hAnsi="Microsoft Sans Serif" w:cs="Microsoft Sans Serif"/>
          <w:bCs/>
          <w:sz w:val="20"/>
          <w:szCs w:val="20"/>
          <w:lang w:val="hr-BA"/>
        </w:rPr>
        <w:t xml:space="preserve">kumulativnu </w:t>
      </w:r>
      <w:r>
        <w:rPr>
          <w:rFonts w:ascii="Microsoft Sans Serif" w:hAnsi="Microsoft Sans Serif" w:cs="Microsoft Sans Serif"/>
          <w:bCs/>
          <w:sz w:val="20"/>
          <w:szCs w:val="20"/>
          <w:lang w:val="sr-Cyrl-RS"/>
        </w:rPr>
        <w:t>izloženost i efikasnost ili bezbjednost.</w:t>
      </w:r>
    </w:p>
    <w:p w14:paraId="493F4228">
      <w:pPr>
        <w:rPr>
          <w:rFonts w:ascii="Microsoft Sans Serif" w:hAnsi="Microsoft Sans Serif" w:cs="Microsoft Sans Serif"/>
          <w:bCs/>
          <w:sz w:val="20"/>
          <w:szCs w:val="20"/>
          <w:u w:val="single"/>
          <w:lang w:val="sr-Cyrl-RS"/>
        </w:rPr>
      </w:pPr>
    </w:p>
    <w:p w14:paraId="43DBBCE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Distribucija</w:t>
      </w:r>
    </w:p>
    <w:p w14:paraId="5FE9B9E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kod pacijenata ima veliki prividni volumen distribucije (2505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i koeficijent varijacije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93%), što ukazuje na to da se lijek široko distribuira u ekstravaskularnom prostoru. Na osnovu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ispitivanja, vezivanje dasatiniba za proteine plazme pri klinički značajnim koncentracijama iznosilo je oko 96%.</w:t>
      </w:r>
    </w:p>
    <w:p w14:paraId="248E0600">
      <w:pPr>
        <w:rPr>
          <w:rFonts w:ascii="Microsoft Sans Serif" w:hAnsi="Microsoft Sans Serif" w:cs="Microsoft Sans Serif"/>
          <w:bCs/>
          <w:sz w:val="20"/>
          <w:szCs w:val="20"/>
          <w:lang w:val="sr-Cyrl-RS"/>
        </w:rPr>
      </w:pPr>
    </w:p>
    <w:p w14:paraId="7788E61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Biotransformacija</w:t>
      </w:r>
    </w:p>
    <w:p w14:paraId="505A7F3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lang w:val="sr-Cyrl-RS"/>
        </w:rPr>
        <w:t>Dasatinib se kod lјudi obimno metaboliše, uz pomoć mnogih enzima uklјučenih u stvaranje njegovih metabolita. Kod zdravih ispitanika koji su primili 100 mg dasatiniba obilježenog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 nepromenjen dasatinib činio je 29% cirkulišuće radioaktivnosti u plazmi. Koncentracija u plazmi i aktivnost izmjerena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pokazuju da metaboliti dasatiniba najverovatnije ne igraju veliku ulogu u posmatranoj farmakologiji lijeka.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r-Cyrl-RS"/>
        </w:rPr>
        <w:t>3A4 je glavni enzim za metabolizam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dasatiniba.</w:t>
      </w:r>
    </w:p>
    <w:p w14:paraId="3ACF969B">
      <w:pPr>
        <w:rPr>
          <w:rFonts w:ascii="Microsoft Sans Serif" w:hAnsi="Microsoft Sans Serif" w:cs="Microsoft Sans Serif"/>
          <w:bCs/>
          <w:sz w:val="20"/>
          <w:szCs w:val="20"/>
          <w:u w:val="single"/>
          <w:lang w:val="sr-Cyrl-RS"/>
        </w:rPr>
      </w:pPr>
    </w:p>
    <w:p w14:paraId="48D19D8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Eliminacija</w:t>
      </w:r>
    </w:p>
    <w:p w14:paraId="2C9579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Srednja vrijednost terminalnog poluvremena eliminacije dasatiniba je od 3 sata do 5 sati. Srednja vrijednost prividnog klirensa poslije oralne primjene iznosi 363,8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/hr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81,3%).</w:t>
      </w:r>
    </w:p>
    <w:p w14:paraId="0C024279">
      <w:pPr>
        <w:rPr>
          <w:rFonts w:ascii="Microsoft Sans Serif" w:hAnsi="Microsoft Sans Serif" w:cs="Microsoft Sans Serif"/>
          <w:bCs/>
          <w:sz w:val="20"/>
          <w:szCs w:val="20"/>
          <w:lang w:val="sr-Cyrl-RS"/>
        </w:rPr>
      </w:pPr>
    </w:p>
    <w:p w14:paraId="2F14652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Eliminacija se odvija pretežno putem fecesa, uglavnom u obliku metabolita. Nakon oralne primjene pojedinačne doze dasatiniba obilježenog sa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oko 89% doze eliminisalo se u roku od 10 dana, s tim da je 4% radioaktivnosti bilo otkriveno u urinu, a 85% u fecesu.</w:t>
      </w:r>
    </w:p>
    <w:p w14:paraId="273FE3F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Nepromenjen dasatinib činio je 0,1% doze u urinu i 19% doze u fecesu, dok su ostatak doze činili metaboliti.</w:t>
      </w:r>
    </w:p>
    <w:p w14:paraId="5919456F">
      <w:pPr>
        <w:rPr>
          <w:rFonts w:ascii="Microsoft Sans Serif" w:hAnsi="Microsoft Sans Serif" w:cs="Microsoft Sans Serif"/>
          <w:bCs/>
          <w:sz w:val="20"/>
          <w:szCs w:val="20"/>
          <w:lang w:val="sr-Cyrl-RS"/>
        </w:rPr>
      </w:pPr>
    </w:p>
    <w:p w14:paraId="6D862F9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jetre i bubrega</w:t>
      </w:r>
    </w:p>
    <w:p w14:paraId="3F0A7F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Uticaj oštećenja funkcije jetre na farmakokinetiku pojedinačne doze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enjivan je kod 8 ispitanika sa umjerenim oštećenjem funkcije jetre koji su primali dozu od 50 mg i 5 pacijenata sa teškim oštećenjem funkcije jetre koji su primali dozu od 20 mg u odnosu na odgovarajuće zdrave ispitanike koji su primali dozu od 70 mg dasatiniba.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 PIK-a dasatiniba prilagođene za dozu od 70 mg bile su smanjene za 47% kod pacijenata sa umjerenim oštećenjem </w:t>
      </w:r>
      <w:r>
        <w:rPr>
          <w:rFonts w:ascii="Microsoft Sans Serif" w:hAnsi="Microsoft Sans Serif" w:cs="Microsoft Sans Serif"/>
          <w:bCs/>
          <w:sz w:val="20"/>
          <w:szCs w:val="20"/>
          <w:lang w:val="hr-BA"/>
        </w:rPr>
        <w:t xml:space="preserve">funkcije </w:t>
      </w:r>
      <w:r>
        <w:rPr>
          <w:rFonts w:ascii="Microsoft Sans Serif" w:hAnsi="Microsoft Sans Serif" w:cs="Microsoft Sans Serif"/>
          <w:bCs/>
          <w:sz w:val="20"/>
          <w:szCs w:val="20"/>
          <w:lang w:val="sr-Cyrl-RS"/>
        </w:rPr>
        <w:t xml:space="preserve">jetre u odnosu na 8% kod pacijenata sa normalnom funkcijom jetre. Kod pacijenata sa teškim oštećenjem jetre,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 PIK-a prilagođene dozi od 70 mg bile su smanjene za 43% u odnosu na 28% kod pacijenata sa normalnom funkcijom jetre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dijelove</w:t>
      </w:r>
      <w:r>
        <w:rPr>
          <w:rFonts w:ascii="Microsoft Sans Serif" w:hAnsi="Microsoft Sans Serif" w:cs="Microsoft Sans Serif"/>
          <w:bCs/>
          <w:sz w:val="20"/>
          <w:szCs w:val="20"/>
          <w:lang w:val="sr-Cyrl-RS"/>
        </w:rPr>
        <w:t xml:space="preserve"> 4.2. i 4.4.).</w:t>
      </w:r>
    </w:p>
    <w:p w14:paraId="55993D10">
      <w:pPr>
        <w:rPr>
          <w:rFonts w:ascii="Microsoft Sans Serif" w:hAnsi="Microsoft Sans Serif" w:cs="Microsoft Sans Serif"/>
          <w:bCs/>
          <w:sz w:val="20"/>
          <w:szCs w:val="20"/>
          <w:lang w:val="sr-Cyrl-RS"/>
        </w:rPr>
      </w:pPr>
    </w:p>
    <w:p w14:paraId="10D67DD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i njegovi metaboliti minimalno se izlučuju putem bubrega.</w:t>
      </w:r>
    </w:p>
    <w:p w14:paraId="00212DF5">
      <w:pPr>
        <w:rPr>
          <w:rFonts w:ascii="Microsoft Sans Serif" w:hAnsi="Microsoft Sans Serif" w:cs="Microsoft Sans Serif"/>
          <w:bCs/>
          <w:sz w:val="20"/>
          <w:szCs w:val="20"/>
          <w:lang w:val="sr-Cyrl-RS"/>
        </w:rPr>
      </w:pPr>
    </w:p>
    <w:p w14:paraId="4AA6A4C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760BCC7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 je kod 104 pedijatrijska pacijenta sa leukemijom ili solidnim tumorima (72 koja su primala lijek u obliku tablete, a 32 u obliku praška za oralnu suspenziju).</w:t>
      </w:r>
    </w:p>
    <w:p w14:paraId="57187480">
      <w:pPr>
        <w:rPr>
          <w:rFonts w:ascii="Microsoft Sans Serif" w:hAnsi="Microsoft Sans Serif" w:cs="Microsoft Sans Serif"/>
          <w:bCs/>
          <w:sz w:val="20"/>
          <w:szCs w:val="20"/>
          <w:lang w:val="sr-Cyrl-RS"/>
        </w:rPr>
      </w:pPr>
    </w:p>
    <w:p w14:paraId="3DAEF1B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ispitivanju farmakokinetike kod pedijatrijskih pacijenata izloženost dasatinibu normalizovana za dozu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avg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min</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izgleda da je slična kod 21 pacijenta sa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u hroničnoj fazi i 16 pacijenta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641751D2">
      <w:pPr>
        <w:rPr>
          <w:rFonts w:ascii="Microsoft Sans Serif" w:hAnsi="Microsoft Sans Serif" w:cs="Microsoft Sans Serif"/>
          <w:bCs/>
          <w:sz w:val="20"/>
          <w:szCs w:val="20"/>
          <w:lang w:val="sr-Cyrl-RS"/>
        </w:rPr>
      </w:pPr>
    </w:p>
    <w:p w14:paraId="03EC595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u obliku tablete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enjivana je kod 72 pedijatrijska pacijenta sa relapsnom ili refraktornom leukemijom ili solidnim tumorima u oralnim dozama u rasponu od 60 do 120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jednom dnevno i dozama od 50 do 110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dva puta dnevno. Podaci su objedinjeni iz dva ispitivanja, a pokazali su da se dasatinib brzo resorbuje. Srednja vrijednost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vertAlign w:val="subscript"/>
          <w:lang w:val="sr-Cyrl-RS"/>
        </w:rPr>
        <w:t xml:space="preserve"> </w:t>
      </w:r>
      <w:r>
        <w:rPr>
          <w:rFonts w:ascii="Microsoft Sans Serif" w:hAnsi="Microsoft Sans Serif" w:cs="Microsoft Sans Serif"/>
          <w:bCs/>
          <w:sz w:val="20"/>
          <w:szCs w:val="20"/>
          <w:lang w:val="sr-Cyrl-RS"/>
        </w:rPr>
        <w:t xml:space="preserve">primjećena je između 0,5 i 6 sati poslije primjene, a srednja vrijednost poluvremena eliminacije kretala se od 2 do 5 sati kod svih doza i u svim starosnim grupama. Farmakokinetika dasatiniba pokazala je proporcionalnost dozi, a kod pedijatrijskih je pacijenata uočeno povećanje izloženosti povezano sa dozom. Nije bilo značajne razlike u farmakokinetici dasatiniba između djece i adolescenata. Geometrijske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PIK</w:t>
      </w:r>
      <w:r>
        <w:rPr>
          <w:rFonts w:ascii="Microsoft Sans Serif" w:hAnsi="Microsoft Sans Serif" w:cs="Microsoft Sans Serif"/>
          <w:bCs/>
          <w:sz w:val="20"/>
          <w:szCs w:val="20"/>
          <w:vertAlign w:val="subscript"/>
          <w:lang w:val="sr-Cyrl-RS"/>
        </w:rPr>
        <w:t xml:space="preserve">(0-T) </w:t>
      </w:r>
      <w:r>
        <w:rPr>
          <w:rFonts w:ascii="Microsoft Sans Serif" w:hAnsi="Microsoft Sans Serif" w:cs="Microsoft Sans Serif"/>
          <w:bCs/>
          <w:sz w:val="20"/>
          <w:szCs w:val="20"/>
          <w:lang w:val="sr-Cyrl-RS"/>
        </w:rPr>
        <w:t>i PIK</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lang w:val="sr-Cyrl-RS"/>
        </w:rPr>
        <w:t xml:space="preserve"> dasatiniba normalizovane za dozu bile su slične kod djece i adolescenata pri različitim dozama. Prema simulaciji zasnovanoj na populacijskom farmakokinetičkom modelu, očekuje se da će preporučeno doziranje tableta prema kategorijama tjelesne mase navedeno u </w:t>
      </w:r>
      <w:r>
        <w:rPr>
          <w:rFonts w:ascii="Microsoft Sans Serif" w:hAnsi="Microsoft Sans Serif" w:cs="Microsoft Sans Serif"/>
          <w:bCs/>
          <w:sz w:val="20"/>
          <w:szCs w:val="20"/>
          <w:lang w:val="hr-BA"/>
        </w:rPr>
        <w:t>dio</w:t>
      </w:r>
      <w:r>
        <w:rPr>
          <w:rFonts w:ascii="Microsoft Sans Serif" w:hAnsi="Microsoft Sans Serif" w:cs="Microsoft Sans Serif"/>
          <w:bCs/>
          <w:sz w:val="20"/>
          <w:szCs w:val="20"/>
          <w:lang w:val="sr-Cyrl-RS"/>
        </w:rPr>
        <w:t xml:space="preserve"> 4.2 dovesti do slične izloženosti kao tablete u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Te podatke treba uzeti u obzir ako </w:t>
      </w:r>
      <w:r>
        <w:rPr>
          <w:rFonts w:ascii="Microsoft Sans Serif" w:hAnsi="Microsoft Sans Serif" w:cs="Microsoft Sans Serif"/>
          <w:bCs/>
          <w:sz w:val="20"/>
          <w:szCs w:val="20"/>
          <w:lang w:val="sr-Latn-RS"/>
        </w:rPr>
        <w:t>pacijente</w:t>
      </w:r>
      <w:r>
        <w:rPr>
          <w:rFonts w:ascii="Microsoft Sans Serif" w:hAnsi="Microsoft Sans Serif" w:cs="Microsoft Sans Serif"/>
          <w:bCs/>
          <w:sz w:val="20"/>
          <w:szCs w:val="20"/>
          <w:lang w:val="sr-Cyrl-RS"/>
        </w:rPr>
        <w:t xml:space="preserve"> treba prebaciti sa tableta na prašak za oralnu suspenziju ili obrnuto.</w:t>
      </w:r>
    </w:p>
    <w:p w14:paraId="1D2CBEF1">
      <w:pPr>
        <w:rPr>
          <w:rFonts w:ascii="Microsoft Sans Serif" w:hAnsi="Microsoft Sans Serif" w:cs="Microsoft Sans Serif"/>
          <w:bCs/>
          <w:sz w:val="20"/>
          <w:szCs w:val="20"/>
          <w:lang w:val="sr-Cyrl-RS"/>
        </w:rPr>
      </w:pPr>
    </w:p>
    <w:p w14:paraId="3608476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ru-RU"/>
        </w:rPr>
        <w:t>Pretklini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bezbjednosti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primjene</w:t>
      </w:r>
    </w:p>
    <w:p w14:paraId="76A8FE7B">
      <w:pPr>
        <w:rPr>
          <w:rFonts w:ascii="Microsoft Sans Serif" w:hAnsi="Microsoft Sans Serif" w:cs="Microsoft Sans Serif"/>
          <w:b/>
          <w:bCs/>
          <w:sz w:val="20"/>
          <w:szCs w:val="20"/>
          <w:lang w:val="sr-Cyrl-RS"/>
        </w:rPr>
      </w:pPr>
    </w:p>
    <w:p w14:paraId="4C37A5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sigurnosni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dasatiniba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nizu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evima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pacovima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majmunima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zečevima.</w:t>
      </w:r>
    </w:p>
    <w:p w14:paraId="26D41224">
      <w:pPr>
        <w:rPr>
          <w:rFonts w:ascii="Microsoft Sans Serif" w:hAnsi="Microsoft Sans Serif" w:cs="Microsoft Sans Serif"/>
          <w:bCs/>
          <w:sz w:val="20"/>
          <w:szCs w:val="20"/>
          <w:lang w:val="sr-Cyrl-RS"/>
        </w:rPr>
      </w:pPr>
    </w:p>
    <w:p w14:paraId="3D682BA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Primarni toksični efekti su se pojavili u gastrointenstinalnom, hematopoetskom i limfnom sistemu. Toksični efekti u gastrointestinalnom traktu ograničavaju dozu kod pacova i majmuna, pošto </w:t>
      </w:r>
      <w:r>
        <w:rPr>
          <w:rFonts w:ascii="Microsoft Sans Serif" w:hAnsi="Microsoft Sans Serif" w:cs="Microsoft Sans Serif"/>
          <w:bCs/>
          <w:sz w:val="20"/>
          <w:szCs w:val="20"/>
          <w:lang w:val="hr-BA"/>
        </w:rPr>
        <w:t>su</w:t>
      </w:r>
      <w:r>
        <w:rPr>
          <w:rFonts w:ascii="Microsoft Sans Serif" w:hAnsi="Microsoft Sans Serif" w:cs="Microsoft Sans Serif"/>
          <w:bCs/>
          <w:sz w:val="20"/>
          <w:szCs w:val="20"/>
          <w:lang w:val="sv-SE"/>
        </w:rPr>
        <w:t xml:space="preserve">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ev</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redovno</w:t>
      </w:r>
      <w:r>
        <w:rPr>
          <w:rFonts w:ascii="Microsoft Sans Serif" w:hAnsi="Microsoft Sans Serif" w:cs="Microsoft Sans Serif"/>
          <w:bCs/>
          <w:sz w:val="20"/>
          <w:szCs w:val="20"/>
          <w:lang w:val="hr-BA"/>
        </w:rPr>
        <w:t xml:space="preserve"> bili</w:t>
      </w:r>
      <w:r>
        <w:rPr>
          <w:rFonts w:ascii="Microsoft Sans Serif" w:hAnsi="Microsoft Sans Serif" w:cs="Microsoft Sans Serif"/>
          <w:bCs/>
          <w:sz w:val="20"/>
          <w:szCs w:val="20"/>
          <w:lang w:val="sv-SE"/>
        </w:rPr>
        <w:t xml:space="preserve">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ni organ. Kod pacova su minimalna do umjerena smanjenja parametara eritrocita bila praćena promjenama u koštanoj srži; slične promjene desile su se i kod majmuna, ali sa manjom učestalošću. Limfoidna toksičnost kod pacova sastojala se od limfoidne deplecije u limfnim čvorovima, slezini i timusu, i smanjene težine limfnih organa. Promjene u gastrointestinalnom, hematopoetskom i limfnom sistemu bile su reverzibilne i povukle su se nakon prestanka liječenja.</w:t>
      </w:r>
    </w:p>
    <w:p w14:paraId="605F058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Bubrežne promjene kod majmuna liječenih do 9 mjeseci bile su ograničene na povećanje pozadinske</w:t>
      </w:r>
    </w:p>
    <w:p w14:paraId="74FF191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mineralizacije u bubrezima. Primjećena su krvarenja kože u akutnom ispitivanju pojedinačne oralne doze kod majmuna, ali nisu primjećena u ispitivanjima ponovl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ene doze ni kod majmuna ni kod pacova. Kod pacova je dasatinib inhibirao agregaciju trombocita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 produ</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sv-SE"/>
        </w:rPr>
        <w:t xml:space="preserve">io vrijeme krvarenje iz kutikule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ali nije izazivao spontana krvarenja.</w:t>
      </w:r>
    </w:p>
    <w:p w14:paraId="7972FCAB">
      <w:pPr>
        <w:rPr>
          <w:rFonts w:ascii="Microsoft Sans Serif" w:hAnsi="Microsoft Sans Serif" w:cs="Microsoft Sans Serif"/>
          <w:bCs/>
          <w:sz w:val="20"/>
          <w:szCs w:val="20"/>
          <w:lang w:val="sv-SE"/>
        </w:rPr>
      </w:pPr>
    </w:p>
    <w:p w14:paraId="7310B5D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Dejstvo dasatiniba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na h</w:t>
      </w:r>
      <w:r>
        <w:rPr>
          <w:rFonts w:ascii="Microsoft Sans Serif" w:hAnsi="Microsoft Sans Serif" w:cs="Microsoft Sans Serif"/>
          <w:bCs/>
          <w:sz w:val="20"/>
          <w:szCs w:val="20"/>
          <w:lang w:val="sr-Latn-RS"/>
        </w:rPr>
        <w:t>ERG</w:t>
      </w:r>
      <w:r>
        <w:rPr>
          <w:rFonts w:ascii="Microsoft Sans Serif" w:hAnsi="Microsoft Sans Serif" w:cs="Microsoft Sans Serif"/>
          <w:bCs/>
          <w:sz w:val="20"/>
          <w:szCs w:val="20"/>
          <w:lang w:val="sv-SE"/>
        </w:rPr>
        <w:t xml:space="preserve"> i Purkinjeova vlakna pokazuje da dasatinib ima potencijal produženja faze repolarizacije srčanih </w:t>
      </w:r>
      <w:r>
        <w:rPr>
          <w:rFonts w:ascii="Microsoft Sans Serif" w:hAnsi="Microsoft Sans Serif" w:cs="Microsoft Sans Serif"/>
          <w:bCs/>
          <w:sz w:val="20"/>
          <w:szCs w:val="20"/>
          <w:lang w:val="sr-Cyrl-RS"/>
        </w:rPr>
        <w:t>komora</w:t>
      </w:r>
      <w:r>
        <w:rPr>
          <w:rFonts w:ascii="Microsoft Sans Serif" w:hAnsi="Microsoft Sans Serif" w:cs="Microsoft Sans Serif"/>
          <w:bCs/>
          <w:sz w:val="20"/>
          <w:szCs w:val="20"/>
          <w:lang w:val="sv-SE"/>
        </w:rPr>
        <w:t xml:space="preserve"> (QT interval). Međutim,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v-SE"/>
        </w:rPr>
        <w:t xml:space="preserve"> telemetrijskom ispitivanju pojedinačne doze budnih majmuna nije bilo promjena u QT intervalu ili obliku E</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sv-SE"/>
        </w:rPr>
        <w:t xml:space="preserve"> talasa.</w:t>
      </w:r>
    </w:p>
    <w:p w14:paraId="206D62E4">
      <w:pPr>
        <w:rPr>
          <w:rFonts w:ascii="Microsoft Sans Serif" w:hAnsi="Microsoft Sans Serif" w:cs="Microsoft Sans Serif"/>
          <w:bCs/>
          <w:sz w:val="20"/>
          <w:szCs w:val="20"/>
          <w:lang w:val="sv-SE"/>
        </w:rPr>
      </w:pPr>
    </w:p>
    <w:p w14:paraId="631CD79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Dasatinib nije pokazao mutageno djelovanje na bakterijske kulture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(Amesov test) niti je</w:t>
      </w:r>
    </w:p>
    <w:p w14:paraId="40D15BF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imao genotoksične efekte u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sprovedenom mikronukleusnom testu kod pacova. Dasatinib je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imao klastogeno djelovanje na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ćelija jajnika kineskog hrčka (</w:t>
      </w:r>
      <w:r>
        <w:rPr>
          <w:rFonts w:ascii="Microsoft Sans Serif" w:hAnsi="Microsoft Sans Serif" w:cs="Microsoft Sans Serif"/>
          <w:bCs/>
          <w:sz w:val="20"/>
          <w:szCs w:val="20"/>
          <w:lang w:val="sr-Latn-RS"/>
        </w:rPr>
        <w:t>CHO</w:t>
      </w:r>
      <w:r>
        <w:rPr>
          <w:rFonts w:ascii="Microsoft Sans Serif" w:hAnsi="Microsoft Sans Serif" w:cs="Microsoft Sans Serif"/>
          <w:bCs/>
          <w:sz w:val="20"/>
          <w:szCs w:val="20"/>
          <w:lang w:val="sv-SE"/>
        </w:rPr>
        <w:t xml:space="preserve"> ćelije).</w:t>
      </w:r>
    </w:p>
    <w:p w14:paraId="27CCCCE1">
      <w:pPr>
        <w:rPr>
          <w:rFonts w:ascii="Microsoft Sans Serif" w:hAnsi="Microsoft Sans Serif" w:cs="Microsoft Sans Serif"/>
          <w:bCs/>
          <w:sz w:val="20"/>
          <w:szCs w:val="20"/>
          <w:lang w:val="sv-SE"/>
        </w:rPr>
      </w:pPr>
    </w:p>
    <w:p w14:paraId="3AC240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Dasatinib nije uticao na plodnost mužjaka i ženki pacova u konvencionalnom ispitivanju</w:t>
      </w:r>
    </w:p>
    <w:p w14:paraId="6AD8F30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plodnosti niti na rani embrionalni razvoj kod pacova, ali je izazvao embrioletalne efekte pri dozama sličnim kliničkim dozama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udi. U ispitivanjima embriofetalnog razvoja, dasatinib je imao embrioletalne efekte sa poslijedičnim smanjenjem veličine legla kod pacova i izazvao promjene u fetalnom skeletu kako pacova, tako i zečeva. Ti su se efekti javili pri dozama koje nisu imale toksične efekte na majku, što znači da dasatinib ima selektivne toksične efekte na reprodukciju od faze implantacije do završetka organogeneze.</w:t>
      </w:r>
    </w:p>
    <w:p w14:paraId="4A7B636D">
      <w:pPr>
        <w:rPr>
          <w:rFonts w:ascii="Microsoft Sans Serif" w:hAnsi="Microsoft Sans Serif" w:cs="Microsoft Sans Serif"/>
          <w:bCs/>
          <w:sz w:val="20"/>
          <w:szCs w:val="20"/>
          <w:lang w:val="sv-SE"/>
        </w:rPr>
      </w:pPr>
    </w:p>
    <w:p w14:paraId="303E9A9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miševa je dasatinib izazivao imunosupresiju, koja je zavisila od doze i efikasno se r</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ešavala smanjenjem doze i/ili promjenama u rasporedu doziranja. Dasatinib je imao fototoksični potencijal u jednom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ispitivanju na mišjim fibroblastima pomoću testa preuzimanja neutralne crvene boje (engl. </w:t>
      </w:r>
      <w:r>
        <w:rPr>
          <w:rFonts w:ascii="Microsoft Sans Serif" w:hAnsi="Microsoft Sans Serif" w:cs="Microsoft Sans Serif"/>
          <w:bCs/>
          <w:i/>
          <w:sz w:val="20"/>
          <w:szCs w:val="20"/>
          <w:lang w:val="sv-SE"/>
        </w:rPr>
        <w:t xml:space="preserve">neutral </w:t>
      </w:r>
      <w:r>
        <w:rPr>
          <w:rFonts w:ascii="Microsoft Sans Serif" w:hAnsi="Microsoft Sans Serif" w:cs="Microsoft Sans Serif"/>
          <w:bCs/>
          <w:i/>
          <w:sz w:val="20"/>
          <w:szCs w:val="20"/>
          <w:lang w:val="sr-Latn-RS"/>
        </w:rPr>
        <w:t>red uptake</w:t>
      </w:r>
      <w:r>
        <w:rPr>
          <w:rFonts w:ascii="Microsoft Sans Serif" w:hAnsi="Microsoft Sans Serif" w:cs="Microsoft Sans Serif"/>
          <w:bCs/>
          <w:sz w:val="20"/>
          <w:szCs w:val="20"/>
          <w:lang w:val="sv-SE"/>
        </w:rPr>
        <w:t xml:space="preserve">). Dasatinib se nije smatrao fototoksičnim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poslije oralne primjene pojedinačne doze kod ženki bezdlakog miša, pri čemu je njihova izloženost bila trostruko veća od izloženosti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poslije primjene preporučene terapijske doze (zasnovane na </w:t>
      </w:r>
      <w:r>
        <w:rPr>
          <w:rFonts w:ascii="Microsoft Sans Serif" w:hAnsi="Microsoft Sans Serif" w:cs="Microsoft Sans Serif"/>
          <w:bCs/>
          <w:sz w:val="20"/>
          <w:szCs w:val="20"/>
          <w:lang w:val="sr-Cyrl-RS"/>
        </w:rPr>
        <w:t>PIK vrijednosti</w:t>
      </w:r>
      <w:r>
        <w:rPr>
          <w:rFonts w:ascii="Microsoft Sans Serif" w:hAnsi="Microsoft Sans Serif" w:cs="Microsoft Sans Serif"/>
          <w:bCs/>
          <w:sz w:val="20"/>
          <w:szCs w:val="20"/>
          <w:lang w:val="sv-SE"/>
        </w:rPr>
        <w:t>).</w:t>
      </w:r>
    </w:p>
    <w:p w14:paraId="48B695FA">
      <w:pPr>
        <w:rPr>
          <w:rFonts w:ascii="Microsoft Sans Serif" w:hAnsi="Microsoft Sans Serif" w:cs="Microsoft Sans Serif"/>
          <w:bCs/>
          <w:sz w:val="20"/>
          <w:szCs w:val="20"/>
          <w:lang w:val="sv-SE"/>
        </w:rPr>
      </w:pPr>
    </w:p>
    <w:p w14:paraId="2ABF411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dvogodišnjem ispitivanju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sv-SE"/>
        </w:rPr>
        <w:t xml:space="preserve">ogenosti, </w:t>
      </w:r>
      <w:r>
        <w:rPr>
          <w:rFonts w:ascii="Microsoft Sans Serif" w:hAnsi="Microsoft Sans Serif" w:cs="Microsoft Sans Serif"/>
          <w:bCs/>
          <w:sz w:val="20"/>
          <w:szCs w:val="20"/>
          <w:lang w:val="sr-Cyrl-RS"/>
        </w:rPr>
        <w:t>pacovi</w:t>
      </w:r>
      <w:r>
        <w:rPr>
          <w:rFonts w:ascii="Microsoft Sans Serif" w:hAnsi="Microsoft Sans Serif" w:cs="Microsoft Sans Serif"/>
          <w:bCs/>
          <w:sz w:val="20"/>
          <w:szCs w:val="20"/>
          <w:lang w:val="sv-SE"/>
        </w:rPr>
        <w:t xml:space="preserve"> su dobijali oralne doze dasatiniba od 0,3; 1 i 3 mg/kg dnevno. Pri najvišoj dozi </w:t>
      </w:r>
      <w:r>
        <w:rPr>
          <w:rFonts w:ascii="Microsoft Sans Serif" w:hAnsi="Microsoft Sans Serif" w:cs="Microsoft Sans Serif"/>
          <w:bCs/>
          <w:sz w:val="20"/>
          <w:szCs w:val="20"/>
          <w:lang w:val="sr-Cyrl-RS"/>
        </w:rPr>
        <w:t>nivo</w:t>
      </w:r>
      <w:r>
        <w:rPr>
          <w:rFonts w:ascii="Microsoft Sans Serif" w:hAnsi="Microsoft Sans Serif" w:cs="Microsoft Sans Serif"/>
          <w:bCs/>
          <w:sz w:val="20"/>
          <w:szCs w:val="20"/>
          <w:lang w:val="sv-SE"/>
        </w:rPr>
        <w:t xml:space="preserve"> izloženosti lijeku u plazmi (</w:t>
      </w:r>
      <w:r>
        <w:rPr>
          <w:rFonts w:ascii="Microsoft Sans Serif" w:hAnsi="Microsoft Sans Serif" w:cs="Microsoft Sans Serif"/>
          <w:bCs/>
          <w:sz w:val="20"/>
          <w:szCs w:val="20"/>
          <w:lang w:val="sr-Cyrl-RS"/>
        </w:rPr>
        <w:t>PIK</w:t>
      </w:r>
      <w:r>
        <w:rPr>
          <w:rFonts w:ascii="Microsoft Sans Serif" w:hAnsi="Microsoft Sans Serif" w:cs="Microsoft Sans Serif"/>
          <w:bCs/>
          <w:sz w:val="20"/>
          <w:szCs w:val="20"/>
          <w:lang w:val="sv-SE"/>
        </w:rPr>
        <w:t>) generalno je odgovarao izloženosti ljudi pri preporučenom rasponu početne doze od 100 mg do 140 mg.</w:t>
      </w:r>
    </w:p>
    <w:p w14:paraId="3C97ADF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Primjećeno je statistički značajno povećanje kombinovane incidence karcinoma pločastih ćelija i papiloma materice i cerviksa ženki koje su dobijale velike doze i adenoma prostate mužjaka koji su primali male doze. Važnost ovih nalaza dobijenih u ispitivanjima kancerogenosti na pacovima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ude nije poznata.</w:t>
      </w:r>
    </w:p>
    <w:p w14:paraId="4733C002">
      <w:pPr>
        <w:rPr>
          <w:rFonts w:ascii="Microsoft Sans Serif" w:hAnsi="Microsoft Sans Serif" w:cs="Microsoft Sans Serif"/>
          <w:bCs/>
          <w:sz w:val="20"/>
          <w:szCs w:val="20"/>
          <w:lang w:val="sv-SE"/>
        </w:rPr>
      </w:pPr>
    </w:p>
    <w:p w14:paraId="4AF9B4C6">
      <w:pPr>
        <w:rPr>
          <w:rFonts w:ascii="Microsoft Sans Serif" w:hAnsi="Microsoft Sans Serif" w:cs="Microsoft Sans Serif"/>
          <w:bCs/>
          <w:sz w:val="20"/>
          <w:szCs w:val="20"/>
          <w:lang w:val="sv-SE"/>
        </w:rPr>
      </w:pPr>
    </w:p>
    <w:p w14:paraId="579DFD0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69679240">
      <w:pPr>
        <w:rPr>
          <w:rFonts w:ascii="Microsoft Sans Serif" w:hAnsi="Microsoft Sans Serif" w:cs="Microsoft Sans Serif"/>
          <w:b/>
          <w:sz w:val="20"/>
          <w:szCs w:val="20"/>
          <w:lang w:val="sv-SE"/>
        </w:rPr>
      </w:pPr>
    </w:p>
    <w:p w14:paraId="63000EE4">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6.1. Spisak pomoćnih supstanci</w:t>
      </w:r>
    </w:p>
    <w:p w14:paraId="14482084">
      <w:pPr>
        <w:rPr>
          <w:rFonts w:ascii="Microsoft Sans Serif" w:hAnsi="Microsoft Sans Serif" w:cs="Microsoft Sans Serif"/>
          <w:sz w:val="20"/>
          <w:szCs w:val="20"/>
          <w:lang w:val="sv-SE"/>
        </w:rPr>
      </w:pPr>
    </w:p>
    <w:p w14:paraId="2E1419B5">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542AFF9B">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monohidrat</w:t>
      </w:r>
      <w:r>
        <w:rPr>
          <w:rFonts w:ascii="Microsoft Sans Serif" w:hAnsi="Microsoft Sans Serif" w:cs="Microsoft Sans Serif"/>
          <w:sz w:val="20"/>
          <w:szCs w:val="20"/>
          <w:lang w:val="sv-SE"/>
        </w:rPr>
        <w:t xml:space="preserve"> </w:t>
      </w:r>
    </w:p>
    <w:p w14:paraId="109CC8C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 mikrokristalna</w:t>
      </w:r>
      <w:r>
        <w:rPr>
          <w:rFonts w:ascii="Microsoft Sans Serif" w:hAnsi="Microsoft Sans Serif" w:cs="Microsoft Sans Serif"/>
          <w:sz w:val="20"/>
          <w:szCs w:val="20"/>
          <w:lang w:val="sv-SE"/>
        </w:rPr>
        <w:t xml:space="preserve"> (101 </w:t>
      </w:r>
      <w:r>
        <w:rPr>
          <w:rFonts w:ascii="Microsoft Sans Serif" w:hAnsi="Microsoft Sans Serif" w:cs="Microsoft Sans Serif"/>
          <w:sz w:val="20"/>
          <w:szCs w:val="20"/>
          <w:lang w:val="mk-MK"/>
        </w:rPr>
        <w:t>i 102)</w:t>
      </w:r>
    </w:p>
    <w:p w14:paraId="69CE80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32149C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5BB21E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ABA2F42">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Film obloga tablete</w:t>
      </w:r>
    </w:p>
    <w:p w14:paraId="23B3A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3E9EF5D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73490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53762FD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Triacetin</w:t>
      </w:r>
    </w:p>
    <w:p w14:paraId="1A5BBF82">
      <w:pPr>
        <w:rPr>
          <w:rFonts w:ascii="Microsoft Sans Serif" w:hAnsi="Microsoft Sans Serif" w:cs="Microsoft Sans Serif"/>
          <w:sz w:val="20"/>
          <w:szCs w:val="20"/>
          <w:lang w:val="sr-Latn-RS"/>
        </w:rPr>
      </w:pPr>
    </w:p>
    <w:p w14:paraId="2120EDB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74CB4A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24BBAB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4EA20FB9">
      <w:pPr>
        <w:rPr>
          <w:rFonts w:ascii="Microsoft Sans Serif" w:hAnsi="Microsoft Sans Serif" w:cs="Microsoft Sans Serif"/>
          <w:sz w:val="20"/>
          <w:szCs w:val="20"/>
          <w:lang w:val="sr-Cyrl-RS"/>
        </w:rPr>
      </w:pPr>
    </w:p>
    <w:p w14:paraId="3A41FF27">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0E657EF">
      <w:pPr>
        <w:rPr>
          <w:rFonts w:ascii="Microsoft Sans Serif" w:hAnsi="Microsoft Sans Serif" w:cs="Microsoft Sans Serif"/>
          <w:bCs/>
          <w:sz w:val="20"/>
          <w:szCs w:val="20"/>
          <w:lang w:val="sr-Cyrl-RS"/>
        </w:rPr>
      </w:pPr>
    </w:p>
    <w:p w14:paraId="6FC81A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6AA7E72D">
      <w:pPr>
        <w:rPr>
          <w:rFonts w:ascii="Microsoft Sans Serif" w:hAnsi="Microsoft Sans Serif" w:cs="Microsoft Sans Serif"/>
          <w:bCs/>
          <w:sz w:val="20"/>
          <w:szCs w:val="20"/>
          <w:lang w:val="sr-Cyrl-RS"/>
        </w:rPr>
      </w:pPr>
    </w:p>
    <w:p w14:paraId="465CAC8C">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6.4. Posebne mjere opreza pri čuvanju</w:t>
      </w:r>
    </w:p>
    <w:p w14:paraId="6C5452B8">
      <w:pPr>
        <w:rPr>
          <w:rFonts w:ascii="Microsoft Sans Serif" w:hAnsi="Microsoft Sans Serif" w:cs="Microsoft Sans Serif"/>
          <w:b/>
          <w:bCs/>
          <w:sz w:val="20"/>
          <w:szCs w:val="20"/>
          <w:lang w:val="fr-FR"/>
        </w:rPr>
      </w:pPr>
    </w:p>
    <w:p w14:paraId="79F6513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Cyrl-RS"/>
        </w:rPr>
        <w:t>.</w:t>
      </w:r>
    </w:p>
    <w:p w14:paraId="48AD779B">
      <w:pPr>
        <w:rPr>
          <w:rFonts w:ascii="Microsoft Sans Serif" w:hAnsi="Microsoft Sans Serif" w:cs="Microsoft Sans Serif"/>
          <w:b/>
          <w:bCs/>
          <w:sz w:val="20"/>
          <w:szCs w:val="20"/>
          <w:lang w:val="sr-Latn-CS"/>
        </w:rPr>
      </w:pPr>
    </w:p>
    <w:p w14:paraId="56C236A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v-SE"/>
        </w:rPr>
        <w:t xml:space="preserve"> </w:t>
      </w:r>
    </w:p>
    <w:p w14:paraId="688579AD">
      <w:pPr>
        <w:rPr>
          <w:rFonts w:ascii="Microsoft Sans Serif" w:hAnsi="Microsoft Sans Serif" w:cs="Microsoft Sans Serif"/>
          <w:sz w:val="20"/>
          <w:szCs w:val="20"/>
          <w:u w:val="single"/>
          <w:lang w:val="sr-Cyrl-RS"/>
        </w:rPr>
      </w:pPr>
    </w:p>
    <w:p w14:paraId="38D0C84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20 mg film tablete</w:t>
      </w:r>
    </w:p>
    <w:p w14:paraId="3C9F5C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48B3246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B875450">
      <w:pPr>
        <w:rPr>
          <w:rFonts w:ascii="Microsoft Sans Serif" w:hAnsi="Microsoft Sans Serif" w:cs="Microsoft Sans Serif"/>
          <w:sz w:val="20"/>
          <w:szCs w:val="20"/>
          <w:lang w:val="sr-Cyrl-RS"/>
        </w:rPr>
      </w:pPr>
    </w:p>
    <w:p w14:paraId="31BA47F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50 mg film tablete</w:t>
      </w:r>
    </w:p>
    <w:p w14:paraId="5266E2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5004D0E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kartonska kutija koja sadrži 60 film tableta (6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CF36CF">
      <w:pPr>
        <w:rPr>
          <w:rFonts w:ascii="Microsoft Sans Serif" w:hAnsi="Microsoft Sans Serif" w:cs="Microsoft Sans Serif"/>
          <w:sz w:val="20"/>
          <w:szCs w:val="20"/>
          <w:lang w:val="sr-Cyrl-RS"/>
        </w:rPr>
      </w:pPr>
    </w:p>
    <w:p w14:paraId="1F769DE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70 mg film tablete</w:t>
      </w:r>
    </w:p>
    <w:p w14:paraId="2495A18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B62B1B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44905D0">
      <w:pPr>
        <w:rPr>
          <w:rFonts w:ascii="Microsoft Sans Serif" w:hAnsi="Microsoft Sans Serif" w:cs="Microsoft Sans Serif"/>
          <w:sz w:val="20"/>
          <w:szCs w:val="20"/>
          <w:lang w:val="sr-Cyrl-RS"/>
        </w:rPr>
      </w:pPr>
    </w:p>
    <w:p w14:paraId="7070BC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10</w:t>
      </w:r>
      <w:r>
        <w:rPr>
          <w:rFonts w:ascii="Microsoft Sans Serif" w:hAnsi="Microsoft Sans Serif" w:cs="Microsoft Sans Serif"/>
          <w:sz w:val="20"/>
          <w:szCs w:val="20"/>
          <w:u w:val="single"/>
          <w:lang w:val="sr-Cyrl-RS"/>
        </w:rPr>
        <w:t>0 mg film tablete</w:t>
      </w:r>
    </w:p>
    <w:p w14:paraId="3009CB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2C4E2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5622EE57">
      <w:pPr>
        <w:rPr>
          <w:rFonts w:ascii="Microsoft Sans Serif" w:hAnsi="Microsoft Sans Serif" w:cs="Microsoft Sans Serif"/>
          <w:sz w:val="20"/>
          <w:szCs w:val="20"/>
          <w:lang w:val="sr-Latn-RS"/>
        </w:rPr>
      </w:pPr>
    </w:p>
    <w:p w14:paraId="151E52D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14</w:t>
      </w:r>
      <w:r>
        <w:rPr>
          <w:rFonts w:ascii="Microsoft Sans Serif" w:hAnsi="Microsoft Sans Serif" w:cs="Microsoft Sans Serif"/>
          <w:sz w:val="20"/>
          <w:szCs w:val="20"/>
          <w:u w:val="single"/>
          <w:lang w:val="sr-Cyrl-RS"/>
        </w:rPr>
        <w:t>0 mg film tablete</w:t>
      </w:r>
    </w:p>
    <w:p w14:paraId="475D5E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63FE034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B630E1D">
      <w:pPr>
        <w:rPr>
          <w:rFonts w:ascii="Microsoft Sans Serif" w:hAnsi="Microsoft Sans Serif" w:cs="Microsoft Sans Serif"/>
          <w:b/>
          <w:bCs/>
          <w:sz w:val="20"/>
          <w:szCs w:val="20"/>
          <w:lang w:val="sr-Cyrl-RS"/>
        </w:rPr>
      </w:pPr>
    </w:p>
    <w:p w14:paraId="5001676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60E79DE6">
      <w:pPr>
        <w:rPr>
          <w:rFonts w:ascii="Microsoft Sans Serif" w:hAnsi="Microsoft Sans Serif" w:cs="Microsoft Sans Serif"/>
          <w:sz w:val="20"/>
          <w:szCs w:val="20"/>
          <w:lang w:val="sr-Cyrl-CS"/>
        </w:rPr>
      </w:pPr>
    </w:p>
    <w:p w14:paraId="30A15A18">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Film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Cyrl-CS"/>
        </w:rPr>
        <w:t>ablete sastoje se od jezgra tablete sa film oblogom da se spreči izlaganje zdravstvenih radnika aktivnoj supstanci. Preporučuje se upotreba rukavica od lateksa ili nitrila za odgovarajuće odlaganje prilikom rukovanja tabletama koje se nehotice drobe ili razbiju, kako bi se minimizirao rizik od dermalne izloženosti.</w:t>
      </w:r>
    </w:p>
    <w:p w14:paraId="390A26E2">
      <w:pPr>
        <w:rPr>
          <w:rFonts w:ascii="Microsoft Sans Serif" w:hAnsi="Microsoft Sans Serif" w:cs="Microsoft Sans Serif"/>
          <w:sz w:val="20"/>
          <w:szCs w:val="20"/>
          <w:lang w:val="sr-Cyrl-CS"/>
        </w:rPr>
      </w:pPr>
    </w:p>
    <w:p w14:paraId="55826F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lijeka ili otpadnog materijala nakon njegove upotrebe treba ukloniti u skladu sa važećim propisima.</w:t>
      </w:r>
    </w:p>
    <w:p w14:paraId="0F595E75">
      <w:pPr>
        <w:rPr>
          <w:rFonts w:ascii="Microsoft Sans Serif" w:hAnsi="Microsoft Sans Serif" w:cs="Microsoft Sans Serif"/>
          <w:sz w:val="20"/>
          <w:szCs w:val="20"/>
          <w:lang w:val="sr-Latn-RS"/>
        </w:rPr>
      </w:pPr>
    </w:p>
    <w:p w14:paraId="54080966">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6.7. Režim izdavanja lijeka</w:t>
      </w:r>
    </w:p>
    <w:p w14:paraId="535D7F7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Lijek se upotrebljava u zdravstvenoj ustanovi sekundarnog ili tercijarnog nivoa; izuzetno se izdaje uz</w:t>
      </w:r>
    </w:p>
    <w:p w14:paraId="728969D8">
      <w:pPr>
        <w:rPr>
          <w:rFonts w:ascii="Microsoft Sans Serif" w:hAnsi="Microsoft Sans Serif" w:cs="Microsoft Sans Serif"/>
          <w:sz w:val="20"/>
          <w:szCs w:val="20"/>
          <w:lang w:val="sr-Latn-RS"/>
        </w:rPr>
      </w:pPr>
      <w:r>
        <w:rPr>
          <w:rFonts w:ascii="MicrosoftSansSerif" w:hAnsi="MicrosoftSansSerif" w:cs="MicrosoftSansSerif"/>
          <w:sz w:val="20"/>
          <w:szCs w:val="20"/>
        </w:rPr>
        <w:t>recept za potrebe nastavka bolničkog liječenja.</w:t>
      </w:r>
    </w:p>
    <w:p w14:paraId="0800A6C4">
      <w:pPr>
        <w:rPr>
          <w:rFonts w:ascii="Microsoft Sans Serif" w:hAnsi="Microsoft Sans Serif" w:cs="Microsoft Sans Serif"/>
          <w:sz w:val="20"/>
          <w:szCs w:val="20"/>
          <w:lang w:val="sr-Cyrl-CS"/>
        </w:rPr>
      </w:pPr>
    </w:p>
    <w:p w14:paraId="762C555D">
      <w:pPr>
        <w:rPr>
          <w:rFonts w:ascii="Microsoft Sans Serif" w:hAnsi="Microsoft Sans Serif" w:cs="Microsoft Sans Serif"/>
          <w:sz w:val="20"/>
          <w:szCs w:val="20"/>
          <w:lang w:val="sr-Cyrl-CS"/>
        </w:rPr>
      </w:pPr>
    </w:p>
    <w:p w14:paraId="39525D79">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27D8BDAE">
      <w:pPr>
        <w:pStyle w:val="18"/>
        <w:tabs>
          <w:tab w:val="left" w:pos="720"/>
        </w:tabs>
        <w:rPr>
          <w:rFonts w:ascii="Microsoft Sans Serif" w:hAnsi="Microsoft Sans Serif" w:cs="Microsoft Sans Serif"/>
          <w:sz w:val="20"/>
          <w:szCs w:val="20"/>
        </w:rPr>
      </w:pPr>
    </w:p>
    <w:p w14:paraId="40F18411">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0C646170">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01FA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094B2132">
      <w:pPr>
        <w:rPr>
          <w:rFonts w:ascii="Microsoft Sans Serif" w:hAnsi="Microsoft Sans Serif" w:cs="Microsoft Sans Serif"/>
          <w:sz w:val="20"/>
          <w:szCs w:val="20"/>
          <w:lang w:val="mk-MK"/>
        </w:rPr>
      </w:pPr>
    </w:p>
    <w:p w14:paraId="224521C2">
      <w:pPr>
        <w:pStyle w:val="18"/>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512CC87D">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1436C5">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885ED26">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34E78C85">
      <w:pPr>
        <w:rPr>
          <w:rFonts w:ascii="Microsoft Sans Serif" w:hAnsi="Microsoft Sans Serif" w:cs="Microsoft Sans Serif"/>
          <w:sz w:val="20"/>
          <w:szCs w:val="20"/>
          <w:lang w:val="sr-Latn-RS"/>
        </w:rPr>
      </w:pPr>
    </w:p>
    <w:p w14:paraId="32068942">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3FCC72A2">
      <w:pPr>
        <w:pStyle w:val="18"/>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156798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0D81379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313E65E3">
      <w:pPr>
        <w:rPr>
          <w:rFonts w:ascii="Microsoft Sans Serif" w:hAnsi="Microsoft Sans Serif" w:cs="Microsoft Sans Serif"/>
          <w:sz w:val="20"/>
          <w:szCs w:val="20"/>
          <w:lang w:val="sr-Latn-RS"/>
        </w:rPr>
      </w:pPr>
    </w:p>
    <w:p w14:paraId="62EE87A8">
      <w:pPr>
        <w:widowControl w:val="0"/>
        <w:autoSpaceDE w:val="0"/>
        <w:autoSpaceDN w:val="0"/>
        <w:rPr>
          <w:rFonts w:ascii="Microsoft Sans Serif" w:hAnsi="Microsoft Sans Serif" w:cs="Microsoft Sans Serif"/>
          <w:sz w:val="20"/>
          <w:szCs w:val="20"/>
          <w:lang w:val="mk-MK"/>
        </w:rPr>
      </w:pPr>
    </w:p>
    <w:p w14:paraId="0C370B73">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ru-RU"/>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p>
    <w:p w14:paraId="36BEEC3B">
      <w:pPr>
        <w:rPr>
          <w:rFonts w:ascii="Microsoft Sans Serif" w:hAnsi="Microsoft Sans Serif" w:cs="Microsoft Sans Serif"/>
          <w:sz w:val="20"/>
          <w:szCs w:val="20"/>
          <w:lang w:val="sr-Latn-BA"/>
        </w:rPr>
      </w:pPr>
    </w:p>
    <w:p w14:paraId="06931A1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20 mg, film tablete, broj dozvole 04-07.3-1-739/21 od 13.09.2022.god</w:t>
      </w:r>
    </w:p>
    <w:p w14:paraId="545BF74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50 mg, film tablete, broj dozvole 04-07.3-1-740/21 od 13.09.2022.god</w:t>
      </w:r>
    </w:p>
    <w:p w14:paraId="67298D3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70 mg, film tablete, broj dozvole 04-07.3-1-741/21 od 13.09.2022.god</w:t>
      </w:r>
    </w:p>
    <w:p w14:paraId="401A986C">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100 mg, film tablete, broj dozvole 04-07.3-1-742/21 od 13.09.2022.god</w:t>
      </w:r>
    </w:p>
    <w:p w14:paraId="6B8BD618">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BA"/>
        </w:rPr>
        <w:t>Nodriga 140 mg film tablete, broj dozvole 04-07.3-1-743/21 od 13.09.2022.god</w:t>
      </w:r>
    </w:p>
    <w:p w14:paraId="5059BD51">
      <w:pPr>
        <w:rPr>
          <w:rFonts w:ascii="Microsoft Sans Serif" w:hAnsi="Microsoft Sans Serif" w:cs="Microsoft Sans Serif"/>
          <w:bCs/>
          <w:sz w:val="20"/>
          <w:szCs w:val="20"/>
          <w:lang w:val="sr-Latn-CS"/>
        </w:rPr>
      </w:pPr>
    </w:p>
    <w:p w14:paraId="61FB6AAF">
      <w:pPr>
        <w:tabs>
          <w:tab w:val="left" w:pos="5145"/>
        </w:tabs>
        <w:rPr>
          <w:rFonts w:ascii="Microsoft Sans Serif" w:hAnsi="Microsoft Sans Serif" w:cs="Microsoft Sans Serif"/>
          <w:b/>
          <w:sz w:val="20"/>
          <w:szCs w:val="20"/>
        </w:rPr>
      </w:pPr>
      <w:r>
        <w:rPr>
          <w:rFonts w:ascii="Microsoft Sans Serif" w:hAnsi="Microsoft Sans Serif" w:cs="Microsoft Sans Serif"/>
          <w:b/>
          <w:sz w:val="20"/>
          <w:szCs w:val="20"/>
        </w:rPr>
        <w:t>9. DATUM REVIZIJE SAŽETKA KARAKTERISTIKE LIJEKA</w:t>
      </w:r>
      <w:r>
        <w:rPr>
          <w:rFonts w:ascii="Microsoft Sans Serif" w:hAnsi="Microsoft Sans Serif" w:cs="Microsoft Sans Serif"/>
          <w:b/>
          <w:sz w:val="20"/>
          <w:szCs w:val="20"/>
        </w:rPr>
        <w:tab/>
      </w:r>
    </w:p>
    <w:p w14:paraId="0538A0A8">
      <w:pPr>
        <w:rPr>
          <w:rFonts w:ascii="Microsoft Sans Serif" w:hAnsi="Microsoft Sans Serif" w:cs="Microsoft Sans Serif"/>
          <w:sz w:val="20"/>
          <w:szCs w:val="20"/>
          <w:lang w:val="mk-MK"/>
        </w:rPr>
      </w:pPr>
    </w:p>
    <w:p w14:paraId="6C0BB6D6">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Novembar</w:t>
      </w:r>
      <w:r>
        <w:rPr>
          <w:rFonts w:ascii="Microsoft Sans Serif" w:hAnsi="Microsoft Sans Serif" w:cs="Microsoft Sans Serif"/>
          <w:sz w:val="20"/>
          <w:szCs w:val="20"/>
          <w:lang w:val="mk-MK"/>
        </w:rPr>
        <w:t>, 202</w:t>
      </w:r>
      <w:r>
        <w:rPr>
          <w:rFonts w:ascii="Microsoft Sans Serif" w:hAnsi="Microsoft Sans Serif" w:cs="Microsoft Sans Serif"/>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Bold">
    <w:altName w:val="Calibri"/>
    <w:panose1 w:val="00000000000000000000"/>
    <w:charset w:val="00"/>
    <w:family w:val="swiss"/>
    <w:pitch w:val="default"/>
    <w:sig w:usb0="00000000" w:usb1="00000000" w:usb2="00000000" w:usb3="00000000" w:csb0="00000001"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E1D4">
    <w:pPr>
      <w:pStyle w:val="17"/>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40</w:t>
            </w:r>
            <w:r>
              <w:rPr>
                <w:sz w:val="18"/>
                <w:szCs w:val="18"/>
              </w:rPr>
              <w:fldChar w:fldCharType="end"/>
            </w:r>
          </w:sdtContent>
        </w:sdt>
      </w:sdtContent>
    </w:sdt>
  </w:p>
  <w:p w14:paraId="42D151E4">
    <w:pPr>
      <w:pStyle w:val="17"/>
    </w:pPr>
  </w:p>
  <w:p w14:paraId="1FF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516">
    <w:pPr>
      <w:pStyle w:val="17"/>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65643F7C">
    <w:pPr>
      <w:pStyle w:val="17"/>
      <w:ind w:right="360"/>
    </w:pPr>
  </w:p>
  <w:p w14:paraId="5D4040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81DC5"/>
    <w:multiLevelType w:val="multilevel"/>
    <w:tmpl w:val="71E8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47A6"/>
    <w:rsid w:val="00017801"/>
    <w:rsid w:val="00031E64"/>
    <w:rsid w:val="00033B05"/>
    <w:rsid w:val="00035D75"/>
    <w:rsid w:val="00036712"/>
    <w:rsid w:val="00043497"/>
    <w:rsid w:val="00050EEF"/>
    <w:rsid w:val="000576DD"/>
    <w:rsid w:val="0006067C"/>
    <w:rsid w:val="00064273"/>
    <w:rsid w:val="000649B2"/>
    <w:rsid w:val="00083BE0"/>
    <w:rsid w:val="000843AA"/>
    <w:rsid w:val="00084982"/>
    <w:rsid w:val="00093D62"/>
    <w:rsid w:val="00095FB6"/>
    <w:rsid w:val="0009758B"/>
    <w:rsid w:val="000A00A6"/>
    <w:rsid w:val="000A0DFB"/>
    <w:rsid w:val="000A0F4A"/>
    <w:rsid w:val="000A1793"/>
    <w:rsid w:val="000A20AF"/>
    <w:rsid w:val="000A48C3"/>
    <w:rsid w:val="000C30F5"/>
    <w:rsid w:val="000D273D"/>
    <w:rsid w:val="000D4EB5"/>
    <w:rsid w:val="000D50E9"/>
    <w:rsid w:val="000D5631"/>
    <w:rsid w:val="000D6C0A"/>
    <w:rsid w:val="000E072D"/>
    <w:rsid w:val="000E75C0"/>
    <w:rsid w:val="000F6915"/>
    <w:rsid w:val="000F6AD4"/>
    <w:rsid w:val="00110D53"/>
    <w:rsid w:val="00112E1F"/>
    <w:rsid w:val="00115375"/>
    <w:rsid w:val="00121E8B"/>
    <w:rsid w:val="00124086"/>
    <w:rsid w:val="00124A03"/>
    <w:rsid w:val="001257C7"/>
    <w:rsid w:val="001407FE"/>
    <w:rsid w:val="00141639"/>
    <w:rsid w:val="0014180A"/>
    <w:rsid w:val="00146715"/>
    <w:rsid w:val="0014735A"/>
    <w:rsid w:val="001574B0"/>
    <w:rsid w:val="001635E8"/>
    <w:rsid w:val="00164478"/>
    <w:rsid w:val="001654D9"/>
    <w:rsid w:val="00173D18"/>
    <w:rsid w:val="00174A16"/>
    <w:rsid w:val="00175772"/>
    <w:rsid w:val="00175A7E"/>
    <w:rsid w:val="00183DCC"/>
    <w:rsid w:val="00192D88"/>
    <w:rsid w:val="00193377"/>
    <w:rsid w:val="00197373"/>
    <w:rsid w:val="00197D0E"/>
    <w:rsid w:val="001A0268"/>
    <w:rsid w:val="001A0EDB"/>
    <w:rsid w:val="001A5634"/>
    <w:rsid w:val="001A62D1"/>
    <w:rsid w:val="001A798E"/>
    <w:rsid w:val="001B3118"/>
    <w:rsid w:val="001B706A"/>
    <w:rsid w:val="001D0EED"/>
    <w:rsid w:val="001D10C9"/>
    <w:rsid w:val="001E0A07"/>
    <w:rsid w:val="001E297F"/>
    <w:rsid w:val="001E6145"/>
    <w:rsid w:val="001F2D4E"/>
    <w:rsid w:val="001F39B6"/>
    <w:rsid w:val="001F4F9C"/>
    <w:rsid w:val="001F7D2E"/>
    <w:rsid w:val="00210E98"/>
    <w:rsid w:val="0022218E"/>
    <w:rsid w:val="0022223A"/>
    <w:rsid w:val="00227080"/>
    <w:rsid w:val="0023372F"/>
    <w:rsid w:val="0024132F"/>
    <w:rsid w:val="002425C2"/>
    <w:rsid w:val="00242DCD"/>
    <w:rsid w:val="00243CCF"/>
    <w:rsid w:val="0024534B"/>
    <w:rsid w:val="0024619E"/>
    <w:rsid w:val="00247C5C"/>
    <w:rsid w:val="002523E1"/>
    <w:rsid w:val="00255593"/>
    <w:rsid w:val="00262F98"/>
    <w:rsid w:val="00270C94"/>
    <w:rsid w:val="00273BE0"/>
    <w:rsid w:val="002755EC"/>
    <w:rsid w:val="00296906"/>
    <w:rsid w:val="002B6BA5"/>
    <w:rsid w:val="002B6F6A"/>
    <w:rsid w:val="002C0FBF"/>
    <w:rsid w:val="002C235D"/>
    <w:rsid w:val="002C77ED"/>
    <w:rsid w:val="002D279E"/>
    <w:rsid w:val="002D3550"/>
    <w:rsid w:val="002D7170"/>
    <w:rsid w:val="002E04B0"/>
    <w:rsid w:val="002E5DC5"/>
    <w:rsid w:val="002E71E2"/>
    <w:rsid w:val="002F41E3"/>
    <w:rsid w:val="002F5E2F"/>
    <w:rsid w:val="002F7145"/>
    <w:rsid w:val="00316FC0"/>
    <w:rsid w:val="00327D6F"/>
    <w:rsid w:val="00336991"/>
    <w:rsid w:val="003370E6"/>
    <w:rsid w:val="00340C66"/>
    <w:rsid w:val="00343595"/>
    <w:rsid w:val="00343F95"/>
    <w:rsid w:val="00344472"/>
    <w:rsid w:val="003452C0"/>
    <w:rsid w:val="00345D81"/>
    <w:rsid w:val="00353FB2"/>
    <w:rsid w:val="00367291"/>
    <w:rsid w:val="00380727"/>
    <w:rsid w:val="00381C1B"/>
    <w:rsid w:val="00383195"/>
    <w:rsid w:val="00383305"/>
    <w:rsid w:val="003A0305"/>
    <w:rsid w:val="003A1D7E"/>
    <w:rsid w:val="003A2DF8"/>
    <w:rsid w:val="003A7F9B"/>
    <w:rsid w:val="003B2082"/>
    <w:rsid w:val="003B2538"/>
    <w:rsid w:val="003B2718"/>
    <w:rsid w:val="003B2D96"/>
    <w:rsid w:val="003B5530"/>
    <w:rsid w:val="003C18A4"/>
    <w:rsid w:val="003D3D22"/>
    <w:rsid w:val="003D69FD"/>
    <w:rsid w:val="003E142A"/>
    <w:rsid w:val="003E3EC7"/>
    <w:rsid w:val="003E4421"/>
    <w:rsid w:val="003E6434"/>
    <w:rsid w:val="003E67DF"/>
    <w:rsid w:val="0040537C"/>
    <w:rsid w:val="004123CD"/>
    <w:rsid w:val="0041650D"/>
    <w:rsid w:val="00417D25"/>
    <w:rsid w:val="004234ED"/>
    <w:rsid w:val="00424AC6"/>
    <w:rsid w:val="00427D41"/>
    <w:rsid w:val="004330D8"/>
    <w:rsid w:val="004457EA"/>
    <w:rsid w:val="00455955"/>
    <w:rsid w:val="00462C33"/>
    <w:rsid w:val="00474B28"/>
    <w:rsid w:val="00480B1C"/>
    <w:rsid w:val="00481539"/>
    <w:rsid w:val="00481A1E"/>
    <w:rsid w:val="00484694"/>
    <w:rsid w:val="00492248"/>
    <w:rsid w:val="004932B1"/>
    <w:rsid w:val="00497648"/>
    <w:rsid w:val="004A7F23"/>
    <w:rsid w:val="004B5A11"/>
    <w:rsid w:val="004B7A50"/>
    <w:rsid w:val="004D0C7A"/>
    <w:rsid w:val="004D230F"/>
    <w:rsid w:val="004D4940"/>
    <w:rsid w:val="004F320B"/>
    <w:rsid w:val="004F72D4"/>
    <w:rsid w:val="00500B6D"/>
    <w:rsid w:val="00501255"/>
    <w:rsid w:val="00502577"/>
    <w:rsid w:val="00502CFA"/>
    <w:rsid w:val="0050394A"/>
    <w:rsid w:val="00503974"/>
    <w:rsid w:val="005151D9"/>
    <w:rsid w:val="0052230B"/>
    <w:rsid w:val="00522B86"/>
    <w:rsid w:val="00525A8A"/>
    <w:rsid w:val="00526DDF"/>
    <w:rsid w:val="005276F0"/>
    <w:rsid w:val="00530909"/>
    <w:rsid w:val="00534634"/>
    <w:rsid w:val="00545984"/>
    <w:rsid w:val="0055098A"/>
    <w:rsid w:val="0056120D"/>
    <w:rsid w:val="00562368"/>
    <w:rsid w:val="00562998"/>
    <w:rsid w:val="00571491"/>
    <w:rsid w:val="00577DF3"/>
    <w:rsid w:val="00590B19"/>
    <w:rsid w:val="00591DE8"/>
    <w:rsid w:val="00594F08"/>
    <w:rsid w:val="00595793"/>
    <w:rsid w:val="005A4D21"/>
    <w:rsid w:val="005A4D78"/>
    <w:rsid w:val="005B3388"/>
    <w:rsid w:val="005B759C"/>
    <w:rsid w:val="005C3F73"/>
    <w:rsid w:val="005C672B"/>
    <w:rsid w:val="005C7891"/>
    <w:rsid w:val="005D1EEE"/>
    <w:rsid w:val="005F0356"/>
    <w:rsid w:val="005F3C4F"/>
    <w:rsid w:val="005F5B5D"/>
    <w:rsid w:val="005F64DD"/>
    <w:rsid w:val="006010E1"/>
    <w:rsid w:val="00603302"/>
    <w:rsid w:val="00604A22"/>
    <w:rsid w:val="00604E4F"/>
    <w:rsid w:val="006054EE"/>
    <w:rsid w:val="0060679B"/>
    <w:rsid w:val="006118B6"/>
    <w:rsid w:val="0062214D"/>
    <w:rsid w:val="00623438"/>
    <w:rsid w:val="006270C0"/>
    <w:rsid w:val="00630195"/>
    <w:rsid w:val="00635516"/>
    <w:rsid w:val="00636DF4"/>
    <w:rsid w:val="00646C04"/>
    <w:rsid w:val="00652677"/>
    <w:rsid w:val="006559AF"/>
    <w:rsid w:val="00666AEB"/>
    <w:rsid w:val="00670123"/>
    <w:rsid w:val="00671452"/>
    <w:rsid w:val="0067431A"/>
    <w:rsid w:val="00683CA6"/>
    <w:rsid w:val="0068495E"/>
    <w:rsid w:val="00693874"/>
    <w:rsid w:val="00693B0E"/>
    <w:rsid w:val="00693F46"/>
    <w:rsid w:val="006B20EE"/>
    <w:rsid w:val="006B3293"/>
    <w:rsid w:val="006D1E08"/>
    <w:rsid w:val="006E2BD8"/>
    <w:rsid w:val="006E5C8F"/>
    <w:rsid w:val="006E79C6"/>
    <w:rsid w:val="006F0331"/>
    <w:rsid w:val="006F04FD"/>
    <w:rsid w:val="006F158F"/>
    <w:rsid w:val="006F2D72"/>
    <w:rsid w:val="006F33D6"/>
    <w:rsid w:val="00723D12"/>
    <w:rsid w:val="0074048D"/>
    <w:rsid w:val="00746429"/>
    <w:rsid w:val="007473E4"/>
    <w:rsid w:val="00756C43"/>
    <w:rsid w:val="00764648"/>
    <w:rsid w:val="007672F3"/>
    <w:rsid w:val="00772E62"/>
    <w:rsid w:val="0077481A"/>
    <w:rsid w:val="007773C2"/>
    <w:rsid w:val="00782F96"/>
    <w:rsid w:val="00783CD5"/>
    <w:rsid w:val="007867EA"/>
    <w:rsid w:val="00791182"/>
    <w:rsid w:val="00791274"/>
    <w:rsid w:val="007912EA"/>
    <w:rsid w:val="00792D20"/>
    <w:rsid w:val="007A0CF8"/>
    <w:rsid w:val="007A5769"/>
    <w:rsid w:val="007B16C4"/>
    <w:rsid w:val="007B5B7B"/>
    <w:rsid w:val="007B5D31"/>
    <w:rsid w:val="007C2D7E"/>
    <w:rsid w:val="007C2F4C"/>
    <w:rsid w:val="007D17FD"/>
    <w:rsid w:val="007D3865"/>
    <w:rsid w:val="007D48C5"/>
    <w:rsid w:val="007E06F0"/>
    <w:rsid w:val="007F14E9"/>
    <w:rsid w:val="00800161"/>
    <w:rsid w:val="00802DFC"/>
    <w:rsid w:val="008058B6"/>
    <w:rsid w:val="00814781"/>
    <w:rsid w:val="00814F7A"/>
    <w:rsid w:val="00822C23"/>
    <w:rsid w:val="00832164"/>
    <w:rsid w:val="008325F9"/>
    <w:rsid w:val="0083307F"/>
    <w:rsid w:val="00834DBB"/>
    <w:rsid w:val="00834E5F"/>
    <w:rsid w:val="00836DE9"/>
    <w:rsid w:val="00842FFB"/>
    <w:rsid w:val="008453CB"/>
    <w:rsid w:val="00851E4F"/>
    <w:rsid w:val="0086351A"/>
    <w:rsid w:val="00874B61"/>
    <w:rsid w:val="00882B4E"/>
    <w:rsid w:val="00884B23"/>
    <w:rsid w:val="00885DF4"/>
    <w:rsid w:val="00897175"/>
    <w:rsid w:val="008A0648"/>
    <w:rsid w:val="008A48B7"/>
    <w:rsid w:val="008A4F47"/>
    <w:rsid w:val="008A4F76"/>
    <w:rsid w:val="008B079B"/>
    <w:rsid w:val="008B3EB5"/>
    <w:rsid w:val="008C2D60"/>
    <w:rsid w:val="008C5809"/>
    <w:rsid w:val="008C6745"/>
    <w:rsid w:val="008C7569"/>
    <w:rsid w:val="008D1A0C"/>
    <w:rsid w:val="008D4814"/>
    <w:rsid w:val="008D7046"/>
    <w:rsid w:val="008D78C9"/>
    <w:rsid w:val="008E037C"/>
    <w:rsid w:val="008E0FC9"/>
    <w:rsid w:val="008E1405"/>
    <w:rsid w:val="008F3DFB"/>
    <w:rsid w:val="008F5C8B"/>
    <w:rsid w:val="00913684"/>
    <w:rsid w:val="009144F4"/>
    <w:rsid w:val="009163DB"/>
    <w:rsid w:val="00923865"/>
    <w:rsid w:val="00926FD5"/>
    <w:rsid w:val="0093016E"/>
    <w:rsid w:val="00934B4D"/>
    <w:rsid w:val="00937D7F"/>
    <w:rsid w:val="00941055"/>
    <w:rsid w:val="00946504"/>
    <w:rsid w:val="0095466B"/>
    <w:rsid w:val="00955C75"/>
    <w:rsid w:val="00956474"/>
    <w:rsid w:val="00957170"/>
    <w:rsid w:val="00957DB5"/>
    <w:rsid w:val="009677DF"/>
    <w:rsid w:val="009727C7"/>
    <w:rsid w:val="0097564D"/>
    <w:rsid w:val="009760AE"/>
    <w:rsid w:val="00976825"/>
    <w:rsid w:val="009838FE"/>
    <w:rsid w:val="009911A1"/>
    <w:rsid w:val="0099461C"/>
    <w:rsid w:val="009946F8"/>
    <w:rsid w:val="00996E6B"/>
    <w:rsid w:val="009970F4"/>
    <w:rsid w:val="009A071A"/>
    <w:rsid w:val="009A1D64"/>
    <w:rsid w:val="009A723F"/>
    <w:rsid w:val="009B1292"/>
    <w:rsid w:val="009B2430"/>
    <w:rsid w:val="009B338B"/>
    <w:rsid w:val="009B4840"/>
    <w:rsid w:val="009B58AD"/>
    <w:rsid w:val="009B7935"/>
    <w:rsid w:val="009C27FD"/>
    <w:rsid w:val="009C4555"/>
    <w:rsid w:val="009C4589"/>
    <w:rsid w:val="009C4749"/>
    <w:rsid w:val="009C7BA2"/>
    <w:rsid w:val="009D1161"/>
    <w:rsid w:val="009D667B"/>
    <w:rsid w:val="009F11ED"/>
    <w:rsid w:val="009F217A"/>
    <w:rsid w:val="009F43FC"/>
    <w:rsid w:val="009F4449"/>
    <w:rsid w:val="00A02252"/>
    <w:rsid w:val="00A04B3D"/>
    <w:rsid w:val="00A127F1"/>
    <w:rsid w:val="00A1501F"/>
    <w:rsid w:val="00A15143"/>
    <w:rsid w:val="00A15E0B"/>
    <w:rsid w:val="00A208CC"/>
    <w:rsid w:val="00A27130"/>
    <w:rsid w:val="00A300FD"/>
    <w:rsid w:val="00A372FB"/>
    <w:rsid w:val="00A37CA6"/>
    <w:rsid w:val="00A43267"/>
    <w:rsid w:val="00A45F38"/>
    <w:rsid w:val="00A47263"/>
    <w:rsid w:val="00A531DD"/>
    <w:rsid w:val="00A54945"/>
    <w:rsid w:val="00A64872"/>
    <w:rsid w:val="00A64B10"/>
    <w:rsid w:val="00A7147C"/>
    <w:rsid w:val="00A73951"/>
    <w:rsid w:val="00A7660B"/>
    <w:rsid w:val="00A80CB7"/>
    <w:rsid w:val="00A86897"/>
    <w:rsid w:val="00A95733"/>
    <w:rsid w:val="00A95952"/>
    <w:rsid w:val="00AA181F"/>
    <w:rsid w:val="00AA40A7"/>
    <w:rsid w:val="00AB1155"/>
    <w:rsid w:val="00AB5465"/>
    <w:rsid w:val="00AB71AA"/>
    <w:rsid w:val="00AB7403"/>
    <w:rsid w:val="00AC2BAC"/>
    <w:rsid w:val="00AC353F"/>
    <w:rsid w:val="00AC4841"/>
    <w:rsid w:val="00AC6BF1"/>
    <w:rsid w:val="00AC7EBD"/>
    <w:rsid w:val="00AD5B14"/>
    <w:rsid w:val="00AD6315"/>
    <w:rsid w:val="00AE0876"/>
    <w:rsid w:val="00AF20A5"/>
    <w:rsid w:val="00AF544B"/>
    <w:rsid w:val="00AF7A57"/>
    <w:rsid w:val="00B02179"/>
    <w:rsid w:val="00B13A63"/>
    <w:rsid w:val="00B246C5"/>
    <w:rsid w:val="00B26FAC"/>
    <w:rsid w:val="00B31AA2"/>
    <w:rsid w:val="00B348B4"/>
    <w:rsid w:val="00B40606"/>
    <w:rsid w:val="00B44544"/>
    <w:rsid w:val="00B50B19"/>
    <w:rsid w:val="00B53EBE"/>
    <w:rsid w:val="00B61E92"/>
    <w:rsid w:val="00B62521"/>
    <w:rsid w:val="00B631B8"/>
    <w:rsid w:val="00B63983"/>
    <w:rsid w:val="00B6576C"/>
    <w:rsid w:val="00B72265"/>
    <w:rsid w:val="00B74C0B"/>
    <w:rsid w:val="00B74FEE"/>
    <w:rsid w:val="00B8400D"/>
    <w:rsid w:val="00B93A37"/>
    <w:rsid w:val="00B97B09"/>
    <w:rsid w:val="00BA1819"/>
    <w:rsid w:val="00BA2BA5"/>
    <w:rsid w:val="00BA4F9D"/>
    <w:rsid w:val="00BA5A22"/>
    <w:rsid w:val="00BB2561"/>
    <w:rsid w:val="00BB55E5"/>
    <w:rsid w:val="00BB63D2"/>
    <w:rsid w:val="00BC7164"/>
    <w:rsid w:val="00BC7286"/>
    <w:rsid w:val="00BD1D22"/>
    <w:rsid w:val="00BD444C"/>
    <w:rsid w:val="00BD725A"/>
    <w:rsid w:val="00BF3750"/>
    <w:rsid w:val="00C06244"/>
    <w:rsid w:val="00C133E5"/>
    <w:rsid w:val="00C232E1"/>
    <w:rsid w:val="00C2776F"/>
    <w:rsid w:val="00C36FF0"/>
    <w:rsid w:val="00C40844"/>
    <w:rsid w:val="00C41289"/>
    <w:rsid w:val="00C429A5"/>
    <w:rsid w:val="00C536C2"/>
    <w:rsid w:val="00C55F47"/>
    <w:rsid w:val="00C56E2E"/>
    <w:rsid w:val="00C61411"/>
    <w:rsid w:val="00C64A31"/>
    <w:rsid w:val="00C70766"/>
    <w:rsid w:val="00C71C72"/>
    <w:rsid w:val="00C772FE"/>
    <w:rsid w:val="00C81EE4"/>
    <w:rsid w:val="00C82E8B"/>
    <w:rsid w:val="00C93DB7"/>
    <w:rsid w:val="00C94E1D"/>
    <w:rsid w:val="00C96678"/>
    <w:rsid w:val="00CA5AA9"/>
    <w:rsid w:val="00CC3517"/>
    <w:rsid w:val="00CC4C88"/>
    <w:rsid w:val="00CD091B"/>
    <w:rsid w:val="00CD0B1F"/>
    <w:rsid w:val="00CD3F96"/>
    <w:rsid w:val="00CD5E89"/>
    <w:rsid w:val="00CD66E2"/>
    <w:rsid w:val="00CE09F3"/>
    <w:rsid w:val="00CE2698"/>
    <w:rsid w:val="00CE76DA"/>
    <w:rsid w:val="00CF3659"/>
    <w:rsid w:val="00CF43BF"/>
    <w:rsid w:val="00CF587A"/>
    <w:rsid w:val="00D0649D"/>
    <w:rsid w:val="00D11E94"/>
    <w:rsid w:val="00D279E0"/>
    <w:rsid w:val="00D30389"/>
    <w:rsid w:val="00D337F6"/>
    <w:rsid w:val="00D33883"/>
    <w:rsid w:val="00D43E07"/>
    <w:rsid w:val="00D44168"/>
    <w:rsid w:val="00D52CDB"/>
    <w:rsid w:val="00D603F6"/>
    <w:rsid w:val="00D61710"/>
    <w:rsid w:val="00D6611E"/>
    <w:rsid w:val="00D66397"/>
    <w:rsid w:val="00D85F37"/>
    <w:rsid w:val="00D929DD"/>
    <w:rsid w:val="00DA3A49"/>
    <w:rsid w:val="00DB4534"/>
    <w:rsid w:val="00DB54CE"/>
    <w:rsid w:val="00DD2A82"/>
    <w:rsid w:val="00DE0099"/>
    <w:rsid w:val="00DE7781"/>
    <w:rsid w:val="00DF188C"/>
    <w:rsid w:val="00DF3062"/>
    <w:rsid w:val="00DF46E4"/>
    <w:rsid w:val="00E02BF4"/>
    <w:rsid w:val="00E03783"/>
    <w:rsid w:val="00E037A5"/>
    <w:rsid w:val="00E04856"/>
    <w:rsid w:val="00E05D4D"/>
    <w:rsid w:val="00E12C98"/>
    <w:rsid w:val="00E22414"/>
    <w:rsid w:val="00E400F0"/>
    <w:rsid w:val="00E41933"/>
    <w:rsid w:val="00E43FDD"/>
    <w:rsid w:val="00E441F5"/>
    <w:rsid w:val="00E504B4"/>
    <w:rsid w:val="00E50CD3"/>
    <w:rsid w:val="00E549EB"/>
    <w:rsid w:val="00E56089"/>
    <w:rsid w:val="00E56924"/>
    <w:rsid w:val="00E70FA7"/>
    <w:rsid w:val="00E87BE1"/>
    <w:rsid w:val="00E920FA"/>
    <w:rsid w:val="00E92929"/>
    <w:rsid w:val="00E957A7"/>
    <w:rsid w:val="00EA020F"/>
    <w:rsid w:val="00EA1F85"/>
    <w:rsid w:val="00EA5409"/>
    <w:rsid w:val="00EB4140"/>
    <w:rsid w:val="00EB4850"/>
    <w:rsid w:val="00EB6044"/>
    <w:rsid w:val="00EB7230"/>
    <w:rsid w:val="00EC6353"/>
    <w:rsid w:val="00EC6417"/>
    <w:rsid w:val="00ED735F"/>
    <w:rsid w:val="00EE001F"/>
    <w:rsid w:val="00EE01FA"/>
    <w:rsid w:val="00EF2A61"/>
    <w:rsid w:val="00EF5D81"/>
    <w:rsid w:val="00EF676D"/>
    <w:rsid w:val="00EF6F09"/>
    <w:rsid w:val="00F02C0B"/>
    <w:rsid w:val="00F07E8A"/>
    <w:rsid w:val="00F176B2"/>
    <w:rsid w:val="00F2371A"/>
    <w:rsid w:val="00F24C6D"/>
    <w:rsid w:val="00F25771"/>
    <w:rsid w:val="00F30AD2"/>
    <w:rsid w:val="00F40733"/>
    <w:rsid w:val="00F47847"/>
    <w:rsid w:val="00F53C31"/>
    <w:rsid w:val="00F5775F"/>
    <w:rsid w:val="00F62652"/>
    <w:rsid w:val="00F63F24"/>
    <w:rsid w:val="00F740DE"/>
    <w:rsid w:val="00F775F3"/>
    <w:rsid w:val="00F77FED"/>
    <w:rsid w:val="00F90694"/>
    <w:rsid w:val="00F915CF"/>
    <w:rsid w:val="00F96FCC"/>
    <w:rsid w:val="00FA42C6"/>
    <w:rsid w:val="00FA58DD"/>
    <w:rsid w:val="00FB25D2"/>
    <w:rsid w:val="00FB704A"/>
    <w:rsid w:val="00FC0888"/>
    <w:rsid w:val="00FC5B2D"/>
    <w:rsid w:val="00FC7271"/>
    <w:rsid w:val="00FC7F2D"/>
    <w:rsid w:val="00FD1F50"/>
    <w:rsid w:val="00FD72D9"/>
    <w:rsid w:val="00FE6F7D"/>
    <w:rsid w:val="00FF0D13"/>
    <w:rsid w:val="00FF1FF8"/>
    <w:rsid w:val="00FF510C"/>
    <w:rsid w:val="00FF6222"/>
    <w:rsid w:val="4C335E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4"/>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link w:val="35"/>
    <w:qFormat/>
    <w:uiPriority w:val="0"/>
    <w:pPr>
      <w:keepNext/>
      <w:jc w:val="center"/>
      <w:outlineLvl w:val="1"/>
    </w:pPr>
    <w:rPr>
      <w:rFonts w:ascii="Arial" w:hAnsi="Arial" w:cs="Arial"/>
      <w:i/>
      <w:iCs/>
      <w:color w:val="999999"/>
      <w:sz w:val="18"/>
    </w:rPr>
  </w:style>
  <w:style w:type="paragraph" w:styleId="4">
    <w:name w:val="heading 3"/>
    <w:basedOn w:val="1"/>
    <w:next w:val="1"/>
    <w:link w:val="36"/>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37"/>
    <w:qFormat/>
    <w:uiPriority w:val="0"/>
    <w:pPr>
      <w:keepNext/>
      <w:ind w:right="265"/>
      <w:jc w:val="right"/>
      <w:outlineLvl w:val="3"/>
    </w:pPr>
    <w:rPr>
      <w:rFonts w:ascii="Arial" w:hAnsi="Arial" w:cs="Arial"/>
      <w:i/>
      <w:iCs/>
      <w:color w:val="999999"/>
      <w:sz w:val="16"/>
    </w:rPr>
  </w:style>
  <w:style w:type="paragraph" w:styleId="6">
    <w:name w:val="heading 5"/>
    <w:basedOn w:val="3"/>
    <w:next w:val="1"/>
    <w:link w:val="24"/>
    <w:qFormat/>
    <w:uiPriority w:val="0"/>
    <w:pPr>
      <w:tabs>
        <w:tab w:val="left" w:pos="1140"/>
        <w:tab w:val="clear" w:pos="284"/>
      </w:tabs>
      <w:spacing w:after="120" w:line="260" w:lineRule="exact"/>
      <w:ind w:left="1140" w:hanging="1140"/>
      <w:jc w:val="both"/>
      <w:outlineLvl w:val="4"/>
    </w:pPr>
    <w:rPr>
      <w:rFonts w:ascii="Times New Roman" w:hAnsi="Times New Roman" w:cs="Times New Roman"/>
      <w:b/>
      <w:bCs/>
      <w:i w:val="0"/>
      <w:iCs w:val="0"/>
      <w:color w:val="auto"/>
      <w:sz w:val="24"/>
      <w:szCs w:val="26"/>
      <w:lang w:eastAsia="en-GB"/>
    </w:rPr>
  </w:style>
  <w:style w:type="paragraph" w:styleId="7">
    <w:name w:val="heading 6"/>
    <w:basedOn w:val="3"/>
    <w:next w:val="1"/>
    <w:link w:val="25"/>
    <w:qFormat/>
    <w:uiPriority w:val="0"/>
    <w:pPr>
      <w:tabs>
        <w:tab w:val="left" w:pos="1140"/>
        <w:tab w:val="clear" w:pos="284"/>
      </w:tabs>
      <w:spacing w:after="120" w:line="260" w:lineRule="exact"/>
      <w:ind w:left="1140" w:hanging="1140"/>
      <w:jc w:val="both"/>
      <w:outlineLvl w:val="5"/>
    </w:pPr>
    <w:rPr>
      <w:rFonts w:ascii="Times New Roman" w:hAnsi="Times New Roman" w:cs="Times New Roman"/>
      <w:b/>
      <w:bCs/>
      <w:i w:val="0"/>
      <w:color w:val="auto"/>
      <w:sz w:val="24"/>
      <w:szCs w:val="22"/>
      <w:lang w:eastAsia="en-GB"/>
    </w:rPr>
  </w:style>
  <w:style w:type="paragraph" w:styleId="8">
    <w:name w:val="heading 7"/>
    <w:basedOn w:val="3"/>
    <w:next w:val="1"/>
    <w:link w:val="26"/>
    <w:qFormat/>
    <w:uiPriority w:val="0"/>
    <w:pPr>
      <w:tabs>
        <w:tab w:val="left" w:pos="1140"/>
        <w:tab w:val="clear" w:pos="284"/>
      </w:tabs>
      <w:spacing w:after="120" w:line="260" w:lineRule="exact"/>
      <w:ind w:left="1140" w:hanging="1140"/>
      <w:jc w:val="both"/>
      <w:outlineLvl w:val="6"/>
    </w:pPr>
    <w:rPr>
      <w:rFonts w:ascii="Times New Roman" w:hAnsi="Times New Roman" w:cs="Times New Roman"/>
      <w:b/>
      <w:i w:val="0"/>
      <w:color w:val="auto"/>
      <w:sz w:val="24"/>
      <w:szCs w:val="28"/>
      <w:lang w:eastAsia="en-GB"/>
    </w:rPr>
  </w:style>
  <w:style w:type="paragraph" w:styleId="9">
    <w:name w:val="heading 8"/>
    <w:basedOn w:val="3"/>
    <w:next w:val="1"/>
    <w:link w:val="27"/>
    <w:qFormat/>
    <w:uiPriority w:val="0"/>
    <w:pPr>
      <w:tabs>
        <w:tab w:val="left" w:pos="1140"/>
        <w:tab w:val="clear" w:pos="284"/>
      </w:tabs>
      <w:spacing w:after="120" w:line="260" w:lineRule="exact"/>
      <w:ind w:left="1140" w:hanging="1140"/>
      <w:jc w:val="both"/>
      <w:outlineLvl w:val="7"/>
    </w:pPr>
    <w:rPr>
      <w:rFonts w:ascii="Times New Roman" w:hAnsi="Times New Roman" w:cs="Times New Roman"/>
      <w:b/>
      <w:i w:val="0"/>
      <w:iCs w:val="0"/>
      <w:color w:val="auto"/>
      <w:sz w:val="24"/>
      <w:szCs w:val="28"/>
      <w:lang w:eastAsia="en-GB"/>
    </w:rPr>
  </w:style>
  <w:style w:type="paragraph" w:styleId="10">
    <w:name w:val="heading 9"/>
    <w:basedOn w:val="3"/>
    <w:next w:val="1"/>
    <w:link w:val="28"/>
    <w:qFormat/>
    <w:uiPriority w:val="0"/>
    <w:pPr>
      <w:tabs>
        <w:tab w:val="left" w:pos="1140"/>
        <w:tab w:val="clear" w:pos="284"/>
      </w:tabs>
      <w:spacing w:after="120" w:line="260" w:lineRule="exact"/>
      <w:ind w:left="1140" w:hanging="1140"/>
      <w:jc w:val="both"/>
      <w:outlineLvl w:val="8"/>
    </w:pPr>
    <w:rPr>
      <w:rFonts w:ascii="Times New Roman" w:hAnsi="Times New Roman" w:cs="Times New Roman"/>
      <w:b/>
      <w:i w:val="0"/>
      <w:color w:val="auto"/>
      <w:sz w:val="24"/>
      <w:szCs w:val="22"/>
      <w:lang w:eastAsia="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3"/>
    <w:semiHidden/>
    <w:qFormat/>
    <w:uiPriority w:val="99"/>
    <w:rPr>
      <w:rFonts w:ascii="Tahoma" w:hAnsi="Tahoma" w:cs="Tahoma"/>
      <w:sz w:val="16"/>
      <w:szCs w:val="16"/>
    </w:rPr>
  </w:style>
  <w:style w:type="character" w:styleId="14">
    <w:name w:val="annotation reference"/>
    <w:qFormat/>
    <w:uiPriority w:val="99"/>
    <w:rPr>
      <w:sz w:val="16"/>
      <w:szCs w:val="16"/>
    </w:rPr>
  </w:style>
  <w:style w:type="paragraph" w:styleId="15">
    <w:name w:val="annotation text"/>
    <w:basedOn w:val="1"/>
    <w:link w:val="31"/>
    <w:semiHidden/>
    <w:qFormat/>
    <w:uiPriority w:val="99"/>
    <w:rPr>
      <w:sz w:val="20"/>
      <w:szCs w:val="20"/>
    </w:rPr>
  </w:style>
  <w:style w:type="paragraph" w:styleId="16">
    <w:name w:val="annotation subject"/>
    <w:basedOn w:val="15"/>
    <w:next w:val="15"/>
    <w:link w:val="32"/>
    <w:semiHidden/>
    <w:qFormat/>
    <w:uiPriority w:val="99"/>
    <w:rPr>
      <w:b/>
      <w:bCs/>
    </w:rPr>
  </w:style>
  <w:style w:type="paragraph" w:styleId="17">
    <w:name w:val="footer"/>
    <w:basedOn w:val="1"/>
    <w:link w:val="22"/>
    <w:qFormat/>
    <w:uiPriority w:val="99"/>
    <w:pPr>
      <w:tabs>
        <w:tab w:val="center" w:pos="4536"/>
        <w:tab w:val="right" w:pos="9072"/>
        <w:tab w:val="clear" w:pos="284"/>
      </w:tabs>
    </w:pPr>
  </w:style>
  <w:style w:type="paragraph" w:styleId="18">
    <w:name w:val="header"/>
    <w:basedOn w:val="1"/>
    <w:link w:val="30"/>
    <w:qFormat/>
    <w:uiPriority w:val="0"/>
    <w:pPr>
      <w:tabs>
        <w:tab w:val="center" w:pos="4536"/>
        <w:tab w:val="right" w:pos="9072"/>
        <w:tab w:val="clear" w:pos="284"/>
      </w:tabs>
    </w:pPr>
  </w:style>
  <w:style w:type="character" w:styleId="19">
    <w:name w:val="Hyperlink"/>
    <w:basedOn w:val="11"/>
    <w:qFormat/>
    <w:uiPriority w:val="0"/>
    <w:rPr>
      <w:color w:val="0000FF" w:themeColor="hyperlink"/>
      <w:u w:val="single"/>
      <w14:textFill>
        <w14:solidFill>
          <w14:schemeClr w14:val="hlink"/>
        </w14:solidFill>
      </w14:textFill>
    </w:rPr>
  </w:style>
  <w:style w:type="character" w:styleId="20">
    <w:name w:val="page number"/>
    <w:basedOn w:val="11"/>
    <w:qFormat/>
    <w:uiPriority w:val="0"/>
  </w:style>
  <w:style w:type="table" w:styleId="21">
    <w:name w:val="Table Grid"/>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oter Char"/>
    <w:basedOn w:val="11"/>
    <w:link w:val="17"/>
    <w:qFormat/>
    <w:uiPriority w:val="99"/>
    <w:rPr>
      <w:rFonts w:ascii="Humanist777" w:hAnsi="Humanist777"/>
      <w:sz w:val="24"/>
      <w:szCs w:val="24"/>
    </w:rPr>
  </w:style>
  <w:style w:type="paragraph" w:customStyle="1" w:styleId="23">
    <w:name w:val="NASLOV 123"/>
    <w:basedOn w:val="1"/>
    <w:qFormat/>
    <w:uiPriority w:val="0"/>
    <w:pPr>
      <w:spacing w:before="200" w:after="200"/>
      <w:jc w:val="left"/>
    </w:pPr>
    <w:rPr>
      <w:b/>
      <w:szCs w:val="22"/>
    </w:rPr>
  </w:style>
  <w:style w:type="character" w:customStyle="1" w:styleId="24">
    <w:name w:val="Heading 5 Char"/>
    <w:basedOn w:val="11"/>
    <w:link w:val="6"/>
    <w:qFormat/>
    <w:uiPriority w:val="0"/>
    <w:rPr>
      <w:b/>
      <w:bCs/>
      <w:sz w:val="24"/>
      <w:szCs w:val="26"/>
      <w:lang w:eastAsia="en-GB"/>
    </w:rPr>
  </w:style>
  <w:style w:type="character" w:customStyle="1" w:styleId="25">
    <w:name w:val="Heading 6 Char"/>
    <w:basedOn w:val="11"/>
    <w:link w:val="7"/>
    <w:qFormat/>
    <w:uiPriority w:val="0"/>
    <w:rPr>
      <w:b/>
      <w:bCs/>
      <w:iCs/>
      <w:sz w:val="24"/>
      <w:szCs w:val="22"/>
      <w:lang w:eastAsia="en-GB"/>
    </w:rPr>
  </w:style>
  <w:style w:type="character" w:customStyle="1" w:styleId="26">
    <w:name w:val="Heading 7 Char"/>
    <w:basedOn w:val="11"/>
    <w:link w:val="8"/>
    <w:qFormat/>
    <w:uiPriority w:val="0"/>
    <w:rPr>
      <w:b/>
      <w:iCs/>
      <w:sz w:val="24"/>
      <w:szCs w:val="28"/>
      <w:lang w:eastAsia="en-GB"/>
    </w:rPr>
  </w:style>
  <w:style w:type="character" w:customStyle="1" w:styleId="27">
    <w:name w:val="Heading 8 Char"/>
    <w:basedOn w:val="11"/>
    <w:link w:val="9"/>
    <w:qFormat/>
    <w:uiPriority w:val="0"/>
    <w:rPr>
      <w:b/>
      <w:sz w:val="24"/>
      <w:szCs w:val="28"/>
      <w:lang w:eastAsia="en-GB"/>
    </w:rPr>
  </w:style>
  <w:style w:type="character" w:customStyle="1" w:styleId="28">
    <w:name w:val="Heading 9 Char"/>
    <w:basedOn w:val="11"/>
    <w:link w:val="10"/>
    <w:qFormat/>
    <w:uiPriority w:val="0"/>
    <w:rPr>
      <w:b/>
      <w:iCs/>
      <w:sz w:val="24"/>
      <w:szCs w:val="22"/>
      <w:lang w:eastAsia="en-GB"/>
    </w:rPr>
  </w:style>
  <w:style w:type="paragraph" w:styleId="29">
    <w:name w:val="List Paragraph"/>
    <w:basedOn w:val="1"/>
    <w:qFormat/>
    <w:uiPriority w:val="34"/>
    <w:pPr>
      <w:widowControl w:val="0"/>
      <w:tabs>
        <w:tab w:val="clear" w:pos="284"/>
      </w:tabs>
      <w:spacing w:after="200" w:line="276" w:lineRule="auto"/>
      <w:ind w:left="720"/>
      <w:contextualSpacing/>
      <w:jc w:val="left"/>
    </w:pPr>
    <w:rPr>
      <w:rFonts w:ascii="Calibri" w:hAnsi="Calibri" w:eastAsia="Calibri"/>
      <w:szCs w:val="22"/>
    </w:rPr>
  </w:style>
  <w:style w:type="character" w:customStyle="1" w:styleId="30">
    <w:name w:val="Header Char"/>
    <w:basedOn w:val="11"/>
    <w:link w:val="18"/>
    <w:qFormat/>
    <w:uiPriority w:val="0"/>
    <w:rPr>
      <w:sz w:val="22"/>
      <w:szCs w:val="24"/>
    </w:rPr>
  </w:style>
  <w:style w:type="character" w:customStyle="1" w:styleId="31">
    <w:name w:val="Comment Text Char"/>
    <w:basedOn w:val="11"/>
    <w:link w:val="15"/>
    <w:semiHidden/>
    <w:qFormat/>
    <w:uiPriority w:val="99"/>
  </w:style>
  <w:style w:type="character" w:customStyle="1" w:styleId="32">
    <w:name w:val="Comment Subject Char"/>
    <w:basedOn w:val="31"/>
    <w:link w:val="16"/>
    <w:semiHidden/>
    <w:qFormat/>
    <w:uiPriority w:val="99"/>
    <w:rPr>
      <w:b/>
      <w:bCs/>
    </w:rPr>
  </w:style>
  <w:style w:type="character" w:customStyle="1" w:styleId="33">
    <w:name w:val="Balloon Text Char"/>
    <w:basedOn w:val="11"/>
    <w:link w:val="13"/>
    <w:semiHidden/>
    <w:qFormat/>
    <w:uiPriority w:val="99"/>
    <w:rPr>
      <w:rFonts w:ascii="Tahoma" w:hAnsi="Tahoma" w:cs="Tahoma"/>
      <w:sz w:val="16"/>
      <w:szCs w:val="16"/>
    </w:rPr>
  </w:style>
  <w:style w:type="character" w:customStyle="1" w:styleId="34">
    <w:name w:val="Heading 1 Char"/>
    <w:basedOn w:val="11"/>
    <w:link w:val="2"/>
    <w:qFormat/>
    <w:uiPriority w:val="1"/>
    <w:rPr>
      <w:rFonts w:ascii="Arial (W1)" w:hAnsi="Arial (W1)" w:cs="Arial"/>
      <w:b/>
      <w:bCs/>
      <w:i/>
      <w:iCs/>
      <w:sz w:val="32"/>
      <w:szCs w:val="24"/>
      <w:u w:val="single"/>
      <w:lang w:val="sr-Latn-CS"/>
    </w:rPr>
  </w:style>
  <w:style w:type="character" w:customStyle="1" w:styleId="35">
    <w:name w:val="Heading 2 Char"/>
    <w:basedOn w:val="11"/>
    <w:link w:val="3"/>
    <w:qFormat/>
    <w:uiPriority w:val="0"/>
    <w:rPr>
      <w:rFonts w:ascii="Arial" w:hAnsi="Arial" w:cs="Arial"/>
      <w:i/>
      <w:iCs/>
      <w:color w:val="999999"/>
      <w:sz w:val="18"/>
      <w:szCs w:val="24"/>
    </w:rPr>
  </w:style>
  <w:style w:type="character" w:customStyle="1" w:styleId="36">
    <w:name w:val="Heading 3 Char"/>
    <w:basedOn w:val="11"/>
    <w:link w:val="4"/>
    <w:qFormat/>
    <w:uiPriority w:val="0"/>
    <w:rPr>
      <w:rFonts w:ascii="Arial" w:hAnsi="Arial" w:cs="Arial"/>
      <w:i/>
      <w:iCs/>
      <w:color w:val="999999"/>
      <w:sz w:val="18"/>
      <w:szCs w:val="24"/>
    </w:rPr>
  </w:style>
  <w:style w:type="character" w:customStyle="1" w:styleId="37">
    <w:name w:val="Heading 4 Char"/>
    <w:basedOn w:val="11"/>
    <w:link w:val="5"/>
    <w:qFormat/>
    <w:uiPriority w:val="0"/>
    <w:rPr>
      <w:rFonts w:ascii="Arial" w:hAnsi="Arial" w:cs="Arial"/>
      <w:i/>
      <w:iCs/>
      <w:color w:val="999999"/>
      <w:sz w:val="16"/>
      <w:szCs w:val="24"/>
    </w:rPr>
  </w:style>
  <w:style w:type="table" w:customStyle="1" w:styleId="38">
    <w:name w:val="Table Grid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2"/>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3"/>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42">
    <w:name w:val="Table Grid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Revision"/>
    <w:hidden/>
    <w:semiHidden/>
    <w:qFormat/>
    <w:uiPriority w:val="99"/>
    <w:rPr>
      <w:rFonts w:ascii="Times New Roman" w:hAnsi="Times New Roman" w:eastAsia="Times New Roman" w:cs="Times New Roman"/>
      <w:sz w:val="22"/>
      <w:szCs w:val="24"/>
      <w:lang w:val="en-US" w:eastAsia="en-US" w:bidi="ar-SA"/>
    </w:rPr>
  </w:style>
  <w:style w:type="table" w:customStyle="1" w:styleId="44">
    <w:name w:val="Table Grid1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2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3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5"/>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6"/>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7"/>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8"/>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9"/>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10"/>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8B8DD-A319-4B94-889C-75B4067B9B1F}">
  <ds:schemaRefs/>
</ds:datastoreItem>
</file>

<file path=docProps/app.xml><?xml version="1.0" encoding="utf-8"?>
<Properties xmlns="http://schemas.openxmlformats.org/officeDocument/2006/extended-properties" xmlns:vt="http://schemas.openxmlformats.org/officeDocument/2006/docPropsVTypes">
  <Template>Normal</Template>
  <Pages>29</Pages>
  <Words>18401</Words>
  <Characters>104887</Characters>
  <Lines>874</Lines>
  <Paragraphs>246</Paragraphs>
  <TotalTime>0</TotalTime>
  <ScaleCrop>false</ScaleCrop>
  <LinksUpToDate>false</LinksUpToDate>
  <CharactersWithSpaces>123042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TANJANE</dc:creator>
  <cp:lastModifiedBy>Haris</cp:lastModifiedBy>
  <cp:lastPrinted>2022-07-28T08:46:00Z</cp:lastPrinted>
  <dcterms:modified xsi:type="dcterms:W3CDTF">2025-02-21T14:45:54Z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4CE4F419C69F4A72ABD3E8F50340D79C_13</vt:lpwstr>
  </property>
</Properties>
</file>