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A7E04F">
      <w:pPr>
        <w:pStyle w:val="26"/>
        <w:rPr>
          <w:rFonts w:ascii="Microsoft Sans Serif" w:hAnsi="Microsoft Sans Serif" w:cs="Microsoft Sans Serif"/>
          <w:sz w:val="20"/>
          <w:szCs w:val="20"/>
          <w:lang w:val="sr-Latn-BA"/>
        </w:rPr>
      </w:pPr>
      <w:bookmarkStart w:id="0" w:name="_GoBack"/>
      <w:bookmarkEnd w:id="0"/>
      <w:r>
        <w:rPr>
          <w:rFonts w:ascii="Microsoft Sans Serif" w:hAnsi="Microsoft Sans Serif" w:cs="Microsoft Sans Serif"/>
          <w:sz w:val="20"/>
          <w:szCs w:val="20"/>
          <w:lang w:val="sr-Latn-BA"/>
        </w:rPr>
        <w:t>SAŽETAK KARAKTERISTIKA LIJEKA</w:t>
      </w:r>
    </w:p>
    <w:p w14:paraId="695513AF">
      <w:pPr>
        <w:jc w:val="both"/>
        <w:rPr>
          <w:rFonts w:ascii="Microsoft Sans Serif" w:hAnsi="Microsoft Sans Serif" w:cs="Microsoft Sans Serif"/>
          <w:sz w:val="20"/>
          <w:lang w:val="sr-Latn-BA"/>
        </w:rPr>
      </w:pPr>
    </w:p>
    <w:p w14:paraId="7FE10A5F">
      <w:pPr>
        <w:jc w:val="both"/>
        <w:rPr>
          <w:rFonts w:ascii="Microsoft Sans Serif" w:hAnsi="Microsoft Sans Serif" w:cs="Microsoft Sans Serif"/>
          <w:sz w:val="20"/>
          <w:lang w:val="sr-Latn-BA"/>
        </w:rPr>
      </w:pPr>
    </w:p>
    <w:p w14:paraId="7757CAA1">
      <w:pPr>
        <w:jc w:val="both"/>
        <w:rPr>
          <w:rFonts w:ascii="Microsoft Sans Serif" w:hAnsi="Microsoft Sans Serif" w:cs="Microsoft Sans Serif"/>
          <w:sz w:val="20"/>
          <w:lang w:val="sr-Latn-BA"/>
        </w:rPr>
      </w:pPr>
    </w:p>
    <w:p w14:paraId="7E0586E2">
      <w:pPr>
        <w:tabs>
          <w:tab w:val="left" w:pos="567"/>
        </w:tabs>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1.      NAZIV GOTOVOG LIJEKA </w:t>
      </w:r>
    </w:p>
    <w:p w14:paraId="35148ACE">
      <w:pPr>
        <w:jc w:val="both"/>
        <w:rPr>
          <w:rFonts w:ascii="Microsoft Sans Serif" w:hAnsi="Microsoft Sans Serif" w:cs="Microsoft Sans Serif"/>
          <w:b/>
          <w:sz w:val="20"/>
          <w:lang w:val="sr-Latn-BA"/>
        </w:rPr>
      </w:pPr>
    </w:p>
    <w:p w14:paraId="701DE0AB">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SKOPRYL</w:t>
      </w:r>
      <w:r>
        <w:rPr>
          <w:rStyle w:val="40"/>
          <w:rFonts w:ascii="Microsoft Sans Serif" w:hAnsi="Microsoft Sans Serif" w:cs="Microsoft Sans Serif"/>
          <w:sz w:val="20"/>
          <w:lang w:val="bs-Latn-BA"/>
        </w:rPr>
        <w:t xml:space="preserve"> </w:t>
      </w:r>
    </w:p>
    <w:p w14:paraId="4540E62C">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5</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tableta</w:t>
      </w:r>
    </w:p>
    <w:p w14:paraId="65CB0F1B">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10</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tableta</w:t>
      </w:r>
    </w:p>
    <w:p w14:paraId="3A0F78F1">
      <w:pPr>
        <w:jc w:val="both"/>
        <w:rPr>
          <w:rFonts w:ascii="Microsoft Sans Serif" w:hAnsi="Microsoft Sans Serif" w:cs="Microsoft Sans Serif"/>
          <w:sz w:val="20"/>
          <w:lang w:val="bs-Latn-BA"/>
        </w:rPr>
      </w:pPr>
      <w:r>
        <w:rPr>
          <w:rStyle w:val="41"/>
          <w:rFonts w:ascii="Microsoft Sans Serif" w:hAnsi="Microsoft Sans Serif" w:cs="Microsoft Sans Serif"/>
          <w:sz w:val="20"/>
          <w:lang w:val="bs-Latn-BA"/>
        </w:rPr>
        <w:t>20</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tableta</w:t>
      </w:r>
    </w:p>
    <w:p w14:paraId="7E9F923C">
      <w:pPr>
        <w:jc w:val="both"/>
        <w:rPr>
          <w:rFonts w:ascii="Microsoft Sans Serif" w:hAnsi="Microsoft Sans Serif" w:cs="Microsoft Sans Serif"/>
          <w:sz w:val="20"/>
        </w:rPr>
      </w:pPr>
      <w:r>
        <w:rPr>
          <w:rFonts w:ascii="Microsoft Sans Serif" w:hAnsi="Microsoft Sans Serif" w:cs="Microsoft Sans Serif"/>
          <w:sz w:val="20"/>
        </w:rPr>
        <w:t>lizinopril</w:t>
      </w:r>
    </w:p>
    <w:p w14:paraId="4AB9FC16">
      <w:pPr>
        <w:jc w:val="both"/>
        <w:rPr>
          <w:rFonts w:ascii="Microsoft Sans Serif" w:hAnsi="Microsoft Sans Serif" w:cs="Microsoft Sans Serif"/>
          <w:b/>
          <w:sz w:val="20"/>
        </w:rPr>
      </w:pPr>
    </w:p>
    <w:p w14:paraId="5C08AE3C">
      <w:pPr>
        <w:jc w:val="both"/>
        <w:rPr>
          <w:rFonts w:ascii="Microsoft Sans Serif" w:hAnsi="Microsoft Sans Serif" w:cs="Microsoft Sans Serif"/>
          <w:b/>
          <w:sz w:val="20"/>
        </w:rPr>
      </w:pPr>
    </w:p>
    <w:p w14:paraId="54111042">
      <w:pPr>
        <w:tabs>
          <w:tab w:val="left" w:pos="567"/>
        </w:tabs>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2.      KVALITATIVNI I KVANTITATIVNI SASTAV </w:t>
      </w:r>
    </w:p>
    <w:p w14:paraId="2DA9935D">
      <w:pPr>
        <w:jc w:val="both"/>
        <w:rPr>
          <w:rFonts w:ascii="Microsoft Sans Serif" w:hAnsi="Microsoft Sans Serif" w:cs="Microsoft Sans Serif"/>
          <w:sz w:val="20"/>
          <w:lang w:val="mk-MK"/>
        </w:rPr>
      </w:pPr>
    </w:p>
    <w:p w14:paraId="5D871307">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Jedna tableta sadrži 5 mg lizinoprila (u obliku lizinopril, dihidrata).</w:t>
      </w:r>
    </w:p>
    <w:p w14:paraId="21F1CEE2">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Jedna tableta sadrži 10 mg lizinoprila (u obliku lizinopril, dihidrata).</w:t>
      </w:r>
    </w:p>
    <w:p w14:paraId="549A77B0">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Jedna tableta sadrži 20 mg lizinoprila (u obliku lizinopril, dihidrata).</w:t>
      </w:r>
    </w:p>
    <w:p w14:paraId="44EE6EA2">
      <w:pPr>
        <w:jc w:val="both"/>
        <w:rPr>
          <w:rFonts w:ascii="Microsoft Sans Serif" w:hAnsi="Microsoft Sans Serif" w:cs="Microsoft Sans Serif"/>
          <w:sz w:val="20"/>
          <w:lang w:val="bs-Latn-BA"/>
        </w:rPr>
      </w:pPr>
    </w:p>
    <w:p w14:paraId="0A171293">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Za potpuni sastav pomoćnih supstanci pogledati dio 6.1.</w:t>
      </w:r>
    </w:p>
    <w:p w14:paraId="32303D16">
      <w:pPr>
        <w:jc w:val="both"/>
        <w:rPr>
          <w:rFonts w:ascii="Microsoft Sans Serif" w:hAnsi="Microsoft Sans Serif" w:cs="Microsoft Sans Serif"/>
          <w:sz w:val="20"/>
          <w:lang w:val="mk-MK"/>
        </w:rPr>
      </w:pPr>
    </w:p>
    <w:p w14:paraId="7FA44ADB">
      <w:pPr>
        <w:pStyle w:val="19"/>
        <w:tabs>
          <w:tab w:val="clear" w:pos="4320"/>
          <w:tab w:val="clear" w:pos="8640"/>
        </w:tabs>
        <w:jc w:val="both"/>
        <w:rPr>
          <w:rFonts w:ascii="Microsoft Sans Serif" w:hAnsi="Microsoft Sans Serif" w:cs="Microsoft Sans Serif"/>
          <w:sz w:val="20"/>
          <w:lang w:val="mk-MK"/>
        </w:rPr>
      </w:pPr>
    </w:p>
    <w:p w14:paraId="5CD8B9E7">
      <w:pPr>
        <w:tabs>
          <w:tab w:val="left" w:pos="567"/>
        </w:tabs>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3.      FARMACEUTSKI OBLIK</w:t>
      </w:r>
    </w:p>
    <w:p w14:paraId="0160C6FC">
      <w:pPr>
        <w:jc w:val="both"/>
        <w:rPr>
          <w:rFonts w:ascii="Microsoft Sans Serif" w:hAnsi="Microsoft Sans Serif" w:cs="Microsoft Sans Serif"/>
          <w:sz w:val="20"/>
          <w:lang w:val="pl-PL"/>
        </w:rPr>
      </w:pPr>
      <w:r>
        <w:rPr>
          <w:rFonts w:ascii="Microsoft Sans Serif" w:hAnsi="Microsoft Sans Serif" w:cs="Microsoft Sans Serif"/>
          <w:sz w:val="20"/>
          <w:lang w:val="pl-PL"/>
        </w:rPr>
        <w:tab/>
      </w:r>
    </w:p>
    <w:p w14:paraId="78BE72E2">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Tableta.</w:t>
      </w:r>
    </w:p>
    <w:p w14:paraId="3D4A30EE">
      <w:pPr>
        <w:jc w:val="both"/>
        <w:rPr>
          <w:rFonts w:ascii="Microsoft Sans Serif" w:hAnsi="Microsoft Sans Serif" w:cs="Microsoft Sans Serif"/>
          <w:sz w:val="20"/>
          <w:lang w:val="bs-Latn-BA" w:eastAsia="en-GB"/>
        </w:rPr>
      </w:pPr>
    </w:p>
    <w:p w14:paraId="6243DDF8">
      <w:pPr>
        <w:jc w:val="both"/>
        <w:rPr>
          <w:rFonts w:ascii="Microsoft Sans Serif" w:hAnsi="Microsoft Sans Serif" w:cs="Microsoft Sans Serif"/>
          <w:sz w:val="20"/>
          <w:u w:val="single"/>
          <w:lang w:val="bs-Latn-BA" w:eastAsia="en-GB"/>
        </w:rPr>
      </w:pPr>
      <w:r>
        <w:rPr>
          <w:rFonts w:ascii="Microsoft Sans Serif" w:hAnsi="Microsoft Sans Serif" w:cs="Microsoft Sans Serif"/>
          <w:sz w:val="20"/>
          <w:u w:val="single"/>
          <w:lang w:val="bs-Latn-BA" w:eastAsia="en-GB"/>
        </w:rPr>
        <w:t xml:space="preserve">Skopryl 5 mg tableta. </w:t>
      </w:r>
    </w:p>
    <w:p w14:paraId="60A7662F">
      <w:pPr>
        <w:jc w:val="both"/>
        <w:rPr>
          <w:rFonts w:ascii="Microsoft Sans Serif" w:hAnsi="Microsoft Sans Serif" w:cs="Microsoft Sans Serif"/>
          <w:sz w:val="20"/>
          <w:lang w:val="bs-Latn-BA" w:eastAsia="en-GB"/>
        </w:rPr>
      </w:pPr>
      <w:r>
        <w:rPr>
          <w:rFonts w:ascii="Microsoft Sans Serif" w:hAnsi="Microsoft Sans Serif" w:cs="Microsoft Sans Serif"/>
          <w:sz w:val="20"/>
          <w:lang w:val="bs-Latn-BA" w:eastAsia="en-GB"/>
        </w:rPr>
        <w:t>Blijedožuta, okrugla, ravna tableta s prelomnom crtom na jednoj strani.</w:t>
      </w:r>
    </w:p>
    <w:p w14:paraId="1107F2EB">
      <w:pPr>
        <w:jc w:val="both"/>
        <w:rPr>
          <w:rFonts w:ascii="Microsoft Sans Serif" w:hAnsi="Microsoft Sans Serif" w:cs="Microsoft Sans Serif"/>
          <w:sz w:val="20"/>
          <w:lang w:val="bs-Latn-BA" w:eastAsia="en-GB"/>
        </w:rPr>
      </w:pPr>
    </w:p>
    <w:p w14:paraId="78FECCAD">
      <w:pPr>
        <w:jc w:val="both"/>
        <w:rPr>
          <w:rFonts w:ascii="Microsoft Sans Serif" w:hAnsi="Microsoft Sans Serif" w:cs="Microsoft Sans Serif"/>
          <w:sz w:val="20"/>
          <w:u w:val="single"/>
          <w:lang w:val="bs-Latn-BA" w:eastAsia="en-GB"/>
        </w:rPr>
      </w:pPr>
      <w:r>
        <w:rPr>
          <w:rFonts w:ascii="Microsoft Sans Serif" w:hAnsi="Microsoft Sans Serif" w:cs="Microsoft Sans Serif"/>
          <w:sz w:val="20"/>
          <w:u w:val="single"/>
          <w:lang w:val="bs-Latn-BA" w:eastAsia="en-GB"/>
        </w:rPr>
        <w:t>Skopryl 10 mg tableta</w:t>
      </w:r>
    </w:p>
    <w:p w14:paraId="61FF0899">
      <w:pPr>
        <w:jc w:val="both"/>
        <w:rPr>
          <w:rFonts w:ascii="Microsoft Sans Serif" w:hAnsi="Microsoft Sans Serif" w:cs="Microsoft Sans Serif"/>
          <w:sz w:val="20"/>
          <w:lang w:val="bs-Latn-BA" w:eastAsia="en-GB"/>
        </w:rPr>
      </w:pPr>
      <w:r>
        <w:rPr>
          <w:rFonts w:ascii="Microsoft Sans Serif" w:hAnsi="Microsoft Sans Serif" w:cs="Microsoft Sans Serif"/>
          <w:sz w:val="20"/>
          <w:lang w:val="bs-Latn-BA" w:eastAsia="en-GB"/>
        </w:rPr>
        <w:t>Blijedožuta, okrugla, bikonveksna tableta s prelomnom crtom na jednoj strani.</w:t>
      </w:r>
    </w:p>
    <w:p w14:paraId="0FF9CA40">
      <w:pPr>
        <w:jc w:val="both"/>
        <w:rPr>
          <w:rFonts w:ascii="Microsoft Sans Serif" w:hAnsi="Microsoft Sans Serif" w:cs="Microsoft Sans Serif"/>
          <w:sz w:val="20"/>
          <w:u w:val="single"/>
          <w:lang w:val="bs-Latn-BA" w:eastAsia="en-GB"/>
        </w:rPr>
      </w:pPr>
      <w:r>
        <w:rPr>
          <w:rFonts w:ascii="Microsoft Sans Serif" w:hAnsi="Microsoft Sans Serif" w:cs="Microsoft Sans Serif"/>
          <w:sz w:val="20"/>
          <w:lang w:val="bs-Latn-BA" w:eastAsia="en-GB"/>
        </w:rPr>
        <w:br w:type="textWrapping"/>
      </w:r>
      <w:r>
        <w:rPr>
          <w:rFonts w:ascii="Microsoft Sans Serif" w:hAnsi="Microsoft Sans Serif" w:cs="Microsoft Sans Serif"/>
          <w:sz w:val="20"/>
          <w:u w:val="single"/>
          <w:lang w:val="bs-Latn-BA" w:eastAsia="en-GB"/>
        </w:rPr>
        <w:t>Skopryl 20 mg tableta</w:t>
      </w:r>
    </w:p>
    <w:p w14:paraId="7CD0A59B">
      <w:pPr>
        <w:jc w:val="both"/>
        <w:rPr>
          <w:rFonts w:ascii="Microsoft Sans Serif" w:hAnsi="Microsoft Sans Serif" w:cs="Microsoft Sans Serif"/>
          <w:sz w:val="20"/>
          <w:lang w:val="bs-Latn-BA" w:eastAsia="en-GB"/>
        </w:rPr>
      </w:pPr>
      <w:r>
        <w:rPr>
          <w:rFonts w:ascii="Microsoft Sans Serif" w:hAnsi="Microsoft Sans Serif" w:cs="Microsoft Sans Serif"/>
          <w:sz w:val="20"/>
          <w:lang w:val="bs-Latn-BA" w:eastAsia="en-GB"/>
        </w:rPr>
        <w:t>Svijetloružičasta, okrugla, bikonveksna tableta s prelomnom crtom na jednoj strani.</w:t>
      </w:r>
    </w:p>
    <w:p w14:paraId="6B6E1987">
      <w:pPr>
        <w:jc w:val="both"/>
        <w:rPr>
          <w:rFonts w:ascii="Microsoft Sans Serif" w:hAnsi="Microsoft Sans Serif" w:cs="Microsoft Sans Serif"/>
          <w:b/>
          <w:sz w:val="20"/>
          <w:lang w:val="hr-HR"/>
        </w:rPr>
      </w:pPr>
    </w:p>
    <w:p w14:paraId="79D6315F">
      <w:pPr>
        <w:jc w:val="both"/>
        <w:rPr>
          <w:rFonts w:ascii="Microsoft Sans Serif" w:hAnsi="Microsoft Sans Serif" w:cs="Microsoft Sans Serif"/>
          <w:b/>
          <w:sz w:val="20"/>
          <w:lang w:val="hr-HR"/>
        </w:rPr>
      </w:pPr>
    </w:p>
    <w:p w14:paraId="293107EB">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4. </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KLINIČKI PODACI  </w:t>
      </w:r>
    </w:p>
    <w:p w14:paraId="59098654">
      <w:pPr>
        <w:jc w:val="both"/>
        <w:rPr>
          <w:rFonts w:ascii="Microsoft Sans Serif" w:hAnsi="Microsoft Sans Serif" w:cs="Microsoft Sans Serif"/>
          <w:b/>
          <w:sz w:val="20"/>
          <w:lang w:val="sr-Latn-BA"/>
        </w:rPr>
      </w:pPr>
    </w:p>
    <w:p w14:paraId="5D733B0D">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4.1</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Terapijske indikacije </w:t>
      </w:r>
    </w:p>
    <w:p w14:paraId="28AD4933">
      <w:pPr>
        <w:tabs>
          <w:tab w:val="left" w:pos="5040"/>
        </w:tabs>
        <w:jc w:val="both"/>
        <w:rPr>
          <w:rFonts w:ascii="Microsoft Sans Serif" w:hAnsi="Microsoft Sans Serif" w:cs="Microsoft Sans Serif"/>
          <w:b/>
          <w:sz w:val="20"/>
          <w:lang w:val="hr-HR"/>
        </w:rPr>
      </w:pPr>
    </w:p>
    <w:p w14:paraId="1ADDFD73">
      <w:pPr>
        <w:jc w:val="both"/>
        <w:rPr>
          <w:rFonts w:ascii="Microsoft Sans Serif" w:hAnsi="Microsoft Sans Serif" w:cs="Microsoft Sans Serif"/>
          <w:sz w:val="20"/>
          <w:lang w:val="bs-Latn-BA" w:eastAsia="en-GB"/>
        </w:rPr>
      </w:pPr>
      <w:r>
        <w:rPr>
          <w:rFonts w:ascii="Microsoft Sans Serif" w:hAnsi="Microsoft Sans Serif" w:cs="Microsoft Sans Serif"/>
          <w:b/>
          <w:sz w:val="20"/>
          <w:lang w:val="bs-Latn-BA" w:eastAsia="en-GB"/>
        </w:rPr>
        <w:t>Hipertenzija</w:t>
      </w:r>
      <w:r>
        <w:rPr>
          <w:rFonts w:ascii="Microsoft Sans Serif" w:hAnsi="Microsoft Sans Serif" w:cs="Microsoft Sans Serif"/>
          <w:b/>
          <w:sz w:val="20"/>
          <w:lang w:val="bs-Latn-BA" w:eastAsia="en-GB"/>
        </w:rPr>
        <w:br w:type="textWrapping"/>
      </w:r>
      <w:r>
        <w:rPr>
          <w:rFonts w:ascii="Microsoft Sans Serif" w:hAnsi="Microsoft Sans Serif" w:cs="Microsoft Sans Serif"/>
          <w:sz w:val="20"/>
          <w:lang w:val="bs-Latn-BA" w:eastAsia="en-GB"/>
        </w:rPr>
        <w:t>Terapija hipertenzije.</w:t>
      </w:r>
    </w:p>
    <w:p w14:paraId="5150E909">
      <w:pPr>
        <w:jc w:val="both"/>
        <w:rPr>
          <w:rFonts w:ascii="Microsoft Sans Serif" w:hAnsi="Microsoft Sans Serif" w:cs="Microsoft Sans Serif"/>
          <w:b/>
          <w:sz w:val="20"/>
          <w:lang w:val="bs-Latn-BA" w:eastAsia="en-GB"/>
        </w:rPr>
      </w:pPr>
      <w:r>
        <w:rPr>
          <w:rFonts w:ascii="Microsoft Sans Serif" w:hAnsi="Microsoft Sans Serif" w:cs="Microsoft Sans Serif"/>
          <w:sz w:val="20"/>
          <w:lang w:val="bs-Latn-BA" w:eastAsia="en-GB"/>
        </w:rPr>
        <w:br w:type="textWrapping"/>
      </w:r>
      <w:r>
        <w:rPr>
          <w:rFonts w:ascii="Microsoft Sans Serif" w:hAnsi="Microsoft Sans Serif" w:cs="Microsoft Sans Serif"/>
          <w:b/>
          <w:sz w:val="20"/>
          <w:lang w:val="bs-Latn-BA" w:eastAsia="en-GB"/>
        </w:rPr>
        <w:t>Srčana insuficijencija</w:t>
      </w:r>
    </w:p>
    <w:p w14:paraId="2808EA51">
      <w:pPr>
        <w:jc w:val="both"/>
        <w:rPr>
          <w:rFonts w:ascii="Microsoft Sans Serif" w:hAnsi="Microsoft Sans Serif" w:cs="Microsoft Sans Serif"/>
          <w:sz w:val="20"/>
          <w:lang w:val="bs-Latn-BA" w:eastAsia="en-GB"/>
        </w:rPr>
      </w:pPr>
      <w:r>
        <w:rPr>
          <w:rFonts w:ascii="Microsoft Sans Serif" w:hAnsi="Microsoft Sans Serif" w:cs="Microsoft Sans Serif"/>
          <w:sz w:val="20"/>
          <w:lang w:val="bs-Latn-BA" w:eastAsia="en-GB"/>
        </w:rPr>
        <w:t>Terapija simptomatske insuficijencije srca.</w:t>
      </w:r>
    </w:p>
    <w:p w14:paraId="7911FC6A">
      <w:pPr>
        <w:tabs>
          <w:tab w:val="left" w:pos="5040"/>
        </w:tabs>
        <w:jc w:val="both"/>
        <w:rPr>
          <w:rFonts w:ascii="Microsoft Sans Serif" w:hAnsi="Microsoft Sans Serif" w:cs="Microsoft Sans Serif"/>
          <w:sz w:val="20"/>
          <w:lang w:val="bs-Latn-BA"/>
        </w:rPr>
      </w:pPr>
    </w:p>
    <w:p w14:paraId="420D6A4A">
      <w:pPr>
        <w:tabs>
          <w:tab w:val="left" w:pos="5040"/>
        </w:tabs>
        <w:jc w:val="both"/>
        <w:rPr>
          <w:rStyle w:val="41"/>
          <w:rFonts w:ascii="Microsoft Sans Serif" w:hAnsi="Microsoft Sans Serif" w:cs="Microsoft Sans Serif"/>
          <w:b/>
          <w:sz w:val="20"/>
          <w:lang w:val="bs-Latn-BA"/>
        </w:rPr>
      </w:pPr>
      <w:r>
        <w:rPr>
          <w:rStyle w:val="41"/>
          <w:rFonts w:ascii="Microsoft Sans Serif" w:hAnsi="Microsoft Sans Serif" w:cs="Microsoft Sans Serif"/>
          <w:b/>
          <w:sz w:val="20"/>
          <w:lang w:val="bs-Latn-BA"/>
        </w:rPr>
        <w:t>Akutni</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infarkt</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miokarda</w:t>
      </w:r>
    </w:p>
    <w:p w14:paraId="17B3756C">
      <w:pPr>
        <w:tabs>
          <w:tab w:val="left" w:pos="5040"/>
        </w:tabs>
        <w:jc w:val="both"/>
        <w:rPr>
          <w:rStyle w:val="40"/>
          <w:rFonts w:ascii="Microsoft Sans Serif" w:hAnsi="Microsoft Sans Serif" w:cs="Microsoft Sans Serif"/>
          <w:sz w:val="20"/>
          <w:lang w:val="bs-Latn-BA"/>
        </w:rPr>
      </w:pPr>
      <w:r>
        <w:rPr>
          <w:rFonts w:ascii="Microsoft Sans Serif" w:hAnsi="Microsoft Sans Serif" w:cs="Microsoft Sans Serif"/>
          <w:sz w:val="20"/>
          <w:lang w:val="bs-Latn-BA" w:eastAsia="en-GB"/>
        </w:rPr>
        <w:t xml:space="preserve">Kratkotrajna terapija (šest sedmica) </w:t>
      </w:r>
      <w:r>
        <w:rPr>
          <w:rStyle w:val="41"/>
          <w:rFonts w:ascii="Microsoft Sans Serif" w:hAnsi="Microsoft Sans Serif" w:cs="Microsoft Sans Serif"/>
          <w:sz w:val="20"/>
          <w:lang w:val="bs-Latn-BA"/>
        </w:rPr>
        <w:t>hemodinamski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stabilnih</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 roku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 24 sata 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akutnog infarkta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miokarda</w:t>
      </w:r>
      <w:r>
        <w:rPr>
          <w:rStyle w:val="40"/>
          <w:rFonts w:ascii="Microsoft Sans Serif" w:hAnsi="Microsoft Sans Serif" w:cs="Microsoft Sans Serif"/>
          <w:sz w:val="20"/>
          <w:lang w:val="bs-Latn-BA"/>
        </w:rPr>
        <w:t>.</w:t>
      </w:r>
    </w:p>
    <w:p w14:paraId="5AAC7039">
      <w:pPr>
        <w:jc w:val="both"/>
        <w:rPr>
          <w:rFonts w:ascii="Microsoft Sans Serif" w:hAnsi="Microsoft Sans Serif" w:cs="Microsoft Sans Serif"/>
          <w:sz w:val="20"/>
          <w:lang w:val="bs-Latn-BA"/>
        </w:rPr>
      </w:pPr>
    </w:p>
    <w:p w14:paraId="245A1932">
      <w:pPr>
        <w:shd w:val="clear" w:color="auto" w:fill="FFFFFF"/>
        <w:jc w:val="both"/>
        <w:rPr>
          <w:rFonts w:ascii="Microsoft Sans Serif" w:hAnsi="Microsoft Sans Serif" w:cs="Microsoft Sans Serif"/>
          <w:sz w:val="20"/>
        </w:rPr>
      </w:pPr>
      <w:r>
        <w:rPr>
          <w:rFonts w:ascii="Microsoft Sans Serif" w:hAnsi="Microsoft Sans Serif" w:cs="Microsoft Sans Serif"/>
          <w:b/>
          <w:bCs/>
          <w:color w:val="000000"/>
          <w:sz w:val="20"/>
        </w:rPr>
        <w:t>Renalne komplikacije šećerne bolesti</w:t>
      </w:r>
    </w:p>
    <w:p w14:paraId="2F854884">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Terapija bubrežnih komplikacija kod hipertenzivnih pacijenata sa</w:t>
      </w:r>
      <w:r>
        <w:rPr>
          <w:rFonts w:ascii="Microsoft Sans Serif" w:hAnsi="Microsoft Sans Serif" w:cs="Microsoft Sans Serif"/>
          <w:sz w:val="20"/>
        </w:rPr>
        <w:t xml:space="preserve"> </w:t>
      </w:r>
      <w:r>
        <w:rPr>
          <w:rFonts w:ascii="Microsoft Sans Serif" w:hAnsi="Microsoft Sans Serif" w:cs="Microsoft Sans Serif"/>
          <w:color w:val="000000"/>
          <w:sz w:val="20"/>
        </w:rPr>
        <w:t>dijabetesom tipa 2 i početnom nefropatijom (pogledati dio 5.1).</w:t>
      </w:r>
    </w:p>
    <w:p w14:paraId="273BB005">
      <w:pPr>
        <w:shd w:val="clear" w:color="auto" w:fill="FFFFFF"/>
        <w:jc w:val="both"/>
        <w:rPr>
          <w:rFonts w:ascii="Microsoft Sans Serif" w:hAnsi="Microsoft Sans Serif" w:cs="Microsoft Sans Serif"/>
          <w:color w:val="000000"/>
          <w:sz w:val="20"/>
        </w:rPr>
      </w:pPr>
    </w:p>
    <w:p w14:paraId="37DC6EE8">
      <w:pPr>
        <w:numPr>
          <w:ilvl w:val="1"/>
          <w:numId w:val="1"/>
        </w:numPr>
        <w:ind w:left="0" w:firstLine="0"/>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Doziranje i način primjene  </w:t>
      </w:r>
    </w:p>
    <w:p w14:paraId="1E9791E0">
      <w:pPr>
        <w:jc w:val="both"/>
        <w:rPr>
          <w:rFonts w:ascii="Microsoft Sans Serif" w:hAnsi="Microsoft Sans Serif" w:cs="Microsoft Sans Serif"/>
          <w:b/>
          <w:sz w:val="20"/>
        </w:rPr>
      </w:pPr>
    </w:p>
    <w:p w14:paraId="37C3FED0">
      <w:pPr>
        <w:rPr>
          <w:rFonts w:ascii="Microsoft Sans Serif" w:hAnsi="Microsoft Sans Serif" w:cs="Microsoft Sans Serif"/>
          <w:sz w:val="20"/>
          <w:u w:val="single"/>
        </w:rPr>
      </w:pPr>
      <w:r>
        <w:rPr>
          <w:rFonts w:ascii="Microsoft Sans Serif" w:hAnsi="Microsoft Sans Serif" w:cs="Microsoft Sans Serif"/>
          <w:sz w:val="20"/>
          <w:u w:val="single"/>
        </w:rPr>
        <w:t>Doziranje</w:t>
      </w:r>
    </w:p>
    <w:p w14:paraId="7513537E">
      <w:pPr>
        <w:jc w:val="both"/>
        <w:rPr>
          <w:rStyle w:val="40"/>
          <w:rFonts w:ascii="Microsoft Sans Serif" w:hAnsi="Microsoft Sans Serif" w:cs="Microsoft Sans Serif"/>
          <w:sz w:val="20"/>
          <w:shd w:val="clear" w:color="auto" w:fill="FFFFFF"/>
          <w:lang w:val="bs-Latn-BA"/>
        </w:rPr>
      </w:pPr>
    </w:p>
    <w:p w14:paraId="4B337816">
      <w:pPr>
        <w:jc w:val="both"/>
        <w:rPr>
          <w:rStyle w:val="40"/>
          <w:rFonts w:ascii="Microsoft Sans Serif" w:hAnsi="Microsoft Sans Serif" w:cs="Microsoft Sans Serif"/>
          <w:sz w:val="20"/>
          <w:shd w:val="clear" w:color="auto" w:fill="FFFFFF"/>
          <w:lang w:val="bs-Latn-BA"/>
        </w:rPr>
      </w:pPr>
      <w:r>
        <w:rPr>
          <w:rStyle w:val="40"/>
          <w:rFonts w:ascii="Microsoft Sans Serif" w:hAnsi="Microsoft Sans Serif" w:cs="Microsoft Sans Serif"/>
          <w:sz w:val="20"/>
          <w:shd w:val="clear" w:color="auto" w:fill="FFFFFF"/>
          <w:lang w:val="bs-Latn-BA"/>
        </w:rPr>
        <w:t>Lizinopril bi trebalo da bude primijenjen kao po</w:t>
      </w:r>
      <w:r>
        <w:rPr>
          <w:rStyle w:val="40"/>
          <w:rFonts w:ascii="Microsoft Sans Serif" w:hAnsi="Microsoft Sans Serif" w:cs="Microsoft Sans Serif"/>
          <w:sz w:val="20"/>
          <w:lang w:val="bs-Latn-BA"/>
        </w:rPr>
        <w:t>jedinačna dnevna doza</w:t>
      </w:r>
      <w:r>
        <w:rPr>
          <w:rStyle w:val="40"/>
          <w:rFonts w:ascii="Microsoft Sans Serif" w:hAnsi="Microsoft Sans Serif" w:cs="Microsoft Sans Serif"/>
          <w:sz w:val="20"/>
          <w:shd w:val="clear" w:color="auto" w:fill="FFFFFF"/>
          <w:lang w:val="bs-Latn-BA"/>
        </w:rPr>
        <w:t>. Kao i svi ostali preparati koji se primjenjuju kao po</w:t>
      </w:r>
      <w:r>
        <w:rPr>
          <w:rStyle w:val="40"/>
          <w:rFonts w:ascii="Microsoft Sans Serif" w:hAnsi="Microsoft Sans Serif" w:cs="Microsoft Sans Serif"/>
          <w:sz w:val="20"/>
          <w:lang w:val="bs-Latn-BA"/>
        </w:rPr>
        <w:t>jedinačna dnevna doza</w:t>
      </w:r>
      <w:r>
        <w:rPr>
          <w:rStyle w:val="40"/>
          <w:rFonts w:ascii="Microsoft Sans Serif" w:hAnsi="Microsoft Sans Serif" w:cs="Microsoft Sans Serif"/>
          <w:sz w:val="20"/>
          <w:shd w:val="clear" w:color="auto" w:fill="FFFFFF"/>
          <w:lang w:val="bs-Latn-BA"/>
        </w:rPr>
        <w:t xml:space="preserve"> i lijek Skopryl treba uzimati otprilike u isto vrijeme svaki dan. Dozu treba odrediti individualno prema profilu pacijenata i vrijednostima krvnog pritiska kao odgovor na terapiju (pogledati dio 4.4).</w:t>
      </w:r>
    </w:p>
    <w:p w14:paraId="1092C242">
      <w:pPr>
        <w:jc w:val="both"/>
        <w:rPr>
          <w:rFonts w:ascii="Microsoft Sans Serif" w:hAnsi="Microsoft Sans Serif" w:cs="Microsoft Sans Serif"/>
          <w:sz w:val="20"/>
          <w:lang w:val="bs-Latn-BA"/>
        </w:rPr>
      </w:pPr>
    </w:p>
    <w:p w14:paraId="693309E2">
      <w:pPr>
        <w:shd w:val="clear" w:color="auto" w:fill="FFFFFF"/>
        <w:jc w:val="both"/>
        <w:rPr>
          <w:rStyle w:val="40"/>
          <w:rFonts w:ascii="Microsoft Sans Serif" w:hAnsi="Microsoft Sans Serif" w:cs="Microsoft Sans Serif"/>
          <w:b/>
          <w:sz w:val="20"/>
          <w:lang w:val="bs-Latn-BA"/>
        </w:rPr>
      </w:pPr>
      <w:r>
        <w:rPr>
          <w:rStyle w:val="41"/>
          <w:rFonts w:ascii="Microsoft Sans Serif" w:hAnsi="Microsoft Sans Serif" w:cs="Microsoft Sans Serif"/>
          <w:b/>
          <w:sz w:val="20"/>
          <w:lang w:val="bs-Latn-BA"/>
        </w:rPr>
        <w:t>Hipertenzija</w:t>
      </w:r>
      <w:r>
        <w:rPr>
          <w:rStyle w:val="40"/>
          <w:rFonts w:ascii="Microsoft Sans Serif" w:hAnsi="Microsoft Sans Serif" w:cs="Microsoft Sans Serif"/>
          <w:b/>
          <w:sz w:val="20"/>
          <w:lang w:val="bs-Latn-BA"/>
        </w:rPr>
        <w:t xml:space="preserve"> </w:t>
      </w:r>
    </w:p>
    <w:p w14:paraId="660F0DDF">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 xml:space="preserve">Lijek Skopryl se može primjenjivati kao monoterapija ili u kombinaciji sa drugim antihipertenzivima </w:t>
      </w:r>
      <w:r>
        <w:rPr>
          <w:rFonts w:ascii="Microsoft Sans Serif" w:hAnsi="Microsoft Sans Serif" w:cs="Microsoft Sans Serif"/>
          <w:iCs/>
          <w:sz w:val="20"/>
        </w:rPr>
        <w:t>(pogledati dijelove 4.3, 4.4, 4.5 i 5.1)</w:t>
      </w:r>
      <w:r>
        <w:rPr>
          <w:rFonts w:ascii="Microsoft Sans Serif" w:hAnsi="Microsoft Sans Serif" w:cs="Microsoft Sans Serif"/>
          <w:color w:val="000000"/>
          <w:sz w:val="20"/>
        </w:rPr>
        <w:t>.</w:t>
      </w:r>
    </w:p>
    <w:p w14:paraId="6A941DFE">
      <w:pPr>
        <w:shd w:val="clear" w:color="auto" w:fill="FFFFFF"/>
        <w:rPr>
          <w:rFonts w:ascii="Microsoft Sans Serif" w:hAnsi="Microsoft Sans Serif" w:cs="Microsoft Sans Serif"/>
          <w:iCs/>
          <w:color w:val="000000"/>
          <w:sz w:val="20"/>
          <w:u w:val="single"/>
        </w:rPr>
      </w:pPr>
    </w:p>
    <w:p w14:paraId="4F4F8E63">
      <w:pPr>
        <w:shd w:val="clear" w:color="auto" w:fill="FFFFFF"/>
        <w:rPr>
          <w:rFonts w:ascii="Microsoft Sans Serif" w:hAnsi="Microsoft Sans Serif" w:cs="Microsoft Sans Serif"/>
          <w:sz w:val="20"/>
        </w:rPr>
      </w:pPr>
      <w:r>
        <w:rPr>
          <w:rFonts w:ascii="Microsoft Sans Serif" w:hAnsi="Microsoft Sans Serif" w:cs="Microsoft Sans Serif"/>
          <w:iCs/>
          <w:color w:val="000000"/>
          <w:sz w:val="20"/>
          <w:u w:val="single"/>
        </w:rPr>
        <w:t>Početna doza</w:t>
      </w:r>
    </w:p>
    <w:p w14:paraId="3A164222">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pacijenata sa hipertenzijom preporučuje se liječenje započeti dozom od 10 mg na dan. Kod pacijenata sa snažnijom aktivacijom sistema renin-angiotenzin-aldosteron (naročito onih sa renovaskularnom hipertenzijom, deplecijom soli i/ili volumena krvi, dekompenzacijom srca ili teškom hipertenzijom) nakon primjene inicijalne doze može doći do značajnog pada krvnog pritiska. Kod ovih pacijenata preporučena početna doza je 2,5 mg/dan do 5 mg/dan, a terapiju treba započeti pod pažljivim nadzorom ljekara. Kod pacijenata sa insuficijencijom bubrega liječenje se treba započeti nižom početnom dozom (pogledati Tabelu 1.).</w:t>
      </w:r>
    </w:p>
    <w:p w14:paraId="02F3E7D9">
      <w:pPr>
        <w:jc w:val="both"/>
        <w:rPr>
          <w:rFonts w:ascii="Microsoft Sans Serif" w:hAnsi="Microsoft Sans Serif" w:cs="Microsoft Sans Serif"/>
          <w:b/>
          <w:sz w:val="20"/>
          <w:lang w:val="bs-Latn-BA"/>
        </w:rPr>
      </w:pPr>
    </w:p>
    <w:p w14:paraId="62122CF9">
      <w:pPr>
        <w:shd w:val="clear" w:color="auto" w:fill="FFFFFF"/>
        <w:jc w:val="both"/>
        <w:rPr>
          <w:rFonts w:ascii="Microsoft Sans Serif" w:hAnsi="Microsoft Sans Serif" w:cs="Microsoft Sans Serif"/>
          <w:sz w:val="20"/>
        </w:rPr>
      </w:pPr>
      <w:r>
        <w:rPr>
          <w:rFonts w:ascii="Microsoft Sans Serif" w:hAnsi="Microsoft Sans Serif" w:cs="Microsoft Sans Serif"/>
          <w:iCs/>
          <w:color w:val="000000"/>
          <w:sz w:val="20"/>
          <w:u w:val="single"/>
        </w:rPr>
        <w:t>Doza održavanja</w:t>
      </w:r>
    </w:p>
    <w:p w14:paraId="6E542EB0">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Uobičajena efektivna doza održavanja je 20 mg, primijenjena kao jednokratna dnevna doza. Uopšteno, ukoliko zadovoljavajući terapijski efekat se ne može postići sa određenom dozom u periodu od 2 do 4 sedmice, dozu treba postepeno povećati. Maksimalna doza lizinoprila koja se primjenjivala tokom dugotrajnih kontroliranih kliničkih ispitivanja iznosila je 80 mg na dan.</w:t>
      </w:r>
    </w:p>
    <w:p w14:paraId="2E900BCD">
      <w:pPr>
        <w:jc w:val="both"/>
        <w:rPr>
          <w:rFonts w:ascii="Microsoft Sans Serif" w:hAnsi="Microsoft Sans Serif" w:cs="Microsoft Sans Serif"/>
          <w:b/>
          <w:sz w:val="20"/>
          <w:lang w:val="bs-Latn-BA"/>
        </w:rPr>
      </w:pPr>
    </w:p>
    <w:p w14:paraId="672186AB">
      <w:pPr>
        <w:jc w:val="both"/>
        <w:rPr>
          <w:rStyle w:val="41"/>
          <w:rFonts w:ascii="Microsoft Sans Serif" w:hAnsi="Microsoft Sans Serif" w:cs="Microsoft Sans Serif"/>
          <w:sz w:val="20"/>
          <w:u w:val="single"/>
          <w:lang w:val="bs-Latn-BA"/>
        </w:rPr>
      </w:pPr>
      <w:r>
        <w:rPr>
          <w:rStyle w:val="41"/>
          <w:rFonts w:ascii="Microsoft Sans Serif" w:hAnsi="Microsoft Sans Serif" w:cs="Microsoft Sans Serif"/>
          <w:sz w:val="20"/>
          <w:u w:val="single"/>
          <w:lang w:val="bs-Latn-BA"/>
        </w:rPr>
        <w:t>Pacijenti</w:t>
      </w:r>
      <w:r>
        <w:rPr>
          <w:rStyle w:val="40"/>
          <w:rFonts w:ascii="Microsoft Sans Serif" w:hAnsi="Microsoft Sans Serif" w:cs="Microsoft Sans Serif"/>
          <w:sz w:val="20"/>
          <w:u w:val="single"/>
          <w:lang w:val="bs-Latn-BA"/>
        </w:rPr>
        <w:t xml:space="preserve"> </w:t>
      </w:r>
      <w:r>
        <w:rPr>
          <w:rStyle w:val="41"/>
          <w:rFonts w:ascii="Microsoft Sans Serif" w:hAnsi="Microsoft Sans Serif" w:cs="Microsoft Sans Serif"/>
          <w:sz w:val="20"/>
          <w:u w:val="single"/>
          <w:lang w:val="bs-Latn-BA"/>
        </w:rPr>
        <w:t>liječeni</w:t>
      </w:r>
      <w:r>
        <w:rPr>
          <w:rStyle w:val="40"/>
          <w:rFonts w:ascii="Microsoft Sans Serif" w:hAnsi="Microsoft Sans Serif" w:cs="Microsoft Sans Serif"/>
          <w:sz w:val="20"/>
          <w:u w:val="single"/>
          <w:lang w:val="bs-Latn-BA"/>
        </w:rPr>
        <w:t xml:space="preserve"> </w:t>
      </w:r>
      <w:r>
        <w:rPr>
          <w:rStyle w:val="41"/>
          <w:rFonts w:ascii="Microsoft Sans Serif" w:hAnsi="Microsoft Sans Serif" w:cs="Microsoft Sans Serif"/>
          <w:sz w:val="20"/>
          <w:u w:val="single"/>
          <w:lang w:val="bs-Latn-BA"/>
        </w:rPr>
        <w:t>diureticima</w:t>
      </w:r>
    </w:p>
    <w:p w14:paraId="0C384E1A">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Moguća je pojava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simptomatske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hipotenzij</w:t>
      </w:r>
      <w:r>
        <w:rPr>
          <w:rStyle w:val="41"/>
          <w:rFonts w:ascii="Microsoft Sans Serif" w:hAnsi="Microsoft Sans Serif" w:cs="Microsoft Sans Serif"/>
          <w:sz w:val="20"/>
          <w:lang w:val="bs-Cyrl-BA"/>
        </w:rPr>
        <w:t>е</w:t>
      </w:r>
      <w:r>
        <w:rPr>
          <w:rStyle w:val="40"/>
          <w:rFonts w:ascii="Microsoft Sans Serif" w:hAnsi="Microsoft Sans Serif" w:cs="Microsoft Sans Serif"/>
          <w:sz w:val="20"/>
          <w:lang w:val="bs-Latn-BA"/>
        </w:rPr>
        <w:t xml:space="preserve"> prilikom započinjanje terapije sa lijekom </w:t>
      </w:r>
      <w:r>
        <w:rPr>
          <w:rStyle w:val="41"/>
          <w:rFonts w:ascii="Microsoft Sans Serif" w:hAnsi="Microsoft Sans Serif" w:cs="Microsoft Sans Serif"/>
          <w:sz w:val="20"/>
          <w:lang w:val="bs-Latn-BA"/>
        </w:rPr>
        <w:t>Skopryl</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Ovo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će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se vjerovatnije dogoditi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 pacijenata koji su 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terapiji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diureticima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Potrebno 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obratiti pažnju</w:t>
      </w:r>
      <w:r>
        <w:rPr>
          <w:rStyle w:val="40"/>
          <w:rFonts w:ascii="Microsoft Sans Serif" w:hAnsi="Microsoft Sans Serif" w:cs="Microsoft Sans Serif"/>
          <w:sz w:val="20"/>
          <w:lang w:val="bs-Latn-BA"/>
        </w:rPr>
        <w:t xml:space="preserve">, jer </w:t>
      </w:r>
      <w:r>
        <w:rPr>
          <w:rStyle w:val="41"/>
          <w:rFonts w:ascii="Microsoft Sans Serif" w:hAnsi="Microsoft Sans Serif" w:cs="Microsoft Sans Serif"/>
          <w:sz w:val="20"/>
          <w:lang w:val="bs-Latn-BA"/>
        </w:rPr>
        <w:t>kod ovih pacijenata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može doći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gubitka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tekućine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soli</w:t>
      </w:r>
      <w:r>
        <w:rPr>
          <w:rStyle w:val="40"/>
          <w:rFonts w:ascii="Microsoft Sans Serif" w:hAnsi="Microsoft Sans Serif" w:cs="Microsoft Sans Serif"/>
          <w:sz w:val="20"/>
          <w:lang w:val="bs-Latn-BA"/>
        </w:rPr>
        <w:t>.</w:t>
      </w:r>
    </w:p>
    <w:p w14:paraId="6718F836">
      <w:pPr>
        <w:shd w:val="clear" w:color="auto" w:fill="FFFFFF"/>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Ako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je moguće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diuretik se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treba prekinuti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dva do tri dana prije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početka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terapije</w:t>
      </w:r>
      <w:r>
        <w:rPr>
          <w:rStyle w:val="40"/>
          <w:rFonts w:ascii="Microsoft Sans Serif" w:hAnsi="Microsoft Sans Serif" w:cs="Microsoft Sans Serif"/>
          <w:sz w:val="20"/>
          <w:lang w:val="bs-Latn-BA"/>
        </w:rPr>
        <w:t xml:space="preserve"> lijekom </w:t>
      </w:r>
      <w:r>
        <w:rPr>
          <w:rStyle w:val="41"/>
          <w:rFonts w:ascii="Microsoft Sans Serif" w:hAnsi="Microsoft Sans Serif" w:cs="Microsoft Sans Serif"/>
          <w:sz w:val="20"/>
          <w:lang w:val="bs-Latn-BA"/>
        </w:rPr>
        <w:t>Skopryl</w:t>
      </w:r>
      <w:r>
        <w:rPr>
          <w:rStyle w:val="40"/>
          <w:rFonts w:ascii="Microsoft Sans Serif" w:hAnsi="Microsoft Sans Serif" w:cs="Microsoft Sans Serif"/>
          <w:sz w:val="20"/>
          <w:lang w:val="bs-Latn-BA"/>
        </w:rPr>
        <w:t>.</w:t>
      </w:r>
      <w:r>
        <w:rPr>
          <w:rFonts w:ascii="Microsoft Sans Serif" w:hAnsi="Microsoft Sans Serif" w:cs="Microsoft Sans Serif"/>
          <w:color w:val="000000"/>
          <w:sz w:val="20"/>
        </w:rPr>
        <w:t xml:space="preserve"> Kod hipertenzivnih pacijenata kod kojih primjenu diuretika nije moguće prekinuti, liječenje sa lijekom Skopryl treba započeti dozom od 5 mg na dan. Potrebno je pratiti renalnu funkciju i koncentracije kalijuma u serumu. Daljnje doziranje treba prilagoditi prema vrijednostima krvnog pritiska kao odgovor terapiji. Ukoliko je potrebno, može se ponovo započeti sa primjenom diuretika (pogledati dijelove 4.4 i 4.5</w:t>
      </w:r>
      <w:r>
        <w:rPr>
          <w:rFonts w:ascii="Microsoft Sans Serif" w:hAnsi="Microsoft Sans Serif" w:cs="Microsoft Sans Serif"/>
          <w:iCs/>
          <w:color w:val="000000"/>
          <w:sz w:val="20"/>
        </w:rPr>
        <w:t>).</w:t>
      </w:r>
    </w:p>
    <w:p w14:paraId="43F7155F">
      <w:pPr>
        <w:jc w:val="both"/>
        <w:rPr>
          <w:rFonts w:ascii="Microsoft Sans Serif" w:hAnsi="Microsoft Sans Serif" w:cs="Microsoft Sans Serif"/>
          <w:sz w:val="20"/>
          <w:lang w:val="bs-Latn-BA"/>
        </w:rPr>
      </w:pPr>
    </w:p>
    <w:p w14:paraId="78FBAA9C">
      <w:pPr>
        <w:shd w:val="clear" w:color="auto" w:fill="FFFFFF"/>
        <w:rPr>
          <w:rFonts w:ascii="Microsoft Sans Serif" w:hAnsi="Microsoft Sans Serif" w:cs="Microsoft Sans Serif"/>
          <w:sz w:val="20"/>
          <w:u w:val="single"/>
        </w:rPr>
      </w:pPr>
      <w:r>
        <w:rPr>
          <w:rFonts w:ascii="Microsoft Sans Serif" w:hAnsi="Microsoft Sans Serif" w:cs="Microsoft Sans Serif"/>
          <w:iCs/>
          <w:color w:val="000000"/>
          <w:sz w:val="20"/>
          <w:u w:val="single"/>
        </w:rPr>
        <w:t>Pacijenti sa poremećenom funkcijom bubrega</w:t>
      </w:r>
    </w:p>
    <w:p w14:paraId="69CD1F5A">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Doziranje kod pacijenata sa poremećenom funkcijom bubrega treba prilagoditi na temelju vrijednosti klirensa kreatinina kao sto je prikazano u Tabeli 1:</w:t>
      </w:r>
    </w:p>
    <w:p w14:paraId="7D38A31F">
      <w:pPr>
        <w:shd w:val="clear" w:color="auto" w:fill="FFFFFF"/>
        <w:jc w:val="both"/>
        <w:rPr>
          <w:rFonts w:ascii="Microsoft Sans Serif" w:hAnsi="Microsoft Sans Serif" w:cs="Microsoft Sans Serif"/>
          <w:color w:val="000000"/>
          <w:sz w:val="20"/>
        </w:rPr>
      </w:pPr>
    </w:p>
    <w:p w14:paraId="00D6DDE4">
      <w:pPr>
        <w:shd w:val="clear" w:color="auto" w:fill="FFFFFF"/>
        <w:jc w:val="both"/>
        <w:rPr>
          <w:rFonts w:ascii="Microsoft Sans Serif" w:hAnsi="Microsoft Sans Serif" w:cs="Microsoft Sans Serif"/>
          <w:b/>
          <w:color w:val="000000"/>
          <w:sz w:val="20"/>
        </w:rPr>
      </w:pPr>
      <w:r>
        <w:rPr>
          <w:rFonts w:ascii="Microsoft Sans Serif" w:hAnsi="Microsoft Sans Serif" w:cs="Microsoft Sans Serif"/>
          <w:b/>
          <w:color w:val="000000"/>
          <w:sz w:val="20"/>
        </w:rPr>
        <w:t>Tabela 1. Doziranje kod pacijenata sa poremećenom funkcijom bubrega</w:t>
      </w:r>
    </w:p>
    <w:p w14:paraId="4E0B3098">
      <w:pPr>
        <w:shd w:val="clear" w:color="auto" w:fill="FFFFFF"/>
        <w:jc w:val="both"/>
        <w:rPr>
          <w:rFonts w:ascii="Microsoft Sans Serif" w:hAnsi="Microsoft Sans Serif" w:cs="Microsoft Sans Serif"/>
          <w:color w:val="000000"/>
          <w:sz w:val="20"/>
        </w:rPr>
      </w:pPr>
    </w:p>
    <w:tbl>
      <w:tblPr>
        <w:tblStyle w:val="8"/>
        <w:tblW w:w="0" w:type="auto"/>
        <w:tblInd w:w="40" w:type="dxa"/>
        <w:tblLayout w:type="fixed"/>
        <w:tblCellMar>
          <w:top w:w="0" w:type="dxa"/>
          <w:left w:w="40" w:type="dxa"/>
          <w:bottom w:w="0" w:type="dxa"/>
          <w:right w:w="40" w:type="dxa"/>
        </w:tblCellMar>
      </w:tblPr>
      <w:tblGrid>
        <w:gridCol w:w="5002"/>
        <w:gridCol w:w="3235"/>
      </w:tblGrid>
      <w:tr w14:paraId="3B12957B">
        <w:tblPrEx>
          <w:tblCellMar>
            <w:top w:w="0" w:type="dxa"/>
            <w:left w:w="40" w:type="dxa"/>
            <w:bottom w:w="0" w:type="dxa"/>
            <w:right w:w="40" w:type="dxa"/>
          </w:tblCellMar>
        </w:tblPrEx>
        <w:trPr>
          <w:trHeight w:val="576" w:hRule="exact"/>
        </w:trPr>
        <w:tc>
          <w:tcPr>
            <w:tcW w:w="5002" w:type="dxa"/>
            <w:tcBorders>
              <w:top w:val="single" w:color="auto" w:sz="6" w:space="0"/>
              <w:left w:val="single" w:color="auto" w:sz="6" w:space="0"/>
              <w:bottom w:val="single" w:color="auto" w:sz="6" w:space="0"/>
              <w:right w:val="single" w:color="auto" w:sz="6" w:space="0"/>
            </w:tcBorders>
            <w:shd w:val="clear" w:color="auto" w:fill="FFFFFF"/>
          </w:tcPr>
          <w:p w14:paraId="1E541CFA">
            <w:pPr>
              <w:shd w:val="clear" w:color="auto" w:fill="FFFFFF"/>
              <w:rPr>
                <w:rFonts w:ascii="Microsoft Sans Serif" w:hAnsi="Microsoft Sans Serif" w:cs="Microsoft Sans Serif"/>
                <w:b/>
                <w:sz w:val="20"/>
              </w:rPr>
            </w:pPr>
            <w:r>
              <w:rPr>
                <w:rFonts w:ascii="Microsoft Sans Serif" w:hAnsi="Microsoft Sans Serif" w:cs="Microsoft Sans Serif"/>
                <w:b/>
                <w:bCs/>
                <w:iCs/>
                <w:color w:val="000000"/>
                <w:sz w:val="20"/>
              </w:rPr>
              <w:t>Klirens kreatinina (ml/min)</w:t>
            </w:r>
          </w:p>
        </w:tc>
        <w:tc>
          <w:tcPr>
            <w:tcW w:w="3235" w:type="dxa"/>
            <w:tcBorders>
              <w:top w:val="single" w:color="auto" w:sz="6" w:space="0"/>
              <w:left w:val="single" w:color="auto" w:sz="6" w:space="0"/>
              <w:bottom w:val="single" w:color="auto" w:sz="6" w:space="0"/>
              <w:right w:val="single" w:color="auto" w:sz="6" w:space="0"/>
            </w:tcBorders>
            <w:shd w:val="clear" w:color="auto" w:fill="FFFFFF"/>
          </w:tcPr>
          <w:p w14:paraId="1BE85506">
            <w:pPr>
              <w:shd w:val="clear" w:color="auto" w:fill="FFFFFF"/>
              <w:rPr>
                <w:rFonts w:ascii="Microsoft Sans Serif" w:hAnsi="Microsoft Sans Serif" w:cs="Microsoft Sans Serif"/>
                <w:b/>
                <w:sz w:val="20"/>
              </w:rPr>
            </w:pPr>
            <w:r>
              <w:rPr>
                <w:rFonts w:ascii="Microsoft Sans Serif" w:hAnsi="Microsoft Sans Serif" w:cs="Microsoft Sans Serif"/>
                <w:b/>
                <w:bCs/>
                <w:iCs/>
                <w:color w:val="000000"/>
                <w:sz w:val="20"/>
              </w:rPr>
              <w:t>Početna doza (mg/dan)</w:t>
            </w:r>
          </w:p>
        </w:tc>
      </w:tr>
      <w:tr w14:paraId="028D097A">
        <w:tblPrEx>
          <w:tblCellMar>
            <w:top w:w="0" w:type="dxa"/>
            <w:left w:w="40" w:type="dxa"/>
            <w:bottom w:w="0" w:type="dxa"/>
            <w:right w:w="40" w:type="dxa"/>
          </w:tblCellMar>
        </w:tblPrEx>
        <w:trPr>
          <w:trHeight w:val="307" w:hRule="exact"/>
        </w:trPr>
        <w:tc>
          <w:tcPr>
            <w:tcW w:w="5002" w:type="dxa"/>
            <w:tcBorders>
              <w:top w:val="single" w:color="auto" w:sz="6" w:space="0"/>
              <w:left w:val="single" w:color="auto" w:sz="6" w:space="0"/>
              <w:bottom w:val="single" w:color="auto" w:sz="6" w:space="0"/>
              <w:right w:val="single" w:color="auto" w:sz="6" w:space="0"/>
            </w:tcBorders>
            <w:shd w:val="clear" w:color="auto" w:fill="FFFFFF"/>
          </w:tcPr>
          <w:p w14:paraId="52FD6267">
            <w:pPr>
              <w:shd w:val="clear" w:color="auto" w:fill="FFFFFF"/>
              <w:rPr>
                <w:rFonts w:ascii="Microsoft Sans Serif" w:hAnsi="Microsoft Sans Serif" w:cs="Microsoft Sans Serif"/>
                <w:sz w:val="20"/>
              </w:rPr>
            </w:pPr>
            <w:r>
              <w:rPr>
                <w:rFonts w:ascii="Microsoft Sans Serif" w:hAnsi="Microsoft Sans Serif" w:cs="Microsoft Sans Serif"/>
                <w:color w:val="000000"/>
                <w:sz w:val="20"/>
              </w:rPr>
              <w:t xml:space="preserve">&lt; </w:t>
            </w:r>
            <w:r>
              <w:rPr>
                <w:rFonts w:ascii="Microsoft Sans Serif" w:hAnsi="Microsoft Sans Serif" w:cs="Microsoft Sans Serif"/>
                <w:bCs/>
                <w:color w:val="000000"/>
                <w:sz w:val="20"/>
              </w:rPr>
              <w:t>10 (uključujući i pacijente na dijalizi)</w:t>
            </w:r>
          </w:p>
        </w:tc>
        <w:tc>
          <w:tcPr>
            <w:tcW w:w="3235" w:type="dxa"/>
            <w:tcBorders>
              <w:top w:val="single" w:color="auto" w:sz="6" w:space="0"/>
              <w:left w:val="single" w:color="auto" w:sz="6" w:space="0"/>
              <w:bottom w:val="single" w:color="auto" w:sz="6" w:space="0"/>
              <w:right w:val="single" w:color="auto" w:sz="6" w:space="0"/>
            </w:tcBorders>
            <w:shd w:val="clear" w:color="auto" w:fill="FFFFFF"/>
          </w:tcPr>
          <w:p w14:paraId="5DB4F7A3">
            <w:pPr>
              <w:shd w:val="clear" w:color="auto" w:fill="FFFFFF"/>
              <w:rPr>
                <w:rFonts w:ascii="Microsoft Sans Serif" w:hAnsi="Microsoft Sans Serif" w:cs="Microsoft Sans Serif"/>
                <w:sz w:val="20"/>
              </w:rPr>
            </w:pPr>
            <w:r>
              <w:rPr>
                <w:rFonts w:ascii="Microsoft Sans Serif" w:hAnsi="Microsoft Sans Serif" w:cs="Microsoft Sans Serif"/>
                <w:color w:val="000000"/>
                <w:sz w:val="20"/>
              </w:rPr>
              <w:t>2,5 mg*</w:t>
            </w:r>
          </w:p>
        </w:tc>
      </w:tr>
      <w:tr w14:paraId="2C965107">
        <w:tblPrEx>
          <w:tblCellMar>
            <w:top w:w="0" w:type="dxa"/>
            <w:left w:w="40" w:type="dxa"/>
            <w:bottom w:w="0" w:type="dxa"/>
            <w:right w:w="40" w:type="dxa"/>
          </w:tblCellMar>
        </w:tblPrEx>
        <w:trPr>
          <w:trHeight w:val="298" w:hRule="exact"/>
        </w:trPr>
        <w:tc>
          <w:tcPr>
            <w:tcW w:w="5002" w:type="dxa"/>
            <w:tcBorders>
              <w:top w:val="single" w:color="auto" w:sz="6" w:space="0"/>
              <w:left w:val="single" w:color="auto" w:sz="6" w:space="0"/>
              <w:bottom w:val="single" w:color="auto" w:sz="6" w:space="0"/>
              <w:right w:val="single" w:color="auto" w:sz="6" w:space="0"/>
            </w:tcBorders>
            <w:shd w:val="clear" w:color="auto" w:fill="FFFFFF"/>
          </w:tcPr>
          <w:p w14:paraId="77B137F4">
            <w:pPr>
              <w:shd w:val="clear" w:color="auto" w:fill="FFFFFF"/>
              <w:rPr>
                <w:rFonts w:ascii="Microsoft Sans Serif" w:hAnsi="Microsoft Sans Serif" w:cs="Microsoft Sans Serif"/>
                <w:sz w:val="20"/>
              </w:rPr>
            </w:pPr>
            <w:r>
              <w:rPr>
                <w:rFonts w:ascii="Microsoft Sans Serif" w:hAnsi="Microsoft Sans Serif" w:cs="Microsoft Sans Serif"/>
                <w:bCs/>
                <w:color w:val="000000"/>
                <w:sz w:val="20"/>
              </w:rPr>
              <w:t>10-30</w:t>
            </w:r>
          </w:p>
        </w:tc>
        <w:tc>
          <w:tcPr>
            <w:tcW w:w="3235" w:type="dxa"/>
            <w:tcBorders>
              <w:top w:val="single" w:color="auto" w:sz="6" w:space="0"/>
              <w:left w:val="single" w:color="auto" w:sz="6" w:space="0"/>
              <w:bottom w:val="single" w:color="auto" w:sz="6" w:space="0"/>
              <w:right w:val="single" w:color="auto" w:sz="6" w:space="0"/>
            </w:tcBorders>
            <w:shd w:val="clear" w:color="auto" w:fill="FFFFFF"/>
          </w:tcPr>
          <w:p w14:paraId="64BC730B">
            <w:pPr>
              <w:shd w:val="clear" w:color="auto" w:fill="FFFFFF"/>
              <w:rPr>
                <w:rFonts w:ascii="Microsoft Sans Serif" w:hAnsi="Microsoft Sans Serif" w:cs="Microsoft Sans Serif"/>
                <w:sz w:val="20"/>
              </w:rPr>
            </w:pPr>
            <w:r>
              <w:rPr>
                <w:rFonts w:ascii="Microsoft Sans Serif" w:hAnsi="Microsoft Sans Serif" w:cs="Microsoft Sans Serif"/>
                <w:bCs/>
                <w:color w:val="000000"/>
                <w:sz w:val="20"/>
              </w:rPr>
              <w:t>2,5-5 mg</w:t>
            </w:r>
          </w:p>
        </w:tc>
      </w:tr>
      <w:tr w14:paraId="4760695B">
        <w:tblPrEx>
          <w:tblCellMar>
            <w:top w:w="0" w:type="dxa"/>
            <w:left w:w="40" w:type="dxa"/>
            <w:bottom w:w="0" w:type="dxa"/>
            <w:right w:w="40" w:type="dxa"/>
          </w:tblCellMar>
        </w:tblPrEx>
        <w:trPr>
          <w:trHeight w:val="307" w:hRule="exact"/>
        </w:trPr>
        <w:tc>
          <w:tcPr>
            <w:tcW w:w="5002" w:type="dxa"/>
            <w:tcBorders>
              <w:top w:val="single" w:color="auto" w:sz="6" w:space="0"/>
              <w:left w:val="single" w:color="auto" w:sz="6" w:space="0"/>
              <w:bottom w:val="single" w:color="auto" w:sz="6" w:space="0"/>
              <w:right w:val="single" w:color="auto" w:sz="6" w:space="0"/>
            </w:tcBorders>
            <w:shd w:val="clear" w:color="auto" w:fill="FFFFFF"/>
          </w:tcPr>
          <w:p w14:paraId="1DAF3FD4">
            <w:pPr>
              <w:shd w:val="clear" w:color="auto" w:fill="FFFFFF"/>
              <w:rPr>
                <w:rFonts w:ascii="Microsoft Sans Serif" w:hAnsi="Microsoft Sans Serif" w:cs="Microsoft Sans Serif"/>
                <w:sz w:val="20"/>
              </w:rPr>
            </w:pPr>
            <w:r>
              <w:rPr>
                <w:rFonts w:ascii="Microsoft Sans Serif" w:hAnsi="Microsoft Sans Serif" w:cs="Microsoft Sans Serif"/>
                <w:bCs/>
                <w:color w:val="000000"/>
                <w:sz w:val="20"/>
              </w:rPr>
              <w:t>31-80</w:t>
            </w:r>
          </w:p>
        </w:tc>
        <w:tc>
          <w:tcPr>
            <w:tcW w:w="3235" w:type="dxa"/>
            <w:tcBorders>
              <w:top w:val="single" w:color="auto" w:sz="6" w:space="0"/>
              <w:left w:val="single" w:color="auto" w:sz="6" w:space="0"/>
              <w:bottom w:val="single" w:color="auto" w:sz="6" w:space="0"/>
              <w:right w:val="single" w:color="auto" w:sz="6" w:space="0"/>
            </w:tcBorders>
            <w:shd w:val="clear" w:color="auto" w:fill="FFFFFF"/>
          </w:tcPr>
          <w:p w14:paraId="67306A06">
            <w:pPr>
              <w:shd w:val="clear" w:color="auto" w:fill="FFFFFF"/>
              <w:rPr>
                <w:rFonts w:ascii="Microsoft Sans Serif" w:hAnsi="Microsoft Sans Serif" w:cs="Microsoft Sans Serif"/>
                <w:sz w:val="20"/>
              </w:rPr>
            </w:pPr>
            <w:r>
              <w:rPr>
                <w:rFonts w:ascii="Microsoft Sans Serif" w:hAnsi="Microsoft Sans Serif" w:cs="Microsoft Sans Serif"/>
                <w:bCs/>
                <w:color w:val="000000"/>
                <w:sz w:val="20"/>
              </w:rPr>
              <w:t>5-10 mg</w:t>
            </w:r>
          </w:p>
        </w:tc>
      </w:tr>
    </w:tbl>
    <w:p w14:paraId="58B6A797">
      <w:pPr>
        <w:shd w:val="clear" w:color="auto" w:fill="FFFFFF"/>
        <w:jc w:val="both"/>
        <w:rPr>
          <w:rFonts w:ascii="Microsoft Sans Serif" w:hAnsi="Microsoft Sans Serif" w:cs="Microsoft Sans Serif"/>
          <w:b/>
          <w:bCs/>
          <w:color w:val="000000"/>
          <w:sz w:val="20"/>
        </w:rPr>
      </w:pPr>
      <w:r>
        <w:rPr>
          <w:rFonts w:ascii="Microsoft Sans Serif" w:hAnsi="Microsoft Sans Serif" w:cs="Microsoft Sans Serif"/>
          <w:color w:val="000000"/>
          <w:sz w:val="20"/>
        </w:rPr>
        <w:t>* Doziranje i/ili učestalost primjene treba prilagoditi u skladu sa vrijednostima krvnog pritiska.</w:t>
      </w:r>
    </w:p>
    <w:p w14:paraId="72483C65">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Doza se može povećavati sve dok se ne uspostavi kontrola krvnog pritiska ili do najviše 40 mg na dan.</w:t>
      </w:r>
    </w:p>
    <w:p w14:paraId="5841E826">
      <w:pPr>
        <w:shd w:val="clear" w:color="auto" w:fill="FFFFFF"/>
        <w:rPr>
          <w:rFonts w:ascii="Microsoft Sans Serif" w:hAnsi="Microsoft Sans Serif" w:cs="Microsoft Sans Serif"/>
          <w:b/>
          <w:bCs/>
          <w:color w:val="000000"/>
          <w:sz w:val="20"/>
        </w:rPr>
      </w:pPr>
    </w:p>
    <w:p w14:paraId="7373E493">
      <w:pPr>
        <w:jc w:val="both"/>
        <w:rPr>
          <w:rStyle w:val="41"/>
          <w:rFonts w:ascii="Microsoft Sans Serif" w:hAnsi="Microsoft Sans Serif" w:cs="Microsoft Sans Serif"/>
          <w:sz w:val="20"/>
          <w:u w:val="single"/>
          <w:lang w:val="bs-Latn-BA"/>
        </w:rPr>
      </w:pPr>
      <w:r>
        <w:rPr>
          <w:rStyle w:val="41"/>
          <w:rFonts w:ascii="Microsoft Sans Serif" w:hAnsi="Microsoft Sans Serif" w:cs="Microsoft Sans Serif"/>
          <w:sz w:val="20"/>
          <w:u w:val="single"/>
          <w:lang w:val="bs-Latn-BA"/>
        </w:rPr>
        <w:t>Upotreba kod hipertenzivnih</w:t>
      </w:r>
      <w:r>
        <w:rPr>
          <w:rStyle w:val="40"/>
          <w:rFonts w:ascii="Microsoft Sans Serif" w:hAnsi="Microsoft Sans Serif" w:cs="Microsoft Sans Serif"/>
          <w:sz w:val="20"/>
          <w:u w:val="single"/>
          <w:lang w:val="bs-Latn-BA"/>
        </w:rPr>
        <w:t xml:space="preserve"> </w:t>
      </w:r>
      <w:r>
        <w:rPr>
          <w:rStyle w:val="41"/>
          <w:rFonts w:ascii="Microsoft Sans Serif" w:hAnsi="Microsoft Sans Serif" w:cs="Microsoft Sans Serif"/>
          <w:sz w:val="20"/>
          <w:u w:val="single"/>
          <w:lang w:val="bs-Latn-BA"/>
        </w:rPr>
        <w:t>pedijatrijskih</w:t>
      </w:r>
      <w:r>
        <w:rPr>
          <w:rStyle w:val="40"/>
          <w:rFonts w:ascii="Microsoft Sans Serif" w:hAnsi="Microsoft Sans Serif" w:cs="Microsoft Sans Serif"/>
          <w:sz w:val="20"/>
          <w:u w:val="single"/>
          <w:lang w:val="bs-Latn-BA"/>
        </w:rPr>
        <w:t xml:space="preserve"> </w:t>
      </w:r>
      <w:r>
        <w:rPr>
          <w:rStyle w:val="41"/>
          <w:rFonts w:ascii="Microsoft Sans Serif" w:hAnsi="Microsoft Sans Serif" w:cs="Microsoft Sans Serif"/>
          <w:sz w:val="20"/>
          <w:u w:val="single"/>
          <w:lang w:val="bs-Latn-BA"/>
        </w:rPr>
        <w:t>pacijenata uzrasta od</w:t>
      </w:r>
      <w:r>
        <w:rPr>
          <w:rStyle w:val="40"/>
          <w:rFonts w:ascii="Microsoft Sans Serif" w:hAnsi="Microsoft Sans Serif" w:cs="Microsoft Sans Serif"/>
          <w:sz w:val="20"/>
          <w:u w:val="single"/>
          <w:lang w:val="bs-Latn-BA"/>
        </w:rPr>
        <w:t xml:space="preserve"> </w:t>
      </w:r>
      <w:r>
        <w:rPr>
          <w:rStyle w:val="41"/>
          <w:rFonts w:ascii="Microsoft Sans Serif" w:hAnsi="Microsoft Sans Serif" w:cs="Microsoft Sans Serif"/>
          <w:sz w:val="20"/>
          <w:u w:val="single"/>
          <w:lang w:val="bs-Latn-BA"/>
        </w:rPr>
        <w:t>6 do 16 godina</w:t>
      </w:r>
    </w:p>
    <w:p w14:paraId="4A67C0B2">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Preporučena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početna doza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je 2,5</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 jedanput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dnevno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 20 kg do</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 xml:space="preserve">&lt; </w:t>
      </w:r>
      <w:r>
        <w:rPr>
          <w:rStyle w:val="40"/>
          <w:rFonts w:ascii="Microsoft Sans Serif" w:hAnsi="Microsoft Sans Serif" w:cs="Microsoft Sans Serif"/>
          <w:sz w:val="20"/>
          <w:lang w:val="bs-Latn-BA"/>
        </w:rPr>
        <w:t xml:space="preserve">50 </w:t>
      </w:r>
      <w:r>
        <w:rPr>
          <w:rStyle w:val="41"/>
          <w:rFonts w:ascii="Microsoft Sans Serif" w:hAnsi="Microsoft Sans Serif" w:cs="Microsoft Sans Serif"/>
          <w:sz w:val="20"/>
          <w:lang w:val="bs-Latn-BA"/>
        </w:rPr>
        <w:t>kg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5</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jedanput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dnevno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w:t>
      </w:r>
      <w:r>
        <w:rPr>
          <w:rStyle w:val="40"/>
          <w:rFonts w:ascii="Microsoft Sans Serif" w:hAnsi="Microsoft Sans Serif" w:cs="Microsoft Sans Serif"/>
          <w:sz w:val="20"/>
          <w:lang w:val="bs-Latn-BA"/>
        </w:rPr>
        <w:t xml:space="preserve"> sa tjelesnom težinom </w:t>
      </w:r>
      <w:r>
        <w:rPr>
          <w:rStyle w:val="41"/>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50</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Dozu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treba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individualno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prilagoditi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 maksimalno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20</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dnevno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w:t>
      </w:r>
      <w:r>
        <w:rPr>
          <w:rStyle w:val="40"/>
          <w:rFonts w:ascii="Microsoft Sans Serif" w:hAnsi="Microsoft Sans Serif" w:cs="Microsoft Sans Serif"/>
          <w:sz w:val="20"/>
          <w:lang w:val="bs-Latn-BA"/>
        </w:rPr>
        <w:t xml:space="preserve"> tjelesne </w:t>
      </w:r>
      <w:r>
        <w:rPr>
          <w:rStyle w:val="41"/>
          <w:rFonts w:ascii="Microsoft Sans Serif" w:hAnsi="Microsoft Sans Serif" w:cs="Microsoft Sans Serif"/>
          <w:sz w:val="20"/>
          <w:lang w:val="bs-Latn-BA"/>
        </w:rPr>
        <w:t>težine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 20 kg do</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 xml:space="preserve">&lt; </w:t>
      </w:r>
      <w:r>
        <w:rPr>
          <w:rStyle w:val="40"/>
          <w:rFonts w:ascii="Microsoft Sans Serif" w:hAnsi="Microsoft Sans Serif" w:cs="Microsoft Sans Serif"/>
          <w:sz w:val="20"/>
          <w:lang w:val="bs-Latn-BA"/>
        </w:rPr>
        <w:t xml:space="preserve">50 </w:t>
      </w:r>
      <w:r>
        <w:rPr>
          <w:rStyle w:val="41"/>
          <w:rFonts w:ascii="Microsoft Sans Serif" w:hAnsi="Microsoft Sans Serif" w:cs="Microsoft Sans Serif"/>
          <w:sz w:val="20"/>
          <w:lang w:val="bs-Latn-BA"/>
        </w:rPr>
        <w:t>kg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40</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w:t>
      </w:r>
      <w:r>
        <w:rPr>
          <w:rStyle w:val="40"/>
          <w:rFonts w:ascii="Microsoft Sans Serif" w:hAnsi="Microsoft Sans Serif" w:cs="Microsoft Sans Serif"/>
          <w:sz w:val="20"/>
          <w:lang w:val="bs-Latn-BA"/>
        </w:rPr>
        <w:t xml:space="preserve"> sa tjelesnom težinom </w:t>
      </w:r>
      <w:r>
        <w:rPr>
          <w:rStyle w:val="41"/>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50</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Doze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veće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0,61</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mg/kg</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ili </w:t>
      </w:r>
      <w:r>
        <w:rPr>
          <w:rStyle w:val="41"/>
          <w:rFonts w:ascii="Microsoft Sans Serif" w:hAnsi="Microsoft Sans Serif" w:cs="Microsoft Sans Serif"/>
          <w:sz w:val="20"/>
          <w:lang w:val="bs-Latn-BA"/>
        </w:rPr>
        <w:t>40</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w:t>
      </w:r>
      <w:r>
        <w:rPr>
          <w:rStyle w:val="40"/>
          <w:rFonts w:ascii="Microsoft Sans Serif" w:hAnsi="Microsoft Sans Serif" w:cs="Microsoft Sans Serif"/>
          <w:sz w:val="20"/>
          <w:lang w:val="bs-Latn-BA"/>
        </w:rPr>
        <w:t xml:space="preserve">) nisu </w:t>
      </w:r>
      <w:r>
        <w:rPr>
          <w:rStyle w:val="41"/>
          <w:rFonts w:ascii="Microsoft Sans Serif" w:hAnsi="Microsoft Sans Serif" w:cs="Microsoft Sans Serif"/>
          <w:sz w:val="20"/>
          <w:lang w:val="bs-Latn-BA"/>
        </w:rPr>
        <w:t>ispitivane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pedijatrijskih</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pacijenta</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pogledati dio </w:t>
      </w:r>
      <w:r>
        <w:rPr>
          <w:rStyle w:val="41"/>
          <w:rFonts w:ascii="Microsoft Sans Serif" w:hAnsi="Microsoft Sans Serif" w:cs="Microsoft Sans Serif"/>
          <w:sz w:val="20"/>
          <w:lang w:val="bs-Latn-BA"/>
        </w:rPr>
        <w:t>5.1)</w:t>
      </w:r>
      <w:r>
        <w:rPr>
          <w:rStyle w:val="40"/>
          <w:rFonts w:ascii="Microsoft Sans Serif" w:hAnsi="Microsoft Sans Serif" w:cs="Microsoft Sans Serif"/>
          <w:sz w:val="20"/>
          <w:lang w:val="bs-Latn-BA"/>
        </w:rPr>
        <w:t xml:space="preserve">. </w:t>
      </w:r>
    </w:p>
    <w:p w14:paraId="4014D563">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djece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 smanjenom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bubrežnom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funkcijom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zahtijevaju</w:t>
      </w:r>
      <w:r>
        <w:rPr>
          <w:rStyle w:val="40"/>
          <w:rFonts w:ascii="Microsoft Sans Serif" w:hAnsi="Microsoft Sans Serif" w:cs="Microsoft Sans Serif"/>
          <w:sz w:val="20"/>
          <w:lang w:val="bs-Latn-BA"/>
        </w:rPr>
        <w:t xml:space="preserve"> se </w:t>
      </w:r>
      <w:r>
        <w:rPr>
          <w:rStyle w:val="41"/>
          <w:rFonts w:ascii="Microsoft Sans Serif" w:hAnsi="Microsoft Sans Serif" w:cs="Microsoft Sans Serif"/>
          <w:sz w:val="20"/>
          <w:lang w:val="bs-Latn-BA"/>
        </w:rPr>
        <w:t>niže početne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doze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povećan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interval između doza.</w:t>
      </w:r>
    </w:p>
    <w:p w14:paraId="7A4B05B6">
      <w:pPr>
        <w:jc w:val="both"/>
        <w:rPr>
          <w:rFonts w:ascii="Microsoft Sans Serif" w:hAnsi="Microsoft Sans Serif" w:cs="Microsoft Sans Serif"/>
          <w:sz w:val="20"/>
          <w:lang w:val="bs-Latn-BA"/>
        </w:rPr>
      </w:pPr>
    </w:p>
    <w:p w14:paraId="2B2713A6">
      <w:pPr>
        <w:jc w:val="both"/>
        <w:rPr>
          <w:rStyle w:val="40"/>
          <w:rFonts w:ascii="Microsoft Sans Serif" w:hAnsi="Microsoft Sans Serif" w:cs="Microsoft Sans Serif"/>
          <w:b/>
          <w:sz w:val="20"/>
          <w:lang w:val="bs-Latn-BA"/>
        </w:rPr>
      </w:pPr>
      <w:r>
        <w:rPr>
          <w:rFonts w:ascii="Microsoft Sans Serif" w:hAnsi="Microsoft Sans Serif" w:cs="Microsoft Sans Serif"/>
          <w:b/>
          <w:bCs/>
          <w:iCs/>
          <w:color w:val="000000"/>
          <w:sz w:val="20"/>
        </w:rPr>
        <w:t xml:space="preserve">Insuficijencija </w:t>
      </w:r>
      <w:r>
        <w:rPr>
          <w:rStyle w:val="40"/>
          <w:rFonts w:ascii="Microsoft Sans Serif" w:hAnsi="Microsoft Sans Serif" w:cs="Microsoft Sans Serif"/>
          <w:b/>
          <w:sz w:val="20"/>
          <w:lang w:val="bs-Latn-BA"/>
        </w:rPr>
        <w:t>srca</w:t>
      </w:r>
    </w:p>
    <w:p w14:paraId="15299CF3">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Kod pacijenata sa simptomatskom insuficijencijom srca lizinopril se treba primjenjivati zajedno sa diureticima te, ukoliko je potrebno, digitalisom ili beta-blokatorima. Uobičajena početna doza, koja se mora primijeniti pod ljekarskim nadzorom kako bi se odredio početni efekat na krvni pritisak, iznosi 2,5 mg jednom na dan.</w:t>
      </w:r>
    </w:p>
    <w:p w14:paraId="7876E15A">
      <w:pPr>
        <w:shd w:val="clear" w:color="auto" w:fill="FFFFFF"/>
        <w:jc w:val="both"/>
        <w:rPr>
          <w:rFonts w:ascii="Microsoft Sans Serif" w:hAnsi="Microsoft Sans Serif" w:cs="Microsoft Sans Serif"/>
          <w:sz w:val="20"/>
        </w:rPr>
      </w:pPr>
    </w:p>
    <w:p w14:paraId="03B03A0D">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Kasnije se doza može povećavati na sljedeći način:</w:t>
      </w:r>
    </w:p>
    <w:p w14:paraId="1AAFBE0C">
      <w:pPr>
        <w:widowControl w:val="0"/>
        <w:numPr>
          <w:ilvl w:val="0"/>
          <w:numId w:val="2"/>
        </w:numPr>
        <w:shd w:val="clear" w:color="auto" w:fill="FFFFFF"/>
        <w:autoSpaceDE w:val="0"/>
        <w:autoSpaceDN w:val="0"/>
        <w:adjustRightInd w:val="0"/>
        <w:ind w:left="0" w:firstLine="0"/>
        <w:jc w:val="both"/>
        <w:rPr>
          <w:rFonts w:ascii="Microsoft Sans Serif" w:hAnsi="Microsoft Sans Serif" w:cs="Microsoft Sans Serif"/>
          <w:sz w:val="20"/>
        </w:rPr>
      </w:pPr>
      <w:r>
        <w:rPr>
          <w:rFonts w:ascii="Microsoft Sans Serif" w:hAnsi="Microsoft Sans Serif" w:cs="Microsoft Sans Serif"/>
          <w:color w:val="000000"/>
          <w:sz w:val="20"/>
        </w:rPr>
        <w:t>za najviše 10 mg odjednom,</w:t>
      </w:r>
    </w:p>
    <w:p w14:paraId="631A841C">
      <w:pPr>
        <w:widowControl w:val="0"/>
        <w:numPr>
          <w:ilvl w:val="0"/>
          <w:numId w:val="2"/>
        </w:numPr>
        <w:shd w:val="clear" w:color="auto" w:fill="FFFFFF"/>
        <w:autoSpaceDE w:val="0"/>
        <w:autoSpaceDN w:val="0"/>
        <w:adjustRightInd w:val="0"/>
        <w:ind w:left="0" w:firstLine="0"/>
        <w:jc w:val="both"/>
        <w:rPr>
          <w:rFonts w:ascii="Microsoft Sans Serif" w:hAnsi="Microsoft Sans Serif" w:cs="Microsoft Sans Serif"/>
          <w:sz w:val="20"/>
        </w:rPr>
      </w:pPr>
      <w:r>
        <w:rPr>
          <w:rFonts w:ascii="Microsoft Sans Serif" w:hAnsi="Microsoft Sans Serif" w:cs="Microsoft Sans Serif"/>
          <w:color w:val="000000"/>
          <w:sz w:val="20"/>
        </w:rPr>
        <w:t>u intervalima koji ne smiju biti kraći od 2 sedmice,</w:t>
      </w:r>
    </w:p>
    <w:p w14:paraId="0B4B1764">
      <w:pPr>
        <w:widowControl w:val="0"/>
        <w:numPr>
          <w:ilvl w:val="0"/>
          <w:numId w:val="2"/>
        </w:numPr>
        <w:shd w:val="clear" w:color="auto" w:fill="FFFFFF"/>
        <w:autoSpaceDE w:val="0"/>
        <w:autoSpaceDN w:val="0"/>
        <w:adjustRightInd w:val="0"/>
        <w:ind w:left="0" w:firstLine="0"/>
        <w:jc w:val="both"/>
        <w:rPr>
          <w:rFonts w:ascii="Microsoft Sans Serif" w:hAnsi="Microsoft Sans Serif" w:cs="Microsoft Sans Serif"/>
          <w:color w:val="000000"/>
          <w:sz w:val="20"/>
        </w:rPr>
      </w:pPr>
      <w:r>
        <w:rPr>
          <w:rFonts w:ascii="Microsoft Sans Serif" w:hAnsi="Microsoft Sans Serif" w:cs="Microsoft Sans Serif"/>
          <w:color w:val="000000"/>
          <w:sz w:val="20"/>
        </w:rPr>
        <w:t xml:space="preserve">do najveće doze koju pacijent podnosi, odnosno do maksimalno 35 mg na dan. </w:t>
      </w:r>
    </w:p>
    <w:p w14:paraId="5ACD1C69">
      <w:pPr>
        <w:shd w:val="clear" w:color="auto" w:fill="FFFFFF"/>
        <w:jc w:val="both"/>
        <w:rPr>
          <w:rFonts w:ascii="Microsoft Sans Serif" w:hAnsi="Microsoft Sans Serif" w:cs="Microsoft Sans Serif"/>
          <w:color w:val="000000"/>
          <w:sz w:val="20"/>
        </w:rPr>
      </w:pPr>
    </w:p>
    <w:p w14:paraId="09C7D41F">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Prilagođavanje doze treba temeljiti na kliničkom odgovoru kod svakog pacijenta posebno.</w:t>
      </w:r>
    </w:p>
    <w:p w14:paraId="522152EC">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pacijenata kod kojih postoji visoki rizik od pojave simptomatske hipotenzije, tj. kod onih kod kojih postoji gubitak soli sa ili bez hiponatrijemije, pacijenti sa hipovolemijom ili kod onih koji su uzimali velike doze diuretika, spomenuta stanja treba korigovati, ako je moguće, prije početka liječenja lizinoprilom. Potrebno je kontrolirati funkciju bubrega te vrijednosti kalijuma u serumu (pogledati dio 4.4).</w:t>
      </w:r>
    </w:p>
    <w:p w14:paraId="63770146">
      <w:pPr>
        <w:jc w:val="both"/>
        <w:rPr>
          <w:rFonts w:ascii="Microsoft Sans Serif" w:hAnsi="Microsoft Sans Serif" w:cs="Microsoft Sans Serif"/>
          <w:sz w:val="20"/>
          <w:u w:val="single"/>
          <w:lang w:val="hr-HR"/>
        </w:rPr>
      </w:pPr>
    </w:p>
    <w:p w14:paraId="6778B697">
      <w:pPr>
        <w:jc w:val="both"/>
        <w:rPr>
          <w:rStyle w:val="40"/>
          <w:rFonts w:ascii="Microsoft Sans Serif" w:hAnsi="Microsoft Sans Serif" w:cs="Microsoft Sans Serif"/>
          <w:b/>
          <w:sz w:val="20"/>
          <w:lang w:val="bs-Latn-BA"/>
        </w:rPr>
      </w:pPr>
      <w:r>
        <w:rPr>
          <w:rStyle w:val="40"/>
          <w:rFonts w:ascii="Microsoft Sans Serif" w:hAnsi="Microsoft Sans Serif" w:cs="Microsoft Sans Serif"/>
          <w:b/>
          <w:sz w:val="20"/>
          <w:lang w:val="bs-Latn-BA"/>
        </w:rPr>
        <w:t>Upotreba kod akutnog infarkta miokarda</w:t>
      </w:r>
    </w:p>
    <w:p w14:paraId="1D01A8BB">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Pacijenti moraju uzimati uobičajenu standardnu preporučenu terapiju koja se sastoji od trombolitika, acetilsalicilne kiseline i beta-blokatora. Gliceriltrinitrat u intravenskom ili transdermalnom obliku može se primjenjivati istovremeno sa lizinoprilom.</w:t>
      </w:r>
    </w:p>
    <w:p w14:paraId="63B2DAA9">
      <w:pPr>
        <w:shd w:val="clear" w:color="auto" w:fill="FFFFFF"/>
        <w:rPr>
          <w:rFonts w:ascii="Microsoft Sans Serif" w:hAnsi="Microsoft Sans Serif" w:cs="Microsoft Sans Serif"/>
          <w:iCs/>
          <w:color w:val="000000"/>
          <w:sz w:val="20"/>
          <w:u w:val="single"/>
        </w:rPr>
      </w:pPr>
    </w:p>
    <w:p w14:paraId="5F7B5F3B">
      <w:pPr>
        <w:shd w:val="clear" w:color="auto" w:fill="FFFFFF"/>
        <w:rPr>
          <w:rFonts w:ascii="Microsoft Sans Serif" w:hAnsi="Microsoft Sans Serif" w:cs="Microsoft Sans Serif"/>
          <w:sz w:val="20"/>
        </w:rPr>
      </w:pPr>
      <w:r>
        <w:rPr>
          <w:rFonts w:ascii="Microsoft Sans Serif" w:hAnsi="Microsoft Sans Serif" w:cs="Microsoft Sans Serif"/>
          <w:iCs/>
          <w:color w:val="000000"/>
          <w:sz w:val="20"/>
          <w:u w:val="single"/>
        </w:rPr>
        <w:t>Početna doza (prva 3 dana nakon infarkta miokarda)</w:t>
      </w:r>
    </w:p>
    <w:p w14:paraId="1B015279">
      <w:pPr>
        <w:jc w:val="both"/>
        <w:rPr>
          <w:rStyle w:val="40"/>
          <w:rFonts w:ascii="Microsoft Sans Serif" w:hAnsi="Microsoft Sans Serif" w:cs="Microsoft Sans Serif"/>
          <w:sz w:val="20"/>
          <w:lang w:val="bs-Latn-BA"/>
        </w:rPr>
      </w:pPr>
      <w:r>
        <w:rPr>
          <w:rFonts w:ascii="Microsoft Sans Serif" w:hAnsi="Microsoft Sans Serif" w:cs="Microsoft Sans Serif"/>
          <w:sz w:val="20"/>
          <w:lang w:val="bs-Latn-BA"/>
        </w:rPr>
        <w:t>T</w:t>
      </w:r>
      <w:r>
        <w:rPr>
          <w:rStyle w:val="40"/>
          <w:rFonts w:ascii="Microsoft Sans Serif" w:hAnsi="Microsoft Sans Serif" w:cs="Microsoft Sans Serif"/>
          <w:sz w:val="20"/>
          <w:lang w:val="bs-Latn-BA"/>
        </w:rPr>
        <w:t xml:space="preserve">erapija lijekom Skopryl može početi u roku od 24 sata od početka simptoma. </w:t>
      </w:r>
      <w:r>
        <w:rPr>
          <w:rFonts w:ascii="Microsoft Sans Serif" w:hAnsi="Microsoft Sans Serif" w:cs="Microsoft Sans Serif"/>
          <w:color w:val="000000"/>
          <w:sz w:val="20"/>
        </w:rPr>
        <w:t>Lizinopril se</w:t>
      </w:r>
      <w:r>
        <w:rPr>
          <w:rFonts w:ascii="Microsoft Sans Serif" w:hAnsi="Microsoft Sans Serif" w:cs="Microsoft Sans Serif"/>
          <w:sz w:val="20"/>
        </w:rPr>
        <w:t xml:space="preserve"> </w:t>
      </w:r>
      <w:r>
        <w:rPr>
          <w:rFonts w:ascii="Microsoft Sans Serif" w:hAnsi="Microsoft Sans Serif" w:cs="Microsoft Sans Serif"/>
          <w:color w:val="000000"/>
          <w:sz w:val="20"/>
        </w:rPr>
        <w:t xml:space="preserve">ne smije primijeniti ukoliko je sistolni krvni pritisak niži od 100 mm Hg. </w:t>
      </w:r>
      <w:r>
        <w:rPr>
          <w:rStyle w:val="40"/>
          <w:rFonts w:ascii="Microsoft Sans Serif" w:hAnsi="Microsoft Sans Serif" w:cs="Microsoft Sans Serif"/>
          <w:sz w:val="20"/>
          <w:lang w:val="bs-Latn-BA"/>
        </w:rPr>
        <w:t xml:space="preserve">Prva doza lizinoprila je 5 mg oralno, nakon čega slijedi još 5 mg nakon 24 sata, 10 mg nakon 48 sati i dalje 10 mg jednom dnevno. </w:t>
      </w:r>
      <w:r>
        <w:rPr>
          <w:rFonts w:ascii="Microsoft Sans Serif" w:hAnsi="Microsoft Sans Serif" w:cs="Microsoft Sans Serif"/>
          <w:color w:val="000000"/>
          <w:sz w:val="20"/>
        </w:rPr>
        <w:t xml:space="preserve">Na početku liječenja ili tokom prva tri dana nakon infarkta, </w:t>
      </w:r>
      <w:r>
        <w:rPr>
          <w:rStyle w:val="40"/>
          <w:rFonts w:ascii="Microsoft Sans Serif" w:hAnsi="Microsoft Sans Serif" w:cs="Microsoft Sans Serif"/>
          <w:sz w:val="20"/>
          <w:lang w:val="bs-Latn-BA"/>
        </w:rPr>
        <w:t>pacijentima sa niskim sistolnim krvnim pritiskom (120 mm</w:t>
      </w:r>
      <w:r>
        <w:rPr>
          <w:rStyle w:val="40"/>
          <w:rFonts w:ascii="Microsoft Sans Serif" w:hAnsi="Microsoft Sans Serif" w:cs="Microsoft Sans Serif"/>
          <w:sz w:val="20"/>
          <w:lang w:val="bs-Cyrl-BA"/>
        </w:rPr>
        <w:t xml:space="preserve"> </w:t>
      </w:r>
      <w:r>
        <w:rPr>
          <w:rStyle w:val="40"/>
          <w:rFonts w:ascii="Microsoft Sans Serif" w:hAnsi="Microsoft Sans Serif" w:cs="Microsoft Sans Serif"/>
          <w:sz w:val="20"/>
          <w:lang w:val="bs-Latn-BA"/>
        </w:rPr>
        <w:t>Hg ili niži) treba dati manje doze – 2,5 mg (pogledati dio 4.4).</w:t>
      </w:r>
    </w:p>
    <w:p w14:paraId="1CC59EFC">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pacijenata sa poremećenom funkcijom bubrega (klirens kreatinina &lt;80 ml/min), početnu</w:t>
      </w:r>
      <w:r>
        <w:rPr>
          <w:rFonts w:ascii="Microsoft Sans Serif" w:hAnsi="Microsoft Sans Serif" w:cs="Microsoft Sans Serif"/>
          <w:sz w:val="20"/>
        </w:rPr>
        <w:t xml:space="preserve"> </w:t>
      </w:r>
      <w:r>
        <w:rPr>
          <w:rFonts w:ascii="Microsoft Sans Serif" w:hAnsi="Microsoft Sans Serif" w:cs="Microsoft Sans Serif"/>
          <w:color w:val="000000"/>
          <w:sz w:val="20"/>
        </w:rPr>
        <w:t>dozu lizinoprila treba uskladiti sa vrijednostima klirensa kreatinina (pogledati Tabelu 1).</w:t>
      </w:r>
    </w:p>
    <w:p w14:paraId="6470F7C5">
      <w:pPr>
        <w:jc w:val="both"/>
        <w:rPr>
          <w:rStyle w:val="40"/>
          <w:rFonts w:ascii="Microsoft Sans Serif" w:hAnsi="Microsoft Sans Serif" w:cs="Microsoft Sans Serif"/>
          <w:sz w:val="20"/>
          <w:lang w:val="bs-Latn-BA"/>
        </w:rPr>
      </w:pPr>
    </w:p>
    <w:p w14:paraId="5CDE32AE">
      <w:pPr>
        <w:shd w:val="clear" w:color="auto" w:fill="FFFFFF"/>
        <w:rPr>
          <w:rFonts w:ascii="Microsoft Sans Serif" w:hAnsi="Microsoft Sans Serif" w:cs="Microsoft Sans Serif"/>
          <w:sz w:val="20"/>
        </w:rPr>
      </w:pPr>
      <w:r>
        <w:rPr>
          <w:rFonts w:ascii="Microsoft Sans Serif" w:hAnsi="Microsoft Sans Serif" w:cs="Microsoft Sans Serif"/>
          <w:iCs/>
          <w:color w:val="000000"/>
          <w:sz w:val="20"/>
          <w:u w:val="single"/>
        </w:rPr>
        <w:t>Doza održavanja</w:t>
      </w:r>
    </w:p>
    <w:p w14:paraId="534B2F8D">
      <w:pPr>
        <w:jc w:val="both"/>
        <w:rPr>
          <w:rStyle w:val="40"/>
          <w:rFonts w:ascii="Microsoft Sans Serif" w:hAnsi="Microsoft Sans Serif" w:cs="Microsoft Sans Serif"/>
          <w:sz w:val="20"/>
          <w:lang w:val="bs-Latn-BA"/>
        </w:rPr>
      </w:pPr>
      <w:r>
        <w:rPr>
          <w:rFonts w:ascii="Microsoft Sans Serif" w:hAnsi="Microsoft Sans Serif" w:cs="Microsoft Sans Serif"/>
          <w:color w:val="000000"/>
          <w:sz w:val="20"/>
        </w:rPr>
        <w:t xml:space="preserve">Uobičajena doza održavanja je 10 mg lizinoprila jedanput na dan. </w:t>
      </w:r>
      <w:r>
        <w:rPr>
          <w:rStyle w:val="40"/>
          <w:rFonts w:ascii="Microsoft Sans Serif" w:hAnsi="Microsoft Sans Serif" w:cs="Microsoft Sans Serif"/>
          <w:sz w:val="20"/>
          <w:lang w:val="bs-Latn-BA"/>
        </w:rPr>
        <w:t>Pojava hipotenzije (sistolni krvni pritisak 100 mm</w:t>
      </w:r>
      <w:r>
        <w:rPr>
          <w:rStyle w:val="40"/>
          <w:rFonts w:ascii="Microsoft Sans Serif" w:hAnsi="Microsoft Sans Serif" w:cs="Microsoft Sans Serif"/>
          <w:sz w:val="20"/>
          <w:lang w:val="bs-Cyrl-BA"/>
        </w:rPr>
        <w:t xml:space="preserve"> </w:t>
      </w:r>
      <w:r>
        <w:rPr>
          <w:rStyle w:val="40"/>
          <w:rFonts w:ascii="Microsoft Sans Serif" w:hAnsi="Microsoft Sans Serif" w:cs="Microsoft Sans Serif"/>
          <w:sz w:val="20"/>
          <w:lang w:val="bs-Latn-BA"/>
        </w:rPr>
        <w:t xml:space="preserve">Hg ili niži) dnevna doza održavanja od 5 mg može se privremeno smanjiti na 2,5 mg, ako je potrebno. </w:t>
      </w:r>
      <w:r>
        <w:rPr>
          <w:rFonts w:ascii="Microsoft Sans Serif" w:hAnsi="Microsoft Sans Serif" w:cs="Microsoft Sans Serif"/>
          <w:sz w:val="20"/>
          <w:lang w:val="bs-Latn-BA"/>
        </w:rPr>
        <w:t>Pri p</w:t>
      </w:r>
      <w:r>
        <w:rPr>
          <w:rStyle w:val="40"/>
          <w:rFonts w:ascii="Microsoft Sans Serif" w:hAnsi="Microsoft Sans Serif" w:cs="Microsoft Sans Serif"/>
          <w:sz w:val="20"/>
          <w:lang w:val="bs-Latn-BA"/>
        </w:rPr>
        <w:t>ojavi produžene hipotenzije (sistolni pritisak niži od 90 mm</w:t>
      </w:r>
      <w:r>
        <w:rPr>
          <w:rStyle w:val="40"/>
          <w:rFonts w:ascii="Microsoft Sans Serif" w:hAnsi="Microsoft Sans Serif" w:cs="Microsoft Sans Serif"/>
          <w:sz w:val="20"/>
          <w:lang w:val="bs-Cyrl-BA"/>
        </w:rPr>
        <w:t xml:space="preserve"> </w:t>
      </w:r>
      <w:r>
        <w:rPr>
          <w:rStyle w:val="40"/>
          <w:rFonts w:ascii="Microsoft Sans Serif" w:hAnsi="Microsoft Sans Serif" w:cs="Microsoft Sans Serif"/>
          <w:sz w:val="20"/>
          <w:lang w:val="bs-Latn-BA"/>
        </w:rPr>
        <w:t>Hg duže od sat vremena) Skopryl treba ukinuti.</w:t>
      </w:r>
    </w:p>
    <w:p w14:paraId="066C151C">
      <w:pPr>
        <w:shd w:val="clear" w:color="auto" w:fill="FFFFFF"/>
        <w:jc w:val="both"/>
        <w:rPr>
          <w:rStyle w:val="40"/>
          <w:rFonts w:ascii="Microsoft Sans Serif" w:hAnsi="Microsoft Sans Serif" w:cs="Microsoft Sans Serif"/>
          <w:sz w:val="20"/>
        </w:rPr>
      </w:pPr>
      <w:r>
        <w:rPr>
          <w:rStyle w:val="40"/>
          <w:rFonts w:ascii="Microsoft Sans Serif" w:hAnsi="Microsoft Sans Serif" w:cs="Microsoft Sans Serif"/>
          <w:sz w:val="20"/>
          <w:lang w:val="bs-Latn-BA"/>
        </w:rPr>
        <w:t xml:space="preserve">Doziranje kod pacijenata sa akutnim infarktom miokarda treba da traje šest sedmica, </w:t>
      </w:r>
      <w:r>
        <w:rPr>
          <w:rFonts w:ascii="Microsoft Sans Serif" w:hAnsi="Microsoft Sans Serif" w:cs="Microsoft Sans Serif"/>
          <w:color w:val="000000"/>
          <w:sz w:val="20"/>
        </w:rPr>
        <w:t>a zatim treba načiniti ponovnu evaluaciju stanja pacijenta</w:t>
      </w:r>
      <w:r>
        <w:rPr>
          <w:rStyle w:val="40"/>
          <w:rFonts w:ascii="Microsoft Sans Serif" w:hAnsi="Microsoft Sans Serif" w:cs="Microsoft Sans Serif"/>
          <w:sz w:val="20"/>
          <w:lang w:val="bs-Latn-BA"/>
        </w:rPr>
        <w:t xml:space="preserve">. Pacijenti kod koji se razviju simptomi </w:t>
      </w:r>
      <w:r>
        <w:rPr>
          <w:rFonts w:ascii="Microsoft Sans Serif" w:hAnsi="Microsoft Sans Serif" w:cs="Microsoft Sans Serif"/>
          <w:color w:val="000000"/>
          <w:sz w:val="20"/>
        </w:rPr>
        <w:t xml:space="preserve">insuficijencije </w:t>
      </w:r>
      <w:r>
        <w:rPr>
          <w:rStyle w:val="40"/>
          <w:rFonts w:ascii="Microsoft Sans Serif" w:hAnsi="Microsoft Sans Serif" w:cs="Microsoft Sans Serif"/>
          <w:sz w:val="20"/>
          <w:lang w:val="bs-Latn-BA"/>
        </w:rPr>
        <w:t xml:space="preserve">srca, </w:t>
      </w:r>
      <w:r>
        <w:rPr>
          <w:rFonts w:ascii="Microsoft Sans Serif" w:hAnsi="Microsoft Sans Serif" w:cs="Microsoft Sans Serif"/>
          <w:color w:val="000000"/>
          <w:sz w:val="20"/>
        </w:rPr>
        <w:t>trebaju nastaviti sa primjenom lizinoprila (</w:t>
      </w:r>
      <w:r>
        <w:rPr>
          <w:rStyle w:val="40"/>
          <w:rFonts w:ascii="Microsoft Sans Serif" w:hAnsi="Microsoft Sans Serif" w:cs="Microsoft Sans Serif"/>
          <w:sz w:val="20"/>
          <w:lang w:val="bs-Latn-BA"/>
        </w:rPr>
        <w:t>pogledati dio 4.2 ).</w:t>
      </w:r>
    </w:p>
    <w:p w14:paraId="7B728153">
      <w:pPr>
        <w:jc w:val="both"/>
        <w:rPr>
          <w:rFonts w:ascii="Microsoft Sans Serif" w:hAnsi="Microsoft Sans Serif" w:cs="Microsoft Sans Serif"/>
          <w:sz w:val="20"/>
        </w:rPr>
      </w:pPr>
    </w:p>
    <w:p w14:paraId="72D84928">
      <w:pPr>
        <w:shd w:val="clear" w:color="auto" w:fill="FFFFFF"/>
        <w:jc w:val="both"/>
        <w:rPr>
          <w:rFonts w:ascii="Microsoft Sans Serif" w:hAnsi="Microsoft Sans Serif" w:cs="Microsoft Sans Serif"/>
          <w:b/>
          <w:iCs/>
          <w:color w:val="000000"/>
          <w:sz w:val="20"/>
        </w:rPr>
      </w:pPr>
      <w:r>
        <w:rPr>
          <w:rFonts w:ascii="Microsoft Sans Serif" w:hAnsi="Microsoft Sans Serif" w:cs="Microsoft Sans Serif"/>
          <w:b/>
          <w:iCs/>
          <w:color w:val="000000"/>
          <w:sz w:val="20"/>
        </w:rPr>
        <w:t>Renalne komplikacije šećerne bolesti</w:t>
      </w:r>
    </w:p>
    <w:p w14:paraId="6E7B750C">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hipertenzivnih pacijenata sa dijabetesom tipa 2 i početnom nefropatijom uobičajena doza lizinoprila iznosi 10 mg jedanput na dan. Doza se može, prema potrebi, povećati na 20 mg jedanput na dan, kako bi se postigle vrijednosti dijastolnog krvnog pritiska u sjedećem položaju ispod 90 mm Hg.</w:t>
      </w:r>
    </w:p>
    <w:p w14:paraId="11462E65">
      <w:pPr>
        <w:jc w:val="both"/>
        <w:rPr>
          <w:rStyle w:val="40"/>
          <w:rFonts w:ascii="Microsoft Sans Serif" w:hAnsi="Microsoft Sans Serif" w:cs="Microsoft Sans Serif"/>
          <w:sz w:val="20"/>
          <w:lang w:val="bs-Latn-BA"/>
        </w:rPr>
      </w:pPr>
      <w:r>
        <w:rPr>
          <w:rFonts w:ascii="Microsoft Sans Serif" w:hAnsi="Microsoft Sans Serif" w:cs="Microsoft Sans Serif"/>
          <w:color w:val="000000"/>
          <w:sz w:val="20"/>
        </w:rPr>
        <w:t>Kod pacijenata sa poremećenom funkcijom bubrega (klirens kreatinina &lt;80 ml/min), početnu dozu lizinoprila treba uskladiti sa vrijednostima klirensa kreatinina (pogledati Tabelu 1).</w:t>
      </w:r>
    </w:p>
    <w:p w14:paraId="4C6E94DC">
      <w:pPr>
        <w:jc w:val="both"/>
        <w:rPr>
          <w:rFonts w:ascii="Microsoft Sans Serif" w:hAnsi="Microsoft Sans Serif" w:cs="Microsoft Sans Serif"/>
          <w:b/>
          <w:sz w:val="20"/>
          <w:lang w:val="mk-MK"/>
        </w:rPr>
      </w:pPr>
    </w:p>
    <w:p w14:paraId="4951904A">
      <w:pPr>
        <w:jc w:val="both"/>
        <w:rPr>
          <w:rFonts w:ascii="Microsoft Sans Serif" w:hAnsi="Microsoft Sans Serif" w:cs="Microsoft Sans Serif"/>
          <w:b/>
          <w:sz w:val="20"/>
        </w:rPr>
      </w:pPr>
      <w:r>
        <w:rPr>
          <w:rFonts w:ascii="Microsoft Sans Serif" w:hAnsi="Microsoft Sans Serif" w:cs="Microsoft Sans Serif"/>
          <w:b/>
          <w:sz w:val="20"/>
        </w:rPr>
        <w:t>Pedijatrijska populacija</w:t>
      </w:r>
    </w:p>
    <w:p w14:paraId="591954F4">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Postoji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ograničeno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iskustvo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efikasnosti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sigurnosti prilikom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upotrebe lijeka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 hipertenzivne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djece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starije od šest godina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ali ne 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iskustvo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korištenja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lijeka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drugim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indikacijama</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pogledati dio </w:t>
      </w:r>
      <w:r>
        <w:rPr>
          <w:rStyle w:val="41"/>
          <w:rFonts w:ascii="Microsoft Sans Serif" w:hAnsi="Microsoft Sans Serif" w:cs="Microsoft Sans Serif"/>
          <w:sz w:val="20"/>
          <w:lang w:val="bs-Latn-BA"/>
        </w:rPr>
        <w:t>5.1)</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Lizinopril se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preporučuje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za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djecu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 drugim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indikacijama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nego samo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za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hipertenziju</w:t>
      </w:r>
      <w:r>
        <w:rPr>
          <w:rStyle w:val="40"/>
          <w:rFonts w:ascii="Microsoft Sans Serif" w:hAnsi="Microsoft Sans Serif" w:cs="Microsoft Sans Serif"/>
          <w:sz w:val="20"/>
          <w:lang w:val="bs-Latn-BA"/>
        </w:rPr>
        <w:t>.</w:t>
      </w:r>
    </w:p>
    <w:p w14:paraId="3BDCE7F6">
      <w:pPr>
        <w:jc w:val="both"/>
        <w:rPr>
          <w:rFonts w:ascii="Microsoft Sans Serif" w:hAnsi="Microsoft Sans Serif" w:cs="Microsoft Sans Serif"/>
          <w:b/>
          <w:sz w:val="20"/>
          <w:lang w:val="bs-Latn-BA"/>
        </w:rPr>
      </w:pPr>
      <w:r>
        <w:rPr>
          <w:rFonts w:ascii="Microsoft Sans Serif" w:hAnsi="Microsoft Sans Serif" w:cs="Microsoft Sans Serif"/>
          <w:sz w:val="20"/>
          <w:lang w:val="bs-Latn-BA"/>
        </w:rPr>
        <w:br w:type="textWrapping"/>
      </w:r>
      <w:r>
        <w:rPr>
          <w:rStyle w:val="41"/>
          <w:rFonts w:ascii="Microsoft Sans Serif" w:hAnsi="Microsoft Sans Serif" w:cs="Microsoft Sans Serif"/>
          <w:sz w:val="20"/>
          <w:lang w:val="bs-Latn-BA"/>
        </w:rPr>
        <w:t>Lizinopril se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preporučuje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za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djecu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mlađu od šest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godina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djece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teškom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bubrežnom insuficijencijom</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GFR </w:t>
      </w:r>
      <w:r>
        <w:rPr>
          <w:rStyle w:val="44"/>
          <w:rFonts w:ascii="Microsoft Sans Serif" w:hAnsi="Microsoft Sans Serif" w:cs="Microsoft Sans Serif"/>
          <w:sz w:val="20"/>
          <w:lang w:val="bs-Latn-BA"/>
        </w:rPr>
        <w:t xml:space="preserve">&lt; </w:t>
      </w:r>
      <w:r>
        <w:rPr>
          <w:rStyle w:val="40"/>
          <w:rFonts w:ascii="Microsoft Sans Serif" w:hAnsi="Microsoft Sans Serif" w:cs="Microsoft Sans Serif"/>
          <w:sz w:val="20"/>
          <w:lang w:val="bs-Latn-BA"/>
        </w:rPr>
        <w:t>30 ml/min/1,73m²</w:t>
      </w:r>
      <w:r>
        <w:rPr>
          <w:rStyle w:val="42"/>
          <w:rFonts w:ascii="Microsoft Sans Serif" w:hAnsi="Microsoft Sans Serif" w:cs="Microsoft Sans Serif"/>
          <w:sz w:val="20"/>
          <w:lang w:val="bs-Latn-BA"/>
        </w:rPr>
        <w:t>), (</w:t>
      </w:r>
      <w:r>
        <w:rPr>
          <w:rStyle w:val="40"/>
          <w:rFonts w:ascii="Microsoft Sans Serif" w:hAnsi="Microsoft Sans Serif" w:cs="Microsoft Sans Serif"/>
          <w:sz w:val="20"/>
          <w:lang w:val="bs-Latn-BA"/>
        </w:rPr>
        <w:t xml:space="preserve">pogledati dio </w:t>
      </w:r>
      <w:r>
        <w:rPr>
          <w:rStyle w:val="41"/>
          <w:rFonts w:ascii="Microsoft Sans Serif" w:hAnsi="Microsoft Sans Serif" w:cs="Microsoft Sans Serif"/>
          <w:sz w:val="20"/>
          <w:lang w:val="bs-Latn-BA"/>
        </w:rPr>
        <w:t>5.2)</w:t>
      </w:r>
      <w:r>
        <w:rPr>
          <w:rStyle w:val="40"/>
          <w:rFonts w:ascii="Microsoft Sans Serif" w:hAnsi="Microsoft Sans Serif" w:cs="Microsoft Sans Serif"/>
          <w:sz w:val="20"/>
          <w:lang w:val="bs-Latn-BA"/>
        </w:rPr>
        <w:t>.</w:t>
      </w:r>
    </w:p>
    <w:p w14:paraId="24BBA19C">
      <w:pPr>
        <w:jc w:val="both"/>
        <w:rPr>
          <w:rFonts w:ascii="Microsoft Sans Serif" w:hAnsi="Microsoft Sans Serif" w:cs="Microsoft Sans Serif"/>
          <w:sz w:val="20"/>
          <w:lang w:val="hr-HR"/>
        </w:rPr>
      </w:pPr>
    </w:p>
    <w:p w14:paraId="64143C16">
      <w:pPr>
        <w:shd w:val="clear" w:color="auto" w:fill="FFFFFF"/>
        <w:jc w:val="both"/>
        <w:rPr>
          <w:rFonts w:ascii="Microsoft Sans Serif" w:hAnsi="Microsoft Sans Serif" w:cs="Microsoft Sans Serif"/>
          <w:b/>
          <w:bCs/>
          <w:color w:val="000000"/>
          <w:sz w:val="20"/>
        </w:rPr>
      </w:pPr>
    </w:p>
    <w:p w14:paraId="1F9D1432">
      <w:pPr>
        <w:shd w:val="clear" w:color="auto" w:fill="FFFFFF"/>
        <w:jc w:val="both"/>
        <w:rPr>
          <w:rFonts w:ascii="Microsoft Sans Serif" w:hAnsi="Microsoft Sans Serif" w:cs="Microsoft Sans Serif"/>
          <w:b/>
          <w:bCs/>
          <w:color w:val="000000"/>
          <w:sz w:val="20"/>
        </w:rPr>
      </w:pPr>
    </w:p>
    <w:p w14:paraId="4D339DF6">
      <w:pPr>
        <w:shd w:val="clear" w:color="auto" w:fill="FFFFFF"/>
        <w:jc w:val="both"/>
        <w:rPr>
          <w:rFonts w:ascii="Microsoft Sans Serif" w:hAnsi="Microsoft Sans Serif" w:cs="Microsoft Sans Serif"/>
          <w:sz w:val="20"/>
        </w:rPr>
      </w:pPr>
      <w:r>
        <w:rPr>
          <w:rFonts w:ascii="Microsoft Sans Serif" w:hAnsi="Microsoft Sans Serif" w:cs="Microsoft Sans Serif"/>
          <w:b/>
          <w:bCs/>
          <w:color w:val="000000"/>
          <w:sz w:val="20"/>
        </w:rPr>
        <w:t>Stariji pacijenti</w:t>
      </w:r>
    </w:p>
    <w:p w14:paraId="503FBA5C">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Tokom kliničkih ispitivanja nije bilo promjena efikasnosti i sigurnosti primjene lijeka u odnosu na uzrast pacijenta. Ipak, ako je starost pacijenta povezana sa smanjenom funkcijom bubrega, treba primijeniti smjernice iz Tabele 1, kako bi se odredila početna doza lijeka Skopryl. Nakon toga dozu treba uskladiti sa vrijednostima krvnog pritiska kao odgovor na terapiju.</w:t>
      </w:r>
    </w:p>
    <w:p w14:paraId="37DD4D04">
      <w:pPr>
        <w:jc w:val="both"/>
        <w:rPr>
          <w:rFonts w:ascii="Microsoft Sans Serif" w:hAnsi="Microsoft Sans Serif" w:cs="Microsoft Sans Serif"/>
          <w:sz w:val="20"/>
          <w:lang w:val="hr-HR"/>
        </w:rPr>
      </w:pPr>
    </w:p>
    <w:p w14:paraId="3FE05404">
      <w:pPr>
        <w:shd w:val="clear" w:color="auto" w:fill="FFFFFF"/>
        <w:jc w:val="both"/>
        <w:rPr>
          <w:rFonts w:ascii="Microsoft Sans Serif" w:hAnsi="Microsoft Sans Serif" w:cs="Microsoft Sans Serif"/>
          <w:sz w:val="20"/>
        </w:rPr>
      </w:pPr>
      <w:r>
        <w:rPr>
          <w:rFonts w:ascii="Microsoft Sans Serif" w:hAnsi="Microsoft Sans Serif" w:cs="Microsoft Sans Serif"/>
          <w:b/>
          <w:bCs/>
          <w:color w:val="000000"/>
          <w:sz w:val="20"/>
        </w:rPr>
        <w:t>Pacijenti sa transplantiranim bubregom</w:t>
      </w:r>
    </w:p>
    <w:p w14:paraId="1C03F4D2">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Nema dovoljno iskustva za primjenu lizinoprila kod pacijenata sa transplantiranim bubregom, stoga se njegova primjena kod ovih pacijenata ne preporučuje.</w:t>
      </w:r>
    </w:p>
    <w:p w14:paraId="5ED3EE2F">
      <w:pPr>
        <w:rPr>
          <w:rFonts w:ascii="Microsoft Sans Serif" w:hAnsi="Microsoft Sans Serif" w:cs="Microsoft Sans Serif"/>
          <w:sz w:val="20"/>
          <w:lang w:val="en"/>
        </w:rPr>
      </w:pPr>
    </w:p>
    <w:p w14:paraId="03656F5F">
      <w:pPr>
        <w:rPr>
          <w:rFonts w:ascii="Microsoft Sans Serif" w:hAnsi="Microsoft Sans Serif" w:cs="Microsoft Sans Serif"/>
          <w:sz w:val="20"/>
          <w:u w:val="single"/>
        </w:rPr>
      </w:pPr>
      <w:r>
        <w:rPr>
          <w:rFonts w:ascii="Microsoft Sans Serif" w:hAnsi="Microsoft Sans Serif" w:cs="Microsoft Sans Serif"/>
          <w:sz w:val="20"/>
          <w:u w:val="single"/>
        </w:rPr>
        <w:t>Način primjene</w:t>
      </w:r>
    </w:p>
    <w:p w14:paraId="656E515F">
      <w:pPr>
        <w:jc w:val="both"/>
        <w:rPr>
          <w:rStyle w:val="40"/>
          <w:rFonts w:ascii="Microsoft Sans Serif" w:hAnsi="Microsoft Sans Serif" w:cs="Microsoft Sans Serif"/>
          <w:sz w:val="20"/>
          <w:shd w:val="clear" w:color="auto" w:fill="FFFFFF"/>
          <w:lang w:val="bs-Latn-BA"/>
        </w:rPr>
      </w:pPr>
    </w:p>
    <w:p w14:paraId="54349CC0">
      <w:pPr>
        <w:jc w:val="both"/>
        <w:rPr>
          <w:rStyle w:val="40"/>
          <w:rFonts w:ascii="Microsoft Sans Serif" w:hAnsi="Microsoft Sans Serif" w:cs="Microsoft Sans Serif"/>
          <w:sz w:val="20"/>
          <w:shd w:val="clear" w:color="auto" w:fill="FFFFFF"/>
          <w:lang w:val="bs-Latn-BA"/>
        </w:rPr>
      </w:pPr>
      <w:r>
        <w:rPr>
          <w:rStyle w:val="40"/>
          <w:rFonts w:ascii="Microsoft Sans Serif" w:hAnsi="Microsoft Sans Serif" w:cs="Microsoft Sans Serif"/>
          <w:sz w:val="20"/>
          <w:shd w:val="clear" w:color="auto" w:fill="FFFFFF"/>
          <w:lang w:val="bs-Latn-BA"/>
        </w:rPr>
        <w:t>Skopryl tablete namijenjene su za oralnu upotrebu.</w:t>
      </w:r>
    </w:p>
    <w:p w14:paraId="016E5988">
      <w:pPr>
        <w:rPr>
          <w:rStyle w:val="40"/>
          <w:rFonts w:ascii="Microsoft Sans Serif" w:hAnsi="Microsoft Sans Serif" w:cs="Microsoft Sans Serif"/>
          <w:sz w:val="20"/>
          <w:shd w:val="clear" w:color="auto" w:fill="FFFFFF"/>
          <w:lang w:val="bs-Latn-BA"/>
        </w:rPr>
      </w:pPr>
      <w:r>
        <w:rPr>
          <w:rStyle w:val="40"/>
          <w:rFonts w:ascii="Microsoft Sans Serif" w:hAnsi="Microsoft Sans Serif" w:cs="Microsoft Sans Serif"/>
          <w:sz w:val="20"/>
          <w:shd w:val="clear" w:color="auto" w:fill="FFFFFF"/>
          <w:lang w:val="bs-Latn-BA"/>
        </w:rPr>
        <w:t xml:space="preserve">Hrana ne utiče na apsorpciju lizinoprila i mogu se koristiti prije, poslije i za vrijeme obroka. </w:t>
      </w:r>
    </w:p>
    <w:p w14:paraId="016D597A">
      <w:pPr>
        <w:jc w:val="both"/>
        <w:rPr>
          <w:rFonts w:ascii="Microsoft Sans Serif" w:hAnsi="Microsoft Sans Serif" w:cs="Microsoft Sans Serif"/>
          <w:sz w:val="20"/>
          <w:lang w:val="hr-HR"/>
        </w:rPr>
      </w:pPr>
    </w:p>
    <w:p w14:paraId="5B0E5118">
      <w:pPr>
        <w:numPr>
          <w:ilvl w:val="1"/>
          <w:numId w:val="3"/>
        </w:numPr>
        <w:ind w:left="0" w:firstLine="0"/>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Kontraindikacije</w:t>
      </w:r>
    </w:p>
    <w:p w14:paraId="4F49FEC3">
      <w:pPr>
        <w:jc w:val="both"/>
        <w:rPr>
          <w:rFonts w:ascii="Microsoft Sans Serif" w:hAnsi="Microsoft Sans Serif" w:cs="Microsoft Sans Serif"/>
          <w:b/>
          <w:sz w:val="20"/>
        </w:rPr>
      </w:pPr>
    </w:p>
    <w:p w14:paraId="64BF65CA">
      <w:pPr>
        <w:jc w:val="both"/>
        <w:rPr>
          <w:rStyle w:val="40"/>
          <w:rFonts w:ascii="Microsoft Sans Serif" w:hAnsi="Microsoft Sans Serif" w:cs="Microsoft Sans Serif"/>
          <w:sz w:val="20"/>
          <w:shd w:val="clear" w:color="auto" w:fill="FFFFFF"/>
          <w:lang w:val="bs-Latn-BA"/>
        </w:rPr>
      </w:pPr>
      <w:r>
        <w:rPr>
          <w:rFonts w:ascii="Microsoft Sans Serif" w:hAnsi="Microsoft Sans Serif" w:cs="Microsoft Sans Serif"/>
          <w:sz w:val="20"/>
          <w:lang w:val="en"/>
        </w:rPr>
        <w:t xml:space="preserve">• </w:t>
      </w:r>
      <w:r>
        <w:rPr>
          <w:rStyle w:val="40"/>
          <w:rFonts w:ascii="Microsoft Sans Serif" w:hAnsi="Microsoft Sans Serif" w:cs="Microsoft Sans Serif"/>
          <w:sz w:val="20"/>
          <w:shd w:val="clear" w:color="auto" w:fill="FFFFFF"/>
          <w:lang w:val="bs-Latn-BA"/>
        </w:rPr>
        <w:t xml:space="preserve">preosjetljivost na lizinopril </w:t>
      </w:r>
      <w:r>
        <w:rPr>
          <w:rFonts w:ascii="Microsoft Sans Serif" w:hAnsi="Microsoft Sans Serif" w:cs="Microsoft Sans Serif"/>
          <w:sz w:val="20"/>
          <w:lang w:val="bs-Latn-BA"/>
        </w:rPr>
        <w:t>ili pomo</w:t>
      </w:r>
      <w:r>
        <w:rPr>
          <w:rFonts w:ascii="Microsoft Sans Serif" w:hAnsi="Microsoft Sans Serif" w:cs="Microsoft Sans Serif"/>
          <w:sz w:val="20"/>
          <w:lang w:val="hr-BA"/>
        </w:rPr>
        <w:t>ćne supstanci ovog</w:t>
      </w:r>
      <w:r>
        <w:rPr>
          <w:rFonts w:ascii="Microsoft Sans Serif" w:hAnsi="Microsoft Sans Serif" w:cs="Microsoft Sans Serif"/>
          <w:sz w:val="20"/>
          <w:lang w:val="bs-Latn-BA"/>
        </w:rPr>
        <w:t xml:space="preserve"> lijeka navedenih u dijelu 6.1 ili na neki drugi lijek iz grupe ACE-inhibitora;</w:t>
      </w:r>
      <w:r>
        <w:rPr>
          <w:rStyle w:val="40"/>
          <w:rFonts w:ascii="Microsoft Sans Serif" w:hAnsi="Microsoft Sans Serif" w:cs="Microsoft Sans Serif"/>
          <w:sz w:val="20"/>
          <w:shd w:val="clear" w:color="auto" w:fill="FFFFFF"/>
          <w:lang w:val="bs-Latn-BA"/>
        </w:rPr>
        <w:t xml:space="preserve"> </w:t>
      </w:r>
    </w:p>
    <w:p w14:paraId="1DB0E641">
      <w:pPr>
        <w:jc w:val="both"/>
        <w:rPr>
          <w:rStyle w:val="40"/>
          <w:rFonts w:ascii="Microsoft Sans Serif" w:hAnsi="Microsoft Sans Serif" w:cs="Microsoft Sans Serif"/>
          <w:sz w:val="20"/>
          <w:shd w:val="clear" w:color="auto" w:fill="FFFFFF"/>
          <w:lang w:val="bs-Latn-BA"/>
        </w:rPr>
      </w:pPr>
      <w:r>
        <w:rPr>
          <w:rFonts w:ascii="Microsoft Sans Serif" w:hAnsi="Microsoft Sans Serif" w:cs="Microsoft Sans Serif"/>
          <w:sz w:val="20"/>
          <w:lang w:val="en"/>
        </w:rPr>
        <w:t xml:space="preserve">• </w:t>
      </w:r>
      <w:r>
        <w:rPr>
          <w:rStyle w:val="40"/>
          <w:rFonts w:ascii="Microsoft Sans Serif" w:hAnsi="Microsoft Sans Serif" w:cs="Microsoft Sans Serif"/>
          <w:sz w:val="20"/>
          <w:shd w:val="clear" w:color="auto" w:fill="FFFFFF"/>
          <w:lang w:val="bs-Latn-BA"/>
        </w:rPr>
        <w:t xml:space="preserve">kod pacijenata sa istorijom angioedema povezan sa prethodnom upotrebom ACE-inhibitora; </w:t>
      </w:r>
    </w:p>
    <w:p w14:paraId="267E065C">
      <w:pPr>
        <w:jc w:val="both"/>
        <w:rPr>
          <w:rStyle w:val="40"/>
          <w:rFonts w:ascii="Microsoft Sans Serif" w:hAnsi="Microsoft Sans Serif" w:cs="Microsoft Sans Serif"/>
          <w:sz w:val="20"/>
          <w:shd w:val="clear" w:color="auto" w:fill="FFFFFF"/>
          <w:lang w:val="bs-Latn-BA"/>
        </w:rPr>
      </w:pPr>
      <w:r>
        <w:rPr>
          <w:rFonts w:ascii="Microsoft Sans Serif" w:hAnsi="Microsoft Sans Serif" w:cs="Microsoft Sans Serif"/>
          <w:sz w:val="20"/>
          <w:lang w:val="en"/>
        </w:rPr>
        <w:t xml:space="preserve">• </w:t>
      </w:r>
      <w:r>
        <w:rPr>
          <w:rStyle w:val="40"/>
          <w:rFonts w:ascii="Microsoft Sans Serif" w:hAnsi="Microsoft Sans Serif" w:cs="Microsoft Sans Serif"/>
          <w:sz w:val="20"/>
          <w:shd w:val="clear" w:color="auto" w:fill="FFFFFF"/>
          <w:lang w:val="bs-Latn-BA"/>
        </w:rPr>
        <w:t>kod pacijenata sa nasljednim ili idiopatskim angioedemom;</w:t>
      </w:r>
    </w:p>
    <w:p w14:paraId="4BC6BA7B">
      <w:pPr>
        <w:jc w:val="both"/>
        <w:rPr>
          <w:rStyle w:val="40"/>
          <w:rFonts w:ascii="Microsoft Sans Serif" w:hAnsi="Microsoft Sans Serif" w:cs="Microsoft Sans Serif"/>
          <w:sz w:val="20"/>
          <w:shd w:val="clear" w:color="auto" w:fill="FFFFFF"/>
          <w:lang w:val="bs-Latn-BA"/>
        </w:rPr>
      </w:pPr>
      <w:r>
        <w:rPr>
          <w:rFonts w:ascii="Microsoft Sans Serif" w:hAnsi="Microsoft Sans Serif" w:cs="Microsoft Sans Serif"/>
          <w:sz w:val="20"/>
          <w:lang w:val="en"/>
        </w:rPr>
        <w:t>• drugi i treći trimestar trudnoće (pogledati dijelove 4.4 i 4.6);</w:t>
      </w:r>
    </w:p>
    <w:p w14:paraId="21ECF054">
      <w:pPr>
        <w:widowControl w:val="0"/>
        <w:shd w:val="clear" w:color="auto" w:fill="FFFFFF"/>
        <w:autoSpaceDE w:val="0"/>
        <w:autoSpaceDN w:val="0"/>
        <w:adjustRightInd w:val="0"/>
        <w:jc w:val="both"/>
        <w:rPr>
          <w:rFonts w:ascii="Microsoft Sans Serif" w:hAnsi="Microsoft Sans Serif" w:cs="Microsoft Sans Serif"/>
          <w:iCs/>
          <w:color w:val="000000"/>
          <w:sz w:val="20"/>
        </w:rPr>
      </w:pPr>
      <w:r>
        <w:rPr>
          <w:rFonts w:ascii="Microsoft Sans Serif" w:hAnsi="Microsoft Sans Serif" w:cs="Microsoft Sans Serif"/>
          <w:sz w:val="20"/>
          <w:lang w:val="en"/>
        </w:rPr>
        <w:t>• i</w:t>
      </w:r>
      <w:r>
        <w:rPr>
          <w:rFonts w:ascii="Microsoft Sans Serif" w:hAnsi="Microsoft Sans Serif" w:cs="Microsoft Sans Serif"/>
          <w:iCs/>
          <w:sz w:val="20"/>
        </w:rPr>
        <w:t>stovremena primjena lijeka Skopryl sa lijekovima koji sadrže aliskiren je kontraindikovana kod</w:t>
      </w:r>
      <w:r>
        <w:rPr>
          <w:rFonts w:ascii="Microsoft Sans Serif" w:hAnsi="Microsoft Sans Serif" w:cs="Microsoft Sans Serif"/>
          <w:iCs/>
          <w:sz w:val="20"/>
        </w:rPr>
        <w:br w:type="textWrapping"/>
      </w:r>
      <w:r>
        <w:rPr>
          <w:rFonts w:ascii="Microsoft Sans Serif" w:hAnsi="Microsoft Sans Serif" w:cs="Microsoft Sans Serif"/>
          <w:iCs/>
          <w:sz w:val="20"/>
        </w:rPr>
        <w:t>pacijenata sa dijabetesom ili oštećenjem bubrega (GFR &lt; 60 ml/min/1,73 m</w:t>
      </w:r>
      <w:r>
        <w:rPr>
          <w:rFonts w:ascii="Microsoft Sans Serif" w:hAnsi="Microsoft Sans Serif" w:cs="Microsoft Sans Serif"/>
          <w:iCs/>
          <w:sz w:val="20"/>
          <w:vertAlign w:val="superscript"/>
        </w:rPr>
        <w:t>2</w:t>
      </w:r>
      <w:r>
        <w:rPr>
          <w:rFonts w:ascii="Microsoft Sans Serif" w:hAnsi="Microsoft Sans Serif" w:cs="Microsoft Sans Serif"/>
          <w:iCs/>
          <w:sz w:val="20"/>
        </w:rPr>
        <w:t>) (pogledati dijelove 4.5 i 5.1)</w:t>
      </w:r>
      <w:r>
        <w:rPr>
          <w:rFonts w:ascii="Microsoft Sans Serif" w:hAnsi="Microsoft Sans Serif" w:cs="Microsoft Sans Serif"/>
          <w:iCs/>
          <w:color w:val="000000"/>
          <w:sz w:val="20"/>
        </w:rPr>
        <w:t>;</w:t>
      </w:r>
    </w:p>
    <w:p w14:paraId="19CC92B8">
      <w:pPr>
        <w:widowControl w:val="0"/>
        <w:shd w:val="clear" w:color="auto" w:fill="FFFFFF"/>
        <w:autoSpaceDE w:val="0"/>
        <w:autoSpaceDN w:val="0"/>
        <w:adjustRightInd w:val="0"/>
        <w:jc w:val="both"/>
        <w:rPr>
          <w:rFonts w:ascii="Microsoft Sans Serif" w:hAnsi="Microsoft Sans Serif" w:cs="Microsoft Sans Serif"/>
          <w:sz w:val="20"/>
        </w:rPr>
      </w:pPr>
      <w:r>
        <w:rPr>
          <w:rFonts w:ascii="Microsoft Sans Serif" w:hAnsi="Microsoft Sans Serif" w:cs="Microsoft Sans Serif"/>
          <w:sz w:val="20"/>
          <w:lang w:val="en"/>
        </w:rPr>
        <w:t>• istovremena upotreba sa sakubitril/valsartan terapijom. Skopryl</w:t>
      </w:r>
      <w:r>
        <w:rPr>
          <w:rFonts w:ascii="Microsoft Sans Serif" w:hAnsi="Microsoft Sans Serif" w:cs="Microsoft Sans Serif"/>
          <w:color w:val="222222"/>
          <w:sz w:val="20"/>
        </w:rPr>
        <w:t xml:space="preserve"> se ne smije početi davati prije isteka 36 sati od posljednje doze sakubitril/valsartan </w:t>
      </w:r>
      <w:r>
        <w:rPr>
          <w:rFonts w:ascii="Microsoft Sans Serif" w:hAnsi="Microsoft Sans Serif" w:cs="Microsoft Sans Serif"/>
          <w:sz w:val="20"/>
          <w:lang w:val="en"/>
        </w:rPr>
        <w:t>(pogledati dijelove 4.4 i 4.5).</w:t>
      </w:r>
    </w:p>
    <w:p w14:paraId="58256C44">
      <w:pPr>
        <w:jc w:val="both"/>
        <w:rPr>
          <w:rFonts w:ascii="Microsoft Sans Serif" w:hAnsi="Microsoft Sans Serif" w:cs="Microsoft Sans Serif"/>
          <w:sz w:val="20"/>
        </w:rPr>
      </w:pPr>
    </w:p>
    <w:p w14:paraId="2EB75B39">
      <w:pPr>
        <w:jc w:val="both"/>
        <w:rPr>
          <w:rFonts w:ascii="Microsoft Sans Serif" w:hAnsi="Microsoft Sans Serif" w:cs="Microsoft Sans Serif"/>
          <w:sz w:val="20"/>
          <w:lang w:val="sr-Latn-BA"/>
        </w:rPr>
      </w:pPr>
      <w:r>
        <w:rPr>
          <w:rFonts w:ascii="Microsoft Sans Serif" w:hAnsi="Microsoft Sans Serif" w:cs="Microsoft Sans Serif"/>
          <w:b/>
          <w:sz w:val="20"/>
          <w:lang w:val="sr-Latn-BA"/>
        </w:rPr>
        <w:t xml:space="preserve">4.4 </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Posebna upozorenja i mjere opreza pri upotrebi </w:t>
      </w:r>
    </w:p>
    <w:p w14:paraId="4B337079">
      <w:pPr>
        <w:jc w:val="both"/>
        <w:rPr>
          <w:rFonts w:ascii="Microsoft Sans Serif" w:hAnsi="Microsoft Sans Serif" w:cs="Microsoft Sans Serif"/>
          <w:b/>
          <w:sz w:val="20"/>
          <w:lang w:val="sr-Latn-BA"/>
        </w:rPr>
      </w:pPr>
    </w:p>
    <w:p w14:paraId="0F6EB8D6">
      <w:pPr>
        <w:jc w:val="both"/>
        <w:rPr>
          <w:rStyle w:val="40"/>
          <w:rFonts w:ascii="Microsoft Sans Serif" w:hAnsi="Microsoft Sans Serif" w:cs="Microsoft Sans Serif"/>
          <w:sz w:val="20"/>
          <w:lang w:val="bs-Latn-BA"/>
        </w:rPr>
      </w:pPr>
      <w:r>
        <w:rPr>
          <w:rStyle w:val="40"/>
          <w:rFonts w:ascii="Microsoft Sans Serif" w:hAnsi="Microsoft Sans Serif" w:cs="Microsoft Sans Serif"/>
          <w:b/>
          <w:sz w:val="20"/>
          <w:lang w:val="bs-Latn-BA"/>
        </w:rPr>
        <w:t>Simptomatska hipotenzija</w:t>
      </w:r>
      <w:r>
        <w:rPr>
          <w:rStyle w:val="40"/>
          <w:rFonts w:ascii="Microsoft Sans Serif" w:hAnsi="Microsoft Sans Serif" w:cs="Microsoft Sans Serif"/>
          <w:sz w:val="20"/>
          <w:lang w:val="bs-Latn-BA"/>
        </w:rPr>
        <w:t xml:space="preserve"> </w:t>
      </w:r>
    </w:p>
    <w:p w14:paraId="25B5AC48">
      <w:pPr>
        <w:shd w:val="clear" w:color="auto" w:fill="FFFFFF"/>
        <w:jc w:val="both"/>
        <w:rPr>
          <w:rFonts w:ascii="Microsoft Sans Serif" w:hAnsi="Microsoft Sans Serif" w:cs="Microsoft Sans Serif"/>
          <w:color w:val="000000"/>
          <w:sz w:val="20"/>
        </w:rPr>
      </w:pPr>
      <w:r>
        <w:rPr>
          <w:rStyle w:val="40"/>
          <w:rFonts w:ascii="Microsoft Sans Serif" w:hAnsi="Microsoft Sans Serif" w:cs="Microsoft Sans Serif"/>
          <w:sz w:val="20"/>
          <w:lang w:val="bs-Latn-BA"/>
        </w:rPr>
        <w:t>Simptomatska hipotenzija rijetko se može vidjeti kod nekomplikovanih hipertenzivnih pacijenata. Kod hipertenzivnih pacijenata koji su na terapiji lijekom Skopryl, vjerovatnije je da će se pojaviti hipotenzija ukoliko kod pacijenata postoji gubitak tečnosti uzrokovan npr. terapijom diureticima, dijeta sa ograničenim unosom soli, dijaliza, proliv ili povraćanje, ili</w:t>
      </w:r>
      <w:r>
        <w:rPr>
          <w:rFonts w:ascii="Microsoft Sans Serif" w:hAnsi="Microsoft Sans Serif" w:cs="Microsoft Sans Serif"/>
          <w:color w:val="000000"/>
          <w:sz w:val="20"/>
        </w:rPr>
        <w:t xml:space="preserve"> u teškim oblicima hipertenzije ovisne o reninu (pogledati dio </w:t>
      </w:r>
      <w:r>
        <w:rPr>
          <w:rFonts w:ascii="Microsoft Sans Serif" w:hAnsi="Microsoft Sans Serif" w:cs="Microsoft Sans Serif"/>
          <w:iCs/>
          <w:color w:val="000000"/>
          <w:sz w:val="20"/>
        </w:rPr>
        <w:t xml:space="preserve">4.5 </w:t>
      </w:r>
      <w:r>
        <w:rPr>
          <w:rFonts w:ascii="Microsoft Sans Serif" w:hAnsi="Microsoft Sans Serif" w:cs="Microsoft Sans Serif"/>
          <w:color w:val="000000"/>
          <w:sz w:val="20"/>
        </w:rPr>
        <w:t>i 4.8</w:t>
      </w:r>
      <w:r>
        <w:rPr>
          <w:rFonts w:ascii="Microsoft Sans Serif" w:hAnsi="Microsoft Sans Serif" w:cs="Microsoft Sans Serif"/>
          <w:iCs/>
          <w:color w:val="000000"/>
          <w:sz w:val="20"/>
        </w:rPr>
        <w:t>)</w:t>
      </w:r>
      <w:r>
        <w:rPr>
          <w:rStyle w:val="40"/>
          <w:rFonts w:ascii="Microsoft Sans Serif" w:hAnsi="Microsoft Sans Serif" w:cs="Microsoft Sans Serif"/>
          <w:sz w:val="20"/>
          <w:lang w:val="bs-Latn-BA"/>
        </w:rPr>
        <w:t xml:space="preserve">. </w:t>
      </w:r>
      <w:r>
        <w:rPr>
          <w:rFonts w:ascii="Microsoft Sans Serif" w:hAnsi="Microsoft Sans Serif" w:cs="Microsoft Sans Serif"/>
          <w:color w:val="000000"/>
          <w:sz w:val="20"/>
        </w:rPr>
        <w:t>Kod pacijenata sa insuficijencijom srca, sa ili bez pridružene insuficijencije bubrega, zabilježeni su slučajevi simptomatske hipotenzije. Ovo je vjerovatnije kod pacijenata sa težim</w:t>
      </w:r>
      <w:r>
        <w:rPr>
          <w:rFonts w:ascii="Microsoft Sans Serif" w:hAnsi="Microsoft Sans Serif" w:cs="Microsoft Sans Serif"/>
          <w:sz w:val="20"/>
        </w:rPr>
        <w:t xml:space="preserve"> </w:t>
      </w:r>
      <w:r>
        <w:rPr>
          <w:rFonts w:ascii="Microsoft Sans Serif" w:hAnsi="Microsoft Sans Serif" w:cs="Microsoft Sans Serif"/>
          <w:color w:val="000000"/>
          <w:sz w:val="20"/>
        </w:rPr>
        <w:t>oblikom insuficijencije srca, a kao odraz primjene velikih doza diuretika Henleove petlje, hiponatrijemije ili funkcionalnog o</w:t>
      </w:r>
      <w:r>
        <w:rPr>
          <w:rFonts w:ascii="Microsoft Sans Serif" w:hAnsi="Microsoft Sans Serif" w:cs="Microsoft Sans Serif"/>
          <w:color w:val="000000"/>
          <w:sz w:val="20"/>
          <w:lang w:val="hr-BA"/>
        </w:rPr>
        <w:t>štećenja</w:t>
      </w:r>
      <w:r>
        <w:rPr>
          <w:rFonts w:ascii="Microsoft Sans Serif" w:hAnsi="Microsoft Sans Serif" w:cs="Microsoft Sans Serif"/>
          <w:color w:val="000000"/>
          <w:sz w:val="20"/>
        </w:rPr>
        <w:t xml:space="preserve"> bubrega. Kod pacijenata sa pove</w:t>
      </w:r>
      <w:r>
        <w:rPr>
          <w:rFonts w:ascii="Microsoft Sans Serif" w:hAnsi="Microsoft Sans Serif" w:cs="Microsoft Sans Serif"/>
          <w:color w:val="000000"/>
          <w:sz w:val="20"/>
          <w:lang w:val="hr-BA"/>
        </w:rPr>
        <w:t xml:space="preserve">ćanim rizikom od pojave simptomatske hipotenzije </w:t>
      </w:r>
      <w:r>
        <w:rPr>
          <w:rFonts w:ascii="Microsoft Sans Serif" w:hAnsi="Microsoft Sans Serif" w:cs="Microsoft Sans Serif"/>
          <w:color w:val="000000"/>
          <w:sz w:val="20"/>
        </w:rPr>
        <w:t>liječenje treba započeti pod ljekarskim nadzorom, a pacijente treba pažljivo pratiti prilikom svakog prilagođavanja doze.</w:t>
      </w:r>
    </w:p>
    <w:p w14:paraId="459F0505">
      <w:pPr>
        <w:shd w:val="clear" w:color="auto" w:fill="FFFFFF"/>
        <w:jc w:val="both"/>
        <w:rPr>
          <w:rStyle w:val="40"/>
          <w:rFonts w:ascii="Microsoft Sans Serif" w:hAnsi="Microsoft Sans Serif" w:cs="Microsoft Sans Serif"/>
          <w:sz w:val="20"/>
          <w:lang w:val="bs-Latn-BA"/>
        </w:rPr>
      </w:pPr>
      <w:r>
        <w:rPr>
          <w:rStyle w:val="40"/>
          <w:rFonts w:ascii="Microsoft Sans Serif" w:hAnsi="Microsoft Sans Serif" w:cs="Microsoft Sans Serif"/>
          <w:sz w:val="20"/>
          <w:lang w:val="bs-Latn-BA"/>
        </w:rPr>
        <w:t>Takođe, pažljivo i čestim praćenjem, lijek bi trebalo da bude korišten kod pacijenata sa ishemijskom bolešću srca ili cerebrovaskularnom bolešću kod kojih izrazita hipotenzija može dovesti do infarkta miokarda ili cerebrovaskularnog inzulta.</w:t>
      </w:r>
    </w:p>
    <w:p w14:paraId="009079DF">
      <w:pPr>
        <w:shd w:val="clear" w:color="auto" w:fill="FFFFFF"/>
        <w:jc w:val="both"/>
        <w:rPr>
          <w:rFonts w:ascii="Microsoft Sans Serif" w:hAnsi="Microsoft Sans Serif" w:cs="Microsoft Sans Serif"/>
          <w:sz w:val="20"/>
        </w:rPr>
      </w:pPr>
      <w:r>
        <w:rPr>
          <w:rStyle w:val="40"/>
          <w:rFonts w:ascii="Microsoft Sans Serif" w:hAnsi="Microsoft Sans Serif" w:cs="Microsoft Sans Serif"/>
          <w:sz w:val="20"/>
          <w:lang w:val="bs-Latn-BA"/>
        </w:rPr>
        <w:t xml:space="preserve">Pri pojavi hipotenzije, pacijenta treba smjestiti u ležeći položaj. Može biti potrebno korigovanje volumena sa intravenskim uvođenjem fiziološkog rastvora. </w:t>
      </w:r>
      <w:r>
        <w:rPr>
          <w:rFonts w:ascii="Microsoft Sans Serif" w:hAnsi="Microsoft Sans Serif" w:cs="Microsoft Sans Serif"/>
          <w:color w:val="000000"/>
          <w:sz w:val="20"/>
        </w:rPr>
        <w:t>Prolazna hipotenzivna reakcija nije kontraindikacija za sljedeću dozu lijeka, koja se može primijeniti uobičajeno, bez poteškoća, jednom kad je krvni pritisak uspostavljen povećanjem volumena.</w:t>
      </w:r>
    </w:p>
    <w:p w14:paraId="41A00673">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nekih</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 srčanom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insuficijencijom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koji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imaju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normalan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nizak</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krvni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pritisak</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moguća 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pojava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dodatnog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smanjenja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sistemskog krvnog pritiska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pomoću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lizinoprila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Ovaj</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efekt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se očekuje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obično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razlog za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prekid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slučaju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da hipotenzija postane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simptomatska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može biti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neophodno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smanjiti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dozu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prekinuti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terapiju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lizinoprilom</w:t>
      </w:r>
      <w:r>
        <w:rPr>
          <w:rStyle w:val="40"/>
          <w:rFonts w:ascii="Microsoft Sans Serif" w:hAnsi="Microsoft Sans Serif" w:cs="Microsoft Sans Serif"/>
          <w:sz w:val="20"/>
          <w:lang w:val="bs-Latn-BA"/>
        </w:rPr>
        <w:t>.</w:t>
      </w:r>
    </w:p>
    <w:p w14:paraId="33244A96">
      <w:pPr>
        <w:jc w:val="both"/>
        <w:rPr>
          <w:rStyle w:val="41"/>
          <w:rFonts w:ascii="Microsoft Sans Serif" w:hAnsi="Microsoft Sans Serif" w:cs="Microsoft Sans Serif"/>
          <w:b/>
          <w:sz w:val="20"/>
          <w:lang w:val="bs-Latn-BA"/>
        </w:rPr>
      </w:pPr>
      <w:r>
        <w:rPr>
          <w:rFonts w:ascii="Microsoft Sans Serif" w:hAnsi="Microsoft Sans Serif" w:cs="Microsoft Sans Serif"/>
          <w:sz w:val="20"/>
          <w:lang w:val="bs-Latn-BA"/>
        </w:rPr>
        <w:br w:type="textWrapping"/>
      </w:r>
      <w:r>
        <w:rPr>
          <w:rStyle w:val="41"/>
          <w:rFonts w:ascii="Microsoft Sans Serif" w:hAnsi="Microsoft Sans Serif" w:cs="Microsoft Sans Serif"/>
          <w:b/>
          <w:sz w:val="20"/>
          <w:lang w:val="bs-Latn-BA"/>
        </w:rPr>
        <w:t>Hipotenzija</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u akutnom infarktu miokarda</w:t>
      </w:r>
    </w:p>
    <w:p w14:paraId="124E3583">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Terapiju lizinoprilom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bi trebalo započeti kod pacijenata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akutnim infarktom miokarda</w:t>
      </w:r>
      <w:r>
        <w:rPr>
          <w:rStyle w:val="40"/>
          <w:rFonts w:ascii="Microsoft Sans Serif" w:hAnsi="Microsoft Sans Serif" w:cs="Microsoft Sans Serif"/>
          <w:sz w:val="20"/>
          <w:lang w:val="bs-Latn-BA"/>
        </w:rPr>
        <w:t xml:space="preserve">, koji </w:t>
      </w:r>
      <w:r>
        <w:rPr>
          <w:rStyle w:val="41"/>
          <w:rFonts w:ascii="Microsoft Sans Serif" w:hAnsi="Microsoft Sans Serif" w:cs="Microsoft Sans Serif"/>
          <w:sz w:val="20"/>
          <w:lang w:val="bs-Latn-BA"/>
        </w:rPr>
        <w:t>su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opasnosti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daljeg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ozbiljnog pogoršanja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hemodinamici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nakon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vazodilatatorima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sistolnim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krvnim pritiskom 100</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mm Hg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niži</w:t>
      </w:r>
      <w:r>
        <w:rPr>
          <w:rStyle w:val="40"/>
          <w:rFonts w:ascii="Microsoft Sans Serif" w:hAnsi="Microsoft Sans Serif" w:cs="Microsoft Sans Serif"/>
          <w:sz w:val="20"/>
          <w:lang w:val="bs-Latn-BA"/>
        </w:rPr>
        <w:t xml:space="preserve"> ili </w:t>
      </w:r>
      <w:r>
        <w:rPr>
          <w:rStyle w:val="41"/>
          <w:rFonts w:ascii="Microsoft Sans Serif" w:hAnsi="Microsoft Sans Serif" w:cs="Microsoft Sans Serif"/>
          <w:sz w:val="20"/>
          <w:lang w:val="bs-Latn-BA"/>
        </w:rPr>
        <w:t>kardiogenim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šokom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Tokom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prva tri dana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nakon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infarkta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dozu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treba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smanjiti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je sistolni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krvni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pritisak 120 mm Hg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niži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Doze održavanja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treba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smanjiti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5</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privremeno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2,5</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ako 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sistolni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krvni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pritisak</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100 mm Hg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niži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hipotenzija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potraje</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1"/>
          <w:rFonts w:ascii="Microsoft Sans Serif" w:hAnsi="Microsoft Sans Serif" w:cs="Microsoft Sans Serif"/>
          <w:sz w:val="20"/>
          <w:lang w:val="bs-Latn-BA"/>
        </w:rPr>
        <w:t>sistolni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krvni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pritisak ispod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90</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mm Hg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više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sat vremena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onda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lizinopril</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treba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biti ukinut</w:t>
      </w:r>
      <w:r>
        <w:rPr>
          <w:rStyle w:val="40"/>
          <w:rFonts w:ascii="Microsoft Sans Serif" w:hAnsi="Microsoft Sans Serif" w:cs="Microsoft Sans Serif"/>
          <w:sz w:val="20"/>
          <w:lang w:val="bs-Latn-BA"/>
        </w:rPr>
        <w:t>.</w:t>
      </w:r>
    </w:p>
    <w:p w14:paraId="5D678DF9">
      <w:pPr>
        <w:jc w:val="both"/>
        <w:rPr>
          <w:rFonts w:ascii="Microsoft Sans Serif" w:hAnsi="Microsoft Sans Serif" w:cs="Microsoft Sans Serif"/>
          <w:sz w:val="20"/>
          <w:lang w:val="hr-HR"/>
        </w:rPr>
      </w:pPr>
    </w:p>
    <w:p w14:paraId="68BE69D0">
      <w:pPr>
        <w:jc w:val="both"/>
        <w:rPr>
          <w:rStyle w:val="40"/>
          <w:rFonts w:ascii="Microsoft Sans Serif" w:hAnsi="Microsoft Sans Serif" w:cs="Microsoft Sans Serif"/>
          <w:b/>
          <w:sz w:val="20"/>
          <w:shd w:val="clear" w:color="auto" w:fill="FFFFFF"/>
          <w:lang w:val="bs-Latn-BA"/>
        </w:rPr>
      </w:pPr>
      <w:r>
        <w:rPr>
          <w:rStyle w:val="40"/>
          <w:rFonts w:ascii="Microsoft Sans Serif" w:hAnsi="Microsoft Sans Serif" w:cs="Microsoft Sans Serif"/>
          <w:b/>
          <w:sz w:val="20"/>
          <w:shd w:val="clear" w:color="auto" w:fill="FFFFFF"/>
          <w:lang w:val="bs-Latn-BA"/>
        </w:rPr>
        <w:t>Stenoza aortalne i mitralne valvule/hipertrofijska kardiomiopatija</w:t>
      </w:r>
    </w:p>
    <w:p w14:paraId="6BEE4107">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 xml:space="preserve">Kao i ostale ACE-inhibitore, lizinopril treba primjenjivati sa oprezom kod pacijenata sa stenozom mitralne valvule te opstrukcijom </w:t>
      </w:r>
      <w:r>
        <w:rPr>
          <w:rStyle w:val="40"/>
          <w:rFonts w:ascii="Microsoft Sans Serif" w:hAnsi="Microsoft Sans Serif" w:cs="Microsoft Sans Serif"/>
          <w:sz w:val="20"/>
          <w:shd w:val="clear" w:color="auto" w:fill="FFFFFF"/>
          <w:lang w:val="bs-Latn-BA"/>
        </w:rPr>
        <w:t xml:space="preserve">ejekcionih struktura </w:t>
      </w:r>
      <w:r>
        <w:rPr>
          <w:rFonts w:ascii="Microsoft Sans Serif" w:hAnsi="Microsoft Sans Serif" w:cs="Microsoft Sans Serif"/>
          <w:color w:val="000000"/>
          <w:sz w:val="20"/>
        </w:rPr>
        <w:t xml:space="preserve">lijeve </w:t>
      </w:r>
      <w:r>
        <w:rPr>
          <w:rStyle w:val="40"/>
          <w:rFonts w:ascii="Microsoft Sans Serif" w:hAnsi="Microsoft Sans Serif" w:cs="Microsoft Sans Serif"/>
          <w:sz w:val="20"/>
          <w:shd w:val="clear" w:color="auto" w:fill="FFFFFF"/>
          <w:lang w:val="bs-Latn-BA"/>
        </w:rPr>
        <w:t>komore</w:t>
      </w:r>
      <w:r>
        <w:rPr>
          <w:rFonts w:ascii="Microsoft Sans Serif" w:hAnsi="Microsoft Sans Serif" w:cs="Microsoft Sans Serif"/>
          <w:color w:val="000000"/>
          <w:sz w:val="20"/>
        </w:rPr>
        <w:t>, kao što je slučaj kod aortalne stenoze ili hipertrofičke kardiomiopatije.</w:t>
      </w:r>
    </w:p>
    <w:p w14:paraId="2E419C09">
      <w:pPr>
        <w:jc w:val="both"/>
        <w:rPr>
          <w:rFonts w:ascii="Microsoft Sans Serif" w:hAnsi="Microsoft Sans Serif" w:cs="Microsoft Sans Serif"/>
          <w:sz w:val="20"/>
          <w:lang w:val="hr-HR"/>
        </w:rPr>
      </w:pPr>
    </w:p>
    <w:p w14:paraId="260BCDBA">
      <w:pPr>
        <w:jc w:val="both"/>
        <w:rPr>
          <w:rStyle w:val="41"/>
          <w:rFonts w:ascii="Microsoft Sans Serif" w:hAnsi="Microsoft Sans Serif" w:cs="Microsoft Sans Serif"/>
          <w:b/>
          <w:sz w:val="20"/>
          <w:lang w:val="bs-Latn-BA"/>
        </w:rPr>
      </w:pPr>
      <w:r>
        <w:rPr>
          <w:rStyle w:val="41"/>
          <w:rFonts w:ascii="Microsoft Sans Serif" w:hAnsi="Microsoft Sans Serif" w:cs="Microsoft Sans Serif"/>
          <w:b/>
          <w:sz w:val="20"/>
          <w:lang w:val="bs-Latn-BA"/>
        </w:rPr>
        <w:t>Oštećenje</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bubrežne</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funkcije</w:t>
      </w:r>
    </w:p>
    <w:p w14:paraId="2DE024D9">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pacijenata sa insuficijencijom bubrega (klirens kreatinina &lt;80 ml/min), početnu dozu lizinoprila treba uskladiti sa vrijednostima klirensa kreatinina (pogledati Tabelu 1 u dijelu 4.2), a kasnije saglasno vrijednostima krvnog pritiska kako odgovor terapije. Praćenje nivoa kalijuma i kreatinina u serumu je dio uobičajenog postupka kod tih pacijenata.</w:t>
      </w:r>
    </w:p>
    <w:p w14:paraId="0AF26F3A">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 xml:space="preserve">Kod pacijenata sa </w:t>
      </w:r>
      <w:r>
        <w:rPr>
          <w:rFonts w:ascii="Microsoft Sans Serif" w:hAnsi="Microsoft Sans Serif" w:cs="Microsoft Sans Serif"/>
          <w:color w:val="000000"/>
          <w:sz w:val="20"/>
          <w:u w:val="single"/>
        </w:rPr>
        <w:t>insuficijencijom srca</w:t>
      </w:r>
      <w:r>
        <w:rPr>
          <w:rFonts w:ascii="Microsoft Sans Serif" w:hAnsi="Microsoft Sans Serif" w:cs="Microsoft Sans Serif"/>
          <w:color w:val="000000"/>
          <w:sz w:val="20"/>
        </w:rPr>
        <w:t xml:space="preserve"> pojava hipotenzije nakon početka liječenja ACE-inhibitorima može dovesti do daljnjeg oštećenja funkcije bubrega. U takvim je slučajevima opisana i akutna insuficijencija bubrega, obično reverzibilna.</w:t>
      </w:r>
    </w:p>
    <w:p w14:paraId="11A1C81C">
      <w:pPr>
        <w:jc w:val="both"/>
        <w:rPr>
          <w:rFonts w:ascii="Microsoft Sans Serif" w:hAnsi="Microsoft Sans Serif" w:cs="Microsoft Sans Serif"/>
          <w:sz w:val="20"/>
          <w:lang w:val="bs-Latn-BA" w:eastAsia="en-GB"/>
        </w:rPr>
      </w:pPr>
      <w:r>
        <w:rPr>
          <w:rFonts w:ascii="Microsoft Sans Serif" w:hAnsi="Microsoft Sans Serif" w:cs="Microsoft Sans Serif"/>
          <w:color w:val="000000"/>
          <w:sz w:val="20"/>
        </w:rPr>
        <w:t xml:space="preserve">Kod nekih pacijenata sa </w:t>
      </w:r>
      <w:r>
        <w:rPr>
          <w:rFonts w:ascii="Microsoft Sans Serif" w:hAnsi="Microsoft Sans Serif" w:cs="Microsoft Sans Serif"/>
          <w:color w:val="000000"/>
          <w:sz w:val="20"/>
          <w:u w:val="single"/>
        </w:rPr>
        <w:t>obostranom stenozom bubrežnih arterija ili stenozom arterije jedinog preostalog bubrega</w:t>
      </w:r>
      <w:r>
        <w:rPr>
          <w:rFonts w:ascii="Microsoft Sans Serif" w:hAnsi="Microsoft Sans Serif" w:cs="Microsoft Sans Serif"/>
          <w:color w:val="000000"/>
          <w:sz w:val="20"/>
        </w:rPr>
        <w:t xml:space="preserve"> koji su bili liječeni inhibitorom angiotenzin konvertuju</w:t>
      </w:r>
      <w:r>
        <w:rPr>
          <w:rFonts w:ascii="Microsoft Sans Serif" w:hAnsi="Microsoft Sans Serif" w:cs="Microsoft Sans Serif"/>
          <w:color w:val="000000"/>
          <w:sz w:val="20"/>
          <w:lang w:val="hr-BA"/>
        </w:rPr>
        <w:t>ćeg enzima</w:t>
      </w:r>
      <w:r>
        <w:rPr>
          <w:rFonts w:ascii="Microsoft Sans Serif" w:hAnsi="Microsoft Sans Serif" w:cs="Microsoft Sans Serif"/>
          <w:color w:val="000000"/>
          <w:sz w:val="20"/>
        </w:rPr>
        <w:t xml:space="preserve">, uočen je porast ureje i kreatinina u serumu, obično reverzibilan nakon prestanka liječenja. Ovo je posebno vjerovatno kod pacijenata sa insuficijencijom bubrega. Ukoliko istovremeno postoji i renovaskularna hipertenzija, postoji povećani rizik od teške hipotenzije i insuficijencije bubrega. Kod ovih pacijenata potrebno je liječenje započeti pod ljekarskim nadzorom, niskim dozama lizinoprila te pažljivo prilagođavati dozu. </w:t>
      </w:r>
    </w:p>
    <w:p w14:paraId="06868AF4">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Budući da istovremena primjena diuretika može doprinijeti razvoju gore navedenog stanja, terapiju diureticima treba prekinuti te pažljivo kontrolisati funkciju bubrega tokom prvih sedmica primjene lizinoprila.</w:t>
      </w:r>
    </w:p>
    <w:p w14:paraId="728D6FA1">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 xml:space="preserve">Kod nekih pacijenata sa </w:t>
      </w:r>
      <w:r>
        <w:rPr>
          <w:rFonts w:ascii="Microsoft Sans Serif" w:hAnsi="Microsoft Sans Serif" w:cs="Microsoft Sans Serif"/>
          <w:color w:val="000000"/>
          <w:sz w:val="20"/>
          <w:u w:val="single"/>
        </w:rPr>
        <w:t>hipertenzijom</w:t>
      </w:r>
      <w:r>
        <w:rPr>
          <w:rFonts w:ascii="Microsoft Sans Serif" w:hAnsi="Microsoft Sans Serif" w:cs="Microsoft Sans Serif"/>
          <w:color w:val="000000"/>
          <w:sz w:val="20"/>
        </w:rPr>
        <w:t xml:space="preserve"> bez prethodne očite bolesti krvnih sudova bubrega opažen je porast ureje i kreatinina u serumu, uglavnom blag i prolazan, naročito kada je lizinopril primjenjivan istovremeno sa diureticima. Do toga češće dolazi kod pacijenata sa već postojećim poremećajem funkcije bubrega. Može biti potrebno smanjenje doze i/ili prekid primjene diuretika i/ili lizinoprila.</w:t>
      </w:r>
    </w:p>
    <w:p w14:paraId="37006E26">
      <w:pPr>
        <w:jc w:val="both"/>
        <w:rPr>
          <w:rStyle w:val="40"/>
          <w:rFonts w:ascii="Microsoft Sans Serif" w:hAnsi="Microsoft Sans Serif" w:cs="Microsoft Sans Serif"/>
          <w:sz w:val="20"/>
          <w:shd w:val="clear" w:color="auto" w:fill="FFFFFF"/>
          <w:lang w:val="bs-Latn-BA"/>
        </w:rPr>
      </w:pPr>
      <w:r>
        <w:rPr>
          <w:rFonts w:ascii="Microsoft Sans Serif" w:hAnsi="Microsoft Sans Serif" w:cs="Microsoft Sans Serif"/>
          <w:color w:val="000000"/>
          <w:sz w:val="20"/>
        </w:rPr>
        <w:t xml:space="preserve">Kod pacijenata </w:t>
      </w:r>
      <w:r>
        <w:rPr>
          <w:rFonts w:ascii="Microsoft Sans Serif" w:hAnsi="Microsoft Sans Serif" w:cs="Microsoft Sans Serif"/>
          <w:color w:val="000000"/>
          <w:sz w:val="20"/>
          <w:u w:val="single"/>
        </w:rPr>
        <w:t xml:space="preserve">sa </w:t>
      </w:r>
      <w:r>
        <w:rPr>
          <w:rStyle w:val="40"/>
          <w:rFonts w:ascii="Microsoft Sans Serif" w:hAnsi="Microsoft Sans Serif" w:cs="Microsoft Sans Serif"/>
          <w:sz w:val="20"/>
          <w:u w:val="single"/>
          <w:shd w:val="clear" w:color="auto" w:fill="FFFFFF"/>
          <w:lang w:val="bs-Latn-BA"/>
        </w:rPr>
        <w:t>akutnim infarktom miokarda</w:t>
      </w:r>
      <w:r>
        <w:rPr>
          <w:rStyle w:val="40"/>
          <w:rFonts w:ascii="Microsoft Sans Serif" w:hAnsi="Microsoft Sans Serif" w:cs="Microsoft Sans Serif"/>
          <w:sz w:val="20"/>
          <w:shd w:val="clear" w:color="auto" w:fill="FFFFFF"/>
          <w:lang w:val="bs-Latn-BA"/>
        </w:rPr>
        <w:t xml:space="preserve"> terapiju lizinoprilom ne treba početi </w:t>
      </w:r>
      <w:r>
        <w:rPr>
          <w:rFonts w:ascii="Microsoft Sans Serif" w:hAnsi="Microsoft Sans Serif" w:cs="Microsoft Sans Serif"/>
          <w:color w:val="000000"/>
          <w:sz w:val="20"/>
        </w:rPr>
        <w:t>u slučaju kada se radi o pacijentima</w:t>
      </w:r>
      <w:r>
        <w:rPr>
          <w:rStyle w:val="40"/>
          <w:rFonts w:ascii="Microsoft Sans Serif" w:hAnsi="Microsoft Sans Serif" w:cs="Microsoft Sans Serif"/>
          <w:sz w:val="20"/>
          <w:shd w:val="clear" w:color="auto" w:fill="FFFFFF"/>
          <w:lang w:val="bs-Latn-BA"/>
        </w:rPr>
        <w:t xml:space="preserve"> sa manifestnom bubrežnom disfunkcijom, </w:t>
      </w:r>
      <w:r>
        <w:rPr>
          <w:rFonts w:ascii="Microsoft Sans Serif" w:hAnsi="Microsoft Sans Serif" w:cs="Microsoft Sans Serif"/>
          <w:color w:val="000000"/>
          <w:sz w:val="20"/>
        </w:rPr>
        <w:t xml:space="preserve">definiranom kao </w:t>
      </w:r>
      <w:r>
        <w:rPr>
          <w:rStyle w:val="40"/>
          <w:rFonts w:ascii="Microsoft Sans Serif" w:hAnsi="Microsoft Sans Serif" w:cs="Microsoft Sans Serif"/>
          <w:sz w:val="20"/>
          <w:shd w:val="clear" w:color="auto" w:fill="FFFFFF"/>
          <w:lang w:val="bs-Latn-BA"/>
        </w:rPr>
        <w:t xml:space="preserve">koncentracija serumskog kreatinina iznad 177 </w:t>
      </w:r>
      <w:r>
        <w:rPr>
          <w:rFonts w:ascii="Microsoft Sans Serif" w:hAnsi="Microsoft Sans Serif" w:cs="Microsoft Sans Serif"/>
          <w:sz w:val="20"/>
          <w:lang w:val="bs-Latn-BA"/>
        </w:rPr>
        <w:t xml:space="preserve">mmol/l </w:t>
      </w:r>
      <w:r>
        <w:rPr>
          <w:rStyle w:val="40"/>
          <w:rFonts w:ascii="Microsoft Sans Serif" w:hAnsi="Microsoft Sans Serif" w:cs="Microsoft Sans Serif"/>
          <w:sz w:val="20"/>
          <w:shd w:val="clear" w:color="auto" w:fill="FFFFFF"/>
          <w:lang w:val="bs-Latn-BA"/>
        </w:rPr>
        <w:t xml:space="preserve">i/ili proteinurijom koja premašuje 500 mg/24 h. U slučaju razvoja </w:t>
      </w:r>
      <w:r>
        <w:rPr>
          <w:rFonts w:ascii="Microsoft Sans Serif" w:hAnsi="Microsoft Sans Serif" w:cs="Microsoft Sans Serif"/>
          <w:color w:val="000000"/>
          <w:sz w:val="20"/>
        </w:rPr>
        <w:t xml:space="preserve">insuficijencije </w:t>
      </w:r>
      <w:r>
        <w:rPr>
          <w:rStyle w:val="40"/>
          <w:rFonts w:ascii="Microsoft Sans Serif" w:hAnsi="Microsoft Sans Serif" w:cs="Microsoft Sans Serif"/>
          <w:sz w:val="20"/>
          <w:shd w:val="clear" w:color="auto" w:fill="FFFFFF"/>
          <w:lang w:val="bs-Latn-BA"/>
        </w:rPr>
        <w:t xml:space="preserve">bubrega tokom liječenja sa lizinoprilom (ako je koncentracija serumskog kreatinina iznad 265 </w:t>
      </w:r>
      <w:r>
        <w:rPr>
          <w:rFonts w:ascii="Microsoft Sans Serif" w:hAnsi="Microsoft Sans Serif" w:cs="Microsoft Sans Serif"/>
          <w:sz w:val="20"/>
          <w:lang w:val="bs-Latn-BA"/>
        </w:rPr>
        <w:t xml:space="preserve">mmol/l </w:t>
      </w:r>
      <w:r>
        <w:rPr>
          <w:rStyle w:val="40"/>
          <w:rFonts w:ascii="Microsoft Sans Serif" w:hAnsi="Microsoft Sans Serif" w:cs="Microsoft Sans Serif"/>
          <w:sz w:val="20"/>
          <w:shd w:val="clear" w:color="auto" w:fill="FFFFFF"/>
          <w:lang w:val="bs-Latn-BA"/>
        </w:rPr>
        <w:t>ili dupliranje vrijednosti u odnosu na početnu), onda bi ljekar trebalo da razmotri prekid terapije lijekom Skopryl.</w:t>
      </w:r>
    </w:p>
    <w:p w14:paraId="268E689F">
      <w:pPr>
        <w:jc w:val="both"/>
        <w:rPr>
          <w:rStyle w:val="40"/>
          <w:rFonts w:ascii="Microsoft Sans Serif" w:hAnsi="Microsoft Sans Serif" w:cs="Microsoft Sans Serif"/>
          <w:b/>
          <w:sz w:val="20"/>
          <w:shd w:val="clear" w:color="auto" w:fill="FFFFFF"/>
          <w:lang w:val="bs-Latn-BA"/>
        </w:rPr>
      </w:pPr>
    </w:p>
    <w:p w14:paraId="405053CF">
      <w:pPr>
        <w:jc w:val="both"/>
        <w:rPr>
          <w:rStyle w:val="40"/>
          <w:rFonts w:ascii="Microsoft Sans Serif" w:hAnsi="Microsoft Sans Serif" w:cs="Microsoft Sans Serif"/>
          <w:sz w:val="20"/>
          <w:shd w:val="clear" w:color="auto" w:fill="FFFFFF"/>
          <w:lang w:val="bs-Latn-BA"/>
        </w:rPr>
      </w:pPr>
      <w:r>
        <w:rPr>
          <w:rFonts w:ascii="Microsoft Sans Serif" w:hAnsi="Microsoft Sans Serif" w:cs="Microsoft Sans Serif"/>
          <w:b/>
          <w:bCs/>
          <w:color w:val="000000"/>
          <w:sz w:val="20"/>
        </w:rPr>
        <w:t>Preosjetljivost/</w:t>
      </w:r>
      <w:r>
        <w:rPr>
          <w:rStyle w:val="40"/>
          <w:rFonts w:ascii="Microsoft Sans Serif" w:hAnsi="Microsoft Sans Serif" w:cs="Microsoft Sans Serif"/>
          <w:b/>
          <w:sz w:val="20"/>
          <w:shd w:val="clear" w:color="auto" w:fill="FFFFFF"/>
          <w:lang w:val="bs-Latn-BA"/>
        </w:rPr>
        <w:t>angioneurotski edem</w:t>
      </w:r>
      <w:r>
        <w:rPr>
          <w:rStyle w:val="40"/>
          <w:rFonts w:ascii="Microsoft Sans Serif" w:hAnsi="Microsoft Sans Serif" w:cs="Microsoft Sans Serif"/>
          <w:sz w:val="20"/>
          <w:shd w:val="clear" w:color="auto" w:fill="FFFFFF"/>
          <w:lang w:val="bs-Latn-BA"/>
        </w:rPr>
        <w:t xml:space="preserve"> </w:t>
      </w:r>
    </w:p>
    <w:p w14:paraId="64AC00F1">
      <w:pPr>
        <w:shd w:val="clear" w:color="auto" w:fill="FFFFFF"/>
        <w:jc w:val="both"/>
        <w:rPr>
          <w:rStyle w:val="40"/>
          <w:rFonts w:ascii="Microsoft Sans Serif" w:hAnsi="Microsoft Sans Serif" w:cs="Microsoft Sans Serif"/>
          <w:sz w:val="20"/>
          <w:shd w:val="clear" w:color="auto" w:fill="FFFFFF"/>
          <w:lang w:val="bs-Latn-BA"/>
        </w:rPr>
      </w:pPr>
      <w:r>
        <w:rPr>
          <w:rFonts w:ascii="Microsoft Sans Serif" w:hAnsi="Microsoft Sans Serif" w:cs="Microsoft Sans Serif"/>
          <w:color w:val="000000"/>
          <w:sz w:val="20"/>
        </w:rPr>
        <w:t xml:space="preserve">Angioneurotski edem lica, ekstremiteta, usana, jezika, glotisa i/ili grkljana uočen je rijetko kod pacijenata koji su liječeni </w:t>
      </w:r>
      <w:r>
        <w:rPr>
          <w:rStyle w:val="40"/>
          <w:rFonts w:ascii="Microsoft Sans Serif" w:hAnsi="Microsoft Sans Serif" w:cs="Microsoft Sans Serif"/>
          <w:sz w:val="20"/>
          <w:shd w:val="clear" w:color="auto" w:fill="FFFFFF"/>
          <w:lang w:val="bs-Latn-BA"/>
        </w:rPr>
        <w:t xml:space="preserve">inhibitorima angiotenzin konvertujućeg enzima, uključujući lizinopril. </w:t>
      </w:r>
      <w:r>
        <w:rPr>
          <w:rStyle w:val="40"/>
          <w:rFonts w:ascii="Microsoft Sans Serif" w:hAnsi="Microsoft Sans Serif" w:cs="Microsoft Sans Serif"/>
          <w:sz w:val="20"/>
          <w:lang w:val="bs-Latn-BA"/>
        </w:rPr>
        <w:t xml:space="preserve">To se može dogoditi u bilo koje vrijeme tokom liječenja. </w:t>
      </w:r>
      <w:r>
        <w:rPr>
          <w:rStyle w:val="40"/>
          <w:rFonts w:ascii="Microsoft Sans Serif" w:hAnsi="Microsoft Sans Serif" w:cs="Microsoft Sans Serif"/>
          <w:sz w:val="20"/>
          <w:shd w:val="clear" w:color="auto" w:fill="FFFFFF"/>
          <w:lang w:val="bs-Latn-BA"/>
        </w:rPr>
        <w:t xml:space="preserve">U takvim slučajevima, lizinopril treba odmah prekinuti i da se osigura pravilno praćenje pacijenta do potpunog povlačenja simptoma prije njegovog otpuštanja. </w:t>
      </w:r>
      <w:r>
        <w:rPr>
          <w:rFonts w:ascii="Microsoft Sans Serif" w:hAnsi="Microsoft Sans Serif" w:cs="Microsoft Sans Serif"/>
          <w:color w:val="000000"/>
          <w:sz w:val="20"/>
        </w:rPr>
        <w:t xml:space="preserve">Čak i </w:t>
      </w:r>
      <w:r>
        <w:rPr>
          <w:rStyle w:val="40"/>
          <w:rFonts w:ascii="Microsoft Sans Serif" w:hAnsi="Microsoft Sans Serif" w:cs="Microsoft Sans Serif"/>
          <w:sz w:val="20"/>
          <w:shd w:val="clear" w:color="auto" w:fill="FFFFFF"/>
          <w:lang w:val="bs-Latn-BA"/>
        </w:rPr>
        <w:t xml:space="preserve">u slučajevima kada je otok ograničen samo na jeziku, </w:t>
      </w:r>
      <w:r>
        <w:rPr>
          <w:rFonts w:ascii="Microsoft Sans Serif" w:hAnsi="Microsoft Sans Serif" w:cs="Microsoft Sans Serif"/>
          <w:color w:val="000000"/>
          <w:sz w:val="20"/>
        </w:rPr>
        <w:t xml:space="preserve">bez respiratornih poremećaja, </w:t>
      </w:r>
      <w:r>
        <w:rPr>
          <w:rStyle w:val="40"/>
          <w:rFonts w:ascii="Microsoft Sans Serif" w:hAnsi="Microsoft Sans Serif" w:cs="Microsoft Sans Serif"/>
          <w:sz w:val="20"/>
          <w:shd w:val="clear" w:color="auto" w:fill="FFFFFF"/>
          <w:lang w:val="bs-Latn-BA"/>
        </w:rPr>
        <w:t xml:space="preserve">pacijente treba pažljivo pratiti sve dok se simptomi ne povuku, </w:t>
      </w:r>
      <w:r>
        <w:rPr>
          <w:rFonts w:ascii="Microsoft Sans Serif" w:hAnsi="Microsoft Sans Serif" w:cs="Microsoft Sans Serif"/>
          <w:color w:val="000000"/>
          <w:sz w:val="20"/>
        </w:rPr>
        <w:t>budući da primjena antihistaminika i kortikosteroida može biti nedovoljna</w:t>
      </w:r>
      <w:r>
        <w:rPr>
          <w:rStyle w:val="40"/>
          <w:rFonts w:ascii="Microsoft Sans Serif" w:hAnsi="Microsoft Sans Serif" w:cs="Microsoft Sans Serif"/>
          <w:sz w:val="20"/>
          <w:shd w:val="clear" w:color="auto" w:fill="FFFFFF"/>
          <w:lang w:val="bs-Latn-BA"/>
        </w:rPr>
        <w:t xml:space="preserve">. </w:t>
      </w:r>
    </w:p>
    <w:p w14:paraId="35AD081A">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 xml:space="preserve">Zabelježeni su vrlo rijetki slučajevi smrtnog ishoda kod angioedema udruženog sa edemom grkljana ili jezika. </w:t>
      </w:r>
      <w:r>
        <w:rPr>
          <w:rStyle w:val="40"/>
          <w:rFonts w:ascii="Microsoft Sans Serif" w:hAnsi="Microsoft Sans Serif" w:cs="Microsoft Sans Serif"/>
          <w:sz w:val="20"/>
          <w:shd w:val="clear" w:color="auto" w:fill="FFFFFF"/>
          <w:lang w:val="bs-Latn-BA"/>
        </w:rPr>
        <w:t xml:space="preserve"> Inače, u slučajevima kada su obuhvaćeni jezik, glotis ili larinks </w:t>
      </w:r>
      <w:r>
        <w:rPr>
          <w:rFonts w:ascii="Microsoft Sans Serif" w:hAnsi="Microsoft Sans Serif" w:cs="Microsoft Sans Serif"/>
          <w:color w:val="000000"/>
          <w:sz w:val="20"/>
        </w:rPr>
        <w:t xml:space="preserve">može doći </w:t>
      </w:r>
      <w:r>
        <w:rPr>
          <w:rStyle w:val="40"/>
          <w:rFonts w:ascii="Microsoft Sans Serif" w:hAnsi="Microsoft Sans Serif" w:cs="Microsoft Sans Serif"/>
          <w:sz w:val="20"/>
          <w:shd w:val="clear" w:color="auto" w:fill="FFFFFF"/>
          <w:lang w:val="bs-Latn-BA"/>
        </w:rPr>
        <w:t xml:space="preserve">do opstrukcije disajnih puteva, </w:t>
      </w:r>
      <w:r>
        <w:rPr>
          <w:rFonts w:ascii="Microsoft Sans Serif" w:hAnsi="Microsoft Sans Serif" w:cs="Microsoft Sans Serif"/>
          <w:color w:val="000000"/>
          <w:sz w:val="20"/>
        </w:rPr>
        <w:t>naročito kod onih koji su ranije imali neki hirurški zahvat u području dišnih puteva.</w:t>
      </w:r>
      <w:r>
        <w:rPr>
          <w:rStyle w:val="40"/>
          <w:rFonts w:ascii="Microsoft Sans Serif" w:hAnsi="Microsoft Sans Serif" w:cs="Microsoft Sans Serif"/>
          <w:sz w:val="20"/>
          <w:shd w:val="clear" w:color="auto" w:fill="FFFFFF"/>
          <w:lang w:val="bs-Latn-BA"/>
        </w:rPr>
        <w:t xml:space="preserve"> </w:t>
      </w:r>
      <w:r>
        <w:rPr>
          <w:rFonts w:ascii="Microsoft Sans Serif" w:hAnsi="Microsoft Sans Serif" w:cs="Microsoft Sans Serif"/>
          <w:color w:val="000000"/>
          <w:sz w:val="20"/>
        </w:rPr>
        <w:t>Takvi slučajevi zahtijevaju hitnu medicinsku pomoć koja uključuje primjenu adrenalina i/ili mjere za osiguranje prohodnosti dišnih puteva. Ti pacijenti moraju biti pod stalnim ljekarskim nadzorom sve dok ne dođe do potpunog povlačenja simptoma.</w:t>
      </w:r>
    </w:p>
    <w:p w14:paraId="4A1C8C29">
      <w:pPr>
        <w:shd w:val="clear" w:color="auto" w:fill="FFFFFF"/>
        <w:rPr>
          <w:rFonts w:ascii="Microsoft Sans Serif" w:hAnsi="Microsoft Sans Serif" w:cs="Microsoft Sans Serif"/>
          <w:color w:val="000000"/>
          <w:sz w:val="20"/>
        </w:rPr>
      </w:pPr>
    </w:p>
    <w:p w14:paraId="4439DC02">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Opaženo je kako se angioedem povezan sa primjenom ACE-inhibitora javlja češće kod pacijenata crne rase u odnosu na pacijente drugih rasa.</w:t>
      </w:r>
    </w:p>
    <w:p w14:paraId="5E6DF133">
      <w:pPr>
        <w:shd w:val="clear" w:color="auto" w:fill="FFFFFF"/>
        <w:jc w:val="both"/>
        <w:rPr>
          <w:rFonts w:ascii="Microsoft Sans Serif" w:hAnsi="Microsoft Sans Serif" w:cs="Microsoft Sans Serif"/>
          <w:color w:val="000000"/>
          <w:sz w:val="20"/>
        </w:rPr>
      </w:pPr>
    </w:p>
    <w:p w14:paraId="1BE456C9">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 xml:space="preserve">Pacijenti koji u anamnezi navode podatak o angioedemu koji nije u vezi sa prethodnim liječenjem ACE-inhibitorima, mogu imati povećani rizik od razvoja angioedema za vrijeme trajanja liječenja ACE-inhibitorom (pogledati dio </w:t>
      </w:r>
      <w:r>
        <w:rPr>
          <w:rFonts w:ascii="Microsoft Sans Serif" w:hAnsi="Microsoft Sans Serif" w:cs="Microsoft Sans Serif"/>
          <w:iCs/>
          <w:color w:val="000000"/>
          <w:sz w:val="20"/>
        </w:rPr>
        <w:t>4.3).</w:t>
      </w:r>
    </w:p>
    <w:p w14:paraId="7ABA0DC4">
      <w:pPr>
        <w:shd w:val="clear" w:color="auto" w:fill="FFFFFF"/>
        <w:jc w:val="both"/>
        <w:rPr>
          <w:rFonts w:ascii="Microsoft Sans Serif" w:hAnsi="Microsoft Sans Serif" w:cs="Microsoft Sans Serif"/>
          <w:color w:val="000000"/>
          <w:sz w:val="20"/>
        </w:rPr>
      </w:pPr>
    </w:p>
    <w:p w14:paraId="294C3DE2">
      <w:pPr>
        <w:jc w:val="both"/>
        <w:rPr>
          <w:rFonts w:ascii="Microsoft Sans Serif" w:hAnsi="Microsoft Sans Serif" w:cs="Microsoft Sans Serif"/>
          <w:sz w:val="20"/>
          <w:highlight w:val="lightGray"/>
          <w:lang w:val="es-MX"/>
        </w:rPr>
      </w:pPr>
      <w:r>
        <w:rPr>
          <w:rStyle w:val="41"/>
          <w:rFonts w:ascii="Microsoft Sans Serif" w:hAnsi="Microsoft Sans Serif" w:cs="Microsoft Sans Serif"/>
          <w:sz w:val="20"/>
          <w:lang w:val="bs-Latn-BA"/>
        </w:rPr>
        <w:t>Istovremena upotreba ACE inhibitora sa sakubitril/valsartanom je kontraindikovana zbog povišenog rizika od angioedema (pogledati dio 4.3).</w:t>
      </w:r>
      <w:r>
        <w:rPr>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 xml:space="preserve">Terapija sa sakubitril/valsartanom ne smije se započeti prije isteka od 36 sati od posljednje doze lizinoprila. Terapija sa lizinoprilom se ne smije započeti prije isteka od 36 sati od posljednje doze sakubitril/valsartana (pogledati dio 4.3 i 4.5) </w:t>
      </w:r>
    </w:p>
    <w:p w14:paraId="4709B84C">
      <w:pPr>
        <w:jc w:val="both"/>
        <w:rPr>
          <w:rFonts w:ascii="Microsoft Sans Serif" w:hAnsi="Microsoft Sans Serif" w:cs="Microsoft Sans Serif"/>
          <w:sz w:val="20"/>
          <w:u w:val="single"/>
          <w:lang w:val="hr-HR"/>
        </w:rPr>
      </w:pPr>
      <w:r>
        <w:rPr>
          <w:rFonts w:ascii="Microsoft Sans Serif" w:hAnsi="Microsoft Sans Serif" w:cs="Microsoft Sans Serif"/>
          <w:color w:val="222222"/>
          <w:sz w:val="20"/>
          <w:lang w:val="bs-Latn-BA"/>
        </w:rPr>
        <w:t xml:space="preserve">Istovremena upotreba ACE inhibitora i racecadotrila, mTOR inhibitora </w:t>
      </w:r>
      <w:r>
        <w:rPr>
          <w:rFonts w:ascii="Microsoft Sans Serif" w:hAnsi="Microsoft Sans Serif" w:cs="Microsoft Sans Serif"/>
          <w:sz w:val="20"/>
          <w:lang w:val="bs-Latn-BA"/>
        </w:rPr>
        <w:t xml:space="preserve">(engl. </w:t>
      </w:r>
      <w:r>
        <w:rPr>
          <w:rFonts w:ascii="Microsoft Sans Serif" w:hAnsi="Microsoft Sans Serif" w:cs="Microsoft Sans Serif"/>
          <w:i/>
          <w:iCs/>
          <w:sz w:val="20"/>
          <w:lang w:val="bs-Latn-BA"/>
        </w:rPr>
        <w:t>mammalian target of rapamycin inhibitor</w:t>
      </w:r>
      <w:r>
        <w:rPr>
          <w:rFonts w:ascii="Microsoft Sans Serif" w:hAnsi="Microsoft Sans Serif" w:cs="Microsoft Sans Serif"/>
          <w:sz w:val="20"/>
          <w:lang w:val="bs-Latn-BA"/>
        </w:rPr>
        <w:t>, inhibitor ciljnog enzima za rapamicin u sisara)</w:t>
      </w:r>
      <w:r>
        <w:rPr>
          <w:rFonts w:ascii="Microsoft Sans Serif" w:hAnsi="Microsoft Sans Serif" w:cs="Microsoft Sans Serif"/>
          <w:color w:val="222222"/>
          <w:sz w:val="20"/>
          <w:lang w:val="bs-Latn-BA"/>
        </w:rPr>
        <w:t xml:space="preserve"> (npr. sirolimus, everolimus, temsirolimus) i vildagliptin mogu dovesti do povećanog rizika za angioedem</w:t>
      </w:r>
      <w:r>
        <w:rPr>
          <w:rFonts w:ascii="Microsoft Sans Serif" w:hAnsi="Microsoft Sans Serif" w:cs="Microsoft Sans Serif"/>
          <w:sz w:val="20"/>
        </w:rPr>
        <w:t xml:space="preserve"> </w:t>
      </w:r>
      <w:r>
        <w:rPr>
          <w:rFonts w:ascii="Microsoft Sans Serif" w:hAnsi="Microsoft Sans Serif" w:cs="Microsoft Sans Serif"/>
          <w:color w:val="222222"/>
          <w:sz w:val="20"/>
          <w:lang w:val="bs-Latn-BA"/>
        </w:rPr>
        <w:t xml:space="preserve">(npr oticanje disajnih puteva ili jezika, sa ili bez oštećenja respiratorne funkcije) (pogledati dio 4.5). </w:t>
      </w:r>
      <w:r>
        <w:rPr>
          <w:rFonts w:ascii="Microsoft Sans Serif" w:hAnsi="Microsoft Sans Serif" w:cs="Microsoft Sans Serif"/>
          <w:sz w:val="20"/>
          <w:lang w:val="bs-Latn-BA"/>
        </w:rPr>
        <w:t>Treba biti na oprezu kada se počinje sa terapijom racecadotrila, mTOR inhibitorima (npr. sirolimus, everolimus, temsirolimus) i vildagliptinom kod pacijenata koji već koriste ACE inhibitore</w:t>
      </w:r>
      <w:r>
        <w:rPr>
          <w:rFonts w:ascii="Microsoft Sans Serif" w:hAnsi="Microsoft Sans Serif" w:cs="Microsoft Sans Serif"/>
          <w:sz w:val="20"/>
          <w:lang w:val="hr-HR"/>
        </w:rPr>
        <w:t>.</w:t>
      </w:r>
    </w:p>
    <w:p w14:paraId="507B4D42">
      <w:pPr>
        <w:rPr>
          <w:rFonts w:ascii="Microsoft Sans Serif" w:hAnsi="Microsoft Sans Serif" w:cs="Microsoft Sans Serif"/>
          <w:bCs/>
          <w:sz w:val="20"/>
        </w:rPr>
      </w:pPr>
    </w:p>
    <w:p w14:paraId="254FBD1D">
      <w:pPr>
        <w:jc w:val="both"/>
        <w:rPr>
          <w:rStyle w:val="41"/>
          <w:rFonts w:ascii="Microsoft Sans Serif" w:hAnsi="Microsoft Sans Serif" w:cs="Microsoft Sans Serif"/>
          <w:b/>
          <w:sz w:val="20"/>
          <w:lang w:val="bs-Latn-BA"/>
        </w:rPr>
      </w:pPr>
      <w:r>
        <w:rPr>
          <w:rStyle w:val="41"/>
          <w:rFonts w:ascii="Microsoft Sans Serif" w:hAnsi="Microsoft Sans Serif" w:cs="Microsoft Sans Serif"/>
          <w:b/>
          <w:sz w:val="20"/>
          <w:lang w:val="bs-Latn-BA"/>
        </w:rPr>
        <w:t>Anafilaktoidna reakcija kod pacijenata</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na</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hemodijalizi</w:t>
      </w:r>
    </w:p>
    <w:p w14:paraId="7F16B6BB">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Anafilaktoidne reakcije</w:t>
      </w:r>
      <w:r>
        <w:rPr>
          <w:rStyle w:val="40"/>
          <w:rFonts w:ascii="Microsoft Sans Serif" w:hAnsi="Microsoft Sans Serif" w:cs="Microsoft Sans Serif"/>
          <w:sz w:val="20"/>
          <w:lang w:val="bs-Latn-BA"/>
        </w:rPr>
        <w:t xml:space="preserve"> su zabilježane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 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hemodijalizi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visoko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propusnim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membranama</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npr. AN</w:t>
      </w:r>
      <w:r>
        <w:rPr>
          <w:rStyle w:val="41"/>
          <w:rFonts w:ascii="Microsoft Sans Serif" w:hAnsi="Microsoft Sans Serif" w:cs="Microsoft Sans Serif"/>
          <w:sz w:val="20"/>
          <w:lang w:val="bs-Latn-BA"/>
        </w:rPr>
        <w:t>69</w:t>
      </w:r>
      <w:r>
        <w:rPr>
          <w:rStyle w:val="40"/>
          <w:rFonts w:ascii="Microsoft Sans Serif" w:hAnsi="Microsoft Sans Serif" w:cs="Microsoft Sans Serif"/>
          <w:sz w:val="20"/>
          <w:lang w:val="bs-Latn-BA"/>
        </w:rPr>
        <w:t xml:space="preserve">) i koji </w:t>
      </w:r>
      <w:r>
        <w:rPr>
          <w:rStyle w:val="41"/>
          <w:rFonts w:ascii="Microsoft Sans Serif" w:hAnsi="Microsoft Sans Serif" w:cs="Microsoft Sans Serif"/>
          <w:sz w:val="20"/>
          <w:lang w:val="bs-Latn-BA"/>
        </w:rPr>
        <w:t>su istovremeno 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terapiji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ACE-inhibitorima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ovih pacijenata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preporučuje se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upotreba</w:t>
      </w:r>
      <w:r>
        <w:rPr>
          <w:rStyle w:val="41"/>
          <w:rFonts w:ascii="Microsoft Sans Serif" w:hAnsi="Microsoft Sans Serif" w:cs="Microsoft Sans Serif"/>
          <w:sz w:val="20"/>
          <w:lang w:val="bs-Latn-BA"/>
        </w:rPr>
        <w:t xml:space="preserve"> neke druge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vrste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dijalizne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membrane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upotreba </w:t>
      </w:r>
      <w:r>
        <w:rPr>
          <w:rStyle w:val="41"/>
          <w:rFonts w:ascii="Microsoft Sans Serif" w:hAnsi="Microsoft Sans Serif" w:cs="Microsoft Sans Serif"/>
          <w:sz w:val="20"/>
          <w:lang w:val="bs-Latn-BA"/>
        </w:rPr>
        <w:t>antihipertenzivnog lijeka iz druge klase</w:t>
      </w:r>
      <w:r>
        <w:rPr>
          <w:rStyle w:val="40"/>
          <w:rFonts w:ascii="Microsoft Sans Serif" w:hAnsi="Microsoft Sans Serif" w:cs="Microsoft Sans Serif"/>
          <w:sz w:val="20"/>
          <w:lang w:val="bs-Latn-BA"/>
        </w:rPr>
        <w:t>.</w:t>
      </w:r>
    </w:p>
    <w:p w14:paraId="256D22CA">
      <w:pPr>
        <w:jc w:val="both"/>
        <w:rPr>
          <w:rFonts w:ascii="Microsoft Sans Serif" w:hAnsi="Microsoft Sans Serif" w:cs="Microsoft Sans Serif"/>
          <w:bCs/>
          <w:sz w:val="20"/>
          <w:lang w:val="bs-Latn-BA"/>
        </w:rPr>
      </w:pPr>
    </w:p>
    <w:p w14:paraId="66DC66CA">
      <w:pPr>
        <w:jc w:val="both"/>
        <w:rPr>
          <w:rStyle w:val="41"/>
          <w:rFonts w:ascii="Microsoft Sans Serif" w:hAnsi="Microsoft Sans Serif" w:cs="Microsoft Sans Serif"/>
          <w:b/>
          <w:sz w:val="20"/>
          <w:lang w:val="bs-Latn-BA"/>
        </w:rPr>
      </w:pPr>
      <w:r>
        <w:rPr>
          <w:rStyle w:val="41"/>
          <w:rFonts w:ascii="Microsoft Sans Serif" w:hAnsi="Microsoft Sans Serif" w:cs="Microsoft Sans Serif"/>
          <w:b/>
          <w:sz w:val="20"/>
          <w:lang w:val="bs-Latn-BA"/>
        </w:rPr>
        <w:t>Anafilaktoidne</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reakcije</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tokom</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LDL</w:t>
      </w:r>
      <w:r>
        <w:rPr>
          <w:rStyle w:val="40"/>
          <w:rFonts w:ascii="Microsoft Sans Serif" w:hAnsi="Microsoft Sans Serif" w:cs="Microsoft Sans Serif"/>
          <w:b/>
          <w:sz w:val="20"/>
          <w:lang w:val="bs-Latn-BA"/>
        </w:rPr>
        <w:t xml:space="preserve"> </w:t>
      </w:r>
      <w:r>
        <w:rPr>
          <w:rStyle w:val="41"/>
          <w:rFonts w:ascii="Microsoft Sans Serif" w:hAnsi="Microsoft Sans Serif" w:cs="Microsoft Sans Serif"/>
          <w:b/>
          <w:sz w:val="20"/>
          <w:lang w:val="bs-Latn-BA"/>
        </w:rPr>
        <w:t>afereze</w:t>
      </w:r>
    </w:p>
    <w:p w14:paraId="30603132">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Rijetko, 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 koji primaju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ACE-inhibitore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tokom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afereze</w:t>
      </w:r>
      <w:r>
        <w:rPr>
          <w:rStyle w:val="40"/>
          <w:rFonts w:ascii="Microsoft Sans Serif" w:hAnsi="Microsoft Sans Serif" w:cs="Microsoft Sans Serif"/>
          <w:sz w:val="20"/>
          <w:lang w:val="bs-Latn-BA"/>
        </w:rPr>
        <w:t xml:space="preserve"> sa </w:t>
      </w:r>
      <w:r>
        <w:rPr>
          <w:rStyle w:val="41"/>
          <w:rFonts w:ascii="Microsoft Sans Serif" w:hAnsi="Microsoft Sans Serif" w:cs="Microsoft Sans Serif"/>
          <w:sz w:val="20"/>
          <w:lang w:val="bs-Latn-BA"/>
        </w:rPr>
        <w:t>lipoproteinima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niskom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propusnosti</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LDL)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dekstran-sulfatom,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primijećene su anafilaktoidne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reakcije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ugrožavaju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život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Ove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reakcije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mogu se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izbjeći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privremenim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prekidom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w:t>
      </w:r>
      <w:r>
        <w:rPr>
          <w:rStyle w:val="40"/>
          <w:rFonts w:ascii="Microsoft Sans Serif" w:hAnsi="Microsoft Sans Serif" w:cs="Microsoft Sans Serif"/>
          <w:sz w:val="20"/>
          <w:lang w:val="bs-Latn-BA"/>
        </w:rPr>
        <w:t xml:space="preserve">-inhibitorima </w:t>
      </w:r>
      <w:r>
        <w:rPr>
          <w:rStyle w:val="41"/>
          <w:rFonts w:ascii="Microsoft Sans Serif" w:hAnsi="Microsoft Sans Serif" w:cs="Microsoft Sans Serif"/>
          <w:sz w:val="20"/>
          <w:lang w:val="bs-Latn-BA"/>
        </w:rPr>
        <w:t>prije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svake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afereze</w:t>
      </w:r>
      <w:r>
        <w:rPr>
          <w:rStyle w:val="40"/>
          <w:rFonts w:ascii="Microsoft Sans Serif" w:hAnsi="Microsoft Sans Serif" w:cs="Microsoft Sans Serif"/>
          <w:sz w:val="20"/>
          <w:lang w:val="bs-Latn-BA"/>
        </w:rPr>
        <w:t>.</w:t>
      </w:r>
    </w:p>
    <w:p w14:paraId="754C0E86">
      <w:pPr>
        <w:jc w:val="both"/>
        <w:rPr>
          <w:rStyle w:val="40"/>
          <w:rFonts w:ascii="Microsoft Sans Serif" w:hAnsi="Microsoft Sans Serif" w:cs="Microsoft Sans Serif"/>
          <w:b/>
          <w:sz w:val="20"/>
          <w:lang w:val="bs-Latn-BA"/>
        </w:rPr>
      </w:pPr>
    </w:p>
    <w:p w14:paraId="0C2A409D">
      <w:pPr>
        <w:jc w:val="both"/>
        <w:rPr>
          <w:rStyle w:val="41"/>
          <w:rFonts w:ascii="Microsoft Sans Serif" w:hAnsi="Microsoft Sans Serif" w:cs="Microsoft Sans Serif"/>
          <w:b/>
          <w:sz w:val="20"/>
          <w:lang w:val="bs-Latn-BA"/>
        </w:rPr>
      </w:pPr>
      <w:r>
        <w:rPr>
          <w:rStyle w:val="41"/>
          <w:rFonts w:ascii="Microsoft Sans Serif" w:hAnsi="Microsoft Sans Serif" w:cs="Microsoft Sans Serif"/>
          <w:b/>
          <w:sz w:val="20"/>
          <w:lang w:val="bs-Latn-BA"/>
        </w:rPr>
        <w:t>Desenzibilizacija</w:t>
      </w:r>
    </w:p>
    <w:p w14:paraId="4BFD7F88">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 koji primaju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ACE-inhibitore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tokom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desenzibilizacije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toksine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himenoptere</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npr. </w:t>
      </w:r>
      <w:r>
        <w:rPr>
          <w:rStyle w:val="41"/>
          <w:rFonts w:ascii="Microsoft Sans Serif" w:hAnsi="Microsoft Sans Serif" w:cs="Microsoft Sans Serif"/>
          <w:sz w:val="20"/>
          <w:lang w:val="bs-Latn-BA"/>
        </w:rPr>
        <w:t>otrov</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pčela ili osa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zabilježene</w:t>
      </w:r>
      <w:r>
        <w:rPr>
          <w:rStyle w:val="40"/>
          <w:rFonts w:ascii="Microsoft Sans Serif" w:hAnsi="Microsoft Sans Serif" w:cs="Microsoft Sans Serif"/>
          <w:sz w:val="20"/>
          <w:lang w:val="bs-Latn-BA"/>
        </w:rPr>
        <w:t xml:space="preserve"> su </w:t>
      </w:r>
      <w:r>
        <w:rPr>
          <w:rStyle w:val="41"/>
          <w:rFonts w:ascii="Microsoft Sans Serif" w:hAnsi="Microsoft Sans Serif" w:cs="Microsoft Sans Serif"/>
          <w:sz w:val="20"/>
          <w:lang w:val="bs-Latn-BA"/>
        </w:rPr>
        <w:t>anafilaktoidne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reakcije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reakcije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se mogu izbjeći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privremenim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prekidom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w:t>
      </w:r>
      <w:r>
        <w:rPr>
          <w:rStyle w:val="40"/>
          <w:rFonts w:ascii="Microsoft Sans Serif" w:hAnsi="Microsoft Sans Serif" w:cs="Microsoft Sans Serif"/>
          <w:sz w:val="20"/>
          <w:lang w:val="bs-Latn-BA"/>
        </w:rPr>
        <w:t xml:space="preserve">-inhibitorima </w:t>
      </w:r>
      <w:r>
        <w:rPr>
          <w:rStyle w:val="41"/>
          <w:rFonts w:ascii="Microsoft Sans Serif" w:hAnsi="Microsoft Sans Serif" w:cs="Microsoft Sans Serif"/>
          <w:sz w:val="20"/>
          <w:lang w:val="bs-Latn-BA"/>
        </w:rPr>
        <w:t>prije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svake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desenzibilizacije ali one se ponovo pojavljuju kada se nehotice ponovo aplicira medicinski proizvod</w:t>
      </w:r>
      <w:r>
        <w:rPr>
          <w:rStyle w:val="40"/>
          <w:rFonts w:ascii="Microsoft Sans Serif" w:hAnsi="Microsoft Sans Serif" w:cs="Microsoft Sans Serif"/>
          <w:sz w:val="20"/>
          <w:lang w:val="bs-Latn-BA"/>
        </w:rPr>
        <w:t>.</w:t>
      </w:r>
    </w:p>
    <w:p w14:paraId="57127397">
      <w:pPr>
        <w:jc w:val="both"/>
        <w:rPr>
          <w:rStyle w:val="40"/>
          <w:rFonts w:ascii="Microsoft Sans Serif" w:hAnsi="Microsoft Sans Serif" w:cs="Microsoft Sans Serif"/>
          <w:b/>
          <w:sz w:val="20"/>
          <w:lang w:val="bs-Latn-BA"/>
        </w:rPr>
      </w:pPr>
    </w:p>
    <w:p w14:paraId="79E947AF">
      <w:pPr>
        <w:shd w:val="clear" w:color="auto" w:fill="FFFFFF"/>
        <w:jc w:val="both"/>
        <w:rPr>
          <w:rFonts w:ascii="Microsoft Sans Serif" w:hAnsi="Microsoft Sans Serif" w:cs="Microsoft Sans Serif"/>
          <w:b/>
          <w:sz w:val="20"/>
        </w:rPr>
      </w:pPr>
      <w:r>
        <w:rPr>
          <w:rFonts w:ascii="Microsoft Sans Serif" w:hAnsi="Microsoft Sans Serif" w:cs="Microsoft Sans Serif"/>
          <w:b/>
          <w:iCs/>
          <w:color w:val="000000"/>
          <w:sz w:val="20"/>
        </w:rPr>
        <w:t>Insuficijencija jetre</w:t>
      </w:r>
    </w:p>
    <w:p w14:paraId="057010FE">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U vrlo rijetkim slučajevima primjena ACE-inhibitora bila je povezana sa sindromom koji je započeo pojavom holestatske žutice te zatim progresijom do fulminantne nekroze jetre i (ponekad) smrtnog ishoda. Mehanizam nastanka spomenutog sindroma nije objašnjen. Pacijenti koji primjenjuju lizinopril kod kojih se razvije žutica ili se javi značajan porast vrijednosti jetrenih enzima moraju prestati uzimati lizinopril te biti pod odgovarajućim ljekarskim nadzorom.</w:t>
      </w:r>
    </w:p>
    <w:p w14:paraId="3748A309">
      <w:pPr>
        <w:jc w:val="both"/>
        <w:rPr>
          <w:rStyle w:val="40"/>
          <w:rFonts w:ascii="Microsoft Sans Serif" w:hAnsi="Microsoft Sans Serif" w:cs="Microsoft Sans Serif"/>
          <w:b/>
          <w:sz w:val="20"/>
          <w:shd w:val="clear" w:color="auto" w:fill="FFFFFF"/>
          <w:lang w:val="bs-Latn-BA"/>
        </w:rPr>
      </w:pPr>
    </w:p>
    <w:p w14:paraId="78A36409">
      <w:pPr>
        <w:jc w:val="both"/>
        <w:rPr>
          <w:rStyle w:val="40"/>
          <w:rFonts w:ascii="Microsoft Sans Serif" w:hAnsi="Microsoft Sans Serif" w:cs="Microsoft Sans Serif"/>
          <w:b/>
          <w:sz w:val="20"/>
          <w:shd w:val="clear" w:color="auto" w:fill="FFFFFF"/>
          <w:lang w:val="bs-Latn-BA"/>
        </w:rPr>
      </w:pPr>
      <w:r>
        <w:rPr>
          <w:rStyle w:val="40"/>
          <w:rFonts w:ascii="Microsoft Sans Serif" w:hAnsi="Microsoft Sans Serif" w:cs="Microsoft Sans Serif"/>
          <w:b/>
          <w:sz w:val="20"/>
          <w:shd w:val="clear" w:color="auto" w:fill="FFFFFF"/>
          <w:lang w:val="bs-Latn-BA"/>
        </w:rPr>
        <w:t>Neutropenija/agranulocitoza</w:t>
      </w:r>
    </w:p>
    <w:p w14:paraId="2F41B052">
      <w:pPr>
        <w:jc w:val="both"/>
        <w:rPr>
          <w:rFonts w:ascii="Microsoft Sans Serif" w:hAnsi="Microsoft Sans Serif" w:cs="Microsoft Sans Serif"/>
          <w:sz w:val="20"/>
        </w:rPr>
      </w:pPr>
      <w:r>
        <w:rPr>
          <w:rFonts w:ascii="Microsoft Sans Serif" w:hAnsi="Microsoft Sans Serif" w:cs="Microsoft Sans Serif"/>
          <w:color w:val="000000"/>
          <w:sz w:val="20"/>
        </w:rPr>
        <w:t>Neutropenija/agranulocitoza, trombocitopenija i anemija su opisane kod pacijenata koji su na terapiji ACE-inhibitora. Kod pacijenata sa normalnom funkcijom bubrega bez drugih komplikacija, neutropenija se javlja rijetko. Neutropenija i agranulocitoza su reverzibilne nakon prekida primjene ACE-inhibitora. Lizinopril se mora primjenjivati sa posebnim oprezom kod pacijenata sa kolagenom vaskularnom bolešću, kod onih koji dobivaju imunosupresivnu terapiju, kod onih koji su na terapiji alopurinolom ili prokainamidom ili kod pacijenata koji imaju kombinaciju spomenutih faktora rizika, naročito ukoliko postoji prethodno</w:t>
      </w:r>
      <w:r>
        <w:rPr>
          <w:rFonts w:ascii="Microsoft Sans Serif" w:hAnsi="Microsoft Sans Serif" w:cs="Microsoft Sans Serif"/>
          <w:color w:val="000000"/>
          <w:sz w:val="20"/>
          <w:lang w:val="mk-MK"/>
        </w:rPr>
        <w:t xml:space="preserve"> </w:t>
      </w:r>
      <w:r>
        <w:rPr>
          <w:rFonts w:ascii="Microsoft Sans Serif" w:hAnsi="Microsoft Sans Serif" w:cs="Microsoft Sans Serif"/>
          <w:color w:val="000000"/>
          <w:sz w:val="20"/>
          <w:lang w:val="hr-BA"/>
        </w:rPr>
        <w:t xml:space="preserve">poremećenje </w:t>
      </w:r>
      <w:r>
        <w:rPr>
          <w:rFonts w:ascii="Microsoft Sans Serif" w:hAnsi="Microsoft Sans Serif" w:cs="Microsoft Sans Serif"/>
          <w:color w:val="000000"/>
          <w:sz w:val="20"/>
        </w:rPr>
        <w:t>funkcije bubrega. Neki od spomenutih pacijenata razvili su teške infekcije, koje u nekoliko slučajeva nisu reagirale na intenzivnu antibiotsku terapiju. Ukoliko se lizinopril primjenjuje kod tih pacijenata, preporučuje se povremeno praćenje broja leukocita, a pacijenti se moraju upozoriti da obavijeste ljekara o svakom znaku moguće infekcije.</w:t>
      </w:r>
    </w:p>
    <w:p w14:paraId="061607CB">
      <w:pPr>
        <w:jc w:val="both"/>
        <w:rPr>
          <w:rFonts w:ascii="Microsoft Sans Serif" w:hAnsi="Microsoft Sans Serif" w:cs="Microsoft Sans Serif"/>
          <w:b/>
          <w:sz w:val="20"/>
        </w:rPr>
      </w:pPr>
    </w:p>
    <w:p w14:paraId="1635AD99">
      <w:pPr>
        <w:pStyle w:val="38"/>
        <w:jc w:val="both"/>
        <w:rPr>
          <w:rFonts w:ascii="Microsoft Sans Serif" w:hAnsi="Microsoft Sans Serif" w:cs="Microsoft Sans Serif"/>
          <w:b/>
          <w:sz w:val="20"/>
          <w:szCs w:val="20"/>
        </w:rPr>
      </w:pPr>
      <w:r>
        <w:rPr>
          <w:rFonts w:ascii="Microsoft Sans Serif" w:hAnsi="Microsoft Sans Serif" w:cs="Microsoft Sans Serif"/>
          <w:b/>
          <w:iCs/>
          <w:sz w:val="20"/>
          <w:szCs w:val="20"/>
        </w:rPr>
        <w:t xml:space="preserve">Dvostruka blokada renin-angiotenzin-aldosteronskog sistema (RAAS) </w:t>
      </w:r>
    </w:p>
    <w:p w14:paraId="24517890">
      <w:pPr>
        <w:pStyle w:val="38"/>
        <w:jc w:val="both"/>
        <w:rPr>
          <w:rFonts w:ascii="Microsoft Sans Serif" w:hAnsi="Microsoft Sans Serif" w:cs="Microsoft Sans Serif"/>
          <w:iCs/>
          <w:sz w:val="20"/>
          <w:szCs w:val="20"/>
        </w:rPr>
      </w:pPr>
      <w:r>
        <w:rPr>
          <w:rFonts w:ascii="Microsoft Sans Serif" w:hAnsi="Microsoft Sans Serif" w:cs="Microsoft Sans Serif"/>
          <w:iCs/>
          <w:sz w:val="20"/>
          <w:szCs w:val="20"/>
        </w:rPr>
        <w:t xml:space="preserve">Postoje dokazi da istovremena primjena ACE inhibitora, blokatora angiotenzin II receptora ili aliskirena povećava rizik od hipotenzije, hiperkalemije i smanjene bubrežne funkcije (uključujući akutnu insuficijenciju bubrega). Dvostruka blokada RAAS-a kombiniranom primjenom ACE inhibitora, blokatora angiotenzin II receptora ili aliskirena stoga se ne preporučuje (pogledati dijelove 4.5 i 5.1). </w:t>
      </w:r>
    </w:p>
    <w:p w14:paraId="648AE5B5">
      <w:pPr>
        <w:pStyle w:val="38"/>
        <w:jc w:val="both"/>
        <w:rPr>
          <w:rFonts w:ascii="Microsoft Sans Serif" w:hAnsi="Microsoft Sans Serif" w:cs="Microsoft Sans Serif"/>
          <w:iCs/>
          <w:sz w:val="20"/>
          <w:szCs w:val="20"/>
        </w:rPr>
      </w:pPr>
      <w:r>
        <w:rPr>
          <w:rFonts w:ascii="Microsoft Sans Serif" w:hAnsi="Microsoft Sans Serif" w:cs="Microsoft Sans Serif"/>
          <w:iCs/>
          <w:sz w:val="20"/>
          <w:szCs w:val="20"/>
        </w:rPr>
        <w:t>Ako se terapija dvostrukom blokadom smatra apsolutno nužnom, smije se samo provoditi pod nadzorom specijalista i uz pažljivo praćenje bubrežne funkcije, elektrolita i krvnog pritiska.</w:t>
      </w:r>
    </w:p>
    <w:p w14:paraId="3F9B2FD7">
      <w:pPr>
        <w:pStyle w:val="38"/>
        <w:jc w:val="both"/>
        <w:rPr>
          <w:rFonts w:ascii="Microsoft Sans Serif" w:hAnsi="Microsoft Sans Serif" w:cs="Microsoft Sans Serif"/>
          <w:iCs/>
          <w:sz w:val="20"/>
          <w:szCs w:val="20"/>
        </w:rPr>
      </w:pPr>
      <w:r>
        <w:rPr>
          <w:rFonts w:ascii="Microsoft Sans Serif" w:hAnsi="Microsoft Sans Serif" w:cs="Microsoft Sans Serif"/>
          <w:iCs/>
          <w:sz w:val="20"/>
          <w:szCs w:val="20"/>
        </w:rPr>
        <w:t>ACE inhibitori i blokatori angiotenzin II receptora ne smiju se primjenjivati istovremeno kod pacijenata sa dijabetičkom nefropatijom.</w:t>
      </w:r>
    </w:p>
    <w:p w14:paraId="3F8711D7">
      <w:pPr>
        <w:jc w:val="both"/>
        <w:rPr>
          <w:rStyle w:val="40"/>
          <w:rFonts w:ascii="Microsoft Sans Serif" w:hAnsi="Microsoft Sans Serif" w:cs="Microsoft Sans Serif"/>
          <w:b/>
          <w:sz w:val="20"/>
          <w:lang w:val="bs-Latn-BA"/>
        </w:rPr>
      </w:pPr>
    </w:p>
    <w:p w14:paraId="3BC42A91">
      <w:pPr>
        <w:shd w:val="clear" w:color="auto" w:fill="FFFFFF"/>
        <w:jc w:val="both"/>
        <w:rPr>
          <w:rFonts w:ascii="Microsoft Sans Serif" w:hAnsi="Microsoft Sans Serif" w:cs="Microsoft Sans Serif"/>
          <w:sz w:val="20"/>
        </w:rPr>
      </w:pPr>
      <w:r>
        <w:rPr>
          <w:rStyle w:val="40"/>
          <w:rFonts w:ascii="Microsoft Sans Serif" w:hAnsi="Microsoft Sans Serif" w:cs="Microsoft Sans Serif"/>
          <w:b/>
          <w:sz w:val="20"/>
          <w:lang w:val="bs-Latn-BA"/>
        </w:rPr>
        <w:t xml:space="preserve">Rasa </w:t>
      </w:r>
      <w:r>
        <w:rPr>
          <w:rFonts w:ascii="Microsoft Sans Serif" w:hAnsi="Microsoft Sans Serif" w:cs="Microsoft Sans Serif"/>
          <w:b/>
          <w:sz w:val="20"/>
          <w:lang w:val="bs-Latn-BA"/>
        </w:rPr>
        <w:br w:type="textWrapping"/>
      </w:r>
      <w:r>
        <w:rPr>
          <w:rFonts w:ascii="Microsoft Sans Serif" w:hAnsi="Microsoft Sans Serif" w:cs="Microsoft Sans Serif"/>
          <w:color w:val="000000"/>
          <w:sz w:val="20"/>
        </w:rPr>
        <w:t>ACE-inhibitori uzrokuju veću učestalost angioedema kod pacijenata crne rase u odnosu na pripadnike drugih rasa.</w:t>
      </w:r>
    </w:p>
    <w:p w14:paraId="6FA1BEC3">
      <w:pPr>
        <w:jc w:val="both"/>
        <w:rPr>
          <w:rFonts w:ascii="Microsoft Sans Serif" w:hAnsi="Microsoft Sans Serif" w:cs="Microsoft Sans Serif"/>
          <w:b/>
          <w:bCs/>
          <w:sz w:val="20"/>
          <w:lang w:val="bs-Latn-BA"/>
        </w:rPr>
      </w:pPr>
      <w:r>
        <w:rPr>
          <w:rStyle w:val="40"/>
          <w:rFonts w:ascii="Microsoft Sans Serif" w:hAnsi="Microsoft Sans Serif" w:cs="Microsoft Sans Serif"/>
          <w:sz w:val="20"/>
          <w:shd w:val="clear" w:color="auto" w:fill="FFFFFF"/>
          <w:lang w:val="bs-Latn-BA"/>
        </w:rPr>
        <w:t>Kao i kod ostalih ACE-inhibitora, i lizinopril može biti manje efikasan u snižavanju krvnog pritiska kod pacijenata crne rase, u poređenju sa pacijentima ostale rase, vjerovatno zbog veće učestalosti niskog nivoa renina kod hipertenzivnih pacijenata crne rase.</w:t>
      </w:r>
    </w:p>
    <w:p w14:paraId="2B20209F">
      <w:pPr>
        <w:jc w:val="both"/>
        <w:rPr>
          <w:rFonts w:ascii="Microsoft Sans Serif" w:hAnsi="Microsoft Sans Serif" w:cs="Microsoft Sans Serif"/>
          <w:b/>
          <w:sz w:val="20"/>
        </w:rPr>
      </w:pPr>
    </w:p>
    <w:p w14:paraId="0A904F41">
      <w:pPr>
        <w:jc w:val="both"/>
        <w:rPr>
          <w:rStyle w:val="41"/>
          <w:rFonts w:ascii="Microsoft Sans Serif" w:hAnsi="Microsoft Sans Serif" w:cs="Microsoft Sans Serif"/>
          <w:b/>
          <w:sz w:val="20"/>
          <w:lang w:val="bs-Latn-BA"/>
        </w:rPr>
      </w:pPr>
      <w:r>
        <w:rPr>
          <w:rStyle w:val="41"/>
          <w:rFonts w:ascii="Microsoft Sans Serif" w:hAnsi="Microsoft Sans Serif" w:cs="Microsoft Sans Serif"/>
          <w:b/>
          <w:sz w:val="20"/>
          <w:lang w:val="bs-Latn-BA"/>
        </w:rPr>
        <w:t>Kašalj</w:t>
      </w:r>
    </w:p>
    <w:p w14:paraId="5D3D1BC5">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Zabilježen je kašalj prilikom upotrebe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w:t>
      </w:r>
      <w:r>
        <w:rPr>
          <w:rStyle w:val="40"/>
          <w:rFonts w:ascii="Microsoft Sans Serif" w:hAnsi="Microsoft Sans Serif" w:cs="Microsoft Sans Serif"/>
          <w:sz w:val="20"/>
          <w:lang w:val="bs-Latn-BA"/>
        </w:rPr>
        <w:t xml:space="preserve">-inhibitori. </w:t>
      </w:r>
      <w:r>
        <w:rPr>
          <w:rStyle w:val="41"/>
          <w:rFonts w:ascii="Microsoft Sans Serif" w:hAnsi="Microsoft Sans Serif" w:cs="Microsoft Sans Serif"/>
          <w:sz w:val="20"/>
          <w:lang w:val="bs-Latn-BA"/>
        </w:rPr>
        <w:t>Karakteristično, kašalj 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neproduktivan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uporni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koji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se povlači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nakon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prekida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Kašalj</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uzrokovan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ACE-inhibitorima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treba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uzeti 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obzir</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 postavljanja diferencijalnoj dijagnozi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druge vrste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kašlja</w:t>
      </w:r>
      <w:r>
        <w:rPr>
          <w:rStyle w:val="40"/>
          <w:rFonts w:ascii="Microsoft Sans Serif" w:hAnsi="Microsoft Sans Serif" w:cs="Microsoft Sans Serif"/>
          <w:sz w:val="20"/>
          <w:lang w:val="bs-Latn-BA"/>
        </w:rPr>
        <w:t>.</w:t>
      </w:r>
    </w:p>
    <w:p w14:paraId="0C5F4663">
      <w:pPr>
        <w:jc w:val="both"/>
        <w:rPr>
          <w:rFonts w:ascii="Microsoft Sans Serif" w:hAnsi="Microsoft Sans Serif" w:cs="Microsoft Sans Serif"/>
          <w:b/>
          <w:sz w:val="20"/>
          <w:lang w:val="bs-Latn-BA"/>
        </w:rPr>
      </w:pPr>
    </w:p>
    <w:p w14:paraId="3E1BF412">
      <w:pPr>
        <w:jc w:val="both"/>
        <w:rPr>
          <w:rStyle w:val="40"/>
          <w:rFonts w:ascii="Microsoft Sans Serif" w:hAnsi="Microsoft Sans Serif" w:cs="Microsoft Sans Serif"/>
          <w:b/>
          <w:sz w:val="20"/>
          <w:shd w:val="clear" w:color="auto" w:fill="FFFFFF"/>
          <w:lang w:val="bs-Latn-BA"/>
        </w:rPr>
      </w:pPr>
      <w:r>
        <w:rPr>
          <w:rStyle w:val="40"/>
          <w:rFonts w:ascii="Microsoft Sans Serif" w:hAnsi="Microsoft Sans Serif" w:cs="Microsoft Sans Serif"/>
          <w:b/>
          <w:sz w:val="20"/>
          <w:shd w:val="clear" w:color="auto" w:fill="FFFFFF"/>
          <w:lang w:val="bs-Latn-BA"/>
        </w:rPr>
        <w:t>Hirurška intervencija/anestezija</w:t>
      </w:r>
    </w:p>
    <w:p w14:paraId="516F218B">
      <w:pPr>
        <w:rPr>
          <w:rFonts w:ascii="Microsoft Sans Serif" w:hAnsi="Microsoft Sans Serif" w:cs="Microsoft Sans Serif"/>
          <w:b/>
          <w:sz w:val="20"/>
          <w:lang w:val="en"/>
        </w:rPr>
      </w:pPr>
      <w:r>
        <w:rPr>
          <w:rStyle w:val="40"/>
          <w:rFonts w:ascii="Microsoft Sans Serif" w:hAnsi="Microsoft Sans Serif" w:cs="Microsoft Sans Serif"/>
          <w:sz w:val="20"/>
          <w:shd w:val="clear" w:color="auto" w:fill="FFFFFF"/>
          <w:lang w:val="bs-Latn-BA"/>
        </w:rPr>
        <w:t xml:space="preserve">Kod pacijenata podvrgnutih velikoj hirurškoj intervenciji ili tokom anestezije pomoću lijekova koji uzrokuju hipotenziju, lizinopril može da blokira stvaranje angiotenzina II sekundarnokao posljedica kompenzatornog oslobađanja renina. Ovaj mehanizam može dovesti do hipotenzije koja se koriguje ekspanzijom volumena. </w:t>
      </w:r>
      <w:r>
        <w:rPr>
          <w:rFonts w:ascii="Microsoft Sans Serif" w:hAnsi="Microsoft Sans Serif" w:cs="Microsoft Sans Serif"/>
          <w:sz w:val="20"/>
          <w:shd w:val="clear" w:color="auto" w:fill="FFFFFF"/>
          <w:lang w:val="bs-Latn-BA"/>
        </w:rPr>
        <w:br w:type="textWrapping"/>
      </w:r>
    </w:p>
    <w:p w14:paraId="2F66A485">
      <w:pPr>
        <w:rPr>
          <w:rFonts w:ascii="Microsoft Sans Serif" w:hAnsi="Microsoft Sans Serif" w:cs="Microsoft Sans Serif"/>
          <w:b/>
          <w:sz w:val="20"/>
          <w:lang w:val="hr-HR"/>
        </w:rPr>
      </w:pPr>
      <w:r>
        <w:rPr>
          <w:rFonts w:ascii="Microsoft Sans Serif" w:hAnsi="Microsoft Sans Serif" w:cs="Microsoft Sans Serif"/>
          <w:b/>
          <w:sz w:val="20"/>
          <w:lang w:val="hr-HR"/>
        </w:rPr>
        <w:t>Kalijum u serumu</w:t>
      </w:r>
    </w:p>
    <w:p w14:paraId="2A11ED59">
      <w:pPr>
        <w:shd w:val="clear" w:color="auto" w:fill="FFFFFF"/>
        <w:jc w:val="both"/>
        <w:rPr>
          <w:rFonts w:ascii="Microsoft Sans Serif" w:hAnsi="Microsoft Sans Serif" w:cs="Microsoft Sans Serif"/>
          <w:color w:val="000000"/>
          <w:sz w:val="20"/>
          <w:lang w:val="en-US"/>
        </w:rPr>
      </w:pPr>
      <w:r>
        <w:rPr>
          <w:rFonts w:ascii="Microsoft Sans Serif" w:hAnsi="Microsoft Sans Serif" w:cs="Microsoft Sans Serif"/>
          <w:sz w:val="20"/>
          <w:lang w:val="bs-Latn-BA"/>
        </w:rPr>
        <w:t>ACE inhibitori mogu izazvati hiperkalijemiju jer inhibiraju oslobadjanje aldosterona. Posljedica ovoga uobičajeno nije značajna kod pacijenata sa normalnom renalnom funkcijom</w:t>
      </w:r>
      <w:r>
        <w:rPr>
          <w:rFonts w:ascii="Microsoft Sans Serif" w:hAnsi="Microsoft Sans Serif" w:cs="Microsoft Sans Serif"/>
          <w:color w:val="000000"/>
          <w:sz w:val="20"/>
        </w:rPr>
        <w:t xml:space="preserve">. Međutim, </w:t>
      </w:r>
      <w:r>
        <w:rPr>
          <w:rFonts w:ascii="Microsoft Sans Serif" w:hAnsi="Microsoft Sans Serif" w:cs="Microsoft Sans Serif"/>
          <w:sz w:val="20"/>
          <w:lang w:val="bs-Latn-BA"/>
        </w:rPr>
        <w:t>hiperkalijemija se može pojaviti</w:t>
      </w:r>
      <w:r>
        <w:rPr>
          <w:rFonts w:ascii="Microsoft Sans Serif" w:hAnsi="Microsoft Sans Serif" w:cs="Microsoft Sans Serif"/>
          <w:color w:val="000000"/>
          <w:sz w:val="20"/>
        </w:rPr>
        <w:t xml:space="preserve"> kod pacijenata sa oslabljenim radom bubrega, dijabetesom i/ili kod pacijenata koji primjenjuju suplemente kalijuma (uključujujući zamjene za so), diuretike koji štede kalijum (npr. spirinolakton, triamteren ili amilorid), druge lijekove koji mogu povećati nivo kalijuma u serumu (npr. heparin, trimetoprim ili kotrimoksazol takođe poznat kao trimetoprim/sulfametoksazol)</w:t>
      </w:r>
      <w:r>
        <w:rPr>
          <w:rFonts w:ascii="Microsoft Sans Serif" w:hAnsi="Microsoft Sans Serif" w:cs="Microsoft Sans Serif"/>
          <w:sz w:val="20"/>
          <w:lang w:val="bs-Latn-BA"/>
        </w:rPr>
        <w:t xml:space="preserve"> i naročito antagoniste aldosterona ili blokatore angitenzin receptora. Diuretike koje </w:t>
      </w:r>
      <w:r>
        <w:rPr>
          <w:rFonts w:ascii="Microsoft Sans Serif" w:hAnsi="Microsoft Sans Serif" w:cs="Microsoft Sans Serif"/>
          <w:sz w:val="20"/>
          <w:lang w:val="hr-BA"/>
        </w:rPr>
        <w:t>štede kalijum i blokatore angiorenzin receptora treba upotrebljavati sa oprezom kod pacijenata koji su na terapiji sa ACE-inhibitorima,</w:t>
      </w:r>
      <w:r>
        <w:rPr>
          <w:rFonts w:ascii="Microsoft Sans Serif" w:hAnsi="Microsoft Sans Serif" w:cs="Microsoft Sans Serif"/>
          <w:sz w:val="20"/>
          <w:lang w:val="bs-Latn-BA"/>
        </w:rPr>
        <w:t xml:space="preserve"> i mora se pratiti</w:t>
      </w:r>
      <w:r>
        <w:rPr>
          <w:rFonts w:ascii="Microsoft Sans Serif" w:hAnsi="Microsoft Sans Serif" w:cs="Microsoft Sans Serif"/>
          <w:color w:val="000000"/>
          <w:sz w:val="20"/>
        </w:rPr>
        <w:t xml:space="preserve"> </w:t>
      </w:r>
      <w:r>
        <w:rPr>
          <w:rFonts w:ascii="Microsoft Sans Serif" w:hAnsi="Microsoft Sans Serif" w:cs="Microsoft Sans Serif"/>
          <w:sz w:val="20"/>
          <w:lang w:val="bs-Latn-BA"/>
        </w:rPr>
        <w:t xml:space="preserve">kalijum u serumu i rad bubrega </w:t>
      </w:r>
      <w:r>
        <w:rPr>
          <w:rFonts w:ascii="Microsoft Sans Serif" w:hAnsi="Microsoft Sans Serif" w:cs="Microsoft Sans Serif"/>
          <w:color w:val="000000"/>
          <w:sz w:val="20"/>
        </w:rPr>
        <w:t>(pogledati dio  4.5).</w:t>
      </w:r>
    </w:p>
    <w:p w14:paraId="6CA93B54">
      <w:pPr>
        <w:shd w:val="clear" w:color="auto" w:fill="FFFFFF"/>
        <w:jc w:val="both"/>
        <w:rPr>
          <w:rFonts w:ascii="Microsoft Sans Serif" w:hAnsi="Microsoft Sans Serif" w:cs="Microsoft Sans Serif"/>
          <w:bCs/>
          <w:i/>
          <w:color w:val="000000"/>
          <w:sz w:val="20"/>
        </w:rPr>
      </w:pPr>
    </w:p>
    <w:p w14:paraId="3355F323">
      <w:pPr>
        <w:shd w:val="clear" w:color="auto" w:fill="FFFFFF"/>
        <w:jc w:val="both"/>
        <w:rPr>
          <w:rFonts w:ascii="Microsoft Sans Serif" w:hAnsi="Microsoft Sans Serif" w:cs="Microsoft Sans Serif"/>
          <w:b/>
          <w:sz w:val="20"/>
        </w:rPr>
      </w:pPr>
      <w:r>
        <w:rPr>
          <w:rFonts w:ascii="Microsoft Sans Serif" w:hAnsi="Microsoft Sans Serif" w:cs="Microsoft Sans Serif"/>
          <w:b/>
          <w:bCs/>
          <w:iCs/>
          <w:color w:val="000000"/>
          <w:sz w:val="20"/>
        </w:rPr>
        <w:t>Pacijenti sa dijabetesom</w:t>
      </w:r>
    </w:p>
    <w:p w14:paraId="035D55AB">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pacijenata sa dijabetesom koji uzimaju oralne antidijabetike ili insulin, tokom prvih mjeseci primjene ACE-inhibitora mora se provoditi pažljiva kontrola glikemije (pogledati dio 4.5</w:t>
      </w:r>
      <w:r>
        <w:rPr>
          <w:rFonts w:ascii="Microsoft Sans Serif" w:hAnsi="Microsoft Sans Serif" w:cs="Microsoft Sans Serif"/>
          <w:iCs/>
          <w:color w:val="000000"/>
          <w:sz w:val="20"/>
        </w:rPr>
        <w:t>).</w:t>
      </w:r>
    </w:p>
    <w:p w14:paraId="2EAC2D55">
      <w:pPr>
        <w:rPr>
          <w:rFonts w:ascii="Microsoft Sans Serif" w:hAnsi="Microsoft Sans Serif" w:cs="Microsoft Sans Serif"/>
          <w:b/>
          <w:bCs/>
          <w:sz w:val="20"/>
          <w:lang w:val="en"/>
        </w:rPr>
      </w:pPr>
    </w:p>
    <w:p w14:paraId="1E53CFCD">
      <w:pPr>
        <w:rPr>
          <w:rFonts w:ascii="Microsoft Sans Serif" w:hAnsi="Microsoft Sans Serif" w:cs="Microsoft Sans Serif"/>
          <w:sz w:val="20"/>
          <w:lang w:val="en"/>
        </w:rPr>
      </w:pPr>
      <w:r>
        <w:rPr>
          <w:rFonts w:ascii="Microsoft Sans Serif" w:hAnsi="Microsoft Sans Serif" w:cs="Microsoft Sans Serif"/>
          <w:b/>
          <w:bCs/>
          <w:sz w:val="20"/>
          <w:lang w:val="en"/>
        </w:rPr>
        <w:t>Litijum</w:t>
      </w:r>
    </w:p>
    <w:p w14:paraId="1057AE9D">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Ne preporučuje se istovremena primjena lizinoprila i litijuma (pogledati dio 4.5).</w:t>
      </w:r>
    </w:p>
    <w:p w14:paraId="0ED266EC">
      <w:pPr>
        <w:rPr>
          <w:rFonts w:ascii="Microsoft Sans Serif" w:hAnsi="Microsoft Sans Serif" w:cs="Microsoft Sans Serif"/>
          <w:b/>
          <w:bCs/>
          <w:sz w:val="20"/>
          <w:lang w:val="en"/>
        </w:rPr>
      </w:pPr>
    </w:p>
    <w:p w14:paraId="38C333D1">
      <w:pPr>
        <w:jc w:val="both"/>
        <w:rPr>
          <w:rStyle w:val="40"/>
          <w:rFonts w:ascii="Microsoft Sans Serif" w:hAnsi="Microsoft Sans Serif" w:cs="Microsoft Sans Serif"/>
          <w:sz w:val="20"/>
          <w:shd w:val="clear" w:color="auto" w:fill="FFFFFF"/>
          <w:lang w:val="bs-Latn-BA"/>
        </w:rPr>
      </w:pPr>
      <w:r>
        <w:rPr>
          <w:rStyle w:val="40"/>
          <w:rFonts w:ascii="Microsoft Sans Serif" w:hAnsi="Microsoft Sans Serif" w:cs="Microsoft Sans Serif"/>
          <w:b/>
          <w:sz w:val="20"/>
          <w:shd w:val="clear" w:color="auto" w:fill="FFFFFF"/>
          <w:lang w:val="bs-Latn-BA"/>
        </w:rPr>
        <w:t xml:space="preserve">Trudnoća </w:t>
      </w:r>
      <w:r>
        <w:rPr>
          <w:rFonts w:ascii="Microsoft Sans Serif" w:hAnsi="Microsoft Sans Serif" w:cs="Microsoft Sans Serif"/>
          <w:b/>
          <w:sz w:val="20"/>
          <w:shd w:val="clear" w:color="auto" w:fill="FFFFFF"/>
          <w:lang w:val="bs-Latn-BA"/>
        </w:rPr>
        <w:br w:type="textWrapping"/>
      </w:r>
      <w:r>
        <w:rPr>
          <w:rStyle w:val="40"/>
          <w:rFonts w:ascii="Microsoft Sans Serif" w:hAnsi="Microsoft Sans Serif" w:cs="Microsoft Sans Serif"/>
          <w:sz w:val="20"/>
          <w:shd w:val="clear" w:color="auto" w:fill="FFFFFF"/>
          <w:lang w:val="bs-Latn-BA"/>
        </w:rPr>
        <w:t>Ne treba započinjati liječenje sa ACE-inhibitorima tokom trudnoće. Ukoliko se terapija sa ACE-inhibitorima smatra nužnom, pacijentkinje koje planiraju trudnoću treba da pređu na druge antihipertenzivne terapije sa dobro utvrđenim bezbjednosnim profilom za primjenu u trudnoći. Kada se trudnoća potvrdi, liječenje ACE-inhibitorima treba prekinuti odmah, i ako postoji mogućnost da se počne sa odgovaraju</w:t>
      </w:r>
      <w:r>
        <w:rPr>
          <w:rStyle w:val="40"/>
          <w:rFonts w:ascii="Microsoft Sans Serif" w:hAnsi="Microsoft Sans Serif" w:cs="Microsoft Sans Serif"/>
          <w:sz w:val="20"/>
          <w:shd w:val="clear" w:color="auto" w:fill="FFFFFF"/>
          <w:lang w:val="hr-BA"/>
        </w:rPr>
        <w:t>ćom alternativnom</w:t>
      </w:r>
      <w:r>
        <w:rPr>
          <w:rStyle w:val="40"/>
          <w:rFonts w:ascii="Microsoft Sans Serif" w:hAnsi="Microsoft Sans Serif" w:cs="Microsoft Sans Serif"/>
          <w:sz w:val="20"/>
          <w:shd w:val="clear" w:color="auto" w:fill="FFFFFF"/>
          <w:lang w:val="bs-Latn-BA"/>
        </w:rPr>
        <w:t xml:space="preserve"> terapijom (pogledati dijelove 4.3. i 4.6).</w:t>
      </w:r>
    </w:p>
    <w:p w14:paraId="33A7A8BA">
      <w:pPr>
        <w:pStyle w:val="13"/>
        <w:ind w:left="0"/>
        <w:rPr>
          <w:rFonts w:ascii="Microsoft Sans Serif" w:hAnsi="Microsoft Sans Serif" w:cs="Microsoft Sans Serif"/>
          <w:color w:val="auto"/>
          <w:sz w:val="20"/>
          <w:szCs w:val="20"/>
        </w:rPr>
      </w:pPr>
    </w:p>
    <w:p w14:paraId="4200AC34">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4.5 </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Interakcije sa drugim lijekovima i  drugi oblici interakcija </w:t>
      </w:r>
    </w:p>
    <w:p w14:paraId="2EDB2F6B">
      <w:pPr>
        <w:jc w:val="both"/>
        <w:rPr>
          <w:rFonts w:ascii="Microsoft Sans Serif" w:hAnsi="Microsoft Sans Serif" w:cs="Microsoft Sans Serif"/>
          <w:b/>
          <w:sz w:val="20"/>
          <w:lang w:val="sr-Latn-BA"/>
        </w:rPr>
      </w:pPr>
    </w:p>
    <w:p w14:paraId="29B6DE42">
      <w:pPr>
        <w:shd w:val="clear" w:color="auto" w:fill="FFFFFF"/>
        <w:jc w:val="both"/>
        <w:rPr>
          <w:rFonts w:ascii="Microsoft Sans Serif" w:hAnsi="Microsoft Sans Serif" w:cs="Microsoft Sans Serif"/>
          <w:b/>
          <w:sz w:val="20"/>
        </w:rPr>
      </w:pPr>
      <w:r>
        <w:rPr>
          <w:rFonts w:ascii="Microsoft Sans Serif" w:hAnsi="Microsoft Sans Serif" w:cs="Microsoft Sans Serif"/>
          <w:b/>
          <w:iCs/>
          <w:color w:val="000000"/>
          <w:sz w:val="20"/>
        </w:rPr>
        <w:t>Ostali antihipertenzivi</w:t>
      </w:r>
    </w:p>
    <w:p w14:paraId="67796144">
      <w:pPr>
        <w:jc w:val="both"/>
        <w:rPr>
          <w:rStyle w:val="40"/>
          <w:rFonts w:ascii="Microsoft Sans Serif" w:hAnsi="Microsoft Sans Serif" w:cs="Microsoft Sans Serif"/>
          <w:sz w:val="20"/>
          <w:shd w:val="clear" w:color="auto" w:fill="FFFFFF"/>
          <w:lang w:val="bs-Latn-BA"/>
        </w:rPr>
      </w:pPr>
      <w:r>
        <w:rPr>
          <w:rStyle w:val="40"/>
          <w:rFonts w:ascii="Microsoft Sans Serif" w:hAnsi="Microsoft Sans Serif" w:cs="Microsoft Sans Serif"/>
          <w:sz w:val="20"/>
          <w:shd w:val="clear" w:color="auto" w:fill="FFFFFF"/>
          <w:lang w:val="bs-Latn-BA"/>
        </w:rPr>
        <w:t xml:space="preserve">Kada se lizinopril kombinuje u terapiji sa drugim antihipertenzivima, </w:t>
      </w:r>
      <w:r>
        <w:rPr>
          <w:rFonts w:ascii="Microsoft Sans Serif" w:hAnsi="Microsoft Sans Serif" w:cs="Microsoft Sans Serif"/>
          <w:color w:val="000000"/>
          <w:sz w:val="20"/>
        </w:rPr>
        <w:t>(npr. gliceril trinitrata kao i drugih nitrata ili drugih vazodilatatora)</w:t>
      </w:r>
      <w:r>
        <w:rPr>
          <w:rStyle w:val="40"/>
          <w:rFonts w:ascii="Microsoft Sans Serif" w:hAnsi="Microsoft Sans Serif" w:cs="Microsoft Sans Serif"/>
          <w:sz w:val="20"/>
          <w:shd w:val="clear" w:color="auto" w:fill="FFFFFF"/>
          <w:lang w:val="bs-Latn-BA"/>
        </w:rPr>
        <w:t xml:space="preserve">, antihipertenzivni efekat je obično aditivan. </w:t>
      </w:r>
    </w:p>
    <w:p w14:paraId="267793D5">
      <w:pPr>
        <w:shd w:val="clear" w:color="auto" w:fill="FFFFFF"/>
        <w:jc w:val="both"/>
        <w:rPr>
          <w:rFonts w:ascii="Microsoft Sans Serif" w:hAnsi="Microsoft Sans Serif" w:cs="Microsoft Sans Serif"/>
          <w:iCs/>
          <w:sz w:val="20"/>
        </w:rPr>
      </w:pPr>
      <w:r>
        <w:rPr>
          <w:rFonts w:ascii="Microsoft Sans Serif" w:hAnsi="Microsoft Sans Serif" w:cs="Microsoft Sans Serif"/>
          <w:iCs/>
          <w:sz w:val="20"/>
        </w:rPr>
        <w:t>Podaci iz kliničkih ispitivanja pokazali su da je dvostruka blokada renin-angiotenzin-aldosteronskog sistema (RAAS) preko kombiniranom primjenom ACE inhibitora, blokatora angiotenzin II receptora ili aliskirena povezana sa većom učestalošću štetnih događaja kao što su hipotenzija, hiperkalemija i smanjena bubrežna funkcija (uključujući akutnu insuficijenciju bubrega) u usporedbi sa primjenom samo jednog lijeka koji djeluje na RAAS (pogledati dijelove 4.3, 4.4 i 5.1).</w:t>
      </w:r>
    </w:p>
    <w:p w14:paraId="0B73A334">
      <w:pPr>
        <w:shd w:val="clear" w:color="auto" w:fill="FFFFFF"/>
        <w:jc w:val="both"/>
        <w:rPr>
          <w:rFonts w:ascii="Microsoft Sans Serif" w:hAnsi="Microsoft Sans Serif" w:cs="Microsoft Sans Serif"/>
          <w:sz w:val="20"/>
          <w:shd w:val="clear" w:color="auto" w:fill="FFFFFF"/>
          <w:lang w:val="bs-Latn-BA"/>
        </w:rPr>
      </w:pPr>
    </w:p>
    <w:p w14:paraId="787950C3">
      <w:pPr>
        <w:jc w:val="both"/>
        <w:rPr>
          <w:rFonts w:ascii="Microsoft Sans Serif" w:hAnsi="Microsoft Sans Serif" w:cs="Microsoft Sans Serif"/>
          <w:b/>
          <w:color w:val="222222"/>
          <w:sz w:val="20"/>
        </w:rPr>
      </w:pPr>
      <w:r>
        <w:rPr>
          <w:rFonts w:ascii="Microsoft Sans Serif" w:hAnsi="Microsoft Sans Serif" w:cs="Microsoft Sans Serif"/>
          <w:b/>
          <w:bCs/>
          <w:sz w:val="20"/>
        </w:rPr>
        <w:t>Lijekovi koji povećavaju rizik od angioedema</w:t>
      </w:r>
    </w:p>
    <w:p w14:paraId="611C4957">
      <w:pPr>
        <w:jc w:val="both"/>
        <w:rPr>
          <w:rFonts w:ascii="Microsoft Sans Serif" w:hAnsi="Microsoft Sans Serif" w:cs="Microsoft Sans Serif"/>
          <w:color w:val="222222"/>
          <w:sz w:val="20"/>
        </w:rPr>
      </w:pPr>
      <w:r>
        <w:rPr>
          <w:rFonts w:ascii="Microsoft Sans Serif" w:hAnsi="Microsoft Sans Serif" w:cs="Microsoft Sans Serif"/>
          <w:color w:val="222222"/>
          <w:sz w:val="20"/>
        </w:rPr>
        <w:t xml:space="preserve">Istovremena upotreba ACE inhibitora sa sakubitril/valsartan je kontraindikovana jer povećava rizik od angioedema (pogledati dio 4.3 i 4.4). </w:t>
      </w:r>
    </w:p>
    <w:p w14:paraId="524C217A">
      <w:pPr>
        <w:jc w:val="both"/>
        <w:rPr>
          <w:rFonts w:ascii="Microsoft Sans Serif" w:hAnsi="Microsoft Sans Serif" w:cs="Microsoft Sans Serif"/>
          <w:color w:val="222222"/>
          <w:sz w:val="20"/>
        </w:rPr>
      </w:pPr>
      <w:r>
        <w:rPr>
          <w:rFonts w:ascii="Microsoft Sans Serif" w:hAnsi="Microsoft Sans Serif" w:cs="Microsoft Sans Serif"/>
          <w:color w:val="222222"/>
          <w:sz w:val="20"/>
        </w:rPr>
        <w:t>Istovremena upotreba ACE inhibitora sa mTOR inhibitorima (npr. temsirolimus, sirolimus, everolimus),ili neutralne endopeptidaza (NEP) innhibitori (npr. racecadotril), vildagliptin-om ili aktivatorima tkivnog plazminogena može dovesti do povećanog rizika za angioedem (pogledati dio 4.4).</w:t>
      </w:r>
    </w:p>
    <w:p w14:paraId="15367C3A">
      <w:pPr>
        <w:jc w:val="both"/>
        <w:rPr>
          <w:rFonts w:ascii="Microsoft Sans Serif" w:hAnsi="Microsoft Sans Serif" w:cs="Microsoft Sans Serif"/>
          <w:b/>
          <w:sz w:val="20"/>
          <w:lang w:val="mk-MK"/>
        </w:rPr>
      </w:pPr>
      <w:r>
        <w:rPr>
          <w:rFonts w:ascii="Microsoft Sans Serif" w:hAnsi="Microsoft Sans Serif" w:cs="Microsoft Sans Serif"/>
          <w:color w:val="222222"/>
          <w:sz w:val="20"/>
        </w:rPr>
        <w:t xml:space="preserve"> </w:t>
      </w:r>
    </w:p>
    <w:p w14:paraId="1B6A28B1">
      <w:pPr>
        <w:shd w:val="clear" w:color="auto" w:fill="FFFFFF"/>
        <w:jc w:val="both"/>
        <w:rPr>
          <w:rFonts w:ascii="Microsoft Sans Serif" w:hAnsi="Microsoft Sans Serif" w:cs="Microsoft Sans Serif"/>
          <w:b/>
          <w:color w:val="000000"/>
          <w:sz w:val="20"/>
        </w:rPr>
      </w:pPr>
      <w:r>
        <w:rPr>
          <w:rFonts w:ascii="Microsoft Sans Serif" w:hAnsi="Microsoft Sans Serif" w:cs="Microsoft Sans Serif"/>
          <w:sz w:val="20"/>
          <w:shd w:val="clear" w:color="auto" w:fill="FFFFFF"/>
          <w:lang w:val="bs-Latn-BA"/>
        </w:rPr>
        <w:br w:type="textWrapping"/>
      </w:r>
      <w:r>
        <w:rPr>
          <w:rFonts w:ascii="Microsoft Sans Serif" w:hAnsi="Microsoft Sans Serif" w:cs="Microsoft Sans Serif"/>
          <w:b/>
          <w:color w:val="000000"/>
          <w:sz w:val="20"/>
        </w:rPr>
        <w:t>Diuretici</w:t>
      </w:r>
    </w:p>
    <w:p w14:paraId="52A7CFCA">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U slučaju kada se pacijentima koji uzimaju lizinopril doda u terapiju diuretik, antihipertenzivni efekat je obično aditivan.</w:t>
      </w:r>
    </w:p>
    <w:p w14:paraId="0ADB48C9">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pacijenata koji već uzimaju diuretike, a posebno kod onih koji su ih nedavno počeli uzimati, može ponekad doći do pretjeranog pada krvnog pritiska kada se u terapiju doda lizinopril.</w:t>
      </w:r>
    </w:p>
    <w:p w14:paraId="1983F6AD">
      <w:pPr>
        <w:shd w:val="clear" w:color="auto" w:fill="FFFFFF"/>
        <w:jc w:val="both"/>
        <w:rPr>
          <w:rFonts w:ascii="Microsoft Sans Serif" w:hAnsi="Microsoft Sans Serif" w:cs="Microsoft Sans Serif"/>
          <w:iCs/>
          <w:color w:val="000000"/>
          <w:sz w:val="20"/>
        </w:rPr>
      </w:pPr>
      <w:r>
        <w:rPr>
          <w:rFonts w:ascii="Microsoft Sans Serif" w:hAnsi="Microsoft Sans Serif" w:cs="Microsoft Sans Serif"/>
          <w:color w:val="000000"/>
          <w:sz w:val="20"/>
        </w:rPr>
        <w:t xml:space="preserve">Kako bi se mogućnost pojave simptomatske hipotenzije pri primjeni lizinoprila svela na minimum, preporučuje se prekid liječenja diureticima prije početka primjene lizinoprila (pogledati dijelove 4.4 i </w:t>
      </w:r>
      <w:r>
        <w:rPr>
          <w:rFonts w:ascii="Microsoft Sans Serif" w:hAnsi="Microsoft Sans Serif" w:cs="Microsoft Sans Serif"/>
          <w:iCs/>
          <w:color w:val="000000"/>
          <w:sz w:val="20"/>
        </w:rPr>
        <w:t>4.2).</w:t>
      </w:r>
    </w:p>
    <w:p w14:paraId="769B1267">
      <w:pPr>
        <w:jc w:val="both"/>
        <w:rPr>
          <w:rFonts w:ascii="Microsoft Sans Serif" w:hAnsi="Microsoft Sans Serif" w:cs="Microsoft Sans Serif"/>
          <w:sz w:val="20"/>
          <w:shd w:val="clear" w:color="auto" w:fill="FFFFFF"/>
          <w:lang w:val="sr-Latn-BA"/>
        </w:rPr>
      </w:pPr>
    </w:p>
    <w:p w14:paraId="361DE52A">
      <w:pPr>
        <w:shd w:val="clear" w:color="auto" w:fill="FFFFFF"/>
        <w:jc w:val="both"/>
        <w:rPr>
          <w:rFonts w:ascii="Microsoft Sans Serif" w:hAnsi="Microsoft Sans Serif" w:cs="Microsoft Sans Serif"/>
          <w:b/>
          <w:sz w:val="20"/>
          <w:lang w:val="hr-BA"/>
        </w:rPr>
      </w:pPr>
      <w:r>
        <w:rPr>
          <w:rFonts w:ascii="Microsoft Sans Serif" w:hAnsi="Microsoft Sans Serif" w:cs="Microsoft Sans Serif"/>
          <w:b/>
          <w:iCs/>
          <w:color w:val="000000"/>
          <w:sz w:val="20"/>
        </w:rPr>
        <w:t xml:space="preserve">Diuretici </w:t>
      </w:r>
      <w:r>
        <w:rPr>
          <w:rFonts w:ascii="Microsoft Sans Serif" w:hAnsi="Microsoft Sans Serif" w:cs="Microsoft Sans Serif"/>
          <w:b/>
          <w:bCs/>
          <w:iCs/>
          <w:color w:val="000000"/>
          <w:sz w:val="20"/>
        </w:rPr>
        <w:t xml:space="preserve">koji </w:t>
      </w:r>
      <w:r>
        <w:rPr>
          <w:rFonts w:ascii="Microsoft Sans Serif" w:hAnsi="Microsoft Sans Serif" w:cs="Microsoft Sans Serif"/>
          <w:b/>
          <w:iCs/>
          <w:color w:val="000000"/>
          <w:sz w:val="20"/>
        </w:rPr>
        <w:t xml:space="preserve">štede </w:t>
      </w:r>
      <w:r>
        <w:rPr>
          <w:rFonts w:ascii="Microsoft Sans Serif" w:hAnsi="Microsoft Sans Serif" w:cs="Microsoft Sans Serif"/>
          <w:b/>
          <w:bCs/>
          <w:iCs/>
          <w:color w:val="000000"/>
          <w:sz w:val="20"/>
        </w:rPr>
        <w:t xml:space="preserve">kalijum, suplementi kalijuma ili zamjene za so koji </w:t>
      </w:r>
      <w:r>
        <w:rPr>
          <w:rFonts w:ascii="Microsoft Sans Serif" w:hAnsi="Microsoft Sans Serif" w:cs="Microsoft Sans Serif"/>
          <w:b/>
          <w:iCs/>
          <w:color w:val="000000"/>
          <w:sz w:val="20"/>
        </w:rPr>
        <w:t xml:space="preserve">sadrže </w:t>
      </w:r>
      <w:r>
        <w:rPr>
          <w:rFonts w:ascii="Microsoft Sans Serif" w:hAnsi="Microsoft Sans Serif" w:cs="Microsoft Sans Serif"/>
          <w:b/>
          <w:bCs/>
          <w:iCs/>
          <w:color w:val="000000"/>
          <w:sz w:val="20"/>
        </w:rPr>
        <w:t>kalijum i druge lijekove koju mogu povećati nivoa kalijuma u serumu</w:t>
      </w:r>
    </w:p>
    <w:p w14:paraId="33ED5DE4">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Iako nivo kalijuma ostaje u granicama normalnih vrijednosti, hiperkalijemija se može pojaviti kod nekih pacijenata koji su na terapiji sa liziniprilom.</w:t>
      </w:r>
    </w:p>
    <w:p w14:paraId="3437C14E">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 xml:space="preserve">Diuretici koji štede kalijum (npr. spironolakton, triamterene, ili amiloride), suplementi kalijuma ili zamjene za so koji sadrže kalijum, naročito kod pacijenata sa poremećenom funkcijom bubrega, može dovesti do značajnog povećanja nivoa kalijuma u serumu. </w:t>
      </w:r>
      <w:r>
        <w:rPr>
          <w:rStyle w:val="40"/>
          <w:rFonts w:ascii="Microsoft Sans Serif" w:hAnsi="Microsoft Sans Serif" w:cs="Microsoft Sans Serif"/>
          <w:sz w:val="20"/>
          <w:lang w:val="bs-Latn-BA"/>
        </w:rPr>
        <w:t>Tako</w:t>
      </w:r>
      <w:r>
        <w:rPr>
          <w:rStyle w:val="40"/>
          <w:rFonts w:ascii="Microsoft Sans Serif" w:hAnsi="Microsoft Sans Serif" w:cs="Microsoft Sans Serif"/>
          <w:sz w:val="20"/>
          <w:lang w:val="hr-BA"/>
        </w:rPr>
        <w:t>đ</w:t>
      </w:r>
      <w:r>
        <w:rPr>
          <w:rStyle w:val="40"/>
          <w:rFonts w:ascii="Microsoft Sans Serif" w:hAnsi="Microsoft Sans Serif" w:cs="Microsoft Sans Serif"/>
          <w:sz w:val="20"/>
          <w:lang w:val="bs-Latn-BA"/>
        </w:rPr>
        <w:t xml:space="preserve">e sa oprezom treba primjenjivati lizinopril zajedno sa drugim lijekovima koji povećavaju serumski kalijum kao što su trimetoprim i kotrimoksazol (trimetoprim/sulfametoksazol), jer je poznato da trimetoprim djeluje kao diuretik koji štedi kalijum kao što je amilorid. Zbog toga istovremena upotreba gorenavedenih lijekova i lijek Skopryl nije preporučljiva. </w:t>
      </w:r>
      <w:r>
        <w:rPr>
          <w:rStyle w:val="41"/>
          <w:rFonts w:ascii="Microsoft Sans Serif" w:hAnsi="Microsoft Sans Serif" w:cs="Microsoft Sans Serif"/>
          <w:sz w:val="20"/>
          <w:lang w:val="bs-Latn-BA"/>
        </w:rPr>
        <w:t>Ako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istovremena primjena</w:t>
      </w:r>
      <w:r>
        <w:rPr>
          <w:rStyle w:val="40"/>
          <w:rFonts w:ascii="Microsoft Sans Serif" w:hAnsi="Microsoft Sans Serif" w:cs="Microsoft Sans Serif"/>
          <w:sz w:val="20"/>
          <w:lang w:val="bs-Latn-BA"/>
        </w:rPr>
        <w:t xml:space="preserve"> nekih od ovih agenasa indikovana, </w:t>
      </w:r>
      <w:r>
        <w:rPr>
          <w:rStyle w:val="41"/>
          <w:rFonts w:ascii="Microsoft Sans Serif" w:hAnsi="Microsoft Sans Serif" w:cs="Microsoft Sans Serif"/>
          <w:sz w:val="20"/>
          <w:lang w:val="bs-Latn-BA"/>
        </w:rPr>
        <w:t>treba</w:t>
      </w:r>
      <w:r>
        <w:rPr>
          <w:rStyle w:val="40"/>
          <w:rFonts w:ascii="Microsoft Sans Serif" w:hAnsi="Microsoft Sans Serif" w:cs="Microsoft Sans Serif"/>
          <w:sz w:val="20"/>
          <w:lang w:val="bs-Latn-BA"/>
        </w:rPr>
        <w:t xml:space="preserve"> biti oprezan i često provjeravati </w:t>
      </w:r>
      <w:r>
        <w:rPr>
          <w:rStyle w:val="41"/>
          <w:rFonts w:ascii="Microsoft Sans Serif" w:hAnsi="Microsoft Sans Serif" w:cs="Microsoft Sans Serif"/>
          <w:sz w:val="20"/>
          <w:lang w:val="bs-Latn-BA"/>
        </w:rPr>
        <w:t>serumski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kalijum</w:t>
      </w:r>
      <w:r>
        <w:rPr>
          <w:rStyle w:val="40"/>
          <w:rFonts w:ascii="Microsoft Sans Serif" w:hAnsi="Microsoft Sans Serif" w:cs="Microsoft Sans Serif"/>
          <w:sz w:val="20"/>
          <w:lang w:val="bs-Latn-BA"/>
        </w:rPr>
        <w:t>.</w:t>
      </w:r>
      <w:r>
        <w:rPr>
          <w:rFonts w:ascii="Microsoft Sans Serif" w:hAnsi="Microsoft Sans Serif" w:cs="Microsoft Sans Serif"/>
          <w:color w:val="000000"/>
          <w:sz w:val="20"/>
        </w:rPr>
        <w:t xml:space="preserve"> </w:t>
      </w:r>
    </w:p>
    <w:p w14:paraId="59FFA021">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Hipokalijemija izazvana diureticima može se ublažiti istovremenom primjenom lizinoprila sa diureticima koji ne štede kalijum.</w:t>
      </w:r>
    </w:p>
    <w:p w14:paraId="3EAF072D">
      <w:pPr>
        <w:shd w:val="clear" w:color="auto" w:fill="FFFFFF"/>
        <w:jc w:val="both"/>
        <w:rPr>
          <w:rFonts w:ascii="Microsoft Sans Serif" w:hAnsi="Microsoft Sans Serif" w:cs="Microsoft Sans Serif"/>
          <w:color w:val="000000"/>
          <w:sz w:val="20"/>
        </w:rPr>
      </w:pPr>
    </w:p>
    <w:p w14:paraId="55BA3470">
      <w:pPr>
        <w:jc w:val="both"/>
        <w:rPr>
          <w:rStyle w:val="40"/>
          <w:rFonts w:ascii="Microsoft Sans Serif" w:hAnsi="Microsoft Sans Serif" w:cs="Microsoft Sans Serif"/>
          <w:sz w:val="20"/>
          <w:lang w:val="bs-Latn-BA"/>
        </w:rPr>
      </w:pPr>
      <w:r>
        <w:rPr>
          <w:rStyle w:val="40"/>
          <w:rFonts w:ascii="Microsoft Sans Serif" w:hAnsi="Microsoft Sans Serif" w:cs="Microsoft Sans Serif"/>
          <w:b/>
          <w:sz w:val="20"/>
          <w:lang w:val="bs-Latn-BA"/>
        </w:rPr>
        <w:t>Ciklosporin</w:t>
      </w:r>
    </w:p>
    <w:p w14:paraId="637A9702">
      <w:pPr>
        <w:jc w:val="both"/>
        <w:rPr>
          <w:rStyle w:val="40"/>
          <w:rFonts w:ascii="Microsoft Sans Serif" w:hAnsi="Microsoft Sans Serif" w:cs="Microsoft Sans Serif"/>
          <w:sz w:val="20"/>
          <w:lang w:val="bs-Latn-BA"/>
        </w:rPr>
      </w:pPr>
      <w:r>
        <w:rPr>
          <w:rStyle w:val="40"/>
          <w:rFonts w:ascii="Microsoft Sans Serif" w:hAnsi="Microsoft Sans Serif" w:cs="Microsoft Sans Serif"/>
          <w:sz w:val="20"/>
          <w:lang w:val="bs-Latn-BA"/>
        </w:rPr>
        <w:t>Hiperkalijemija se može pojaviti tokom istovremene upotrebe ACE inhibitora sa ciklosporinima. Preporučeno je praćenje serumskog kalijuma.</w:t>
      </w:r>
    </w:p>
    <w:p w14:paraId="71001E43">
      <w:pPr>
        <w:jc w:val="both"/>
        <w:rPr>
          <w:rStyle w:val="40"/>
          <w:rFonts w:ascii="Microsoft Sans Serif" w:hAnsi="Microsoft Sans Serif" w:cs="Microsoft Sans Serif"/>
          <w:sz w:val="20"/>
          <w:lang w:val="bs-Latn-BA"/>
        </w:rPr>
      </w:pPr>
    </w:p>
    <w:p w14:paraId="2C95D7D1">
      <w:pPr>
        <w:jc w:val="both"/>
        <w:rPr>
          <w:rStyle w:val="40"/>
          <w:rFonts w:ascii="Microsoft Sans Serif" w:hAnsi="Microsoft Sans Serif" w:cs="Microsoft Sans Serif"/>
          <w:sz w:val="20"/>
          <w:lang w:val="bs-Latn-BA"/>
        </w:rPr>
      </w:pPr>
      <w:r>
        <w:rPr>
          <w:rStyle w:val="40"/>
          <w:rFonts w:ascii="Microsoft Sans Serif" w:hAnsi="Microsoft Sans Serif" w:cs="Microsoft Sans Serif"/>
          <w:b/>
          <w:sz w:val="20"/>
          <w:lang w:val="bs-Latn-BA"/>
        </w:rPr>
        <w:t>Heparin</w:t>
      </w:r>
    </w:p>
    <w:p w14:paraId="0B8540ED">
      <w:pPr>
        <w:jc w:val="both"/>
        <w:rPr>
          <w:rStyle w:val="40"/>
          <w:rFonts w:ascii="Microsoft Sans Serif" w:hAnsi="Microsoft Sans Serif" w:cs="Microsoft Sans Serif"/>
          <w:sz w:val="20"/>
          <w:lang w:val="bs-Latn-BA"/>
        </w:rPr>
      </w:pPr>
      <w:r>
        <w:rPr>
          <w:rStyle w:val="40"/>
          <w:rFonts w:ascii="Microsoft Sans Serif" w:hAnsi="Microsoft Sans Serif" w:cs="Microsoft Sans Serif"/>
          <w:sz w:val="20"/>
          <w:lang w:val="bs-Latn-BA"/>
        </w:rPr>
        <w:t>Hiperkalijemija se može pojaviti tokom istovremene upotrebe ACE inhibitora sa heparinom. Preporučeno je praćenje serumskog kalijuma</w:t>
      </w:r>
    </w:p>
    <w:p w14:paraId="121868F7">
      <w:pPr>
        <w:jc w:val="both"/>
        <w:rPr>
          <w:rStyle w:val="40"/>
          <w:rFonts w:ascii="Microsoft Sans Serif" w:hAnsi="Microsoft Sans Serif" w:cs="Microsoft Sans Serif"/>
          <w:sz w:val="20"/>
          <w:lang w:val="bs-Latn-BA"/>
        </w:rPr>
      </w:pPr>
    </w:p>
    <w:p w14:paraId="1ADA7B2A">
      <w:pPr>
        <w:shd w:val="clear" w:color="auto" w:fill="FFFFFF"/>
        <w:jc w:val="both"/>
        <w:rPr>
          <w:rFonts w:ascii="Microsoft Sans Serif" w:hAnsi="Microsoft Sans Serif" w:cs="Microsoft Sans Serif"/>
          <w:b/>
          <w:sz w:val="20"/>
        </w:rPr>
      </w:pPr>
      <w:r>
        <w:rPr>
          <w:rFonts w:ascii="Microsoft Sans Serif" w:hAnsi="Microsoft Sans Serif" w:cs="Microsoft Sans Serif"/>
          <w:b/>
          <w:bCs/>
          <w:iCs/>
          <w:color w:val="000000"/>
          <w:sz w:val="20"/>
        </w:rPr>
        <w:t>Litijum</w:t>
      </w:r>
    </w:p>
    <w:p w14:paraId="4AB3C735">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 xml:space="preserve">Tokom istovremene primjene litijuma i ACE-inhibitora zabilježeni su slučajevi prolaznog povećanja koncentracije litijuma u serumu i posljedične toksičnosti. Istovremena primjena tijazidskih diuretika može povećati rizik toksičnosti litijuma te tako još više pojačati njegovu toksičnost izazvanu istovremenom primjenom ACE-inhibitora. Istovremena primjena lizinoprila i litijuma se ne preporučuje, međutim, ukoliko je ona neophodna, potrebna je pažljiva kontrola nivoa </w:t>
      </w:r>
      <w:r>
        <w:rPr>
          <w:rFonts w:ascii="Microsoft Sans Serif" w:hAnsi="Microsoft Sans Serif" w:cs="Microsoft Sans Serif"/>
          <w:bCs/>
          <w:color w:val="000000"/>
          <w:sz w:val="20"/>
        </w:rPr>
        <w:t>litijum</w:t>
      </w:r>
      <w:r>
        <w:rPr>
          <w:rFonts w:ascii="Microsoft Sans Serif" w:hAnsi="Microsoft Sans Serif" w:cs="Microsoft Sans Serif"/>
          <w:color w:val="000000"/>
          <w:sz w:val="20"/>
        </w:rPr>
        <w:t>a u serumu (pogledati dio 4.4</w:t>
      </w:r>
      <w:r>
        <w:rPr>
          <w:rFonts w:ascii="Microsoft Sans Serif" w:hAnsi="Microsoft Sans Serif" w:cs="Microsoft Sans Serif"/>
          <w:iCs/>
          <w:color w:val="000000"/>
          <w:sz w:val="20"/>
        </w:rPr>
        <w:t>).</w:t>
      </w:r>
    </w:p>
    <w:p w14:paraId="6DEE2AFF">
      <w:pPr>
        <w:jc w:val="both"/>
        <w:rPr>
          <w:rStyle w:val="41"/>
          <w:rFonts w:ascii="Microsoft Sans Serif" w:hAnsi="Microsoft Sans Serif" w:cs="Microsoft Sans Serif"/>
          <w:sz w:val="20"/>
          <w:lang w:val="hr-HR"/>
        </w:rPr>
      </w:pPr>
    </w:p>
    <w:p w14:paraId="64F4644F">
      <w:pPr>
        <w:shd w:val="clear" w:color="auto" w:fill="FFFFFF"/>
        <w:jc w:val="both"/>
        <w:rPr>
          <w:rFonts w:ascii="Microsoft Sans Serif" w:hAnsi="Microsoft Sans Serif" w:cs="Microsoft Sans Serif"/>
          <w:b/>
          <w:sz w:val="20"/>
        </w:rPr>
      </w:pPr>
      <w:r>
        <w:rPr>
          <w:rFonts w:ascii="Microsoft Sans Serif" w:hAnsi="Microsoft Sans Serif" w:cs="Microsoft Sans Serif"/>
          <w:b/>
          <w:bCs/>
          <w:iCs/>
          <w:color w:val="000000"/>
          <w:sz w:val="20"/>
        </w:rPr>
        <w:t>Nesteroidni protuupalni lijekovi, uključujuci acetilsalicilatnu kiselinu u dozi &gt;3 g/dan</w:t>
      </w:r>
    </w:p>
    <w:p w14:paraId="0EB9054A">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Kada se ACE-inhibitori primjenjuju istovremeno sa nesteroidnim antiinflamatornim lijekovima (npr. acetilsalicilna kiselina primijenjena u dozama za antiinflamatorno liječenje, COX-2 inhibitori i neselektivni nesteroidni antiinflamatorni lijekovi) može doći do smanjenja antihipertenzivnog efekta. Istovremena primjena ACE-inhibitora i nesteroidnih antiinflamatornih lijekova može uzrokovati povećan rizik od pogoršanja funkcije bubrega, uključujući i moguću insuficijenciju bubrega te povećanje nivoa kalijuma u serumu, naročito kod pacijenata sa već poremećenom funkcijom bubrega. Spomenuti efekti su obično reverzibilni. Stoga te lijekove treba istovremeno primijeniti uz oprez, posebno kod starijih osoba. Pacijente treba dovoljno hidrirati, a posebnu pažnju treba posvetiti praćenju funkcije bubrega na početku njihove istovremene primjene te povremeno nakon toga.</w:t>
      </w:r>
    </w:p>
    <w:p w14:paraId="6B0CB282">
      <w:pPr>
        <w:jc w:val="both"/>
        <w:rPr>
          <w:rStyle w:val="41"/>
          <w:rFonts w:ascii="Microsoft Sans Serif" w:hAnsi="Microsoft Sans Serif" w:cs="Microsoft Sans Serif"/>
          <w:sz w:val="20"/>
          <w:lang w:val="hr-HR"/>
        </w:rPr>
      </w:pPr>
    </w:p>
    <w:p w14:paraId="61292221">
      <w:pPr>
        <w:shd w:val="clear" w:color="auto" w:fill="FFFFFF"/>
        <w:jc w:val="both"/>
        <w:rPr>
          <w:rFonts w:ascii="Microsoft Sans Serif" w:hAnsi="Microsoft Sans Serif" w:cs="Microsoft Sans Serif"/>
          <w:b/>
          <w:sz w:val="20"/>
        </w:rPr>
      </w:pPr>
      <w:r>
        <w:rPr>
          <w:rFonts w:ascii="Microsoft Sans Serif" w:hAnsi="Microsoft Sans Serif" w:cs="Microsoft Sans Serif"/>
          <w:b/>
          <w:bCs/>
          <w:iCs/>
          <w:color w:val="000000"/>
          <w:sz w:val="20"/>
        </w:rPr>
        <w:t>Zlato</w:t>
      </w:r>
    </w:p>
    <w:p w14:paraId="020F4467">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Nitritoidne reakcije (simptomi vazodilatacije, uključujući crvenilo lica, mučninu, ošamućenost i hipotenziju, koji mogu biti vrlo teški) nakon injekcije zlata (npr. natrijev aurotiomalat) češće su zabilježene kod pacijenata koji uzimaju ACE inhibitore.</w:t>
      </w:r>
    </w:p>
    <w:p w14:paraId="1EBFD2ED">
      <w:pPr>
        <w:shd w:val="clear" w:color="auto" w:fill="FFFFFF"/>
        <w:jc w:val="both"/>
        <w:rPr>
          <w:rFonts w:ascii="Microsoft Sans Serif" w:hAnsi="Microsoft Sans Serif" w:cs="Microsoft Sans Serif"/>
          <w:sz w:val="20"/>
        </w:rPr>
      </w:pPr>
    </w:p>
    <w:p w14:paraId="400B87B8">
      <w:pPr>
        <w:shd w:val="clear" w:color="auto" w:fill="FFFFFF"/>
        <w:jc w:val="both"/>
        <w:rPr>
          <w:rFonts w:ascii="Microsoft Sans Serif" w:hAnsi="Microsoft Sans Serif" w:cs="Microsoft Sans Serif"/>
          <w:b/>
          <w:sz w:val="20"/>
        </w:rPr>
      </w:pPr>
      <w:r>
        <w:rPr>
          <w:rFonts w:ascii="Microsoft Sans Serif" w:hAnsi="Microsoft Sans Serif" w:cs="Microsoft Sans Serif"/>
          <w:b/>
          <w:bCs/>
          <w:iCs/>
          <w:color w:val="000000"/>
          <w:sz w:val="20"/>
        </w:rPr>
        <w:t>Triciklički antidepresivi/antipsihotici</w:t>
      </w:r>
      <w:r>
        <w:rPr>
          <w:rFonts w:ascii="Microsoft Sans Serif" w:hAnsi="Microsoft Sans Serif" w:cs="Microsoft Sans Serif"/>
          <w:b/>
          <w:iCs/>
          <w:color w:val="000000"/>
          <w:sz w:val="20"/>
        </w:rPr>
        <w:t>/</w:t>
      </w:r>
      <w:r>
        <w:rPr>
          <w:rFonts w:ascii="Microsoft Sans Serif" w:hAnsi="Microsoft Sans Serif" w:cs="Microsoft Sans Serif"/>
          <w:b/>
          <w:bCs/>
          <w:iCs/>
          <w:color w:val="000000"/>
          <w:sz w:val="20"/>
        </w:rPr>
        <w:t>anestetici</w:t>
      </w:r>
    </w:p>
    <w:p w14:paraId="1562827A">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Istovremena primjena nekih anestetika, tricikličkih antidepresiva ili antipsihotika sa ACE-inhibitorima može imati za posljedicu još veće sniženje vrijednosti krvnog pritiska (pogledati dio 4.4).</w:t>
      </w:r>
    </w:p>
    <w:p w14:paraId="7F34339F">
      <w:pPr>
        <w:shd w:val="clear" w:color="auto" w:fill="FFFFFF"/>
        <w:jc w:val="both"/>
        <w:rPr>
          <w:rFonts w:ascii="Microsoft Sans Serif" w:hAnsi="Microsoft Sans Serif" w:cs="Microsoft Sans Serif"/>
          <w:bCs/>
          <w:i/>
          <w:color w:val="000000"/>
          <w:sz w:val="20"/>
        </w:rPr>
      </w:pPr>
    </w:p>
    <w:p w14:paraId="10AD4889">
      <w:pPr>
        <w:shd w:val="clear" w:color="auto" w:fill="FFFFFF"/>
        <w:jc w:val="both"/>
        <w:rPr>
          <w:rFonts w:ascii="Microsoft Sans Serif" w:hAnsi="Microsoft Sans Serif" w:cs="Microsoft Sans Serif"/>
          <w:b/>
          <w:sz w:val="20"/>
        </w:rPr>
      </w:pPr>
      <w:r>
        <w:rPr>
          <w:rFonts w:ascii="Microsoft Sans Serif" w:hAnsi="Microsoft Sans Serif" w:cs="Microsoft Sans Serif"/>
          <w:b/>
          <w:bCs/>
          <w:iCs/>
          <w:color w:val="000000"/>
          <w:sz w:val="20"/>
        </w:rPr>
        <w:t>Simpatomimetici</w:t>
      </w:r>
    </w:p>
    <w:p w14:paraId="62C4674A">
      <w:pPr>
        <w:shd w:val="clear" w:color="auto" w:fill="FFFFFF"/>
        <w:jc w:val="both"/>
        <w:rPr>
          <w:rFonts w:ascii="Microsoft Sans Serif" w:hAnsi="Microsoft Sans Serif" w:cs="Microsoft Sans Serif"/>
          <w:bCs/>
          <w:i/>
          <w:color w:val="000000"/>
          <w:sz w:val="20"/>
        </w:rPr>
      </w:pPr>
      <w:r>
        <w:rPr>
          <w:rFonts w:ascii="Microsoft Sans Serif" w:hAnsi="Microsoft Sans Serif" w:cs="Microsoft Sans Serif"/>
          <w:color w:val="000000"/>
          <w:sz w:val="20"/>
        </w:rPr>
        <w:t>Simpatomimetici mogu umanjiti antihipertenzivni efekat ACE-inhibitora.</w:t>
      </w:r>
    </w:p>
    <w:p w14:paraId="23BB7294">
      <w:pPr>
        <w:jc w:val="both"/>
        <w:rPr>
          <w:rStyle w:val="41"/>
          <w:rFonts w:ascii="Microsoft Sans Serif" w:hAnsi="Microsoft Sans Serif" w:cs="Microsoft Sans Serif"/>
          <w:sz w:val="20"/>
          <w:lang w:val="bs-Latn-BA"/>
        </w:rPr>
      </w:pPr>
    </w:p>
    <w:p w14:paraId="6927526F">
      <w:pPr>
        <w:shd w:val="clear" w:color="auto" w:fill="FFFFFF"/>
        <w:jc w:val="both"/>
        <w:rPr>
          <w:rFonts w:ascii="Microsoft Sans Serif" w:hAnsi="Microsoft Sans Serif" w:cs="Microsoft Sans Serif"/>
          <w:b/>
          <w:sz w:val="20"/>
        </w:rPr>
      </w:pPr>
      <w:r>
        <w:rPr>
          <w:rFonts w:ascii="Microsoft Sans Serif" w:hAnsi="Microsoft Sans Serif" w:cs="Microsoft Sans Serif"/>
          <w:b/>
          <w:bCs/>
          <w:color w:val="000000"/>
          <w:sz w:val="20"/>
        </w:rPr>
        <w:t>Antidijabetici</w:t>
      </w:r>
    </w:p>
    <w:p w14:paraId="1BE51C0F">
      <w:pPr>
        <w:jc w:val="both"/>
        <w:rPr>
          <w:rFonts w:ascii="Microsoft Sans Serif" w:hAnsi="Microsoft Sans Serif" w:cs="Microsoft Sans Serif"/>
          <w:sz w:val="20"/>
          <w:lang w:val="bs-Latn-BA"/>
        </w:rPr>
      </w:pPr>
      <w:r>
        <w:rPr>
          <w:rStyle w:val="41"/>
          <w:rFonts w:ascii="Microsoft Sans Serif" w:hAnsi="Microsoft Sans Serif" w:cs="Microsoft Sans Serif"/>
          <w:sz w:val="20"/>
          <w:lang w:val="bs-Latn-BA"/>
        </w:rPr>
        <w:t>Epidemiološke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studije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pokazale su da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istovremena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upotreba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ACE-inhibitora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antidijabetika</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insulin ili </w:t>
      </w:r>
      <w:r>
        <w:rPr>
          <w:rStyle w:val="41"/>
          <w:rFonts w:ascii="Microsoft Sans Serif" w:hAnsi="Microsoft Sans Serif" w:cs="Microsoft Sans Serif"/>
          <w:sz w:val="20"/>
          <w:lang w:val="bs-Latn-BA"/>
        </w:rPr>
        <w:t>oralni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hipoglikemijski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lijekovi</w:t>
      </w:r>
      <w:r>
        <w:rPr>
          <w:rStyle w:val="40"/>
          <w:rFonts w:ascii="Microsoft Sans Serif" w:hAnsi="Microsoft Sans Serif" w:cs="Microsoft Sans Serif"/>
          <w:sz w:val="20"/>
          <w:lang w:val="bs-Latn-BA"/>
        </w:rPr>
        <w:t xml:space="preserve">) mogu </w:t>
      </w:r>
      <w:r>
        <w:rPr>
          <w:rFonts w:ascii="Microsoft Sans Serif" w:hAnsi="Microsoft Sans Serif" w:cs="Microsoft Sans Serif"/>
          <w:color w:val="000000"/>
          <w:sz w:val="20"/>
        </w:rPr>
        <w:t>dovesti do jakog sniženja vrijednosti glukoze u krvi sa</w:t>
      </w:r>
      <w:r>
        <w:rPr>
          <w:rStyle w:val="41"/>
          <w:rFonts w:ascii="Microsoft Sans Serif" w:hAnsi="Microsoft Sans Serif" w:cs="Microsoft Sans Serif"/>
          <w:sz w:val="20"/>
          <w:lang w:val="bs-Latn-BA"/>
        </w:rPr>
        <w:t xml:space="preserve"> rizikom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hipoglikemije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Ovo se obično događa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prvim sedmicama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kombinovane terapije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 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 oštećenom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funkcijom bubrega</w:t>
      </w:r>
      <w:r>
        <w:rPr>
          <w:rStyle w:val="40"/>
          <w:rFonts w:ascii="Microsoft Sans Serif" w:hAnsi="Microsoft Sans Serif" w:cs="Microsoft Sans Serif"/>
          <w:sz w:val="20"/>
          <w:lang w:val="bs-Latn-BA"/>
        </w:rPr>
        <w:t xml:space="preserve">. </w:t>
      </w:r>
    </w:p>
    <w:p w14:paraId="1A7B3C6D">
      <w:pPr>
        <w:pStyle w:val="19"/>
        <w:tabs>
          <w:tab w:val="clear" w:pos="4320"/>
          <w:tab w:val="clear" w:pos="8640"/>
        </w:tabs>
        <w:jc w:val="both"/>
        <w:rPr>
          <w:rFonts w:ascii="Microsoft Sans Serif" w:hAnsi="Microsoft Sans Serif" w:cs="Microsoft Sans Serif"/>
          <w:sz w:val="20"/>
          <w:lang w:val="en-US"/>
        </w:rPr>
      </w:pPr>
    </w:p>
    <w:p w14:paraId="04C9D022">
      <w:pPr>
        <w:shd w:val="clear" w:color="auto" w:fill="FFFFFF"/>
        <w:jc w:val="both"/>
        <w:rPr>
          <w:rFonts w:ascii="Microsoft Sans Serif" w:hAnsi="Microsoft Sans Serif" w:eastAsia="Batang" w:cs="Microsoft Sans Serif"/>
          <w:b/>
          <w:sz w:val="20"/>
        </w:rPr>
      </w:pPr>
      <w:r>
        <w:rPr>
          <w:rFonts w:ascii="Microsoft Sans Serif" w:hAnsi="Microsoft Sans Serif" w:eastAsia="Batang" w:cs="Microsoft Sans Serif"/>
          <w:b/>
          <w:bCs/>
          <w:iCs/>
          <w:color w:val="000000"/>
          <w:sz w:val="20"/>
        </w:rPr>
        <w:t>Acetilsalicilna kiselina, trombolitici, beta-blokatori, nitrati</w:t>
      </w:r>
    </w:p>
    <w:p w14:paraId="4D42541C">
      <w:pPr>
        <w:shd w:val="clear" w:color="auto" w:fill="FFFFFF"/>
        <w:jc w:val="both"/>
        <w:rPr>
          <w:rFonts w:ascii="Microsoft Sans Serif" w:hAnsi="Microsoft Sans Serif" w:eastAsia="Batang" w:cs="Microsoft Sans Serif"/>
          <w:sz w:val="20"/>
        </w:rPr>
      </w:pPr>
      <w:r>
        <w:rPr>
          <w:rFonts w:ascii="Microsoft Sans Serif" w:hAnsi="Microsoft Sans Serif" w:eastAsia="Batang" w:cs="Microsoft Sans Serif"/>
          <w:color w:val="000000"/>
          <w:sz w:val="20"/>
        </w:rPr>
        <w:t>Lizinopril se može primjenjivati istovremeno sa acetilsalicilnom kiselinom (u dozama za kardiološke indikacije), tromboliticima, beta-blokatorima i/ili nitratima.</w:t>
      </w:r>
    </w:p>
    <w:p w14:paraId="4FBCD6BF">
      <w:pPr>
        <w:pStyle w:val="19"/>
        <w:tabs>
          <w:tab w:val="clear" w:pos="4320"/>
          <w:tab w:val="clear" w:pos="8640"/>
        </w:tabs>
        <w:jc w:val="both"/>
        <w:rPr>
          <w:rFonts w:ascii="Microsoft Sans Serif" w:hAnsi="Microsoft Sans Serif" w:cs="Microsoft Sans Serif"/>
          <w:sz w:val="20"/>
          <w:lang w:val="en-US"/>
        </w:rPr>
      </w:pPr>
    </w:p>
    <w:p w14:paraId="1A87313C">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4.6 </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Plodnost, trudnoća i dojenje</w:t>
      </w:r>
    </w:p>
    <w:p w14:paraId="4F788816">
      <w:pPr>
        <w:jc w:val="both"/>
        <w:rPr>
          <w:rFonts w:ascii="Microsoft Sans Serif" w:hAnsi="Microsoft Sans Serif" w:cs="Microsoft Sans Serif"/>
          <w:b/>
          <w:sz w:val="20"/>
        </w:rPr>
      </w:pPr>
    </w:p>
    <w:p w14:paraId="5E09A429">
      <w:pPr>
        <w:jc w:val="both"/>
        <w:rPr>
          <w:rFonts w:ascii="Microsoft Sans Serif" w:hAnsi="Microsoft Sans Serif" w:cs="Microsoft Sans Serif"/>
          <w:i/>
          <w:sz w:val="20"/>
          <w:lang w:val="bs-Latn-BA"/>
        </w:rPr>
      </w:pPr>
      <w:r>
        <w:rPr>
          <w:rFonts w:ascii="Microsoft Sans Serif" w:hAnsi="Microsoft Sans Serif" w:cs="Microsoft Sans Serif"/>
          <w:i/>
          <w:sz w:val="20"/>
          <w:lang w:val="bs-Latn-BA"/>
        </w:rPr>
        <w:t>Trudnoća</w:t>
      </w:r>
    </w:p>
    <w:p w14:paraId="32EB8F83">
      <w:pPr>
        <w:jc w:val="both"/>
        <w:rPr>
          <w:rStyle w:val="40"/>
          <w:rFonts w:ascii="Microsoft Sans Serif" w:hAnsi="Microsoft Sans Serif" w:cs="Microsoft Sans Serif"/>
          <w:sz w:val="20"/>
          <w:lang w:val="bs-Latn-BA"/>
        </w:rPr>
      </w:pPr>
      <w:r>
        <w:rPr>
          <w:rStyle w:val="40"/>
          <w:rFonts w:ascii="Microsoft Sans Serif" w:hAnsi="Microsoft Sans Serif" w:cs="Microsoft Sans Serif"/>
          <w:sz w:val="20"/>
          <w:lang w:val="bs-Latn-BA"/>
        </w:rPr>
        <w:t>Primjena ACE-inhibitora u prvom trimestru trudnoće se ne preporučuje (pogledati dio 4.4). Primjena ACE-inhibitora je kontraindikovana tokom drugog i trećeg trimestra trudnoće (pogledati dijelove 4.3. i 4.4).</w:t>
      </w:r>
      <w:r>
        <w:rPr>
          <w:rFonts w:ascii="Microsoft Sans Serif" w:hAnsi="Microsoft Sans Serif" w:cs="Microsoft Sans Serif"/>
          <w:sz w:val="20"/>
          <w:lang w:val="bs-Latn-BA"/>
        </w:rPr>
        <w:br w:type="textWrapping"/>
      </w:r>
    </w:p>
    <w:p w14:paraId="11ED6D88">
      <w:pPr>
        <w:jc w:val="both"/>
        <w:rPr>
          <w:rStyle w:val="40"/>
          <w:rFonts w:ascii="Microsoft Sans Serif" w:hAnsi="Microsoft Sans Serif" w:cs="Microsoft Sans Serif"/>
          <w:sz w:val="20"/>
          <w:lang w:val="bs-Latn-BA"/>
        </w:rPr>
      </w:pPr>
      <w:r>
        <w:rPr>
          <w:rStyle w:val="40"/>
          <w:rFonts w:ascii="Microsoft Sans Serif" w:hAnsi="Microsoft Sans Serif" w:cs="Microsoft Sans Serif"/>
          <w:sz w:val="20"/>
          <w:lang w:val="bs-Latn-BA"/>
        </w:rPr>
        <w:t>Epidemiološki dokazi o postojanju opasnosti od teratogenosti poslije izlaganja ACE-inhibitorima u prvom trimestru trudnoće ne daju konačne zaključke, ali ne mogu isključiti postojanje malog porasta rizika. Ukoliko se produžena terapija sa ACE-inhibitorima smatra neophodnom, pacijentkinje koje planiraju trudnoću trebalo bi da pređu na alternativne antihipertenzivne lijekove sa utvrđenim bezbjednosnim profilom o primjeni tokom trudnoće. Kada je trudnoća potvrđena, liječenje ACE-inhibitorima treba prekinuti odmah, i ako postoji mogućnost treba započeti alternativnu terapiju.</w:t>
      </w:r>
    </w:p>
    <w:p w14:paraId="5C8FC52F">
      <w:pPr>
        <w:jc w:val="both"/>
        <w:rPr>
          <w:rStyle w:val="40"/>
          <w:rFonts w:ascii="Microsoft Sans Serif" w:hAnsi="Microsoft Sans Serif" w:cs="Microsoft Sans Serif"/>
          <w:sz w:val="20"/>
          <w:lang w:val="bs-Latn-BA"/>
        </w:rPr>
      </w:pPr>
    </w:p>
    <w:p w14:paraId="128C808E">
      <w:pPr>
        <w:jc w:val="both"/>
        <w:rPr>
          <w:rStyle w:val="40"/>
          <w:rFonts w:ascii="Microsoft Sans Serif" w:hAnsi="Microsoft Sans Serif" w:cs="Microsoft Sans Serif"/>
          <w:sz w:val="20"/>
          <w:lang w:val="bs-Latn-BA"/>
        </w:rPr>
      </w:pPr>
      <w:r>
        <w:rPr>
          <w:rStyle w:val="40"/>
          <w:rFonts w:ascii="Microsoft Sans Serif" w:hAnsi="Microsoft Sans Serif" w:cs="Microsoft Sans Serif"/>
          <w:sz w:val="20"/>
          <w:lang w:val="bs-Latn-BA"/>
        </w:rPr>
        <w:t xml:space="preserve">Poznato je da izloženost ACE-inhibitorima tokom drugog i trećeg trimestra kod ljudi uzrokuje fetotoksičnost (smanjene bubrežne funkcije, oligohidramniozu, zaostajanje osifikacije lobanji) i neonatalnu toksičnost (insuficijencija bubrega, hipotenzija, hiperkalemija) (pogledati dio 5.3). </w:t>
      </w:r>
    </w:p>
    <w:p w14:paraId="332C9151">
      <w:pPr>
        <w:jc w:val="both"/>
        <w:rPr>
          <w:rStyle w:val="40"/>
          <w:rFonts w:ascii="Microsoft Sans Serif" w:hAnsi="Microsoft Sans Serif" w:cs="Microsoft Sans Serif"/>
          <w:sz w:val="20"/>
          <w:lang w:val="bs-Latn-BA"/>
        </w:rPr>
      </w:pPr>
      <w:r>
        <w:rPr>
          <w:rStyle w:val="40"/>
          <w:rFonts w:ascii="Microsoft Sans Serif" w:hAnsi="Microsoft Sans Serif" w:cs="Microsoft Sans Serif"/>
          <w:sz w:val="20"/>
          <w:lang w:val="bs-Latn-BA"/>
        </w:rPr>
        <w:t xml:space="preserve">Ako se izloženost ACE-inhibitora dogodila u drugom tromjesečju trudnoće, preporučuje se ultrazvučni pregled funkcije bubrega i lobanje. </w:t>
      </w:r>
    </w:p>
    <w:p w14:paraId="4FCFA013">
      <w:pPr>
        <w:jc w:val="both"/>
        <w:rPr>
          <w:rStyle w:val="40"/>
          <w:rFonts w:ascii="Microsoft Sans Serif" w:hAnsi="Microsoft Sans Serif" w:cs="Microsoft Sans Serif"/>
          <w:sz w:val="20"/>
          <w:lang w:val="bs-Latn-BA"/>
        </w:rPr>
      </w:pPr>
      <w:r>
        <w:rPr>
          <w:rStyle w:val="40"/>
          <w:rFonts w:ascii="Microsoft Sans Serif" w:hAnsi="Microsoft Sans Serif" w:cs="Microsoft Sans Serif"/>
          <w:sz w:val="20"/>
          <w:lang w:val="bs-Latn-BA"/>
        </w:rPr>
        <w:t>Dojenčad čije su majke primale ACE-inhibitore treba pratiti, jer se kod njih može javiti hipotenzija (pogledati dijelove 4.3 i 4.4).</w:t>
      </w:r>
    </w:p>
    <w:p w14:paraId="6B3CD5F6">
      <w:pPr>
        <w:pStyle w:val="19"/>
        <w:tabs>
          <w:tab w:val="clear" w:pos="4320"/>
          <w:tab w:val="clear" w:pos="8640"/>
        </w:tabs>
        <w:jc w:val="both"/>
        <w:rPr>
          <w:rFonts w:ascii="Microsoft Sans Serif" w:hAnsi="Microsoft Sans Serif" w:cs="Microsoft Sans Serif"/>
          <w:bCs/>
          <w:sz w:val="20"/>
          <w:lang w:val="bs-Latn-BA"/>
        </w:rPr>
      </w:pPr>
    </w:p>
    <w:p w14:paraId="17E92F23">
      <w:pPr>
        <w:pStyle w:val="19"/>
        <w:tabs>
          <w:tab w:val="clear" w:pos="4320"/>
          <w:tab w:val="clear" w:pos="8640"/>
        </w:tabs>
        <w:jc w:val="both"/>
        <w:rPr>
          <w:rFonts w:ascii="Microsoft Sans Serif" w:hAnsi="Microsoft Sans Serif" w:cs="Microsoft Sans Serif"/>
          <w:b/>
          <w:sz w:val="20"/>
          <w:lang w:val="bs-Latn-BA"/>
        </w:rPr>
      </w:pPr>
      <w:r>
        <w:rPr>
          <w:rStyle w:val="41"/>
          <w:rFonts w:ascii="Microsoft Sans Serif" w:hAnsi="Microsoft Sans Serif" w:cs="Microsoft Sans Serif"/>
          <w:i/>
          <w:sz w:val="20"/>
          <w:lang w:val="bs-Latn-BA"/>
        </w:rPr>
        <w:t>Dojenje</w:t>
      </w:r>
      <w:r>
        <w:rPr>
          <w:rFonts w:ascii="Microsoft Sans Serif" w:hAnsi="Microsoft Sans Serif" w:cs="Microsoft Sans Serif"/>
          <w:sz w:val="20"/>
          <w:lang w:val="bs-Latn-BA"/>
        </w:rPr>
        <w:br w:type="textWrapping"/>
      </w:r>
      <w:r>
        <w:rPr>
          <w:rStyle w:val="41"/>
          <w:rFonts w:ascii="Microsoft Sans Serif" w:hAnsi="Microsoft Sans Serif" w:cs="Microsoft Sans Serif"/>
          <w:sz w:val="20"/>
          <w:lang w:val="bs-Latn-BA"/>
        </w:rPr>
        <w:t>Budući da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dostupnih</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informacija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primjeni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lizinoprila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tokom trudnoće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 preporučuje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primjena lijeka Skopryl</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preferira</w:t>
      </w:r>
      <w:r>
        <w:rPr>
          <w:rStyle w:val="40"/>
          <w:rFonts w:ascii="Microsoft Sans Serif" w:hAnsi="Microsoft Sans Serif" w:cs="Microsoft Sans Serif"/>
          <w:sz w:val="20"/>
          <w:lang w:val="bs-Latn-BA"/>
        </w:rPr>
        <w:t xml:space="preserve"> se </w:t>
      </w:r>
      <w:r>
        <w:rPr>
          <w:rStyle w:val="41"/>
          <w:rFonts w:ascii="Microsoft Sans Serif" w:hAnsi="Microsoft Sans Serif" w:cs="Microsoft Sans Serif"/>
          <w:sz w:val="20"/>
          <w:lang w:val="bs-Latn-BA"/>
        </w:rPr>
        <w:t>korištenje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druge terapije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dobro utvrđenim bezbjednosnim profilom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tokom laktacije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posebno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dojenju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novorođenčeta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nedonoščeta.</w:t>
      </w:r>
    </w:p>
    <w:p w14:paraId="67C2136D">
      <w:pPr>
        <w:pStyle w:val="19"/>
        <w:tabs>
          <w:tab w:val="clear" w:pos="4320"/>
          <w:tab w:val="clear" w:pos="8640"/>
        </w:tabs>
        <w:jc w:val="both"/>
        <w:rPr>
          <w:rFonts w:ascii="Microsoft Sans Serif" w:hAnsi="Microsoft Sans Serif" w:cs="Microsoft Sans Serif"/>
          <w:bCs/>
          <w:sz w:val="20"/>
          <w:lang w:val="hr-HR"/>
        </w:rPr>
      </w:pPr>
    </w:p>
    <w:p w14:paraId="1B7021E7">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4.7 </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Uticaj na sposobnost upravljanja vozilima i rada na mašinama </w:t>
      </w:r>
    </w:p>
    <w:p w14:paraId="37D16493">
      <w:pPr>
        <w:jc w:val="both"/>
        <w:rPr>
          <w:rFonts w:ascii="Microsoft Sans Serif" w:hAnsi="Microsoft Sans Serif" w:cs="Microsoft Sans Serif"/>
          <w:sz w:val="20"/>
          <w:lang w:val="sr-Latn-BA"/>
        </w:rPr>
      </w:pPr>
    </w:p>
    <w:p w14:paraId="770C2414">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Ponekad se pri primjeni lizinoprila mogu javiti ošamućenost ili umor, stoga pacijenti koji upravljaju vozilima ili mašinama o tome trebaju voditi računa.</w:t>
      </w:r>
    </w:p>
    <w:p w14:paraId="27D11AD0">
      <w:pPr>
        <w:jc w:val="both"/>
        <w:rPr>
          <w:rFonts w:ascii="Microsoft Sans Serif" w:hAnsi="Microsoft Sans Serif" w:cs="Microsoft Sans Serif"/>
          <w:sz w:val="20"/>
        </w:rPr>
      </w:pPr>
    </w:p>
    <w:p w14:paraId="1BFE67AB">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4.8</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Neželjena djelovanja</w:t>
      </w:r>
    </w:p>
    <w:p w14:paraId="09DBD740">
      <w:pPr>
        <w:jc w:val="both"/>
        <w:rPr>
          <w:rStyle w:val="41"/>
          <w:rFonts w:ascii="Microsoft Sans Serif" w:hAnsi="Microsoft Sans Serif" w:cs="Microsoft Sans Serif"/>
          <w:sz w:val="20"/>
          <w:lang w:val="hr-HR"/>
        </w:rPr>
      </w:pPr>
    </w:p>
    <w:p w14:paraId="51DD7AB4">
      <w:pPr>
        <w:jc w:val="both"/>
        <w:rPr>
          <w:rFonts w:ascii="Microsoft Sans Serif" w:hAnsi="Microsoft Sans Serif" w:cs="Microsoft Sans Serif"/>
          <w:sz w:val="20"/>
          <w:lang w:val="bs-Latn-BA"/>
        </w:rPr>
      </w:pPr>
      <w:r>
        <w:rPr>
          <w:rStyle w:val="41"/>
          <w:rFonts w:ascii="Microsoft Sans Serif" w:hAnsi="Microsoft Sans Serif" w:cs="Microsoft Sans Serif"/>
          <w:sz w:val="20"/>
          <w:lang w:val="bs-Latn-BA"/>
        </w:rPr>
        <w:t>Sljedeća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neželjena djelovanja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zabilježena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su tokom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lizinoprilom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drugim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ACE-inhibitorima</w:t>
      </w:r>
      <w:r>
        <w:rPr>
          <w:rStyle w:val="40"/>
          <w:rFonts w:ascii="Microsoft Sans Serif" w:hAnsi="Microsoft Sans Serif" w:cs="Microsoft Sans Serif"/>
          <w:sz w:val="20"/>
          <w:lang w:val="bs-Latn-BA"/>
        </w:rPr>
        <w:t xml:space="preserve">. </w:t>
      </w:r>
      <w:r>
        <w:rPr>
          <w:rFonts w:ascii="Microsoft Sans Serif" w:hAnsi="Microsoft Sans Serif" w:cs="Microsoft Sans Serif"/>
          <w:sz w:val="20"/>
          <w:lang w:val="bs-Latn-BA"/>
        </w:rPr>
        <w:t xml:space="preserve">Učestalost </w:t>
      </w:r>
      <w:r>
        <w:rPr>
          <w:rStyle w:val="41"/>
          <w:rFonts w:ascii="Microsoft Sans Serif" w:hAnsi="Microsoft Sans Serif" w:cs="Microsoft Sans Serif"/>
          <w:sz w:val="20"/>
          <w:lang w:val="bs-Latn-BA"/>
        </w:rPr>
        <w:t>neželjenih dejstava</w:t>
      </w:r>
      <w:r>
        <w:rPr>
          <w:rStyle w:val="40"/>
          <w:rFonts w:ascii="Microsoft Sans Serif" w:hAnsi="Microsoft Sans Serif" w:cs="Microsoft Sans Serif"/>
          <w:sz w:val="20"/>
          <w:lang w:val="bs-Latn-BA"/>
        </w:rPr>
        <w:t xml:space="preserve"> </w:t>
      </w:r>
      <w:r>
        <w:rPr>
          <w:rFonts w:ascii="Microsoft Sans Serif" w:hAnsi="Microsoft Sans Serif" w:cs="Microsoft Sans Serif"/>
          <w:sz w:val="20"/>
          <w:lang w:val="bs-Latn-BA"/>
        </w:rPr>
        <w:t>je definisana kao: vrlo često (≥10), često (≥ 1/100 i &lt; 1/10), povremeno (≥ 1/1.000 i &lt; 1/100), rijetko (≥ 1/10.000 i &lt;1/1.000), vrlo rijetko (&gt; 1/10.000), nepoznato (ne može se procijeniti na osnovu dostupnih podataka).</w:t>
      </w:r>
    </w:p>
    <w:p w14:paraId="38B93E08">
      <w:pPr>
        <w:jc w:val="both"/>
        <w:rPr>
          <w:rFonts w:ascii="Microsoft Sans Serif" w:hAnsi="Microsoft Sans Serif" w:cs="Microsoft Sans Serif"/>
          <w:b/>
          <w:sz w:val="20"/>
          <w:lang w:val="bs-Latn-BA"/>
        </w:rPr>
      </w:pPr>
    </w:p>
    <w:p w14:paraId="358D8F4D">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Poremećaji krvi i limfnog sistema</w:t>
      </w:r>
    </w:p>
    <w:p w14:paraId="12BF4103">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smanjenje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vrijednosti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hemoglobina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hematokrita</w:t>
      </w:r>
      <w:r>
        <w:rPr>
          <w:rStyle w:val="40"/>
          <w:rFonts w:ascii="Microsoft Sans Serif" w:hAnsi="Microsoft Sans Serif" w:cs="Microsoft Sans Serif"/>
          <w:sz w:val="20"/>
          <w:lang w:val="bs-Latn-BA"/>
        </w:rPr>
        <w:t>.</w:t>
      </w:r>
    </w:p>
    <w:p w14:paraId="4E2DC0DE">
      <w:pPr>
        <w:jc w:val="both"/>
        <w:rPr>
          <w:rFonts w:ascii="Microsoft Sans Serif" w:hAnsi="Microsoft Sans Serif" w:cs="Microsoft Sans Serif"/>
          <w:sz w:val="20"/>
          <w:lang w:val="bs-Latn-BA"/>
        </w:rPr>
      </w:pPr>
      <w:r>
        <w:rPr>
          <w:rStyle w:val="41"/>
          <w:rFonts w:ascii="Microsoft Sans Serif" w:hAnsi="Microsoft Sans Serif" w:cs="Microsoft Sans Serif"/>
          <w:sz w:val="20"/>
          <w:lang w:val="bs-Latn-BA"/>
        </w:rPr>
        <w:t>Vrlo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depresija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koštane srži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anemija</w:t>
      </w:r>
      <w:r>
        <w:rPr>
          <w:rStyle w:val="40"/>
          <w:rFonts w:ascii="Microsoft Sans Serif" w:hAnsi="Microsoft Sans Serif" w:cs="Microsoft Sans Serif"/>
          <w:sz w:val="20"/>
          <w:lang w:val="bs-Latn-BA"/>
        </w:rPr>
        <w:t xml:space="preserve">, trombocitopenija, </w:t>
      </w:r>
      <w:r>
        <w:rPr>
          <w:rStyle w:val="41"/>
          <w:rFonts w:ascii="Microsoft Sans Serif" w:hAnsi="Microsoft Sans Serif" w:cs="Microsoft Sans Serif"/>
          <w:sz w:val="20"/>
          <w:lang w:val="bs-Latn-BA"/>
        </w:rPr>
        <w:t>leukopenija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neutropenija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agranulocitoza</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pogledati dio </w:t>
      </w:r>
      <w:r>
        <w:rPr>
          <w:rStyle w:val="41"/>
          <w:rFonts w:ascii="Microsoft Sans Serif" w:hAnsi="Microsoft Sans Serif" w:cs="Microsoft Sans Serif"/>
          <w:sz w:val="20"/>
          <w:lang w:val="bs-Latn-BA"/>
        </w:rPr>
        <w:t>4.4)</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hemolitička anemija,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limfadenopatija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autoimuna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bolest</w:t>
      </w:r>
      <w:r>
        <w:rPr>
          <w:rStyle w:val="40"/>
          <w:rFonts w:ascii="Microsoft Sans Serif" w:hAnsi="Microsoft Sans Serif" w:cs="Microsoft Sans Serif"/>
          <w:sz w:val="20"/>
          <w:lang w:val="bs-Latn-BA"/>
        </w:rPr>
        <w:t>.</w:t>
      </w:r>
    </w:p>
    <w:p w14:paraId="4C4CE801">
      <w:pPr>
        <w:jc w:val="both"/>
        <w:rPr>
          <w:rFonts w:ascii="Microsoft Sans Serif" w:hAnsi="Microsoft Sans Serif" w:cs="Microsoft Sans Serif"/>
          <w:sz w:val="20"/>
          <w:u w:val="single"/>
          <w:lang w:val="hr-HR"/>
        </w:rPr>
      </w:pPr>
    </w:p>
    <w:p w14:paraId="753347E7">
      <w:pPr>
        <w:rPr>
          <w:rFonts w:ascii="Microsoft Sans Serif" w:hAnsi="Microsoft Sans Serif" w:cs="Microsoft Sans Serif"/>
          <w:color w:val="000000"/>
          <w:sz w:val="20"/>
          <w:u w:val="single"/>
          <w:lang w:val="en-US" w:eastAsia="en-US"/>
        </w:rPr>
      </w:pPr>
      <w:r>
        <w:rPr>
          <w:rFonts w:ascii="Microsoft Sans Serif" w:hAnsi="Microsoft Sans Serif" w:cs="Microsoft Sans Serif"/>
          <w:bCs/>
          <w:color w:val="000000"/>
          <w:sz w:val="20"/>
          <w:u w:val="single"/>
          <w:lang w:val="en-US" w:eastAsia="en-US"/>
        </w:rPr>
        <w:t>Poremećaj imunog sistema</w:t>
      </w:r>
    </w:p>
    <w:p w14:paraId="63AB3C99">
      <w:pPr>
        <w:rPr>
          <w:rFonts w:ascii="Microsoft Sans Serif" w:hAnsi="Microsoft Sans Serif" w:cs="Microsoft Sans Serif"/>
          <w:color w:val="000000"/>
          <w:sz w:val="20"/>
          <w:lang w:val="en-US" w:eastAsia="en-US"/>
        </w:rPr>
      </w:pPr>
      <w:r>
        <w:rPr>
          <w:rFonts w:ascii="Microsoft Sans Serif" w:hAnsi="Microsoft Sans Serif" w:cs="Microsoft Sans Serif"/>
          <w:color w:val="000000"/>
          <w:sz w:val="20"/>
          <w:lang w:val="en-US" w:eastAsia="en-US"/>
        </w:rPr>
        <w:t>Nepoznat: anafilaktična/anafilaktoidna reakcija</w:t>
      </w:r>
    </w:p>
    <w:p w14:paraId="5656A611">
      <w:pPr>
        <w:pStyle w:val="26"/>
        <w:jc w:val="both"/>
        <w:rPr>
          <w:rFonts w:ascii="Microsoft Sans Serif" w:hAnsi="Microsoft Sans Serif" w:cs="Microsoft Sans Serif"/>
          <w:b w:val="0"/>
          <w:sz w:val="20"/>
          <w:szCs w:val="20"/>
          <w:u w:val="single"/>
          <w:lang w:val="bs-Latn-BA"/>
        </w:rPr>
      </w:pPr>
    </w:p>
    <w:p w14:paraId="552DC9E5">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Poremećaji metabolizma i prehrane</w:t>
      </w:r>
    </w:p>
    <w:p w14:paraId="58A7295C">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Vrlo</w:t>
      </w:r>
      <w:r>
        <w:rPr>
          <w:rStyle w:val="45"/>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rijetko</w:t>
      </w:r>
      <w:r>
        <w:rPr>
          <w:rStyle w:val="45"/>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hipoglikemija.</w:t>
      </w:r>
    </w:p>
    <w:p w14:paraId="1FEAA017">
      <w:pPr>
        <w:jc w:val="both"/>
        <w:rPr>
          <w:rFonts w:ascii="Microsoft Sans Serif" w:hAnsi="Microsoft Sans Serif" w:cs="Microsoft Sans Serif"/>
          <w:sz w:val="20"/>
          <w:lang w:val="bs-Latn-BA"/>
        </w:rPr>
      </w:pPr>
    </w:p>
    <w:p w14:paraId="070C5AE4">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Poremećaji nervnog sistema i psihijatrijski poremećaji</w:t>
      </w:r>
    </w:p>
    <w:p w14:paraId="000789B7">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Često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ošamućenost, glavobolja.</w:t>
      </w:r>
    </w:p>
    <w:p w14:paraId="3C3ADD64">
      <w:pPr>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Povremeno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poremećaj raspoloženja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parestezija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vrtoglavica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poremećaji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okusa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poremećaji spavanja, halucinacije.</w:t>
      </w:r>
      <w:r>
        <w:rPr>
          <w:rFonts w:ascii="Microsoft Sans Serif" w:hAnsi="Microsoft Sans Serif" w:cs="Microsoft Sans Serif"/>
          <w:sz w:val="20"/>
          <w:lang w:val="bs-Latn-BA"/>
        </w:rPr>
        <w:br w:type="textWrapping"/>
      </w: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mentalna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konfuzija, olfaktorni poremećaj</w:t>
      </w:r>
      <w:r>
        <w:rPr>
          <w:rStyle w:val="40"/>
          <w:rFonts w:ascii="Microsoft Sans Serif" w:hAnsi="Microsoft Sans Serif" w:cs="Microsoft Sans Serif"/>
          <w:sz w:val="20"/>
          <w:lang w:val="bs-Latn-BA"/>
        </w:rPr>
        <w:t>.</w:t>
      </w:r>
    </w:p>
    <w:p w14:paraId="394C09BD">
      <w:pPr>
        <w:jc w:val="both"/>
        <w:rPr>
          <w:rFonts w:ascii="Microsoft Sans Serif" w:hAnsi="Microsoft Sans Serif" w:cs="Microsoft Sans Serif"/>
          <w:sz w:val="20"/>
        </w:rPr>
      </w:pPr>
      <w:r>
        <w:rPr>
          <w:rFonts w:ascii="Microsoft Sans Serif" w:hAnsi="Microsoft Sans Serif" w:cs="Microsoft Sans Serif"/>
          <w:color w:val="000000"/>
          <w:sz w:val="20"/>
          <w:lang w:val="hr-HR"/>
        </w:rPr>
        <w:t>Nepoznata učestalost: simptomi depresije, sinkopa.</w:t>
      </w:r>
    </w:p>
    <w:p w14:paraId="351E78EB">
      <w:pPr>
        <w:pStyle w:val="26"/>
        <w:jc w:val="both"/>
        <w:rPr>
          <w:rFonts w:ascii="Microsoft Sans Serif" w:hAnsi="Microsoft Sans Serif" w:cs="Microsoft Sans Serif"/>
          <w:b w:val="0"/>
          <w:sz w:val="20"/>
          <w:szCs w:val="20"/>
          <w:u w:val="single"/>
          <w:lang w:val="bs-Latn-BA"/>
        </w:rPr>
      </w:pPr>
    </w:p>
    <w:p w14:paraId="6D11A05E">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Srčani poremećaji i vaskularni poremećaji</w:t>
      </w:r>
    </w:p>
    <w:p w14:paraId="58421D8C">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Često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ortostatski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efekti</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uključujući </w:t>
      </w:r>
      <w:r>
        <w:rPr>
          <w:rStyle w:val="41"/>
          <w:rFonts w:ascii="Microsoft Sans Serif" w:hAnsi="Microsoft Sans Serif" w:cs="Microsoft Sans Serif"/>
          <w:sz w:val="20"/>
          <w:lang w:val="bs-Latn-BA"/>
        </w:rPr>
        <w:t>hipotenziju</w:t>
      </w:r>
      <w:r>
        <w:rPr>
          <w:rStyle w:val="40"/>
          <w:rFonts w:ascii="Microsoft Sans Serif" w:hAnsi="Microsoft Sans Serif" w:cs="Microsoft Sans Serif"/>
          <w:sz w:val="20"/>
          <w:lang w:val="bs-Latn-BA"/>
        </w:rPr>
        <w:t>).</w:t>
      </w:r>
    </w:p>
    <w:p w14:paraId="7B74772C">
      <w:pPr>
        <w:jc w:val="both"/>
        <w:rPr>
          <w:rStyle w:val="42"/>
          <w:rFonts w:ascii="Microsoft Sans Serif" w:hAnsi="Microsoft Sans Serif" w:cs="Microsoft Sans Serif"/>
          <w:sz w:val="20"/>
          <w:lang w:val="bs-Latn-BA"/>
        </w:rPr>
      </w:pPr>
      <w:r>
        <w:rPr>
          <w:rStyle w:val="41"/>
          <w:rFonts w:ascii="Microsoft Sans Serif" w:hAnsi="Microsoft Sans Serif" w:cs="Microsoft Sans Serif"/>
          <w:sz w:val="20"/>
          <w:lang w:val="bs-Latn-BA"/>
        </w:rPr>
        <w:t>Povremeno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infarkt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miokarda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cerebrovaskularni inzult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vjerovatno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zbog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prekomjerne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hipotenzije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 sa visokim rizikom</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pogledati dio </w:t>
      </w:r>
      <w:r>
        <w:rPr>
          <w:rStyle w:val="41"/>
          <w:rFonts w:ascii="Microsoft Sans Serif" w:hAnsi="Microsoft Sans Serif" w:cs="Microsoft Sans Serif"/>
          <w:sz w:val="20"/>
          <w:lang w:val="bs-Latn-BA"/>
        </w:rPr>
        <w:t>4.4)</w:t>
      </w:r>
      <w:r>
        <w:rPr>
          <w:rStyle w:val="40"/>
          <w:rFonts w:ascii="Microsoft Sans Serif" w:hAnsi="Microsoft Sans Serif" w:cs="Microsoft Sans Serif"/>
          <w:sz w:val="20"/>
          <w:lang w:val="bs-Latn-BA"/>
        </w:rPr>
        <w:t xml:space="preserve">, palpitacije, </w:t>
      </w:r>
      <w:r>
        <w:rPr>
          <w:rStyle w:val="41"/>
          <w:rFonts w:ascii="Microsoft Sans Serif" w:hAnsi="Microsoft Sans Serif" w:cs="Microsoft Sans Serif"/>
          <w:sz w:val="20"/>
          <w:lang w:val="bs-Latn-BA"/>
        </w:rPr>
        <w:t>tahikardija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Rejnaud</w:t>
      </w:r>
      <w:r>
        <w:rPr>
          <w:rStyle w:val="40"/>
          <w:rFonts w:ascii="Microsoft Sans Serif" w:hAnsi="Microsoft Sans Serif" w:cs="Microsoft Sans Serif"/>
          <w:sz w:val="20"/>
          <w:lang w:val="bs-Latn-BA"/>
        </w:rPr>
        <w:t xml:space="preserve">ov </w:t>
      </w:r>
      <w:r>
        <w:rPr>
          <w:rStyle w:val="41"/>
          <w:rFonts w:ascii="Microsoft Sans Serif" w:hAnsi="Microsoft Sans Serif" w:cs="Microsoft Sans Serif"/>
          <w:sz w:val="20"/>
          <w:lang w:val="bs-Latn-BA"/>
        </w:rPr>
        <w:t>fenomen</w:t>
      </w:r>
      <w:r>
        <w:rPr>
          <w:rStyle w:val="42"/>
          <w:rFonts w:ascii="Microsoft Sans Serif" w:hAnsi="Microsoft Sans Serif" w:cs="Microsoft Sans Serif"/>
          <w:sz w:val="20"/>
          <w:lang w:val="bs-Latn-BA"/>
        </w:rPr>
        <w:t>.</w:t>
      </w:r>
    </w:p>
    <w:p w14:paraId="3E0CC1BB">
      <w:pPr>
        <w:pStyle w:val="26"/>
        <w:jc w:val="both"/>
        <w:rPr>
          <w:rFonts w:ascii="Microsoft Sans Serif" w:hAnsi="Microsoft Sans Serif" w:cs="Microsoft Sans Serif"/>
          <w:b w:val="0"/>
          <w:sz w:val="20"/>
          <w:szCs w:val="20"/>
          <w:lang w:val="bs-Latn-BA"/>
        </w:rPr>
      </w:pPr>
    </w:p>
    <w:p w14:paraId="0A70E865">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 xml:space="preserve">Respiratorni, torakalni i medijastinalni poremećaji </w:t>
      </w:r>
    </w:p>
    <w:p w14:paraId="1D2181FB">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Često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kašalj.</w:t>
      </w:r>
    </w:p>
    <w:p w14:paraId="298449D6">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Povremeno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rinitis.</w:t>
      </w:r>
    </w:p>
    <w:p w14:paraId="53114D70">
      <w:pPr>
        <w:jc w:val="both"/>
        <w:rPr>
          <w:rFonts w:ascii="Microsoft Sans Serif" w:hAnsi="Microsoft Sans Serif" w:cs="Microsoft Sans Serif"/>
          <w:sz w:val="20"/>
          <w:lang w:val="bs-Latn-BA"/>
        </w:rPr>
      </w:pPr>
      <w:r>
        <w:rPr>
          <w:rStyle w:val="41"/>
          <w:rFonts w:ascii="Microsoft Sans Serif" w:hAnsi="Microsoft Sans Serif" w:cs="Microsoft Sans Serif"/>
          <w:sz w:val="20"/>
          <w:lang w:val="bs-Latn-BA"/>
        </w:rPr>
        <w:t>Vrlo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bronhospazam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sinusitis</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alergijski alveolitis/eozinofilna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pneumonija.</w:t>
      </w:r>
    </w:p>
    <w:p w14:paraId="59D4B274">
      <w:pPr>
        <w:jc w:val="both"/>
        <w:rPr>
          <w:rFonts w:ascii="Microsoft Sans Serif" w:hAnsi="Microsoft Sans Serif" w:cs="Microsoft Sans Serif"/>
          <w:sz w:val="20"/>
          <w:lang w:eastAsia="en-GB"/>
        </w:rPr>
      </w:pPr>
    </w:p>
    <w:p w14:paraId="4FCEF424">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Gastrointestinalni poremećaji</w:t>
      </w:r>
    </w:p>
    <w:p w14:paraId="5178E769">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Često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proliv</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povraćanje.</w:t>
      </w:r>
    </w:p>
    <w:p w14:paraId="26529B49">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Povremeno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mučnina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bolovi u stomaku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poremećaj</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probave</w:t>
      </w:r>
      <w:r>
        <w:rPr>
          <w:rStyle w:val="40"/>
          <w:rFonts w:ascii="Microsoft Sans Serif" w:hAnsi="Microsoft Sans Serif" w:cs="Microsoft Sans Serif"/>
          <w:sz w:val="20"/>
          <w:lang w:val="bs-Latn-BA"/>
        </w:rPr>
        <w:t>.</w:t>
      </w:r>
    </w:p>
    <w:p w14:paraId="4A1C07D3">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suva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usta</w:t>
      </w:r>
      <w:r>
        <w:rPr>
          <w:rStyle w:val="40"/>
          <w:rFonts w:ascii="Microsoft Sans Serif" w:hAnsi="Microsoft Sans Serif" w:cs="Microsoft Sans Serif"/>
          <w:sz w:val="20"/>
          <w:lang w:val="bs-Latn-BA"/>
        </w:rPr>
        <w:t>.</w:t>
      </w:r>
    </w:p>
    <w:p w14:paraId="30650E5B">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Vrlo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pankreatitis</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crijevni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angioedem</w:t>
      </w:r>
      <w:r>
        <w:rPr>
          <w:rStyle w:val="40"/>
          <w:rFonts w:ascii="Microsoft Sans Serif" w:hAnsi="Microsoft Sans Serif" w:cs="Microsoft Sans Serif"/>
          <w:sz w:val="20"/>
          <w:lang w:val="bs-Latn-BA"/>
        </w:rPr>
        <w:t xml:space="preserve">, hepatitis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hepatocelularni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holestatski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žutica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insuficijencija jetre (pogledati dio 4.4)</w:t>
      </w:r>
      <w:r>
        <w:rPr>
          <w:rStyle w:val="40"/>
          <w:rFonts w:ascii="Microsoft Sans Serif" w:hAnsi="Microsoft Sans Serif" w:cs="Microsoft Sans Serif"/>
          <w:sz w:val="20"/>
          <w:lang w:val="bs-Latn-BA"/>
        </w:rPr>
        <w:t>.</w:t>
      </w:r>
    </w:p>
    <w:p w14:paraId="2FE497B2">
      <w:pPr>
        <w:jc w:val="both"/>
        <w:rPr>
          <w:rFonts w:ascii="Microsoft Sans Serif" w:hAnsi="Microsoft Sans Serif" w:cs="Microsoft Sans Serif"/>
          <w:sz w:val="20"/>
          <w:lang w:val="bs-Latn-BA" w:eastAsia="en-GB"/>
        </w:rPr>
      </w:pPr>
    </w:p>
    <w:p w14:paraId="6F9C4AF2">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Poremećaji kože i potkožnog tkiva</w:t>
      </w:r>
    </w:p>
    <w:p w14:paraId="59F42A76">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Povremeno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kožni osip</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pruritus</w:t>
      </w:r>
      <w:r>
        <w:rPr>
          <w:rStyle w:val="40"/>
          <w:rFonts w:ascii="Microsoft Sans Serif" w:hAnsi="Microsoft Sans Serif" w:cs="Microsoft Sans Serif"/>
          <w:sz w:val="20"/>
          <w:lang w:val="bs-Latn-BA"/>
        </w:rPr>
        <w:t>.</w:t>
      </w:r>
    </w:p>
    <w:p w14:paraId="070DD726">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urtikarija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alopecija,</w:t>
      </w:r>
      <w:r>
        <w:rPr>
          <w:rStyle w:val="40"/>
          <w:rFonts w:ascii="Microsoft Sans Serif" w:hAnsi="Microsoft Sans Serif" w:cs="Microsoft Sans Serif"/>
          <w:sz w:val="20"/>
          <w:lang w:val="bs-Latn-BA"/>
        </w:rPr>
        <w:t xml:space="preserve"> psorijatične </w:t>
      </w:r>
      <w:r>
        <w:rPr>
          <w:rStyle w:val="41"/>
          <w:rFonts w:ascii="Microsoft Sans Serif" w:hAnsi="Microsoft Sans Serif" w:cs="Microsoft Sans Serif"/>
          <w:sz w:val="20"/>
          <w:lang w:val="bs-Latn-BA"/>
        </w:rPr>
        <w:t>promjene na koži, preosjetljivost/angioneurotski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edem: angioneurotski edem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licu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udovima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usnama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jeziku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glotisu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grkljanu</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pogledati dio </w:t>
      </w:r>
      <w:r>
        <w:rPr>
          <w:rStyle w:val="41"/>
          <w:rFonts w:ascii="Microsoft Sans Serif" w:hAnsi="Microsoft Sans Serif" w:cs="Microsoft Sans Serif"/>
          <w:sz w:val="20"/>
          <w:lang w:val="bs-Latn-BA"/>
        </w:rPr>
        <w:t>4.4)</w:t>
      </w:r>
      <w:r>
        <w:rPr>
          <w:rStyle w:val="40"/>
          <w:rFonts w:ascii="Microsoft Sans Serif" w:hAnsi="Microsoft Sans Serif" w:cs="Microsoft Sans Serif"/>
          <w:sz w:val="20"/>
          <w:lang w:val="bs-Latn-BA"/>
        </w:rPr>
        <w:t>.</w:t>
      </w:r>
    </w:p>
    <w:p w14:paraId="39037DF5">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Vrlo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znojenje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pemfigus</w:t>
      </w:r>
      <w:r>
        <w:rPr>
          <w:rStyle w:val="40"/>
          <w:rFonts w:ascii="Microsoft Sans Serif" w:hAnsi="Microsoft Sans Serif" w:cs="Microsoft Sans Serif"/>
          <w:sz w:val="20"/>
          <w:lang w:val="bs-Latn-BA"/>
        </w:rPr>
        <w:t xml:space="preserve">, toksična epidermalna nekroliza, </w:t>
      </w:r>
      <w:r>
        <w:rPr>
          <w:rStyle w:val="41"/>
          <w:rFonts w:ascii="Microsoft Sans Serif" w:hAnsi="Microsoft Sans Serif" w:cs="Microsoft Sans Serif"/>
          <w:sz w:val="20"/>
          <w:lang w:val="bs-Latn-BA"/>
        </w:rPr>
        <w:t>Stivens</w:t>
      </w:r>
      <w:r>
        <w:rPr>
          <w:rStyle w:val="40"/>
          <w:rFonts w:ascii="Microsoft Sans Serif" w:hAnsi="Microsoft Sans Serif" w:cs="Microsoft Sans Serif"/>
          <w:sz w:val="20"/>
          <w:lang w:val="bs-Latn-BA"/>
        </w:rPr>
        <w:t xml:space="preserve">-Džonsonov </w:t>
      </w:r>
      <w:r>
        <w:rPr>
          <w:rStyle w:val="41"/>
          <w:rFonts w:ascii="Microsoft Sans Serif" w:hAnsi="Microsoft Sans Serif" w:cs="Microsoft Sans Serif"/>
          <w:sz w:val="20"/>
          <w:lang w:val="bs-Latn-BA"/>
        </w:rPr>
        <w:t>sindrom, eritema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multiforme</w:t>
      </w:r>
      <w:r>
        <w:rPr>
          <w:rStyle w:val="40"/>
          <w:rFonts w:ascii="Microsoft Sans Serif" w:hAnsi="Microsoft Sans Serif" w:cs="Microsoft Sans Serif"/>
          <w:sz w:val="20"/>
          <w:lang w:val="bs-Latn-BA"/>
        </w:rPr>
        <w:t>, kutan pseudolimfom</w:t>
      </w:r>
      <w:r>
        <w:rPr>
          <w:rStyle w:val="41"/>
          <w:rFonts w:ascii="Microsoft Sans Serif" w:hAnsi="Microsoft Sans Serif" w:cs="Microsoft Sans Serif"/>
          <w:sz w:val="20"/>
          <w:lang w:val="bs-Latn-BA"/>
        </w:rPr>
        <w:t>.</w:t>
      </w:r>
    </w:p>
    <w:p w14:paraId="31E6CD8E">
      <w:pPr>
        <w:jc w:val="both"/>
        <w:rPr>
          <w:rStyle w:val="41"/>
          <w:rFonts w:ascii="Microsoft Sans Serif" w:hAnsi="Microsoft Sans Serif" w:cs="Microsoft Sans Serif"/>
          <w:sz w:val="20"/>
          <w:lang w:val="bs-Latn-BA"/>
        </w:rPr>
      </w:pPr>
    </w:p>
    <w:p w14:paraId="5603FFD6">
      <w:pPr>
        <w:jc w:val="both"/>
        <w:rPr>
          <w:rStyle w:val="40"/>
          <w:rFonts w:ascii="Microsoft Sans Serif" w:hAnsi="Microsoft Sans Serif" w:cs="Microsoft Sans Serif"/>
          <w:sz w:val="20"/>
          <w:lang w:eastAsia="en-GB"/>
        </w:rPr>
      </w:pPr>
      <w:r>
        <w:rPr>
          <w:rStyle w:val="41"/>
          <w:rFonts w:ascii="Microsoft Sans Serif" w:hAnsi="Microsoft Sans Serif" w:cs="Microsoft Sans Serif"/>
          <w:sz w:val="20"/>
          <w:lang w:val="bs-Latn-BA"/>
        </w:rPr>
        <w:t>Prijavljeni su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slučajevi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pojave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složenih</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simptoma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manifestovanjem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jednog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više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sljedećih simptoma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groznica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vaskulitis</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mijalgija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artralgija/artritis</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pozitivan</w:t>
      </w:r>
      <w:r>
        <w:rPr>
          <w:rStyle w:val="40"/>
          <w:rFonts w:ascii="Microsoft Sans Serif" w:hAnsi="Microsoft Sans Serif" w:cs="Microsoft Sans Serif"/>
          <w:sz w:val="20"/>
          <w:lang w:val="bs-Latn-BA"/>
        </w:rPr>
        <w:t xml:space="preserve"> titar </w:t>
      </w:r>
      <w:r>
        <w:rPr>
          <w:rStyle w:val="41"/>
          <w:rFonts w:ascii="Microsoft Sans Serif" w:hAnsi="Microsoft Sans Serif" w:cs="Microsoft Sans Serif"/>
          <w:sz w:val="20"/>
          <w:lang w:val="bs-Latn-BA"/>
        </w:rPr>
        <w:t>antinuklearnih</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antitijela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povećana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sedimentacija crvene krvne ćelije (ESR)</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eozinofilija i leukocitoza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kožni osip</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fotosenzitivnost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druge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kožne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manifestacije</w:t>
      </w:r>
      <w:r>
        <w:rPr>
          <w:rStyle w:val="40"/>
          <w:rFonts w:ascii="Microsoft Sans Serif" w:hAnsi="Microsoft Sans Serif" w:cs="Microsoft Sans Serif"/>
          <w:sz w:val="20"/>
          <w:lang w:val="bs-Latn-BA"/>
        </w:rPr>
        <w:t>.</w:t>
      </w:r>
    </w:p>
    <w:p w14:paraId="649146B8">
      <w:pPr>
        <w:jc w:val="both"/>
        <w:rPr>
          <w:rFonts w:ascii="Microsoft Sans Serif" w:hAnsi="Microsoft Sans Serif" w:cs="Microsoft Sans Serif"/>
          <w:sz w:val="20"/>
          <w:lang w:val="bs-Latn-BA"/>
        </w:rPr>
      </w:pPr>
    </w:p>
    <w:p w14:paraId="3452ED1E">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Poremećaji bubrega i urinarnog sistema</w:t>
      </w:r>
    </w:p>
    <w:p w14:paraId="6C5F5D6E">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Često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bubrežna disfunkcija.</w:t>
      </w:r>
    </w:p>
    <w:p w14:paraId="21903462">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uremija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akutna insuficijencija bubrega.</w:t>
      </w:r>
    </w:p>
    <w:p w14:paraId="34364AFA">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Vrlo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oligurija/anurija.</w:t>
      </w:r>
    </w:p>
    <w:p w14:paraId="21E71537">
      <w:pPr>
        <w:jc w:val="both"/>
        <w:rPr>
          <w:rFonts w:ascii="Microsoft Sans Serif" w:hAnsi="Microsoft Sans Serif" w:cs="Microsoft Sans Serif"/>
          <w:sz w:val="20"/>
          <w:lang w:val="hr-HR"/>
        </w:rPr>
      </w:pPr>
    </w:p>
    <w:p w14:paraId="3925A1E4">
      <w:pPr>
        <w:shd w:val="clear" w:color="auto" w:fill="FFFFFF"/>
        <w:jc w:val="both"/>
        <w:rPr>
          <w:rFonts w:ascii="Microsoft Sans Serif" w:hAnsi="Microsoft Sans Serif" w:cs="Microsoft Sans Serif"/>
          <w:sz w:val="20"/>
          <w:u w:val="single"/>
        </w:rPr>
      </w:pPr>
      <w:r>
        <w:rPr>
          <w:rFonts w:ascii="Microsoft Sans Serif" w:hAnsi="Microsoft Sans Serif" w:cs="Microsoft Sans Serif"/>
          <w:sz w:val="20"/>
          <w:u w:val="single"/>
        </w:rPr>
        <w:t>Endokrini poremećaji</w:t>
      </w:r>
    </w:p>
    <w:p w14:paraId="73C08988">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 xml:space="preserve">Rijetko: poremećaj u izlučivanju antidiuretskog hormona (SIADH). </w:t>
      </w:r>
    </w:p>
    <w:p w14:paraId="3C692137">
      <w:pPr>
        <w:jc w:val="both"/>
        <w:rPr>
          <w:rFonts w:ascii="Microsoft Sans Serif" w:hAnsi="Microsoft Sans Serif" w:cs="Microsoft Sans Serif"/>
          <w:sz w:val="20"/>
          <w:lang w:val="hr-HR"/>
        </w:rPr>
      </w:pPr>
    </w:p>
    <w:p w14:paraId="282C09BB">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Poremećaji reproduktivnog sistema i dojki</w:t>
      </w:r>
    </w:p>
    <w:p w14:paraId="3C7E211A">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Povremeno</w:t>
      </w:r>
      <w:r>
        <w:rPr>
          <w:rStyle w:val="45"/>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impotencija.</w:t>
      </w:r>
    </w:p>
    <w:p w14:paraId="4DC8B7F0">
      <w:pPr>
        <w:jc w:val="both"/>
        <w:rPr>
          <w:rStyle w:val="41"/>
          <w:rFonts w:ascii="Microsoft Sans Serif" w:hAnsi="Microsoft Sans Serif" w:cs="Microsoft Sans Serif"/>
          <w:sz w:val="20"/>
          <w:lang w:val="bs-Latn-BA"/>
        </w:rPr>
      </w:pPr>
      <w:r>
        <w:rPr>
          <w:rStyle w:val="41"/>
          <w:rFonts w:ascii="Microsoft Sans Serif" w:hAnsi="Microsoft Sans Serif" w:cs="Microsoft Sans Serif"/>
          <w:sz w:val="20"/>
          <w:lang w:val="bs-Latn-BA"/>
        </w:rPr>
        <w:t>Rijetko</w:t>
      </w:r>
      <w:r>
        <w:rPr>
          <w:rStyle w:val="45"/>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ginekomastija.</w:t>
      </w:r>
    </w:p>
    <w:p w14:paraId="284555B2">
      <w:pPr>
        <w:jc w:val="both"/>
        <w:rPr>
          <w:rFonts w:ascii="Microsoft Sans Serif" w:hAnsi="Microsoft Sans Serif" w:cs="Microsoft Sans Serif"/>
          <w:sz w:val="20"/>
          <w:lang w:val="bs-Latn-BA"/>
        </w:rPr>
      </w:pPr>
    </w:p>
    <w:p w14:paraId="06F54989">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 xml:space="preserve">Opšti poremećaji i reakcije na mjestu primjene  </w:t>
      </w:r>
    </w:p>
    <w:p w14:paraId="0B12C545">
      <w:pPr>
        <w:jc w:val="both"/>
        <w:rPr>
          <w:rFonts w:ascii="Microsoft Sans Serif" w:hAnsi="Microsoft Sans Serif" w:cs="Microsoft Sans Serif"/>
          <w:sz w:val="20"/>
          <w:lang w:val="bs-Latn-BA"/>
        </w:rPr>
      </w:pPr>
      <w:r>
        <w:rPr>
          <w:rStyle w:val="41"/>
          <w:rFonts w:ascii="Microsoft Sans Serif" w:hAnsi="Microsoft Sans Serif" w:cs="Microsoft Sans Serif"/>
          <w:sz w:val="20"/>
          <w:lang w:val="bs-Latn-BA"/>
        </w:rPr>
        <w:t>Povremeno</w:t>
      </w:r>
      <w:r>
        <w:rPr>
          <w:rStyle w:val="45"/>
          <w:rFonts w:ascii="Microsoft Sans Serif" w:hAnsi="Microsoft Sans Serif" w:cs="Microsoft Sans Serif"/>
          <w:sz w:val="20"/>
          <w:lang w:val="bs-Latn-BA"/>
        </w:rPr>
        <w:t xml:space="preserve">: </w:t>
      </w:r>
      <w:r>
        <w:rPr>
          <w:rFonts w:ascii="Microsoft Sans Serif" w:hAnsi="Microsoft Sans Serif" w:cs="Microsoft Sans Serif"/>
          <w:sz w:val="20"/>
          <w:lang w:val="bs-Latn-BA"/>
        </w:rPr>
        <w:t>zamor, astenija.</w:t>
      </w:r>
    </w:p>
    <w:p w14:paraId="6A2699E4">
      <w:pPr>
        <w:jc w:val="both"/>
        <w:rPr>
          <w:rFonts w:ascii="Microsoft Sans Serif" w:hAnsi="Microsoft Sans Serif" w:cs="Microsoft Sans Serif"/>
          <w:b/>
          <w:sz w:val="20"/>
          <w:lang w:val="bs-Latn-BA"/>
        </w:rPr>
      </w:pPr>
    </w:p>
    <w:p w14:paraId="65EAB803">
      <w:pPr>
        <w:pStyle w:val="26"/>
        <w:jc w:val="both"/>
        <w:rPr>
          <w:rFonts w:ascii="Microsoft Sans Serif" w:hAnsi="Microsoft Sans Serif" w:cs="Microsoft Sans Serif"/>
          <w:b w:val="0"/>
          <w:sz w:val="20"/>
          <w:szCs w:val="20"/>
          <w:u w:val="single"/>
          <w:lang w:val="bs-Latn-BA"/>
        </w:rPr>
      </w:pPr>
      <w:r>
        <w:rPr>
          <w:rFonts w:ascii="Microsoft Sans Serif" w:hAnsi="Microsoft Sans Serif" w:cs="Microsoft Sans Serif"/>
          <w:b w:val="0"/>
          <w:sz w:val="20"/>
          <w:szCs w:val="20"/>
          <w:u w:val="single"/>
          <w:lang w:val="bs-Latn-BA"/>
        </w:rPr>
        <w:t>Pretrage</w:t>
      </w:r>
    </w:p>
    <w:p w14:paraId="78A2326A">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Povremeno</w:t>
      </w:r>
      <w:r>
        <w:rPr>
          <w:rStyle w:val="45"/>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povišene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vrijednosti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uree u krvi,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povišene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vrijednosti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kreatinina u serumu,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povišene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vrijednosti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jetrenih enzima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hiperkalemija</w:t>
      </w:r>
      <w:r>
        <w:rPr>
          <w:rStyle w:val="40"/>
          <w:rFonts w:ascii="Microsoft Sans Serif" w:hAnsi="Microsoft Sans Serif" w:cs="Microsoft Sans Serif"/>
          <w:sz w:val="20"/>
          <w:lang w:val="bs-Latn-BA"/>
        </w:rPr>
        <w:t>.</w:t>
      </w:r>
    </w:p>
    <w:p w14:paraId="0174F8DC">
      <w:pPr>
        <w:jc w:val="both"/>
        <w:rPr>
          <w:rFonts w:ascii="Microsoft Sans Serif" w:hAnsi="Microsoft Sans Serif" w:cs="Microsoft Sans Serif"/>
          <w:sz w:val="20"/>
          <w:lang w:val="bs-Latn-BA"/>
        </w:rPr>
      </w:pPr>
      <w:r>
        <w:rPr>
          <w:rStyle w:val="41"/>
          <w:rFonts w:ascii="Microsoft Sans Serif" w:hAnsi="Microsoft Sans Serif" w:cs="Microsoft Sans Serif"/>
          <w:sz w:val="20"/>
          <w:lang w:val="bs-Latn-BA"/>
        </w:rPr>
        <w:t>Rijetko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povišene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vrijednosti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serumskog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bilirubina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hiponatremija</w:t>
      </w:r>
      <w:r>
        <w:rPr>
          <w:rStyle w:val="40"/>
          <w:rFonts w:ascii="Microsoft Sans Serif" w:hAnsi="Microsoft Sans Serif" w:cs="Microsoft Sans Serif"/>
          <w:sz w:val="20"/>
          <w:lang w:val="bs-Latn-BA"/>
        </w:rPr>
        <w:t>.</w:t>
      </w:r>
    </w:p>
    <w:p w14:paraId="7F7BB635">
      <w:pPr>
        <w:jc w:val="both"/>
        <w:rPr>
          <w:rFonts w:ascii="Microsoft Sans Serif" w:hAnsi="Microsoft Sans Serif" w:cs="Microsoft Sans Serif"/>
          <w:sz w:val="20"/>
          <w:lang w:val="da-DK"/>
        </w:rPr>
      </w:pPr>
    </w:p>
    <w:p w14:paraId="480A087D">
      <w:pPr>
        <w:shd w:val="clear" w:color="auto" w:fill="FFFFFF"/>
        <w:jc w:val="both"/>
        <w:rPr>
          <w:rFonts w:ascii="Microsoft Sans Serif" w:hAnsi="Microsoft Sans Serif" w:cs="Microsoft Sans Serif"/>
          <w:sz w:val="20"/>
        </w:rPr>
      </w:pPr>
      <w:r>
        <w:rPr>
          <w:rFonts w:ascii="Microsoft Sans Serif" w:hAnsi="Microsoft Sans Serif" w:cs="Microsoft Sans Serif"/>
          <w:sz w:val="20"/>
        </w:rPr>
        <w:t>Podaci o bezbjednosne primjene dobivenih tokom kliničkih ispitivanja ukazuju na to da se lizinopril općenito dobro podnosi kod hipertenzivnih pedijatrijskih pacijenata i da bezbjednosni profil u toj uzrasnoj grupi odgovara bezbjednosnom profilu kod odraslih.</w:t>
      </w:r>
    </w:p>
    <w:p w14:paraId="43F484BE">
      <w:pPr>
        <w:jc w:val="both"/>
        <w:rPr>
          <w:rFonts w:ascii="Microsoft Sans Serif" w:hAnsi="Microsoft Sans Serif" w:cs="Microsoft Sans Serif"/>
          <w:sz w:val="20"/>
          <w:lang w:val="da-DK"/>
        </w:rPr>
      </w:pPr>
    </w:p>
    <w:p w14:paraId="169544FE">
      <w:pPr>
        <w:jc w:val="both"/>
        <w:rPr>
          <w:rFonts w:ascii="Microsoft Sans Serif" w:hAnsi="Microsoft Sans Serif" w:cs="Microsoft Sans Serif"/>
          <w:sz w:val="20"/>
          <w:u w:val="single"/>
        </w:rPr>
      </w:pPr>
      <w:r>
        <w:rPr>
          <w:rFonts w:ascii="Microsoft Sans Serif" w:hAnsi="Microsoft Sans Serif" w:cs="Microsoft Sans Serif"/>
          <w:sz w:val="20"/>
          <w:u w:val="single"/>
        </w:rPr>
        <w:t>Prijavljivanje sumnje na neželjena djelovanja lijeka</w:t>
      </w:r>
    </w:p>
    <w:p w14:paraId="77848130">
      <w:pPr>
        <w:jc w:val="both"/>
        <w:rPr>
          <w:rFonts w:ascii="Microsoft Sans Serif" w:hAnsi="Microsoft Sans Serif" w:cs="Microsoft Sans Serif"/>
          <w:sz w:val="20"/>
        </w:rPr>
      </w:pPr>
      <w:r>
        <w:rPr>
          <w:rFonts w:ascii="Microsoft Sans Serif" w:hAnsi="Microsoft Sans Serif" w:cs="Microsoft Sans Serif"/>
          <w:sz w:val="20"/>
        </w:rPr>
        <w:t>Prijavljivanje sumnje na neželjena djelovanja lijekova, a nakon stavljanja lijeka u promet, je od velike važnosti za formiranje kompletnije slike o bezbjednosnom profile lijeka, odnosno za formiranje što bolje ocjene odnosa korist/rizik pri terapijskoj primjeni lijeka.</w:t>
      </w:r>
    </w:p>
    <w:p w14:paraId="315D0221">
      <w:pPr>
        <w:jc w:val="both"/>
        <w:rPr>
          <w:rFonts w:ascii="Microsoft Sans Serif" w:hAnsi="Microsoft Sans Serif" w:cs="Microsoft Sans Serif"/>
          <w:sz w:val="20"/>
        </w:rPr>
      </w:pPr>
      <w:r>
        <w:rPr>
          <w:rFonts w:ascii="Microsoft Sans Serif" w:hAnsi="Microsoft Sans Serif" w:cs="Microsoft Sans Serif"/>
          <w:sz w:val="20"/>
        </w:rPr>
        <w:t>Proces prijavljivanja sumnji na neželjena djelovanja lijeka doprinosi kontinuiranom praćenju odnosa koristi/rizik i adekvatnoj ocjeni bezbjednosnog profila lijeka. Od zdravstvenih stručnjaka se traži da prijave svaku sumnju na neželjeno dejstvo lijeka direktno ALMBIH. Prijava se može dostaviti:</w:t>
      </w:r>
    </w:p>
    <w:p w14:paraId="582770D9">
      <w:pPr>
        <w:pStyle w:val="52"/>
        <w:numPr>
          <w:ilvl w:val="0"/>
          <w:numId w:val="4"/>
        </w:numPr>
        <w:tabs>
          <w:tab w:val="left" w:pos="567"/>
        </w:tabs>
        <w:spacing w:after="0" w:line="240" w:lineRule="auto"/>
        <w:ind w:left="0" w:firstLine="0"/>
        <w:jc w:val="both"/>
        <w:rPr>
          <w:rFonts w:ascii="Microsoft Sans Serif" w:hAnsi="Microsoft Sans Serif" w:cs="Microsoft Sans Serif"/>
          <w:sz w:val="20"/>
          <w:szCs w:val="20"/>
        </w:rPr>
      </w:pPr>
      <w:r>
        <w:rPr>
          <w:rFonts w:ascii="Microsoft Sans Serif" w:hAnsi="Microsoft Sans Serif" w:cs="Microsoft Sans Serif"/>
          <w:sz w:val="20"/>
          <w:szCs w:val="20"/>
        </w:rPr>
        <w:t>putem softverske aplikacije za prijavu neželjenih dejstava lijekova za humanu upotrebu (IS Farmakovigilansa) o kojoj više informacija možete dobiti u našoj Glavnoj kancelariji za farmakovigilansu, ili</w:t>
      </w:r>
    </w:p>
    <w:p w14:paraId="7C210BE5">
      <w:pPr>
        <w:pStyle w:val="52"/>
        <w:numPr>
          <w:ilvl w:val="0"/>
          <w:numId w:val="4"/>
        </w:numPr>
        <w:tabs>
          <w:tab w:val="left" w:pos="567"/>
        </w:tabs>
        <w:spacing w:after="0" w:line="240" w:lineRule="auto"/>
        <w:ind w:left="0" w:firstLine="0"/>
        <w:jc w:val="both"/>
        <w:rPr>
          <w:rFonts w:ascii="Microsoft Sans Serif" w:hAnsi="Microsoft Sans Serif" w:cs="Microsoft Sans Serif"/>
          <w:sz w:val="20"/>
          <w:szCs w:val="20"/>
        </w:rPr>
      </w:pPr>
      <w:r>
        <w:rPr>
          <w:rFonts w:ascii="Microsoft Sans Serif" w:hAnsi="Microsoft Sans Serif" w:cs="Microsoft Sans Serif"/>
          <w:sz w:val="20"/>
          <w:szCs w:val="20"/>
        </w:rPr>
        <w:t>putem odgovarajućeg obrasca za prijavljivanje sumnji na neželjena djelovanja lijeka, koji se mogu naći na internet adresi Agencije za lijekove: www.almbih.gov.ba. Popunjen obrazac se može dostaviti ALMBIH putem pošte, na adresu Agencija za lijekove i medicinska sredstva Bosne i Hercegovine, Veljka Mlađenovića bb, Banja Luka, ili elektronske pošte (na e-mail adresu: ndl@almbih.gov.ba)</w:t>
      </w:r>
    </w:p>
    <w:p w14:paraId="1AD252F2">
      <w:pPr>
        <w:jc w:val="both"/>
        <w:rPr>
          <w:rFonts w:ascii="Microsoft Sans Serif" w:hAnsi="Microsoft Sans Serif" w:cs="Microsoft Sans Serif"/>
          <w:sz w:val="20"/>
          <w:lang w:val="da-DK"/>
        </w:rPr>
      </w:pPr>
    </w:p>
    <w:p w14:paraId="11C4C00B">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4.9</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Predoziranje</w:t>
      </w:r>
    </w:p>
    <w:p w14:paraId="44082D54">
      <w:pPr>
        <w:jc w:val="both"/>
        <w:rPr>
          <w:rFonts w:ascii="Microsoft Sans Serif" w:hAnsi="Microsoft Sans Serif" w:cs="Microsoft Sans Serif"/>
          <w:sz w:val="20"/>
        </w:rPr>
      </w:pPr>
    </w:p>
    <w:p w14:paraId="08BFC65C">
      <w:pPr>
        <w:shd w:val="clear" w:color="auto" w:fill="FFFFFF"/>
        <w:jc w:val="both"/>
        <w:rPr>
          <w:rFonts w:ascii="Microsoft Sans Serif" w:hAnsi="Microsoft Sans Serif" w:cs="Microsoft Sans Serif"/>
          <w:color w:val="000000"/>
          <w:sz w:val="20"/>
        </w:rPr>
      </w:pPr>
      <w:r>
        <w:rPr>
          <w:rStyle w:val="41"/>
          <w:rFonts w:ascii="Microsoft Sans Serif" w:hAnsi="Microsoft Sans Serif" w:cs="Microsoft Sans Serif"/>
          <w:sz w:val="20"/>
          <w:lang w:val="bs-Latn-BA"/>
        </w:rPr>
        <w:t>Podaci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predoziranju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ljudi su oskudni</w:t>
      </w:r>
      <w:r>
        <w:rPr>
          <w:rStyle w:val="40"/>
          <w:rFonts w:ascii="Microsoft Sans Serif" w:hAnsi="Microsoft Sans Serif" w:cs="Microsoft Sans Serif"/>
          <w:sz w:val="20"/>
          <w:lang w:val="bs-Latn-BA"/>
        </w:rPr>
        <w:t xml:space="preserve">. </w:t>
      </w:r>
    </w:p>
    <w:p w14:paraId="40297EE7">
      <w:pPr>
        <w:shd w:val="clear" w:color="auto" w:fill="FFFFFF"/>
        <w:jc w:val="both"/>
        <w:rPr>
          <w:rStyle w:val="40"/>
          <w:rFonts w:ascii="Microsoft Sans Serif" w:hAnsi="Microsoft Sans Serif" w:cs="Microsoft Sans Serif"/>
          <w:sz w:val="20"/>
          <w:lang w:val="bs-Latn-BA"/>
        </w:rPr>
      </w:pPr>
      <w:r>
        <w:rPr>
          <w:rFonts w:ascii="Microsoft Sans Serif" w:hAnsi="Microsoft Sans Serif" w:cs="Microsoft Sans Serif"/>
          <w:color w:val="000000"/>
          <w:sz w:val="20"/>
        </w:rPr>
        <w:t>Simptomi povezani sa predoziranjem ACE-inhibitorima mogu uključivati: hipotenziju, cirkulatorni šok, poremećaje elektrolita, insuficijencija bubrega, hiperventilaciju, tahikardiju, palpitacije, bradikardiju, ošamućenost, anksioznost i kašalj.</w:t>
      </w:r>
    </w:p>
    <w:p w14:paraId="12F648B3">
      <w:pPr>
        <w:shd w:val="clear" w:color="auto" w:fill="FFFFFF"/>
        <w:jc w:val="both"/>
        <w:rPr>
          <w:rStyle w:val="40"/>
          <w:rFonts w:ascii="Microsoft Sans Serif" w:hAnsi="Microsoft Sans Serif" w:cs="Microsoft Sans Serif"/>
          <w:sz w:val="20"/>
          <w:lang w:val="bs-Latn-BA"/>
        </w:rPr>
      </w:pPr>
    </w:p>
    <w:p w14:paraId="0D4FBA45">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predoziranja kao terapija se preporučuje primjena intravenske infuzije fiziološkog rastvora. Ukoliko dođe do hipotenzije, pacijent se mora postaviti u šok-položaj. Ukoliko je dostupan, može se primijeniti i angiotenzin II u infuziji i/ili kateholamini iv.</w:t>
      </w:r>
    </w:p>
    <w:p w14:paraId="46A9A83B">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Ako je od predoziranja proteklo kratko vrijeme, potrebno je poduzeti mjere za odstranjenje lijeka iz gastrointestinalnog sistema (tj. izazvati povraćanje, izvršiti ispiranje želuca, primijeniti neki adsorbens i natrijum sulfat).</w:t>
      </w:r>
    </w:p>
    <w:p w14:paraId="75A7BDFD">
      <w:pPr>
        <w:shd w:val="clear" w:color="auto" w:fill="FFFFFF"/>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Lizinopril</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uklanja</w:t>
      </w:r>
      <w:r>
        <w:rPr>
          <w:rStyle w:val="40"/>
          <w:rFonts w:ascii="Microsoft Sans Serif" w:hAnsi="Microsoft Sans Serif" w:cs="Microsoft Sans Serif"/>
          <w:sz w:val="20"/>
          <w:lang w:val="bs-Latn-BA"/>
        </w:rPr>
        <w:t xml:space="preserve"> iz cirkulacije </w:t>
      </w:r>
      <w:r>
        <w:rPr>
          <w:rStyle w:val="41"/>
          <w:rFonts w:ascii="Microsoft Sans Serif" w:hAnsi="Microsoft Sans Serif" w:cs="Microsoft Sans Serif"/>
          <w:sz w:val="20"/>
          <w:lang w:val="bs-Latn-BA"/>
        </w:rPr>
        <w:t>hemodijalizom (pogledati dio 4.4)</w:t>
      </w:r>
      <w:r>
        <w:rPr>
          <w:rStyle w:val="40"/>
          <w:rFonts w:ascii="Microsoft Sans Serif" w:hAnsi="Microsoft Sans Serif" w:cs="Microsoft Sans Serif"/>
          <w:sz w:val="20"/>
          <w:lang w:val="bs-Latn-BA"/>
        </w:rPr>
        <w:t>.</w:t>
      </w:r>
    </w:p>
    <w:p w14:paraId="3F309BF4">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Ako je prisutna bradikardija otporna na terapiju, može se primijeniti srčani elektrostimulator (pacemaker).</w:t>
      </w:r>
    </w:p>
    <w:p w14:paraId="46DBC205">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 xml:space="preserve">Potrebne su česte kontrole vitalnih znakova te koncentracije elektrolita i kreatinina u serumu. </w:t>
      </w:r>
    </w:p>
    <w:p w14:paraId="77AF269C">
      <w:pPr>
        <w:jc w:val="both"/>
        <w:rPr>
          <w:rFonts w:ascii="Microsoft Sans Serif" w:hAnsi="Microsoft Sans Serif" w:cs="Microsoft Sans Serif"/>
          <w:sz w:val="20"/>
          <w:lang w:val="hr-HR"/>
        </w:rPr>
      </w:pPr>
    </w:p>
    <w:p w14:paraId="156924FD">
      <w:pPr>
        <w:pStyle w:val="10"/>
        <w:jc w:val="both"/>
        <w:rPr>
          <w:rFonts w:ascii="Microsoft Sans Serif" w:hAnsi="Microsoft Sans Serif" w:cs="Microsoft Sans Serif"/>
          <w:sz w:val="20"/>
          <w:szCs w:val="20"/>
          <w:lang w:val="mk-MK"/>
        </w:rPr>
      </w:pPr>
    </w:p>
    <w:p w14:paraId="7DBCAA30">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5.</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FARMAKOLOŠKE KARAKTERISTIKE </w:t>
      </w:r>
      <w:r>
        <w:rPr>
          <w:rFonts w:ascii="Microsoft Sans Serif" w:hAnsi="Microsoft Sans Serif" w:cs="Microsoft Sans Serif"/>
          <w:b/>
          <w:sz w:val="20"/>
          <w:lang w:val="sr-Latn-BA"/>
        </w:rPr>
        <w:tab/>
      </w:r>
    </w:p>
    <w:p w14:paraId="49DA010D">
      <w:pPr>
        <w:jc w:val="both"/>
        <w:rPr>
          <w:rFonts w:ascii="Microsoft Sans Serif" w:hAnsi="Microsoft Sans Serif" w:cs="Microsoft Sans Serif"/>
          <w:b/>
          <w:sz w:val="20"/>
          <w:lang w:val="sr-Latn-BA"/>
        </w:rPr>
      </w:pPr>
    </w:p>
    <w:p w14:paraId="4B673540">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5.1</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Farmakodinamičke karakteristike </w:t>
      </w:r>
    </w:p>
    <w:p w14:paraId="5172B6CF">
      <w:pPr>
        <w:jc w:val="both"/>
        <w:rPr>
          <w:rFonts w:ascii="Microsoft Sans Serif" w:hAnsi="Microsoft Sans Serif" w:cs="Microsoft Sans Serif"/>
          <w:sz w:val="20"/>
          <w:lang w:val="mk-MK"/>
        </w:rPr>
      </w:pPr>
    </w:p>
    <w:p w14:paraId="38DC05E1">
      <w:pPr>
        <w:jc w:val="both"/>
        <w:rPr>
          <w:rFonts w:ascii="Microsoft Sans Serif" w:hAnsi="Microsoft Sans Serif" w:cs="Microsoft Sans Serif"/>
          <w:b/>
          <w:sz w:val="20"/>
          <w:lang w:val="bs-Latn-BA"/>
        </w:rPr>
      </w:pPr>
      <w:r>
        <w:rPr>
          <w:rFonts w:ascii="Microsoft Sans Serif" w:hAnsi="Microsoft Sans Serif" w:cs="Microsoft Sans Serif"/>
          <w:iCs/>
          <w:sz w:val="20"/>
          <w:lang w:val="bs-Latn-BA"/>
        </w:rPr>
        <w:t>Farmakoterapijska grupa</w:t>
      </w:r>
      <w:r>
        <w:rPr>
          <w:rFonts w:ascii="Microsoft Sans Serif" w:hAnsi="Microsoft Sans Serif" w:cs="Microsoft Sans Serif"/>
          <w:sz w:val="20"/>
          <w:lang w:val="bs-Latn-BA"/>
        </w:rPr>
        <w:t>: ACE-inhibitor, čist</w:t>
      </w:r>
    </w:p>
    <w:p w14:paraId="6BDA6B0B">
      <w:pPr>
        <w:jc w:val="both"/>
        <w:rPr>
          <w:rFonts w:ascii="Microsoft Sans Serif" w:hAnsi="Microsoft Sans Serif" w:cs="Microsoft Sans Serif"/>
          <w:sz w:val="20"/>
          <w:lang w:val="bs-Latn-BA"/>
        </w:rPr>
      </w:pPr>
      <w:r>
        <w:rPr>
          <w:rFonts w:ascii="Microsoft Sans Serif" w:hAnsi="Microsoft Sans Serif" w:cs="Microsoft Sans Serif"/>
          <w:iCs/>
          <w:sz w:val="20"/>
          <w:lang w:val="bs-Latn-BA"/>
        </w:rPr>
        <w:t xml:space="preserve">Oznaka Anatomsko terapijske klasifikacije (ATC): </w:t>
      </w:r>
      <w:r>
        <w:rPr>
          <w:rFonts w:ascii="Microsoft Sans Serif" w:hAnsi="Microsoft Sans Serif" w:cs="Microsoft Sans Serif"/>
          <w:sz w:val="20"/>
          <w:lang w:val="bs-Latn-BA"/>
        </w:rPr>
        <w:t>C09AA03</w:t>
      </w:r>
    </w:p>
    <w:p w14:paraId="35496AD3">
      <w:pPr>
        <w:jc w:val="both"/>
        <w:rPr>
          <w:rStyle w:val="41"/>
          <w:rFonts w:ascii="Microsoft Sans Serif" w:hAnsi="Microsoft Sans Serif" w:cs="Microsoft Sans Serif"/>
          <w:sz w:val="20"/>
          <w:lang w:val="hr-HR"/>
        </w:rPr>
      </w:pPr>
    </w:p>
    <w:p w14:paraId="5C93F4CC">
      <w:pPr>
        <w:shd w:val="clear" w:color="auto" w:fill="FFFFFF"/>
        <w:jc w:val="both"/>
        <w:rPr>
          <w:rFonts w:ascii="Microsoft Sans Serif" w:hAnsi="Microsoft Sans Serif" w:cs="Microsoft Sans Serif"/>
          <w:bCs/>
          <w:i/>
          <w:color w:val="000000"/>
          <w:sz w:val="20"/>
        </w:rPr>
      </w:pPr>
      <w:r>
        <w:rPr>
          <w:rFonts w:ascii="Microsoft Sans Serif" w:hAnsi="Microsoft Sans Serif" w:cs="Microsoft Sans Serif"/>
          <w:sz w:val="20"/>
          <w:u w:val="single"/>
        </w:rPr>
        <w:t>Mehanizam djelovanja</w:t>
      </w:r>
    </w:p>
    <w:p w14:paraId="33230F46">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 xml:space="preserve">Lizinopril je inhibitor peptidil dipeptidaze. </w:t>
      </w:r>
      <w:r>
        <w:rPr>
          <w:rStyle w:val="41"/>
          <w:rFonts w:ascii="Microsoft Sans Serif" w:hAnsi="Microsoft Sans Serif" w:cs="Microsoft Sans Serif"/>
          <w:sz w:val="20"/>
          <w:lang w:val="bs-Latn-BA"/>
        </w:rPr>
        <w:t>Lizinopril</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inhibira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angiotenzin</w:t>
      </w:r>
      <w:r>
        <w:rPr>
          <w:rStyle w:val="42"/>
          <w:rFonts w:ascii="Microsoft Sans Serif" w:hAnsi="Microsoft Sans Serif" w:cs="Microsoft Sans Serif"/>
          <w:sz w:val="20"/>
          <w:lang w:val="bs-Latn-BA"/>
        </w:rPr>
        <w:t>-</w:t>
      </w:r>
      <w:r>
        <w:rPr>
          <w:rStyle w:val="41"/>
          <w:rFonts w:ascii="Microsoft Sans Serif" w:hAnsi="Microsoft Sans Serif" w:cs="Microsoft Sans Serif"/>
          <w:sz w:val="20"/>
          <w:lang w:val="bs-Latn-BA"/>
        </w:rPr>
        <w:t>konvertujući enzima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koji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katalizuje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konverziju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angiotenzina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snažni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vazokonstriktor angiotenzin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II. Angiotenzin II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takođe stimuliše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lučenje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 xml:space="preserve">aldosterona </w:t>
      </w:r>
      <w:r>
        <w:rPr>
          <w:rFonts w:ascii="Microsoft Sans Serif" w:hAnsi="Microsoft Sans Serif" w:cs="Microsoft Sans Serif"/>
          <w:color w:val="000000"/>
          <w:sz w:val="20"/>
        </w:rPr>
        <w:t>iz kore nadbubrežne žlijezde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Inhibicija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dovodi do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smanjene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koncentracije angiotenzina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 plazmi,</w:t>
      </w:r>
      <w:r>
        <w:rPr>
          <w:rStyle w:val="40"/>
          <w:rFonts w:ascii="Microsoft Sans Serif" w:hAnsi="Microsoft Sans Serif" w:cs="Microsoft Sans Serif"/>
          <w:sz w:val="20"/>
          <w:lang w:val="bs-Latn-BA"/>
        </w:rPr>
        <w:t xml:space="preserve"> što </w:t>
      </w:r>
      <w:r>
        <w:rPr>
          <w:rStyle w:val="41"/>
          <w:rFonts w:ascii="Microsoft Sans Serif" w:hAnsi="Microsoft Sans Serif" w:cs="Microsoft Sans Serif"/>
          <w:sz w:val="20"/>
          <w:lang w:val="bs-Latn-BA"/>
        </w:rPr>
        <w:t>dovodi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smanjenja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vazopresorne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aktivnosti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do </w:t>
      </w:r>
      <w:r>
        <w:rPr>
          <w:rStyle w:val="41"/>
          <w:rFonts w:ascii="Microsoft Sans Serif" w:hAnsi="Microsoft Sans Serif" w:cs="Microsoft Sans Serif"/>
          <w:sz w:val="20"/>
          <w:lang w:val="bs-Latn-BA"/>
        </w:rPr>
        <w:t>smanjenja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lučenja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aldosterona</w:t>
      </w:r>
      <w:r>
        <w:rPr>
          <w:rStyle w:val="40"/>
          <w:rFonts w:ascii="Microsoft Sans Serif" w:hAnsi="Microsoft Sans Serif" w:cs="Microsoft Sans Serif"/>
          <w:sz w:val="20"/>
          <w:lang w:val="bs-Latn-BA"/>
        </w:rPr>
        <w:t>.</w:t>
      </w:r>
      <w:r>
        <w:rPr>
          <w:rFonts w:ascii="Microsoft Sans Serif" w:hAnsi="Microsoft Sans Serif" w:cs="Microsoft Sans Serif"/>
          <w:color w:val="000000"/>
          <w:sz w:val="20"/>
        </w:rPr>
        <w:t xml:space="preserve"> Ovo može dovesti do porasta serumskog kalijuma.</w:t>
      </w:r>
    </w:p>
    <w:p w14:paraId="630DD01C">
      <w:pPr>
        <w:jc w:val="both"/>
        <w:rPr>
          <w:rStyle w:val="40"/>
          <w:rFonts w:ascii="Microsoft Sans Serif" w:hAnsi="Microsoft Sans Serif" w:cs="Microsoft Sans Serif"/>
          <w:sz w:val="20"/>
          <w:lang w:val="bs-Latn-BA"/>
        </w:rPr>
      </w:pPr>
    </w:p>
    <w:p w14:paraId="23F5C0A7">
      <w:pPr>
        <w:jc w:val="both"/>
        <w:rPr>
          <w:rStyle w:val="41"/>
          <w:rFonts w:ascii="Microsoft Sans Serif" w:hAnsi="Microsoft Sans Serif" w:cs="Microsoft Sans Serif"/>
          <w:sz w:val="20"/>
          <w:u w:val="single"/>
          <w:lang w:val="bs-Latn-BA"/>
        </w:rPr>
      </w:pPr>
      <w:r>
        <w:rPr>
          <w:rStyle w:val="41"/>
          <w:rFonts w:ascii="Microsoft Sans Serif" w:hAnsi="Microsoft Sans Serif" w:cs="Microsoft Sans Serif"/>
          <w:sz w:val="20"/>
          <w:u w:val="single"/>
          <w:lang w:val="bs-Latn-BA"/>
        </w:rPr>
        <w:t>Farmakodinamska dejstva</w:t>
      </w:r>
    </w:p>
    <w:p w14:paraId="25EC9186">
      <w:pPr>
        <w:jc w:val="both"/>
        <w:rPr>
          <w:rStyle w:val="40"/>
          <w:rFonts w:ascii="Microsoft Sans Serif" w:hAnsi="Microsoft Sans Serif" w:cs="Microsoft Sans Serif"/>
          <w:sz w:val="20"/>
          <w:lang w:val="bs-Latn-BA"/>
        </w:rPr>
      </w:pPr>
      <w:r>
        <w:rPr>
          <w:rFonts w:ascii="Microsoft Sans Serif" w:hAnsi="Microsoft Sans Serif" w:cs="Microsoft Sans Serif"/>
          <w:color w:val="000000"/>
          <w:sz w:val="20"/>
        </w:rPr>
        <w:t xml:space="preserve">Iako se vjeruje kako je osnovni mehanizam putem kojeg lizinopril primarno ostvaruje svoj antihipertenzivni efekat supresija sistema renin-angiotenzin-aldosteron, uočeno je da lizinopril djeluje antihipertenzivno čak i kod pacijenata sa vrstom hipertenzije za koju je karakteristična niska količina renina. </w:t>
      </w:r>
      <w:r>
        <w:rPr>
          <w:rStyle w:val="41"/>
          <w:rFonts w:ascii="Microsoft Sans Serif" w:hAnsi="Microsoft Sans Serif" w:cs="Microsoft Sans Serif"/>
          <w:sz w:val="20"/>
          <w:lang w:val="bs-Latn-BA"/>
        </w:rPr>
        <w:t>ACE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identičan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kininazi II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enzim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koji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razgrađuje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bradikinin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Inhibicija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ACE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dovodi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povećane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koncentracije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bradikinina</w:t>
      </w:r>
      <w:r>
        <w:rPr>
          <w:rStyle w:val="40"/>
          <w:rFonts w:ascii="Microsoft Sans Serif" w:hAnsi="Microsoft Sans Serif" w:cs="Microsoft Sans Serif"/>
          <w:sz w:val="20"/>
          <w:lang w:val="bs-Latn-BA"/>
        </w:rPr>
        <w:t xml:space="preserve">, koji je </w:t>
      </w:r>
      <w:r>
        <w:rPr>
          <w:rStyle w:val="41"/>
          <w:rFonts w:ascii="Microsoft Sans Serif" w:hAnsi="Microsoft Sans Serif" w:cs="Microsoft Sans Serif"/>
          <w:sz w:val="20"/>
          <w:lang w:val="bs-Latn-BA"/>
        </w:rPr>
        <w:t>moćan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vazodilatatorni peptid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da li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doprinosi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terapeutskim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efektima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lizinoprila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ostaje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da se utvrdi</w:t>
      </w:r>
      <w:r>
        <w:rPr>
          <w:rStyle w:val="40"/>
          <w:rFonts w:ascii="Microsoft Sans Serif" w:hAnsi="Microsoft Sans Serif" w:cs="Microsoft Sans Serif"/>
          <w:sz w:val="20"/>
          <w:lang w:val="bs-Latn-BA"/>
        </w:rPr>
        <w:t>.</w:t>
      </w:r>
    </w:p>
    <w:p w14:paraId="7F9786C3">
      <w:pPr>
        <w:jc w:val="both"/>
        <w:rPr>
          <w:rStyle w:val="40"/>
          <w:rFonts w:ascii="Microsoft Sans Serif" w:hAnsi="Microsoft Sans Serif" w:cs="Microsoft Sans Serif"/>
          <w:sz w:val="20"/>
          <w:lang w:val="bs-Latn-BA"/>
        </w:rPr>
      </w:pPr>
    </w:p>
    <w:p w14:paraId="7319D2CF">
      <w:pPr>
        <w:shd w:val="clear" w:color="auto" w:fill="FFFFFF"/>
        <w:jc w:val="both"/>
        <w:rPr>
          <w:rFonts w:ascii="Microsoft Sans Serif" w:hAnsi="Microsoft Sans Serif" w:cs="Microsoft Sans Serif"/>
          <w:color w:val="000000"/>
          <w:sz w:val="20"/>
          <w:u w:val="single"/>
        </w:rPr>
      </w:pPr>
      <w:r>
        <w:rPr>
          <w:rFonts w:ascii="Microsoft Sans Serif" w:hAnsi="Microsoft Sans Serif" w:cs="Microsoft Sans Serif"/>
          <w:sz w:val="20"/>
          <w:u w:val="single"/>
        </w:rPr>
        <w:t>Klinička efikasnost i sigurnost</w:t>
      </w:r>
    </w:p>
    <w:p w14:paraId="40B945A9">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U kliničkom ispitivanju o efektu lizinoprila na mortalitet i morbiditet na pacijente sa insuficijencijom srca uspoređivan je efekat visokih (32,5 mg ili 35 mg jedanput na dan) i niskih (2,5 mg ili 5 mg jedanput na dan) doza lizinoprila. U ispitivanje je bilo uključeno 3.164 pacijenata koji su bili praćeni prosječno tokom 46 mjeseci. U usporedbi sa niskom dozom, primjena lizinoprila u visokoj dozi imala je za posljedicu smanjenje kombiniranog rizika ukupne smrtnosti i hospitalizacije zbog bilo kojeg razloga za 12% (p=0,002) te kombiniranog rizika ukupne smrtnosti i hospitalizacije zbog kardiovaskularnih razloga za 8% (p=0,036). Isto tako je uočeno smanjenje rizika ukupne smrtnosti (8%, p=0,128) i kardiovaskularne smrtnosti (10%, p=0,073). U ”post-hoc“ analizi, broj hospitalizacija zbog insuficijencije srca smanjio se za 24% (p=0,002) kod pacijenata koji su liječeni visokim dozama lizinoprila u odnosu na pacijenata liječene niskim dozama. Simptomatsko poboljšanje bilo je podjednako u obje grupe pacijenata.</w:t>
      </w:r>
    </w:p>
    <w:p w14:paraId="1EB244FB">
      <w:pPr>
        <w:pStyle w:val="38"/>
        <w:jc w:val="both"/>
        <w:rPr>
          <w:rFonts w:ascii="Microsoft Sans Serif" w:hAnsi="Microsoft Sans Serif" w:cs="Microsoft Sans Serif"/>
          <w:iCs/>
          <w:sz w:val="20"/>
          <w:szCs w:val="20"/>
        </w:rPr>
      </w:pPr>
    </w:p>
    <w:p w14:paraId="380D09D5">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Vrsta i učestalost neželjenih dejstava koje su se javljale bila je takođe podjednaka u obje grupe pacijenata. Uobičajena i predvidljiva neželjena djelovanja koja su posljedica ACE inhibicije (npr. hipotenzija ili poremećaji funkcije bubrega) su se uspješno tretirale tako da je rijetko bio potreban prekid terapije. Kašalj se rjeđe javljao kod pacijenata koji su dobivali visoke doze lizinoprila u odnosu na one koji su dobivali niske doze.</w:t>
      </w:r>
    </w:p>
    <w:p w14:paraId="673EF024">
      <w:pPr>
        <w:pStyle w:val="38"/>
        <w:jc w:val="both"/>
        <w:rPr>
          <w:rFonts w:ascii="Microsoft Sans Serif" w:hAnsi="Microsoft Sans Serif" w:cs="Microsoft Sans Serif"/>
          <w:iCs/>
          <w:sz w:val="20"/>
          <w:szCs w:val="20"/>
        </w:rPr>
      </w:pPr>
    </w:p>
    <w:p w14:paraId="748F8505">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U GISSI-3 kliničkom ispitivanju, u kojem je bio korišten 2X2 faktorijalni dizajn kako bi se usporedili efekti lizinoprila i gliceriltrinitrata primijenjenih pojedinačno ili u kombinaciji tokom 6 sedmica, u usporedbi sa kontrolom, kod 19.394 pacijenata koji su dobili terapiju unutar 24 sata od akutnog infarkta miokarda, primjena lizinoprila imala je za posljedicu statistički značajno smanjenje rizika smrtnosti od 11% u odnosu na kontrolu (2p=0,03). Smanjenje rizika sa gliceriltrinitratom nije bilo statistički značajno, međutim, kombinacija lizinoprila i gliceriltrinitrata dovela je do značajnog smanjenja smrtnosti od 17% u odnosu na kontrolu (2p=0,02). U pogdrupi starijih pacijenata (stariji od 70 godina) i ženskog pola, koje su prethodno definirane kao grupe sa povećanim rizikom smrtnosti, uočen je značajan povoljni efekat na kombinovani rizik smrtnosti i srčane funkcije. Kod svih pacijenata, uključujući i one iz grupe sa povećanim rizikom, koji su dobivali lizinopril ili lizinopril u kombinaciji sa gliceriltrinitratom tokom 6 sedmica, uočen je značajan povoljni efekat na praćene parametre nakon 6 mjeseci, upućujući na preventivni efekat lizinoprila. Kao sto se može očekivati kod liječenja bilo kojim vazodilatatorom, primjena lizinoprila bila je povezana sa povećanom učestalošću hipotenzije i poremećaja funkcije bubrega, međutim, to nije imalo za posljedicu proporcionalno povećanje smrtnosti.</w:t>
      </w:r>
    </w:p>
    <w:p w14:paraId="40EEF8E4">
      <w:pPr>
        <w:shd w:val="clear" w:color="auto" w:fill="FFFFFF"/>
        <w:jc w:val="both"/>
        <w:rPr>
          <w:rFonts w:ascii="Microsoft Sans Serif" w:hAnsi="Microsoft Sans Serif" w:cs="Microsoft Sans Serif"/>
          <w:sz w:val="20"/>
        </w:rPr>
      </w:pPr>
    </w:p>
    <w:p w14:paraId="2ACF2835">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U dvostruko slijepom, randomiziranom, multicentričnom ispitivanju u kojem su se uspoređivali efekti lizinoprila i blokatora kalcijumskih kanala kod 355 pacijenata sa hipertenzijom i dijabetesom tipa 2 koji su imali početnu nefropatiju sa mikroalbuminurijom, pokazalo se da je primjena lizinoprila u dozi od 10 do 20 mg jedanput na dan tokom 12 mjeseci imala za posljedicu smanjenje sistolnog/dijastolnog pritiska za 13/10 mmHg te smanjenje izlučivanja albumina u urinu za 40%. Za razliku od blokatora kalcijumskih kanala, čiji je efekat na smanjenje krvnog pritiska bio podjednak, u grupi pacijenata koja je dobivala lizinopril uočeno je značajno veće smanjenje izlučivanja albumina u urinu, čime je pokazano da lizinopril, osim svojim djelovanjem na smanjenje krvnog pritiska, putem ACE inhibirajućeg efekta dodatno smanjuje mikroalbuminuriju direktnim mehanizmom djelovanja na tkivo bubrega.</w:t>
      </w:r>
    </w:p>
    <w:p w14:paraId="684649E0">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Primjena lizinoprila ne utiče na kontrolu glikemije, sto se očituje izostankom značajnog efekta na nivo glikoziliranog hemoglobina (HbAlc).</w:t>
      </w:r>
    </w:p>
    <w:p w14:paraId="6B8D014C">
      <w:pPr>
        <w:pStyle w:val="38"/>
        <w:jc w:val="both"/>
        <w:rPr>
          <w:rFonts w:ascii="Microsoft Sans Serif" w:hAnsi="Microsoft Sans Serif" w:cs="Microsoft Sans Serif"/>
          <w:iCs/>
          <w:sz w:val="20"/>
          <w:szCs w:val="20"/>
          <w:u w:val="single"/>
        </w:rPr>
      </w:pPr>
    </w:p>
    <w:p w14:paraId="1B77A22B">
      <w:pPr>
        <w:rPr>
          <w:rFonts w:ascii="Microsoft Sans Serif" w:hAnsi="Microsoft Sans Serif" w:cs="Microsoft Sans Serif"/>
          <w:sz w:val="20"/>
          <w:u w:val="single"/>
          <w:lang w:val="en"/>
        </w:rPr>
      </w:pPr>
      <w:r>
        <w:rPr>
          <w:rFonts w:ascii="Microsoft Sans Serif" w:hAnsi="Microsoft Sans Serif" w:cs="Microsoft Sans Serif"/>
          <w:iCs/>
          <w:sz w:val="20"/>
          <w:u w:val="single"/>
          <w:lang w:val="en"/>
        </w:rPr>
        <w:t>Lijekovi koji djeluju na sistem renin-angiotensin (RAS)</w:t>
      </w:r>
    </w:p>
    <w:p w14:paraId="57951247">
      <w:pPr>
        <w:pStyle w:val="38"/>
        <w:jc w:val="both"/>
        <w:rPr>
          <w:rFonts w:ascii="Microsoft Sans Serif" w:hAnsi="Microsoft Sans Serif" w:cs="Microsoft Sans Serif"/>
          <w:iCs/>
          <w:sz w:val="20"/>
          <w:szCs w:val="20"/>
        </w:rPr>
      </w:pPr>
      <w:r>
        <w:rPr>
          <w:rFonts w:ascii="Microsoft Sans Serif" w:hAnsi="Microsoft Sans Serif" w:cs="Microsoft Sans Serif"/>
          <w:iCs/>
          <w:sz w:val="20"/>
          <w:szCs w:val="20"/>
        </w:rPr>
        <w:t xml:space="preserve">Dva velika randomizirana, kontrolirana ispitivanja (ONTARGET (eng. </w:t>
      </w:r>
      <w:r>
        <w:rPr>
          <w:rFonts w:ascii="Microsoft Sans Serif" w:hAnsi="Microsoft Sans Serif" w:cs="Microsoft Sans Serif"/>
          <w:i/>
          <w:iCs/>
          <w:sz w:val="20"/>
          <w:szCs w:val="20"/>
        </w:rPr>
        <w:t>ONgoing Telmisartan Alone and in combination with Ramipril Global Endpoint Trial</w:t>
      </w:r>
      <w:r>
        <w:rPr>
          <w:rFonts w:ascii="Microsoft Sans Serif" w:hAnsi="Microsoft Sans Serif" w:cs="Microsoft Sans Serif"/>
          <w:iCs/>
          <w:sz w:val="20"/>
          <w:szCs w:val="20"/>
        </w:rPr>
        <w:t xml:space="preserve">) i VA NEPHRON-D (eng. </w:t>
      </w:r>
      <w:r>
        <w:rPr>
          <w:rFonts w:ascii="Microsoft Sans Serif" w:hAnsi="Microsoft Sans Serif" w:cs="Microsoft Sans Serif"/>
          <w:i/>
          <w:iCs/>
          <w:sz w:val="20"/>
          <w:szCs w:val="20"/>
        </w:rPr>
        <w:t>The Veterans Affairs Nephropathy in Diabetes</w:t>
      </w:r>
      <w:r>
        <w:rPr>
          <w:rFonts w:ascii="Microsoft Sans Serif" w:hAnsi="Microsoft Sans Serif" w:cs="Microsoft Sans Serif"/>
          <w:iCs/>
          <w:sz w:val="20"/>
          <w:szCs w:val="20"/>
        </w:rPr>
        <w:t>)) ispitivala su primjenu kombinacije ACE inhibitora sa blokatorom angiotenzin II receptora.</w:t>
      </w:r>
    </w:p>
    <w:p w14:paraId="0CEB12A6">
      <w:pPr>
        <w:pStyle w:val="38"/>
        <w:jc w:val="both"/>
        <w:rPr>
          <w:rFonts w:ascii="Microsoft Sans Serif" w:hAnsi="Microsoft Sans Serif" w:cs="Microsoft Sans Serif"/>
          <w:sz w:val="20"/>
          <w:szCs w:val="20"/>
        </w:rPr>
      </w:pPr>
      <w:r>
        <w:rPr>
          <w:rFonts w:ascii="Microsoft Sans Serif" w:hAnsi="Microsoft Sans Serif" w:cs="Microsoft Sans Serif"/>
          <w:iCs/>
          <w:sz w:val="20"/>
          <w:szCs w:val="20"/>
        </w:rPr>
        <w:t xml:space="preserve"> </w:t>
      </w:r>
    </w:p>
    <w:p w14:paraId="31373084">
      <w:pPr>
        <w:pStyle w:val="38"/>
        <w:jc w:val="both"/>
        <w:rPr>
          <w:rFonts w:ascii="Microsoft Sans Serif" w:hAnsi="Microsoft Sans Serif" w:cs="Microsoft Sans Serif"/>
          <w:iCs/>
          <w:sz w:val="20"/>
          <w:szCs w:val="20"/>
        </w:rPr>
      </w:pPr>
      <w:r>
        <w:rPr>
          <w:rFonts w:ascii="Microsoft Sans Serif" w:hAnsi="Microsoft Sans Serif" w:cs="Microsoft Sans Serif"/>
          <w:iCs/>
          <w:sz w:val="20"/>
          <w:szCs w:val="20"/>
        </w:rPr>
        <w:t>ONTARGET je bilo ispitivanje provedeno kod pacijenata sa kardiovaskularnom ili cerebrovaskularnom bolešću u anamnezi, ili sa šećernom bolešću tipa 2 uz dokaze oštećenja ciljanih organa. VA NEPHRON-D je bilo ispitivanje kod pacijenata sa šećernom bolešću tipa 2 i dijabetičkom nefropatijom.</w:t>
      </w:r>
    </w:p>
    <w:p w14:paraId="2D4CF300">
      <w:pPr>
        <w:pStyle w:val="38"/>
        <w:jc w:val="both"/>
        <w:rPr>
          <w:rFonts w:ascii="Microsoft Sans Serif" w:hAnsi="Microsoft Sans Serif" w:cs="Microsoft Sans Serif"/>
          <w:sz w:val="20"/>
          <w:szCs w:val="20"/>
        </w:rPr>
      </w:pPr>
      <w:r>
        <w:rPr>
          <w:rFonts w:ascii="Microsoft Sans Serif" w:hAnsi="Microsoft Sans Serif" w:cs="Microsoft Sans Serif"/>
          <w:iCs/>
          <w:sz w:val="20"/>
          <w:szCs w:val="20"/>
        </w:rPr>
        <w:t xml:space="preserve"> </w:t>
      </w:r>
    </w:p>
    <w:p w14:paraId="7C12FF91">
      <w:pPr>
        <w:pStyle w:val="38"/>
        <w:jc w:val="both"/>
        <w:rPr>
          <w:rFonts w:ascii="Microsoft Sans Serif" w:hAnsi="Microsoft Sans Serif" w:cs="Microsoft Sans Serif"/>
          <w:iCs/>
          <w:sz w:val="20"/>
          <w:szCs w:val="20"/>
        </w:rPr>
      </w:pPr>
      <w:r>
        <w:rPr>
          <w:rFonts w:ascii="Microsoft Sans Serif" w:hAnsi="Microsoft Sans Serif" w:cs="Microsoft Sans Serif"/>
          <w:iCs/>
          <w:sz w:val="20"/>
          <w:szCs w:val="20"/>
        </w:rPr>
        <w:t>Ta ispitivanja nisu pokazala nikakav značajan povoljan efekat na bubrežne i/ili kardiovaskularne ishode i smrtnost, a bio je uočen povećani rizik od hiperkalemije, akutne ozljede bubrega i/ili hipotenzije u usporedbi sa monoterapijom. S obzirom na njihova slična farmakodinamička svojstva, ti su rezultati relevantni i za druge ACE inhibitore i blokatore angiotenzin II receptora.</w:t>
      </w:r>
    </w:p>
    <w:p w14:paraId="7FE36332">
      <w:pPr>
        <w:pStyle w:val="38"/>
        <w:jc w:val="both"/>
        <w:rPr>
          <w:rFonts w:ascii="Microsoft Sans Serif" w:hAnsi="Microsoft Sans Serif" w:cs="Microsoft Sans Serif"/>
          <w:sz w:val="20"/>
          <w:szCs w:val="20"/>
        </w:rPr>
      </w:pPr>
      <w:r>
        <w:rPr>
          <w:rFonts w:ascii="Microsoft Sans Serif" w:hAnsi="Microsoft Sans Serif" w:cs="Microsoft Sans Serif"/>
          <w:iCs/>
          <w:sz w:val="20"/>
          <w:szCs w:val="20"/>
        </w:rPr>
        <w:t xml:space="preserve"> </w:t>
      </w:r>
    </w:p>
    <w:p w14:paraId="51616961">
      <w:pPr>
        <w:pStyle w:val="38"/>
        <w:jc w:val="both"/>
        <w:rPr>
          <w:rFonts w:ascii="Microsoft Sans Serif" w:hAnsi="Microsoft Sans Serif" w:cs="Microsoft Sans Serif"/>
          <w:iCs/>
          <w:sz w:val="20"/>
          <w:szCs w:val="20"/>
        </w:rPr>
      </w:pPr>
      <w:r>
        <w:rPr>
          <w:rFonts w:ascii="Microsoft Sans Serif" w:hAnsi="Microsoft Sans Serif" w:cs="Microsoft Sans Serif"/>
          <w:iCs/>
          <w:sz w:val="20"/>
          <w:szCs w:val="20"/>
        </w:rPr>
        <w:t>ACE inhibitori i blokatori angiotenzin II receptora stoga se ne smiju istovremeno primjenjivati kod pacijenata sa dijabetičkom nefropatijom.</w:t>
      </w:r>
    </w:p>
    <w:p w14:paraId="21147D97">
      <w:pPr>
        <w:pStyle w:val="38"/>
        <w:jc w:val="both"/>
        <w:rPr>
          <w:rFonts w:ascii="Microsoft Sans Serif" w:hAnsi="Microsoft Sans Serif" w:cs="Microsoft Sans Serif"/>
          <w:sz w:val="20"/>
          <w:szCs w:val="20"/>
        </w:rPr>
      </w:pPr>
      <w:r>
        <w:rPr>
          <w:rFonts w:ascii="Microsoft Sans Serif" w:hAnsi="Microsoft Sans Serif" w:cs="Microsoft Sans Serif"/>
          <w:iCs/>
          <w:sz w:val="20"/>
          <w:szCs w:val="20"/>
        </w:rPr>
        <w:t xml:space="preserve"> </w:t>
      </w:r>
    </w:p>
    <w:p w14:paraId="2A22CB0B">
      <w:pPr>
        <w:shd w:val="clear" w:color="auto" w:fill="FFFFFF"/>
        <w:jc w:val="both"/>
        <w:rPr>
          <w:rFonts w:ascii="Microsoft Sans Serif" w:hAnsi="Microsoft Sans Serif" w:cs="Microsoft Sans Serif"/>
          <w:sz w:val="20"/>
        </w:rPr>
      </w:pPr>
      <w:r>
        <w:rPr>
          <w:rFonts w:ascii="Microsoft Sans Serif" w:hAnsi="Microsoft Sans Serif" w:cs="Microsoft Sans Serif"/>
          <w:iCs/>
          <w:sz w:val="20"/>
        </w:rPr>
        <w:t xml:space="preserve">ALTITUDE (eng. </w:t>
      </w:r>
      <w:r>
        <w:rPr>
          <w:rFonts w:ascii="Microsoft Sans Serif" w:hAnsi="Microsoft Sans Serif" w:cs="Microsoft Sans Serif"/>
          <w:i/>
          <w:iCs/>
          <w:sz w:val="20"/>
        </w:rPr>
        <w:t>Aliskiren Trial in Type 2 Diabetes Using Cardiovascular and Renal Disease Endpoints</w:t>
      </w:r>
      <w:r>
        <w:rPr>
          <w:rFonts w:ascii="Microsoft Sans Serif" w:hAnsi="Microsoft Sans Serif" w:cs="Microsoft Sans Serif"/>
          <w:iCs/>
          <w:sz w:val="20"/>
        </w:rPr>
        <w:t>) je bilo ispitivanje osmišljeno za testiranje koristi dodavanja aliskirena standardnoj terapiji sa ACE inhibitorom ili blokatorom angiotenzin II receptora kod pacijenata sa šećernom bolešću tipa 2 i hroničnom bolešću bubrega, kardiovaskularnom bolešću ili oboje. Ispitivanje je bilo prijevremeno prekinuto zbog povećanog rizika od štetnih ishoda. Kardiovaskularna smrt i moždani udar oboje su numerički bili učestaliji u grupi koja je primala aliskiren nego u onoj koja je primala placebo, a štetni događaji i ozbiljni štetni događaji od značaja (hiperkalemija, hipotenzija i bubrežna disfunkcija) bili su učestalije zabilježeni u grupi koja je primala aliskiren nego u onoj koja je primala placebo.</w:t>
      </w:r>
    </w:p>
    <w:p w14:paraId="13D43FE3">
      <w:pPr>
        <w:jc w:val="both"/>
        <w:rPr>
          <w:rFonts w:ascii="Microsoft Sans Serif" w:hAnsi="Microsoft Sans Serif" w:cs="Microsoft Sans Serif"/>
          <w:sz w:val="20"/>
        </w:rPr>
      </w:pPr>
    </w:p>
    <w:p w14:paraId="50A3A79A">
      <w:pPr>
        <w:jc w:val="both"/>
        <w:rPr>
          <w:rFonts w:ascii="Microsoft Sans Serif" w:hAnsi="Microsoft Sans Serif" w:cs="Microsoft Sans Serif"/>
          <w:sz w:val="20"/>
          <w:u w:val="single"/>
        </w:rPr>
      </w:pPr>
      <w:r>
        <w:rPr>
          <w:rFonts w:ascii="Microsoft Sans Serif" w:hAnsi="Microsoft Sans Serif" w:cs="Microsoft Sans Serif"/>
          <w:sz w:val="20"/>
          <w:u w:val="single"/>
        </w:rPr>
        <w:t>Pedijatrijska populacija</w:t>
      </w:r>
    </w:p>
    <w:p w14:paraId="3161AB5E">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U kliničkom ispitivanju koje je uključivalo 115 hipertenzivnih pedijatrijskih pacijenata starosti od 6 do 16 godina, pacijenti koji su imali manje od 50 kg tjelesne mase primali su 0,625 mg, 2,5 mg ili 20 mg lizinoprila jednom dnevno, a pacijenti tjelesne mase 50 kg i više primali su 1,25 mg, 5 mg ili 40 mg lizinoprila jednom dnevno. Na kraju druge sedmice primjene, lizinopril, koji je primjenjivan jednom dnevno, pokazao je antihipertenzivan efekat zavisno o primijenjenoj dozi i bio je održan pri dozama većim od 1,25 mg.</w:t>
      </w:r>
    </w:p>
    <w:p w14:paraId="0AF8089F">
      <w:pPr>
        <w:shd w:val="clear" w:color="auto" w:fill="FFFFFF"/>
        <w:jc w:val="both"/>
        <w:rPr>
          <w:rFonts w:ascii="Microsoft Sans Serif" w:hAnsi="Microsoft Sans Serif" w:cs="Microsoft Sans Serif"/>
          <w:color w:val="000000"/>
          <w:sz w:val="20"/>
        </w:rPr>
      </w:pPr>
    </w:p>
    <w:p w14:paraId="686F7C93">
      <w:pPr>
        <w:shd w:val="clear" w:color="auto" w:fill="FFFFFF"/>
        <w:jc w:val="both"/>
        <w:rPr>
          <w:rFonts w:ascii="Microsoft Sans Serif" w:hAnsi="Microsoft Sans Serif" w:cs="Microsoft Sans Serif"/>
          <w:color w:val="000000"/>
          <w:sz w:val="20"/>
        </w:rPr>
      </w:pPr>
      <w:r>
        <w:rPr>
          <w:rFonts w:ascii="Microsoft Sans Serif" w:hAnsi="Microsoft Sans Serif" w:cs="Microsoft Sans Serif"/>
          <w:color w:val="000000"/>
          <w:sz w:val="20"/>
        </w:rPr>
        <w:t>Efekat je bio potvrđen nakon prestanka primjene lijeka, kada se dijastolni pritisak povisio za oko 9 mm Hg više kod pacijenata randomiziranih u placebo grupu, u usporedbi sa pacijentima randomiziranim u grupe sa srednjom ili velikom dozom lizinoprila. Antihipertenzivni efekat lizinoprila, koji je zavisan o dozi, ostao je nepromijenjen u nekoliko demografskih podgrupa definiranim prema: životnoj dobi, stepenima pubertetskog razvoja prema Tanneru, spolu i rasi.</w:t>
      </w:r>
    </w:p>
    <w:p w14:paraId="180AF1D1">
      <w:pPr>
        <w:jc w:val="both"/>
        <w:rPr>
          <w:rFonts w:ascii="Microsoft Sans Serif" w:hAnsi="Microsoft Sans Serif" w:cs="Microsoft Sans Serif"/>
          <w:sz w:val="20"/>
        </w:rPr>
      </w:pPr>
    </w:p>
    <w:p w14:paraId="76EB8D4E">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5.2 </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Farmakokinetičke karakteristike</w:t>
      </w:r>
    </w:p>
    <w:p w14:paraId="4598D3E2">
      <w:pPr>
        <w:autoSpaceDE w:val="0"/>
        <w:autoSpaceDN w:val="0"/>
        <w:adjustRightInd w:val="0"/>
        <w:jc w:val="both"/>
        <w:rPr>
          <w:rFonts w:ascii="Microsoft Sans Serif" w:hAnsi="Microsoft Sans Serif" w:cs="Microsoft Sans Serif"/>
          <w:sz w:val="20"/>
          <w:lang w:val="sr-Latn-BA"/>
        </w:rPr>
      </w:pPr>
    </w:p>
    <w:p w14:paraId="13056A55">
      <w:pPr>
        <w:shd w:val="clear" w:color="auto" w:fill="FFFFFF"/>
        <w:rPr>
          <w:rFonts w:ascii="Microsoft Sans Serif" w:hAnsi="Microsoft Sans Serif" w:cs="Microsoft Sans Serif"/>
          <w:bCs/>
          <w:sz w:val="20"/>
        </w:rPr>
      </w:pPr>
      <w:r>
        <w:rPr>
          <w:rFonts w:ascii="Microsoft Sans Serif" w:hAnsi="Microsoft Sans Serif" w:cs="Microsoft Sans Serif"/>
          <w:bCs/>
          <w:sz w:val="20"/>
        </w:rPr>
        <w:t>Lizinopril je oralno aktivan ne-sulfhidrilni ACE-inhibitor.</w:t>
      </w:r>
    </w:p>
    <w:p w14:paraId="51CD0190">
      <w:pPr>
        <w:pStyle w:val="19"/>
        <w:tabs>
          <w:tab w:val="clear" w:pos="4320"/>
          <w:tab w:val="clear" w:pos="8640"/>
        </w:tabs>
        <w:jc w:val="both"/>
        <w:rPr>
          <w:rFonts w:ascii="Microsoft Sans Serif" w:hAnsi="Microsoft Sans Serif" w:cs="Microsoft Sans Serif"/>
          <w:b/>
          <w:sz w:val="20"/>
          <w:lang w:val="bs-Latn-BA"/>
        </w:rPr>
      </w:pPr>
    </w:p>
    <w:p w14:paraId="40C1E47A">
      <w:pPr>
        <w:pStyle w:val="19"/>
        <w:tabs>
          <w:tab w:val="clear" w:pos="4320"/>
          <w:tab w:val="clear" w:pos="8640"/>
        </w:tabs>
        <w:jc w:val="both"/>
        <w:rPr>
          <w:rFonts w:ascii="Microsoft Sans Serif" w:hAnsi="Microsoft Sans Serif" w:cs="Microsoft Sans Serif"/>
          <w:b/>
          <w:sz w:val="20"/>
          <w:lang w:val="bs-Latn-BA"/>
        </w:rPr>
      </w:pPr>
      <w:r>
        <w:rPr>
          <w:rFonts w:ascii="Microsoft Sans Serif" w:hAnsi="Microsoft Sans Serif" w:cs="Microsoft Sans Serif"/>
          <w:b/>
          <w:sz w:val="20"/>
          <w:lang w:val="bs-Latn-BA"/>
        </w:rPr>
        <w:t>Apsorpcija</w:t>
      </w:r>
    </w:p>
    <w:p w14:paraId="6966FD20">
      <w:pPr>
        <w:jc w:val="both"/>
        <w:rPr>
          <w:rStyle w:val="40"/>
          <w:rFonts w:ascii="Microsoft Sans Serif" w:hAnsi="Microsoft Sans Serif" w:cs="Microsoft Sans Serif"/>
          <w:sz w:val="20"/>
          <w:shd w:val="clear" w:color="auto" w:fill="FFFFFF"/>
          <w:lang w:val="bs-Latn-BA"/>
        </w:rPr>
      </w:pPr>
      <w:r>
        <w:rPr>
          <w:rStyle w:val="40"/>
          <w:rFonts w:ascii="Microsoft Sans Serif" w:hAnsi="Microsoft Sans Serif" w:cs="Microsoft Sans Serif"/>
          <w:sz w:val="20"/>
          <w:shd w:val="clear" w:color="auto" w:fill="FFFFFF"/>
          <w:lang w:val="bs-Latn-BA"/>
        </w:rPr>
        <w:t>Nakon oralne primjene lizinoprila,</w:t>
      </w:r>
      <w:r>
        <w:rPr>
          <w:rFonts w:ascii="Microsoft Sans Serif" w:hAnsi="Microsoft Sans Serif" w:cs="Microsoft Sans Serif"/>
          <w:color w:val="000000"/>
          <w:sz w:val="20"/>
        </w:rPr>
        <w:t xml:space="preserve"> maksimalne koncentracije u serumu postižu se unutar 7 sati,</w:t>
      </w:r>
      <w:r>
        <w:rPr>
          <w:rFonts w:ascii="Microsoft Sans Serif" w:hAnsi="Microsoft Sans Serif" w:cs="Microsoft Sans Serif"/>
          <w:sz w:val="20"/>
        </w:rPr>
        <w:t xml:space="preserve"> </w:t>
      </w:r>
      <w:r>
        <w:rPr>
          <w:rFonts w:ascii="Microsoft Sans Serif" w:hAnsi="Microsoft Sans Serif" w:cs="Microsoft Sans Serif"/>
          <w:color w:val="000000"/>
          <w:sz w:val="20"/>
        </w:rPr>
        <w:t>iako kod pacijenata sa akutnim infarktom miokarda to vrijeme može biti malo produženo</w:t>
      </w:r>
      <w:r>
        <w:rPr>
          <w:rStyle w:val="40"/>
          <w:rFonts w:ascii="Microsoft Sans Serif" w:hAnsi="Microsoft Sans Serif" w:cs="Microsoft Sans Serif"/>
          <w:sz w:val="20"/>
          <w:shd w:val="clear" w:color="auto" w:fill="FFFFFF"/>
          <w:lang w:val="bs-Latn-BA"/>
        </w:rPr>
        <w:t xml:space="preserve">. Zasnovano na ekskreciji u urinu, </w:t>
      </w:r>
      <w:r>
        <w:rPr>
          <w:rFonts w:ascii="Microsoft Sans Serif" w:hAnsi="Microsoft Sans Serif" w:cs="Microsoft Sans Serif"/>
          <w:color w:val="000000"/>
          <w:sz w:val="20"/>
          <w:lang w:val="bs-Latn-BA"/>
        </w:rPr>
        <w:t>p</w:t>
      </w:r>
      <w:r>
        <w:rPr>
          <w:rFonts w:ascii="Microsoft Sans Serif" w:hAnsi="Microsoft Sans Serif" w:cs="Microsoft Sans Serif"/>
          <w:color w:val="000000"/>
          <w:sz w:val="20"/>
        </w:rPr>
        <w:t xml:space="preserve">rosječni stepen </w:t>
      </w:r>
      <w:r>
        <w:rPr>
          <w:rStyle w:val="40"/>
          <w:rFonts w:ascii="Microsoft Sans Serif" w:hAnsi="Microsoft Sans Serif" w:cs="Microsoft Sans Serif"/>
          <w:sz w:val="20"/>
          <w:shd w:val="clear" w:color="auto" w:fill="FFFFFF"/>
          <w:lang w:val="bs-Latn-BA"/>
        </w:rPr>
        <w:t xml:space="preserve">apsorpcije </w:t>
      </w:r>
      <w:r>
        <w:rPr>
          <w:rFonts w:ascii="Microsoft Sans Serif" w:hAnsi="Microsoft Sans Serif" w:cs="Microsoft Sans Serif"/>
          <w:color w:val="000000"/>
          <w:sz w:val="20"/>
        </w:rPr>
        <w:t xml:space="preserve">iznosi </w:t>
      </w:r>
      <w:r>
        <w:rPr>
          <w:rStyle w:val="40"/>
          <w:rFonts w:ascii="Microsoft Sans Serif" w:hAnsi="Microsoft Sans Serif" w:cs="Microsoft Sans Serif"/>
          <w:sz w:val="20"/>
          <w:shd w:val="clear" w:color="auto" w:fill="FFFFFF"/>
          <w:lang w:val="bs-Latn-BA"/>
        </w:rPr>
        <w:t xml:space="preserve">oko 25% od primijenjene doze sa širokim interindividualnim varijacijama (6%-60%) u zavisnosti od raspona ispitivanih doza (5-80 mg). </w:t>
      </w:r>
    </w:p>
    <w:p w14:paraId="2F09A88A">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pacijenata sa insuficijencijom srca, apsolutna bioraspoloživost smanjena je za odprilike</w:t>
      </w:r>
      <w:r>
        <w:rPr>
          <w:rFonts w:ascii="Microsoft Sans Serif" w:hAnsi="Microsoft Sans Serif" w:cs="Microsoft Sans Serif"/>
          <w:sz w:val="20"/>
        </w:rPr>
        <w:t xml:space="preserve"> </w:t>
      </w:r>
      <w:r>
        <w:rPr>
          <w:rFonts w:ascii="Microsoft Sans Serif" w:hAnsi="Microsoft Sans Serif" w:cs="Microsoft Sans Serif"/>
          <w:color w:val="000000"/>
          <w:sz w:val="20"/>
        </w:rPr>
        <w:t>16%. Hrana nema uticaj na apsorpciju lizinoprila.</w:t>
      </w:r>
    </w:p>
    <w:p w14:paraId="20938FE6">
      <w:pPr>
        <w:jc w:val="both"/>
        <w:rPr>
          <w:rFonts w:ascii="Microsoft Sans Serif" w:hAnsi="Microsoft Sans Serif" w:cs="Microsoft Sans Serif"/>
          <w:sz w:val="20"/>
        </w:rPr>
      </w:pPr>
      <w:r>
        <w:rPr>
          <w:rFonts w:ascii="Microsoft Sans Serif" w:hAnsi="Microsoft Sans Serif" w:cs="Microsoft Sans Serif"/>
          <w:sz w:val="20"/>
          <w:shd w:val="clear" w:color="auto" w:fill="FFFFFF"/>
          <w:lang w:val="bs-Latn-BA"/>
        </w:rPr>
        <w:br w:type="textWrapping"/>
      </w:r>
      <w:r>
        <w:rPr>
          <w:rStyle w:val="40"/>
          <w:rFonts w:ascii="Microsoft Sans Serif" w:hAnsi="Microsoft Sans Serif" w:cs="Microsoft Sans Serif"/>
          <w:b/>
          <w:sz w:val="20"/>
          <w:lang w:val="bs-Latn-BA"/>
        </w:rPr>
        <w:t>Raspodjela</w:t>
      </w:r>
      <w:r>
        <w:rPr>
          <w:rStyle w:val="40"/>
          <w:rFonts w:ascii="Microsoft Sans Serif" w:hAnsi="Microsoft Sans Serif" w:cs="Microsoft Sans Serif"/>
          <w:sz w:val="20"/>
          <w:lang w:val="bs-Latn-BA"/>
        </w:rPr>
        <w:t xml:space="preserve"> </w:t>
      </w:r>
      <w:r>
        <w:rPr>
          <w:rFonts w:ascii="Microsoft Sans Serif" w:hAnsi="Microsoft Sans Serif" w:cs="Microsoft Sans Serif"/>
          <w:sz w:val="20"/>
          <w:lang w:val="bs-Latn-BA"/>
        </w:rPr>
        <w:br w:type="textWrapping"/>
      </w:r>
      <w:r>
        <w:rPr>
          <w:rFonts w:ascii="Microsoft Sans Serif" w:hAnsi="Microsoft Sans Serif" w:cs="Microsoft Sans Serif"/>
          <w:color w:val="000000"/>
          <w:sz w:val="20"/>
        </w:rPr>
        <w:t>Lizinopril se izgleda ne veže za proteine plazme osim za cirkulirajući enzim konverzije angiotenzina (ACE). Studije na pacovima pokazale su da lizinopril slabo prolazi krvno-moždanu barijeru.</w:t>
      </w:r>
    </w:p>
    <w:p w14:paraId="14784343">
      <w:pPr>
        <w:pStyle w:val="19"/>
        <w:tabs>
          <w:tab w:val="clear" w:pos="4320"/>
          <w:tab w:val="clear" w:pos="8640"/>
        </w:tabs>
        <w:jc w:val="both"/>
        <w:rPr>
          <w:rFonts w:ascii="Microsoft Sans Serif" w:hAnsi="Microsoft Sans Serif" w:cs="Microsoft Sans Serif"/>
          <w:i/>
          <w:sz w:val="20"/>
          <w:lang w:val="bs-Latn-BA"/>
        </w:rPr>
      </w:pPr>
    </w:p>
    <w:p w14:paraId="64B9309D">
      <w:pPr>
        <w:pStyle w:val="19"/>
        <w:tabs>
          <w:tab w:val="clear" w:pos="4320"/>
          <w:tab w:val="clear" w:pos="8640"/>
        </w:tabs>
        <w:jc w:val="both"/>
        <w:rPr>
          <w:rFonts w:ascii="Microsoft Sans Serif" w:hAnsi="Microsoft Sans Serif" w:cs="Microsoft Sans Serif"/>
          <w:b/>
          <w:sz w:val="20"/>
          <w:lang w:val="bs-Latn-BA"/>
        </w:rPr>
      </w:pPr>
      <w:r>
        <w:rPr>
          <w:rFonts w:ascii="Microsoft Sans Serif" w:hAnsi="Microsoft Sans Serif" w:cs="Microsoft Sans Serif"/>
          <w:b/>
          <w:sz w:val="20"/>
          <w:lang w:val="bs-Latn-BA"/>
        </w:rPr>
        <w:t>Izlučivanje</w:t>
      </w:r>
    </w:p>
    <w:p w14:paraId="2F8AD79E">
      <w:pPr>
        <w:shd w:val="clear" w:color="auto" w:fill="FFFFFF"/>
        <w:jc w:val="both"/>
        <w:rPr>
          <w:rFonts w:ascii="Microsoft Sans Serif" w:hAnsi="Microsoft Sans Serif" w:cs="Microsoft Sans Serif"/>
          <w:sz w:val="20"/>
        </w:rPr>
      </w:pPr>
      <w:r>
        <w:rPr>
          <w:rStyle w:val="41"/>
          <w:rFonts w:ascii="Microsoft Sans Serif" w:hAnsi="Microsoft Sans Serif" w:cs="Microsoft Sans Serif"/>
          <w:sz w:val="20"/>
          <w:lang w:val="bs-Latn-BA"/>
        </w:rPr>
        <w:t>Lizinopril</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podliježe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metabolizovanju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potpuno</w:t>
      </w:r>
      <w:r>
        <w:rPr>
          <w:rStyle w:val="40"/>
          <w:rFonts w:ascii="Microsoft Sans Serif" w:hAnsi="Microsoft Sans Serif" w:cs="Microsoft Sans Serif"/>
          <w:sz w:val="20"/>
          <w:lang w:val="bs-Latn-BA"/>
        </w:rPr>
        <w:t xml:space="preserve"> se </w:t>
      </w:r>
      <w:r>
        <w:rPr>
          <w:rStyle w:val="41"/>
          <w:rFonts w:ascii="Microsoft Sans Serif" w:hAnsi="Microsoft Sans Serif" w:cs="Microsoft Sans Serif"/>
          <w:sz w:val="20"/>
          <w:lang w:val="bs-Latn-BA"/>
        </w:rPr>
        <w:t>izlučuje</w:t>
      </w:r>
      <w:r>
        <w:rPr>
          <w:rStyle w:val="40"/>
          <w:rFonts w:ascii="Microsoft Sans Serif" w:hAnsi="Microsoft Sans Serif" w:cs="Microsoft Sans Serif"/>
          <w:sz w:val="20"/>
          <w:lang w:val="bs-Latn-BA"/>
        </w:rPr>
        <w:t xml:space="preserve"> nepromjenjen </w:t>
      </w:r>
      <w:r>
        <w:rPr>
          <w:rStyle w:val="41"/>
          <w:rFonts w:ascii="Microsoft Sans Serif" w:hAnsi="Microsoft Sans Serif" w:cs="Microsoft Sans Serif"/>
          <w:sz w:val="20"/>
          <w:lang w:val="bs-Latn-BA"/>
        </w:rPr>
        <w:t>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urinu.</w:t>
      </w:r>
      <w:r>
        <w:rPr>
          <w:rFonts w:ascii="Microsoft Sans Serif" w:hAnsi="Microsoft Sans Serif" w:cs="Microsoft Sans Serif"/>
          <w:color w:val="000000"/>
          <w:sz w:val="20"/>
        </w:rPr>
        <w:t xml:space="preserve"> Nakon višekratnog doziranja lizinopril ima poluvrijeme akumulacije od 12,6 sati. Klirens lizinoprila kod zdravih osoba je odprilike 50 ml/min. Pri eliminaciji se javlja produžena završna faza, međutim, ona ne doprinosi akumulaciji lijeka. Spomenuta završna faza vjerojatno se javlja kao posljedica zasićenja vezivanja za ACE i nije proporcionalna dozi.</w:t>
      </w:r>
    </w:p>
    <w:p w14:paraId="7C7EA767">
      <w:pPr>
        <w:jc w:val="both"/>
        <w:rPr>
          <w:rFonts w:ascii="Microsoft Sans Serif" w:hAnsi="Microsoft Sans Serif" w:cs="Microsoft Sans Serif"/>
          <w:sz w:val="20"/>
          <w:lang w:val="pl-PL"/>
        </w:rPr>
      </w:pPr>
    </w:p>
    <w:p w14:paraId="21E926E9">
      <w:pPr>
        <w:shd w:val="clear" w:color="auto" w:fill="FFFFFF"/>
        <w:jc w:val="both"/>
        <w:rPr>
          <w:rFonts w:ascii="Microsoft Sans Serif" w:hAnsi="Microsoft Sans Serif" w:cs="Microsoft Sans Serif"/>
          <w:b/>
          <w:sz w:val="20"/>
        </w:rPr>
      </w:pPr>
      <w:r>
        <w:rPr>
          <w:rFonts w:ascii="Microsoft Sans Serif" w:hAnsi="Microsoft Sans Serif" w:cs="Microsoft Sans Serif"/>
          <w:b/>
          <w:iCs/>
          <w:color w:val="000000"/>
          <w:sz w:val="20"/>
        </w:rPr>
        <w:t>Pacijenti sa poremećenom funkcijom jetre</w:t>
      </w:r>
    </w:p>
    <w:p w14:paraId="0886824E">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Poremećenje funkcije jetre kod pacijenata sa cirozom jetre dovodi do smanjene apsorpcije lizinoprila (oko 30%), međutim, zbog smanjenog klirensa, dolazi i do produženja izloženosti lijeku (oko 50%) u usporedbi sa zdravim osobama.</w:t>
      </w:r>
    </w:p>
    <w:p w14:paraId="2B418CA8">
      <w:pPr>
        <w:jc w:val="both"/>
        <w:rPr>
          <w:rFonts w:ascii="Microsoft Sans Serif" w:hAnsi="Microsoft Sans Serif" w:cs="Microsoft Sans Serif"/>
          <w:sz w:val="20"/>
          <w:lang w:val="bs-Latn-BA"/>
        </w:rPr>
      </w:pPr>
    </w:p>
    <w:p w14:paraId="0CBDC3DA">
      <w:pPr>
        <w:shd w:val="clear" w:color="auto" w:fill="FFFFFF"/>
        <w:jc w:val="both"/>
        <w:rPr>
          <w:rFonts w:ascii="Microsoft Sans Serif" w:hAnsi="Microsoft Sans Serif" w:cs="Microsoft Sans Serif"/>
          <w:b/>
          <w:sz w:val="20"/>
        </w:rPr>
      </w:pPr>
      <w:r>
        <w:rPr>
          <w:rFonts w:ascii="Microsoft Sans Serif" w:hAnsi="Microsoft Sans Serif" w:cs="Microsoft Sans Serif"/>
          <w:b/>
          <w:iCs/>
          <w:color w:val="000000"/>
          <w:sz w:val="20"/>
        </w:rPr>
        <w:t>Pacijenti sa poremećenom funkcijom bubrega</w:t>
      </w:r>
    </w:p>
    <w:p w14:paraId="670F4C39">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pacijenata sa poremećenom funkcijom bubrega izlučivanje lizinoprila je smanjeno, međutim, to ima klinički značaj samo kada je glomerularna filtracija &lt;30 ml/min. U slučajevima blago do umjereno poremećene funkcije bubrega (klirens kreatinina 30-80 ml/min) prosječna AUC (površina ispod koncentracijske krivulje) bila je povećana za svega 13%, dok je sa druge strane, u slučajevima teško poremećene funkcije bubrega (klirens kreatinina 5-30 ml/min), bila povećana 4,5 puta.</w:t>
      </w:r>
    </w:p>
    <w:p w14:paraId="50EC123A">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Lizinopril se može odstraniti postupkom dijalize. Tokom 4 sata hemodiljalize, koncentracija lizinoprila u plazmi smanjuje se za prosječno 60%, uz klirens dijalize između 40 i 55 ml/min.</w:t>
      </w:r>
    </w:p>
    <w:p w14:paraId="0B842E04">
      <w:pPr>
        <w:jc w:val="both"/>
        <w:rPr>
          <w:rFonts w:ascii="Microsoft Sans Serif" w:hAnsi="Microsoft Sans Serif" w:cs="Microsoft Sans Serif"/>
          <w:sz w:val="20"/>
          <w:lang w:val="bs-Latn-BA"/>
        </w:rPr>
      </w:pPr>
    </w:p>
    <w:p w14:paraId="68E5F4FD">
      <w:pPr>
        <w:shd w:val="clear" w:color="auto" w:fill="FFFFFF"/>
        <w:jc w:val="both"/>
        <w:rPr>
          <w:rFonts w:ascii="Microsoft Sans Serif" w:hAnsi="Microsoft Sans Serif" w:cs="Microsoft Sans Serif"/>
          <w:b/>
          <w:sz w:val="20"/>
        </w:rPr>
      </w:pPr>
      <w:r>
        <w:rPr>
          <w:rFonts w:ascii="Microsoft Sans Serif" w:hAnsi="Microsoft Sans Serif" w:cs="Microsoft Sans Serif"/>
          <w:b/>
          <w:iCs/>
          <w:color w:val="000000"/>
          <w:sz w:val="20"/>
        </w:rPr>
        <w:t>Pacijenti sa insuficijencijom srca</w:t>
      </w:r>
    </w:p>
    <w:p w14:paraId="58F48E30">
      <w:pPr>
        <w:shd w:val="clear" w:color="auto" w:fill="FFFFFF"/>
        <w:jc w:val="both"/>
        <w:rPr>
          <w:rFonts w:ascii="Microsoft Sans Serif" w:hAnsi="Microsoft Sans Serif" w:cs="Microsoft Sans Serif"/>
          <w:sz w:val="20"/>
        </w:rPr>
      </w:pP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 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insuficijencijom srca</w:t>
      </w:r>
      <w:r>
        <w:rPr>
          <w:rStyle w:val="40"/>
          <w:rFonts w:ascii="Microsoft Sans Serif" w:hAnsi="Microsoft Sans Serif" w:cs="Microsoft Sans Serif"/>
          <w:sz w:val="20"/>
          <w:lang w:val="bs-Latn-BA"/>
        </w:rPr>
        <w:t xml:space="preserve"> </w:t>
      </w:r>
      <w:r>
        <w:rPr>
          <w:rFonts w:ascii="Microsoft Sans Serif" w:hAnsi="Microsoft Sans Serif" w:cs="Microsoft Sans Serif"/>
          <w:color w:val="000000"/>
          <w:sz w:val="20"/>
        </w:rPr>
        <w:t>postoji povećana izloženost lijeku u usporedbi sa zdravim osobama (povećanje AUC za prosječno 125%), međutim, u njih postoji smanjena apsorpcija lizinoprila za oko 16%.</w:t>
      </w:r>
    </w:p>
    <w:p w14:paraId="38FFA014">
      <w:pPr>
        <w:jc w:val="both"/>
        <w:rPr>
          <w:rStyle w:val="41"/>
          <w:rFonts w:ascii="Microsoft Sans Serif" w:hAnsi="Microsoft Sans Serif" w:cs="Microsoft Sans Serif"/>
          <w:b/>
          <w:sz w:val="20"/>
          <w:lang w:val="bs-Latn-BA"/>
        </w:rPr>
      </w:pPr>
      <w:r>
        <w:rPr>
          <w:rFonts w:ascii="Microsoft Sans Serif" w:hAnsi="Microsoft Sans Serif" w:cs="Microsoft Sans Serif"/>
          <w:sz w:val="20"/>
          <w:lang w:val="bs-Latn-BA"/>
        </w:rPr>
        <w:br w:type="textWrapping"/>
      </w:r>
      <w:r>
        <w:rPr>
          <w:rStyle w:val="41"/>
          <w:rFonts w:ascii="Microsoft Sans Serif" w:hAnsi="Microsoft Sans Serif" w:cs="Microsoft Sans Serif"/>
          <w:b/>
          <w:sz w:val="20"/>
          <w:lang w:val="bs-Latn-BA"/>
        </w:rPr>
        <w:t>Pedijatrijska populacija</w:t>
      </w:r>
    </w:p>
    <w:p w14:paraId="41ACF489">
      <w:pPr>
        <w:jc w:val="both"/>
        <w:rPr>
          <w:rStyle w:val="40"/>
          <w:rFonts w:ascii="Microsoft Sans Serif" w:hAnsi="Microsoft Sans Serif" w:cs="Microsoft Sans Serif"/>
          <w:sz w:val="20"/>
          <w:lang w:val="bs-Latn-BA"/>
        </w:rPr>
      </w:pPr>
      <w:r>
        <w:rPr>
          <w:rStyle w:val="41"/>
          <w:rFonts w:ascii="Microsoft Sans Serif" w:hAnsi="Microsoft Sans Serif" w:cs="Microsoft Sans Serif"/>
          <w:sz w:val="20"/>
          <w:lang w:val="bs-Latn-BA"/>
        </w:rPr>
        <w:t>Farmakokinetski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profil</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lizinoprila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bio je ispitivan 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29</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pedijatrijskih</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 sa hipertenzijom,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uzrasta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šest</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 16 godina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uz</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stopu glomerularne filtracije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iznad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30</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ml/min/1,73</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w:t>
      </w:r>
      <w:r>
        <w:rPr>
          <w:rStyle w:val="41"/>
          <w:rFonts w:ascii="Microsoft Sans Serif" w:hAnsi="Microsoft Sans Serif" w:cs="Microsoft Sans Serif"/>
          <w:sz w:val="20"/>
          <w:vertAlign w:val="superscript"/>
          <w:lang w:val="bs-Latn-BA"/>
        </w:rPr>
        <w:t>2</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dozi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0,1 mg/kg do 0,2</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mg/kg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koncentracije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dinamičke ravnoteže</w:t>
      </w:r>
      <w:r>
        <w:rPr>
          <w:rStyle w:val="40"/>
          <w:rFonts w:ascii="Microsoft Sans Serif" w:hAnsi="Microsoft Sans Serif" w:cs="Microsoft Sans Serif"/>
          <w:sz w:val="20"/>
          <w:lang w:val="bs-Latn-BA"/>
        </w:rPr>
        <w:t xml:space="preserve"> </w:t>
      </w:r>
      <w:r>
        <w:rPr>
          <w:rStyle w:val="44"/>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steady </w:t>
      </w:r>
      <w:r>
        <w:rPr>
          <w:rStyle w:val="41"/>
          <w:rFonts w:ascii="Microsoft Sans Serif" w:hAnsi="Microsoft Sans Serif" w:cs="Microsoft Sans Serif"/>
          <w:sz w:val="20"/>
          <w:lang w:val="bs-Latn-BA"/>
        </w:rPr>
        <w:t>state)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postignute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su nakon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šest sati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 stepen apsorpcije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utvrđen na osnovu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iznosa koji je nađen</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urinu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oko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28</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Ove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vrijednosti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slične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su onima koje su utvrđene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odraslih</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pacijenata</w:t>
      </w:r>
      <w:r>
        <w:rPr>
          <w:rStyle w:val="40"/>
          <w:rFonts w:ascii="Microsoft Sans Serif" w:hAnsi="Microsoft Sans Serif" w:cs="Microsoft Sans Serif"/>
          <w:sz w:val="20"/>
          <w:lang w:val="bs-Latn-BA"/>
        </w:rPr>
        <w:t>.</w:t>
      </w:r>
    </w:p>
    <w:p w14:paraId="232DFA5F">
      <w:pPr>
        <w:jc w:val="both"/>
        <w:rPr>
          <w:rStyle w:val="40"/>
          <w:rFonts w:ascii="Microsoft Sans Serif" w:hAnsi="Microsoft Sans Serif" w:cs="Microsoft Sans Serif"/>
          <w:sz w:val="20"/>
          <w:lang w:val="bs-Latn-BA"/>
        </w:rPr>
      </w:pPr>
      <w:r>
        <w:rPr>
          <w:rStyle w:val="40"/>
          <w:rFonts w:ascii="Microsoft Sans Serif" w:hAnsi="Microsoft Sans Serif" w:cs="Microsoft Sans Serif"/>
          <w:sz w:val="20"/>
          <w:lang w:val="bs-Latn-BA"/>
        </w:rPr>
        <w:t xml:space="preserve">Vrijednosti </w:t>
      </w:r>
      <w:r>
        <w:rPr>
          <w:rStyle w:val="41"/>
          <w:rFonts w:ascii="Microsoft Sans Serif" w:hAnsi="Microsoft Sans Serif" w:cs="Microsoft Sans Serif"/>
          <w:sz w:val="20"/>
          <w:lang w:val="bs-Latn-BA"/>
        </w:rPr>
        <w:t>AUC</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C</w:t>
      </w:r>
      <w:r>
        <w:rPr>
          <w:rStyle w:val="41"/>
          <w:rFonts w:ascii="Microsoft Sans Serif" w:hAnsi="Microsoft Sans Serif" w:cs="Microsoft Sans Serif"/>
          <w:sz w:val="20"/>
          <w:vertAlign w:val="subscript"/>
          <w:lang w:val="bs-Latn-BA"/>
        </w:rPr>
        <w:t>max</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djece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ovim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studijama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bile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su u skladu 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onima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kod</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odraslih</w:t>
      </w:r>
      <w:r>
        <w:rPr>
          <w:rStyle w:val="40"/>
          <w:rFonts w:ascii="Microsoft Sans Serif" w:hAnsi="Microsoft Sans Serif" w:cs="Microsoft Sans Serif"/>
          <w:sz w:val="20"/>
          <w:lang w:val="bs-Latn-BA"/>
        </w:rPr>
        <w:t>.</w:t>
      </w:r>
    </w:p>
    <w:p w14:paraId="35EAD6BE">
      <w:pPr>
        <w:jc w:val="both"/>
        <w:rPr>
          <w:rFonts w:ascii="Microsoft Sans Serif" w:hAnsi="Microsoft Sans Serif" w:cs="Microsoft Sans Serif"/>
          <w:sz w:val="20"/>
        </w:rPr>
      </w:pPr>
    </w:p>
    <w:p w14:paraId="0D3D14C3">
      <w:pPr>
        <w:shd w:val="clear" w:color="auto" w:fill="FFFFFF"/>
        <w:jc w:val="both"/>
        <w:rPr>
          <w:rFonts w:ascii="Microsoft Sans Serif" w:hAnsi="Microsoft Sans Serif" w:cs="Microsoft Sans Serif"/>
          <w:b/>
          <w:sz w:val="20"/>
        </w:rPr>
      </w:pPr>
      <w:r>
        <w:rPr>
          <w:rFonts w:ascii="Microsoft Sans Serif" w:hAnsi="Microsoft Sans Serif" w:cs="Microsoft Sans Serif"/>
          <w:b/>
          <w:iCs/>
          <w:color w:val="000000"/>
          <w:sz w:val="20"/>
        </w:rPr>
        <w:t>Stariji pacijenti</w:t>
      </w:r>
    </w:p>
    <w:p w14:paraId="7B52393B">
      <w:pPr>
        <w:shd w:val="clear" w:color="auto" w:fill="FFFFFF"/>
        <w:jc w:val="both"/>
        <w:rPr>
          <w:rFonts w:ascii="Microsoft Sans Serif" w:hAnsi="Microsoft Sans Serif" w:cs="Microsoft Sans Serif"/>
          <w:sz w:val="20"/>
        </w:rPr>
      </w:pPr>
      <w:r>
        <w:rPr>
          <w:rFonts w:ascii="Microsoft Sans Serif" w:hAnsi="Microsoft Sans Serif" w:cs="Microsoft Sans Serif"/>
          <w:color w:val="000000"/>
          <w:sz w:val="20"/>
        </w:rPr>
        <w:t>Kod starijih pacijenata uočene su veće koncentracije lizinoprila u krvi kao i veće vrijednosti</w:t>
      </w:r>
      <w:r>
        <w:rPr>
          <w:rFonts w:ascii="Microsoft Sans Serif" w:hAnsi="Microsoft Sans Serif" w:cs="Microsoft Sans Serif"/>
          <w:sz w:val="20"/>
        </w:rPr>
        <w:t xml:space="preserve"> </w:t>
      </w:r>
      <w:r>
        <w:rPr>
          <w:rFonts w:ascii="Microsoft Sans Serif" w:hAnsi="Microsoft Sans Serif" w:cs="Microsoft Sans Serif"/>
          <w:color w:val="000000"/>
          <w:sz w:val="20"/>
        </w:rPr>
        <w:t>AUC (za otprilike 60%) u odnosu na mlađe osobe.</w:t>
      </w:r>
    </w:p>
    <w:p w14:paraId="1C6A75B6">
      <w:pPr>
        <w:jc w:val="both"/>
        <w:rPr>
          <w:rFonts w:ascii="Microsoft Sans Serif" w:hAnsi="Microsoft Sans Serif" w:cs="Microsoft Sans Serif"/>
          <w:sz w:val="20"/>
        </w:rPr>
      </w:pPr>
    </w:p>
    <w:p w14:paraId="3B328289">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5.3</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Neklinički podaci o sigurnosti primjene </w:t>
      </w:r>
    </w:p>
    <w:p w14:paraId="1BC69D2F">
      <w:pPr>
        <w:jc w:val="both"/>
        <w:rPr>
          <w:rFonts w:ascii="Microsoft Sans Serif" w:hAnsi="Microsoft Sans Serif" w:cs="Microsoft Sans Serif"/>
          <w:sz w:val="20"/>
        </w:rPr>
      </w:pPr>
    </w:p>
    <w:p w14:paraId="2D88DEA1">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 xml:space="preserve">Neklinički podaci ne pokazuju poseban rizik za ljude na osnovu konvencionalnih ispitivanja </w:t>
      </w:r>
      <w:r>
        <w:rPr>
          <w:rFonts w:ascii="Microsoft Sans Serif" w:hAnsi="Microsoft Sans Serif" w:cs="Microsoft Sans Serif"/>
          <w:color w:val="000000"/>
          <w:sz w:val="20"/>
        </w:rPr>
        <w:t xml:space="preserve">opće farmakologije, </w:t>
      </w:r>
      <w:r>
        <w:rPr>
          <w:rFonts w:ascii="Microsoft Sans Serif" w:hAnsi="Microsoft Sans Serif" w:cs="Microsoft Sans Serif"/>
          <w:sz w:val="20"/>
          <w:lang w:val="bs-Latn-BA"/>
        </w:rPr>
        <w:t xml:space="preserve">toksičnosti ponovljenih doza, </w:t>
      </w:r>
      <w:r>
        <w:rPr>
          <w:rFonts w:ascii="Microsoft Sans Serif" w:hAnsi="Microsoft Sans Serif" w:cs="Microsoft Sans Serif"/>
          <w:color w:val="000000"/>
          <w:sz w:val="20"/>
        </w:rPr>
        <w:t xml:space="preserve">genotoksičnosti </w:t>
      </w:r>
      <w:r>
        <w:rPr>
          <w:rFonts w:ascii="Microsoft Sans Serif" w:hAnsi="Microsoft Sans Serif" w:cs="Microsoft Sans Serif"/>
          <w:sz w:val="20"/>
          <w:lang w:val="bs-Latn-BA"/>
        </w:rPr>
        <w:t>i kancerogenog potencijala.</w:t>
      </w:r>
    </w:p>
    <w:p w14:paraId="76D1960F">
      <w:pPr>
        <w:jc w:val="both"/>
        <w:rPr>
          <w:rStyle w:val="41"/>
          <w:rFonts w:ascii="Microsoft Sans Serif" w:hAnsi="Microsoft Sans Serif" w:cs="Microsoft Sans Serif"/>
          <w:sz w:val="20"/>
          <w:lang w:val="bs-Latn-BA"/>
        </w:rPr>
      </w:pPr>
    </w:p>
    <w:p w14:paraId="6176B9E7">
      <w:pPr>
        <w:jc w:val="both"/>
        <w:rPr>
          <w:rStyle w:val="40"/>
          <w:rFonts w:ascii="Microsoft Sans Serif" w:hAnsi="Microsoft Sans Serif" w:cs="Microsoft Sans Serif"/>
          <w:sz w:val="20"/>
          <w:lang w:val="bs-Latn-BA"/>
        </w:rPr>
      </w:pPr>
      <w:r>
        <w:rPr>
          <w:rFonts w:ascii="Microsoft Sans Serif" w:hAnsi="Microsoft Sans Serif" w:cs="Microsoft Sans Serif"/>
          <w:color w:val="000000"/>
          <w:sz w:val="20"/>
        </w:rPr>
        <w:t>Uočeno je kako ACE-inhibitori kao klasa lijekova, uzrokuju nepoželjne efekte na razvoj fetusa u kasnoj fazi, što ima za posljedicu smrt fetusa te kongenitalne malformacije koje se naročito očituju na lobanji.</w:t>
      </w:r>
      <w:r>
        <w:rPr>
          <w:rStyle w:val="41"/>
          <w:rFonts w:ascii="Microsoft Sans Serif" w:hAnsi="Microsoft Sans Serif" w:cs="Microsoft Sans Serif"/>
          <w:sz w:val="20"/>
          <w:lang w:val="bs-Latn-BA"/>
        </w:rPr>
        <w:t xml:space="preserve"> </w:t>
      </w:r>
      <w:r>
        <w:rPr>
          <w:rFonts w:ascii="Microsoft Sans Serif" w:hAnsi="Microsoft Sans Serif" w:cs="Microsoft Sans Serif"/>
          <w:color w:val="000000"/>
          <w:sz w:val="20"/>
        </w:rPr>
        <w:t xml:space="preserve">Zabilježeni su takođe slučajevi fetotoksičnosti, intrauterinog zastoja rasta te otvorenog duktusa arteriozusa. </w:t>
      </w:r>
      <w:r>
        <w:rPr>
          <w:rStyle w:val="41"/>
          <w:rFonts w:ascii="Microsoft Sans Serif" w:hAnsi="Microsoft Sans Serif" w:cs="Microsoft Sans Serif"/>
          <w:sz w:val="20"/>
          <w:lang w:val="bs-Latn-BA"/>
        </w:rPr>
        <w:t>Smatra se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da su razvojni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poremećaji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djelimično</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zbog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direktnog efekta ACE-inhibitora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na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fetalni</w:t>
      </w:r>
      <w:r>
        <w:rPr>
          <w:rStyle w:val="40"/>
          <w:rFonts w:ascii="Microsoft Sans Serif" w:hAnsi="Microsoft Sans Serif" w:cs="Microsoft Sans Serif"/>
          <w:sz w:val="20"/>
          <w:lang w:val="bs-Latn-BA"/>
        </w:rPr>
        <w:t xml:space="preserve">n </w:t>
      </w:r>
      <w:r>
        <w:rPr>
          <w:rStyle w:val="41"/>
          <w:rFonts w:ascii="Microsoft Sans Serif" w:hAnsi="Microsoft Sans Serif" w:cs="Microsoft Sans Serif"/>
          <w:sz w:val="20"/>
          <w:lang w:val="bs-Latn-BA"/>
        </w:rPr>
        <w:t>renin</w:t>
      </w:r>
      <w:r>
        <w:rPr>
          <w:rStyle w:val="42"/>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angiotenzin </w:t>
      </w:r>
      <w:r>
        <w:rPr>
          <w:rStyle w:val="41"/>
          <w:rFonts w:ascii="Microsoft Sans Serif" w:hAnsi="Microsoft Sans Serif" w:cs="Microsoft Sans Serif"/>
          <w:sz w:val="20"/>
          <w:lang w:val="bs-Latn-BA"/>
        </w:rPr>
        <w:t>sistem</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ali</w:t>
      </w:r>
      <w:r>
        <w:rPr>
          <w:rStyle w:val="40"/>
          <w:rFonts w:ascii="Microsoft Sans Serif" w:hAnsi="Microsoft Sans Serif" w:cs="Microsoft Sans Serif"/>
          <w:sz w:val="20"/>
          <w:lang w:val="bs-Latn-BA"/>
        </w:rPr>
        <w:t xml:space="preserve"> i </w:t>
      </w:r>
      <w:r>
        <w:rPr>
          <w:rStyle w:val="41"/>
          <w:rFonts w:ascii="Microsoft Sans Serif" w:hAnsi="Microsoft Sans Serif" w:cs="Microsoft Sans Serif"/>
          <w:sz w:val="20"/>
          <w:lang w:val="bs-Latn-BA"/>
        </w:rPr>
        <w:t>zbog</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ishemije koja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proizlazi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iz</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majčine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hipotenzije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postepenog smanjivanja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u fetalnom</w:t>
      </w:r>
      <w:r>
        <w:rPr>
          <w:rStyle w:val="42"/>
          <w:rFonts w:ascii="Microsoft Sans Serif" w:hAnsi="Microsoft Sans Serif" w:cs="Microsoft Sans Serif"/>
          <w:sz w:val="20"/>
          <w:lang w:val="bs-Latn-BA"/>
        </w:rPr>
        <w:t>-</w:t>
      </w:r>
      <w:r>
        <w:rPr>
          <w:rStyle w:val="40"/>
          <w:rFonts w:ascii="Microsoft Sans Serif" w:hAnsi="Microsoft Sans Serif" w:cs="Microsoft Sans Serif"/>
          <w:sz w:val="20"/>
          <w:lang w:val="bs-Latn-BA"/>
        </w:rPr>
        <w:t xml:space="preserve">placentarnom </w:t>
      </w:r>
      <w:r>
        <w:rPr>
          <w:rStyle w:val="41"/>
          <w:rFonts w:ascii="Microsoft Sans Serif" w:hAnsi="Microsoft Sans Serif" w:cs="Microsoft Sans Serif"/>
          <w:sz w:val="20"/>
          <w:lang w:val="bs-Latn-BA"/>
        </w:rPr>
        <w:t>protoku krvi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i</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snabdijevanje</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fetusa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sa</w:t>
      </w:r>
      <w:r>
        <w:rPr>
          <w:rStyle w:val="40"/>
          <w:rFonts w:ascii="Microsoft Sans Serif" w:hAnsi="Microsoft Sans Serif" w:cs="Microsoft Sans Serif"/>
          <w:sz w:val="20"/>
          <w:lang w:val="bs-Latn-BA"/>
        </w:rPr>
        <w:t xml:space="preserve"> </w:t>
      </w:r>
      <w:r>
        <w:rPr>
          <w:rStyle w:val="41"/>
          <w:rFonts w:ascii="Microsoft Sans Serif" w:hAnsi="Microsoft Sans Serif" w:cs="Microsoft Sans Serif"/>
          <w:sz w:val="20"/>
          <w:lang w:val="bs-Latn-BA"/>
        </w:rPr>
        <w:t>kiseonikom i hranljivim supstancama</w:t>
      </w:r>
      <w:r>
        <w:rPr>
          <w:rStyle w:val="40"/>
          <w:rFonts w:ascii="Microsoft Sans Serif" w:hAnsi="Microsoft Sans Serif" w:cs="Microsoft Sans Serif"/>
          <w:sz w:val="20"/>
          <w:lang w:val="bs-Latn-BA"/>
        </w:rPr>
        <w:t>.</w:t>
      </w:r>
    </w:p>
    <w:p w14:paraId="22C6C7E2">
      <w:pPr>
        <w:jc w:val="both"/>
        <w:rPr>
          <w:rFonts w:ascii="Microsoft Sans Serif" w:hAnsi="Microsoft Sans Serif" w:cs="Microsoft Sans Serif"/>
          <w:sz w:val="20"/>
        </w:rPr>
      </w:pPr>
    </w:p>
    <w:p w14:paraId="3EEEF155">
      <w:pPr>
        <w:jc w:val="both"/>
        <w:rPr>
          <w:rFonts w:ascii="Microsoft Sans Serif" w:hAnsi="Microsoft Sans Serif" w:cs="Microsoft Sans Serif"/>
          <w:sz w:val="20"/>
          <w:lang w:val="ru-RU"/>
        </w:rPr>
      </w:pPr>
    </w:p>
    <w:p w14:paraId="6FAD279D">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6.</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FARMACEUTSKI PODACI </w:t>
      </w:r>
    </w:p>
    <w:p w14:paraId="60D594CA">
      <w:pPr>
        <w:jc w:val="both"/>
        <w:rPr>
          <w:rFonts w:ascii="Microsoft Sans Serif" w:hAnsi="Microsoft Sans Serif" w:cs="Microsoft Sans Serif"/>
          <w:b/>
          <w:sz w:val="20"/>
          <w:lang w:val="sr-Latn-BA"/>
        </w:rPr>
      </w:pPr>
    </w:p>
    <w:p w14:paraId="7CB9F2CE">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6.1</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Spisak pomoćnih supstanci</w:t>
      </w:r>
    </w:p>
    <w:p w14:paraId="04A4B87C">
      <w:pPr>
        <w:pStyle w:val="19"/>
        <w:tabs>
          <w:tab w:val="clear" w:pos="4320"/>
          <w:tab w:val="clear" w:pos="8640"/>
        </w:tabs>
        <w:jc w:val="both"/>
        <w:rPr>
          <w:rFonts w:ascii="Microsoft Sans Serif" w:hAnsi="Microsoft Sans Serif" w:cs="Microsoft Sans Serif"/>
          <w:sz w:val="20"/>
          <w:lang w:val="en-US"/>
        </w:rPr>
      </w:pPr>
    </w:p>
    <w:p w14:paraId="3E461309">
      <w:pPr>
        <w:pStyle w:val="38"/>
        <w:jc w:val="both"/>
        <w:rPr>
          <w:rFonts w:ascii="Microsoft Sans Serif" w:hAnsi="Microsoft Sans Serif" w:cs="Microsoft Sans Serif"/>
          <w:color w:val="auto"/>
          <w:sz w:val="20"/>
          <w:szCs w:val="20"/>
          <w:u w:val="single"/>
          <w:lang w:val="bs-Latn-BA"/>
        </w:rPr>
      </w:pPr>
      <w:r>
        <w:rPr>
          <w:rFonts w:ascii="Microsoft Sans Serif" w:hAnsi="Microsoft Sans Serif" w:cs="Microsoft Sans Serif"/>
          <w:color w:val="auto"/>
          <w:sz w:val="20"/>
          <w:szCs w:val="20"/>
          <w:u w:val="single"/>
          <w:lang w:val="bs-Latn-BA"/>
        </w:rPr>
        <w:t>Skopryl 5 mg tablete</w:t>
      </w:r>
    </w:p>
    <w:p w14:paraId="21551DA2">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Manitol; </w:t>
      </w:r>
    </w:p>
    <w:p w14:paraId="595E8FC4">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Kalcijum-hidrogenfosfat, bezvodni; </w:t>
      </w:r>
    </w:p>
    <w:p w14:paraId="1BBE29B9">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Skrob, kukuruzni; </w:t>
      </w:r>
    </w:p>
    <w:p w14:paraId="695357AD">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Skrob, preželatinizovani; </w:t>
      </w:r>
    </w:p>
    <w:p w14:paraId="3D576DE7">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iCs/>
          <w:color w:val="auto"/>
          <w:sz w:val="20"/>
          <w:szCs w:val="20"/>
          <w:lang w:val="bs-Latn-BA"/>
        </w:rPr>
        <w:t>Povidon;</w:t>
      </w:r>
      <w:r>
        <w:rPr>
          <w:rFonts w:ascii="Microsoft Sans Serif" w:hAnsi="Microsoft Sans Serif" w:cs="Microsoft Sans Serif"/>
          <w:color w:val="auto"/>
          <w:sz w:val="20"/>
          <w:szCs w:val="20"/>
          <w:lang w:val="bs-Latn-BA"/>
        </w:rPr>
        <w:t xml:space="preserve"> </w:t>
      </w:r>
    </w:p>
    <w:p w14:paraId="5E1FF987">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Magnezijum-stearat; </w:t>
      </w:r>
    </w:p>
    <w:p w14:paraId="0BB49C3E">
      <w:pPr>
        <w:pStyle w:val="38"/>
        <w:jc w:val="both"/>
        <w:rPr>
          <w:rFonts w:ascii="Microsoft Sans Serif" w:hAnsi="Microsoft Sans Serif" w:cs="Microsoft Sans Serif"/>
          <w:iCs/>
          <w:color w:val="auto"/>
          <w:sz w:val="20"/>
          <w:szCs w:val="20"/>
          <w:lang w:val="bs-Latn-BA"/>
        </w:rPr>
      </w:pPr>
      <w:r>
        <w:rPr>
          <w:rFonts w:ascii="Microsoft Sans Serif" w:hAnsi="Microsoft Sans Serif" w:cs="Microsoft Sans Serif"/>
          <w:iCs/>
          <w:color w:val="auto"/>
          <w:sz w:val="20"/>
          <w:szCs w:val="20"/>
          <w:lang w:val="bs-Latn-BA"/>
        </w:rPr>
        <w:t>Boja gvožđe-oksid, žuta (E 172).</w:t>
      </w:r>
    </w:p>
    <w:p w14:paraId="2ADAB517">
      <w:pPr>
        <w:pStyle w:val="19"/>
        <w:tabs>
          <w:tab w:val="clear" w:pos="4320"/>
          <w:tab w:val="clear" w:pos="8640"/>
        </w:tabs>
        <w:jc w:val="both"/>
        <w:rPr>
          <w:rFonts w:ascii="Microsoft Sans Serif" w:hAnsi="Microsoft Sans Serif" w:cs="Microsoft Sans Serif"/>
          <w:sz w:val="20"/>
          <w:lang w:val="en-US"/>
        </w:rPr>
      </w:pPr>
    </w:p>
    <w:p w14:paraId="23620089">
      <w:pPr>
        <w:pStyle w:val="38"/>
        <w:jc w:val="both"/>
        <w:rPr>
          <w:rFonts w:ascii="Microsoft Sans Serif" w:hAnsi="Microsoft Sans Serif" w:cs="Microsoft Sans Serif"/>
          <w:color w:val="auto"/>
          <w:sz w:val="20"/>
          <w:szCs w:val="20"/>
          <w:u w:val="single"/>
          <w:lang w:val="bs-Latn-BA"/>
        </w:rPr>
      </w:pPr>
      <w:r>
        <w:rPr>
          <w:rFonts w:ascii="Microsoft Sans Serif" w:hAnsi="Microsoft Sans Serif" w:cs="Microsoft Sans Serif"/>
          <w:color w:val="auto"/>
          <w:sz w:val="20"/>
          <w:szCs w:val="20"/>
          <w:u w:val="single"/>
          <w:lang w:val="bs-Latn-BA"/>
        </w:rPr>
        <w:t>Skopryl 10 mg tablete</w:t>
      </w:r>
    </w:p>
    <w:p w14:paraId="01BB3EB2">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Manitol; </w:t>
      </w:r>
    </w:p>
    <w:p w14:paraId="0760EB9D">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Kalcijum-hidrogenfosfat, bezvodni; </w:t>
      </w:r>
    </w:p>
    <w:p w14:paraId="2C3B9B50">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Skrob, kukuruzni; </w:t>
      </w:r>
    </w:p>
    <w:p w14:paraId="05C21C28">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Skrob, preželatinizovani; </w:t>
      </w:r>
    </w:p>
    <w:p w14:paraId="02BED56F">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iCs/>
          <w:color w:val="auto"/>
          <w:sz w:val="20"/>
          <w:szCs w:val="20"/>
          <w:lang w:val="bs-Latn-BA"/>
        </w:rPr>
        <w:t>Povidon;</w:t>
      </w:r>
      <w:r>
        <w:rPr>
          <w:rFonts w:ascii="Microsoft Sans Serif" w:hAnsi="Microsoft Sans Serif" w:cs="Microsoft Sans Serif"/>
          <w:color w:val="auto"/>
          <w:sz w:val="20"/>
          <w:szCs w:val="20"/>
          <w:lang w:val="bs-Latn-BA"/>
        </w:rPr>
        <w:t xml:space="preserve"> </w:t>
      </w:r>
    </w:p>
    <w:p w14:paraId="6E0EA334">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Magnezijum-stearat; </w:t>
      </w:r>
    </w:p>
    <w:p w14:paraId="4297F9F7">
      <w:pPr>
        <w:pStyle w:val="38"/>
        <w:jc w:val="both"/>
        <w:rPr>
          <w:rFonts w:ascii="Microsoft Sans Serif" w:hAnsi="Microsoft Sans Serif" w:cs="Microsoft Sans Serif"/>
          <w:iCs/>
          <w:color w:val="auto"/>
          <w:sz w:val="20"/>
          <w:szCs w:val="20"/>
          <w:lang w:val="bs-Latn-BA"/>
        </w:rPr>
      </w:pPr>
      <w:r>
        <w:rPr>
          <w:rFonts w:ascii="Microsoft Sans Serif" w:hAnsi="Microsoft Sans Serif" w:cs="Microsoft Sans Serif"/>
          <w:iCs/>
          <w:color w:val="auto"/>
          <w:sz w:val="20"/>
          <w:szCs w:val="20"/>
          <w:lang w:val="bs-Latn-BA"/>
        </w:rPr>
        <w:t>Boja gvožđe-oksid, žuta (E 172).</w:t>
      </w:r>
    </w:p>
    <w:p w14:paraId="5B5D5976">
      <w:pPr>
        <w:pStyle w:val="38"/>
        <w:jc w:val="both"/>
        <w:rPr>
          <w:rFonts w:ascii="Microsoft Sans Serif" w:hAnsi="Microsoft Sans Serif" w:cs="Microsoft Sans Serif"/>
          <w:color w:val="auto"/>
          <w:sz w:val="20"/>
          <w:szCs w:val="20"/>
        </w:rPr>
      </w:pPr>
    </w:p>
    <w:p w14:paraId="273DF0D1">
      <w:pPr>
        <w:pStyle w:val="38"/>
        <w:jc w:val="both"/>
        <w:rPr>
          <w:rFonts w:ascii="Microsoft Sans Serif" w:hAnsi="Microsoft Sans Serif" w:cs="Microsoft Sans Serif"/>
          <w:color w:val="auto"/>
          <w:sz w:val="20"/>
          <w:szCs w:val="20"/>
          <w:u w:val="single"/>
          <w:lang w:val="bs-Latn-BA"/>
        </w:rPr>
      </w:pPr>
      <w:r>
        <w:rPr>
          <w:rFonts w:ascii="Microsoft Sans Serif" w:hAnsi="Microsoft Sans Serif" w:cs="Microsoft Sans Serif"/>
          <w:color w:val="auto"/>
          <w:sz w:val="20"/>
          <w:szCs w:val="20"/>
          <w:u w:val="single"/>
          <w:lang w:val="bs-Latn-BA"/>
        </w:rPr>
        <w:t>Skopryl 20 mg tablete</w:t>
      </w:r>
    </w:p>
    <w:p w14:paraId="0E4C3973">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Manitol; </w:t>
      </w:r>
    </w:p>
    <w:p w14:paraId="1D44BB1C">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Kalcijum-hidrogenfosfat, bezvodni; </w:t>
      </w:r>
    </w:p>
    <w:p w14:paraId="70CADBD7">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Skrob, kukuruzni; </w:t>
      </w:r>
    </w:p>
    <w:p w14:paraId="3160A990">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 xml:space="preserve">Skrob, preželatinizovani; </w:t>
      </w:r>
    </w:p>
    <w:p w14:paraId="6455C6DD">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iCs/>
          <w:color w:val="auto"/>
          <w:sz w:val="20"/>
          <w:szCs w:val="20"/>
          <w:lang w:val="bs-Latn-BA"/>
        </w:rPr>
        <w:t>Povidon</w:t>
      </w:r>
      <w:r>
        <w:rPr>
          <w:rFonts w:ascii="Microsoft Sans Serif" w:hAnsi="Microsoft Sans Serif" w:cs="Microsoft Sans Serif"/>
          <w:color w:val="auto"/>
          <w:sz w:val="20"/>
          <w:szCs w:val="20"/>
          <w:lang w:val="bs-Latn-BA"/>
        </w:rPr>
        <w:t>;</w:t>
      </w:r>
    </w:p>
    <w:p w14:paraId="49BAE60D">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color w:val="auto"/>
          <w:sz w:val="20"/>
          <w:szCs w:val="20"/>
          <w:lang w:val="bs-Latn-BA"/>
        </w:rPr>
        <w:t>Magnezijum-stearat;</w:t>
      </w:r>
    </w:p>
    <w:p w14:paraId="22184B6E">
      <w:pPr>
        <w:pStyle w:val="38"/>
        <w:jc w:val="both"/>
        <w:rPr>
          <w:rFonts w:ascii="Microsoft Sans Serif" w:hAnsi="Microsoft Sans Serif" w:cs="Microsoft Sans Serif"/>
          <w:iCs/>
          <w:color w:val="auto"/>
          <w:sz w:val="20"/>
          <w:szCs w:val="20"/>
          <w:lang w:val="bs-Latn-BA"/>
        </w:rPr>
      </w:pPr>
      <w:r>
        <w:rPr>
          <w:rFonts w:ascii="Microsoft Sans Serif" w:hAnsi="Microsoft Sans Serif" w:cs="Microsoft Sans Serif"/>
          <w:iCs/>
          <w:color w:val="auto"/>
          <w:sz w:val="20"/>
          <w:szCs w:val="20"/>
          <w:lang w:val="bs-Latn-BA"/>
        </w:rPr>
        <w:t>Boja gvožđe-oksid, žuta (E 172);</w:t>
      </w:r>
    </w:p>
    <w:p w14:paraId="1912721C">
      <w:pPr>
        <w:pStyle w:val="38"/>
        <w:jc w:val="both"/>
        <w:rPr>
          <w:rFonts w:ascii="Microsoft Sans Serif" w:hAnsi="Microsoft Sans Serif" w:cs="Microsoft Sans Serif"/>
          <w:color w:val="auto"/>
          <w:sz w:val="20"/>
          <w:szCs w:val="20"/>
          <w:lang w:val="bs-Latn-BA"/>
        </w:rPr>
      </w:pPr>
      <w:r>
        <w:rPr>
          <w:rFonts w:ascii="Microsoft Sans Serif" w:hAnsi="Microsoft Sans Serif" w:cs="Microsoft Sans Serif"/>
          <w:iCs/>
          <w:color w:val="auto"/>
          <w:sz w:val="20"/>
          <w:szCs w:val="20"/>
          <w:lang w:val="bs-Latn-BA"/>
        </w:rPr>
        <w:t>Boja gvožđe-oksid, crvena (E 172).</w:t>
      </w:r>
    </w:p>
    <w:p w14:paraId="73B06A05">
      <w:pPr>
        <w:pStyle w:val="38"/>
        <w:jc w:val="both"/>
        <w:rPr>
          <w:rFonts w:ascii="Microsoft Sans Serif" w:hAnsi="Microsoft Sans Serif" w:cs="Microsoft Sans Serif"/>
          <w:color w:val="auto"/>
          <w:sz w:val="20"/>
          <w:szCs w:val="20"/>
          <w:highlight w:val="yellow"/>
          <w:lang w:val="en-US"/>
        </w:rPr>
      </w:pPr>
    </w:p>
    <w:p w14:paraId="51E03774">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6.2</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Inkompatibilnosti</w:t>
      </w:r>
    </w:p>
    <w:p w14:paraId="21BC3DE0">
      <w:pPr>
        <w:jc w:val="both"/>
        <w:rPr>
          <w:rFonts w:ascii="Microsoft Sans Serif" w:hAnsi="Microsoft Sans Serif" w:cs="Microsoft Sans Serif"/>
          <w:sz w:val="20"/>
        </w:rPr>
      </w:pPr>
    </w:p>
    <w:p w14:paraId="4D9E80F5">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Nije primjenljivo.</w:t>
      </w:r>
    </w:p>
    <w:p w14:paraId="54C614E3">
      <w:pPr>
        <w:jc w:val="both"/>
        <w:rPr>
          <w:rFonts w:ascii="Microsoft Sans Serif" w:hAnsi="Microsoft Sans Serif" w:cs="Microsoft Sans Serif"/>
          <w:sz w:val="20"/>
        </w:rPr>
      </w:pPr>
    </w:p>
    <w:p w14:paraId="4E1C3928">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6.3</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Rok trajanja</w:t>
      </w:r>
    </w:p>
    <w:p w14:paraId="2BC99491">
      <w:pPr>
        <w:jc w:val="both"/>
        <w:rPr>
          <w:rFonts w:ascii="Microsoft Sans Serif" w:hAnsi="Microsoft Sans Serif" w:cs="Microsoft Sans Serif"/>
          <w:sz w:val="20"/>
          <w:lang w:val="mk-MK"/>
        </w:rPr>
      </w:pPr>
    </w:p>
    <w:p w14:paraId="6F553AC4">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5 mg tableta: Tri (3) godine.</w:t>
      </w:r>
    </w:p>
    <w:p w14:paraId="33BC64F8">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10 mg i 20 mg tableta: Četiri (4) godine.</w:t>
      </w:r>
    </w:p>
    <w:p w14:paraId="5D7A49FF">
      <w:pPr>
        <w:jc w:val="both"/>
        <w:rPr>
          <w:rFonts w:ascii="Microsoft Sans Serif" w:hAnsi="Microsoft Sans Serif" w:cs="Microsoft Sans Serif"/>
          <w:sz w:val="20"/>
        </w:rPr>
      </w:pPr>
    </w:p>
    <w:p w14:paraId="3775958D">
      <w:pPr>
        <w:tabs>
          <w:tab w:val="left" w:pos="567"/>
        </w:tabs>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6.4 </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Posebne mjere  pri čuvanju lijeka</w:t>
      </w:r>
    </w:p>
    <w:p w14:paraId="34F71ADD">
      <w:pPr>
        <w:jc w:val="both"/>
        <w:rPr>
          <w:rFonts w:ascii="Microsoft Sans Serif" w:hAnsi="Microsoft Sans Serif" w:cs="Microsoft Sans Serif"/>
          <w:sz w:val="20"/>
          <w:lang w:val="mk-MK"/>
        </w:rPr>
      </w:pPr>
      <w:r>
        <w:rPr>
          <w:rFonts w:ascii="Microsoft Sans Serif" w:hAnsi="Microsoft Sans Serif" w:cs="Microsoft Sans Serif"/>
          <w:sz w:val="20"/>
          <w:lang w:val="mk-MK"/>
        </w:rPr>
        <w:tab/>
      </w:r>
    </w:p>
    <w:p w14:paraId="06CE658F">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Lijek treba čuvati na temperaturi do 25 °C.</w:t>
      </w:r>
    </w:p>
    <w:p w14:paraId="371AC730">
      <w:pPr>
        <w:pStyle w:val="19"/>
        <w:tabs>
          <w:tab w:val="clear" w:pos="4320"/>
          <w:tab w:val="clear" w:pos="8640"/>
        </w:tabs>
        <w:jc w:val="both"/>
        <w:rPr>
          <w:rFonts w:ascii="Microsoft Sans Serif" w:hAnsi="Microsoft Sans Serif" w:cs="Microsoft Sans Serif"/>
          <w:sz w:val="20"/>
          <w:lang w:val="ru-RU"/>
        </w:rPr>
      </w:pPr>
    </w:p>
    <w:p w14:paraId="195844AC">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6.5 </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Vrsta i sadržaj unutrašnjeg pakovanja kontejnera</w:t>
      </w:r>
    </w:p>
    <w:p w14:paraId="6A4F31DB">
      <w:pPr>
        <w:jc w:val="both"/>
        <w:rPr>
          <w:rFonts w:ascii="Microsoft Sans Serif" w:hAnsi="Microsoft Sans Serif" w:cs="Microsoft Sans Serif"/>
          <w:sz w:val="20"/>
        </w:rPr>
      </w:pPr>
      <w:r>
        <w:rPr>
          <w:rFonts w:ascii="Microsoft Sans Serif" w:hAnsi="Microsoft Sans Serif" w:cs="Microsoft Sans Serif"/>
          <w:sz w:val="20"/>
          <w:lang w:val="ru-RU"/>
        </w:rPr>
        <w:tab/>
      </w:r>
    </w:p>
    <w:p w14:paraId="7B388150">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Unutrašnje pakovanje je Аl/PVC blister. Svaki blister sadrži 10 tableta.</w:t>
      </w:r>
    </w:p>
    <w:p w14:paraId="41C5C356">
      <w:pPr>
        <w:jc w:val="both"/>
        <w:rPr>
          <w:rFonts w:ascii="Microsoft Sans Serif" w:hAnsi="Microsoft Sans Serif" w:cs="Microsoft Sans Serif"/>
          <w:color w:val="0000FF"/>
          <w:sz w:val="20"/>
          <w:lang w:val="bs-Latn-BA"/>
        </w:rPr>
      </w:pPr>
      <w:r>
        <w:rPr>
          <w:rFonts w:ascii="Microsoft Sans Serif" w:hAnsi="Microsoft Sans Serif" w:cs="Microsoft Sans Serif"/>
          <w:sz w:val="20"/>
          <w:lang w:val="bs-Latn-BA"/>
        </w:rPr>
        <w:t>Spoljašnje pakovanje je kartonska kutija koja sadrži 20 tableta (2 blistera) ili 30 tableta (3 blistera), uz priloženo Uputstvo za pacijenta.</w:t>
      </w:r>
    </w:p>
    <w:p w14:paraId="5AE39C06">
      <w:pPr>
        <w:jc w:val="both"/>
        <w:rPr>
          <w:rFonts w:ascii="Microsoft Sans Serif" w:hAnsi="Microsoft Sans Serif" w:cs="Microsoft Sans Serif"/>
          <w:sz w:val="20"/>
        </w:rPr>
      </w:pPr>
    </w:p>
    <w:p w14:paraId="68E56D97">
      <w:pPr>
        <w:numPr>
          <w:ilvl w:val="1"/>
          <w:numId w:val="5"/>
        </w:numPr>
        <w:ind w:left="0" w:firstLine="0"/>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Uputstva za upotrebu i rukovanje i posebne mjere za uklanjanje neiskorištenog lijeka ili otpadnih materijala koji potiču od lijeka </w:t>
      </w:r>
    </w:p>
    <w:p w14:paraId="44AA2AC6">
      <w:pPr>
        <w:jc w:val="both"/>
        <w:rPr>
          <w:rFonts w:ascii="Microsoft Sans Serif" w:hAnsi="Microsoft Sans Serif" w:cs="Microsoft Sans Serif"/>
          <w:sz w:val="20"/>
          <w:lang w:val="ru-RU"/>
        </w:rPr>
      </w:pPr>
    </w:p>
    <w:p w14:paraId="4F37BD81">
      <w:pPr>
        <w:tabs>
          <w:tab w:val="left" w:pos="567"/>
        </w:tabs>
        <w:jc w:val="both"/>
        <w:rPr>
          <w:rFonts w:ascii="Microsoft Sans Serif" w:hAnsi="Microsoft Sans Serif" w:cs="Microsoft Sans Serif"/>
          <w:sz w:val="20"/>
          <w:lang w:val="sr-Latn-BA"/>
        </w:rPr>
      </w:pPr>
      <w:r>
        <w:rPr>
          <w:rFonts w:ascii="Microsoft Sans Serif" w:hAnsi="Microsoft Sans Serif" w:cs="Microsoft Sans Serif"/>
          <w:sz w:val="20"/>
          <w:lang w:val="sr-Latn-BA"/>
        </w:rPr>
        <w:t xml:space="preserve">Nema posebnih zahtjeva. </w:t>
      </w:r>
    </w:p>
    <w:p w14:paraId="286DD3F5">
      <w:pPr>
        <w:jc w:val="both"/>
        <w:rPr>
          <w:rFonts w:ascii="Microsoft Sans Serif" w:hAnsi="Microsoft Sans Serif" w:cs="Microsoft Sans Serif"/>
          <w:sz w:val="20"/>
          <w:lang w:val="pl-PL"/>
        </w:rPr>
      </w:pPr>
      <w:r>
        <w:rPr>
          <w:rFonts w:ascii="Microsoft Sans Serif" w:hAnsi="Microsoft Sans Serif" w:cs="Microsoft Sans Serif"/>
          <w:sz w:val="20"/>
          <w:lang w:val="pl-PL"/>
        </w:rPr>
        <w:t>Sav neiskorišten lijek ili otpadni materijal treba zbrinuti u skladu sa lokalnim propisima.</w:t>
      </w:r>
    </w:p>
    <w:p w14:paraId="18692C88">
      <w:pPr>
        <w:jc w:val="both"/>
        <w:rPr>
          <w:rFonts w:ascii="Microsoft Sans Serif" w:hAnsi="Microsoft Sans Serif" w:cs="Microsoft Sans Serif"/>
          <w:sz w:val="20"/>
          <w:lang w:val="pl-PL"/>
        </w:rPr>
      </w:pPr>
    </w:p>
    <w:p w14:paraId="15DE1EAC">
      <w:pPr>
        <w:numPr>
          <w:ilvl w:val="1"/>
          <w:numId w:val="5"/>
        </w:numPr>
        <w:ind w:left="0" w:firstLine="0"/>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Režim izdavanja</w:t>
      </w:r>
    </w:p>
    <w:p w14:paraId="054B67FB">
      <w:pPr>
        <w:tabs>
          <w:tab w:val="left" w:pos="567"/>
        </w:tabs>
        <w:jc w:val="both"/>
        <w:rPr>
          <w:rFonts w:ascii="Microsoft Sans Serif" w:hAnsi="Microsoft Sans Serif" w:cs="Microsoft Sans Serif"/>
          <w:sz w:val="20"/>
          <w:lang w:val="sr-Latn-BA"/>
        </w:rPr>
      </w:pPr>
    </w:p>
    <w:p w14:paraId="38E0C434">
      <w:pPr>
        <w:jc w:val="both"/>
        <w:rPr>
          <w:rFonts w:ascii="Microsoft Sans Serif" w:hAnsi="Microsoft Sans Serif" w:cs="Microsoft Sans Serif"/>
          <w:sz w:val="20"/>
          <w:lang w:val="fr-FR"/>
        </w:rPr>
      </w:pPr>
      <w:r>
        <w:rPr>
          <w:rFonts w:ascii="Microsoft Sans Serif" w:hAnsi="Microsoft Sans Serif" w:cs="Microsoft Sans Serif"/>
          <w:sz w:val="20"/>
          <w:lang w:val="fr-FR"/>
        </w:rPr>
        <w:t>Lijek se izdaje uz ljekarski recept.</w:t>
      </w:r>
    </w:p>
    <w:p w14:paraId="21D3C553">
      <w:pPr>
        <w:jc w:val="both"/>
        <w:rPr>
          <w:rFonts w:ascii="Microsoft Sans Serif" w:hAnsi="Microsoft Sans Serif" w:cs="Microsoft Sans Serif"/>
          <w:sz w:val="20"/>
          <w:lang w:val="en-US" w:eastAsia="en-GB"/>
        </w:rPr>
      </w:pPr>
    </w:p>
    <w:p w14:paraId="5445D11A">
      <w:pPr>
        <w:jc w:val="both"/>
        <w:rPr>
          <w:rFonts w:ascii="Microsoft Sans Serif" w:hAnsi="Microsoft Sans Serif" w:cs="Microsoft Sans Serif"/>
          <w:sz w:val="20"/>
          <w:lang w:val="en-US" w:eastAsia="en-GB"/>
        </w:rPr>
      </w:pPr>
    </w:p>
    <w:p w14:paraId="1573A505">
      <w:pPr>
        <w:rPr>
          <w:rFonts w:ascii="Microsoft Sans Serif" w:hAnsi="Microsoft Sans Serif" w:cs="Microsoft Sans Serif"/>
          <w:b/>
          <w:sz w:val="20"/>
          <w:lang w:val="sr-Latn-BA"/>
        </w:rPr>
      </w:pPr>
      <w:r>
        <w:rPr>
          <w:rFonts w:ascii="Microsoft Sans Serif" w:hAnsi="Microsoft Sans Serif" w:cs="Microsoft Sans Serif"/>
          <w:b/>
          <w:sz w:val="20"/>
          <w:lang w:val="sr-Latn-BA"/>
        </w:rPr>
        <w:t>7.</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PROIZVOĐAČ </w:t>
      </w:r>
    </w:p>
    <w:p w14:paraId="108E6ABD">
      <w:pPr>
        <w:jc w:val="both"/>
        <w:rPr>
          <w:rFonts w:ascii="Microsoft Sans Serif" w:hAnsi="Microsoft Sans Serif" w:cs="Microsoft Sans Serif"/>
          <w:sz w:val="20"/>
          <w:lang w:val="hr-HR"/>
        </w:rPr>
      </w:pPr>
    </w:p>
    <w:p w14:paraId="42A197CC">
      <w:pPr>
        <w:jc w:val="both"/>
        <w:rPr>
          <w:rFonts w:ascii="Microsoft Sans Serif" w:hAnsi="Microsoft Sans Serif" w:cs="Microsoft Sans Serif"/>
          <w:i/>
          <w:sz w:val="20"/>
          <w:lang w:val="hr-HR"/>
        </w:rPr>
      </w:pPr>
      <w:r>
        <w:rPr>
          <w:rFonts w:ascii="Microsoft Sans Serif" w:hAnsi="Microsoft Sans Serif" w:cs="Microsoft Sans Serif"/>
          <w:sz w:val="20"/>
          <w:lang w:val="hr-HR"/>
        </w:rPr>
        <w:t>ALKALOID AD Skopje</w:t>
      </w:r>
      <w:r>
        <w:rPr>
          <w:rFonts w:ascii="Microsoft Sans Serif" w:hAnsi="Microsoft Sans Serif" w:cs="Microsoft Sans Serif"/>
          <w:sz w:val="20"/>
          <w:lang w:val="hr-HR"/>
        </w:rPr>
        <w:tab/>
      </w:r>
    </w:p>
    <w:p w14:paraId="4C493D5B">
      <w:pPr>
        <w:jc w:val="both"/>
        <w:rPr>
          <w:rFonts w:ascii="Microsoft Sans Serif" w:hAnsi="Microsoft Sans Serif" w:cs="Microsoft Sans Serif"/>
          <w:sz w:val="20"/>
          <w:lang w:val="hr-HR"/>
        </w:rPr>
      </w:pPr>
      <w:r>
        <w:rPr>
          <w:rFonts w:ascii="Microsoft Sans Serif" w:hAnsi="Microsoft Sans Serif" w:cs="Microsoft Sans Serif"/>
          <w:sz w:val="20"/>
          <w:lang w:val="hr-HR"/>
        </w:rPr>
        <w:t>Bul. Aleksandar Makedonski br. 12</w:t>
      </w:r>
      <w:r>
        <w:rPr>
          <w:rFonts w:ascii="Microsoft Sans Serif" w:hAnsi="Microsoft Sans Serif" w:cs="Microsoft Sans Serif"/>
          <w:sz w:val="20"/>
          <w:lang w:val="hr-HR"/>
        </w:rPr>
        <w:tab/>
      </w:r>
      <w:r>
        <w:rPr>
          <w:rFonts w:ascii="Microsoft Sans Serif" w:hAnsi="Microsoft Sans Serif" w:cs="Microsoft Sans Serif"/>
          <w:sz w:val="20"/>
          <w:lang w:val="hr-HR"/>
        </w:rPr>
        <w:tab/>
      </w:r>
      <w:r>
        <w:rPr>
          <w:rFonts w:ascii="Microsoft Sans Serif" w:hAnsi="Microsoft Sans Serif" w:cs="Microsoft Sans Serif"/>
          <w:sz w:val="20"/>
          <w:lang w:val="hr-HR"/>
        </w:rPr>
        <w:tab/>
      </w:r>
    </w:p>
    <w:p w14:paraId="30C3BA81">
      <w:pPr>
        <w:jc w:val="both"/>
        <w:rPr>
          <w:rFonts w:ascii="Microsoft Sans Serif" w:hAnsi="Microsoft Sans Serif" w:cs="Microsoft Sans Serif"/>
          <w:sz w:val="20"/>
          <w:lang w:val="hr-HR"/>
        </w:rPr>
      </w:pPr>
      <w:r>
        <w:rPr>
          <w:rFonts w:ascii="Microsoft Sans Serif" w:hAnsi="Microsoft Sans Serif" w:cs="Microsoft Sans Serif"/>
          <w:sz w:val="20"/>
          <w:lang w:val="hr-HR"/>
        </w:rPr>
        <w:t>1000 Skopje, Republika Severna Makedonija</w:t>
      </w:r>
      <w:r>
        <w:rPr>
          <w:rFonts w:ascii="Microsoft Sans Serif" w:hAnsi="Microsoft Sans Serif" w:cs="Microsoft Sans Serif"/>
          <w:sz w:val="20"/>
          <w:lang w:val="hr-HR"/>
        </w:rPr>
        <w:tab/>
      </w:r>
    </w:p>
    <w:p w14:paraId="5FD6B6A9">
      <w:pPr>
        <w:jc w:val="both"/>
        <w:rPr>
          <w:rFonts w:ascii="Microsoft Sans Serif" w:hAnsi="Microsoft Sans Serif" w:cs="Microsoft Sans Serif"/>
          <w:sz w:val="20"/>
          <w:lang w:val="hr-HR"/>
        </w:rPr>
      </w:pPr>
    </w:p>
    <w:p w14:paraId="4B2A5C64">
      <w:pPr>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Proizvođač gotovog lijeka </w:t>
      </w:r>
    </w:p>
    <w:p w14:paraId="332750DB">
      <w:pPr>
        <w:jc w:val="both"/>
        <w:rPr>
          <w:rFonts w:ascii="Microsoft Sans Serif" w:hAnsi="Microsoft Sans Serif" w:cs="Microsoft Sans Serif"/>
          <w:i/>
          <w:sz w:val="20"/>
          <w:lang w:val="hr-HR"/>
        </w:rPr>
      </w:pPr>
      <w:r>
        <w:rPr>
          <w:rFonts w:ascii="Microsoft Sans Serif" w:hAnsi="Microsoft Sans Serif" w:cs="Microsoft Sans Serif"/>
          <w:sz w:val="20"/>
          <w:lang w:val="hr-HR"/>
        </w:rPr>
        <w:t>ALKALOID AD Skopje</w:t>
      </w:r>
      <w:r>
        <w:rPr>
          <w:rFonts w:ascii="Microsoft Sans Serif" w:hAnsi="Microsoft Sans Serif" w:cs="Microsoft Sans Serif"/>
          <w:sz w:val="20"/>
          <w:lang w:val="hr-HR"/>
        </w:rPr>
        <w:tab/>
      </w:r>
    </w:p>
    <w:p w14:paraId="0655A3F3">
      <w:pPr>
        <w:jc w:val="both"/>
        <w:rPr>
          <w:rFonts w:ascii="Microsoft Sans Serif" w:hAnsi="Microsoft Sans Serif" w:cs="Microsoft Sans Serif"/>
          <w:sz w:val="20"/>
          <w:lang w:val="hr-HR"/>
        </w:rPr>
      </w:pPr>
      <w:r>
        <w:rPr>
          <w:rFonts w:ascii="Microsoft Sans Serif" w:hAnsi="Microsoft Sans Serif" w:cs="Microsoft Sans Serif"/>
          <w:sz w:val="20"/>
          <w:lang w:val="hr-HR"/>
        </w:rPr>
        <w:t>Bul. Aleksandar Makedonski br. 12</w:t>
      </w:r>
      <w:r>
        <w:rPr>
          <w:rFonts w:ascii="Microsoft Sans Serif" w:hAnsi="Microsoft Sans Serif" w:cs="Microsoft Sans Serif"/>
          <w:sz w:val="20"/>
          <w:lang w:val="hr-HR"/>
        </w:rPr>
        <w:tab/>
      </w:r>
      <w:r>
        <w:rPr>
          <w:rFonts w:ascii="Microsoft Sans Serif" w:hAnsi="Microsoft Sans Serif" w:cs="Microsoft Sans Serif"/>
          <w:sz w:val="20"/>
          <w:lang w:val="hr-HR"/>
        </w:rPr>
        <w:tab/>
      </w:r>
      <w:r>
        <w:rPr>
          <w:rFonts w:ascii="Microsoft Sans Serif" w:hAnsi="Microsoft Sans Serif" w:cs="Microsoft Sans Serif"/>
          <w:sz w:val="20"/>
          <w:lang w:val="hr-HR"/>
        </w:rPr>
        <w:tab/>
      </w:r>
    </w:p>
    <w:p w14:paraId="1E7F5235">
      <w:pPr>
        <w:jc w:val="both"/>
        <w:rPr>
          <w:rFonts w:ascii="Microsoft Sans Serif" w:hAnsi="Microsoft Sans Serif" w:cs="Microsoft Sans Serif"/>
          <w:sz w:val="20"/>
          <w:lang w:val="hr-HR"/>
        </w:rPr>
      </w:pPr>
      <w:r>
        <w:rPr>
          <w:rFonts w:ascii="Microsoft Sans Serif" w:hAnsi="Microsoft Sans Serif" w:cs="Microsoft Sans Serif"/>
          <w:sz w:val="20"/>
          <w:lang w:val="hr-HR"/>
        </w:rPr>
        <w:t>1000 Skopje, Republika Severna Makedonija</w:t>
      </w:r>
      <w:r>
        <w:rPr>
          <w:rFonts w:ascii="Microsoft Sans Serif" w:hAnsi="Microsoft Sans Serif" w:cs="Microsoft Sans Serif"/>
          <w:sz w:val="20"/>
          <w:lang w:val="hr-HR"/>
        </w:rPr>
        <w:tab/>
      </w:r>
    </w:p>
    <w:p w14:paraId="1581862F">
      <w:pPr>
        <w:rPr>
          <w:rFonts w:ascii="Microsoft Sans Serif" w:hAnsi="Microsoft Sans Serif" w:cs="Microsoft Sans Serif"/>
          <w:sz w:val="20"/>
          <w:lang w:val="sr-Latn-BA"/>
        </w:rPr>
      </w:pPr>
    </w:p>
    <w:p w14:paraId="25058521">
      <w:pPr>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Nosilac dozvole za stavljanje gotovog lijeka u promet </w:t>
      </w:r>
    </w:p>
    <w:p w14:paraId="5FD10479">
      <w:pPr>
        <w:pStyle w:val="19"/>
        <w:tabs>
          <w:tab w:val="clear" w:pos="4320"/>
          <w:tab w:val="clear" w:pos="8640"/>
        </w:tabs>
        <w:jc w:val="both"/>
        <w:rPr>
          <w:rFonts w:ascii="Microsoft Sans Serif" w:hAnsi="Microsoft Sans Serif" w:cs="Microsoft Sans Serif"/>
          <w:sz w:val="20"/>
          <w:lang w:val="sr-Latn-BA"/>
        </w:rPr>
      </w:pPr>
      <w:r>
        <w:rPr>
          <w:rFonts w:ascii="Microsoft Sans Serif" w:hAnsi="Microsoft Sans Serif" w:cs="Microsoft Sans Serif"/>
          <w:sz w:val="20"/>
          <w:lang w:val="sr-Latn-BA"/>
        </w:rPr>
        <w:t xml:space="preserve">ALKALOID d.o.o. Sarajevo </w:t>
      </w:r>
    </w:p>
    <w:p w14:paraId="70A58CB7">
      <w:pPr>
        <w:jc w:val="both"/>
        <w:rPr>
          <w:rFonts w:ascii="Microsoft Sans Serif" w:hAnsi="Microsoft Sans Serif" w:cs="Microsoft Sans Serif"/>
          <w:sz w:val="20"/>
          <w:lang w:val="sr-Latn-BA"/>
        </w:rPr>
      </w:pPr>
      <w:r>
        <w:rPr>
          <w:rFonts w:ascii="Microsoft Sans Serif" w:hAnsi="Microsoft Sans Serif" w:cs="Microsoft Sans Serif"/>
          <w:sz w:val="20"/>
          <w:lang w:val="sr-Latn-BA"/>
        </w:rPr>
        <w:t>Isevića sokak 6, Sarajevo</w:t>
      </w:r>
    </w:p>
    <w:p w14:paraId="1A1444DD">
      <w:pPr>
        <w:jc w:val="both"/>
        <w:rPr>
          <w:rFonts w:ascii="Microsoft Sans Serif" w:hAnsi="Microsoft Sans Serif" w:cs="Microsoft Sans Serif"/>
          <w:sz w:val="20"/>
          <w:lang w:val="sr-Latn-BA"/>
        </w:rPr>
      </w:pPr>
      <w:r>
        <w:rPr>
          <w:rFonts w:ascii="Microsoft Sans Serif" w:hAnsi="Microsoft Sans Serif" w:cs="Microsoft Sans Serif"/>
          <w:sz w:val="20"/>
          <w:lang w:val="sr-Latn-BA"/>
        </w:rPr>
        <w:t>Bosna i Hercegovina</w:t>
      </w:r>
    </w:p>
    <w:p w14:paraId="16A299D8">
      <w:pPr>
        <w:tabs>
          <w:tab w:val="left" w:pos="567"/>
        </w:tabs>
        <w:jc w:val="both"/>
        <w:rPr>
          <w:rFonts w:ascii="Microsoft Sans Serif" w:hAnsi="Microsoft Sans Serif" w:cs="Microsoft Sans Serif"/>
          <w:sz w:val="20"/>
          <w:lang w:val="sr-Latn-BA"/>
        </w:rPr>
      </w:pPr>
    </w:p>
    <w:p w14:paraId="76F4B8D9">
      <w:pPr>
        <w:tabs>
          <w:tab w:val="left" w:pos="567"/>
        </w:tabs>
        <w:jc w:val="both"/>
        <w:rPr>
          <w:rFonts w:ascii="Microsoft Sans Serif" w:hAnsi="Microsoft Sans Serif" w:cs="Microsoft Sans Serif"/>
          <w:sz w:val="20"/>
          <w:lang w:val="sr-Latn-BA"/>
        </w:rPr>
      </w:pPr>
    </w:p>
    <w:p w14:paraId="256464AE">
      <w:pPr>
        <w:tabs>
          <w:tab w:val="left" w:pos="360"/>
        </w:tabs>
        <w:jc w:val="both"/>
        <w:rPr>
          <w:rFonts w:ascii="Microsoft Sans Serif" w:hAnsi="Microsoft Sans Serif" w:cs="Microsoft Sans Serif"/>
          <w:b/>
          <w:sz w:val="20"/>
          <w:lang w:val="sr-Latn-BA"/>
        </w:rPr>
      </w:pPr>
      <w:r>
        <w:rPr>
          <w:rFonts w:ascii="Microsoft Sans Serif" w:hAnsi="Microsoft Sans Serif" w:cs="Microsoft Sans Serif"/>
          <w:b/>
          <w:sz w:val="20"/>
          <w:lang w:val="sr-Latn-BA"/>
        </w:rPr>
        <w:t>8.</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ab/>
      </w:r>
      <w:r>
        <w:rPr>
          <w:rFonts w:ascii="Microsoft Sans Serif" w:hAnsi="Microsoft Sans Serif" w:cs="Microsoft Sans Serif"/>
          <w:b/>
          <w:sz w:val="20"/>
          <w:lang w:val="sr-Latn-BA"/>
        </w:rPr>
        <w:t>BROJ I DATUM DOZVOLE ZA STAVLJANJE GOTOVOG LIJEKA U PROMET</w:t>
      </w:r>
    </w:p>
    <w:p w14:paraId="177726D4">
      <w:pPr>
        <w:jc w:val="both"/>
        <w:rPr>
          <w:rFonts w:ascii="Microsoft Sans Serif" w:hAnsi="Microsoft Sans Serif" w:cs="Microsoft Sans Serif"/>
          <w:b/>
          <w:sz w:val="20"/>
          <w:lang w:val="sr-Latn-BA"/>
        </w:rPr>
      </w:pPr>
    </w:p>
    <w:p w14:paraId="3D6F2D36">
      <w:pPr>
        <w:autoSpaceDE w:val="0"/>
        <w:autoSpaceDN w:val="0"/>
        <w:adjustRightInd w:val="0"/>
        <w:rPr>
          <w:rFonts w:ascii="Microsoft Sans Serif" w:hAnsi="Microsoft Sans Serif" w:cs="Microsoft Sans Serif"/>
          <w:sz w:val="20"/>
          <w:lang w:val="sr-Latn-BA"/>
        </w:rPr>
      </w:pPr>
      <w:r>
        <w:rPr>
          <w:rFonts w:ascii="Microsoft Sans Serif" w:hAnsi="Microsoft Sans Serif" w:cs="Microsoft Sans Serif"/>
          <w:sz w:val="20"/>
          <w:lang w:val="sr-Latn-BA"/>
        </w:rPr>
        <w:t>Skopryl, tableta, 20 x 5 mg: 04-07.3-2-6410/21 od 06.09. 2022.</w:t>
      </w:r>
    </w:p>
    <w:p w14:paraId="6D26547F">
      <w:pPr>
        <w:autoSpaceDE w:val="0"/>
        <w:autoSpaceDN w:val="0"/>
        <w:adjustRightInd w:val="0"/>
        <w:rPr>
          <w:rFonts w:ascii="Microsoft Sans Serif" w:hAnsi="Microsoft Sans Serif" w:cs="Microsoft Sans Serif"/>
          <w:sz w:val="20"/>
          <w:lang w:val="sr-Latn-BA"/>
        </w:rPr>
      </w:pPr>
      <w:r>
        <w:rPr>
          <w:rFonts w:ascii="Microsoft Sans Serif" w:hAnsi="Microsoft Sans Serif" w:cs="Microsoft Sans Serif"/>
          <w:sz w:val="20"/>
          <w:lang w:val="sr-Latn-BA"/>
        </w:rPr>
        <w:t>Skopryl, tableta, 30 x 5 mg: 04-07.3-2-6411/21 od 06.09. 2022.</w:t>
      </w:r>
    </w:p>
    <w:p w14:paraId="72846AD8">
      <w:pPr>
        <w:autoSpaceDE w:val="0"/>
        <w:autoSpaceDN w:val="0"/>
        <w:adjustRightInd w:val="0"/>
        <w:rPr>
          <w:rFonts w:ascii="Microsoft Sans Serif" w:hAnsi="Microsoft Sans Serif" w:cs="Microsoft Sans Serif"/>
          <w:sz w:val="20"/>
          <w:lang w:val="sr-Latn-BA"/>
        </w:rPr>
      </w:pPr>
      <w:r>
        <w:rPr>
          <w:rFonts w:ascii="Microsoft Sans Serif" w:hAnsi="Microsoft Sans Serif" w:cs="Microsoft Sans Serif"/>
          <w:sz w:val="20"/>
          <w:lang w:val="sr-Latn-BA"/>
        </w:rPr>
        <w:t>Skopryl, tableta, 20 x 10 mg: 04-07.3-2-6412/21 od 06.09. 2022.</w:t>
      </w:r>
    </w:p>
    <w:p w14:paraId="76791321">
      <w:pPr>
        <w:autoSpaceDE w:val="0"/>
        <w:autoSpaceDN w:val="0"/>
        <w:adjustRightInd w:val="0"/>
        <w:rPr>
          <w:rFonts w:ascii="Microsoft Sans Serif" w:hAnsi="Microsoft Sans Serif" w:cs="Microsoft Sans Serif"/>
          <w:sz w:val="20"/>
          <w:lang w:val="sr-Latn-BA"/>
        </w:rPr>
      </w:pPr>
      <w:r>
        <w:rPr>
          <w:rFonts w:ascii="Microsoft Sans Serif" w:hAnsi="Microsoft Sans Serif" w:cs="Microsoft Sans Serif"/>
          <w:sz w:val="20"/>
          <w:lang w:val="sr-Latn-BA"/>
        </w:rPr>
        <w:t>Skopryl, tableta, 30 x 10 mg: 04-07.3-2-6413/21 od 06.09. 2022.</w:t>
      </w:r>
    </w:p>
    <w:p w14:paraId="1DDFC689">
      <w:pPr>
        <w:autoSpaceDE w:val="0"/>
        <w:autoSpaceDN w:val="0"/>
        <w:adjustRightInd w:val="0"/>
        <w:rPr>
          <w:rFonts w:ascii="Microsoft Sans Serif" w:hAnsi="Microsoft Sans Serif" w:cs="Microsoft Sans Serif"/>
          <w:sz w:val="20"/>
          <w:lang w:val="sr-Latn-BA"/>
        </w:rPr>
      </w:pPr>
      <w:r>
        <w:rPr>
          <w:rFonts w:ascii="Microsoft Sans Serif" w:hAnsi="Microsoft Sans Serif" w:cs="Microsoft Sans Serif"/>
          <w:sz w:val="20"/>
          <w:lang w:val="sr-Latn-BA"/>
        </w:rPr>
        <w:t>Skopryl, tableta, 20 x 20 mg: 04-07.3-2-6414/21 od 06.09. 2022.</w:t>
      </w:r>
    </w:p>
    <w:p w14:paraId="3CB53C75">
      <w:pPr>
        <w:tabs>
          <w:tab w:val="left" w:pos="567"/>
        </w:tabs>
        <w:jc w:val="both"/>
        <w:rPr>
          <w:rFonts w:ascii="Microsoft Sans Serif" w:hAnsi="Microsoft Sans Serif" w:cs="Microsoft Sans Serif"/>
          <w:sz w:val="20"/>
          <w:lang w:val="sr-Latn-BA"/>
        </w:rPr>
      </w:pPr>
      <w:r>
        <w:rPr>
          <w:rFonts w:ascii="Microsoft Sans Serif" w:hAnsi="Microsoft Sans Serif" w:cs="Microsoft Sans Serif"/>
          <w:sz w:val="20"/>
          <w:lang w:val="sr-Latn-BA"/>
        </w:rPr>
        <w:t>Skopryl, tableta, 30 x 20 mg: 04-07.3-2-6415/21 od 06.09. 2022.</w:t>
      </w:r>
    </w:p>
    <w:p w14:paraId="0FDD1B64">
      <w:pPr>
        <w:tabs>
          <w:tab w:val="left" w:pos="567"/>
        </w:tabs>
        <w:jc w:val="both"/>
        <w:rPr>
          <w:rFonts w:ascii="Microsoft Sans Serif" w:hAnsi="Microsoft Sans Serif" w:cs="Microsoft Sans Serif"/>
          <w:sz w:val="20"/>
          <w:lang w:val="en-US"/>
        </w:rPr>
      </w:pPr>
    </w:p>
    <w:p w14:paraId="3070785C">
      <w:pPr>
        <w:tabs>
          <w:tab w:val="left" w:pos="567"/>
        </w:tabs>
        <w:jc w:val="both"/>
        <w:rPr>
          <w:rFonts w:ascii="Microsoft Sans Serif" w:hAnsi="Microsoft Sans Serif" w:cs="Microsoft Sans Serif"/>
          <w:sz w:val="20"/>
          <w:lang w:val="en-US"/>
        </w:rPr>
      </w:pPr>
    </w:p>
    <w:p w14:paraId="65C641A1">
      <w:pPr>
        <w:tabs>
          <w:tab w:val="left" w:pos="360"/>
        </w:tabs>
        <w:jc w:val="both"/>
        <w:rPr>
          <w:rFonts w:ascii="Microsoft Sans Serif" w:hAnsi="Microsoft Sans Serif" w:cs="Microsoft Sans Serif"/>
          <w:sz w:val="20"/>
          <w:lang w:val="sr-Latn-BA"/>
        </w:rPr>
      </w:pPr>
      <w:r>
        <w:rPr>
          <w:rFonts w:ascii="Microsoft Sans Serif" w:hAnsi="Microsoft Sans Serif" w:cs="Microsoft Sans Serif"/>
          <w:b/>
          <w:sz w:val="20"/>
          <w:lang w:val="sr-Latn-BA"/>
        </w:rPr>
        <w:t>9.</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DATUM REVIZIJE SAŽETKA KARAKTERISTIKA LIJEKA </w:t>
      </w:r>
    </w:p>
    <w:p w14:paraId="01D0A006">
      <w:pPr>
        <w:pStyle w:val="19"/>
        <w:tabs>
          <w:tab w:val="clear" w:pos="4320"/>
          <w:tab w:val="clear" w:pos="8640"/>
        </w:tabs>
        <w:jc w:val="both"/>
        <w:rPr>
          <w:rFonts w:ascii="Microsoft Sans Serif" w:hAnsi="Microsoft Sans Serif" w:cs="Microsoft Sans Serif"/>
          <w:sz w:val="20"/>
          <w:lang w:val="sr-Latn-BA"/>
        </w:rPr>
      </w:pPr>
    </w:p>
    <w:p w14:paraId="3B97B430">
      <w:pPr>
        <w:jc w:val="both"/>
        <w:rPr>
          <w:rFonts w:ascii="Microsoft Sans Serif" w:hAnsi="Microsoft Sans Serif" w:cs="Microsoft Sans Serif"/>
          <w:sz w:val="20"/>
          <w:lang w:val="sr-Latn-BA"/>
        </w:rPr>
      </w:pPr>
      <w:r>
        <w:rPr>
          <w:rFonts w:ascii="Microsoft Sans Serif" w:hAnsi="Microsoft Sans Serif" w:cs="Microsoft Sans Serif"/>
          <w:sz w:val="20"/>
          <w:lang w:val="sr-Latn-BA"/>
        </w:rPr>
        <w:t>Septembar, 2022 godine.</w:t>
      </w:r>
    </w:p>
    <w:p w14:paraId="4F4903FA">
      <w:pPr>
        <w:rPr>
          <w:rFonts w:ascii="Microsoft Sans Serif" w:hAnsi="Microsoft Sans Serif" w:cs="Microsoft Sans Serif"/>
          <w:sz w:val="20"/>
          <w:lang w:val="sr-Latn-BA"/>
        </w:rPr>
      </w:pPr>
    </w:p>
    <w:p w14:paraId="3F2A7991">
      <w:pPr>
        <w:rPr>
          <w:rFonts w:ascii="Microsoft Sans Serif" w:hAnsi="Microsoft Sans Serif" w:cs="Microsoft Sans Serif"/>
          <w:sz w:val="20"/>
          <w:lang w:val="sr-Latn-BA"/>
        </w:rPr>
      </w:pPr>
    </w:p>
    <w:sectPr>
      <w:pgSz w:w="11907" w:h="16840"/>
      <w:pgMar w:top="2552" w:right="1134" w:bottom="1134" w:left="1418" w:header="964" w:footer="720" w:gutter="0"/>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AC C Times">
    <w:altName w:val="Times New Roman"/>
    <w:panose1 w:val="02027200000000000000"/>
    <w:charset w:val="00"/>
    <w:family w:val="roman"/>
    <w:pitch w:val="default"/>
    <w:sig w:usb0="00000000" w:usb1="00000000" w:usb2="00000000" w:usb3="00000000" w:csb0="0000001B" w:csb1="00000000"/>
  </w:font>
  <w:font w:name="MAC C Swiss">
    <w:altName w:val="Segoe Print"/>
    <w:panose1 w:val="020B7200000000000000"/>
    <w:charset w:val="00"/>
    <w:family w:val="swiss"/>
    <w:pitch w:val="default"/>
    <w:sig w:usb0="00000000" w:usb1="00000000" w:usb2="00000000" w:usb3="00000000" w:csb0="00000009" w:csb1="00000000"/>
  </w:font>
  <w:font w:name="Tahoma">
    <w:panose1 w:val="020B0604030504040204"/>
    <w:charset w:val="CC"/>
    <w:family w:val="swiss"/>
    <w:pitch w:val="default"/>
    <w:sig w:usb0="E1002EFF" w:usb1="C000605B" w:usb2="00000029" w:usb3="00000000" w:csb0="200101FF" w:csb1="20280000"/>
  </w:font>
  <w:font w:name="Arial">
    <w:panose1 w:val="020B0604020202020204"/>
    <w:charset w:val="CC"/>
    <w:family w:val="swiss"/>
    <w:pitch w:val="default"/>
    <w:sig w:usb0="E0002EFF" w:usb1="C000785B" w:usb2="00000009" w:usb3="00000000" w:csb0="400001FF" w:csb1="FFFF0000"/>
  </w:font>
  <w:font w:name="Calibri">
    <w:panose1 w:val="020F0502020204030204"/>
    <w:charset w:val="CC"/>
    <w:family w:val="swiss"/>
    <w:pitch w:val="default"/>
    <w:sig w:usb0="E4002EFF" w:usb1="C200247B" w:usb2="00000009" w:usb3="00000000" w:csb0="200001FF" w:csb1="00000000"/>
  </w:font>
  <w:font w:name="Consolas">
    <w:panose1 w:val="020B0609020204030204"/>
    <w:charset w:val="CC"/>
    <w:family w:val="modern"/>
    <w:pitch w:val="default"/>
    <w:sig w:usb0="E00006FF" w:usb1="0000FCFF" w:usb2="00000001" w:usb3="00000000" w:csb0="6000019F" w:csb1="DFD70000"/>
  </w:font>
  <w:font w:name="Microsoft Sans Serif">
    <w:panose1 w:val="020B0604020202020204"/>
    <w:charset w:val="CC"/>
    <w:family w:val="swiss"/>
    <w:pitch w:val="default"/>
    <w:sig w:usb0="E5002EFF" w:usb1="C000605B" w:usb2="00000029" w:usb3="00000000" w:csb0="200101FF" w:csb1="20280000"/>
  </w:font>
  <w:font w:name="Courier New">
    <w:panose1 w:val="02070309020205020404"/>
    <w:charset w:val="CC"/>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Batang">
    <w:altName w:val="Malgun Gothic"/>
    <w:panose1 w:val="02030600000101010101"/>
    <w:charset w:val="81"/>
    <w:family w:val="roman"/>
    <w:pitch w:val="default"/>
    <w:sig w:usb0="00000000" w:usb1="00000000" w:usb2="00000030" w:usb3="00000000" w:csb0="0008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CB60ED"/>
    <w:multiLevelType w:val="multilevel"/>
    <w:tmpl w:val="05CB60ED"/>
    <w:lvl w:ilvl="0" w:tentative="0">
      <w:start w:val="4"/>
      <w:numFmt w:val="decimal"/>
      <w:lvlText w:val="%1"/>
      <w:lvlJc w:val="left"/>
      <w:pPr>
        <w:tabs>
          <w:tab w:val="left" w:pos="720"/>
        </w:tabs>
        <w:ind w:left="720" w:hanging="720"/>
      </w:pPr>
      <w:rPr>
        <w:rFonts w:hint="default"/>
      </w:rPr>
    </w:lvl>
    <w:lvl w:ilvl="1" w:tentative="0">
      <w:start w:val="3"/>
      <w:numFmt w:val="decimal"/>
      <w:lvlText w:val="%1.%2"/>
      <w:lvlJc w:val="left"/>
      <w:pPr>
        <w:tabs>
          <w:tab w:val="left" w:pos="720"/>
        </w:tabs>
        <w:ind w:left="720" w:hanging="72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440"/>
        </w:tabs>
        <w:ind w:left="1440" w:hanging="1440"/>
      </w:pPr>
      <w:rPr>
        <w:rFonts w:hint="default"/>
      </w:rPr>
    </w:lvl>
  </w:abstractNum>
  <w:abstractNum w:abstractNumId="1">
    <w:nsid w:val="09577078"/>
    <w:multiLevelType w:val="multilevel"/>
    <w:tmpl w:val="09577078"/>
    <w:lvl w:ilvl="0" w:tentative="0">
      <w:start w:val="65535"/>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
    <w:nsid w:val="3E1F5A18"/>
    <w:multiLevelType w:val="multilevel"/>
    <w:tmpl w:val="3E1F5A18"/>
    <w:lvl w:ilvl="0" w:tentative="0">
      <w:start w:val="0"/>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
    <w:nsid w:val="4EA3116A"/>
    <w:multiLevelType w:val="multilevel"/>
    <w:tmpl w:val="4EA3116A"/>
    <w:lvl w:ilvl="0" w:tentative="0">
      <w:start w:val="6"/>
      <w:numFmt w:val="decimal"/>
      <w:lvlText w:val="%1"/>
      <w:lvlJc w:val="left"/>
      <w:pPr>
        <w:tabs>
          <w:tab w:val="left" w:pos="720"/>
        </w:tabs>
        <w:ind w:left="720" w:hanging="720"/>
      </w:pPr>
      <w:rPr>
        <w:rFonts w:hint="default"/>
      </w:rPr>
    </w:lvl>
    <w:lvl w:ilvl="1" w:tentative="0">
      <w:start w:val="6"/>
      <w:numFmt w:val="decimal"/>
      <w:lvlText w:val="%1.%2"/>
      <w:lvlJc w:val="left"/>
      <w:pPr>
        <w:tabs>
          <w:tab w:val="left" w:pos="720"/>
        </w:tabs>
        <w:ind w:left="720" w:hanging="72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440"/>
        </w:tabs>
        <w:ind w:left="1440" w:hanging="1440"/>
      </w:pPr>
      <w:rPr>
        <w:rFonts w:hint="default"/>
      </w:rPr>
    </w:lvl>
  </w:abstractNum>
  <w:abstractNum w:abstractNumId="4">
    <w:nsid w:val="652E5381"/>
    <w:multiLevelType w:val="multilevel"/>
    <w:tmpl w:val="652E5381"/>
    <w:lvl w:ilvl="0" w:tentative="0">
      <w:start w:val="4"/>
      <w:numFmt w:val="decimal"/>
      <w:lvlText w:val="%1"/>
      <w:lvlJc w:val="left"/>
      <w:pPr>
        <w:tabs>
          <w:tab w:val="left" w:pos="720"/>
        </w:tabs>
        <w:ind w:left="720" w:hanging="720"/>
      </w:pPr>
      <w:rPr>
        <w:rFonts w:hint="default" w:cs="Times New Roman"/>
      </w:rPr>
    </w:lvl>
    <w:lvl w:ilvl="1" w:tentative="0">
      <w:start w:val="2"/>
      <w:numFmt w:val="decimal"/>
      <w:lvlText w:val="%1.%2"/>
      <w:lvlJc w:val="left"/>
      <w:pPr>
        <w:tabs>
          <w:tab w:val="left" w:pos="720"/>
        </w:tabs>
        <w:ind w:left="720" w:hanging="720"/>
      </w:pPr>
      <w:rPr>
        <w:rFonts w:hint="default" w:cs="Times New Roman"/>
      </w:rPr>
    </w:lvl>
    <w:lvl w:ilvl="2" w:tentative="0">
      <w:start w:val="1"/>
      <w:numFmt w:val="decimal"/>
      <w:lvlText w:val="%1.%2.%3"/>
      <w:lvlJc w:val="left"/>
      <w:pPr>
        <w:tabs>
          <w:tab w:val="left" w:pos="720"/>
        </w:tabs>
        <w:ind w:left="720" w:hanging="720"/>
      </w:pPr>
      <w:rPr>
        <w:rFonts w:hint="default" w:cs="Times New Roman"/>
      </w:rPr>
    </w:lvl>
    <w:lvl w:ilvl="3" w:tentative="0">
      <w:start w:val="1"/>
      <w:numFmt w:val="decimal"/>
      <w:lvlText w:val="%1.%2.%3.%4"/>
      <w:lvlJc w:val="left"/>
      <w:pPr>
        <w:tabs>
          <w:tab w:val="left" w:pos="720"/>
        </w:tabs>
        <w:ind w:left="720" w:hanging="720"/>
      </w:pPr>
      <w:rPr>
        <w:rFonts w:hint="default" w:cs="Times New Roman"/>
      </w:rPr>
    </w:lvl>
    <w:lvl w:ilvl="4" w:tentative="0">
      <w:start w:val="1"/>
      <w:numFmt w:val="decimal"/>
      <w:lvlText w:val="%1.%2.%3.%4.%5"/>
      <w:lvlJc w:val="left"/>
      <w:pPr>
        <w:tabs>
          <w:tab w:val="left" w:pos="1080"/>
        </w:tabs>
        <w:ind w:left="1080" w:hanging="1080"/>
      </w:pPr>
      <w:rPr>
        <w:rFonts w:hint="default" w:cs="Times New Roman"/>
      </w:rPr>
    </w:lvl>
    <w:lvl w:ilvl="5" w:tentative="0">
      <w:start w:val="1"/>
      <w:numFmt w:val="decimal"/>
      <w:lvlText w:val="%1.%2.%3.%4.%5.%6"/>
      <w:lvlJc w:val="left"/>
      <w:pPr>
        <w:tabs>
          <w:tab w:val="left" w:pos="1080"/>
        </w:tabs>
        <w:ind w:left="1080" w:hanging="1080"/>
      </w:pPr>
      <w:rPr>
        <w:rFonts w:hint="default" w:cs="Times New Roman"/>
      </w:rPr>
    </w:lvl>
    <w:lvl w:ilvl="6" w:tentative="0">
      <w:start w:val="1"/>
      <w:numFmt w:val="decimal"/>
      <w:lvlText w:val="%1.%2.%3.%4.%5.%6.%7"/>
      <w:lvlJc w:val="left"/>
      <w:pPr>
        <w:tabs>
          <w:tab w:val="left" w:pos="1440"/>
        </w:tabs>
        <w:ind w:left="1440" w:hanging="1440"/>
      </w:pPr>
      <w:rPr>
        <w:rFonts w:hint="default" w:cs="Times New Roman"/>
      </w:rPr>
    </w:lvl>
    <w:lvl w:ilvl="7" w:tentative="0">
      <w:start w:val="1"/>
      <w:numFmt w:val="decimal"/>
      <w:lvlText w:val="%1.%2.%3.%4.%5.%6.%7.%8"/>
      <w:lvlJc w:val="left"/>
      <w:pPr>
        <w:tabs>
          <w:tab w:val="left" w:pos="1440"/>
        </w:tabs>
        <w:ind w:left="1440" w:hanging="1440"/>
      </w:pPr>
      <w:rPr>
        <w:rFonts w:hint="default" w:cs="Times New Roman"/>
      </w:rPr>
    </w:lvl>
    <w:lvl w:ilvl="8" w:tentative="0">
      <w:start w:val="1"/>
      <w:numFmt w:val="decimal"/>
      <w:lvlText w:val="%1.%2.%3.%4.%5.%6.%7.%8.%9"/>
      <w:lvlJc w:val="left"/>
      <w:pPr>
        <w:tabs>
          <w:tab w:val="left" w:pos="1800"/>
        </w:tabs>
        <w:ind w:left="1800" w:hanging="1800"/>
      </w:pPr>
      <w:rPr>
        <w:rFonts w:hint="default" w:cs="Times New Roman"/>
      </w:rPr>
    </w:lvl>
  </w:abstractNum>
  <w:num w:numId="1">
    <w:abstractNumId w:val="4"/>
  </w:num>
  <w:num w:numId="2">
    <w:abstractNumId w:val="1"/>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displayHorizontalDrawingGridEvery w:val="0"/>
  <w:displayVerticalDrawingGridEvery w:val="0"/>
  <w:doNotUseMarginsForDrawingGridOrigin w:val="1"/>
  <w:drawingGridHorizontalOrigin w:val="1800"/>
  <w:drawingGridVerticalOrigin w:val="1440"/>
  <w:noPunctuationKerning w:val="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7944"/>
    <w:rsid w:val="000062E8"/>
    <w:rsid w:val="000253EE"/>
    <w:rsid w:val="00060211"/>
    <w:rsid w:val="0007615D"/>
    <w:rsid w:val="00091405"/>
    <w:rsid w:val="000A7A8E"/>
    <w:rsid w:val="000B4A17"/>
    <w:rsid w:val="000C2032"/>
    <w:rsid w:val="000D12C2"/>
    <w:rsid w:val="001030E0"/>
    <w:rsid w:val="0010560B"/>
    <w:rsid w:val="00115739"/>
    <w:rsid w:val="00132645"/>
    <w:rsid w:val="00157702"/>
    <w:rsid w:val="00162D3B"/>
    <w:rsid w:val="00163E2F"/>
    <w:rsid w:val="001649E9"/>
    <w:rsid w:val="001654FD"/>
    <w:rsid w:val="0017789D"/>
    <w:rsid w:val="00180CF4"/>
    <w:rsid w:val="001A2D60"/>
    <w:rsid w:val="001A4E85"/>
    <w:rsid w:val="001A5B47"/>
    <w:rsid w:val="001F3B22"/>
    <w:rsid w:val="00203D90"/>
    <w:rsid w:val="00225554"/>
    <w:rsid w:val="0026031A"/>
    <w:rsid w:val="002637A5"/>
    <w:rsid w:val="00270B4F"/>
    <w:rsid w:val="00281FC4"/>
    <w:rsid w:val="00291512"/>
    <w:rsid w:val="002B5DBB"/>
    <w:rsid w:val="002C0AD1"/>
    <w:rsid w:val="002D3AAD"/>
    <w:rsid w:val="002E10EC"/>
    <w:rsid w:val="002E14A4"/>
    <w:rsid w:val="002E6E87"/>
    <w:rsid w:val="00314F62"/>
    <w:rsid w:val="003319B7"/>
    <w:rsid w:val="003445E7"/>
    <w:rsid w:val="0035060F"/>
    <w:rsid w:val="00361A17"/>
    <w:rsid w:val="003827CF"/>
    <w:rsid w:val="003870FC"/>
    <w:rsid w:val="00396226"/>
    <w:rsid w:val="003A19E0"/>
    <w:rsid w:val="003A3F72"/>
    <w:rsid w:val="003A772A"/>
    <w:rsid w:val="003B63B0"/>
    <w:rsid w:val="003D2449"/>
    <w:rsid w:val="003E140B"/>
    <w:rsid w:val="003F1C3E"/>
    <w:rsid w:val="00414C66"/>
    <w:rsid w:val="004329C7"/>
    <w:rsid w:val="004366F2"/>
    <w:rsid w:val="004452DF"/>
    <w:rsid w:val="004510FF"/>
    <w:rsid w:val="004757CE"/>
    <w:rsid w:val="004A4440"/>
    <w:rsid w:val="004A51A1"/>
    <w:rsid w:val="004B0704"/>
    <w:rsid w:val="004D08BB"/>
    <w:rsid w:val="004D0D82"/>
    <w:rsid w:val="004E6FE6"/>
    <w:rsid w:val="00507649"/>
    <w:rsid w:val="0051231A"/>
    <w:rsid w:val="0051453B"/>
    <w:rsid w:val="0053265D"/>
    <w:rsid w:val="00545CBA"/>
    <w:rsid w:val="005756B4"/>
    <w:rsid w:val="0057665D"/>
    <w:rsid w:val="005834C6"/>
    <w:rsid w:val="005A4F97"/>
    <w:rsid w:val="005C3F94"/>
    <w:rsid w:val="005D0EB0"/>
    <w:rsid w:val="005D4B48"/>
    <w:rsid w:val="005E26AA"/>
    <w:rsid w:val="005F06BA"/>
    <w:rsid w:val="006128A9"/>
    <w:rsid w:val="00620689"/>
    <w:rsid w:val="006212FC"/>
    <w:rsid w:val="00633B5F"/>
    <w:rsid w:val="00642068"/>
    <w:rsid w:val="00652328"/>
    <w:rsid w:val="0066028D"/>
    <w:rsid w:val="00673167"/>
    <w:rsid w:val="00673F9D"/>
    <w:rsid w:val="00680210"/>
    <w:rsid w:val="006833CA"/>
    <w:rsid w:val="00690201"/>
    <w:rsid w:val="0069119A"/>
    <w:rsid w:val="0069246A"/>
    <w:rsid w:val="00693062"/>
    <w:rsid w:val="006B38C7"/>
    <w:rsid w:val="006B4B13"/>
    <w:rsid w:val="006B75F6"/>
    <w:rsid w:val="006B7BCF"/>
    <w:rsid w:val="006C1378"/>
    <w:rsid w:val="006C5716"/>
    <w:rsid w:val="006C577C"/>
    <w:rsid w:val="006C5964"/>
    <w:rsid w:val="006F54AE"/>
    <w:rsid w:val="0070240D"/>
    <w:rsid w:val="00713528"/>
    <w:rsid w:val="00717EDF"/>
    <w:rsid w:val="00750C18"/>
    <w:rsid w:val="007713A4"/>
    <w:rsid w:val="00781AC3"/>
    <w:rsid w:val="007C2448"/>
    <w:rsid w:val="007D24C2"/>
    <w:rsid w:val="007F7649"/>
    <w:rsid w:val="0080182C"/>
    <w:rsid w:val="00801CFB"/>
    <w:rsid w:val="00803C4D"/>
    <w:rsid w:val="00812087"/>
    <w:rsid w:val="00814346"/>
    <w:rsid w:val="00850825"/>
    <w:rsid w:val="008516EE"/>
    <w:rsid w:val="008569AC"/>
    <w:rsid w:val="00871F6B"/>
    <w:rsid w:val="00872CEB"/>
    <w:rsid w:val="00875565"/>
    <w:rsid w:val="00877AA1"/>
    <w:rsid w:val="00895DE4"/>
    <w:rsid w:val="008A49C1"/>
    <w:rsid w:val="008B01A0"/>
    <w:rsid w:val="008D4A05"/>
    <w:rsid w:val="008F702A"/>
    <w:rsid w:val="009007F0"/>
    <w:rsid w:val="00902062"/>
    <w:rsid w:val="00904850"/>
    <w:rsid w:val="00915F5D"/>
    <w:rsid w:val="00962974"/>
    <w:rsid w:val="00990F9A"/>
    <w:rsid w:val="009F2382"/>
    <w:rsid w:val="009F2FA6"/>
    <w:rsid w:val="00A0019D"/>
    <w:rsid w:val="00A00E8C"/>
    <w:rsid w:val="00A051FC"/>
    <w:rsid w:val="00A06188"/>
    <w:rsid w:val="00A1311B"/>
    <w:rsid w:val="00A32548"/>
    <w:rsid w:val="00A83085"/>
    <w:rsid w:val="00AA165F"/>
    <w:rsid w:val="00AA77DD"/>
    <w:rsid w:val="00AC795E"/>
    <w:rsid w:val="00B33CBD"/>
    <w:rsid w:val="00B812D3"/>
    <w:rsid w:val="00B9266F"/>
    <w:rsid w:val="00BA401B"/>
    <w:rsid w:val="00BC3049"/>
    <w:rsid w:val="00C0665A"/>
    <w:rsid w:val="00C0731D"/>
    <w:rsid w:val="00C17B4B"/>
    <w:rsid w:val="00C21549"/>
    <w:rsid w:val="00C36073"/>
    <w:rsid w:val="00C44003"/>
    <w:rsid w:val="00C93B07"/>
    <w:rsid w:val="00C97944"/>
    <w:rsid w:val="00CD22D4"/>
    <w:rsid w:val="00CE2B51"/>
    <w:rsid w:val="00D24CBA"/>
    <w:rsid w:val="00D26A1E"/>
    <w:rsid w:val="00D3772E"/>
    <w:rsid w:val="00D54C5D"/>
    <w:rsid w:val="00D62CED"/>
    <w:rsid w:val="00D73236"/>
    <w:rsid w:val="00DA6E48"/>
    <w:rsid w:val="00DD5A65"/>
    <w:rsid w:val="00DE280D"/>
    <w:rsid w:val="00DF3E4C"/>
    <w:rsid w:val="00DF45F5"/>
    <w:rsid w:val="00E07B88"/>
    <w:rsid w:val="00E331D4"/>
    <w:rsid w:val="00E42DAE"/>
    <w:rsid w:val="00E56E8F"/>
    <w:rsid w:val="00E576E8"/>
    <w:rsid w:val="00E61387"/>
    <w:rsid w:val="00E73137"/>
    <w:rsid w:val="00E73CA5"/>
    <w:rsid w:val="00EA0AFE"/>
    <w:rsid w:val="00EA4C49"/>
    <w:rsid w:val="00EB1E90"/>
    <w:rsid w:val="00ED6E40"/>
    <w:rsid w:val="00EE0DE3"/>
    <w:rsid w:val="00EE140C"/>
    <w:rsid w:val="00F111EA"/>
    <w:rsid w:val="00F26652"/>
    <w:rsid w:val="00F3470C"/>
    <w:rsid w:val="00F41E4A"/>
    <w:rsid w:val="00F519E7"/>
    <w:rsid w:val="00F5730E"/>
    <w:rsid w:val="00F71C5B"/>
    <w:rsid w:val="00F74AF6"/>
    <w:rsid w:val="00F85745"/>
    <w:rsid w:val="00FA6518"/>
    <w:rsid w:val="00FB2D36"/>
    <w:rsid w:val="13E605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nhideWhenUsed="0" w:uiPriority="0" w:semiHidden="0" w:name="Normal Indent"/>
    <w:lsdException w:uiPriority="0" w:name="footnote text"/>
    <w:lsdException w:qFormat="1" w:unhideWhenUsed="0" w:uiPriority="0" w:semiHidden="0" w:name="annotation text"/>
    <w:lsdException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iPriority="0" w:semiHidden="0" w:name="HTML Preformatted"/>
    <w:lsdException w:uiPriority="0" w:name="HTML Sample"/>
    <w:lsdException w:uiPriority="0" w:name="HTML Typewriter"/>
    <w:lsdException w:uiPriority="0" w:name="HTML Variable"/>
    <w:lsdException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lang w:val="en-GB" w:eastAsia="hr-HR" w:bidi="ar-SA"/>
    </w:rPr>
  </w:style>
  <w:style w:type="paragraph" w:styleId="2">
    <w:name w:val="heading 1"/>
    <w:basedOn w:val="1"/>
    <w:next w:val="1"/>
    <w:qFormat/>
    <w:uiPriority w:val="0"/>
    <w:pPr>
      <w:keepNext/>
      <w:spacing w:before="240" w:after="60" w:line="360" w:lineRule="auto"/>
      <w:jc w:val="center"/>
      <w:outlineLvl w:val="0"/>
    </w:pPr>
    <w:rPr>
      <w:b/>
      <w:kern w:val="28"/>
      <w:sz w:val="32"/>
    </w:rPr>
  </w:style>
  <w:style w:type="paragraph" w:styleId="3">
    <w:name w:val="heading 2"/>
    <w:basedOn w:val="1"/>
    <w:next w:val="1"/>
    <w:qFormat/>
    <w:uiPriority w:val="0"/>
    <w:pPr>
      <w:keepNext/>
      <w:tabs>
        <w:tab w:val="left" w:pos="1134"/>
      </w:tabs>
      <w:spacing w:before="240" w:after="60" w:line="360" w:lineRule="auto"/>
      <w:ind w:left="1134" w:hanging="1134"/>
      <w:jc w:val="both"/>
      <w:outlineLvl w:val="1"/>
    </w:pPr>
    <w:rPr>
      <w:b/>
      <w:sz w:val="26"/>
    </w:rPr>
  </w:style>
  <w:style w:type="paragraph" w:styleId="4">
    <w:name w:val="heading 3"/>
    <w:basedOn w:val="1"/>
    <w:next w:val="1"/>
    <w:qFormat/>
    <w:uiPriority w:val="0"/>
    <w:pPr>
      <w:keepNext/>
      <w:tabs>
        <w:tab w:val="left" w:pos="1134"/>
      </w:tabs>
      <w:spacing w:before="240" w:after="60" w:line="360" w:lineRule="auto"/>
      <w:ind w:left="1134" w:hanging="1134"/>
      <w:jc w:val="both"/>
      <w:outlineLvl w:val="2"/>
    </w:pPr>
    <w:rPr>
      <w:b/>
    </w:rPr>
  </w:style>
  <w:style w:type="paragraph" w:styleId="5">
    <w:name w:val="heading 4"/>
    <w:basedOn w:val="1"/>
    <w:next w:val="1"/>
    <w:qFormat/>
    <w:uiPriority w:val="0"/>
    <w:pPr>
      <w:keepNext/>
      <w:tabs>
        <w:tab w:val="left" w:pos="1134"/>
      </w:tabs>
      <w:spacing w:before="240" w:after="60" w:line="360" w:lineRule="auto"/>
      <w:ind w:left="1134" w:hanging="1134"/>
      <w:jc w:val="both"/>
      <w:outlineLvl w:val="3"/>
    </w:pPr>
  </w:style>
  <w:style w:type="paragraph" w:styleId="6">
    <w:name w:val="heading 5"/>
    <w:basedOn w:val="1"/>
    <w:next w:val="1"/>
    <w:qFormat/>
    <w:uiPriority w:val="0"/>
    <w:pPr>
      <w:spacing w:before="240" w:after="60" w:line="360" w:lineRule="auto"/>
      <w:jc w:val="both"/>
      <w:outlineLvl w:val="4"/>
    </w:pPr>
  </w:style>
  <w:style w:type="character" w:default="1" w:styleId="7">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9">
    <w:name w:val="Balloon Text"/>
    <w:basedOn w:val="1"/>
    <w:link w:val="37"/>
    <w:qFormat/>
    <w:uiPriority w:val="0"/>
    <w:rPr>
      <w:rFonts w:ascii="Tahoma" w:hAnsi="Tahoma" w:cs="Tahoma"/>
      <w:sz w:val="16"/>
      <w:szCs w:val="16"/>
      <w:lang w:val="en-US" w:eastAsia="en-US"/>
    </w:rPr>
  </w:style>
  <w:style w:type="paragraph" w:styleId="10">
    <w:name w:val="Body Text"/>
    <w:basedOn w:val="1"/>
    <w:link w:val="33"/>
    <w:qFormat/>
    <w:uiPriority w:val="0"/>
    <w:pPr>
      <w:autoSpaceDE w:val="0"/>
      <w:autoSpaceDN w:val="0"/>
    </w:pPr>
    <w:rPr>
      <w:rFonts w:ascii="MAC C Times" w:hAnsi="MAC C Times"/>
      <w:sz w:val="22"/>
      <w:szCs w:val="22"/>
      <w:lang w:val="en-US" w:eastAsia="en-US"/>
    </w:rPr>
  </w:style>
  <w:style w:type="paragraph" w:styleId="11">
    <w:name w:val="Body Text 2"/>
    <w:basedOn w:val="1"/>
    <w:link w:val="36"/>
    <w:qFormat/>
    <w:uiPriority w:val="0"/>
    <w:pPr>
      <w:spacing w:after="120" w:line="480" w:lineRule="auto"/>
    </w:pPr>
    <w:rPr>
      <w:sz w:val="20"/>
      <w:lang w:val="en-US" w:eastAsia="en-US"/>
    </w:rPr>
  </w:style>
  <w:style w:type="paragraph" w:styleId="12">
    <w:name w:val="Body Text 3"/>
    <w:basedOn w:val="1"/>
    <w:link w:val="35"/>
    <w:qFormat/>
    <w:uiPriority w:val="0"/>
    <w:pPr>
      <w:jc w:val="both"/>
    </w:pPr>
    <w:rPr>
      <w:rFonts w:ascii="MAC C Times" w:hAnsi="MAC C Times"/>
      <w:color w:val="000080"/>
      <w:sz w:val="22"/>
      <w:szCs w:val="22"/>
      <w:lang w:val="en-US" w:eastAsia="en-US"/>
    </w:rPr>
  </w:style>
  <w:style w:type="paragraph" w:styleId="13">
    <w:name w:val="Body Text Indent"/>
    <w:basedOn w:val="1"/>
    <w:link w:val="31"/>
    <w:qFormat/>
    <w:uiPriority w:val="0"/>
    <w:pPr>
      <w:ind w:left="720"/>
      <w:jc w:val="both"/>
    </w:pPr>
    <w:rPr>
      <w:rFonts w:ascii="MAC C Times" w:hAnsi="MAC C Times"/>
      <w:color w:val="000000"/>
      <w:szCs w:val="24"/>
      <w:lang w:val="en-US" w:eastAsia="en-US"/>
    </w:rPr>
  </w:style>
  <w:style w:type="paragraph" w:styleId="14">
    <w:name w:val="Body Text Indent 3"/>
    <w:basedOn w:val="1"/>
    <w:link w:val="34"/>
    <w:qFormat/>
    <w:uiPriority w:val="0"/>
    <w:pPr>
      <w:ind w:left="720"/>
    </w:pPr>
    <w:rPr>
      <w:rFonts w:ascii="MAC C Swiss" w:hAnsi="MAC C Swiss"/>
      <w:sz w:val="22"/>
      <w:szCs w:val="22"/>
      <w:lang w:val="en-US" w:eastAsia="en-US"/>
    </w:rPr>
  </w:style>
  <w:style w:type="character" w:styleId="15">
    <w:name w:val="annotation reference"/>
    <w:qFormat/>
    <w:uiPriority w:val="0"/>
    <w:rPr>
      <w:sz w:val="16"/>
      <w:szCs w:val="16"/>
    </w:rPr>
  </w:style>
  <w:style w:type="paragraph" w:styleId="16">
    <w:name w:val="annotation text"/>
    <w:basedOn w:val="1"/>
    <w:link w:val="53"/>
    <w:qFormat/>
    <w:uiPriority w:val="0"/>
    <w:rPr>
      <w:rFonts w:ascii="MAC C Times" w:hAnsi="MAC C Times"/>
      <w:sz w:val="20"/>
      <w:lang w:val="en-US" w:eastAsia="en-US"/>
    </w:rPr>
  </w:style>
  <w:style w:type="paragraph" w:styleId="17">
    <w:name w:val="annotation subject"/>
    <w:basedOn w:val="16"/>
    <w:next w:val="16"/>
    <w:link w:val="54"/>
    <w:semiHidden/>
    <w:unhideWhenUsed/>
    <w:qFormat/>
    <w:uiPriority w:val="0"/>
    <w:rPr>
      <w:rFonts w:ascii="Times New Roman" w:hAnsi="Times New Roman"/>
      <w:b/>
      <w:bCs/>
      <w:lang w:val="en-GB" w:eastAsia="hr-HR"/>
    </w:rPr>
  </w:style>
  <w:style w:type="paragraph" w:styleId="18">
    <w:name w:val="footer"/>
    <w:basedOn w:val="1"/>
    <w:link w:val="30"/>
    <w:qFormat/>
    <w:uiPriority w:val="99"/>
    <w:pPr>
      <w:tabs>
        <w:tab w:val="center" w:pos="4320"/>
        <w:tab w:val="right" w:pos="8640"/>
      </w:tabs>
    </w:pPr>
    <w:rPr>
      <w:rFonts w:ascii="MAC C Times" w:hAnsi="MAC C Times"/>
      <w:lang w:eastAsia="en-US"/>
    </w:rPr>
  </w:style>
  <w:style w:type="paragraph" w:styleId="19">
    <w:name w:val="header"/>
    <w:basedOn w:val="1"/>
    <w:link w:val="29"/>
    <w:uiPriority w:val="0"/>
    <w:pPr>
      <w:tabs>
        <w:tab w:val="center" w:pos="4320"/>
        <w:tab w:val="right" w:pos="8640"/>
      </w:tabs>
    </w:pPr>
    <w:rPr>
      <w:rFonts w:ascii="MAC C Times" w:hAnsi="MAC C Times"/>
      <w:lang w:eastAsia="en-US"/>
    </w:rPr>
  </w:style>
  <w:style w:type="paragraph" w:styleId="20">
    <w:name w:val="HTML Preformatted"/>
    <w:basedOn w:val="1"/>
    <w:link w:val="55"/>
    <w:unhideWhenUsed/>
    <w:qFormat/>
    <w:uiPriority w:val="0"/>
    <w:rPr>
      <w:rFonts w:ascii="Consolas" w:hAnsi="Consolas" w:cs="Consolas"/>
      <w:sz w:val="20"/>
    </w:rPr>
  </w:style>
  <w:style w:type="character" w:styleId="21">
    <w:name w:val="Hyperlink"/>
    <w:qFormat/>
    <w:uiPriority w:val="0"/>
    <w:rPr>
      <w:color w:val="0000FF"/>
      <w:u w:val="single"/>
    </w:rPr>
  </w:style>
  <w:style w:type="paragraph" w:styleId="22">
    <w:name w:val="Normal (Web)"/>
    <w:basedOn w:val="1"/>
    <w:uiPriority w:val="99"/>
    <w:pPr>
      <w:spacing w:before="100" w:beforeAutospacing="1" w:after="75"/>
    </w:pPr>
    <w:rPr>
      <w:color w:val="000000"/>
      <w:szCs w:val="24"/>
      <w:lang w:val="en-US" w:eastAsia="en-US"/>
    </w:rPr>
  </w:style>
  <w:style w:type="paragraph" w:styleId="23">
    <w:name w:val="Normal Indent"/>
    <w:basedOn w:val="1"/>
    <w:uiPriority w:val="0"/>
    <w:pPr>
      <w:spacing w:after="120"/>
      <w:ind w:left="720"/>
    </w:pPr>
    <w:rPr>
      <w:sz w:val="22"/>
      <w:lang w:eastAsia="en-GB"/>
    </w:rPr>
  </w:style>
  <w:style w:type="character" w:styleId="24">
    <w:name w:val="page number"/>
    <w:uiPriority w:val="0"/>
  </w:style>
  <w:style w:type="table" w:styleId="25">
    <w:name w:val="Table Grid"/>
    <w:basedOn w:val="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6">
    <w:name w:val="Title"/>
    <w:basedOn w:val="1"/>
    <w:link w:val="32"/>
    <w:qFormat/>
    <w:uiPriority w:val="0"/>
    <w:pPr>
      <w:jc w:val="center"/>
    </w:pPr>
    <w:rPr>
      <w:rFonts w:ascii="MAC C Times" w:hAnsi="MAC C Times"/>
      <w:b/>
      <w:bCs/>
      <w:sz w:val="28"/>
      <w:szCs w:val="28"/>
      <w:lang w:val="en-US" w:eastAsia="en-US"/>
    </w:rPr>
  </w:style>
  <w:style w:type="paragraph" w:customStyle="1" w:styleId="27">
    <w:name w:val="Naslov"/>
    <w:basedOn w:val="1"/>
    <w:uiPriority w:val="0"/>
    <w:pPr>
      <w:tabs>
        <w:tab w:val="left" w:pos="840"/>
      </w:tabs>
    </w:pPr>
    <w:rPr>
      <w:b/>
      <w:caps/>
    </w:rPr>
  </w:style>
  <w:style w:type="paragraph" w:customStyle="1" w:styleId="28">
    <w:name w:val="tekst"/>
    <w:basedOn w:val="1"/>
    <w:uiPriority w:val="0"/>
    <w:pPr>
      <w:spacing w:before="60" w:line="240" w:lineRule="atLeast"/>
      <w:jc w:val="both"/>
    </w:pPr>
  </w:style>
  <w:style w:type="character" w:customStyle="1" w:styleId="29">
    <w:name w:val="Header Char"/>
    <w:link w:val="19"/>
    <w:qFormat/>
    <w:uiPriority w:val="0"/>
    <w:rPr>
      <w:rFonts w:ascii="MAC C Times" w:hAnsi="MAC C Times"/>
      <w:sz w:val="24"/>
      <w:lang w:val="en-GB"/>
    </w:rPr>
  </w:style>
  <w:style w:type="character" w:customStyle="1" w:styleId="30">
    <w:name w:val="Footer Char"/>
    <w:link w:val="18"/>
    <w:qFormat/>
    <w:uiPriority w:val="99"/>
    <w:rPr>
      <w:rFonts w:ascii="MAC C Times" w:hAnsi="MAC C Times"/>
      <w:sz w:val="24"/>
      <w:lang w:val="en-GB"/>
    </w:rPr>
  </w:style>
  <w:style w:type="character" w:customStyle="1" w:styleId="31">
    <w:name w:val="Body Text Indent Char"/>
    <w:link w:val="13"/>
    <w:qFormat/>
    <w:uiPriority w:val="0"/>
    <w:rPr>
      <w:rFonts w:ascii="MAC C Times" w:hAnsi="MAC C Times"/>
      <w:color w:val="000000"/>
      <w:sz w:val="24"/>
      <w:szCs w:val="24"/>
    </w:rPr>
  </w:style>
  <w:style w:type="character" w:customStyle="1" w:styleId="32">
    <w:name w:val="Title Char"/>
    <w:link w:val="26"/>
    <w:qFormat/>
    <w:uiPriority w:val="0"/>
    <w:rPr>
      <w:rFonts w:ascii="MAC C Times" w:hAnsi="MAC C Times"/>
      <w:b/>
      <w:bCs/>
      <w:sz w:val="28"/>
      <w:szCs w:val="28"/>
    </w:rPr>
  </w:style>
  <w:style w:type="character" w:customStyle="1" w:styleId="33">
    <w:name w:val="Body Text Char"/>
    <w:link w:val="10"/>
    <w:qFormat/>
    <w:uiPriority w:val="0"/>
    <w:rPr>
      <w:rFonts w:ascii="MAC C Times" w:hAnsi="MAC C Times"/>
      <w:sz w:val="22"/>
      <w:szCs w:val="22"/>
    </w:rPr>
  </w:style>
  <w:style w:type="character" w:customStyle="1" w:styleId="34">
    <w:name w:val="Body Text Indent 3 Char"/>
    <w:link w:val="14"/>
    <w:qFormat/>
    <w:uiPriority w:val="0"/>
    <w:rPr>
      <w:rFonts w:ascii="MAC C Swiss" w:hAnsi="MAC C Swiss"/>
      <w:sz w:val="22"/>
      <w:szCs w:val="22"/>
    </w:rPr>
  </w:style>
  <w:style w:type="character" w:customStyle="1" w:styleId="35">
    <w:name w:val="Body Text 3 Char"/>
    <w:link w:val="12"/>
    <w:uiPriority w:val="0"/>
    <w:rPr>
      <w:rFonts w:ascii="MAC C Times" w:hAnsi="MAC C Times"/>
      <w:color w:val="000080"/>
      <w:sz w:val="22"/>
      <w:szCs w:val="22"/>
    </w:rPr>
  </w:style>
  <w:style w:type="character" w:customStyle="1" w:styleId="36">
    <w:name w:val="Body Text 2 Char"/>
    <w:basedOn w:val="7"/>
    <w:link w:val="11"/>
    <w:uiPriority w:val="0"/>
  </w:style>
  <w:style w:type="character" w:customStyle="1" w:styleId="37">
    <w:name w:val="Balloon Text Char"/>
    <w:link w:val="9"/>
    <w:qFormat/>
    <w:uiPriority w:val="0"/>
    <w:rPr>
      <w:rFonts w:ascii="Tahoma" w:hAnsi="Tahoma" w:cs="Tahoma"/>
      <w:sz w:val="16"/>
      <w:szCs w:val="16"/>
    </w:rPr>
  </w:style>
  <w:style w:type="paragraph" w:customStyle="1" w:styleId="38">
    <w:name w:val="Default"/>
    <w:qFormat/>
    <w:uiPriority w:val="0"/>
    <w:pPr>
      <w:autoSpaceDE w:val="0"/>
      <w:autoSpaceDN w:val="0"/>
      <w:adjustRightInd w:val="0"/>
    </w:pPr>
    <w:rPr>
      <w:rFonts w:ascii="Times New Roman" w:hAnsi="Times New Roman" w:eastAsia="Times New Roman" w:cs="Times New Roman"/>
      <w:color w:val="000000"/>
      <w:sz w:val="24"/>
      <w:szCs w:val="24"/>
      <w:lang w:val="en-GB" w:eastAsia="en-GB" w:bidi="ar-SA"/>
    </w:rPr>
  </w:style>
  <w:style w:type="paragraph" w:customStyle="1" w:styleId="39">
    <w:name w:val="Char Char Char Char Char Char"/>
    <w:basedOn w:val="1"/>
    <w:uiPriority w:val="0"/>
    <w:pPr>
      <w:spacing w:after="160" w:line="240" w:lineRule="exact"/>
    </w:pPr>
    <w:rPr>
      <w:rFonts w:ascii="Tahoma" w:hAnsi="Tahoma"/>
      <w:sz w:val="20"/>
      <w:lang w:val="en-US" w:eastAsia="en-US"/>
    </w:rPr>
  </w:style>
  <w:style w:type="character" w:customStyle="1" w:styleId="40">
    <w:name w:val="long_text"/>
    <w:qFormat/>
    <w:uiPriority w:val="0"/>
  </w:style>
  <w:style w:type="character" w:customStyle="1" w:styleId="41">
    <w:name w:val="hps"/>
    <w:qFormat/>
    <w:uiPriority w:val="0"/>
  </w:style>
  <w:style w:type="character" w:customStyle="1" w:styleId="42">
    <w:name w:val="atn"/>
    <w:uiPriority w:val="0"/>
  </w:style>
  <w:style w:type="character" w:customStyle="1" w:styleId="43">
    <w:name w:val="gt-icon-text"/>
    <w:qFormat/>
    <w:uiPriority w:val="0"/>
  </w:style>
  <w:style w:type="character" w:customStyle="1" w:styleId="44">
    <w:name w:val="hps atn"/>
    <w:uiPriority w:val="0"/>
  </w:style>
  <w:style w:type="character" w:customStyle="1" w:styleId="45">
    <w:name w:val="long_text short_text"/>
    <w:qFormat/>
    <w:uiPriority w:val="0"/>
  </w:style>
  <w:style w:type="paragraph" w:customStyle="1" w:styleId="46">
    <w:name w:val="HTML Top of Form"/>
    <w:basedOn w:val="1"/>
    <w:next w:val="1"/>
    <w:link w:val="47"/>
    <w:qFormat/>
    <w:uiPriority w:val="0"/>
    <w:pPr>
      <w:pBdr>
        <w:bottom w:val="single" w:color="auto" w:sz="6" w:space="1"/>
      </w:pBdr>
      <w:jc w:val="center"/>
    </w:pPr>
    <w:rPr>
      <w:rFonts w:ascii="Arial" w:hAnsi="Arial" w:cs="Arial"/>
      <w:vanish/>
      <w:sz w:val="16"/>
      <w:szCs w:val="16"/>
      <w:lang w:eastAsia="en-GB"/>
    </w:rPr>
  </w:style>
  <w:style w:type="character" w:customStyle="1" w:styleId="47">
    <w:name w:val="z-Top of Form Char"/>
    <w:link w:val="46"/>
    <w:uiPriority w:val="0"/>
    <w:rPr>
      <w:rFonts w:ascii="Arial" w:hAnsi="Arial" w:cs="Arial"/>
      <w:vanish/>
      <w:sz w:val="16"/>
      <w:szCs w:val="16"/>
      <w:lang w:val="en-GB" w:eastAsia="en-GB"/>
    </w:rPr>
  </w:style>
  <w:style w:type="paragraph" w:customStyle="1" w:styleId="48">
    <w:name w:val="HTML Bottom of Form"/>
    <w:basedOn w:val="1"/>
    <w:next w:val="1"/>
    <w:link w:val="49"/>
    <w:uiPriority w:val="0"/>
    <w:pPr>
      <w:pBdr>
        <w:top w:val="single" w:color="auto" w:sz="6" w:space="1"/>
      </w:pBdr>
      <w:jc w:val="center"/>
    </w:pPr>
    <w:rPr>
      <w:rFonts w:ascii="Arial" w:hAnsi="Arial" w:cs="Arial"/>
      <w:vanish/>
      <w:sz w:val="16"/>
      <w:szCs w:val="16"/>
      <w:lang w:eastAsia="en-GB"/>
    </w:rPr>
  </w:style>
  <w:style w:type="character" w:customStyle="1" w:styleId="49">
    <w:name w:val="z-Bottom of Form Char"/>
    <w:link w:val="48"/>
    <w:qFormat/>
    <w:uiPriority w:val="0"/>
    <w:rPr>
      <w:rFonts w:ascii="Arial" w:hAnsi="Arial" w:cs="Arial"/>
      <w:vanish/>
      <w:sz w:val="16"/>
      <w:szCs w:val="16"/>
      <w:lang w:val="en-GB" w:eastAsia="en-GB"/>
    </w:rPr>
  </w:style>
  <w:style w:type="character" w:customStyle="1" w:styleId="50">
    <w:name w:val="Char Char4"/>
    <w:semiHidden/>
    <w:qFormat/>
    <w:locked/>
    <w:uiPriority w:val="0"/>
    <w:rPr>
      <w:rFonts w:ascii="MAC C Times" w:hAnsi="MAC C Times"/>
      <w:sz w:val="24"/>
      <w:lang w:val="en-GB" w:eastAsia="en-US" w:bidi="ar-SA"/>
    </w:rPr>
  </w:style>
  <w:style w:type="character" w:customStyle="1" w:styleId="51">
    <w:name w:val="Char Char2"/>
    <w:qFormat/>
    <w:locked/>
    <w:uiPriority w:val="0"/>
    <w:rPr>
      <w:rFonts w:ascii="MAC C Times" w:hAnsi="MAC C Times"/>
      <w:b/>
      <w:bCs/>
      <w:sz w:val="28"/>
      <w:szCs w:val="28"/>
      <w:lang w:val="en-US" w:eastAsia="en-US" w:bidi="ar-SA"/>
    </w:rPr>
  </w:style>
  <w:style w:type="paragraph" w:styleId="52">
    <w:name w:val="List Paragraph"/>
    <w:basedOn w:val="1"/>
    <w:qFormat/>
    <w:uiPriority w:val="0"/>
    <w:pPr>
      <w:spacing w:after="200" w:line="276" w:lineRule="auto"/>
      <w:ind w:left="720"/>
      <w:contextualSpacing/>
    </w:pPr>
    <w:rPr>
      <w:rFonts w:ascii="Calibri" w:hAnsi="Calibri" w:eastAsia="Calibri"/>
      <w:sz w:val="22"/>
      <w:szCs w:val="22"/>
      <w:lang w:val="en-US" w:eastAsia="en-US"/>
    </w:rPr>
  </w:style>
  <w:style w:type="character" w:customStyle="1" w:styleId="53">
    <w:name w:val="Comment Text Char"/>
    <w:basedOn w:val="7"/>
    <w:link w:val="16"/>
    <w:qFormat/>
    <w:uiPriority w:val="0"/>
    <w:rPr>
      <w:rFonts w:ascii="MAC C Times" w:hAnsi="MAC C Times"/>
    </w:rPr>
  </w:style>
  <w:style w:type="character" w:customStyle="1" w:styleId="54">
    <w:name w:val="Comment Subject Char"/>
    <w:basedOn w:val="53"/>
    <w:link w:val="17"/>
    <w:semiHidden/>
    <w:qFormat/>
    <w:uiPriority w:val="0"/>
    <w:rPr>
      <w:rFonts w:ascii="MAC C Times" w:hAnsi="MAC C Times"/>
      <w:b/>
      <w:bCs/>
      <w:lang w:val="en-GB" w:eastAsia="hr-HR"/>
    </w:rPr>
  </w:style>
  <w:style w:type="character" w:customStyle="1" w:styleId="55">
    <w:name w:val="HTML Preformatted Char"/>
    <w:basedOn w:val="7"/>
    <w:link w:val="20"/>
    <w:qFormat/>
    <w:uiPriority w:val="0"/>
    <w:rPr>
      <w:rFonts w:ascii="Consolas" w:hAnsi="Consolas" w:cs="Consolas"/>
      <w:lang w:val="en-GB" w:eastAsia="hr-HR"/>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4.xml"/><Relationship Id="rId7" Type="http://schemas.openxmlformats.org/officeDocument/2006/relationships/customXml" Target="../customXml/item3.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06FFE6B2463DCD468DDA6340563834B3" ma:contentTypeVersion="15" ma:contentTypeDescription="Create a new document." ma:contentTypeScope="" ma:versionID="ed06de89fb70e16c8f325472add5b96b">
  <xsd:schema xmlns:xsd="http://www.w3.org/2001/XMLSchema" xmlns:xs="http://www.w3.org/2001/XMLSchema" xmlns:p="http://schemas.microsoft.com/office/2006/metadata/properties" xmlns:ns2="c3c8f14d-de17-4729-8cd2-1c2c3f027e5c" xmlns:ns3="b621dfd6-c00f-47c5-b5af-67d3653e8304" targetNamespace="http://schemas.microsoft.com/office/2006/metadata/properties" ma:root="true" ma:fieldsID="2d948f4f0ef2fc55568c69c746b0b4b3" ns2:_="" ns3:_="">
    <xsd:import namespace="c3c8f14d-de17-4729-8cd2-1c2c3f027e5c"/>
    <xsd:import namespace="b621dfd6-c00f-47c5-b5af-67d3653e830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c8f14d-de17-4729-8cd2-1c2c3f027e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b17e887b-1209-4573-9ff2-b0cecb1881f1"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621dfd6-c00f-47c5-b5af-67d3653e830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6c1a041-ff7c-4483-8ed2-8551aa9b4c3b}" ma:internalName="TaxCatchAll" ma:showField="CatchAllData" ma:web="b621dfd6-c00f-47c5-b5af-67d3653e830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3c8f14d-de17-4729-8cd2-1c2c3f027e5c">
      <Terms xmlns="http://schemas.microsoft.com/office/infopath/2007/PartnerControls"/>
    </lcf76f155ced4ddcb4097134ff3c332f>
    <TaxCatchAll xmlns="b621dfd6-c00f-47c5-b5af-67d3653e8304" xsi:nil="true"/>
  </documentManagement>
</p:properties>
</file>

<file path=customXml/itemProps1.xml><?xml version="1.0" encoding="utf-8"?>
<ds:datastoreItem xmlns:ds="http://schemas.openxmlformats.org/officeDocument/2006/customXml" ds:itemID="{8244B689-6863-4456-ADB2-E15FEB5CACA8}">
  <ds:schemaRefs/>
</ds:datastoreItem>
</file>

<file path=customXml/itemProps2.xml><?xml version="1.0" encoding="utf-8"?>
<ds:datastoreItem xmlns:ds="http://schemas.openxmlformats.org/officeDocument/2006/customXml" ds:itemID="{7FD3B625-966F-4177-95C2-7DDA5CC10EF6}">
  <ds:schemaRefs/>
</ds:datastoreItem>
</file>

<file path=customXml/itemProps3.xml><?xml version="1.0" encoding="utf-8"?>
<ds:datastoreItem xmlns:ds="http://schemas.openxmlformats.org/officeDocument/2006/customXml" ds:itemID="{88374852-DB6F-4F50-8AA9-8F6CE99C6861}">
  <ds:schemaRefs/>
</ds:datastoreItem>
</file>

<file path=customXml/itemProps4.xml><?xml version="1.0" encoding="utf-8"?>
<ds:datastoreItem xmlns:ds="http://schemas.openxmlformats.org/officeDocument/2006/customXml" ds:itemID="{BE1B2E41-5782-49FD-A586-4FE6275E4073}">
  <ds:schemaRefs/>
</ds:datastoreItem>
</file>

<file path=docProps/app.xml><?xml version="1.0" encoding="utf-8"?>
<Properties xmlns="http://schemas.openxmlformats.org/officeDocument/2006/extended-properties" xmlns:vt="http://schemas.openxmlformats.org/officeDocument/2006/docPropsVTypes">
  <Template>Normal</Template>
  <Company>Pliva d.d.</Company>
  <Pages>16</Pages>
  <Words>7775</Words>
  <Characters>44319</Characters>
  <Lines>369</Lines>
  <Paragraphs>103</Paragraphs>
  <TotalTime>3</TotalTime>
  <ScaleCrop>false</ScaleCrop>
  <LinksUpToDate>false</LinksUpToDate>
  <CharactersWithSpaces>51991</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2022-09-20T11:29:00Z</dcterms:created>
  <dc:creator>MSINKIC</dc:creator>
  <cp:lastModifiedBy>Haris</cp:lastModifiedBy>
  <cp:lastPrinted>2017-11-22T07:09:00Z</cp:lastPrinted>
  <dcterms:modified xsi:type="dcterms:W3CDTF">2025-02-21T15:28:12Z</dcterms:modified>
  <dc:title>Module 2</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0x01010006FFE6B2463DCD468DDA6340563834B3</vt:lpwstr>
  </property>
  <property fmtid="{D5CDD505-2E9C-101B-9397-08002B2CF9AE}" pid="3" name="KSOProductBuildVer">
    <vt:lpwstr>1033-12.2.0.19805</vt:lpwstr>
  </property>
  <property fmtid="{D5CDD505-2E9C-101B-9397-08002B2CF9AE}" pid="4" name="ICV">
    <vt:lpwstr>7152FA1940FB4E028B89DC14A5F18D02_13</vt:lpwstr>
  </property>
</Properties>
</file>