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80C333">
      <w:bookmarkStart w:id="6" w:name="_GoBack"/>
      <w:bookmarkEnd w:id="6"/>
    </w:p>
    <w:p w14:paraId="3ECD5E5C">
      <w:pPr>
        <w:jc w:val="center"/>
        <w:rPr>
          <w:rFonts w:ascii="Microsoft Sans Serif" w:hAnsi="Microsoft Sans Serif" w:cs="Microsoft Sans Serif"/>
          <w:b/>
          <w:bCs/>
          <w:iCs/>
          <w:sz w:val="20"/>
          <w:szCs w:val="20"/>
          <w:u w:val="single"/>
        </w:rPr>
      </w:pPr>
      <w:r>
        <w:rPr>
          <w:rFonts w:ascii="Microsoft Sans Serif" w:hAnsi="Microsoft Sans Serif" w:cs="Microsoft Sans Serif"/>
          <w:b/>
          <w:bCs/>
          <w:iCs/>
          <w:sz w:val="20"/>
          <w:szCs w:val="20"/>
          <w:u w:val="single"/>
        </w:rPr>
        <w:t>SAŽETAK KARAKTERISTIKA LIJEKA</w:t>
      </w:r>
    </w:p>
    <w:p w14:paraId="1030C9C9">
      <w:pPr>
        <w:jc w:val="center"/>
        <w:rPr>
          <w:rFonts w:ascii="Microsoft Sans Serif" w:hAnsi="Microsoft Sans Serif" w:cs="Microsoft Sans Serif"/>
          <w:b/>
          <w:bCs/>
          <w:iCs/>
          <w:sz w:val="20"/>
          <w:szCs w:val="20"/>
          <w:u w:val="single"/>
        </w:rPr>
      </w:pPr>
    </w:p>
    <w:p w14:paraId="054B034C">
      <w:pPr>
        <w:tabs>
          <w:tab w:val="clear" w:pos="284"/>
        </w:tabs>
        <w:autoSpaceDE w:val="0"/>
        <w:autoSpaceDN w:val="0"/>
        <w:adjustRightInd w:val="0"/>
        <w:jc w:val="left"/>
        <w:rPr>
          <w:rFonts w:ascii="MicrosoftSansSerif" w:hAnsi="MicrosoftSansSerif" w:cs="MicrosoftSansSerif"/>
          <w:sz w:val="20"/>
          <w:szCs w:val="20"/>
        </w:rPr>
      </w:pPr>
      <w:r>
        <w:rPr>
          <w:rFonts w:ascii="MicrosoftSansSerif" w:hAnsi="MicrosoftSansSerif" w:cs="MicrosoftSansSerif"/>
          <w:sz w:val="20"/>
          <w:szCs w:val="20"/>
        </w:rPr>
        <w:t>▼ Ovaj lijek je predmet dodatnog praćenja/nadzora. Ovo će omogućiti da se nove bezbjedonosne</w:t>
      </w:r>
    </w:p>
    <w:p w14:paraId="29CA2ED6">
      <w:pPr>
        <w:tabs>
          <w:tab w:val="clear" w:pos="284"/>
        </w:tabs>
        <w:autoSpaceDE w:val="0"/>
        <w:autoSpaceDN w:val="0"/>
        <w:adjustRightInd w:val="0"/>
        <w:jc w:val="left"/>
        <w:rPr>
          <w:rFonts w:ascii="MicrosoftSansSerif" w:hAnsi="MicrosoftSansSerif" w:cs="MicrosoftSansSerif"/>
          <w:sz w:val="20"/>
          <w:szCs w:val="20"/>
        </w:rPr>
      </w:pPr>
      <w:r>
        <w:rPr>
          <w:rFonts w:ascii="MicrosoftSansSerif" w:hAnsi="MicrosoftSansSerif" w:cs="MicrosoftSansSerif"/>
          <w:sz w:val="20"/>
          <w:szCs w:val="20"/>
        </w:rPr>
        <w:t>informacije o lijeku pribave u što kraćem vremenu. Od zdravstvenih stručnjaka se traži da prijave svaku</w:t>
      </w:r>
    </w:p>
    <w:p w14:paraId="4C73925F">
      <w:pPr>
        <w:tabs>
          <w:tab w:val="clear" w:pos="284"/>
        </w:tabs>
        <w:autoSpaceDE w:val="0"/>
        <w:autoSpaceDN w:val="0"/>
        <w:adjustRightInd w:val="0"/>
        <w:jc w:val="left"/>
        <w:rPr>
          <w:rFonts w:ascii="Microsoft Sans Serif" w:hAnsi="Microsoft Sans Serif" w:cs="Microsoft Sans Serif"/>
          <w:b/>
          <w:bCs/>
          <w:sz w:val="20"/>
          <w:szCs w:val="20"/>
        </w:rPr>
      </w:pPr>
      <w:r>
        <w:rPr>
          <w:rFonts w:ascii="MicrosoftSansSerif" w:hAnsi="MicrosoftSansSerif" w:cs="MicrosoftSansSerif"/>
          <w:sz w:val="20"/>
          <w:szCs w:val="20"/>
        </w:rPr>
        <w:t>sumnju na neželjeno dejstvo predmetnog lijeka. Pogledajte dio 4.8 u kome je naznačen način prijavljivanja neželjenih djelovanja</w:t>
      </w:r>
    </w:p>
    <w:p w14:paraId="75369C8E">
      <w:pPr>
        <w:rPr>
          <w:rFonts w:ascii="Microsoft Sans Serif" w:hAnsi="Microsoft Sans Serif" w:cs="Microsoft Sans Serif"/>
          <w:b/>
          <w:bCs/>
          <w:sz w:val="20"/>
          <w:szCs w:val="20"/>
        </w:rPr>
      </w:pPr>
    </w:p>
    <w:p w14:paraId="4B20EEC5">
      <w:pPr>
        <w:rPr>
          <w:rFonts w:ascii="Microsoft Sans Serif" w:hAnsi="Microsoft Sans Serif" w:cs="Microsoft Sans Serif"/>
          <w:b/>
          <w:bCs/>
          <w:sz w:val="20"/>
          <w:szCs w:val="20"/>
        </w:rPr>
      </w:pPr>
    </w:p>
    <w:p w14:paraId="4974C6B8">
      <w:pPr>
        <w:pStyle w:val="17"/>
        <w:spacing w:before="0" w:after="0"/>
        <w:jc w:val="both"/>
        <w:rPr>
          <w:rFonts w:ascii="Microsoft Sans Serif" w:hAnsi="Microsoft Sans Serif" w:cs="Microsoft Sans Serif"/>
          <w:sz w:val="20"/>
          <w:szCs w:val="20"/>
          <w:lang w:val="sr-Latn-CS"/>
        </w:rPr>
      </w:pPr>
      <w:r>
        <w:rPr>
          <w:rFonts w:ascii="Microsoft Sans Serif" w:hAnsi="Microsoft Sans Serif" w:cs="Microsoft Sans Serif"/>
          <w:sz w:val="20"/>
          <w:szCs w:val="20"/>
        </w:rPr>
        <w:t>1. IME LIJEKA</w:t>
      </w:r>
    </w:p>
    <w:p w14:paraId="1FF861CE">
      <w:pPr>
        <w:rPr>
          <w:rFonts w:ascii="Microsoft Sans Serif" w:hAnsi="Microsoft Sans Serif" w:cs="Microsoft Sans Serif"/>
          <w:sz w:val="20"/>
          <w:szCs w:val="20"/>
        </w:rPr>
      </w:pPr>
      <w:r>
        <w:rPr>
          <w:rFonts w:ascii="Microsoft Sans Serif" w:hAnsi="Microsoft Sans Serif" w:cs="Microsoft Sans Serif"/>
          <w:bCs/>
          <w:sz w:val="20"/>
          <w:szCs w:val="20"/>
          <w:lang w:val="sr-Latn-CS"/>
        </w:rPr>
        <w:t xml:space="preserve">Rufixalo </w:t>
      </w:r>
      <w:r>
        <w:rPr>
          <w:rFonts w:ascii="Microsoft Sans Serif" w:hAnsi="Microsoft Sans Serif" w:cs="Microsoft Sans Serif"/>
          <w:sz w:val="20"/>
          <w:szCs w:val="20"/>
        </w:rPr>
        <w:t>15 mg film tablete</w:t>
      </w:r>
    </w:p>
    <w:p w14:paraId="16CCD0F7">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Rufixalo 20 mg film tablete</w:t>
      </w:r>
    </w:p>
    <w:p w14:paraId="286E7C48">
      <w:pPr>
        <w:rPr>
          <w:rFonts w:ascii="Microsoft Sans Serif" w:hAnsi="Microsoft Sans Serif" w:cs="Microsoft Sans Serif"/>
          <w:sz w:val="20"/>
          <w:szCs w:val="20"/>
          <w:lang w:val="sr-Latn-RS"/>
        </w:rPr>
      </w:pPr>
      <w:r>
        <w:rPr>
          <w:rFonts w:ascii="Microsoft Sans Serif" w:hAnsi="Microsoft Sans Serif" w:cs="Microsoft Sans Serif"/>
          <w:i/>
          <w:sz w:val="20"/>
          <w:szCs w:val="20"/>
          <w:lang w:val="sr-Latn-RS"/>
        </w:rPr>
        <w:t>rivaroksaban</w:t>
      </w:r>
    </w:p>
    <w:p w14:paraId="31A2ACA0">
      <w:pPr>
        <w:rPr>
          <w:rFonts w:ascii="Microsoft Sans Serif" w:hAnsi="Microsoft Sans Serif" w:cs="Microsoft Sans Serif"/>
          <w:b/>
          <w:bCs/>
          <w:sz w:val="20"/>
          <w:szCs w:val="20"/>
        </w:rPr>
      </w:pPr>
    </w:p>
    <w:p w14:paraId="48C54121">
      <w:pPr>
        <w:rPr>
          <w:rFonts w:ascii="Microsoft Sans Serif" w:hAnsi="Microsoft Sans Serif" w:cs="Microsoft Sans Serif"/>
          <w:b/>
          <w:bCs/>
          <w:sz w:val="20"/>
          <w:szCs w:val="20"/>
        </w:rPr>
      </w:pPr>
    </w:p>
    <w:p w14:paraId="52606202">
      <w:pPr>
        <w:pStyle w:val="17"/>
        <w:spacing w:before="0" w:after="0"/>
        <w:jc w:val="both"/>
        <w:rPr>
          <w:rFonts w:ascii="Microsoft Sans Serif" w:hAnsi="Microsoft Sans Serif" w:cs="Microsoft Sans Serif"/>
          <w:sz w:val="20"/>
          <w:szCs w:val="20"/>
        </w:rPr>
      </w:pPr>
      <w:r>
        <w:rPr>
          <w:rFonts w:ascii="Microsoft Sans Serif" w:hAnsi="Microsoft Sans Serif" w:cs="Microsoft Sans Serif"/>
          <w:sz w:val="20"/>
          <w:szCs w:val="20"/>
        </w:rPr>
        <w:t>2. KVALITATIVNI I KVANTITATIVNI SASTAV</w:t>
      </w:r>
    </w:p>
    <w:p w14:paraId="569CCA74">
      <w:pPr>
        <w:tabs>
          <w:tab w:val="clear" w:pos="284"/>
        </w:tabs>
        <w:rPr>
          <w:rFonts w:ascii="Microsoft Sans Serif" w:hAnsi="Microsoft Sans Serif" w:cs="Microsoft Sans Serif"/>
          <w:i/>
          <w:sz w:val="20"/>
          <w:szCs w:val="20"/>
        </w:rPr>
      </w:pPr>
    </w:p>
    <w:p w14:paraId="580FBB47">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Rufixalo 15 mg film tablete:</w:t>
      </w:r>
    </w:p>
    <w:p w14:paraId="6E906549">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Jedna</w:t>
      </w:r>
      <w:r>
        <w:rPr>
          <w:rFonts w:ascii="Microsoft Sans Serif" w:hAnsi="Microsoft Sans Serif" w:cs="Microsoft Sans Serif"/>
          <w:sz w:val="20"/>
          <w:szCs w:val="20"/>
          <w:lang w:val="sr-Cyrl-RS"/>
        </w:rPr>
        <w:t xml:space="preserve"> film tableta sadrži </w:t>
      </w:r>
      <w:r>
        <w:rPr>
          <w:rFonts w:ascii="Microsoft Sans Serif" w:hAnsi="Microsoft Sans Serif" w:cs="Microsoft Sans Serif"/>
          <w:sz w:val="20"/>
          <w:szCs w:val="20"/>
        </w:rPr>
        <w:t>15 mg rivaroksa</w:t>
      </w:r>
      <w:r>
        <w:rPr>
          <w:rFonts w:ascii="Microsoft Sans Serif" w:hAnsi="Microsoft Sans Serif" w:cs="Microsoft Sans Serif"/>
          <w:sz w:val="20"/>
          <w:szCs w:val="20"/>
          <w:lang w:val="sr-Cyrl-RS"/>
        </w:rPr>
        <w:t>bana</w:t>
      </w:r>
      <w:r>
        <w:rPr>
          <w:rFonts w:ascii="Microsoft Sans Serif" w:hAnsi="Microsoft Sans Serif" w:cs="Microsoft Sans Serif"/>
          <w:sz w:val="20"/>
          <w:szCs w:val="20"/>
        </w:rPr>
        <w:t>.</w:t>
      </w:r>
    </w:p>
    <w:p w14:paraId="348AA133">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u w:val="single"/>
          <w:lang w:val="sr-Cyrl-RS"/>
        </w:rPr>
        <w:t>Pomoćn</w:t>
      </w:r>
      <w:r>
        <w:rPr>
          <w:rFonts w:ascii="Microsoft Sans Serif" w:hAnsi="Microsoft Sans Serif" w:cs="Microsoft Sans Serif"/>
          <w:sz w:val="20"/>
          <w:szCs w:val="20"/>
          <w:u w:val="single"/>
        </w:rPr>
        <w:t>a</w:t>
      </w:r>
      <w:r>
        <w:rPr>
          <w:rFonts w:ascii="Microsoft Sans Serif" w:hAnsi="Microsoft Sans Serif" w:cs="Microsoft Sans Serif"/>
          <w:sz w:val="20"/>
          <w:szCs w:val="20"/>
          <w:u w:val="single"/>
          <w:lang w:val="sr-Cyrl-RS"/>
        </w:rPr>
        <w:t xml:space="preserve"> supstanc</w:t>
      </w:r>
      <w:r>
        <w:rPr>
          <w:rFonts w:ascii="Microsoft Sans Serif" w:hAnsi="Microsoft Sans Serif" w:cs="Microsoft Sans Serif"/>
          <w:sz w:val="20"/>
          <w:szCs w:val="20"/>
          <w:u w:val="single"/>
        </w:rPr>
        <w:t>a</w:t>
      </w:r>
      <w:r>
        <w:rPr>
          <w:rFonts w:ascii="Microsoft Sans Serif" w:hAnsi="Microsoft Sans Serif" w:cs="Microsoft Sans Serif"/>
          <w:sz w:val="20"/>
          <w:szCs w:val="20"/>
          <w:u w:val="single"/>
          <w:lang w:val="sr-Cyrl-RS"/>
        </w:rPr>
        <w:t xml:space="preserve"> sa potvrđenim dejstvom:</w:t>
      </w:r>
    </w:p>
    <w:p w14:paraId="4556E8C9">
      <w:pPr>
        <w:tabs>
          <w:tab w:val="clear" w:pos="284"/>
        </w:tabs>
        <w:autoSpaceDE w:val="0"/>
        <w:autoSpaceDN w:val="0"/>
        <w:adjustRightInd w:val="0"/>
        <w:rPr>
          <w:rFonts w:ascii="Microsoft Sans Serif" w:hAnsi="Microsoft Sans Serif" w:cs="Microsoft Sans Serif"/>
          <w:sz w:val="20"/>
          <w:szCs w:val="20"/>
        </w:rPr>
      </w:pPr>
      <w:r>
        <w:rPr>
          <w:rFonts w:ascii="Microsoft Sans Serif" w:hAnsi="Microsoft Sans Serif" w:cs="Microsoft Sans Serif"/>
          <w:sz w:val="20"/>
          <w:szCs w:val="20"/>
          <w:lang w:val="sr-Cyrl-RS"/>
        </w:rPr>
        <w:t>Svaka film tableta s</w:t>
      </w:r>
      <w:r>
        <w:rPr>
          <w:rFonts w:ascii="Microsoft Sans Serif" w:hAnsi="Microsoft Sans Serif" w:cs="Microsoft Sans Serif"/>
          <w:sz w:val="20"/>
          <w:szCs w:val="20"/>
          <w:lang w:val="mk-MK"/>
        </w:rPr>
        <w:t>a</w:t>
      </w:r>
      <w:r>
        <w:rPr>
          <w:rFonts w:ascii="Microsoft Sans Serif" w:hAnsi="Microsoft Sans Serif" w:cs="Microsoft Sans Serif"/>
          <w:sz w:val="20"/>
          <w:szCs w:val="20"/>
          <w:lang w:val="sr-Cyrl-RS"/>
        </w:rPr>
        <w:t>drži</w:t>
      </w:r>
      <w:r>
        <w:rPr>
          <w:rFonts w:ascii="Microsoft Sans Serif" w:hAnsi="Microsoft Sans Serif" w:cs="Microsoft Sans Serif"/>
          <w:sz w:val="20"/>
          <w:szCs w:val="20"/>
        </w:rPr>
        <w:t xml:space="preserve"> 21.75 mg laktoze, pogledati dio 4.4.</w:t>
      </w:r>
    </w:p>
    <w:p w14:paraId="322D36E5">
      <w:pPr>
        <w:tabs>
          <w:tab w:val="clear" w:pos="284"/>
        </w:tabs>
        <w:autoSpaceDE w:val="0"/>
        <w:autoSpaceDN w:val="0"/>
        <w:adjustRightInd w:val="0"/>
        <w:rPr>
          <w:rFonts w:ascii="Microsoft Sans Serif" w:hAnsi="Microsoft Sans Serif" w:cs="Microsoft Sans Serif"/>
          <w:sz w:val="20"/>
          <w:szCs w:val="20"/>
          <w:highlight w:val="yellow"/>
        </w:rPr>
      </w:pPr>
    </w:p>
    <w:p w14:paraId="0B9FBACC">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Rufixalo 20 mg film tablete:</w:t>
      </w:r>
    </w:p>
    <w:p w14:paraId="09CDE227">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Jedna</w:t>
      </w:r>
      <w:r>
        <w:rPr>
          <w:rFonts w:ascii="Microsoft Sans Serif" w:hAnsi="Microsoft Sans Serif" w:cs="Microsoft Sans Serif"/>
          <w:sz w:val="20"/>
          <w:szCs w:val="20"/>
          <w:lang w:val="sr-Cyrl-RS"/>
        </w:rPr>
        <w:t xml:space="preserve"> film tableta sadrži</w:t>
      </w:r>
      <w:r>
        <w:rPr>
          <w:rFonts w:ascii="Microsoft Sans Serif" w:hAnsi="Microsoft Sans Serif" w:cs="Microsoft Sans Serif"/>
          <w:sz w:val="20"/>
          <w:szCs w:val="20"/>
        </w:rPr>
        <w:t xml:space="preserve"> 20 mg rivaroksabana. </w:t>
      </w:r>
    </w:p>
    <w:p w14:paraId="3A69B4EE">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u w:val="single"/>
          <w:lang w:val="sr-Cyrl-RS"/>
        </w:rPr>
        <w:t>Pomoćn</w:t>
      </w:r>
      <w:r>
        <w:rPr>
          <w:rFonts w:ascii="Microsoft Sans Serif" w:hAnsi="Microsoft Sans Serif" w:cs="Microsoft Sans Serif"/>
          <w:sz w:val="20"/>
          <w:szCs w:val="20"/>
          <w:u w:val="single"/>
        </w:rPr>
        <w:t>a</w:t>
      </w:r>
      <w:r>
        <w:rPr>
          <w:rFonts w:ascii="Microsoft Sans Serif" w:hAnsi="Microsoft Sans Serif" w:cs="Microsoft Sans Serif"/>
          <w:sz w:val="20"/>
          <w:szCs w:val="20"/>
          <w:u w:val="single"/>
          <w:lang w:val="sr-Cyrl-RS"/>
        </w:rPr>
        <w:t xml:space="preserve"> supstanc</w:t>
      </w:r>
      <w:r>
        <w:rPr>
          <w:rFonts w:ascii="Microsoft Sans Serif" w:hAnsi="Microsoft Sans Serif" w:cs="Microsoft Sans Serif"/>
          <w:sz w:val="20"/>
          <w:szCs w:val="20"/>
          <w:u w:val="single"/>
        </w:rPr>
        <w:t>a</w:t>
      </w:r>
      <w:r>
        <w:rPr>
          <w:rFonts w:ascii="Microsoft Sans Serif" w:hAnsi="Microsoft Sans Serif" w:cs="Microsoft Sans Serif"/>
          <w:sz w:val="20"/>
          <w:szCs w:val="20"/>
          <w:u w:val="single"/>
          <w:lang w:val="sr-Cyrl-RS"/>
        </w:rPr>
        <w:t xml:space="preserve"> sa potvrđenim dejstvom:</w:t>
      </w:r>
    </w:p>
    <w:p w14:paraId="044EE23C">
      <w:pPr>
        <w:tabs>
          <w:tab w:val="clear" w:pos="284"/>
        </w:tabs>
        <w:autoSpaceDE w:val="0"/>
        <w:autoSpaceDN w:val="0"/>
        <w:adjustRightInd w:val="0"/>
        <w:rPr>
          <w:rFonts w:ascii="Microsoft Sans Serif" w:hAnsi="Microsoft Sans Serif" w:cs="Microsoft Sans Serif"/>
          <w:sz w:val="20"/>
          <w:szCs w:val="20"/>
        </w:rPr>
      </w:pPr>
      <w:r>
        <w:rPr>
          <w:rFonts w:ascii="Microsoft Sans Serif" w:hAnsi="Microsoft Sans Serif" w:cs="Microsoft Sans Serif"/>
          <w:sz w:val="20"/>
          <w:szCs w:val="20"/>
          <w:lang w:val="sr-Cyrl-RS"/>
        </w:rPr>
        <w:t>Svaka film tableta sadrži</w:t>
      </w:r>
      <w:r>
        <w:rPr>
          <w:rFonts w:ascii="Microsoft Sans Serif" w:hAnsi="Microsoft Sans Serif" w:cs="Microsoft Sans Serif"/>
          <w:sz w:val="20"/>
          <w:szCs w:val="20"/>
        </w:rPr>
        <w:t xml:space="preserve"> 29 mg laktoze, pogledati dio 4.4.</w:t>
      </w:r>
    </w:p>
    <w:p w14:paraId="6149CE1E">
      <w:pPr>
        <w:tabs>
          <w:tab w:val="clear" w:pos="284"/>
        </w:tabs>
        <w:autoSpaceDE w:val="0"/>
        <w:autoSpaceDN w:val="0"/>
        <w:adjustRightInd w:val="0"/>
        <w:rPr>
          <w:rFonts w:ascii="Microsoft Sans Serif" w:hAnsi="Microsoft Sans Serif" w:cs="Microsoft Sans Serif"/>
          <w:sz w:val="20"/>
          <w:szCs w:val="20"/>
          <w:highlight w:val="yellow"/>
        </w:rPr>
      </w:pPr>
    </w:p>
    <w:p w14:paraId="6775492F">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Za listu svih pomoćnih supstanci, pogledati dio 6.1.</w:t>
      </w:r>
    </w:p>
    <w:p w14:paraId="19858CAF">
      <w:pPr>
        <w:rPr>
          <w:rFonts w:ascii="Microsoft Sans Serif" w:hAnsi="Microsoft Sans Serif" w:cs="Microsoft Sans Serif"/>
          <w:sz w:val="20"/>
          <w:szCs w:val="20"/>
        </w:rPr>
      </w:pPr>
    </w:p>
    <w:p w14:paraId="3372CBAC">
      <w:pPr>
        <w:rPr>
          <w:rFonts w:ascii="Microsoft Sans Serif" w:hAnsi="Microsoft Sans Serif" w:cs="Microsoft Sans Serif"/>
          <w:sz w:val="20"/>
          <w:szCs w:val="20"/>
        </w:rPr>
      </w:pPr>
    </w:p>
    <w:p w14:paraId="55FC64DE">
      <w:pPr>
        <w:pStyle w:val="17"/>
        <w:spacing w:before="0" w:after="0"/>
        <w:jc w:val="both"/>
        <w:rPr>
          <w:rFonts w:ascii="Microsoft Sans Serif" w:hAnsi="Microsoft Sans Serif" w:cs="Microsoft Sans Serif"/>
          <w:sz w:val="20"/>
          <w:szCs w:val="20"/>
        </w:rPr>
      </w:pPr>
      <w:r>
        <w:rPr>
          <w:rFonts w:ascii="Microsoft Sans Serif" w:hAnsi="Microsoft Sans Serif" w:cs="Microsoft Sans Serif"/>
          <w:sz w:val="20"/>
          <w:szCs w:val="20"/>
        </w:rPr>
        <w:t>3. FARMACEUTSKI OBLIK</w:t>
      </w:r>
    </w:p>
    <w:p w14:paraId="4EB67B41">
      <w:pPr>
        <w:pStyle w:val="17"/>
        <w:spacing w:before="0" w:after="0"/>
        <w:jc w:val="both"/>
        <w:rPr>
          <w:rFonts w:ascii="Microsoft Sans Serif" w:hAnsi="Microsoft Sans Serif" w:cs="Microsoft Sans Serif"/>
          <w:sz w:val="20"/>
          <w:szCs w:val="20"/>
        </w:rPr>
      </w:pPr>
    </w:p>
    <w:p w14:paraId="49A347F3">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Film tableta.</w:t>
      </w:r>
    </w:p>
    <w:p w14:paraId="180C1F3B">
      <w:pPr>
        <w:tabs>
          <w:tab w:val="clear" w:pos="284"/>
        </w:tabs>
        <w:rPr>
          <w:rFonts w:ascii="Microsoft Sans Serif" w:hAnsi="Microsoft Sans Serif" w:cs="Microsoft Sans Serif"/>
          <w:sz w:val="20"/>
          <w:szCs w:val="20"/>
        </w:rPr>
      </w:pPr>
    </w:p>
    <w:p w14:paraId="2416C7C4">
      <w:pPr>
        <w:tabs>
          <w:tab w:val="clear" w:pos="284"/>
        </w:tabs>
        <w:rPr>
          <w:rFonts w:ascii="Microsoft Sans Serif" w:hAnsi="Microsoft Sans Serif" w:cs="Microsoft Sans Serif"/>
          <w:sz w:val="20"/>
          <w:szCs w:val="20"/>
        </w:rPr>
      </w:pPr>
      <w:r>
        <w:rPr>
          <w:rFonts w:ascii="Microsoft Sans Serif" w:hAnsi="Microsoft Sans Serif" w:cs="Microsoft Sans Serif"/>
          <w:i/>
          <w:sz w:val="20"/>
          <w:szCs w:val="20"/>
        </w:rPr>
        <w:t>Rufixalo 15 mg film tablete:</w:t>
      </w:r>
    </w:p>
    <w:p w14:paraId="18FA7FEC">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Crvene, okrugle bikonveksne tablete, sa utisnutom oznakom „15“ na jednoj strani i bez oznaka na drugoj strani.</w:t>
      </w:r>
    </w:p>
    <w:p w14:paraId="5D0A52C8">
      <w:pPr>
        <w:tabs>
          <w:tab w:val="clear" w:pos="284"/>
        </w:tabs>
        <w:rPr>
          <w:rFonts w:ascii="Microsoft Sans Serif" w:hAnsi="Microsoft Sans Serif" w:cs="Microsoft Sans Serif"/>
          <w:sz w:val="20"/>
          <w:szCs w:val="20"/>
          <w:lang w:val="sr-Latn-RS"/>
        </w:rPr>
      </w:pPr>
    </w:p>
    <w:p w14:paraId="70169885">
      <w:pPr>
        <w:tabs>
          <w:tab w:val="clear" w:pos="284"/>
        </w:tabs>
        <w:rPr>
          <w:rFonts w:ascii="Microsoft Sans Serif" w:hAnsi="Microsoft Sans Serif" w:cs="Microsoft Sans Serif"/>
          <w:sz w:val="20"/>
          <w:szCs w:val="20"/>
        </w:rPr>
      </w:pPr>
      <w:r>
        <w:rPr>
          <w:rFonts w:ascii="Microsoft Sans Serif" w:hAnsi="Microsoft Sans Serif" w:cs="Microsoft Sans Serif"/>
          <w:i/>
          <w:sz w:val="20"/>
          <w:szCs w:val="20"/>
        </w:rPr>
        <w:t>Rufixalo 20 mg film tablete:</w:t>
      </w:r>
    </w:p>
    <w:p w14:paraId="2DE62CAA">
      <w:pPr>
        <w:tabs>
          <w:tab w:val="clear" w:pos="284"/>
        </w:tabs>
        <w:rPr>
          <w:rFonts w:ascii="Microsoft Sans Serif" w:hAnsi="Microsoft Sans Serif" w:cs="Microsoft Sans Serif"/>
          <w:sz w:val="20"/>
          <w:szCs w:val="20"/>
          <w:lang w:val="sr-Latn-RS"/>
        </w:rPr>
      </w:pPr>
      <w:r>
        <w:rPr>
          <w:rFonts w:ascii="Microsoft Sans Serif" w:hAnsi="Microsoft Sans Serif" w:cs="Microsoft Sans Serif"/>
          <w:sz w:val="20"/>
          <w:szCs w:val="20"/>
          <w:lang w:val="sr-Cyrl-RS"/>
        </w:rPr>
        <w:t>Braon-crvene, okrugle bikonveksne tablete, sa utisnutom oznakom „20“ na jednoj strani i bez oznaka na drugoj strani.</w:t>
      </w:r>
    </w:p>
    <w:p w14:paraId="724C4375">
      <w:pPr>
        <w:rPr>
          <w:rFonts w:ascii="Microsoft Sans Serif" w:hAnsi="Microsoft Sans Serif" w:cs="Microsoft Sans Serif"/>
          <w:sz w:val="20"/>
          <w:szCs w:val="20"/>
        </w:rPr>
      </w:pPr>
    </w:p>
    <w:p w14:paraId="72C4C734">
      <w:pPr>
        <w:rPr>
          <w:rFonts w:ascii="Microsoft Sans Serif" w:hAnsi="Microsoft Sans Serif" w:cs="Microsoft Sans Serif"/>
          <w:sz w:val="20"/>
          <w:szCs w:val="20"/>
        </w:rPr>
      </w:pPr>
    </w:p>
    <w:p w14:paraId="021AFEB8">
      <w:pPr>
        <w:pStyle w:val="17"/>
        <w:spacing w:before="0" w:after="0"/>
        <w:jc w:val="both"/>
        <w:rPr>
          <w:rFonts w:ascii="Microsoft Sans Serif" w:hAnsi="Microsoft Sans Serif" w:cs="Microsoft Sans Serif"/>
          <w:sz w:val="20"/>
          <w:szCs w:val="20"/>
        </w:rPr>
      </w:pPr>
      <w:r>
        <w:rPr>
          <w:rFonts w:ascii="Microsoft Sans Serif" w:hAnsi="Microsoft Sans Serif" w:cs="Microsoft Sans Serif"/>
          <w:sz w:val="20"/>
          <w:szCs w:val="20"/>
        </w:rPr>
        <w:t>4. KLINIČKI PODACI</w:t>
      </w:r>
    </w:p>
    <w:p w14:paraId="60AA90D0">
      <w:pPr>
        <w:pStyle w:val="17"/>
        <w:spacing w:before="0" w:after="0"/>
        <w:jc w:val="both"/>
        <w:rPr>
          <w:rFonts w:ascii="Microsoft Sans Serif" w:hAnsi="Microsoft Sans Serif" w:cs="Microsoft Sans Serif"/>
          <w:sz w:val="20"/>
          <w:szCs w:val="20"/>
        </w:rPr>
      </w:pPr>
    </w:p>
    <w:p w14:paraId="0A826FB5">
      <w:pPr>
        <w:rPr>
          <w:rFonts w:ascii="Microsoft Sans Serif" w:hAnsi="Microsoft Sans Serif" w:cs="Microsoft Sans Serif"/>
          <w:b/>
          <w:bCs/>
          <w:sz w:val="20"/>
          <w:szCs w:val="20"/>
        </w:rPr>
      </w:pPr>
      <w:r>
        <w:rPr>
          <w:rFonts w:ascii="Microsoft Sans Serif" w:hAnsi="Microsoft Sans Serif" w:cs="Microsoft Sans Serif"/>
          <w:b/>
          <w:bCs/>
          <w:sz w:val="20"/>
          <w:szCs w:val="20"/>
        </w:rPr>
        <w:t>4.1. Terapijske indikacije</w:t>
      </w:r>
    </w:p>
    <w:p w14:paraId="49042BB3">
      <w:pPr>
        <w:rPr>
          <w:rFonts w:ascii="Microsoft Sans Serif" w:hAnsi="Microsoft Sans Serif" w:cs="Microsoft Sans Serif"/>
          <w:b/>
          <w:bCs/>
          <w:sz w:val="20"/>
          <w:szCs w:val="20"/>
        </w:rPr>
      </w:pPr>
    </w:p>
    <w:p w14:paraId="400D4DAA">
      <w:pPr>
        <w:tabs>
          <w:tab w:val="clear" w:pos="284"/>
        </w:tabs>
        <w:rPr>
          <w:rFonts w:ascii="Microsoft Sans Serif" w:hAnsi="Microsoft Sans Serif" w:cs="Microsoft Sans Serif"/>
          <w:i/>
          <w:sz w:val="20"/>
          <w:szCs w:val="20"/>
          <w:u w:val="single"/>
        </w:rPr>
      </w:pPr>
      <w:r>
        <w:rPr>
          <w:rFonts w:ascii="Microsoft Sans Serif" w:hAnsi="Microsoft Sans Serif" w:cs="Microsoft Sans Serif"/>
          <w:i/>
          <w:sz w:val="20"/>
          <w:szCs w:val="20"/>
          <w:u w:val="single"/>
        </w:rPr>
        <w:t>Odrasli</w:t>
      </w:r>
    </w:p>
    <w:p w14:paraId="59695237">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Prevencija moždanog udara i sistemske embolije kod odraslih pacijenata sa nevalvularnom atrijalnom fibrilacijom sa jednim ili više faktora rizika, poput kongestivne srčane insuficijencije, hipertenzije, starosti ≥75 godina, </w:t>
      </w:r>
      <w:r>
        <w:rPr>
          <w:rFonts w:ascii="Microsoft Sans Serif" w:hAnsi="Microsoft Sans Serif" w:cs="Microsoft Sans Serif"/>
          <w:sz w:val="20"/>
          <w:szCs w:val="20"/>
          <w:lang w:val="mk-MK"/>
        </w:rPr>
        <w:t>di</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mk-MK"/>
        </w:rPr>
        <w:t>abetes melitusa</w:t>
      </w:r>
      <w:r>
        <w:rPr>
          <w:rFonts w:ascii="Microsoft Sans Serif" w:hAnsi="Microsoft Sans Serif" w:cs="Microsoft Sans Serif"/>
          <w:sz w:val="20"/>
          <w:szCs w:val="20"/>
        </w:rPr>
        <w:t>, prethodnog moždanog udara ili tranzitornog ishemijskog napada.</w:t>
      </w:r>
    </w:p>
    <w:p w14:paraId="3883F18E">
      <w:pPr>
        <w:tabs>
          <w:tab w:val="clear" w:pos="284"/>
        </w:tabs>
        <w:rPr>
          <w:rFonts w:ascii="Microsoft Sans Serif" w:hAnsi="Microsoft Sans Serif" w:cs="Microsoft Sans Serif"/>
          <w:sz w:val="20"/>
          <w:szCs w:val="20"/>
        </w:rPr>
      </w:pPr>
    </w:p>
    <w:p w14:paraId="38D6ABCE">
      <w:pPr>
        <w:rPr>
          <w:rFonts w:ascii="Microsoft Sans Serif" w:hAnsi="Microsoft Sans Serif" w:cs="Microsoft Sans Serif"/>
          <w:bCs/>
          <w:sz w:val="20"/>
          <w:szCs w:val="20"/>
        </w:rPr>
      </w:pPr>
      <w:r>
        <w:rPr>
          <w:rFonts w:ascii="Microsoft Sans Serif" w:hAnsi="Microsoft Sans Serif" w:cs="Microsoft Sans Serif"/>
          <w:bCs/>
          <w:sz w:val="20"/>
          <w:szCs w:val="20"/>
        </w:rPr>
        <w:t xml:space="preserve">Liječenje </w:t>
      </w:r>
      <w:r>
        <w:rPr>
          <w:rFonts w:ascii="Microsoft Sans Serif" w:hAnsi="Microsoft Sans Serif" w:cs="Microsoft Sans Serif"/>
          <w:bCs/>
          <w:sz w:val="20"/>
          <w:szCs w:val="20"/>
          <w:lang w:val="mk-MK"/>
        </w:rPr>
        <w:t>duboke venske tromboze</w:t>
      </w:r>
      <w:r>
        <w:rPr>
          <w:rFonts w:ascii="Microsoft Sans Serif" w:hAnsi="Microsoft Sans Serif" w:cs="Microsoft Sans Serif"/>
          <w:bCs/>
          <w:sz w:val="20"/>
          <w:szCs w:val="20"/>
        </w:rPr>
        <w:t xml:space="preserve"> (TDV) i plućne embolije (PE) i prevencija ponavlјajuće </w:t>
      </w:r>
      <w:r>
        <w:rPr>
          <w:rFonts w:ascii="Microsoft Sans Serif" w:hAnsi="Microsoft Sans Serif" w:cs="Microsoft Sans Serif"/>
          <w:bCs/>
          <w:sz w:val="20"/>
          <w:szCs w:val="20"/>
          <w:lang w:val="mk-MK"/>
        </w:rPr>
        <w:t>duboke venske tromboze</w:t>
      </w:r>
      <w:r>
        <w:rPr>
          <w:rFonts w:ascii="Microsoft Sans Serif" w:hAnsi="Microsoft Sans Serif" w:cs="Microsoft Sans Serif"/>
          <w:bCs/>
          <w:sz w:val="20"/>
          <w:szCs w:val="20"/>
        </w:rPr>
        <w:t xml:space="preserve"> i plućne embolije kod odraslih osoba (pogledati dio 4.4 za informacije o primjeni kod hemodinamski</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nestabilnih pacijenata sa plućnom embolijom).</w:t>
      </w:r>
    </w:p>
    <w:p w14:paraId="1E89C1CC">
      <w:pPr>
        <w:ind w:left="2" w:right="48"/>
        <w:rPr>
          <w:i/>
          <w:iCs/>
          <w:u w:val="single"/>
        </w:rPr>
      </w:pPr>
    </w:p>
    <w:p w14:paraId="13C0DF47">
      <w:pPr>
        <w:ind w:left="2" w:right="48"/>
        <w:rPr>
          <w:rFonts w:ascii="Microsoft Sans Serif" w:hAnsi="Microsoft Sans Serif" w:cs="Microsoft Sans Serif"/>
          <w:i/>
          <w:iCs/>
          <w:sz w:val="20"/>
          <w:szCs w:val="20"/>
          <w:u w:val="single"/>
        </w:rPr>
      </w:pPr>
      <w:r>
        <w:rPr>
          <w:rFonts w:ascii="Microsoft Sans Serif" w:hAnsi="Microsoft Sans Serif" w:cs="Microsoft Sans Serif"/>
          <w:i/>
          <w:iCs/>
          <w:sz w:val="20"/>
          <w:szCs w:val="20"/>
          <w:u w:val="single"/>
        </w:rPr>
        <w:t>Pedijatrijska populacija</w:t>
      </w:r>
    </w:p>
    <w:p w14:paraId="694258FE">
      <w:pPr>
        <w:ind w:left="2" w:right="48"/>
        <w:rPr>
          <w:rFonts w:ascii="Microsoft Sans Serif" w:hAnsi="Microsoft Sans Serif" w:cs="Microsoft Sans Serif"/>
          <w:i/>
          <w:iCs/>
          <w:sz w:val="20"/>
          <w:szCs w:val="20"/>
          <w:u w:val="single"/>
        </w:rPr>
      </w:pPr>
      <w:r>
        <w:rPr>
          <w:rFonts w:ascii="Microsoft Sans Serif" w:hAnsi="Microsoft Sans Serif" w:cs="Microsoft Sans Serif"/>
          <w:i/>
          <w:iCs/>
          <w:sz w:val="20"/>
          <w:szCs w:val="20"/>
          <w:u w:val="single"/>
        </w:rPr>
        <w:t>Rufixalo 15 mg film tablete:</w:t>
      </w:r>
    </w:p>
    <w:p w14:paraId="315CFCF0">
      <w:pPr>
        <w:ind w:left="2" w:right="48"/>
        <w:rPr>
          <w:rFonts w:ascii="Microsoft Sans Serif" w:hAnsi="Microsoft Sans Serif" w:cs="Microsoft Sans Serif"/>
          <w:iCs/>
          <w:sz w:val="20"/>
          <w:szCs w:val="20"/>
        </w:rPr>
      </w:pPr>
    </w:p>
    <w:p w14:paraId="576055E8">
      <w:pPr>
        <w:ind w:left="2" w:right="48"/>
        <w:rPr>
          <w:rFonts w:ascii="Microsoft Sans Serif" w:hAnsi="Microsoft Sans Serif" w:cs="Microsoft Sans Serif"/>
          <w:iCs/>
          <w:sz w:val="20"/>
          <w:szCs w:val="20"/>
        </w:rPr>
      </w:pPr>
      <w:r>
        <w:rPr>
          <w:rFonts w:ascii="Microsoft Sans Serif" w:hAnsi="Microsoft Sans Serif" w:cs="Microsoft Sans Serif"/>
          <w:iCs/>
          <w:sz w:val="20"/>
          <w:szCs w:val="20"/>
        </w:rPr>
        <w:t xml:space="preserve">Liječenje venske tromboembolije (VTE) i sprječavanje recidiva VTE kod djece i adolescenata mlađih od 18 godina i tjelesne težine od 30 kg do 50 kg nakon najmanje 5 dana početnog parenteralnog antikoagulacionog </w:t>
      </w:r>
      <w:r>
        <w:rPr>
          <w:rFonts w:ascii="Microsoft Sans Serif" w:hAnsi="Microsoft Sans Serif" w:cs="Microsoft Sans Serif"/>
          <w:iCs/>
          <w:sz w:val="20"/>
          <w:szCs w:val="20"/>
          <w:lang w:val="hr-BA"/>
        </w:rPr>
        <w:t>tretmana</w:t>
      </w:r>
      <w:r>
        <w:rPr>
          <w:rFonts w:ascii="Microsoft Sans Serif" w:hAnsi="Microsoft Sans Serif" w:cs="Microsoft Sans Serif"/>
          <w:iCs/>
          <w:sz w:val="20"/>
          <w:szCs w:val="20"/>
        </w:rPr>
        <w:t>.</w:t>
      </w:r>
    </w:p>
    <w:p w14:paraId="25CC9381">
      <w:pPr>
        <w:ind w:left="2" w:right="48"/>
        <w:rPr>
          <w:rFonts w:ascii="Microsoft Sans Serif" w:hAnsi="Microsoft Sans Serif" w:cs="Microsoft Sans Serif"/>
          <w:iCs/>
          <w:sz w:val="20"/>
          <w:szCs w:val="20"/>
        </w:rPr>
      </w:pPr>
    </w:p>
    <w:p w14:paraId="344376C2">
      <w:pPr>
        <w:ind w:left="2" w:right="48"/>
        <w:rPr>
          <w:rFonts w:ascii="Microsoft Sans Serif" w:hAnsi="Microsoft Sans Serif" w:cs="Microsoft Sans Serif"/>
          <w:i/>
          <w:iCs/>
          <w:sz w:val="20"/>
          <w:szCs w:val="20"/>
        </w:rPr>
      </w:pPr>
      <w:r>
        <w:rPr>
          <w:rFonts w:ascii="Microsoft Sans Serif" w:hAnsi="Microsoft Sans Serif" w:cs="Microsoft Sans Serif"/>
          <w:i/>
          <w:iCs/>
          <w:sz w:val="20"/>
          <w:szCs w:val="20"/>
        </w:rPr>
        <w:t>Rufixalo 20 mg film  tablete:</w:t>
      </w:r>
    </w:p>
    <w:p w14:paraId="23DE231E">
      <w:pPr>
        <w:ind w:left="2" w:right="48"/>
        <w:rPr>
          <w:rFonts w:ascii="Microsoft Sans Serif" w:hAnsi="Microsoft Sans Serif" w:cs="Microsoft Sans Serif"/>
          <w:iCs/>
          <w:sz w:val="20"/>
          <w:szCs w:val="20"/>
        </w:rPr>
      </w:pPr>
      <w:r>
        <w:rPr>
          <w:rFonts w:ascii="Microsoft Sans Serif" w:hAnsi="Microsoft Sans Serif" w:cs="Microsoft Sans Serif"/>
          <w:iCs/>
          <w:sz w:val="20"/>
          <w:szCs w:val="20"/>
        </w:rPr>
        <w:t>Liječenje venske tromboembolije (VTE) i sprječavanje recidiva VTE kod djece i adolescenata mlađih od 18 godina i tjelesne težine veće od 50 kg poslije najmanje 5 dana početnog parenteralnog antikoagulacionog tretmana.</w:t>
      </w:r>
    </w:p>
    <w:p w14:paraId="7171170A">
      <w:pPr>
        <w:rPr>
          <w:rFonts w:ascii="Microsoft Sans Serif" w:hAnsi="Microsoft Sans Serif" w:cs="Microsoft Sans Serif"/>
          <w:sz w:val="20"/>
          <w:szCs w:val="20"/>
        </w:rPr>
      </w:pPr>
    </w:p>
    <w:p w14:paraId="1A8DC1BD">
      <w:pPr>
        <w:rPr>
          <w:rFonts w:ascii="Microsoft Sans Serif" w:hAnsi="Microsoft Sans Serif" w:cs="Microsoft Sans Serif"/>
          <w:b/>
          <w:bCs/>
          <w:sz w:val="20"/>
          <w:szCs w:val="20"/>
        </w:rPr>
      </w:pPr>
      <w:r>
        <w:rPr>
          <w:rFonts w:ascii="Microsoft Sans Serif" w:hAnsi="Microsoft Sans Serif" w:cs="Microsoft Sans Serif"/>
          <w:b/>
          <w:bCs/>
          <w:sz w:val="20"/>
          <w:szCs w:val="20"/>
        </w:rPr>
        <w:t>4.2. Doziranje i način primjene</w:t>
      </w:r>
    </w:p>
    <w:p w14:paraId="4B4E20BD">
      <w:pPr>
        <w:rPr>
          <w:rFonts w:ascii="Microsoft Sans Serif" w:hAnsi="Microsoft Sans Serif" w:cs="Microsoft Sans Serif"/>
          <w:sz w:val="20"/>
          <w:szCs w:val="20"/>
        </w:rPr>
      </w:pPr>
    </w:p>
    <w:p w14:paraId="0F4ACB87">
      <w:pPr>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 xml:space="preserve">Doziranje </w:t>
      </w:r>
    </w:p>
    <w:p w14:paraId="436EBDDA">
      <w:pPr>
        <w:rPr>
          <w:rFonts w:ascii="Microsoft Sans Serif" w:hAnsi="Microsoft Sans Serif" w:cs="Microsoft Sans Serif"/>
          <w:i/>
          <w:sz w:val="20"/>
          <w:szCs w:val="20"/>
        </w:rPr>
      </w:pPr>
      <w:r>
        <w:rPr>
          <w:rFonts w:ascii="Microsoft Sans Serif" w:hAnsi="Microsoft Sans Serif" w:cs="Microsoft Sans Serif"/>
          <w:i/>
          <w:sz w:val="20"/>
          <w:szCs w:val="20"/>
        </w:rPr>
        <w:t>Prevencija moždanog udara i sistemske embolije kod odraslih</w:t>
      </w:r>
    </w:p>
    <w:p w14:paraId="0A763CCC">
      <w:pPr>
        <w:rPr>
          <w:rFonts w:ascii="Microsoft Sans Serif" w:hAnsi="Microsoft Sans Serif" w:cs="Microsoft Sans Serif"/>
          <w:sz w:val="20"/>
          <w:szCs w:val="20"/>
        </w:rPr>
      </w:pPr>
      <w:r>
        <w:rPr>
          <w:rFonts w:ascii="Microsoft Sans Serif" w:hAnsi="Microsoft Sans Serif" w:cs="Microsoft Sans Serif"/>
          <w:sz w:val="20"/>
          <w:szCs w:val="20"/>
        </w:rPr>
        <w:t>Preporučena doza je 20 mg jednom dnevno, što je takođe i preporučena maksimalna doza.</w:t>
      </w:r>
    </w:p>
    <w:p w14:paraId="75072776">
      <w:pPr>
        <w:rPr>
          <w:rFonts w:ascii="Microsoft Sans Serif" w:hAnsi="Microsoft Sans Serif" w:cs="Microsoft Sans Serif"/>
          <w:sz w:val="20"/>
          <w:szCs w:val="20"/>
        </w:rPr>
      </w:pPr>
    </w:p>
    <w:p w14:paraId="2E81D367">
      <w:pPr>
        <w:rPr>
          <w:rFonts w:ascii="Microsoft Sans Serif" w:hAnsi="Microsoft Sans Serif" w:cs="Microsoft Sans Serif"/>
          <w:sz w:val="20"/>
          <w:szCs w:val="20"/>
        </w:rPr>
      </w:pPr>
      <w:r>
        <w:rPr>
          <w:rFonts w:ascii="Microsoft Sans Serif" w:hAnsi="Microsoft Sans Serif" w:cs="Microsoft Sans Serif"/>
          <w:sz w:val="20"/>
          <w:szCs w:val="20"/>
        </w:rPr>
        <w:t>Terapiju lijekom Rufixalo treba nastaviti u dužem periodu pod uslovom da je korist u prevenciji moždanog udara i sistemske embolije veća u odnosu na rizik od krvarenja (pogledati dio 4.4).</w:t>
      </w:r>
    </w:p>
    <w:p w14:paraId="4597E1DF">
      <w:pPr>
        <w:rPr>
          <w:rFonts w:ascii="Microsoft Sans Serif" w:hAnsi="Microsoft Sans Serif" w:cs="Microsoft Sans Serif"/>
          <w:sz w:val="20"/>
          <w:szCs w:val="20"/>
        </w:rPr>
      </w:pPr>
    </w:p>
    <w:p w14:paraId="6EC0FE7A">
      <w:pPr>
        <w:rPr>
          <w:rFonts w:ascii="Microsoft Sans Serif" w:hAnsi="Microsoft Sans Serif" w:cs="Microsoft Sans Serif"/>
          <w:sz w:val="20"/>
          <w:szCs w:val="20"/>
          <w:lang w:val="mk-MK"/>
        </w:rPr>
      </w:pPr>
      <w:r>
        <w:rPr>
          <w:rFonts w:ascii="Microsoft Sans Serif" w:hAnsi="Microsoft Sans Serif" w:cs="Microsoft Sans Serif"/>
          <w:sz w:val="20"/>
          <w:szCs w:val="20"/>
        </w:rPr>
        <w:t xml:space="preserve">Ako se propusti doza, pacijent treba </w:t>
      </w:r>
      <w:r>
        <w:rPr>
          <w:rFonts w:ascii="Microsoft Sans Serif" w:hAnsi="Microsoft Sans Serif" w:cs="Microsoft Sans Serif"/>
          <w:sz w:val="20"/>
          <w:szCs w:val="20"/>
          <w:lang w:val="mk-MK"/>
        </w:rPr>
        <w:t>odmah</w:t>
      </w:r>
      <w:r>
        <w:rPr>
          <w:rFonts w:ascii="Microsoft Sans Serif" w:hAnsi="Microsoft Sans Serif" w:cs="Microsoft Sans Serif"/>
          <w:sz w:val="20"/>
          <w:szCs w:val="20"/>
        </w:rPr>
        <w:t xml:space="preserve"> da uzme lijek Rufixalo i da nastavi narednog dana sa korišćenjem</w:t>
      </w:r>
      <w:r>
        <w:rPr>
          <w:rFonts w:ascii="Microsoft Sans Serif" w:hAnsi="Microsoft Sans Serif" w:cs="Microsoft Sans Serif"/>
          <w:sz w:val="20"/>
          <w:szCs w:val="20"/>
          <w:lang w:val="sr-Cyrl-RS"/>
        </w:rPr>
        <w:t xml:space="preserve">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eka</w:t>
      </w:r>
      <w:r>
        <w:rPr>
          <w:rFonts w:ascii="Microsoft Sans Serif" w:hAnsi="Microsoft Sans Serif" w:cs="Microsoft Sans Serif"/>
          <w:sz w:val="20"/>
          <w:szCs w:val="20"/>
        </w:rPr>
        <w:t xml:space="preserve"> jednom dnevno kako je preporučeno. Ne treba uzimati duplu dozu lijeka tokom istog dana da bi se nadoknadila propuštena doza</w:t>
      </w:r>
      <w:r>
        <w:rPr>
          <w:rFonts w:ascii="Microsoft Sans Serif" w:hAnsi="Microsoft Sans Serif" w:cs="Microsoft Sans Serif"/>
          <w:sz w:val="20"/>
          <w:szCs w:val="20"/>
          <w:lang w:val="mk-MK"/>
        </w:rPr>
        <w:t>.</w:t>
      </w:r>
    </w:p>
    <w:p w14:paraId="7CEF7FAF">
      <w:pPr>
        <w:tabs>
          <w:tab w:val="clear" w:pos="284"/>
        </w:tabs>
        <w:rPr>
          <w:rFonts w:ascii="Microsoft Sans Serif" w:hAnsi="Microsoft Sans Serif" w:cs="Microsoft Sans Serif"/>
          <w:sz w:val="20"/>
          <w:szCs w:val="20"/>
          <w:u w:val="single"/>
        </w:rPr>
      </w:pPr>
    </w:p>
    <w:p w14:paraId="0B025609">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 xml:space="preserve">Liječenje </w:t>
      </w:r>
      <w:r>
        <w:rPr>
          <w:rFonts w:ascii="Microsoft Sans Serif" w:hAnsi="Microsoft Sans Serif" w:cs="Microsoft Sans Serif"/>
          <w:i/>
          <w:sz w:val="20"/>
          <w:szCs w:val="20"/>
          <w:lang w:val="mk-MK"/>
        </w:rPr>
        <w:t>duboke venske tromboze</w:t>
      </w:r>
      <w:r>
        <w:rPr>
          <w:rFonts w:ascii="Microsoft Sans Serif" w:hAnsi="Microsoft Sans Serif" w:cs="Microsoft Sans Serif"/>
          <w:i/>
          <w:sz w:val="20"/>
          <w:szCs w:val="20"/>
        </w:rPr>
        <w:t xml:space="preserve">, liječenje plućne embolije i prevencija ponavlјajuće </w:t>
      </w:r>
      <w:r>
        <w:rPr>
          <w:rFonts w:ascii="Microsoft Sans Serif" w:hAnsi="Microsoft Sans Serif" w:cs="Microsoft Sans Serif"/>
          <w:i/>
          <w:sz w:val="20"/>
          <w:szCs w:val="20"/>
          <w:lang w:val="mk-MK"/>
        </w:rPr>
        <w:t>duboke venske tromboze</w:t>
      </w:r>
      <w:r>
        <w:rPr>
          <w:rFonts w:ascii="Microsoft Sans Serif" w:hAnsi="Microsoft Sans Serif" w:cs="Microsoft Sans Serif"/>
          <w:i/>
          <w:sz w:val="20"/>
          <w:szCs w:val="20"/>
        </w:rPr>
        <w:t xml:space="preserve"> i plućne embolije kod odraslih</w:t>
      </w:r>
    </w:p>
    <w:p w14:paraId="73AB5BAD">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Preporučena doza za inicijalno liječenje akutne </w:t>
      </w:r>
      <w:r>
        <w:rPr>
          <w:rFonts w:ascii="Microsoft Sans Serif" w:hAnsi="Microsoft Sans Serif" w:cs="Microsoft Sans Serif"/>
          <w:sz w:val="20"/>
          <w:szCs w:val="20"/>
          <w:lang w:val="mk-MK"/>
        </w:rPr>
        <w:t>duboke venske tromboze</w:t>
      </w:r>
      <w:r>
        <w:rPr>
          <w:rFonts w:ascii="Microsoft Sans Serif" w:hAnsi="Microsoft Sans Serif" w:cs="Microsoft Sans Serif"/>
          <w:sz w:val="20"/>
          <w:szCs w:val="20"/>
        </w:rPr>
        <w:t xml:space="preserve"> ili plućne embolije je 15 mg dva puta dnevno tokom prve 3 nedelјe. Zatim se za nastavak liječenja i prevenciju ponavlјajuće </w:t>
      </w:r>
      <w:r>
        <w:rPr>
          <w:rFonts w:ascii="Microsoft Sans Serif" w:hAnsi="Microsoft Sans Serif" w:cs="Microsoft Sans Serif"/>
          <w:sz w:val="20"/>
          <w:szCs w:val="20"/>
          <w:lang w:val="mk-MK"/>
        </w:rPr>
        <w:t>duboke venske tromboze</w:t>
      </w:r>
      <w:r>
        <w:rPr>
          <w:rFonts w:ascii="Microsoft Sans Serif" w:hAnsi="Microsoft Sans Serif" w:cs="Microsoft Sans Serif"/>
          <w:sz w:val="20"/>
          <w:szCs w:val="20"/>
        </w:rPr>
        <w:t xml:space="preserve"> i plućne embolije uzima 20 mg jednom dnevno.</w:t>
      </w:r>
    </w:p>
    <w:p w14:paraId="0FE8F5D6">
      <w:pPr>
        <w:tabs>
          <w:tab w:val="clear" w:pos="284"/>
        </w:tabs>
        <w:rPr>
          <w:rFonts w:ascii="Microsoft Sans Serif" w:hAnsi="Microsoft Sans Serif" w:cs="Microsoft Sans Serif"/>
          <w:sz w:val="20"/>
          <w:szCs w:val="20"/>
        </w:rPr>
      </w:pPr>
    </w:p>
    <w:p w14:paraId="772BBB20">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Potrebno je razmotriti kratko trajanje liječenja (najmanje 3 mjeseca) kod pacijenata sa </w:t>
      </w:r>
      <w:r>
        <w:rPr>
          <w:rFonts w:ascii="Microsoft Sans Serif" w:hAnsi="Microsoft Sans Serif" w:cs="Microsoft Sans Serif"/>
          <w:sz w:val="20"/>
          <w:szCs w:val="20"/>
          <w:lang w:val="mk-MK"/>
        </w:rPr>
        <w:t>dubokom venskom trombozom</w:t>
      </w:r>
      <w:r>
        <w:rPr>
          <w:rFonts w:ascii="Microsoft Sans Serif" w:hAnsi="Microsoft Sans Serif" w:cs="Microsoft Sans Serif"/>
          <w:sz w:val="20"/>
          <w:szCs w:val="20"/>
        </w:rPr>
        <w:t xml:space="preserve"> i plućnom embolijom koji su posljedica glavnog prolaznog faktora rizika (tj. nedavnom velikom hirurškom intervencijom ili traumom). Duže liječenje je potrebno razmotriti kod pacijenata sa provociranom </w:t>
      </w:r>
      <w:r>
        <w:rPr>
          <w:rFonts w:ascii="Microsoft Sans Serif" w:hAnsi="Microsoft Sans Serif" w:cs="Microsoft Sans Serif"/>
          <w:sz w:val="20"/>
          <w:szCs w:val="20"/>
          <w:lang w:val="mk-MK"/>
        </w:rPr>
        <w:t>dubokom venskom trombozom</w:t>
      </w:r>
      <w:r>
        <w:rPr>
          <w:rFonts w:ascii="Microsoft Sans Serif" w:hAnsi="Microsoft Sans Serif" w:cs="Microsoft Sans Serif"/>
          <w:sz w:val="20"/>
          <w:szCs w:val="20"/>
        </w:rPr>
        <w:t xml:space="preserve"> ili plućnom embolijom koje nisu u vezi sa glavnim prolaznim faktorima rizika, neprovociranom </w:t>
      </w:r>
      <w:r>
        <w:rPr>
          <w:rFonts w:ascii="Microsoft Sans Serif" w:hAnsi="Microsoft Sans Serif" w:cs="Microsoft Sans Serif"/>
          <w:sz w:val="20"/>
          <w:szCs w:val="20"/>
          <w:lang w:val="mk-MK"/>
        </w:rPr>
        <w:t>dubokom venskom trombozom</w:t>
      </w:r>
      <w:r>
        <w:rPr>
          <w:rFonts w:ascii="Microsoft Sans Serif" w:hAnsi="Microsoft Sans Serif" w:cs="Microsoft Sans Serif"/>
          <w:sz w:val="20"/>
          <w:szCs w:val="20"/>
        </w:rPr>
        <w:t xml:space="preserve"> ili plućnom embolijom ili ponavlјajućom </w:t>
      </w:r>
      <w:r>
        <w:rPr>
          <w:rFonts w:ascii="Microsoft Sans Serif" w:hAnsi="Microsoft Sans Serif" w:cs="Microsoft Sans Serif"/>
          <w:sz w:val="20"/>
          <w:szCs w:val="20"/>
          <w:lang w:val="mk-MK"/>
        </w:rPr>
        <w:t>dubokom venskom trombozom</w:t>
      </w:r>
      <w:r>
        <w:rPr>
          <w:rFonts w:ascii="Microsoft Sans Serif" w:hAnsi="Microsoft Sans Serif" w:cs="Microsoft Sans Serif"/>
          <w:sz w:val="20"/>
          <w:szCs w:val="20"/>
        </w:rPr>
        <w:t xml:space="preserve"> ili plućnom embolijom u anamnezi.</w:t>
      </w:r>
    </w:p>
    <w:p w14:paraId="63B6B727">
      <w:pPr>
        <w:tabs>
          <w:tab w:val="clear" w:pos="284"/>
        </w:tabs>
        <w:rPr>
          <w:rFonts w:ascii="Microsoft Sans Serif" w:hAnsi="Microsoft Sans Serif" w:cs="Microsoft Sans Serif"/>
          <w:sz w:val="20"/>
          <w:szCs w:val="20"/>
        </w:rPr>
      </w:pPr>
    </w:p>
    <w:p w14:paraId="739D4F2C">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U slučaju kada je indikovana produžena prevencija ponavlјajuće </w:t>
      </w:r>
      <w:r>
        <w:rPr>
          <w:rFonts w:ascii="Microsoft Sans Serif" w:hAnsi="Microsoft Sans Serif" w:cs="Microsoft Sans Serif"/>
          <w:sz w:val="20"/>
          <w:szCs w:val="20"/>
          <w:lang w:val="mk-MK"/>
        </w:rPr>
        <w:t>duboke venske tromboze</w:t>
      </w:r>
      <w:r>
        <w:rPr>
          <w:rFonts w:ascii="Microsoft Sans Serif" w:hAnsi="Microsoft Sans Serif" w:cs="Microsoft Sans Serif"/>
          <w:sz w:val="20"/>
          <w:szCs w:val="20"/>
        </w:rPr>
        <w:t xml:space="preserve"> ili plućne embolije (nakon završetka liječenja u trajanju od najmanje 6 mjeseci zbog </w:t>
      </w:r>
      <w:r>
        <w:rPr>
          <w:rFonts w:ascii="Microsoft Sans Serif" w:hAnsi="Microsoft Sans Serif" w:cs="Microsoft Sans Serif"/>
          <w:sz w:val="20"/>
          <w:szCs w:val="20"/>
          <w:lang w:val="mk-MK"/>
        </w:rPr>
        <w:t>duboke venske tromboze</w:t>
      </w:r>
      <w:r>
        <w:rPr>
          <w:rFonts w:ascii="Microsoft Sans Serif" w:hAnsi="Microsoft Sans Serif" w:cs="Microsoft Sans Serif"/>
          <w:sz w:val="20"/>
          <w:szCs w:val="20"/>
        </w:rPr>
        <w:t xml:space="preserve"> ili plućne embolije), preporučena doza je 10 mg jednom dnevno. Kod pacijenata kod kojih se smatra da je rizik </w:t>
      </w:r>
      <w:r>
        <w:rPr>
          <w:rFonts w:ascii="Microsoft Sans Serif" w:hAnsi="Microsoft Sans Serif" w:cs="Microsoft Sans Serif"/>
          <w:sz w:val="20"/>
          <w:szCs w:val="20"/>
          <w:lang w:val="sr-Cyrl-RS"/>
        </w:rPr>
        <w:t xml:space="preserve">od nastanka </w:t>
      </w:r>
      <w:r>
        <w:rPr>
          <w:rFonts w:ascii="Microsoft Sans Serif" w:hAnsi="Microsoft Sans Serif" w:cs="Microsoft Sans Serif"/>
          <w:sz w:val="20"/>
          <w:szCs w:val="20"/>
        </w:rPr>
        <w:t xml:space="preserve">ponavlјajuće </w:t>
      </w:r>
      <w:r>
        <w:rPr>
          <w:rFonts w:ascii="Microsoft Sans Serif" w:hAnsi="Microsoft Sans Serif" w:cs="Microsoft Sans Serif"/>
          <w:sz w:val="20"/>
          <w:szCs w:val="20"/>
          <w:lang w:val="mk-MK"/>
        </w:rPr>
        <w:t>duboke venske tromboze</w:t>
      </w:r>
      <w:r>
        <w:rPr>
          <w:rFonts w:ascii="Microsoft Sans Serif" w:hAnsi="Microsoft Sans Serif" w:cs="Microsoft Sans Serif"/>
          <w:sz w:val="20"/>
          <w:szCs w:val="20"/>
        </w:rPr>
        <w:t xml:space="preserve"> ili plućne embolije veliki, kao što su oni sa komplikovanim komorbiditetima ili kod kojih je ponavlјajuća </w:t>
      </w:r>
      <w:r>
        <w:rPr>
          <w:rFonts w:ascii="Microsoft Sans Serif" w:hAnsi="Microsoft Sans Serif" w:cs="Microsoft Sans Serif"/>
          <w:sz w:val="20"/>
          <w:szCs w:val="20"/>
          <w:lang w:val="mk-MK"/>
        </w:rPr>
        <w:t>duboka venska tromboza</w:t>
      </w:r>
      <w:r>
        <w:rPr>
          <w:rFonts w:ascii="Microsoft Sans Serif" w:hAnsi="Microsoft Sans Serif" w:cs="Microsoft Sans Serif"/>
          <w:sz w:val="20"/>
          <w:szCs w:val="20"/>
        </w:rPr>
        <w:t xml:space="preserve"> ili plućna embolija nastala tokom produžene prevencije sa lijekom Rufixalo 10 mg jednom dnevno, potrebno je razmotriti uzimanje lijeka Rufixalo u dozi od 20 mg jednom dnevno.</w:t>
      </w:r>
    </w:p>
    <w:p w14:paraId="74F33C6C">
      <w:pPr>
        <w:tabs>
          <w:tab w:val="clear" w:pos="284"/>
        </w:tabs>
        <w:rPr>
          <w:rFonts w:ascii="Microsoft Sans Serif" w:hAnsi="Microsoft Sans Serif" w:cs="Microsoft Sans Serif"/>
          <w:sz w:val="20"/>
          <w:szCs w:val="20"/>
        </w:rPr>
      </w:pPr>
    </w:p>
    <w:p w14:paraId="3261FBBD">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Trajanje liječenja i odabir doze treba prilagoditi svakom pacijentu pojedinačno nakon pažlјive procjene odnosa koristi od liječenja i rizika od krvarenja (pogledati dio 4.4)</w:t>
      </w:r>
    </w:p>
    <w:p w14:paraId="740348EA">
      <w:pPr>
        <w:tabs>
          <w:tab w:val="clear" w:pos="284"/>
        </w:tabs>
        <w:rPr>
          <w:rFonts w:ascii="Microsoft Sans Serif" w:hAnsi="Microsoft Sans Serif" w:cs="Microsoft Sans Serif"/>
          <w:sz w:val="20"/>
          <w:szCs w:val="20"/>
        </w:rPr>
      </w:pPr>
    </w:p>
    <w:tbl>
      <w:tblPr>
        <w:tblStyle w:val="7"/>
        <w:tblW w:w="9320" w:type="dxa"/>
        <w:tblInd w:w="10" w:type="dxa"/>
        <w:tblLayout w:type="fixed"/>
        <w:tblCellMar>
          <w:top w:w="0" w:type="dxa"/>
          <w:left w:w="0" w:type="dxa"/>
          <w:bottom w:w="0" w:type="dxa"/>
          <w:right w:w="0" w:type="dxa"/>
        </w:tblCellMar>
      </w:tblPr>
      <w:tblGrid>
        <w:gridCol w:w="2360"/>
        <w:gridCol w:w="2440"/>
        <w:gridCol w:w="2300"/>
        <w:gridCol w:w="2160"/>
        <w:gridCol w:w="60"/>
      </w:tblGrid>
      <w:tr w14:paraId="1529600D">
        <w:tblPrEx>
          <w:tblCellMar>
            <w:top w:w="0" w:type="dxa"/>
            <w:left w:w="0" w:type="dxa"/>
            <w:bottom w:w="0" w:type="dxa"/>
            <w:right w:w="0" w:type="dxa"/>
          </w:tblCellMar>
        </w:tblPrEx>
        <w:trPr>
          <w:trHeight w:val="20" w:hRule="atLeast"/>
        </w:trPr>
        <w:tc>
          <w:tcPr>
            <w:tcW w:w="2360" w:type="dxa"/>
            <w:tcBorders>
              <w:top w:val="single" w:color="auto" w:sz="8" w:space="0"/>
              <w:left w:val="single" w:color="auto" w:sz="8" w:space="0"/>
              <w:bottom w:val="single" w:color="auto" w:sz="4" w:space="0"/>
              <w:right w:val="single" w:color="auto" w:sz="8" w:space="0"/>
            </w:tcBorders>
            <w:vAlign w:val="bottom"/>
          </w:tcPr>
          <w:p w14:paraId="3D112F3F">
            <w:pPr>
              <w:tabs>
                <w:tab w:val="clear" w:pos="284"/>
              </w:tabs>
              <w:jc w:val="left"/>
              <w:rPr>
                <w:rFonts w:ascii="Microsoft Sans Serif" w:hAnsi="Microsoft Sans Serif" w:cs="Microsoft Sans Serif"/>
                <w:sz w:val="20"/>
                <w:szCs w:val="20"/>
              </w:rPr>
            </w:pPr>
          </w:p>
        </w:tc>
        <w:tc>
          <w:tcPr>
            <w:tcW w:w="2440" w:type="dxa"/>
            <w:tcBorders>
              <w:top w:val="single" w:color="auto" w:sz="8" w:space="0"/>
              <w:bottom w:val="single" w:color="auto" w:sz="4" w:space="0"/>
              <w:right w:val="single" w:color="auto" w:sz="8" w:space="0"/>
            </w:tcBorders>
            <w:vAlign w:val="bottom"/>
          </w:tcPr>
          <w:p w14:paraId="574E4FA3">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Vremenski period</w:t>
            </w:r>
          </w:p>
        </w:tc>
        <w:tc>
          <w:tcPr>
            <w:tcW w:w="2300" w:type="dxa"/>
            <w:tcBorders>
              <w:top w:val="single" w:color="auto" w:sz="8" w:space="0"/>
              <w:bottom w:val="single" w:color="auto" w:sz="4" w:space="0"/>
              <w:right w:val="single" w:color="auto" w:sz="8" w:space="0"/>
            </w:tcBorders>
            <w:vAlign w:val="bottom"/>
          </w:tcPr>
          <w:p w14:paraId="7252128D">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Doziranje</w:t>
            </w:r>
          </w:p>
        </w:tc>
        <w:tc>
          <w:tcPr>
            <w:tcW w:w="2160" w:type="dxa"/>
            <w:tcBorders>
              <w:top w:val="single" w:color="auto" w:sz="8" w:space="0"/>
              <w:bottom w:val="single" w:color="auto" w:sz="4" w:space="0"/>
              <w:right w:val="single" w:color="auto" w:sz="8" w:space="0"/>
            </w:tcBorders>
            <w:vAlign w:val="bottom"/>
          </w:tcPr>
          <w:p w14:paraId="519EB278">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Ukupna dnevna doza</w:t>
            </w:r>
          </w:p>
        </w:tc>
        <w:tc>
          <w:tcPr>
            <w:tcW w:w="60" w:type="dxa"/>
            <w:vMerge w:val="restart"/>
            <w:vAlign w:val="bottom"/>
          </w:tcPr>
          <w:p w14:paraId="50317A30">
            <w:pPr>
              <w:tabs>
                <w:tab w:val="clear" w:pos="284"/>
              </w:tabs>
              <w:rPr>
                <w:rFonts w:ascii="Microsoft Sans Serif" w:hAnsi="Microsoft Sans Serif" w:cs="Microsoft Sans Serif"/>
                <w:sz w:val="20"/>
                <w:szCs w:val="20"/>
              </w:rPr>
            </w:pPr>
          </w:p>
        </w:tc>
      </w:tr>
      <w:tr w14:paraId="33223A60">
        <w:tblPrEx>
          <w:tblCellMar>
            <w:top w:w="0" w:type="dxa"/>
            <w:left w:w="0" w:type="dxa"/>
            <w:bottom w:w="0" w:type="dxa"/>
            <w:right w:w="0" w:type="dxa"/>
          </w:tblCellMar>
        </w:tblPrEx>
        <w:trPr>
          <w:trHeight w:val="395" w:hRule="atLeast"/>
        </w:trPr>
        <w:tc>
          <w:tcPr>
            <w:tcW w:w="2360" w:type="dxa"/>
            <w:vMerge w:val="restart"/>
            <w:tcBorders>
              <w:top w:val="single" w:color="auto" w:sz="4" w:space="0"/>
              <w:left w:val="single" w:color="auto" w:sz="4" w:space="0"/>
              <w:bottom w:val="single" w:color="auto" w:sz="4" w:space="0"/>
              <w:right w:val="single" w:color="auto" w:sz="4" w:space="0"/>
            </w:tcBorders>
            <w:vAlign w:val="center"/>
          </w:tcPr>
          <w:p w14:paraId="6F5699AD">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Liječenje i prevencija rekurentne DVT i PE</w:t>
            </w:r>
          </w:p>
        </w:tc>
        <w:tc>
          <w:tcPr>
            <w:tcW w:w="2440" w:type="dxa"/>
            <w:tcBorders>
              <w:top w:val="single" w:color="auto" w:sz="4" w:space="0"/>
              <w:left w:val="single" w:color="auto" w:sz="4" w:space="0"/>
              <w:bottom w:val="single" w:color="auto" w:sz="4" w:space="0"/>
              <w:right w:val="single" w:color="auto" w:sz="4" w:space="0"/>
            </w:tcBorders>
            <w:vAlign w:val="center"/>
          </w:tcPr>
          <w:p w14:paraId="68528293">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rPr>
              <w:t xml:space="preserve">Od </w:t>
            </w:r>
            <w:r>
              <w:rPr>
                <w:rFonts w:ascii="Microsoft Sans Serif" w:hAnsi="Microsoft Sans Serif" w:cs="Microsoft Sans Serif"/>
                <w:sz w:val="20"/>
                <w:szCs w:val="20"/>
                <w:lang w:val="sr-Cyrl-RS"/>
              </w:rPr>
              <w:t>1. do 21. dana</w:t>
            </w:r>
          </w:p>
        </w:tc>
        <w:tc>
          <w:tcPr>
            <w:tcW w:w="2300" w:type="dxa"/>
            <w:tcBorders>
              <w:top w:val="single" w:color="auto" w:sz="4" w:space="0"/>
              <w:left w:val="single" w:color="auto" w:sz="4" w:space="0"/>
              <w:bottom w:val="single" w:color="auto" w:sz="4" w:space="0"/>
              <w:right w:val="single" w:color="auto" w:sz="4" w:space="0"/>
            </w:tcBorders>
            <w:vAlign w:val="center"/>
          </w:tcPr>
          <w:p w14:paraId="40681DA4">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15 mg dva puta dnevno</w:t>
            </w:r>
          </w:p>
        </w:tc>
        <w:tc>
          <w:tcPr>
            <w:tcW w:w="2160" w:type="dxa"/>
            <w:tcBorders>
              <w:top w:val="single" w:color="auto" w:sz="4" w:space="0"/>
              <w:left w:val="single" w:color="auto" w:sz="4" w:space="0"/>
              <w:bottom w:val="single" w:color="auto" w:sz="4" w:space="0"/>
              <w:right w:val="single" w:color="auto" w:sz="4" w:space="0"/>
            </w:tcBorders>
            <w:vAlign w:val="center"/>
          </w:tcPr>
          <w:p w14:paraId="7545E70E">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30 mg</w:t>
            </w:r>
          </w:p>
        </w:tc>
        <w:tc>
          <w:tcPr>
            <w:tcW w:w="60" w:type="dxa"/>
            <w:vMerge w:val="continue"/>
            <w:tcBorders>
              <w:left w:val="single" w:color="auto" w:sz="4" w:space="0"/>
              <w:bottom w:val="nil"/>
            </w:tcBorders>
            <w:vAlign w:val="bottom"/>
          </w:tcPr>
          <w:p w14:paraId="15BDF30F">
            <w:pPr>
              <w:tabs>
                <w:tab w:val="clear" w:pos="284"/>
              </w:tabs>
              <w:rPr>
                <w:rFonts w:ascii="Microsoft Sans Serif" w:hAnsi="Microsoft Sans Serif" w:cs="Microsoft Sans Serif"/>
                <w:sz w:val="20"/>
                <w:szCs w:val="20"/>
              </w:rPr>
            </w:pPr>
          </w:p>
        </w:tc>
      </w:tr>
      <w:tr w14:paraId="4FD8CCC8">
        <w:tblPrEx>
          <w:tblCellMar>
            <w:top w:w="0" w:type="dxa"/>
            <w:left w:w="0" w:type="dxa"/>
            <w:bottom w:w="0" w:type="dxa"/>
            <w:right w:w="0" w:type="dxa"/>
          </w:tblCellMar>
        </w:tblPrEx>
        <w:trPr>
          <w:trHeight w:val="20" w:hRule="atLeast"/>
        </w:trPr>
        <w:tc>
          <w:tcPr>
            <w:tcW w:w="2360" w:type="dxa"/>
            <w:vMerge w:val="continue"/>
            <w:tcBorders>
              <w:top w:val="single" w:color="auto" w:sz="4" w:space="0"/>
              <w:left w:val="single" w:color="auto" w:sz="4" w:space="0"/>
              <w:bottom w:val="single" w:color="auto" w:sz="4" w:space="0"/>
              <w:right w:val="single" w:color="auto" w:sz="4" w:space="0"/>
            </w:tcBorders>
            <w:vAlign w:val="center"/>
          </w:tcPr>
          <w:p w14:paraId="432649FE">
            <w:pPr>
              <w:tabs>
                <w:tab w:val="clear" w:pos="284"/>
              </w:tabs>
              <w:jc w:val="left"/>
              <w:rPr>
                <w:rFonts w:ascii="Microsoft Sans Serif" w:hAnsi="Microsoft Sans Serif" w:cs="Microsoft Sans Serif"/>
                <w:sz w:val="20"/>
                <w:szCs w:val="20"/>
              </w:rPr>
            </w:pPr>
          </w:p>
        </w:tc>
        <w:tc>
          <w:tcPr>
            <w:tcW w:w="2440" w:type="dxa"/>
            <w:tcBorders>
              <w:top w:val="single" w:color="auto" w:sz="4" w:space="0"/>
              <w:left w:val="single" w:color="auto" w:sz="4" w:space="0"/>
              <w:bottom w:val="single" w:color="auto" w:sz="4" w:space="0"/>
              <w:right w:val="single" w:color="auto" w:sz="4" w:space="0"/>
            </w:tcBorders>
            <w:vAlign w:val="center"/>
          </w:tcPr>
          <w:p w14:paraId="2EF17C4D">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rPr>
              <w:t xml:space="preserve">Od </w:t>
            </w:r>
            <w:r>
              <w:rPr>
                <w:rFonts w:ascii="Microsoft Sans Serif" w:hAnsi="Microsoft Sans Serif" w:cs="Microsoft Sans Serif"/>
                <w:sz w:val="20"/>
                <w:szCs w:val="20"/>
                <w:lang w:val="sr-Cyrl-RS"/>
              </w:rPr>
              <w:t>22. dana nadalјe</w:t>
            </w:r>
          </w:p>
        </w:tc>
        <w:tc>
          <w:tcPr>
            <w:tcW w:w="2300" w:type="dxa"/>
            <w:tcBorders>
              <w:top w:val="single" w:color="auto" w:sz="4" w:space="0"/>
              <w:left w:val="single" w:color="auto" w:sz="4" w:space="0"/>
              <w:bottom w:val="single" w:color="auto" w:sz="4" w:space="0"/>
              <w:right w:val="single" w:color="auto" w:sz="4" w:space="0"/>
            </w:tcBorders>
            <w:vAlign w:val="center"/>
          </w:tcPr>
          <w:p w14:paraId="013A6673">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20 mg jednom dnevno</w:t>
            </w:r>
          </w:p>
        </w:tc>
        <w:tc>
          <w:tcPr>
            <w:tcW w:w="2160" w:type="dxa"/>
            <w:tcBorders>
              <w:top w:val="single" w:color="auto" w:sz="4" w:space="0"/>
              <w:left w:val="single" w:color="auto" w:sz="4" w:space="0"/>
              <w:bottom w:val="single" w:color="auto" w:sz="4" w:space="0"/>
              <w:right w:val="single" w:color="auto" w:sz="4" w:space="0"/>
            </w:tcBorders>
            <w:vAlign w:val="center"/>
          </w:tcPr>
          <w:p w14:paraId="38790067">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20 mg</w:t>
            </w:r>
          </w:p>
        </w:tc>
        <w:tc>
          <w:tcPr>
            <w:tcW w:w="60" w:type="dxa"/>
            <w:vMerge w:val="continue"/>
            <w:tcBorders>
              <w:left w:val="single" w:color="auto" w:sz="4" w:space="0"/>
              <w:bottom w:val="nil"/>
            </w:tcBorders>
            <w:vAlign w:val="bottom"/>
          </w:tcPr>
          <w:p w14:paraId="151132DC">
            <w:pPr>
              <w:tabs>
                <w:tab w:val="clear" w:pos="284"/>
              </w:tabs>
              <w:rPr>
                <w:rFonts w:ascii="Microsoft Sans Serif" w:hAnsi="Microsoft Sans Serif" w:cs="Microsoft Sans Serif"/>
                <w:sz w:val="20"/>
                <w:szCs w:val="20"/>
              </w:rPr>
            </w:pPr>
          </w:p>
        </w:tc>
      </w:tr>
      <w:tr w14:paraId="32378E91">
        <w:tblPrEx>
          <w:tblCellMar>
            <w:top w:w="0" w:type="dxa"/>
            <w:left w:w="0" w:type="dxa"/>
            <w:bottom w:w="0" w:type="dxa"/>
            <w:right w:w="0" w:type="dxa"/>
          </w:tblCellMar>
        </w:tblPrEx>
        <w:trPr>
          <w:trHeight w:val="20" w:hRule="atLeast"/>
        </w:trPr>
        <w:tc>
          <w:tcPr>
            <w:tcW w:w="2360" w:type="dxa"/>
            <w:tcBorders>
              <w:top w:val="single" w:color="auto" w:sz="4" w:space="0"/>
              <w:left w:val="single" w:color="auto" w:sz="4" w:space="0"/>
              <w:bottom w:val="single" w:color="auto" w:sz="4" w:space="0"/>
              <w:right w:val="single" w:color="auto" w:sz="4" w:space="0"/>
            </w:tcBorders>
            <w:vAlign w:val="center"/>
          </w:tcPr>
          <w:p w14:paraId="4B34EA99">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Prevencija rekurentne DVT i PE</w:t>
            </w:r>
          </w:p>
        </w:tc>
        <w:tc>
          <w:tcPr>
            <w:tcW w:w="2440" w:type="dxa"/>
            <w:tcBorders>
              <w:top w:val="single" w:color="auto" w:sz="4" w:space="0"/>
              <w:left w:val="single" w:color="auto" w:sz="4" w:space="0"/>
              <w:bottom w:val="single" w:color="auto" w:sz="4" w:space="0"/>
              <w:right w:val="single" w:color="auto" w:sz="4" w:space="0"/>
            </w:tcBorders>
            <w:vAlign w:val="center"/>
          </w:tcPr>
          <w:p w14:paraId="4818D689">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Nakon završetka</w:t>
            </w:r>
          </w:p>
          <w:p w14:paraId="7BEB0F45">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terapije DV</w:t>
            </w:r>
            <w:r>
              <w:rPr>
                <w:rFonts w:ascii="Microsoft Sans Serif" w:hAnsi="Microsoft Sans Serif" w:cs="Microsoft Sans Serif"/>
                <w:sz w:val="20"/>
                <w:szCs w:val="20"/>
                <w:lang w:val="mk-MK"/>
              </w:rPr>
              <w:t>T</w:t>
            </w:r>
            <w:r>
              <w:rPr>
                <w:rFonts w:ascii="Microsoft Sans Serif" w:hAnsi="Microsoft Sans Serif" w:cs="Microsoft Sans Serif"/>
                <w:sz w:val="20"/>
                <w:szCs w:val="20"/>
              </w:rPr>
              <w:t xml:space="preserve"> ili PE koja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je trajala najmanje 6</w:t>
            </w:r>
          </w:p>
          <w:p w14:paraId="03B5D18A">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mjeseci</w:t>
            </w:r>
          </w:p>
        </w:tc>
        <w:tc>
          <w:tcPr>
            <w:tcW w:w="2300" w:type="dxa"/>
            <w:tcBorders>
              <w:top w:val="single" w:color="auto" w:sz="4" w:space="0"/>
              <w:left w:val="single" w:color="auto" w:sz="4" w:space="0"/>
              <w:bottom w:val="single" w:color="auto" w:sz="4" w:space="0"/>
              <w:right w:val="single" w:color="auto" w:sz="4" w:space="0"/>
            </w:tcBorders>
            <w:vAlign w:val="center"/>
          </w:tcPr>
          <w:p w14:paraId="71345E31">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10 mg jednom dnevno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ili 20 mg jednom dnevno</w:t>
            </w:r>
          </w:p>
        </w:tc>
        <w:tc>
          <w:tcPr>
            <w:tcW w:w="2160" w:type="dxa"/>
            <w:tcBorders>
              <w:top w:val="single" w:color="auto" w:sz="4" w:space="0"/>
              <w:left w:val="single" w:color="auto" w:sz="4" w:space="0"/>
              <w:bottom w:val="single" w:color="auto" w:sz="4" w:space="0"/>
              <w:right w:val="single" w:color="auto" w:sz="4" w:space="0"/>
            </w:tcBorders>
            <w:vAlign w:val="center"/>
          </w:tcPr>
          <w:p w14:paraId="010E6D73">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10 mg ili 20 mg</w:t>
            </w:r>
          </w:p>
        </w:tc>
        <w:tc>
          <w:tcPr>
            <w:tcW w:w="60" w:type="dxa"/>
            <w:vMerge w:val="continue"/>
            <w:tcBorders>
              <w:left w:val="single" w:color="auto" w:sz="4" w:space="0"/>
              <w:bottom w:val="nil"/>
            </w:tcBorders>
            <w:vAlign w:val="bottom"/>
          </w:tcPr>
          <w:p w14:paraId="21897AC5">
            <w:pPr>
              <w:tabs>
                <w:tab w:val="clear" w:pos="284"/>
              </w:tabs>
              <w:rPr>
                <w:rFonts w:ascii="Microsoft Sans Serif" w:hAnsi="Microsoft Sans Serif" w:cs="Microsoft Sans Serif"/>
                <w:sz w:val="20"/>
                <w:szCs w:val="20"/>
              </w:rPr>
            </w:pPr>
          </w:p>
        </w:tc>
      </w:tr>
    </w:tbl>
    <w:p w14:paraId="18651C18">
      <w:pPr>
        <w:tabs>
          <w:tab w:val="clear" w:pos="284"/>
        </w:tabs>
        <w:rPr>
          <w:rFonts w:ascii="Microsoft Sans Serif" w:hAnsi="Microsoft Sans Serif" w:cs="Microsoft Sans Serif"/>
          <w:sz w:val="20"/>
          <w:szCs w:val="20"/>
        </w:rPr>
      </w:pPr>
    </w:p>
    <w:p w14:paraId="79F38484">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Ako se propusti doza tokom uzimanja lijeka u dozi od 15 mg dva puta dnevno (od 1. do 21. dana), pacijent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mora uzeti lijek Rufixalo odmah, kako bi osigurao unos od 30 mg lijeka u tom danu. U tom slučaju mogu 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w:t>
      </w:r>
      <w:r>
        <w:rPr>
          <w:rFonts w:ascii="Microsoft Sans Serif" w:hAnsi="Microsoft Sans Serif" w:cs="Microsoft Sans Serif"/>
          <w:sz w:val="20"/>
          <w:szCs w:val="20"/>
          <w:lang w:val="mk-MK"/>
        </w:rPr>
        <w:t>dj</w:t>
      </w:r>
      <w:r>
        <w:rPr>
          <w:rFonts w:ascii="Microsoft Sans Serif" w:hAnsi="Microsoft Sans Serif" w:cs="Microsoft Sans Serif"/>
          <w:sz w:val="20"/>
          <w:szCs w:val="20"/>
        </w:rPr>
        <w:t>ednom uzeti dvije tablete od 15 mg. Od sljedećeg dana, pacijent treba da nastavi redovno da uzima lijek 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dozi od 15 mg dva puta na dan, kao što je preporučeno.</w:t>
      </w:r>
    </w:p>
    <w:p w14:paraId="0E2FC291">
      <w:pPr>
        <w:tabs>
          <w:tab w:val="clear" w:pos="284"/>
        </w:tabs>
        <w:rPr>
          <w:rFonts w:ascii="Microsoft Sans Serif" w:hAnsi="Microsoft Sans Serif" w:cs="Microsoft Sans Serif"/>
          <w:sz w:val="20"/>
          <w:szCs w:val="20"/>
        </w:rPr>
      </w:pPr>
    </w:p>
    <w:p w14:paraId="5947E142">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Ako </w:t>
      </w:r>
      <w:r>
        <w:rPr>
          <w:rFonts w:ascii="Microsoft Sans Serif" w:hAnsi="Microsoft Sans Serif" w:cs="Microsoft Sans Serif"/>
          <w:sz w:val="20"/>
          <w:szCs w:val="20"/>
          <w:lang w:val="sr-Cyrl-RS"/>
        </w:rPr>
        <w:t xml:space="preserve">se </w:t>
      </w:r>
      <w:r>
        <w:rPr>
          <w:rFonts w:ascii="Microsoft Sans Serif" w:hAnsi="Microsoft Sans Serif" w:cs="Microsoft Sans Serif"/>
          <w:sz w:val="20"/>
          <w:szCs w:val="20"/>
        </w:rPr>
        <w:t>propusti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 xml:space="preserve">dozu tokom </w:t>
      </w:r>
      <w:r>
        <w:rPr>
          <w:rFonts w:ascii="Microsoft Sans Serif" w:hAnsi="Microsoft Sans Serif" w:cs="Microsoft Sans Serif"/>
          <w:sz w:val="20"/>
          <w:szCs w:val="20"/>
          <w:lang w:val="sr-Cyrl-RS"/>
        </w:rPr>
        <w:t xml:space="preserve">faze </w:t>
      </w:r>
      <w:r>
        <w:rPr>
          <w:rFonts w:ascii="Microsoft Sans Serif" w:hAnsi="Microsoft Sans Serif" w:cs="Microsoft Sans Serif"/>
          <w:sz w:val="20"/>
          <w:szCs w:val="20"/>
        </w:rPr>
        <w:t>uzimanja lijeka jednom dnevno, pacijent mora uzeti lijek Rufixalo odmah 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 xml:space="preserve">sljedećeg dana nastaviti sa uzimanjem doze jednom dnevno, kao što je preporučeno. </w:t>
      </w:r>
      <w:r>
        <w:rPr>
          <w:rFonts w:ascii="Microsoft Sans Serif" w:hAnsi="Microsoft Sans Serif" w:cs="Microsoft Sans Serif"/>
          <w:sz w:val="20"/>
          <w:szCs w:val="20"/>
          <w:lang w:val="mk-MK"/>
        </w:rPr>
        <w:t>N</w:t>
      </w:r>
      <w:r>
        <w:rPr>
          <w:rFonts w:ascii="Microsoft Sans Serif" w:hAnsi="Microsoft Sans Serif" w:cs="Microsoft Sans Serif"/>
          <w:sz w:val="20"/>
          <w:szCs w:val="20"/>
        </w:rPr>
        <w:t>e smiju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 uzeti 2 doze</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rPr>
        <w:t>u istom danu kako bi se nadoknadila propuštena doza.</w:t>
      </w:r>
    </w:p>
    <w:p w14:paraId="35997DBD">
      <w:pPr>
        <w:tabs>
          <w:tab w:val="clear" w:pos="284"/>
        </w:tabs>
        <w:rPr>
          <w:rFonts w:ascii="Microsoft Sans Serif" w:hAnsi="Microsoft Sans Serif" w:cs="Microsoft Sans Serif"/>
          <w:sz w:val="20"/>
          <w:szCs w:val="20"/>
        </w:rPr>
      </w:pPr>
    </w:p>
    <w:p w14:paraId="216D68CB">
      <w:pPr>
        <w:rPr>
          <w:rFonts w:ascii="Microsoft Sans Serif" w:hAnsi="Microsoft Sans Serif" w:cs="Microsoft Sans Serif"/>
          <w:i/>
          <w:iCs/>
          <w:sz w:val="20"/>
          <w:szCs w:val="20"/>
        </w:rPr>
      </w:pPr>
      <w:r>
        <w:rPr>
          <w:rFonts w:ascii="Microsoft Sans Serif" w:hAnsi="Microsoft Sans Serif" w:cs="Microsoft Sans Serif"/>
          <w:i/>
          <w:iCs/>
          <w:sz w:val="20"/>
          <w:szCs w:val="20"/>
        </w:rPr>
        <w:t>Liječenje VTE i prevencija recidiva VTE kod djece i adolescenata</w:t>
      </w:r>
    </w:p>
    <w:p w14:paraId="7D59EF9C">
      <w:pPr>
        <w:rPr>
          <w:rFonts w:ascii="Microsoft Sans Serif" w:hAnsi="Microsoft Sans Serif" w:cs="Microsoft Sans Serif"/>
          <w:iCs/>
          <w:sz w:val="20"/>
          <w:szCs w:val="20"/>
        </w:rPr>
      </w:pPr>
      <w:r>
        <w:rPr>
          <w:rFonts w:ascii="Microsoft Sans Serif" w:hAnsi="Microsoft Sans Serif" w:cs="Microsoft Sans Serif"/>
          <w:iCs/>
          <w:sz w:val="20"/>
          <w:szCs w:val="20"/>
        </w:rPr>
        <w:t>Liječenje kod djece i adolescenata mlađih od 18 godina treba započeti poslije najmanje 5 dana početnog parenteralnog antikoagulacionog tretmana (pogledati dio 5.1).</w:t>
      </w:r>
    </w:p>
    <w:p w14:paraId="7E4A38E4">
      <w:pPr>
        <w:rPr>
          <w:rFonts w:ascii="Microsoft Sans Serif" w:hAnsi="Microsoft Sans Serif" w:cs="Microsoft Sans Serif"/>
          <w:iCs/>
          <w:sz w:val="20"/>
          <w:szCs w:val="20"/>
        </w:rPr>
      </w:pPr>
      <w:r>
        <w:rPr>
          <w:rFonts w:ascii="Microsoft Sans Serif" w:hAnsi="Microsoft Sans Serif" w:cs="Microsoft Sans Serif"/>
          <w:iCs/>
          <w:sz w:val="20"/>
          <w:szCs w:val="20"/>
        </w:rPr>
        <w:t>Doza za djecu i adolescente izračunava se na osnovu tjelesne težine.</w:t>
      </w:r>
    </w:p>
    <w:p w14:paraId="00758189">
      <w:pPr>
        <w:rPr>
          <w:rFonts w:ascii="Microsoft Sans Serif" w:hAnsi="Microsoft Sans Serif" w:cs="Microsoft Sans Serif"/>
          <w:iCs/>
          <w:sz w:val="20"/>
          <w:szCs w:val="20"/>
        </w:rPr>
      </w:pPr>
      <w:r>
        <w:rPr>
          <w:rFonts w:ascii="Microsoft Sans Serif" w:hAnsi="Microsoft Sans Serif" w:cs="Microsoft Sans Serif"/>
          <w:iCs/>
          <w:sz w:val="20"/>
          <w:szCs w:val="20"/>
        </w:rPr>
        <w:tab/>
      </w:r>
      <w:r>
        <w:rPr>
          <w:rFonts w:ascii="Microsoft Sans Serif" w:hAnsi="Microsoft Sans Serif" w:cs="Microsoft Sans Serif"/>
          <w:iCs/>
          <w:sz w:val="20"/>
          <w:szCs w:val="20"/>
        </w:rPr>
        <w:t xml:space="preserve">- </w:t>
      </w:r>
      <w:r>
        <w:rPr>
          <w:rFonts w:ascii="Microsoft Sans Serif" w:hAnsi="Microsoft Sans Serif" w:cs="Microsoft Sans Serif"/>
          <w:iCs/>
          <w:sz w:val="20"/>
          <w:szCs w:val="20"/>
        </w:rPr>
        <w:tab/>
      </w:r>
      <w:r>
        <w:rPr>
          <w:rFonts w:ascii="Microsoft Sans Serif" w:hAnsi="Microsoft Sans Serif" w:cs="Microsoft Sans Serif"/>
          <w:iCs/>
          <w:sz w:val="20"/>
          <w:szCs w:val="20"/>
        </w:rPr>
        <w:t>Tjelesna težina od 30 do 50 kg:</w:t>
      </w:r>
    </w:p>
    <w:p w14:paraId="36F71E3E">
      <w:pPr>
        <w:rPr>
          <w:rFonts w:ascii="Microsoft Sans Serif" w:hAnsi="Microsoft Sans Serif" w:cs="Microsoft Sans Serif"/>
          <w:iCs/>
          <w:sz w:val="20"/>
          <w:szCs w:val="20"/>
        </w:rPr>
      </w:pPr>
      <w:r>
        <w:rPr>
          <w:rFonts w:ascii="Microsoft Sans Serif" w:hAnsi="Microsoft Sans Serif" w:cs="Microsoft Sans Serif"/>
          <w:iCs/>
          <w:sz w:val="20"/>
          <w:szCs w:val="20"/>
        </w:rPr>
        <w:tab/>
      </w:r>
      <w:r>
        <w:rPr>
          <w:rFonts w:ascii="Microsoft Sans Serif" w:hAnsi="Microsoft Sans Serif" w:cs="Microsoft Sans Serif"/>
          <w:iCs/>
          <w:sz w:val="20"/>
          <w:szCs w:val="20"/>
        </w:rPr>
        <w:tab/>
      </w:r>
      <w:r>
        <w:rPr>
          <w:rFonts w:ascii="Microsoft Sans Serif" w:hAnsi="Microsoft Sans Serif" w:cs="Microsoft Sans Serif"/>
          <w:iCs/>
          <w:sz w:val="20"/>
          <w:szCs w:val="20"/>
        </w:rPr>
        <w:t>preporučuje se doza od 15 mg rivaroksabana jednom dnevno. Ovo je maksimalna dnevna doza.</w:t>
      </w:r>
    </w:p>
    <w:p w14:paraId="414FF037">
      <w:pPr>
        <w:rPr>
          <w:rFonts w:ascii="Microsoft Sans Serif" w:hAnsi="Microsoft Sans Serif" w:cs="Microsoft Sans Serif"/>
          <w:iCs/>
          <w:sz w:val="20"/>
          <w:szCs w:val="20"/>
        </w:rPr>
      </w:pPr>
      <w:r>
        <w:rPr>
          <w:rFonts w:ascii="Microsoft Sans Serif" w:hAnsi="Microsoft Sans Serif" w:cs="Microsoft Sans Serif"/>
          <w:iCs/>
          <w:sz w:val="20"/>
          <w:szCs w:val="20"/>
        </w:rPr>
        <w:tab/>
      </w:r>
      <w:r>
        <w:rPr>
          <w:rFonts w:ascii="Microsoft Sans Serif" w:hAnsi="Microsoft Sans Serif" w:cs="Microsoft Sans Serif"/>
          <w:iCs/>
          <w:sz w:val="20"/>
          <w:szCs w:val="20"/>
        </w:rPr>
        <w:t xml:space="preserve">- </w:t>
      </w:r>
      <w:r>
        <w:rPr>
          <w:rFonts w:ascii="Microsoft Sans Serif" w:hAnsi="Microsoft Sans Serif" w:cs="Microsoft Sans Serif"/>
          <w:iCs/>
          <w:sz w:val="20"/>
          <w:szCs w:val="20"/>
        </w:rPr>
        <w:tab/>
      </w:r>
      <w:r>
        <w:rPr>
          <w:rFonts w:ascii="Microsoft Sans Serif" w:hAnsi="Microsoft Sans Serif" w:cs="Microsoft Sans Serif"/>
          <w:iCs/>
          <w:sz w:val="20"/>
          <w:szCs w:val="20"/>
        </w:rPr>
        <w:t>Tjelesna težina od 50 kg ili više:</w:t>
      </w:r>
    </w:p>
    <w:p w14:paraId="32BF3C0F">
      <w:pPr>
        <w:rPr>
          <w:rFonts w:ascii="Microsoft Sans Serif" w:hAnsi="Microsoft Sans Serif" w:cs="Microsoft Sans Serif"/>
          <w:iCs/>
          <w:sz w:val="20"/>
          <w:szCs w:val="20"/>
        </w:rPr>
      </w:pPr>
      <w:r>
        <w:rPr>
          <w:rFonts w:ascii="Microsoft Sans Serif" w:hAnsi="Microsoft Sans Serif" w:cs="Microsoft Sans Serif"/>
          <w:iCs/>
          <w:sz w:val="20"/>
          <w:szCs w:val="20"/>
        </w:rPr>
        <w:tab/>
      </w:r>
      <w:r>
        <w:rPr>
          <w:rFonts w:ascii="Microsoft Sans Serif" w:hAnsi="Microsoft Sans Serif" w:cs="Microsoft Sans Serif"/>
          <w:iCs/>
          <w:sz w:val="20"/>
          <w:szCs w:val="20"/>
        </w:rPr>
        <w:tab/>
      </w:r>
      <w:r>
        <w:rPr>
          <w:rFonts w:ascii="Microsoft Sans Serif" w:hAnsi="Microsoft Sans Serif" w:cs="Microsoft Sans Serif"/>
          <w:iCs/>
          <w:sz w:val="20"/>
          <w:szCs w:val="20"/>
        </w:rPr>
        <w:t>preporučuje se doza od 20 mg rivaroksabana jednom dnevno. Ovo je maksimalna dnevna doza.</w:t>
      </w:r>
    </w:p>
    <w:p w14:paraId="6D6FC943">
      <w:pPr>
        <w:rPr>
          <w:rFonts w:ascii="Microsoft Sans Serif" w:hAnsi="Microsoft Sans Serif" w:cs="Microsoft Sans Serif"/>
          <w:iCs/>
          <w:sz w:val="20"/>
          <w:szCs w:val="20"/>
        </w:rPr>
      </w:pPr>
    </w:p>
    <w:p w14:paraId="748909EB">
      <w:pPr>
        <w:rPr>
          <w:rFonts w:ascii="Microsoft Sans Serif" w:hAnsi="Microsoft Sans Serif" w:cs="Microsoft Sans Serif"/>
          <w:iCs/>
          <w:sz w:val="20"/>
          <w:szCs w:val="20"/>
        </w:rPr>
      </w:pPr>
      <w:r>
        <w:rPr>
          <w:rFonts w:ascii="Microsoft Sans Serif" w:hAnsi="Microsoft Sans Serif" w:cs="Microsoft Sans Serif"/>
          <w:iCs/>
          <w:sz w:val="20"/>
          <w:szCs w:val="20"/>
        </w:rPr>
        <w:t>Težinu djeteta treba pratiti i redovno pregledati dozu, da bi se osiguralo održavanje terapijske doze. Prilagođavanje doze treba vršiti samo na osnovu promjene tjelesne težine.</w:t>
      </w:r>
    </w:p>
    <w:p w14:paraId="484E82DE">
      <w:pPr>
        <w:rPr>
          <w:rFonts w:ascii="Microsoft Sans Serif" w:hAnsi="Microsoft Sans Serif" w:cs="Microsoft Sans Serif"/>
          <w:iCs/>
          <w:sz w:val="20"/>
          <w:szCs w:val="20"/>
        </w:rPr>
      </w:pPr>
    </w:p>
    <w:p w14:paraId="06FF5A4A">
      <w:pPr>
        <w:rPr>
          <w:rFonts w:ascii="Microsoft Sans Serif" w:hAnsi="Microsoft Sans Serif" w:cs="Microsoft Sans Serif"/>
          <w:iCs/>
          <w:sz w:val="20"/>
          <w:szCs w:val="20"/>
        </w:rPr>
      </w:pPr>
      <w:r>
        <w:rPr>
          <w:rFonts w:ascii="Microsoft Sans Serif" w:hAnsi="Microsoft Sans Serif" w:cs="Microsoft Sans Serif"/>
          <w:iCs/>
          <w:sz w:val="20"/>
          <w:szCs w:val="20"/>
        </w:rPr>
        <w:t xml:space="preserve">Liječenje kod djece i adolescenata treba nastaviti najmanje 3 mjeseca. Liječenje se može produžiti do 12 mjeseci kada je to klinički neophodno. Nema dostupnih podataka koji podržavaju smanjenje doze nakon 6 mjeseci liječenja kod djece. </w:t>
      </w:r>
      <w:r>
        <w:rPr>
          <w:rFonts w:ascii="Microsoft Sans Serif" w:hAnsi="Microsoft Sans Serif" w:cs="Microsoft Sans Serif"/>
          <w:iCs/>
          <w:sz w:val="20"/>
          <w:szCs w:val="20"/>
          <w:lang w:val="hr-BA"/>
        </w:rPr>
        <w:t xml:space="preserve">Odnos </w:t>
      </w:r>
      <w:r>
        <w:rPr>
          <w:rFonts w:ascii="Microsoft Sans Serif" w:hAnsi="Microsoft Sans Serif" w:cs="Microsoft Sans Serif"/>
          <w:iCs/>
          <w:sz w:val="20"/>
          <w:szCs w:val="20"/>
        </w:rPr>
        <w:t>korist-rizik za nastavak terapije nakon 3 mjeseca treba procjenjivati pojedinačno uzimajući u obzir rizik od ponovljene tromboze u odnosu na potencijalni rizik od krvarenja.</w:t>
      </w:r>
    </w:p>
    <w:p w14:paraId="0D3781FB">
      <w:pPr>
        <w:rPr>
          <w:rFonts w:ascii="Microsoft Sans Serif" w:hAnsi="Microsoft Sans Serif" w:cs="Microsoft Sans Serif"/>
          <w:iCs/>
          <w:sz w:val="20"/>
          <w:szCs w:val="20"/>
        </w:rPr>
      </w:pPr>
    </w:p>
    <w:p w14:paraId="719DEF64">
      <w:pPr>
        <w:rPr>
          <w:i/>
          <w:iCs/>
        </w:rPr>
      </w:pPr>
      <w:r>
        <w:rPr>
          <w:rFonts w:ascii="Microsoft Sans Serif" w:hAnsi="Microsoft Sans Serif" w:cs="Microsoft Sans Serif"/>
          <w:iCs/>
          <w:sz w:val="20"/>
          <w:szCs w:val="20"/>
        </w:rPr>
        <w:t>Ako se doza propusti, istu treba uzeti što je prije moguće nakon što se primjeti, ali samo istog dana. Ako to nije moguće, pacijent treba da preskoči dozu i nastavi sa sljedećom dozom kao što je propisano. Pacijent ne bi trebalo da uzima duplu dozu da bi nadoknadio propuštenu</w:t>
      </w:r>
      <w:r>
        <w:rPr>
          <w:i/>
          <w:iCs/>
        </w:rPr>
        <w:t>.</w:t>
      </w:r>
    </w:p>
    <w:p w14:paraId="25B303B8">
      <w:pPr>
        <w:tabs>
          <w:tab w:val="clear" w:pos="284"/>
        </w:tabs>
        <w:rPr>
          <w:rFonts w:ascii="Microsoft Sans Serif" w:hAnsi="Microsoft Sans Serif" w:cs="Microsoft Sans Serif"/>
          <w:sz w:val="20"/>
          <w:szCs w:val="20"/>
        </w:rPr>
      </w:pPr>
    </w:p>
    <w:p w14:paraId="5FA260B1">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 xml:space="preserve">Prevođenje sa terapije antagonistima vitamina K (engl. Vitamin K antagonist, VKA) na terapiju lijekom Rufixalo </w:t>
      </w:r>
    </w:p>
    <w:p w14:paraId="73643EA3">
      <w:pPr>
        <w:pStyle w:val="19"/>
        <w:numPr>
          <w:ilvl w:val="0"/>
          <w:numId w:val="1"/>
        </w:numPr>
        <w:rPr>
          <w:rFonts w:ascii="Microsoft Sans Serif" w:hAnsi="Microsoft Sans Serif" w:cs="Microsoft Sans Serif"/>
          <w:sz w:val="20"/>
          <w:szCs w:val="20"/>
        </w:rPr>
      </w:pPr>
      <w:r>
        <w:rPr>
          <w:rFonts w:ascii="Microsoft Sans Serif" w:hAnsi="Microsoft Sans Serif" w:cs="Microsoft Sans Serif"/>
          <w:sz w:val="20"/>
          <w:szCs w:val="20"/>
        </w:rPr>
        <w:t>Prevencija moždanog udara i sistemske embolije: terapiju sa VKA treba prekinuti, a terapija lijekom Rufixalo treba zapo</w:t>
      </w:r>
      <w:r>
        <w:rPr>
          <w:rFonts w:ascii="Microsoft Sans Serif" w:hAnsi="Microsoft Sans Serif" w:cs="Microsoft Sans Serif"/>
          <w:sz w:val="20"/>
          <w:szCs w:val="20"/>
          <w:lang w:val="hr-BA"/>
        </w:rPr>
        <w:t>četi</w:t>
      </w:r>
      <w:r>
        <w:rPr>
          <w:rFonts w:ascii="Microsoft Sans Serif" w:hAnsi="Microsoft Sans Serif" w:cs="Microsoft Sans Serif"/>
          <w:sz w:val="20"/>
          <w:szCs w:val="20"/>
        </w:rPr>
        <w:t xml:space="preserve"> kada je vrijednost internacionalnog normalizovanog odnosa (engl. </w:t>
      </w:r>
      <w:r>
        <w:rPr>
          <w:rFonts w:ascii="Microsoft Sans Serif" w:hAnsi="Microsoft Sans Serif" w:cs="Microsoft Sans Serif"/>
          <w:i/>
          <w:sz w:val="20"/>
          <w:szCs w:val="20"/>
        </w:rPr>
        <w:t>international normalized ratio</w:t>
      </w:r>
      <w:r>
        <w:rPr>
          <w:rFonts w:ascii="Microsoft Sans Serif" w:hAnsi="Microsoft Sans Serif" w:cs="Microsoft Sans Serif"/>
          <w:sz w:val="20"/>
          <w:szCs w:val="20"/>
        </w:rPr>
        <w:t>, INR) ≤ 3,0.</w:t>
      </w:r>
    </w:p>
    <w:p w14:paraId="67C3F956">
      <w:pPr>
        <w:pStyle w:val="19"/>
        <w:numPr>
          <w:ilvl w:val="0"/>
          <w:numId w:val="1"/>
        </w:numPr>
        <w:rPr>
          <w:rFonts w:ascii="Microsoft Sans Serif" w:hAnsi="Microsoft Sans Serif" w:cs="Microsoft Sans Serif"/>
          <w:sz w:val="20"/>
          <w:szCs w:val="20"/>
        </w:rPr>
      </w:pPr>
      <w:r>
        <w:rPr>
          <w:rFonts w:ascii="Microsoft Sans Serif" w:hAnsi="Microsoft Sans Serif" w:cs="Microsoft Sans Serif"/>
          <w:sz w:val="20"/>
          <w:szCs w:val="20"/>
        </w:rPr>
        <w:t xml:space="preserve">Terapija </w:t>
      </w:r>
      <w:r>
        <w:rPr>
          <w:rFonts w:ascii="Microsoft Sans Serif" w:hAnsi="Microsoft Sans Serif" w:cs="Microsoft Sans Serif"/>
          <w:sz w:val="20"/>
          <w:szCs w:val="20"/>
          <w:lang w:val="mk-MK"/>
        </w:rPr>
        <w:t>duboke venske tromboze</w:t>
      </w:r>
      <w:r>
        <w:rPr>
          <w:rFonts w:ascii="Microsoft Sans Serif" w:hAnsi="Microsoft Sans Serif" w:cs="Microsoft Sans Serif"/>
          <w:sz w:val="20"/>
          <w:szCs w:val="20"/>
        </w:rPr>
        <w:t>, plućne embolije ili prevencija ponovnog javlјanja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mk-MK"/>
        </w:rPr>
        <w:t>duboke venske tromboze ili plu</w:t>
      </w:r>
      <w:r>
        <w:rPr>
          <w:rFonts w:ascii="Microsoft Sans Serif" w:hAnsi="Microsoft Sans Serif" w:cs="Microsoft Sans Serif"/>
          <w:sz w:val="20"/>
          <w:szCs w:val="20"/>
          <w:lang w:val="sr-Cyrl-RS"/>
        </w:rPr>
        <w:t>ćne embolije</w:t>
      </w:r>
      <w:r>
        <w:rPr>
          <w:rFonts w:ascii="Microsoft Sans Serif" w:hAnsi="Microsoft Sans Serif" w:cs="Microsoft Sans Serif"/>
          <w:sz w:val="20"/>
          <w:szCs w:val="20"/>
        </w:rPr>
        <w:t xml:space="preserve">:  mora se prekinuti liječenje antagonistima vitamina K i početi liječenje lijekom Rufixalo kada je vrijednost internacionalnog normalizovanog odnosa (engl. </w:t>
      </w:r>
      <w:r>
        <w:rPr>
          <w:rFonts w:ascii="Microsoft Sans Serif" w:hAnsi="Microsoft Sans Serif" w:cs="Microsoft Sans Serif"/>
          <w:i/>
          <w:sz w:val="20"/>
          <w:szCs w:val="20"/>
        </w:rPr>
        <w:t>International Normalised Ratio</w:t>
      </w:r>
      <w:r>
        <w:rPr>
          <w:rFonts w:ascii="Microsoft Sans Serif" w:hAnsi="Microsoft Sans Serif" w:cs="Microsoft Sans Serif"/>
          <w:sz w:val="20"/>
          <w:szCs w:val="20"/>
        </w:rPr>
        <w:t>, INR) ≤ 2,5.</w:t>
      </w:r>
    </w:p>
    <w:p w14:paraId="64413779">
      <w:pPr>
        <w:tabs>
          <w:tab w:val="clear" w:pos="284"/>
        </w:tabs>
        <w:rPr>
          <w:rFonts w:ascii="Microsoft Sans Serif" w:hAnsi="Microsoft Sans Serif" w:cs="Microsoft Sans Serif"/>
          <w:sz w:val="20"/>
          <w:szCs w:val="20"/>
        </w:rPr>
      </w:pPr>
    </w:p>
    <w:p w14:paraId="34FA17FE">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Kada se pacijenti prevode sa terapije antagonistima vitamina K na lijek Rufixalo, vrijednosti internacionalnog normalizovanog odnosa (engl. </w:t>
      </w:r>
      <w:r>
        <w:rPr>
          <w:rFonts w:ascii="Microsoft Sans Serif" w:hAnsi="Microsoft Sans Serif" w:cs="Microsoft Sans Serif"/>
          <w:i/>
          <w:sz w:val="20"/>
          <w:szCs w:val="20"/>
        </w:rPr>
        <w:t>International Normalised Ratio</w:t>
      </w:r>
      <w:r>
        <w:rPr>
          <w:rFonts w:ascii="Microsoft Sans Serif" w:hAnsi="Microsoft Sans Serif" w:cs="Microsoft Sans Serif"/>
          <w:sz w:val="20"/>
          <w:szCs w:val="20"/>
        </w:rPr>
        <w:t>, INR) mogu biti lažno povećane nakon uzimanja lijeka Rufixalo. Vrijednost INR nije odgovarajuća mjera antikoagulantne aktivnosti lijeka Rufixalo i stoga se ne smije koristiti (pogledati dio 4.5).</w:t>
      </w:r>
    </w:p>
    <w:p w14:paraId="7977287D">
      <w:pPr>
        <w:tabs>
          <w:tab w:val="clear" w:pos="284"/>
        </w:tabs>
        <w:rPr>
          <w:rFonts w:ascii="Microsoft Sans Serif" w:hAnsi="Microsoft Sans Serif" w:cs="Microsoft Sans Serif"/>
          <w:sz w:val="20"/>
          <w:szCs w:val="20"/>
        </w:rPr>
      </w:pPr>
    </w:p>
    <w:p w14:paraId="6B592C9B">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Prevođenje sa terapije lijekom Rufixalo na terapiju antagonistima vitamina K (VKA)</w:t>
      </w:r>
    </w:p>
    <w:p w14:paraId="57113769">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lang w:val="sr-Cyrl-RS"/>
        </w:rPr>
        <w:t>Može doći do</w:t>
      </w:r>
      <w:r>
        <w:rPr>
          <w:rFonts w:ascii="Microsoft Sans Serif" w:hAnsi="Microsoft Sans Serif" w:cs="Microsoft Sans Serif"/>
          <w:sz w:val="20"/>
          <w:szCs w:val="20"/>
        </w:rPr>
        <w:t xml:space="preserve"> neadekvatne antikoagulacije tokom prevođenja sa lijeka Rufixalo  na VKA. Tokom svakog prelaza na alternativni antikoagulans treba osigurati kontinuiranu adekvatnu antikoagulaciju. Treba imati na umu da lijek Rufixalo može doprinijeti povećanju INR-a.</w:t>
      </w:r>
    </w:p>
    <w:p w14:paraId="4A878FC9">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Ako se pacijenti prevode sa lijeka Rufixalo na VKA, VKA treba primijeniti istovremeno dok INR ne dostigne vrijednost ≥ 2,0. Tokom prva dva dana perioda prevođenja, treba primijeniti standardno početno doziranje VKA, nakon čega slijedi doziranje VKA prema rezultatima mjerenja INR-a. Dok su pacijenti i na terapiji lijekom Rufixalo  i na terapiji sa VKA, INR ne treba meriti </w:t>
      </w:r>
      <w:r>
        <w:rPr>
          <w:rFonts w:ascii="Microsoft Sans Serif" w:hAnsi="Microsoft Sans Serif" w:cs="Microsoft Sans Serif"/>
          <w:sz w:val="20"/>
          <w:szCs w:val="20"/>
          <w:lang w:val="sr-Cyrl-RS"/>
        </w:rPr>
        <w:t>ranije od</w:t>
      </w:r>
      <w:r>
        <w:rPr>
          <w:rFonts w:ascii="Microsoft Sans Serif" w:hAnsi="Microsoft Sans Serif" w:cs="Microsoft Sans Serif"/>
          <w:sz w:val="20"/>
          <w:szCs w:val="20"/>
        </w:rPr>
        <w:t xml:space="preserve"> 24 sata </w:t>
      </w:r>
      <w:r>
        <w:rPr>
          <w:rFonts w:ascii="Microsoft Sans Serif" w:hAnsi="Microsoft Sans Serif" w:cs="Microsoft Sans Serif"/>
          <w:sz w:val="20"/>
          <w:szCs w:val="20"/>
          <w:lang w:val="sr-Cyrl-RS"/>
        </w:rPr>
        <w:t>nakon</w:t>
      </w:r>
      <w:r>
        <w:rPr>
          <w:rFonts w:ascii="Microsoft Sans Serif" w:hAnsi="Microsoft Sans Serif" w:cs="Microsoft Sans Serif"/>
          <w:sz w:val="20"/>
          <w:szCs w:val="20"/>
        </w:rPr>
        <w:t xml:space="preserve"> prethodne doze, ali  prije </w:t>
      </w:r>
      <w:r>
        <w:rPr>
          <w:rFonts w:ascii="Microsoft Sans Serif" w:hAnsi="Microsoft Sans Serif" w:cs="Microsoft Sans Serif"/>
          <w:sz w:val="20"/>
          <w:szCs w:val="20"/>
          <w:lang w:val="sr-Cyrl-RS"/>
        </w:rPr>
        <w:t>sl</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 xml:space="preserve">edeće </w:t>
      </w:r>
      <w:r>
        <w:rPr>
          <w:rFonts w:ascii="Microsoft Sans Serif" w:hAnsi="Microsoft Sans Serif" w:cs="Microsoft Sans Serif"/>
          <w:sz w:val="20"/>
          <w:szCs w:val="20"/>
        </w:rPr>
        <w:t>doze lijeka Rufixalo. Kada se primjena lijeka Rufixalo obustavi, mjerenje INR se pouzdano može uraditi najmanje 24 sata nakon posljednje doze (pogledati dijelove 4.5 i 5.2).</w:t>
      </w:r>
    </w:p>
    <w:p w14:paraId="4DA3E74A">
      <w:pPr>
        <w:tabs>
          <w:tab w:val="clear" w:pos="284"/>
        </w:tabs>
        <w:rPr>
          <w:rFonts w:ascii="Microsoft Sans Serif" w:hAnsi="Microsoft Sans Serif" w:cs="Microsoft Sans Serif"/>
          <w:sz w:val="20"/>
          <w:szCs w:val="20"/>
        </w:rPr>
      </w:pPr>
    </w:p>
    <w:p w14:paraId="23382EA5">
      <w:pPr>
        <w:rPr>
          <w:rFonts w:ascii="Microsoft Sans Serif" w:hAnsi="Microsoft Sans Serif" w:cs="Microsoft Sans Serif"/>
          <w:iCs/>
          <w:sz w:val="20"/>
          <w:szCs w:val="20"/>
        </w:rPr>
      </w:pPr>
      <w:r>
        <w:rPr>
          <w:rFonts w:ascii="Microsoft Sans Serif" w:hAnsi="Microsoft Sans Serif" w:cs="Microsoft Sans Serif"/>
          <w:iCs/>
          <w:sz w:val="20"/>
          <w:szCs w:val="20"/>
        </w:rPr>
        <w:t>Pedijatrijski pacijenti:</w:t>
      </w:r>
    </w:p>
    <w:p w14:paraId="4F06ED47">
      <w:pPr>
        <w:rPr>
          <w:iCs/>
        </w:rPr>
      </w:pPr>
      <w:r>
        <w:rPr>
          <w:rFonts w:ascii="Microsoft Sans Serif" w:hAnsi="Microsoft Sans Serif" w:cs="Microsoft Sans Serif"/>
          <w:iCs/>
          <w:sz w:val="20"/>
          <w:szCs w:val="20"/>
        </w:rPr>
        <w:t>Djeca koja se prevode sa terapije lijekom Rufixalo na terapiju sa VKA moraju da nastave da koriste lijek Rufixalo tokom 48 sati nakon prve doze VKA. Poslije 2 dana istovremene primjene</w:t>
      </w:r>
      <w:r>
        <w:rPr>
          <w:rFonts w:ascii="Microsoft Sans Serif" w:hAnsi="Microsoft Sans Serif" w:cs="Microsoft Sans Serif"/>
          <w:iCs/>
          <w:sz w:val="20"/>
          <w:szCs w:val="20"/>
          <w:lang w:val="mk-MK"/>
        </w:rPr>
        <w:t>,</w:t>
      </w:r>
      <w:r>
        <w:rPr>
          <w:rFonts w:ascii="Microsoft Sans Serif" w:hAnsi="Microsoft Sans Serif" w:cs="Microsoft Sans Serif"/>
          <w:iCs/>
          <w:sz w:val="20"/>
          <w:szCs w:val="20"/>
        </w:rPr>
        <w:t xml:space="preserve"> treba uraditi INR prije sljedeće planirane doze lijeka Rufixalo. Savjetuje se da se istovremen</w:t>
      </w:r>
      <w:r>
        <w:rPr>
          <w:rFonts w:ascii="Microsoft Sans Serif" w:hAnsi="Microsoft Sans Serif" w:cs="Microsoft Sans Serif"/>
          <w:iCs/>
          <w:sz w:val="20"/>
          <w:szCs w:val="20"/>
          <w:lang w:val="mk-MK"/>
        </w:rPr>
        <w:t>а</w:t>
      </w:r>
      <w:r>
        <w:rPr>
          <w:rFonts w:ascii="Microsoft Sans Serif" w:hAnsi="Microsoft Sans Serif" w:cs="Microsoft Sans Serif"/>
          <w:iCs/>
          <w:sz w:val="20"/>
          <w:szCs w:val="20"/>
        </w:rPr>
        <w:t xml:space="preserve"> primen</w:t>
      </w:r>
      <w:r>
        <w:rPr>
          <w:rFonts w:ascii="Microsoft Sans Serif" w:hAnsi="Microsoft Sans Serif" w:cs="Microsoft Sans Serif"/>
          <w:iCs/>
          <w:sz w:val="20"/>
          <w:szCs w:val="20"/>
          <w:lang w:val="mk-MK"/>
        </w:rPr>
        <w:t>а</w:t>
      </w:r>
      <w:r>
        <w:rPr>
          <w:rFonts w:ascii="Microsoft Sans Serif" w:hAnsi="Microsoft Sans Serif" w:cs="Microsoft Sans Serif"/>
          <w:iCs/>
          <w:sz w:val="20"/>
          <w:szCs w:val="20"/>
        </w:rPr>
        <w:t xml:space="preserve"> lijek</w:t>
      </w:r>
      <w:r>
        <w:rPr>
          <w:rFonts w:ascii="Microsoft Sans Serif" w:hAnsi="Microsoft Sans Serif" w:cs="Microsoft Sans Serif"/>
          <w:iCs/>
          <w:sz w:val="20"/>
          <w:szCs w:val="20"/>
          <w:lang w:val="mk-MK"/>
        </w:rPr>
        <w:t>а</w:t>
      </w:r>
      <w:r>
        <w:rPr>
          <w:rFonts w:ascii="Microsoft Sans Serif" w:hAnsi="Microsoft Sans Serif" w:cs="Microsoft Sans Serif"/>
          <w:iCs/>
          <w:sz w:val="20"/>
          <w:szCs w:val="20"/>
        </w:rPr>
        <w:t xml:space="preserve"> Rufixalo i VKA</w:t>
      </w:r>
      <w:r>
        <w:rPr>
          <w:rFonts w:ascii="Microsoft Sans Serif" w:hAnsi="Microsoft Sans Serif" w:cs="Microsoft Sans Serif"/>
          <w:iCs/>
          <w:sz w:val="20"/>
          <w:szCs w:val="20"/>
          <w:lang w:val="mk-MK"/>
        </w:rPr>
        <w:t xml:space="preserve"> </w:t>
      </w:r>
      <w:r>
        <w:rPr>
          <w:rFonts w:ascii="Microsoft Sans Serif" w:hAnsi="Microsoft Sans Serif" w:cs="Microsoft Sans Serif"/>
          <w:iCs/>
          <w:sz w:val="20"/>
          <w:szCs w:val="20"/>
          <w:lang w:val="hr-BA"/>
        </w:rPr>
        <w:t>nastavi</w:t>
      </w:r>
      <w:r>
        <w:rPr>
          <w:rFonts w:ascii="Microsoft Sans Serif" w:hAnsi="Microsoft Sans Serif" w:cs="Microsoft Sans Serif"/>
          <w:iCs/>
          <w:sz w:val="20"/>
          <w:szCs w:val="20"/>
        </w:rPr>
        <w:t xml:space="preserve"> dok vrijednost INR ne bude ≥ 2,0. Jednom kada se prekine primjena lijeka Rufixalo, određivanje INR-a može se pouzdano obaviti 24 sata nakon posljednje doze (pogledati prethodno navedeno i dio 4.5).</w:t>
      </w:r>
    </w:p>
    <w:p w14:paraId="57C99A87">
      <w:pPr>
        <w:tabs>
          <w:tab w:val="clear" w:pos="284"/>
        </w:tabs>
        <w:rPr>
          <w:rFonts w:ascii="Microsoft Sans Serif" w:hAnsi="Microsoft Sans Serif" w:cs="Microsoft Sans Serif"/>
          <w:sz w:val="20"/>
          <w:szCs w:val="20"/>
        </w:rPr>
      </w:pPr>
    </w:p>
    <w:p w14:paraId="6C3A0FCC">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 xml:space="preserve">Prevođenje sa terapije parenteralnim antikoagulansima na terapiju lijekom Rufixalo </w:t>
      </w:r>
    </w:p>
    <w:p w14:paraId="0A7CEE63">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Za odrasle i pedijatrijske pacijente koji trenutno primaju parenteralni antikoagulans, treba prekinuti sa primjenom parenteralnih antikoagulanasa i započeti primjenu lijeka Rufixalo 0 do 2 sata prije termina za sljedeću primjenu parenteralnog lijeka (npr. niskomolekularnog heparina) po rasporedu ili u vrijeme prekida kontinuirano primenjivanog parenteralnog lijeka (npr. intravenskog nefrakcionisanog heparina).</w:t>
      </w:r>
    </w:p>
    <w:p w14:paraId="75D20761">
      <w:pPr>
        <w:tabs>
          <w:tab w:val="clear" w:pos="284"/>
        </w:tabs>
        <w:rPr>
          <w:rFonts w:ascii="Microsoft Sans Serif" w:hAnsi="Microsoft Sans Serif" w:cs="Microsoft Sans Serif"/>
          <w:sz w:val="20"/>
          <w:szCs w:val="20"/>
        </w:rPr>
      </w:pPr>
    </w:p>
    <w:p w14:paraId="15721604">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Prevođenje sa terapije lijekom Rufixalo na terapiju parenteralnim antikoagulansima</w:t>
      </w:r>
    </w:p>
    <w:p w14:paraId="54C36201">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Prekinuti primjenu lijeka Rufixaloi I primjeniti</w:t>
      </w:r>
      <w:r>
        <w:t xml:space="preserve"> </w:t>
      </w:r>
      <w:r>
        <w:rPr>
          <w:rFonts w:ascii="Microsoft Sans Serif" w:hAnsi="Microsoft Sans Serif" w:cs="Microsoft Sans Serif"/>
          <w:sz w:val="20"/>
          <w:szCs w:val="20"/>
        </w:rPr>
        <w:t>prvu dozu parenteralnog antikoagulansa u vrijeme kada bi bilo potrebno uzeti sljedeću dozu lijeka Rufixalo.</w:t>
      </w:r>
    </w:p>
    <w:p w14:paraId="6693B64C">
      <w:pPr>
        <w:tabs>
          <w:tab w:val="clear" w:pos="284"/>
        </w:tabs>
        <w:rPr>
          <w:rFonts w:ascii="Microsoft Sans Serif" w:hAnsi="Microsoft Sans Serif" w:cs="Microsoft Sans Serif"/>
          <w:sz w:val="20"/>
          <w:szCs w:val="20"/>
          <w:u w:val="single"/>
        </w:rPr>
      </w:pPr>
    </w:p>
    <w:p w14:paraId="4BC57E11">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Posebne populacije</w:t>
      </w:r>
    </w:p>
    <w:p w14:paraId="728220B3">
      <w:pPr>
        <w:tabs>
          <w:tab w:val="clear" w:pos="284"/>
        </w:tabs>
        <w:rPr>
          <w:rFonts w:ascii="Microsoft Sans Serif" w:hAnsi="Microsoft Sans Serif" w:cs="Microsoft Sans Serif"/>
          <w:sz w:val="20"/>
          <w:szCs w:val="20"/>
        </w:rPr>
      </w:pPr>
    </w:p>
    <w:p w14:paraId="052D5AA8">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Oštećenje funkcije bubrega</w:t>
      </w:r>
    </w:p>
    <w:p w14:paraId="37FB9A9A">
      <w:r>
        <w:rPr>
          <w:rFonts w:ascii="Microsoft Sans Serif" w:hAnsi="Microsoft Sans Serif" w:cs="Microsoft Sans Serif"/>
          <w:iCs/>
          <w:sz w:val="20"/>
          <w:szCs w:val="20"/>
        </w:rPr>
        <w:t>Odrasli</w:t>
      </w:r>
      <w:r>
        <w:rPr>
          <w:iCs/>
        </w:rPr>
        <w:t>:</w:t>
      </w:r>
    </w:p>
    <w:p w14:paraId="4A66C8EE">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Ograničeni klinički podaci za pacijente sa teškim oštećenjem funkcije bubrega (klirens kreatinina 15-29 ml/min) ukazuju da su koncentracije rivaroksabana u krvi značajno povećane</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 xml:space="preserve"> </w:t>
      </w:r>
      <w:r>
        <w:rPr>
          <w:rFonts w:ascii="Microsoft Sans Serif" w:hAnsi="Microsoft Sans Serif" w:cs="Microsoft Sans Serif"/>
          <w:sz w:val="20"/>
          <w:szCs w:val="20"/>
          <w:lang w:val="sr-Cyrl-RS"/>
        </w:rPr>
        <w:t>S</w:t>
      </w:r>
      <w:r>
        <w:rPr>
          <w:rFonts w:ascii="Microsoft Sans Serif" w:hAnsi="Microsoft Sans Serif" w:cs="Microsoft Sans Serif"/>
          <w:sz w:val="20"/>
          <w:szCs w:val="20"/>
        </w:rPr>
        <w:t>toga kod ovih pacijenata lijek Rufixalo treba pažlјivo koristiti. Primjena se ne preporučuje kod pacijenata sa klirensom kreatinina &lt;15 ml/min (pogledati dijelove 4.4 i 5.2).</w:t>
      </w:r>
    </w:p>
    <w:p w14:paraId="64373B22">
      <w:pPr>
        <w:tabs>
          <w:tab w:val="clear" w:pos="284"/>
        </w:tabs>
        <w:rPr>
          <w:rFonts w:ascii="Microsoft Sans Serif" w:hAnsi="Microsoft Sans Serif" w:cs="Microsoft Sans Serif"/>
          <w:sz w:val="20"/>
          <w:szCs w:val="20"/>
        </w:rPr>
      </w:pPr>
    </w:p>
    <w:p w14:paraId="35E47E0A">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Kod pacijenata sa umjerenim (klirens kreatinina 30 - 49 ml/min) ili teškim (klirens kreatinina 15 –29 ml/min) oštećenjem funkcije bubrega primjenjuju se sljedeće preporuke za doziranje:</w:t>
      </w:r>
    </w:p>
    <w:p w14:paraId="19C414AF">
      <w:pPr>
        <w:tabs>
          <w:tab w:val="clear" w:pos="284"/>
        </w:tabs>
        <w:rPr>
          <w:rFonts w:ascii="Microsoft Sans Serif" w:hAnsi="Microsoft Sans Serif" w:cs="Microsoft Sans Serif"/>
          <w:sz w:val="20"/>
          <w:szCs w:val="20"/>
        </w:rPr>
      </w:pPr>
    </w:p>
    <w:p w14:paraId="125A4941">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 Za prevenciju </w:t>
      </w:r>
      <w:r>
        <w:rPr>
          <w:rFonts w:ascii="Microsoft Sans Serif" w:hAnsi="Microsoft Sans Serif" w:cs="Microsoft Sans Serif"/>
          <w:sz w:val="20"/>
          <w:szCs w:val="20"/>
          <w:lang w:val="sr-Cyrl-RS"/>
        </w:rPr>
        <w:t>moždanog udara i sistemske embolije</w:t>
      </w:r>
      <w:r>
        <w:rPr>
          <w:rFonts w:ascii="Microsoft Sans Serif" w:hAnsi="Microsoft Sans Serif" w:cs="Microsoft Sans Serif"/>
          <w:sz w:val="20"/>
          <w:szCs w:val="20"/>
        </w:rPr>
        <w:t xml:space="preserve">, </w:t>
      </w:r>
      <w:r>
        <w:rPr>
          <w:rFonts w:ascii="Microsoft Sans Serif" w:hAnsi="Microsoft Sans Serif" w:cs="Microsoft Sans Serif"/>
          <w:sz w:val="20"/>
          <w:szCs w:val="20"/>
          <w:lang w:val="sr-Cyrl-RS"/>
        </w:rPr>
        <w:t xml:space="preserve">kod pacijenata sa nevalvularnom atrijalnom fibrilacijom, preporučena doza je 15 </w:t>
      </w:r>
      <w:r>
        <w:rPr>
          <w:rFonts w:ascii="Microsoft Sans Serif" w:hAnsi="Microsoft Sans Serif" w:cs="Microsoft Sans Serif"/>
          <w:sz w:val="20"/>
          <w:szCs w:val="20"/>
          <w:lang w:val="sr-Latn-RS"/>
        </w:rPr>
        <w:t xml:space="preserve">mg </w:t>
      </w:r>
      <w:r>
        <w:rPr>
          <w:rFonts w:ascii="Microsoft Sans Serif" w:hAnsi="Microsoft Sans Serif" w:cs="Microsoft Sans Serif"/>
          <w:sz w:val="20"/>
          <w:szCs w:val="20"/>
          <w:lang w:val="sr-Cyrl-RS"/>
        </w:rPr>
        <w:t xml:space="preserve">jednom dnevno </w:t>
      </w:r>
      <w:r>
        <w:rPr>
          <w:rFonts w:ascii="Microsoft Sans Serif" w:hAnsi="Microsoft Sans Serif" w:cs="Microsoft Sans Serif"/>
          <w:sz w:val="20"/>
          <w:szCs w:val="20"/>
        </w:rPr>
        <w:t>(pogledati dio 5.2).</w:t>
      </w:r>
    </w:p>
    <w:p w14:paraId="2CB907A0">
      <w:pPr>
        <w:tabs>
          <w:tab w:val="clear" w:pos="284"/>
        </w:tabs>
        <w:rPr>
          <w:rFonts w:ascii="Microsoft Sans Serif" w:hAnsi="Microsoft Sans Serif" w:cs="Microsoft Sans Serif"/>
          <w:sz w:val="20"/>
          <w:szCs w:val="20"/>
        </w:rPr>
      </w:pPr>
    </w:p>
    <w:p w14:paraId="516643C4">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rPr>
        <w:t xml:space="preserve">- Za liječenje </w:t>
      </w:r>
      <w:r>
        <w:rPr>
          <w:rFonts w:ascii="Microsoft Sans Serif" w:hAnsi="Microsoft Sans Serif" w:cs="Microsoft Sans Serif"/>
          <w:sz w:val="20"/>
          <w:szCs w:val="20"/>
          <w:lang w:val="sr-Cyrl-RS"/>
        </w:rPr>
        <w:t>duboke venske tromboze</w:t>
      </w:r>
      <w:r>
        <w:rPr>
          <w:rFonts w:ascii="Microsoft Sans Serif" w:hAnsi="Microsoft Sans Serif" w:cs="Microsoft Sans Serif"/>
          <w:sz w:val="20"/>
          <w:szCs w:val="20"/>
        </w:rPr>
        <w:t xml:space="preserve">, liječenje plućne embolije i prevenciju ponavlјajuće </w:t>
      </w:r>
      <w:r>
        <w:rPr>
          <w:rFonts w:ascii="Microsoft Sans Serif" w:hAnsi="Microsoft Sans Serif" w:cs="Microsoft Sans Serif"/>
          <w:sz w:val="20"/>
          <w:szCs w:val="20"/>
          <w:lang w:val="sr-Cyrl-RS"/>
        </w:rPr>
        <w:t>duboke venske tromboze</w:t>
      </w:r>
      <w:r>
        <w:rPr>
          <w:rFonts w:ascii="Microsoft Sans Serif" w:hAnsi="Microsoft Sans Serif" w:cs="Microsoft Sans Serif"/>
          <w:sz w:val="20"/>
          <w:szCs w:val="20"/>
        </w:rPr>
        <w:t xml:space="preserve"> i plućne embolije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 xml:space="preserve">pacijent se mora liječiti dozom od 15 mg dva puta na dan prve 3 nedelјe. Nakon toga, preporučena doza je 20 mg jednom dnevno. Smanjenje doze sa 20 mg jednom dnevno na 15 mg jednom dnevno treba uzeti u obzir ako za pacijenta procjenjeni rizik od krvarenja </w:t>
      </w:r>
      <w:r>
        <w:rPr>
          <w:rFonts w:ascii="Microsoft Sans Serif" w:hAnsi="Microsoft Sans Serif" w:cs="Microsoft Sans Serif"/>
          <w:sz w:val="20"/>
          <w:szCs w:val="20"/>
          <w:lang w:val="sr-Cyrl-RS"/>
        </w:rPr>
        <w:t>prevazilazi</w:t>
      </w:r>
      <w:r>
        <w:rPr>
          <w:rFonts w:ascii="Microsoft Sans Serif" w:hAnsi="Microsoft Sans Serif" w:cs="Microsoft Sans Serif"/>
          <w:sz w:val="20"/>
          <w:szCs w:val="20"/>
        </w:rPr>
        <w:t xml:space="preserve"> rizik od ponavlјajuće </w:t>
      </w:r>
      <w:r>
        <w:rPr>
          <w:rFonts w:ascii="Microsoft Sans Serif" w:hAnsi="Microsoft Sans Serif" w:cs="Microsoft Sans Serif"/>
          <w:sz w:val="20"/>
          <w:szCs w:val="20"/>
          <w:lang w:val="sr-Cyrl-RS"/>
        </w:rPr>
        <w:t>duboke venske tormboze</w:t>
      </w:r>
      <w:r>
        <w:rPr>
          <w:rFonts w:ascii="Microsoft Sans Serif" w:hAnsi="Microsoft Sans Serif" w:cs="Microsoft Sans Serif"/>
          <w:sz w:val="20"/>
          <w:szCs w:val="20"/>
        </w:rPr>
        <w:t xml:space="preserve"> i plućne embolije. Preporuka za uzimanje 15 mg zasniva se na farmakokinetičkom modelu i nije ispitivana u ovim kliničkim uslovima (pogledati dijelove 4.4, 5.1 i 5.2).</w:t>
      </w:r>
    </w:p>
    <w:p w14:paraId="5B428A59">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Kada je preporučena doza 10 mg jednom dnevno, nije potrebno prilagođavanje preporučene doze.</w:t>
      </w:r>
    </w:p>
    <w:p w14:paraId="22C25180">
      <w:pPr>
        <w:tabs>
          <w:tab w:val="clear" w:pos="284"/>
        </w:tabs>
        <w:rPr>
          <w:rFonts w:ascii="Microsoft Sans Serif" w:hAnsi="Microsoft Sans Serif" w:cs="Microsoft Sans Serif"/>
          <w:sz w:val="20"/>
          <w:szCs w:val="20"/>
        </w:rPr>
      </w:pPr>
    </w:p>
    <w:p w14:paraId="13BD54D3">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Kod pacijenata sa blagim oštećenjem funkcije bubrega (klirens kreatinina 50-80 ml/min) nije</w:t>
      </w:r>
    </w:p>
    <w:p w14:paraId="616BD467">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potrebno prilagođavanje doze (pogledati dio 5.2).</w:t>
      </w:r>
    </w:p>
    <w:p w14:paraId="00C064A4">
      <w:pPr>
        <w:tabs>
          <w:tab w:val="clear" w:pos="284"/>
        </w:tabs>
        <w:rPr>
          <w:rFonts w:ascii="Microsoft Sans Serif" w:hAnsi="Microsoft Sans Serif" w:cs="Microsoft Sans Serif"/>
          <w:sz w:val="20"/>
          <w:szCs w:val="20"/>
          <w:lang w:val="sr-Latn-RS"/>
        </w:rPr>
      </w:pPr>
    </w:p>
    <w:p w14:paraId="2F8607F3">
      <w:pPr>
        <w:ind w:left="1"/>
        <w:rPr>
          <w:rFonts w:ascii="Microsoft Sans Serif" w:hAnsi="Microsoft Sans Serif" w:cs="Microsoft Sans Serif"/>
          <w:iCs/>
          <w:sz w:val="20"/>
          <w:szCs w:val="20"/>
        </w:rPr>
      </w:pPr>
      <w:r>
        <w:rPr>
          <w:rFonts w:ascii="Microsoft Sans Serif" w:hAnsi="Microsoft Sans Serif" w:cs="Microsoft Sans Serif"/>
          <w:iCs/>
          <w:sz w:val="20"/>
          <w:szCs w:val="20"/>
        </w:rPr>
        <w:t>Pedijatrijska populacija:</w:t>
      </w:r>
    </w:p>
    <w:p w14:paraId="43EBB531">
      <w:pPr>
        <w:ind w:left="1"/>
        <w:rPr>
          <w:rFonts w:ascii="Microsoft Sans Serif" w:hAnsi="Microsoft Sans Serif" w:cs="Microsoft Sans Serif"/>
          <w:iCs/>
          <w:sz w:val="20"/>
          <w:szCs w:val="20"/>
        </w:rPr>
      </w:pPr>
      <w:r>
        <w:rPr>
          <w:rFonts w:ascii="Microsoft Sans Serif" w:hAnsi="Microsoft Sans Serif" w:cs="Microsoft Sans Serif"/>
          <w:iCs/>
          <w:sz w:val="20"/>
          <w:szCs w:val="20"/>
        </w:rPr>
        <w:t xml:space="preserve">- </w:t>
      </w:r>
      <w:r>
        <w:rPr>
          <w:rFonts w:ascii="Microsoft Sans Serif" w:hAnsi="Microsoft Sans Serif" w:cs="Microsoft Sans Serif"/>
          <w:iCs/>
          <w:sz w:val="20"/>
          <w:szCs w:val="20"/>
        </w:rPr>
        <w:tab/>
      </w:r>
      <w:r>
        <w:rPr>
          <w:rFonts w:ascii="Microsoft Sans Serif" w:hAnsi="Microsoft Sans Serif" w:cs="Microsoft Sans Serif"/>
          <w:iCs/>
          <w:sz w:val="20"/>
          <w:szCs w:val="20"/>
        </w:rPr>
        <w:tab/>
      </w:r>
      <w:r>
        <w:rPr>
          <w:rFonts w:ascii="Microsoft Sans Serif" w:hAnsi="Microsoft Sans Serif" w:cs="Microsoft Sans Serif"/>
          <w:iCs/>
          <w:sz w:val="20"/>
          <w:szCs w:val="20"/>
        </w:rPr>
        <w:t>Djeca i adolescenti sa blagim oštećenjem funkcije bubrega (brzina glomerularne filtracije 50 - 80 ml/min /1,73 m</w:t>
      </w:r>
      <w:r>
        <w:rPr>
          <w:rFonts w:ascii="Microsoft Sans Serif" w:hAnsi="Microsoft Sans Serif" w:cs="Microsoft Sans Serif"/>
          <w:iCs/>
          <w:sz w:val="20"/>
          <w:szCs w:val="20"/>
          <w:vertAlign w:val="superscript"/>
        </w:rPr>
        <w:t>2</w:t>
      </w:r>
      <w:r>
        <w:rPr>
          <w:rFonts w:ascii="Microsoft Sans Serif" w:hAnsi="Microsoft Sans Serif" w:cs="Microsoft Sans Serif"/>
          <w:iCs/>
          <w:sz w:val="20"/>
          <w:szCs w:val="20"/>
        </w:rPr>
        <w:t>): nije potrebno prilagođavanje doze na osnovu podataka o odraslima i ograničenih podataka kod pedijatrijskih pacijenata (pogledati dio 5.2).</w:t>
      </w:r>
    </w:p>
    <w:p w14:paraId="79E02D4B">
      <w:pPr>
        <w:ind w:left="1"/>
        <w:rPr>
          <w:rFonts w:ascii="Microsoft Sans Serif" w:hAnsi="Microsoft Sans Serif" w:cs="Microsoft Sans Serif"/>
          <w:iCs/>
          <w:sz w:val="20"/>
          <w:szCs w:val="20"/>
        </w:rPr>
      </w:pPr>
      <w:r>
        <w:rPr>
          <w:rFonts w:ascii="Microsoft Sans Serif" w:hAnsi="Microsoft Sans Serif" w:cs="Microsoft Sans Serif"/>
          <w:iCs/>
          <w:sz w:val="20"/>
          <w:szCs w:val="20"/>
        </w:rPr>
        <w:t xml:space="preserve">- </w:t>
      </w:r>
      <w:r>
        <w:rPr>
          <w:rFonts w:ascii="Microsoft Sans Serif" w:hAnsi="Microsoft Sans Serif" w:cs="Microsoft Sans Serif"/>
          <w:iCs/>
          <w:sz w:val="20"/>
          <w:szCs w:val="20"/>
        </w:rPr>
        <w:tab/>
      </w:r>
      <w:r>
        <w:rPr>
          <w:rFonts w:ascii="Microsoft Sans Serif" w:hAnsi="Microsoft Sans Serif" w:cs="Microsoft Sans Serif"/>
          <w:iCs/>
          <w:sz w:val="20"/>
          <w:szCs w:val="20"/>
        </w:rPr>
        <w:tab/>
      </w:r>
      <w:r>
        <w:rPr>
          <w:rFonts w:ascii="Microsoft Sans Serif" w:hAnsi="Microsoft Sans Serif" w:cs="Microsoft Sans Serif"/>
          <w:iCs/>
          <w:sz w:val="20"/>
          <w:szCs w:val="20"/>
        </w:rPr>
        <w:t xml:space="preserve">Djeca i adolescenti sa umjerenim ili teškim oštećenjem </w:t>
      </w:r>
      <w:r>
        <w:rPr>
          <w:rFonts w:ascii="Microsoft Sans Serif" w:hAnsi="Microsoft Sans Serif" w:cs="Microsoft Sans Serif"/>
          <w:iCs/>
          <w:sz w:val="20"/>
          <w:szCs w:val="20"/>
          <w:lang w:val="hr-BA"/>
        </w:rPr>
        <w:t xml:space="preserve">funkcije </w:t>
      </w:r>
      <w:r>
        <w:rPr>
          <w:rFonts w:ascii="Microsoft Sans Serif" w:hAnsi="Microsoft Sans Serif" w:cs="Microsoft Sans Serif"/>
          <w:iCs/>
          <w:sz w:val="20"/>
          <w:szCs w:val="20"/>
        </w:rPr>
        <w:t>bubrega (stopa glomerularne filtracije &lt;50 ml/min/1,73m</w:t>
      </w:r>
      <w:r>
        <w:rPr>
          <w:rFonts w:ascii="Microsoft Sans Serif" w:hAnsi="Microsoft Sans Serif" w:cs="Microsoft Sans Serif"/>
          <w:iCs/>
          <w:sz w:val="20"/>
          <w:szCs w:val="20"/>
          <w:vertAlign w:val="superscript"/>
        </w:rPr>
        <w:t>2</w:t>
      </w:r>
      <w:r>
        <w:rPr>
          <w:rFonts w:ascii="Microsoft Sans Serif" w:hAnsi="Microsoft Sans Serif" w:cs="Microsoft Sans Serif"/>
          <w:iCs/>
          <w:sz w:val="20"/>
          <w:szCs w:val="20"/>
        </w:rPr>
        <w:t>): lijek Rufixalo se ne preporučuje jer nisu dostupni klinički podaci (pogledati dio 4.4).</w:t>
      </w:r>
    </w:p>
    <w:p w14:paraId="0E3F9AF9">
      <w:pPr>
        <w:tabs>
          <w:tab w:val="clear" w:pos="284"/>
        </w:tabs>
        <w:rPr>
          <w:rFonts w:ascii="Microsoft Sans Serif" w:hAnsi="Microsoft Sans Serif" w:cs="Microsoft Sans Serif"/>
          <w:sz w:val="20"/>
          <w:szCs w:val="20"/>
          <w:lang w:val="sr-Latn-RS"/>
        </w:rPr>
      </w:pPr>
    </w:p>
    <w:p w14:paraId="3928F350">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Oštećenje funkcije jetre</w:t>
      </w:r>
    </w:p>
    <w:p w14:paraId="730B0805">
      <w:pPr>
        <w:rPr>
          <w:rFonts w:ascii="Microsoft Sans Serif" w:hAnsi="Microsoft Sans Serif" w:cs="Microsoft Sans Serif"/>
          <w:sz w:val="20"/>
          <w:szCs w:val="20"/>
        </w:rPr>
      </w:pPr>
      <w:r>
        <w:rPr>
          <w:rFonts w:ascii="Microsoft Sans Serif" w:hAnsi="Microsoft Sans Serif" w:cs="Microsoft Sans Serif"/>
          <w:sz w:val="20"/>
          <w:szCs w:val="20"/>
        </w:rPr>
        <w:t>Lijek Rufixalo je kontraindikovan kod pacijenata sa obolјenjem jetre povezanim sa koagulopatijom i klinički relevantnim rizikom od krvarenja, uklјučujući pacijente sa cirozom sa Child Pugh skorom B i C (pogledati dijelove 4.3 i 5.2).</w:t>
      </w:r>
      <w:r>
        <w:t xml:space="preserve"> </w:t>
      </w:r>
      <w:r>
        <w:rPr>
          <w:rFonts w:ascii="Microsoft Sans Serif" w:hAnsi="Microsoft Sans Serif" w:cs="Microsoft Sans Serif"/>
          <w:sz w:val="20"/>
          <w:szCs w:val="20"/>
        </w:rPr>
        <w:t xml:space="preserve">Nisu dostupni klinički podaci za upotrebu lijeka kod djece sa oštećenjem funkcije jetre. </w:t>
      </w:r>
      <w:r>
        <w:t xml:space="preserve"> </w:t>
      </w:r>
    </w:p>
    <w:p w14:paraId="093F9E5B">
      <w:pPr>
        <w:tabs>
          <w:tab w:val="clear" w:pos="284"/>
        </w:tabs>
        <w:rPr>
          <w:rFonts w:ascii="Microsoft Sans Serif" w:hAnsi="Microsoft Sans Serif" w:cs="Microsoft Sans Serif"/>
          <w:sz w:val="20"/>
          <w:szCs w:val="20"/>
        </w:rPr>
      </w:pPr>
    </w:p>
    <w:p w14:paraId="68AACA52">
      <w:pPr>
        <w:tabs>
          <w:tab w:val="clear" w:pos="284"/>
        </w:tabs>
        <w:rPr>
          <w:rFonts w:ascii="Microsoft Sans Serif" w:hAnsi="Microsoft Sans Serif" w:cs="Microsoft Sans Serif"/>
          <w:i/>
          <w:sz w:val="20"/>
          <w:szCs w:val="20"/>
          <w:lang w:val="sr-Cyrl-RS"/>
        </w:rPr>
      </w:pPr>
      <w:r>
        <w:rPr>
          <w:rFonts w:ascii="Microsoft Sans Serif" w:hAnsi="Microsoft Sans Serif" w:cs="Microsoft Sans Serif"/>
          <w:i/>
          <w:sz w:val="20"/>
          <w:szCs w:val="20"/>
        </w:rPr>
        <w:t>Starij</w:t>
      </w:r>
      <w:r>
        <w:rPr>
          <w:rFonts w:ascii="Microsoft Sans Serif" w:hAnsi="Microsoft Sans Serif" w:cs="Microsoft Sans Serif"/>
          <w:i/>
          <w:sz w:val="20"/>
          <w:szCs w:val="20"/>
          <w:lang w:val="sr-Cyrl-RS"/>
        </w:rPr>
        <w:t>i</w:t>
      </w:r>
      <w:r>
        <w:rPr>
          <w:rFonts w:ascii="Microsoft Sans Serif" w:hAnsi="Microsoft Sans Serif" w:cs="Microsoft Sans Serif"/>
          <w:i/>
          <w:sz w:val="20"/>
          <w:szCs w:val="20"/>
        </w:rPr>
        <w:t xml:space="preserve"> </w:t>
      </w:r>
      <w:r>
        <w:rPr>
          <w:rFonts w:ascii="Microsoft Sans Serif" w:hAnsi="Microsoft Sans Serif" w:cs="Microsoft Sans Serif"/>
          <w:i/>
          <w:sz w:val="20"/>
          <w:szCs w:val="20"/>
          <w:lang w:val="sr-Cyrl-RS"/>
        </w:rPr>
        <w:t>pacijenti</w:t>
      </w:r>
    </w:p>
    <w:p w14:paraId="7B208DA4">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Nije potrebno prilagođavati dozu (pogledati dio 5.2).</w:t>
      </w:r>
    </w:p>
    <w:p w14:paraId="2AE6D553">
      <w:pPr>
        <w:tabs>
          <w:tab w:val="clear" w:pos="284"/>
        </w:tabs>
        <w:rPr>
          <w:rFonts w:ascii="Microsoft Sans Serif" w:hAnsi="Microsoft Sans Serif" w:cs="Microsoft Sans Serif"/>
          <w:sz w:val="20"/>
          <w:szCs w:val="20"/>
        </w:rPr>
      </w:pPr>
    </w:p>
    <w:p w14:paraId="749297A8">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Tjelesna masa</w:t>
      </w:r>
    </w:p>
    <w:p w14:paraId="36D10550">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Nije potrebno prilagođavati dozu (pogledati dio 5.2).</w:t>
      </w:r>
      <w:r>
        <w:t xml:space="preserve"> </w:t>
      </w:r>
      <w:r>
        <w:rPr>
          <w:rFonts w:ascii="Microsoft Sans Serif" w:hAnsi="Microsoft Sans Serif" w:cs="Microsoft Sans Serif"/>
          <w:sz w:val="20"/>
          <w:szCs w:val="20"/>
        </w:rPr>
        <w:t>Za pedijatrijske pacijente doza se određuje na osnovu tjelesne težine.</w:t>
      </w:r>
    </w:p>
    <w:p w14:paraId="0BC59C84">
      <w:pPr>
        <w:tabs>
          <w:tab w:val="clear" w:pos="284"/>
        </w:tabs>
        <w:rPr>
          <w:rFonts w:ascii="Microsoft Sans Serif" w:hAnsi="Microsoft Sans Serif" w:cs="Microsoft Sans Serif"/>
          <w:sz w:val="20"/>
          <w:szCs w:val="20"/>
        </w:rPr>
      </w:pPr>
    </w:p>
    <w:p w14:paraId="37122E40">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Pol</w:t>
      </w:r>
    </w:p>
    <w:p w14:paraId="4F850CDD">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Nije potrebno prilagođavati dozu (pogledati dio 5.2).</w:t>
      </w:r>
    </w:p>
    <w:p w14:paraId="3E4B5C4B">
      <w:pPr>
        <w:tabs>
          <w:tab w:val="clear" w:pos="284"/>
        </w:tabs>
        <w:rPr>
          <w:rFonts w:ascii="Microsoft Sans Serif" w:hAnsi="Microsoft Sans Serif" w:cs="Microsoft Sans Serif"/>
          <w:sz w:val="20"/>
          <w:szCs w:val="20"/>
        </w:rPr>
      </w:pPr>
    </w:p>
    <w:p w14:paraId="312E4FC9">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Pacijenti koji se podvrgavaju kardioverziji</w:t>
      </w:r>
    </w:p>
    <w:p w14:paraId="58B7A736">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Primjena lijeka Rufixalo može da se započne, ili da se nastavi kod pacijenata čije stanje može da zahtjeva kardioverziju. Kod transezofagealnim ehokardiogramom (</w:t>
      </w:r>
      <w:r>
        <w:rPr>
          <w:rFonts w:ascii="Microsoft Sans Serif" w:hAnsi="Microsoft Sans Serif" w:cs="Microsoft Sans Serif"/>
          <w:sz w:val="20"/>
          <w:szCs w:val="20"/>
          <w:lang w:val="sr-Cyrl-RS"/>
        </w:rPr>
        <w:t>engl.</w:t>
      </w:r>
      <w:r>
        <w:rPr>
          <w:rFonts w:ascii="Microsoft Sans Serif" w:hAnsi="Microsoft Sans Serif" w:cs="Microsoft Sans Serif"/>
          <w:sz w:val="20"/>
          <w:szCs w:val="20"/>
        </w:rPr>
        <w:t xml:space="preserve"> </w:t>
      </w:r>
      <w:r>
        <w:rPr>
          <w:rFonts w:ascii="Microsoft Sans Serif" w:hAnsi="Microsoft Sans Serif" w:cs="Microsoft Sans Serif"/>
          <w:i/>
          <w:sz w:val="20"/>
          <w:szCs w:val="20"/>
          <w:lang w:val="sr-Cyrl-RS"/>
        </w:rPr>
        <w:t>transesophageal echocardiogram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TEE) vođene kardioverzije, kod pacijenata koji prethodno nisu bili na terapiji antikoagulansima, terapiju lijekom Rufixalo treba započeti najmanje 4 sata prije kardioverzije da bi se osigurala adekvatna antikoagulacija (pogledati dijelove 5.1 i 5.2). Za sve pacijente prije izvođenja kardioverzije potrebno je zatražiti potvrdu da je lijek Rufixalo uziman kako je propisano. Odluku o sprovođenju i trajanju terapije treba doneti u skladu sa preporukama za antikoagulantnu terapiju pacijenata koji se podvrgavaju kardioverziji.</w:t>
      </w:r>
    </w:p>
    <w:p w14:paraId="1896B09D">
      <w:pPr>
        <w:tabs>
          <w:tab w:val="clear" w:pos="284"/>
        </w:tabs>
        <w:rPr>
          <w:rFonts w:ascii="Microsoft Sans Serif" w:hAnsi="Microsoft Sans Serif" w:cs="Microsoft Sans Serif"/>
          <w:sz w:val="20"/>
          <w:szCs w:val="20"/>
        </w:rPr>
      </w:pPr>
    </w:p>
    <w:p w14:paraId="68024363">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Pacijenti sa nevalvularnom atrijalnom fibrilacijom koji se podvrgavaju perkutanoj koronarnoj</w:t>
      </w:r>
    </w:p>
    <w:p w14:paraId="39E00A54">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intervenciji (engl.</w:t>
      </w:r>
      <w:r>
        <w:rPr>
          <w:rFonts w:ascii="Microsoft Sans Serif" w:hAnsi="Microsoft Sans Serif" w:cs="Microsoft Sans Serif"/>
          <w:i/>
          <w:sz w:val="20"/>
          <w:szCs w:val="20"/>
          <w:lang w:val="sr-Cyrl-RS"/>
        </w:rPr>
        <w:t xml:space="preserve"> </w:t>
      </w:r>
      <w:r>
        <w:rPr>
          <w:rFonts w:ascii="Microsoft Sans Serif" w:hAnsi="Microsoft Sans Serif" w:cs="Microsoft Sans Serif"/>
          <w:i/>
          <w:sz w:val="20"/>
          <w:szCs w:val="20"/>
          <w:lang w:val="sr-Latn-RS"/>
        </w:rPr>
        <w:t>percutaneous coronary intervention</w:t>
      </w:r>
      <w:r>
        <w:rPr>
          <w:rFonts w:ascii="Microsoft Sans Serif" w:hAnsi="Microsoft Sans Serif" w:cs="Microsoft Sans Serif"/>
          <w:i/>
          <w:sz w:val="20"/>
          <w:szCs w:val="20"/>
        </w:rPr>
        <w:t>, PCI) sa ugradnjom stenta</w:t>
      </w:r>
    </w:p>
    <w:p w14:paraId="62F8F86D">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Postoji ograničeno iskustvo kod upotrebe smanjene doze rivaroksabana 15 mg jednom dnevno</w:t>
      </w:r>
    </w:p>
    <w:p w14:paraId="045F6B7B">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(odnosno 10 mg rivaroksabana jednom dnevno kod pacijenata sa umjerenim oštećenjem funkcije</w:t>
      </w:r>
    </w:p>
    <w:p w14:paraId="5BAB0727">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bubrega, (klirens kreatinina 30-49 ml/min)) kao dodatak inhibitoru P2Y12 najduže 12 mjeseci kod pacijenata sa nevalvularnom atrijalnom fibrilacijom, kojima je potrebna oralna antikoagulantna terapija i koji se podvrgavaju PCI sa ugradnjom stenta (pogledati dijelove 4.4 i 5.1).</w:t>
      </w:r>
    </w:p>
    <w:p w14:paraId="4B3E4938">
      <w:pPr>
        <w:tabs>
          <w:tab w:val="clear" w:pos="284"/>
        </w:tabs>
        <w:rPr>
          <w:rFonts w:ascii="Microsoft Sans Serif" w:hAnsi="Microsoft Sans Serif" w:cs="Microsoft Sans Serif"/>
          <w:sz w:val="20"/>
          <w:szCs w:val="20"/>
        </w:rPr>
      </w:pPr>
    </w:p>
    <w:p w14:paraId="2F8BD252">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Pedijatrijska populacija</w:t>
      </w:r>
    </w:p>
    <w:p w14:paraId="221059A0">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Bezbjednost i efikasnost rivaroksabana kod djece uzrasta 0 do 18 godina nisu ustanovlјene u indikaciji prevencije moždanog udara i sistemske embolije kod pacijenata sa nevalvularnom atrijalnom fibrilacijom. Nema dostupnih podataka. Stoga se lijek Rufixalo ne preporučuje za primjenu kod djece </w:t>
      </w:r>
      <w:r>
        <w:rPr>
          <w:rFonts w:ascii="Microsoft Sans Serif" w:hAnsi="Microsoft Sans Serif" w:cs="Microsoft Sans Serif"/>
          <w:sz w:val="20"/>
          <w:szCs w:val="20"/>
          <w:lang w:val="sr-Cyrl-RS"/>
        </w:rPr>
        <w:t>mlađe od</w:t>
      </w:r>
      <w:r>
        <w:rPr>
          <w:rFonts w:ascii="Microsoft Sans Serif" w:hAnsi="Microsoft Sans Serif" w:cs="Microsoft Sans Serif"/>
          <w:sz w:val="20"/>
          <w:szCs w:val="20"/>
        </w:rPr>
        <w:t xml:space="preserve"> 18 godina u drugim indikacijama osim terapije VTE i sprječavanja recidiva VTE.</w:t>
      </w:r>
    </w:p>
    <w:p w14:paraId="684B0DB0">
      <w:pPr>
        <w:tabs>
          <w:tab w:val="clear" w:pos="284"/>
        </w:tabs>
        <w:rPr>
          <w:rFonts w:ascii="Microsoft Sans Serif" w:hAnsi="Microsoft Sans Serif" w:cs="Microsoft Sans Serif"/>
          <w:sz w:val="20"/>
          <w:szCs w:val="20"/>
        </w:rPr>
      </w:pPr>
    </w:p>
    <w:p w14:paraId="22590C7B">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Način primjene</w:t>
      </w:r>
    </w:p>
    <w:p w14:paraId="4D40819B">
      <w:pPr>
        <w:tabs>
          <w:tab w:val="clear" w:pos="284"/>
        </w:tabs>
        <w:rPr>
          <w:rFonts w:ascii="Microsoft Sans Serif" w:hAnsi="Microsoft Sans Serif" w:cs="Microsoft Sans Serif"/>
          <w:i/>
          <w:sz w:val="20"/>
          <w:szCs w:val="20"/>
          <w:u w:val="single"/>
        </w:rPr>
      </w:pPr>
      <w:r>
        <w:rPr>
          <w:rFonts w:ascii="Microsoft Sans Serif" w:hAnsi="Microsoft Sans Serif" w:cs="Microsoft Sans Serif"/>
          <w:i/>
          <w:sz w:val="20"/>
          <w:szCs w:val="20"/>
          <w:u w:val="single"/>
        </w:rPr>
        <w:t>Odrasli</w:t>
      </w:r>
    </w:p>
    <w:p w14:paraId="3EB8F69E">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Lijek Rufixalo </w:t>
      </w:r>
      <w:r>
        <w:rPr>
          <w:rFonts w:ascii="Microsoft Sans Serif" w:hAnsi="Microsoft Sans Serif" w:cs="Microsoft Sans Serif"/>
          <w:sz w:val="20"/>
          <w:szCs w:val="20"/>
          <w:lang w:val="sr-Cyrl-RS"/>
        </w:rPr>
        <w:t xml:space="preserve">je </w:t>
      </w:r>
      <w:r>
        <w:rPr>
          <w:rFonts w:ascii="Microsoft Sans Serif" w:hAnsi="Microsoft Sans Serif" w:cs="Microsoft Sans Serif"/>
          <w:sz w:val="20"/>
          <w:szCs w:val="20"/>
        </w:rPr>
        <w:t>namjenjen za oralnu upotrebu.</w:t>
      </w:r>
    </w:p>
    <w:p w14:paraId="58D9E709">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Tablete se uzimaj</w:t>
      </w:r>
      <w:r>
        <w:rPr>
          <w:rFonts w:ascii="Microsoft Sans Serif" w:hAnsi="Microsoft Sans Serif" w:cs="Microsoft Sans Serif"/>
          <w:sz w:val="20"/>
          <w:szCs w:val="20"/>
          <w:lang w:val="sr-Cyrl-RS"/>
        </w:rPr>
        <w:t>u</w:t>
      </w:r>
      <w:r>
        <w:rPr>
          <w:rFonts w:ascii="Microsoft Sans Serif" w:hAnsi="Microsoft Sans Serif" w:cs="Microsoft Sans Serif"/>
          <w:sz w:val="20"/>
          <w:szCs w:val="20"/>
        </w:rPr>
        <w:t xml:space="preserve"> uz obrok (pogledati dio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5.2).</w:t>
      </w:r>
    </w:p>
    <w:p w14:paraId="3A8123BB">
      <w:pPr>
        <w:tabs>
          <w:tab w:val="clear" w:pos="284"/>
        </w:tabs>
        <w:rPr>
          <w:rFonts w:ascii="Microsoft Sans Serif" w:hAnsi="Microsoft Sans Serif" w:cs="Microsoft Sans Serif"/>
          <w:sz w:val="20"/>
          <w:szCs w:val="20"/>
        </w:rPr>
      </w:pPr>
    </w:p>
    <w:p w14:paraId="07448026">
      <w:pPr>
        <w:ind w:right="188"/>
        <w:rPr>
          <w:u w:val="single"/>
        </w:rPr>
      </w:pPr>
      <w:r>
        <w:rPr>
          <w:rFonts w:ascii="Microsoft Sans Serif" w:hAnsi="Microsoft Sans Serif" w:cs="Microsoft Sans Serif"/>
          <w:sz w:val="20"/>
          <w:szCs w:val="20"/>
          <w:u w:val="single"/>
        </w:rPr>
        <w:t>Lomljenje tableta</w:t>
      </w:r>
      <w:r>
        <w:rPr>
          <w:u w:val="single"/>
        </w:rPr>
        <w:t xml:space="preserve"> </w:t>
      </w:r>
    </w:p>
    <w:p w14:paraId="69F4E2A8">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Kod pacijenata koji ne mogu da progutaju cijelu tabletu, tableta lijeka Rufixalo može da se usitni i pomiješa sa vodom ili kašom od jabuke, neposredno prije oralne primjene lijeka. Nakon primjene usitnjene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film tablete lijeka Rufixalo od 15 mg ili 20 mg, odmah treba uzeti obrok.</w:t>
      </w:r>
    </w:p>
    <w:p w14:paraId="72A8315A">
      <w:pPr>
        <w:tabs>
          <w:tab w:val="clear" w:pos="284"/>
        </w:tabs>
        <w:rPr>
          <w:rFonts w:ascii="Microsoft Sans Serif" w:hAnsi="Microsoft Sans Serif" w:cs="Microsoft Sans Serif"/>
          <w:sz w:val="20"/>
          <w:szCs w:val="20"/>
        </w:rPr>
      </w:pPr>
    </w:p>
    <w:p w14:paraId="397A403C">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Usitnjena tableta lijeka Rufixalo takođe može biti primjenjena kroz gastričnu sondu (pogledati dijelove 5.2 i 6.6).</w:t>
      </w:r>
      <w:bookmarkStart w:id="0" w:name="page29"/>
      <w:bookmarkEnd w:id="0"/>
    </w:p>
    <w:p w14:paraId="21FEFF10">
      <w:pPr>
        <w:ind w:right="128"/>
        <w:rPr>
          <w:i/>
        </w:rPr>
      </w:pPr>
    </w:p>
    <w:p w14:paraId="17BE95F4">
      <w:pPr>
        <w:ind w:right="128"/>
        <w:rPr>
          <w:rFonts w:ascii="Microsoft Sans Serif" w:hAnsi="Microsoft Sans Serif" w:cs="Microsoft Sans Serif"/>
          <w:i/>
          <w:sz w:val="20"/>
          <w:szCs w:val="20"/>
        </w:rPr>
      </w:pPr>
      <w:r>
        <w:rPr>
          <w:rFonts w:ascii="Microsoft Sans Serif" w:hAnsi="Microsoft Sans Serif" w:cs="Microsoft Sans Serif"/>
          <w:i/>
          <w:sz w:val="20"/>
          <w:szCs w:val="20"/>
        </w:rPr>
        <w:t>Djeca i adolescenti</w:t>
      </w:r>
    </w:p>
    <w:p w14:paraId="058B7D19">
      <w:pPr>
        <w:ind w:right="128"/>
        <w:rPr>
          <w:rFonts w:ascii="Microsoft Sans Serif" w:hAnsi="Microsoft Sans Serif" w:cs="Microsoft Sans Serif"/>
          <w:sz w:val="20"/>
          <w:szCs w:val="20"/>
        </w:rPr>
      </w:pPr>
      <w:r>
        <w:rPr>
          <w:rFonts w:ascii="Microsoft Sans Serif" w:hAnsi="Microsoft Sans Serif" w:cs="Microsoft Sans Serif"/>
          <w:sz w:val="20"/>
          <w:szCs w:val="20"/>
        </w:rPr>
        <w:t>Lijek Rufixalo je namijenjen za oralnu upotrebu.</w:t>
      </w:r>
    </w:p>
    <w:p w14:paraId="534AD82F">
      <w:pPr>
        <w:ind w:right="128"/>
        <w:rPr>
          <w:rFonts w:ascii="Microsoft Sans Serif" w:hAnsi="Microsoft Sans Serif" w:cs="Microsoft Sans Serif"/>
          <w:sz w:val="20"/>
          <w:szCs w:val="20"/>
        </w:rPr>
      </w:pPr>
      <w:r>
        <w:rPr>
          <w:rFonts w:ascii="Microsoft Sans Serif" w:hAnsi="Microsoft Sans Serif" w:cs="Microsoft Sans Serif"/>
          <w:sz w:val="20"/>
          <w:szCs w:val="20"/>
        </w:rPr>
        <w:t>Pacijentu treba savjetovati da tabletu proguta sa tečnošću. Takođe, treba ga uzimati sa hranom (pogledati dio 5.2). Tablete treba uzimati u razmaku od približno 24 sata.</w:t>
      </w:r>
    </w:p>
    <w:p w14:paraId="79547470">
      <w:pPr>
        <w:ind w:right="128"/>
        <w:rPr>
          <w:rFonts w:ascii="Microsoft Sans Serif" w:hAnsi="Microsoft Sans Serif" w:cs="Microsoft Sans Serif"/>
          <w:sz w:val="20"/>
          <w:szCs w:val="20"/>
        </w:rPr>
      </w:pPr>
    </w:p>
    <w:p w14:paraId="3803E612">
      <w:pPr>
        <w:ind w:right="128"/>
        <w:rPr>
          <w:rFonts w:ascii="Microsoft Sans Serif" w:hAnsi="Microsoft Sans Serif" w:cs="Microsoft Sans Serif"/>
          <w:sz w:val="20"/>
          <w:szCs w:val="20"/>
        </w:rPr>
      </w:pPr>
      <w:r>
        <w:rPr>
          <w:rFonts w:ascii="Microsoft Sans Serif" w:hAnsi="Microsoft Sans Serif" w:cs="Microsoft Sans Serif"/>
          <w:sz w:val="20"/>
          <w:szCs w:val="20"/>
        </w:rPr>
        <w:t>U slučaju da pacijent odmah ispljune dozu ili povrati u roku od 30 minuta nakon primjene doze, treba dati novu dozu. Međutim, ako pacijent povrati nakon više od 30 minuta od primjene doze, doza se ne smije ponovo primjenjivati, a sljedeću dozu lijeka treba uzimati prema rasporedu.</w:t>
      </w:r>
    </w:p>
    <w:p w14:paraId="089E2446">
      <w:pPr>
        <w:ind w:right="128"/>
        <w:rPr>
          <w:rFonts w:ascii="Microsoft Sans Serif" w:hAnsi="Microsoft Sans Serif" w:cs="Microsoft Sans Serif"/>
          <w:sz w:val="20"/>
          <w:szCs w:val="20"/>
        </w:rPr>
      </w:pPr>
    </w:p>
    <w:p w14:paraId="35E23BD7">
      <w:pPr>
        <w:ind w:right="128"/>
        <w:rPr>
          <w:rFonts w:ascii="Microsoft Sans Serif" w:hAnsi="Microsoft Sans Serif" w:cs="Microsoft Sans Serif"/>
          <w:i/>
          <w:sz w:val="20"/>
          <w:szCs w:val="20"/>
        </w:rPr>
      </w:pPr>
      <w:r>
        <w:rPr>
          <w:rFonts w:ascii="Microsoft Sans Serif" w:hAnsi="Microsoft Sans Serif" w:cs="Microsoft Sans Serif"/>
          <w:sz w:val="20"/>
          <w:szCs w:val="20"/>
        </w:rPr>
        <w:t>Tableta se ne smije lomiti u pokušaju da se obezbjedi dio doze.</w:t>
      </w:r>
    </w:p>
    <w:p w14:paraId="431E799A">
      <w:pPr>
        <w:ind w:right="128"/>
        <w:rPr>
          <w:rFonts w:ascii="Microsoft Sans Serif" w:hAnsi="Microsoft Sans Serif" w:cs="Microsoft Sans Serif"/>
          <w:i/>
          <w:sz w:val="20"/>
          <w:szCs w:val="20"/>
        </w:rPr>
      </w:pPr>
    </w:p>
    <w:p w14:paraId="032BE244">
      <w:pPr>
        <w:ind w:right="128"/>
        <w:rPr>
          <w:rFonts w:ascii="Microsoft Sans Serif" w:hAnsi="Microsoft Sans Serif" w:cs="Microsoft Sans Serif"/>
          <w:i/>
          <w:sz w:val="20"/>
          <w:szCs w:val="20"/>
        </w:rPr>
      </w:pPr>
      <w:r>
        <w:rPr>
          <w:rFonts w:ascii="Microsoft Sans Serif" w:hAnsi="Microsoft Sans Serif" w:cs="Microsoft Sans Serif"/>
          <w:i/>
          <w:sz w:val="20"/>
          <w:szCs w:val="20"/>
        </w:rPr>
        <w:t>Lomljenje tableta</w:t>
      </w:r>
    </w:p>
    <w:p w14:paraId="58EB6424">
      <w:pPr>
        <w:ind w:right="128"/>
        <w:rPr>
          <w:rFonts w:ascii="Microsoft Sans Serif" w:hAnsi="Microsoft Sans Serif" w:cs="Microsoft Sans Serif"/>
          <w:sz w:val="20"/>
          <w:szCs w:val="20"/>
        </w:rPr>
      </w:pPr>
      <w:r>
        <w:rPr>
          <w:rFonts w:ascii="Microsoft Sans Serif" w:hAnsi="Microsoft Sans Serif" w:cs="Microsoft Sans Serif"/>
          <w:sz w:val="20"/>
          <w:szCs w:val="20"/>
        </w:rPr>
        <w:t>Kada su propisane doze od 15 mg ili 20 mg rivaroksabana, to se može obezbjediti lomljenjem tablete od 15 mg ili 20 mg i miješanjem sa vodom ili pireom od jabuka neposredno prije oralne primjene. Izlomljena tableta se može dati kroz nazogastričnu ili želučanu sondu za hranjenje (pogledati dijelove 5.2 i 6.6).</w:t>
      </w:r>
    </w:p>
    <w:p w14:paraId="45B1ABAD">
      <w:pPr>
        <w:ind w:right="128"/>
      </w:pPr>
    </w:p>
    <w:p w14:paraId="34F1A4FF">
      <w:pPr>
        <w:rPr>
          <w:rFonts w:ascii="Microsoft Sans Serif" w:hAnsi="Microsoft Sans Serif" w:cs="Microsoft Sans Serif"/>
          <w:b/>
          <w:bCs/>
          <w:sz w:val="20"/>
          <w:szCs w:val="20"/>
        </w:rPr>
      </w:pPr>
      <w:r>
        <w:rPr>
          <w:rFonts w:ascii="Microsoft Sans Serif" w:hAnsi="Microsoft Sans Serif" w:cs="Microsoft Sans Serif"/>
          <w:b/>
          <w:bCs/>
          <w:sz w:val="20"/>
          <w:szCs w:val="20"/>
        </w:rPr>
        <w:t>4.3. Kontraindikacije</w:t>
      </w:r>
    </w:p>
    <w:p w14:paraId="35538D06">
      <w:pPr>
        <w:tabs>
          <w:tab w:val="clear" w:pos="284"/>
        </w:tabs>
        <w:rPr>
          <w:rFonts w:ascii="Microsoft Sans Serif" w:hAnsi="Microsoft Sans Serif" w:cs="Microsoft Sans Serif"/>
          <w:bCs/>
          <w:sz w:val="20"/>
          <w:szCs w:val="20"/>
        </w:rPr>
      </w:pPr>
    </w:p>
    <w:p w14:paraId="6155F678">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Preosjetljivost na aktivnu supstancu ili na bilo koju od pomoćnih supstanci navedenih u dijelu 6.1.</w:t>
      </w:r>
    </w:p>
    <w:p w14:paraId="39DD4AE3">
      <w:pPr>
        <w:tabs>
          <w:tab w:val="clear" w:pos="284"/>
        </w:tabs>
        <w:rPr>
          <w:rFonts w:ascii="Microsoft Sans Serif" w:hAnsi="Microsoft Sans Serif" w:cs="Microsoft Sans Serif"/>
          <w:bCs/>
          <w:sz w:val="20"/>
          <w:szCs w:val="20"/>
        </w:rPr>
      </w:pPr>
    </w:p>
    <w:p w14:paraId="798EB284">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Aktivno klinički značajno krvarenje.</w:t>
      </w:r>
    </w:p>
    <w:p w14:paraId="726359CD">
      <w:pPr>
        <w:tabs>
          <w:tab w:val="clear" w:pos="284"/>
        </w:tabs>
        <w:rPr>
          <w:rFonts w:ascii="Microsoft Sans Serif" w:hAnsi="Microsoft Sans Serif" w:cs="Microsoft Sans Serif"/>
          <w:bCs/>
          <w:sz w:val="20"/>
          <w:szCs w:val="20"/>
        </w:rPr>
      </w:pPr>
    </w:p>
    <w:p w14:paraId="68790462">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Lezije ili stanja sa značajnim rizikom za pojavu velikih krvarenja</w:t>
      </w:r>
      <w:r>
        <w:rPr>
          <w:rFonts w:ascii="Microsoft Sans Serif" w:hAnsi="Microsoft Sans Serif" w:cs="Microsoft Sans Serif"/>
          <w:bCs/>
          <w:sz w:val="20"/>
          <w:szCs w:val="20"/>
          <w:lang w:val="sr-Cyrl-RS"/>
        </w:rPr>
        <w:t>. Ovo može uklјučivati</w:t>
      </w:r>
      <w:r>
        <w:rPr>
          <w:rFonts w:ascii="Microsoft Sans Serif" w:hAnsi="Microsoft Sans Serif" w:cs="Microsoft Sans Serif"/>
          <w:bCs/>
          <w:sz w:val="20"/>
          <w:szCs w:val="20"/>
        </w:rPr>
        <w:t xml:space="preserve"> trenutne ili nedavne gastrointestinalne ulceracije, pristustvo malignih neoplazmi sa visokim rizikom za krvarenje, nedavna povreda mozga ili kičmene moždine, skorašnje hirurške intervencije na mozgu, kičmenoj moždini ili oftalmološke hirurške intervencije, nedavna intrakranijalna hemoragija, poznati ili potencijalni ezofagealni variksi, arterio-venske malformacije, aneurizme krvnih sudova ili intraspinalne, odnosno intracerebralne vaskularne anomalije.</w:t>
      </w:r>
    </w:p>
    <w:p w14:paraId="05AA07A2">
      <w:pPr>
        <w:tabs>
          <w:tab w:val="clear" w:pos="284"/>
        </w:tabs>
        <w:rPr>
          <w:rFonts w:ascii="Microsoft Sans Serif" w:hAnsi="Microsoft Sans Serif" w:cs="Microsoft Sans Serif"/>
          <w:bCs/>
          <w:sz w:val="20"/>
          <w:szCs w:val="20"/>
        </w:rPr>
      </w:pPr>
    </w:p>
    <w:p w14:paraId="66F39822">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 xml:space="preserve">Istovremena terapija sa nekim od antikoagulantnih lijekova, na primjer nefrakcionisanim heparinom, niskomolekularnim heparinima (enoksaparin, dalteparin, itd.), derivatima heparina (fondaparinuks, itd.), oralnim antikoagulansima (varfarin, dabigatran eteksilat, apiksaban itd.) osim u određenim uslovima promjene antikoagulantne terapije (pogledati dio 4.2) ili kada se nefrakcionisani heparin primjenjuje u dozama neophodnim za održavanje </w:t>
      </w:r>
      <w:r>
        <w:rPr>
          <w:rFonts w:ascii="Microsoft Sans Serif" w:hAnsi="Microsoft Sans Serif" w:cs="Microsoft Sans Serif"/>
          <w:bCs/>
          <w:sz w:val="20"/>
          <w:szCs w:val="20"/>
          <w:lang w:val="sr-Cyrl-RS"/>
        </w:rPr>
        <w:t xml:space="preserve">otvorenog </w:t>
      </w:r>
      <w:r>
        <w:rPr>
          <w:rFonts w:ascii="Microsoft Sans Serif" w:hAnsi="Microsoft Sans Serif" w:cs="Microsoft Sans Serif"/>
          <w:bCs/>
          <w:sz w:val="20"/>
          <w:szCs w:val="20"/>
        </w:rPr>
        <w:t>centralnog venskog ili arterijskog katetera (pogledati dio 4.5).</w:t>
      </w:r>
    </w:p>
    <w:p w14:paraId="2A2038BA">
      <w:pPr>
        <w:tabs>
          <w:tab w:val="clear" w:pos="284"/>
        </w:tabs>
        <w:rPr>
          <w:rFonts w:ascii="Microsoft Sans Serif" w:hAnsi="Microsoft Sans Serif" w:cs="Microsoft Sans Serif"/>
          <w:bCs/>
          <w:sz w:val="20"/>
          <w:szCs w:val="20"/>
        </w:rPr>
      </w:pPr>
    </w:p>
    <w:p w14:paraId="312D1262">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Bolest jetre udružena sa koagulopatijom i klinički značajnim rizikom od krvarenja uklјučujući pacijente sa cirozom sa Child Pugh B i C (pogledati dio 5.2).</w:t>
      </w:r>
    </w:p>
    <w:p w14:paraId="29271923">
      <w:pPr>
        <w:tabs>
          <w:tab w:val="clear" w:pos="284"/>
        </w:tabs>
        <w:rPr>
          <w:rFonts w:ascii="Microsoft Sans Serif" w:hAnsi="Microsoft Sans Serif" w:cs="Microsoft Sans Serif"/>
          <w:bCs/>
          <w:sz w:val="20"/>
          <w:szCs w:val="20"/>
        </w:rPr>
      </w:pPr>
    </w:p>
    <w:p w14:paraId="5BFC1DE4">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Trudnoća i dojenje (pogledati dio 4.6).</w:t>
      </w:r>
    </w:p>
    <w:p w14:paraId="7213AD49">
      <w:pPr>
        <w:rPr>
          <w:rFonts w:ascii="Microsoft Sans Serif" w:hAnsi="Microsoft Sans Serif" w:cs="Microsoft Sans Serif"/>
          <w:sz w:val="20"/>
          <w:szCs w:val="20"/>
        </w:rPr>
      </w:pPr>
    </w:p>
    <w:p w14:paraId="77EBB437">
      <w:pPr>
        <w:rPr>
          <w:rFonts w:ascii="Microsoft Sans Serif" w:hAnsi="Microsoft Sans Serif" w:cs="Microsoft Sans Serif"/>
          <w:b/>
          <w:bCs/>
          <w:sz w:val="20"/>
          <w:szCs w:val="20"/>
          <w:lang w:val="ru-RU"/>
        </w:rPr>
      </w:pPr>
      <w:r>
        <w:rPr>
          <w:rFonts w:ascii="Microsoft Sans Serif" w:hAnsi="Microsoft Sans Serif" w:cs="Microsoft Sans Serif"/>
          <w:b/>
          <w:bCs/>
          <w:sz w:val="20"/>
          <w:szCs w:val="20"/>
          <w:lang w:val="ru-RU"/>
        </w:rPr>
        <w:t>4.4. Posebna upozorenja i mjere opreza pri upotrebi lijeka</w:t>
      </w:r>
    </w:p>
    <w:p w14:paraId="286D94FF">
      <w:pPr>
        <w:tabs>
          <w:tab w:val="clear" w:pos="284"/>
        </w:tabs>
        <w:rPr>
          <w:rFonts w:ascii="Microsoft Sans Serif" w:hAnsi="Microsoft Sans Serif" w:cs="Microsoft Sans Serif"/>
          <w:sz w:val="20"/>
          <w:szCs w:val="20"/>
        </w:rPr>
      </w:pPr>
    </w:p>
    <w:p w14:paraId="0EF9CD96">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Klinički nadzor u sklopu antikoagulantne prakse se preporučuje tokom čitavog perioda terapije.</w:t>
      </w:r>
    </w:p>
    <w:p w14:paraId="2050A9E4">
      <w:pPr>
        <w:tabs>
          <w:tab w:val="clear" w:pos="284"/>
        </w:tabs>
        <w:rPr>
          <w:rFonts w:ascii="Microsoft Sans Serif" w:hAnsi="Microsoft Sans Serif" w:cs="Microsoft Sans Serif"/>
          <w:sz w:val="20"/>
          <w:szCs w:val="20"/>
        </w:rPr>
      </w:pPr>
    </w:p>
    <w:p w14:paraId="519264B9">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Rizik od krvarenja</w:t>
      </w:r>
    </w:p>
    <w:p w14:paraId="782EDF53">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Kao i pri terapiji drugim antikoagulansima, kod pacijenta koji koriste lijek Rufixalo treba pažlјivo pratiti znake krvarenja. Preporučuje se oprez prilikom primjene u stanjima sa povećanim rizikom od krvarenja.</w:t>
      </w:r>
    </w:p>
    <w:p w14:paraId="393A765A">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Primjenu lijeka Rufixalo treba prekinuti ako se pojavi ozbilјno krvarenje (pogledati dio 4.9).</w:t>
      </w:r>
    </w:p>
    <w:p w14:paraId="12DB36A3">
      <w:pPr>
        <w:tabs>
          <w:tab w:val="clear" w:pos="284"/>
        </w:tabs>
        <w:rPr>
          <w:rFonts w:ascii="Microsoft Sans Serif" w:hAnsi="Microsoft Sans Serif" w:cs="Microsoft Sans Serif"/>
          <w:sz w:val="20"/>
          <w:szCs w:val="20"/>
        </w:rPr>
      </w:pPr>
    </w:p>
    <w:p w14:paraId="7ECBB9D1">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U kliničkim ispitivanjima su se krvarenja sluzokože (tj. epistaksa, gingivalna, gastrointestinalna, genitourinarna uklјučujući neuobičajeno vaginalno ili pojačano menstrualno krvarenje) i anemija češće javlјali tokom dugotrajne terapije rivaroksabanom u poređenju sa </w:t>
      </w:r>
      <w:r>
        <w:rPr>
          <w:rFonts w:ascii="Microsoft Sans Serif" w:hAnsi="Microsoft Sans Serif" w:cs="Microsoft Sans Serif"/>
          <w:sz w:val="20"/>
          <w:szCs w:val="20"/>
          <w:lang w:val="sr-Cyrl-RS"/>
        </w:rPr>
        <w:t>terapijom antagonistima vitamina K</w:t>
      </w:r>
      <w:r>
        <w:rPr>
          <w:rFonts w:ascii="Microsoft Sans Serif" w:hAnsi="Microsoft Sans Serif" w:cs="Microsoft Sans Serif"/>
          <w:sz w:val="20"/>
          <w:szCs w:val="20"/>
        </w:rPr>
        <w:t>. Stoga bi pored adekvatnog kliničkog nadzora, laboratorijsko ispitivanje hemoglobina/hematokrita moglo imati značaja za otkrivanje okultnog krvarenja i procjenu kliničke relevantnosti vidlјivih krvarenja, kada se to procijeni odgovarajućim.</w:t>
      </w:r>
    </w:p>
    <w:p w14:paraId="68A48660">
      <w:pPr>
        <w:tabs>
          <w:tab w:val="clear" w:pos="284"/>
        </w:tabs>
        <w:rPr>
          <w:rFonts w:ascii="Microsoft Sans Serif" w:hAnsi="Microsoft Sans Serif" w:cs="Microsoft Sans Serif"/>
          <w:sz w:val="20"/>
          <w:szCs w:val="20"/>
        </w:rPr>
      </w:pPr>
    </w:p>
    <w:p w14:paraId="0AC41008">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Kako je detalјnije prikazano u nastavku teksta, više podgrupa pacijenata ima povećan rizik za pojavu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krvarenja. Ove pacijente treba pažlјivo pratiti u slučaju da se pojave znaci i simptomi komplikacija krvarenja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 anemije nakon započinjanja terapije (pogledati dio 4.8).</w:t>
      </w:r>
    </w:p>
    <w:p w14:paraId="1EA7BFC0">
      <w:pPr>
        <w:tabs>
          <w:tab w:val="clear" w:pos="284"/>
        </w:tabs>
        <w:rPr>
          <w:rFonts w:ascii="Microsoft Sans Serif" w:hAnsi="Microsoft Sans Serif" w:cs="Microsoft Sans Serif"/>
          <w:sz w:val="20"/>
          <w:szCs w:val="20"/>
        </w:rPr>
      </w:pPr>
    </w:p>
    <w:p w14:paraId="2473EF1C">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Pri svakom neobjašnjivom smanjenju vrijednosti hemoglobina 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krvnog pritiska potrebno je potražiti mjesto krvarenja.</w:t>
      </w:r>
    </w:p>
    <w:p w14:paraId="0EA8CE28">
      <w:pPr>
        <w:tabs>
          <w:tab w:val="clear" w:pos="284"/>
        </w:tabs>
        <w:rPr>
          <w:rFonts w:ascii="Microsoft Sans Serif" w:hAnsi="Microsoft Sans Serif" w:cs="Microsoft Sans Serif"/>
          <w:sz w:val="20"/>
          <w:szCs w:val="20"/>
        </w:rPr>
      </w:pPr>
    </w:p>
    <w:p w14:paraId="7CF984DB">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Iako liječenje rivaroksabanom ne zahtjeva rutinsko praćenje izloženosti lijeku, određivanje koncentracije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rivaroksabana kalibrisanim kvantitativnim anti-faktor Xa testom može biti korisno u izuzetnim situacijama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gdje poznavanje izloženosti rivaroksabanu može pomoći kao informacija u kliničkim odlukama, npr. prilikom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predoziranja ili hitne hirurške intervencije (pogledati dijelove 5.1 i 5.2).</w:t>
      </w:r>
    </w:p>
    <w:p w14:paraId="0B6ACBD5">
      <w:pPr>
        <w:tabs>
          <w:tab w:val="clear" w:pos="284"/>
        </w:tabs>
        <w:rPr>
          <w:rFonts w:ascii="Microsoft Sans Serif" w:hAnsi="Microsoft Sans Serif" w:cs="Microsoft Sans Serif"/>
          <w:sz w:val="20"/>
          <w:szCs w:val="20"/>
        </w:rPr>
      </w:pPr>
    </w:p>
    <w:p w14:paraId="67DC8B41">
      <w:pPr>
        <w:rPr>
          <w:rFonts w:ascii="Microsoft Sans Serif" w:hAnsi="Microsoft Sans Serif" w:cs="Microsoft Sans Serif"/>
          <w:i/>
          <w:sz w:val="20"/>
          <w:szCs w:val="20"/>
        </w:rPr>
      </w:pPr>
      <w:r>
        <w:rPr>
          <w:rFonts w:ascii="Microsoft Sans Serif" w:hAnsi="Microsoft Sans Serif" w:cs="Microsoft Sans Serif"/>
          <w:i/>
          <w:sz w:val="20"/>
          <w:szCs w:val="20"/>
        </w:rPr>
        <w:t>Pedijatrijska populacija</w:t>
      </w:r>
    </w:p>
    <w:p w14:paraId="12D72358">
      <w:pPr>
        <w:rPr>
          <w:i/>
        </w:rPr>
      </w:pPr>
      <w:r>
        <w:rPr>
          <w:rFonts w:ascii="Microsoft Sans Serif" w:hAnsi="Microsoft Sans Serif" w:cs="Microsoft Sans Serif"/>
          <w:sz w:val="20"/>
          <w:szCs w:val="20"/>
        </w:rPr>
        <w:t>Podaci o trombozi cerebralne vene i sinusne tromboze kod djeca koja imaju infekciju CNS su ograničeni (pogledati dio 5.1). Rizik od krvarenja treba pažljivo procijeniti prije i tokom terapije rivaroksabanom</w:t>
      </w:r>
      <w:r>
        <w:rPr>
          <w:rFonts w:ascii="Microsoft Sans Serif" w:hAnsi="Microsoft Sans Serif" w:cs="Microsoft Sans Serif"/>
          <w:i/>
          <w:sz w:val="20"/>
          <w:szCs w:val="20"/>
        </w:rPr>
        <w:t>.</w:t>
      </w:r>
    </w:p>
    <w:p w14:paraId="28A1D0D6">
      <w:pPr>
        <w:tabs>
          <w:tab w:val="clear" w:pos="284"/>
        </w:tabs>
        <w:rPr>
          <w:rFonts w:ascii="Microsoft Sans Serif" w:hAnsi="Microsoft Sans Serif" w:cs="Microsoft Sans Serif"/>
          <w:sz w:val="20"/>
          <w:szCs w:val="20"/>
          <w:u w:val="single"/>
        </w:rPr>
      </w:pPr>
    </w:p>
    <w:p w14:paraId="62D55CC9">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Oštećenje funkcije bubrega</w:t>
      </w:r>
    </w:p>
    <w:p w14:paraId="2E5569F5">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Kod pacijenata sa teškim oštećenjem funkcije bubrega (klirens kreatinina &lt; 30 ml/min) koncentracije rivaroksabana u plazmi mogu biti značajno povećane (u prosjeku 1,6 puta) što može dovesti do povećanog rizika od krvarenja. Lijek Rufixalo treba oprezno primjenjivati kod pacijenata sa klirensom kreatinina 15-29 ml/min. Primjena ovog lijeka se ne preporučuje kod pacijenata sa klirensom kreatinina &lt; 15 ml/min (pogledati dijelove 4.2 i 5.2).</w:t>
      </w:r>
    </w:p>
    <w:p w14:paraId="1DCE94CD">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Lijek Rufixalo treba koristiti uz oprez kod pacijenata sa oštećenom funkcijom bubrega koji istovremeno primaju druge lijekove koji povećavaju koncentraciju rivaroksabana u plazmi (pogledati dio 4.5).</w:t>
      </w:r>
    </w:p>
    <w:p w14:paraId="192F4A2D">
      <w:pPr>
        <w:ind w:left="2" w:right="220"/>
      </w:pPr>
      <w:r>
        <w:rPr>
          <w:rFonts w:ascii="Microsoft Sans Serif" w:hAnsi="Microsoft Sans Serif" w:cs="Microsoft Sans Serif"/>
          <w:sz w:val="20"/>
          <w:szCs w:val="20"/>
        </w:rPr>
        <w:t>Lijek Rufixalo se ne preporučuje kod djece i adolescenata sa umjerenim ili teškim oštećenjem funkcije bubrega (stopa glomerularne filtracije &lt;50 ml/min/1,73 m</w:t>
      </w:r>
      <w:r>
        <w:rPr>
          <w:rFonts w:ascii="Microsoft Sans Serif" w:hAnsi="Microsoft Sans Serif" w:cs="Microsoft Sans Serif"/>
          <w:sz w:val="20"/>
          <w:szCs w:val="20"/>
          <w:vertAlign w:val="superscript"/>
        </w:rPr>
        <w:t>2</w:t>
      </w:r>
      <w:r>
        <w:rPr>
          <w:rFonts w:ascii="Microsoft Sans Serif" w:hAnsi="Microsoft Sans Serif" w:cs="Microsoft Sans Serif"/>
          <w:sz w:val="20"/>
          <w:szCs w:val="20"/>
        </w:rPr>
        <w:t>), jer nisu dostupni klinički podaci.</w:t>
      </w:r>
    </w:p>
    <w:p w14:paraId="463D61AF">
      <w:pPr>
        <w:tabs>
          <w:tab w:val="clear" w:pos="284"/>
        </w:tabs>
        <w:rPr>
          <w:rFonts w:ascii="Microsoft Sans Serif" w:hAnsi="Microsoft Sans Serif" w:cs="Microsoft Sans Serif"/>
          <w:sz w:val="20"/>
          <w:szCs w:val="20"/>
        </w:rPr>
      </w:pPr>
    </w:p>
    <w:p w14:paraId="3BD95F66">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Interakcija sa drugim lijekovima</w:t>
      </w:r>
    </w:p>
    <w:p w14:paraId="1D2DAA51">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Primjena lijeka Rufixalo se ne preporučuje kod pacijenata koji istovremeno primaju azolne antimikotike za sistemsku primjenu (poput ketokonazola, itrakonazola, vorikonazola i posakonazola) ili inhibitore HIV proteaze (npr. ritonavir). Ove aktivne supstance snažno inhibiraju i CYP3A4 i P-gp, te stoga mogu klinički značajno povećati koncentracije rivaroksabana u plazmi (u prosjeku 2,6 puta) što može dovesti do povećanog rizika od pojave krvarenja (pogledati dio 4.5).</w:t>
      </w:r>
    </w:p>
    <w:p w14:paraId="7BEBAC3B">
      <w:pPr>
        <w:tabs>
          <w:tab w:val="clear" w:pos="284"/>
        </w:tabs>
        <w:rPr>
          <w:rFonts w:ascii="Microsoft Sans Serif" w:hAnsi="Microsoft Sans Serif" w:cs="Microsoft Sans Serif"/>
          <w:sz w:val="20"/>
          <w:szCs w:val="20"/>
        </w:rPr>
      </w:pPr>
    </w:p>
    <w:p w14:paraId="1B3B463A">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Neophodan je oprez ukoliko su pacijenti istovremeno na terapiji lijekovima koji utiču na hemostazu, poput nesteroidnih antiinflamatornih lijekova (NSAIL), acetilsalicilne kiseline i inhibitora agregacije trombocita ili selektivnih inhibitora ponovnog preuzimanja serotonina (SSRI) i selektivnih inhibitora ponovnog preuzimanja </w:t>
      </w:r>
      <w:r>
        <w:rPr>
          <w:rFonts w:ascii="Microsoft Sans Serif" w:hAnsi="Microsoft Sans Serif" w:cs="Microsoft Sans Serif"/>
          <w:sz w:val="20"/>
          <w:szCs w:val="20"/>
          <w:lang w:val="sr-Cyrl-RS"/>
        </w:rPr>
        <w:t xml:space="preserve">serotonina i </w:t>
      </w:r>
      <w:r>
        <w:rPr>
          <w:rFonts w:ascii="Microsoft Sans Serif" w:hAnsi="Microsoft Sans Serif" w:cs="Microsoft Sans Serif"/>
          <w:sz w:val="20"/>
          <w:szCs w:val="20"/>
        </w:rPr>
        <w:t>norepinefrina (SNRI). Kod pacijenata sa rizikom za nastanak gastrointestinalnih ulceracija potrebno je razmotriti uvođenje odgovarajuće profilaktičke terapije (pogledati dio 4.5).</w:t>
      </w:r>
    </w:p>
    <w:p w14:paraId="4C01DD09">
      <w:pPr>
        <w:tabs>
          <w:tab w:val="clear" w:pos="284"/>
        </w:tabs>
        <w:rPr>
          <w:rFonts w:ascii="Microsoft Sans Serif" w:hAnsi="Microsoft Sans Serif" w:cs="Microsoft Sans Serif"/>
          <w:sz w:val="20"/>
          <w:szCs w:val="20"/>
        </w:rPr>
      </w:pPr>
    </w:p>
    <w:p w14:paraId="7E89846C">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Ostali faktori rizika za pojavu krvarenja</w:t>
      </w:r>
    </w:p>
    <w:p w14:paraId="7CAA217C">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Kao i drugi antitrombotici, rivaroksaban se ne preporučuje pacijenatima koji imaju povećan rizik od krvarenja kao što su:</w:t>
      </w:r>
    </w:p>
    <w:p w14:paraId="25D394CC">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kongenitalni ili stečeni poremećaji krvarenja;</w:t>
      </w:r>
    </w:p>
    <w:p w14:paraId="41002E9A">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teška nekontrolisana arterijska hipertenzija;</w:t>
      </w:r>
    </w:p>
    <w:p w14:paraId="3F089147">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druge gastrointestinalne bolesti bez aktivne ulceracije koje potencijalno mogu da dovedu do</w:t>
      </w:r>
    </w:p>
    <w:p w14:paraId="46BA27A3">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komplikacija krvarenja (npr. zapalјenska bolest creva, ezofagitis, gastritis i gastroezofagealni refluks);</w:t>
      </w:r>
    </w:p>
    <w:p w14:paraId="6E8F5FB2">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vaskularna retinopatija;</w:t>
      </w:r>
    </w:p>
    <w:p w14:paraId="0D571472">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bronhiektazije ili prethodno pulmonarno krvarenje.</w:t>
      </w:r>
    </w:p>
    <w:p w14:paraId="60B818BA">
      <w:pPr>
        <w:tabs>
          <w:tab w:val="clear" w:pos="284"/>
        </w:tabs>
        <w:contextualSpacing/>
        <w:rPr>
          <w:rFonts w:ascii="Microsoft Sans Serif" w:hAnsi="Microsoft Sans Serif" w:cs="Microsoft Sans Serif"/>
          <w:sz w:val="20"/>
          <w:szCs w:val="20"/>
          <w:u w:val="single"/>
        </w:rPr>
      </w:pPr>
    </w:p>
    <w:p w14:paraId="11998412">
      <w:pPr>
        <w:tabs>
          <w:tab w:val="left" w:pos="562"/>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Pacijenti sa vještačkim zaliscima</w:t>
      </w:r>
    </w:p>
    <w:p w14:paraId="496C5A9D">
      <w:pPr>
        <w:tabs>
          <w:tab w:val="left" w:pos="562"/>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Rivaroksaban se ne smije primjenjivati za tromboprofilaksu kod pacijenata koji su nedavno podvrgnuti transkateterskoj zamjeni aortnog zaliska (engl. </w:t>
      </w:r>
      <w:r>
        <w:rPr>
          <w:rFonts w:ascii="Microsoft Sans Serif" w:hAnsi="Microsoft Sans Serif" w:cs="Microsoft Sans Serif"/>
          <w:i/>
          <w:sz w:val="20"/>
          <w:szCs w:val="20"/>
        </w:rPr>
        <w:t>transcatheter aortic valve replacement</w:t>
      </w:r>
      <w:r>
        <w:rPr>
          <w:rFonts w:ascii="Microsoft Sans Serif" w:hAnsi="Microsoft Sans Serif" w:cs="Microsoft Sans Serif"/>
          <w:sz w:val="20"/>
          <w:szCs w:val="20"/>
        </w:rPr>
        <w:t>, TAVR). Bezbjednost i efikasnost rivaroksabana nije ispitivana kod pacijenata sa vještačkim srčanim zaliscima; stoga nema podataka koji bi potvrdili da rivaroksaban obezbjeđuje adekvatnu antikoagulaciju u ovoj populaciji pacijenata. Terapija lijekom Rufixalo se ne preporučuje kod ovih pacijenata.</w:t>
      </w:r>
    </w:p>
    <w:p w14:paraId="5CDD1C17">
      <w:pPr>
        <w:tabs>
          <w:tab w:val="left" w:pos="562"/>
          <w:tab w:val="clear" w:pos="284"/>
        </w:tabs>
        <w:rPr>
          <w:rFonts w:ascii="Microsoft Sans Serif" w:hAnsi="Microsoft Sans Serif" w:cs="Microsoft Sans Serif"/>
          <w:sz w:val="20"/>
          <w:szCs w:val="20"/>
        </w:rPr>
      </w:pPr>
    </w:p>
    <w:p w14:paraId="298B7D24">
      <w:pPr>
        <w:tabs>
          <w:tab w:val="left" w:pos="562"/>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Pacijenti sa antifosfolipidnim sindromom</w:t>
      </w:r>
    </w:p>
    <w:p w14:paraId="674C9F4C">
      <w:pPr>
        <w:tabs>
          <w:tab w:val="left" w:pos="562"/>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Direktno djelujući oralni antikoagulansi (engl. </w:t>
      </w:r>
      <w:r>
        <w:rPr>
          <w:rFonts w:ascii="Microsoft Sans Serif" w:hAnsi="Microsoft Sans Serif" w:cs="Microsoft Sans Serif"/>
          <w:i/>
          <w:sz w:val="20"/>
          <w:szCs w:val="20"/>
        </w:rPr>
        <w:t>direct acting oral anticoagulants</w:t>
      </w:r>
      <w:r>
        <w:rPr>
          <w:rFonts w:ascii="Microsoft Sans Serif" w:hAnsi="Microsoft Sans Serif" w:cs="Microsoft Sans Serif"/>
          <w:sz w:val="20"/>
          <w:szCs w:val="20"/>
        </w:rPr>
        <w:t>, DOAC), uklјučujući rivaroksaban, ne preporučuju se pacijentima koji u anamnezi imaju trombozu, a dijagnostikovan im je antifosfolipidni sindrom. Posebno se ne preporučuju kod pacijenata koji su trostruko pozitivni (na lupus antikoagulans, antikardiolipinska antitijela i anti-beta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2-glikoprotein-I antitijela), kod kojih bi liječenje direktno djelujućim oralnim antikoagulansima moglo biti povezano s</w:t>
      </w:r>
      <w:r>
        <w:rPr>
          <w:rFonts w:ascii="Microsoft Sans Serif" w:hAnsi="Microsoft Sans Serif" w:cs="Microsoft Sans Serif"/>
          <w:sz w:val="20"/>
          <w:szCs w:val="20"/>
          <w:lang w:val="sr-Cyrl-RS"/>
        </w:rPr>
        <w:t>a</w:t>
      </w:r>
      <w:r>
        <w:rPr>
          <w:rFonts w:ascii="Microsoft Sans Serif" w:hAnsi="Microsoft Sans Serif" w:cs="Microsoft Sans Serif"/>
          <w:sz w:val="20"/>
          <w:szCs w:val="20"/>
        </w:rPr>
        <w:t xml:space="preserve"> povećanom stopom rekurentnih trombotskih događaja u poređenju sa terapijom antagonistima vitamina K.</w:t>
      </w:r>
    </w:p>
    <w:p w14:paraId="018822EB">
      <w:pPr>
        <w:tabs>
          <w:tab w:val="left" w:pos="562"/>
          <w:tab w:val="clear" w:pos="284"/>
        </w:tabs>
        <w:rPr>
          <w:rFonts w:ascii="Microsoft Sans Serif" w:hAnsi="Microsoft Sans Serif" w:cs="Microsoft Sans Serif"/>
          <w:sz w:val="20"/>
          <w:szCs w:val="20"/>
        </w:rPr>
      </w:pPr>
    </w:p>
    <w:p w14:paraId="5EB051F5">
      <w:pPr>
        <w:tabs>
          <w:tab w:val="left" w:pos="562"/>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Pacijenti sa nevalvularnom atrijalnom fibrilacijom koji su podvrgnuti PCI-u sa ugradnjom stenta</w:t>
      </w:r>
    </w:p>
    <w:p w14:paraId="2D4513E0">
      <w:pPr>
        <w:tabs>
          <w:tab w:val="left" w:pos="562"/>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Dostupni su klinički podaci iz intervencijske studije čiji je primarni cilј bio procjena bezbjednosti kod pacijenata sa nevalvularnom atrijalnom fibrilacijom koji su podvrgnuti PCI-u sa ugradnjom stenta. Podaci o efikasnosti kod ove populacije su ograničeni (pogledati dijelove 4.2 i 5.1). Nema dostupnih podataka za ovakve pacijente, koji imaju moždani udar/tranzitorni ishemijski udar (engl. </w:t>
      </w:r>
      <w:r>
        <w:rPr>
          <w:rFonts w:ascii="Microsoft Sans Serif" w:hAnsi="Microsoft Sans Serif" w:cs="Microsoft Sans Serif"/>
          <w:i/>
          <w:sz w:val="20"/>
          <w:szCs w:val="20"/>
        </w:rPr>
        <w:t>transient ischaemic attack,</w:t>
      </w:r>
      <w:r>
        <w:rPr>
          <w:rFonts w:ascii="Microsoft Sans Serif" w:hAnsi="Microsoft Sans Serif" w:cs="Microsoft Sans Serif"/>
          <w:sz w:val="20"/>
          <w:szCs w:val="20"/>
        </w:rPr>
        <w:t xml:space="preserve"> TIA) u anamnezi.</w:t>
      </w:r>
    </w:p>
    <w:p w14:paraId="4E183E95">
      <w:pPr>
        <w:tabs>
          <w:tab w:val="clear" w:pos="284"/>
        </w:tabs>
        <w:rPr>
          <w:rFonts w:ascii="Microsoft Sans Serif" w:hAnsi="Microsoft Sans Serif" w:cs="Microsoft Sans Serif"/>
          <w:sz w:val="20"/>
          <w:szCs w:val="20"/>
        </w:rPr>
      </w:pPr>
    </w:p>
    <w:p w14:paraId="1325BB8A">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Hemodinamski nestabilni pacijenti sa plućnom embolijom ili pacijenti kojima su potrebne tromboliza ili</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rPr>
        <w:t>plućna embolektomija</w:t>
      </w:r>
    </w:p>
    <w:p w14:paraId="299855B5">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Lijek Rufixalo se ne preporučuje kao alternativa nefrakcioni</w:t>
      </w:r>
      <w:r>
        <w:rPr>
          <w:rFonts w:ascii="Microsoft Sans Serif" w:hAnsi="Microsoft Sans Serif" w:cs="Microsoft Sans Serif"/>
          <w:sz w:val="20"/>
          <w:szCs w:val="20"/>
          <w:lang w:val="sr-Cyrl-RS"/>
        </w:rPr>
        <w:t>s</w:t>
      </w:r>
      <w:r>
        <w:rPr>
          <w:rFonts w:ascii="Microsoft Sans Serif" w:hAnsi="Microsoft Sans Serif" w:cs="Microsoft Sans Serif"/>
          <w:sz w:val="20"/>
          <w:szCs w:val="20"/>
        </w:rPr>
        <w:t>anom heparinu kod pacijenata sa plućnom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embolijom koji su hemodinamski nestabilni ili bi mogli dobiti trombolizu ili plućnu embolektomiju jer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efikasnost i bezbjednost rivaroksabana u tim kliničkim situacijama nisu potvrđene.</w:t>
      </w:r>
    </w:p>
    <w:p w14:paraId="541CB98C">
      <w:pPr>
        <w:tabs>
          <w:tab w:val="clear" w:pos="284"/>
        </w:tabs>
        <w:rPr>
          <w:rFonts w:ascii="Microsoft Sans Serif" w:hAnsi="Microsoft Sans Serif" w:cs="Microsoft Sans Serif"/>
          <w:sz w:val="20"/>
          <w:szCs w:val="20"/>
        </w:rPr>
      </w:pPr>
    </w:p>
    <w:p w14:paraId="6D0723EC">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u w:val="single"/>
        </w:rPr>
        <w:t>Spinalna/epiduralna anestezija ili punkcija</w:t>
      </w:r>
    </w:p>
    <w:p w14:paraId="45F9FC6F">
      <w:pPr>
        <w:tabs>
          <w:tab w:val="clear" w:pos="284"/>
        </w:tabs>
        <w:rPr>
          <w:rFonts w:ascii="Microsoft Sans Serif" w:hAnsi="Microsoft Sans Serif" w:cs="Microsoft Sans Serif"/>
          <w:sz w:val="20"/>
          <w:szCs w:val="20"/>
          <w:lang w:val="sr-Latn-RS"/>
        </w:rPr>
      </w:pPr>
      <w:r>
        <w:rPr>
          <w:rFonts w:ascii="Microsoft Sans Serif" w:hAnsi="Microsoft Sans Serif" w:cs="Microsoft Sans Serif"/>
          <w:sz w:val="20"/>
          <w:szCs w:val="20"/>
        </w:rPr>
        <w:t xml:space="preserve">Kada se izvodi neuroaksijalna anestezija (spinalna/epiduralna anestezija) ili spinalna/epiduralna punkcija, pacijenti na terapiji antitromboticima u cilјu prevencije tromboembolijskih komplikacija su pod rizikom od stvaranja epiduralnog ili spinalnog hematoma koji može dovesti do dugotrajne ili permanentne paralize. Rizik od ovih događaja može se povećati kod postoperativne primjene stalnih epiduralnih katetera ili istovremene primjene lijekova koji utiču na hemostazu. Rizik se takođe može povećati zbog traumatske ili ponavlјane epiduralne, ili spinalne punkcije. Kod ovih pacijenata treba često kontrolisati pojavu znakova i simptoma neuroloških oštećenja (npr. utrnulost ili slabost nogu, odnosno poremećaji funkcije crijeva ili bešike). Ukoliko se primjeti neurološki poremećaj, neophodno je hitno postaviti dijagnozu i sprovesti terapiju. Prije neuraksijalne intervencije ljekar treba da razmotri odnos koristi i rizika kod pacijenata koji primaju antikoagulanse, odnosno pacijenata koji će primati antikoagulanse u cilјu tromboprofilakse. </w:t>
      </w:r>
      <w:r>
        <w:rPr>
          <w:rFonts w:ascii="Microsoft Sans Serif" w:hAnsi="Microsoft Sans Serif" w:cs="Microsoft Sans Serif"/>
          <w:sz w:val="20"/>
          <w:szCs w:val="20"/>
          <w:lang w:val="sr-Cyrl-RS"/>
        </w:rPr>
        <w:t xml:space="preserve">Nema kliničkog iskustva o upotrebi ravaroksabana u dozi od 15 </w:t>
      </w:r>
      <w:r>
        <w:rPr>
          <w:rFonts w:ascii="Microsoft Sans Serif" w:hAnsi="Microsoft Sans Serif" w:cs="Microsoft Sans Serif"/>
          <w:sz w:val="20"/>
          <w:szCs w:val="20"/>
          <w:lang w:val="sr-Latn-RS"/>
        </w:rPr>
        <w:t xml:space="preserve">mg </w:t>
      </w:r>
      <w:r>
        <w:rPr>
          <w:rFonts w:ascii="Microsoft Sans Serif" w:hAnsi="Microsoft Sans Serif" w:cs="Microsoft Sans Serif"/>
          <w:sz w:val="20"/>
          <w:szCs w:val="20"/>
          <w:lang w:val="sr-Cyrl-RS"/>
        </w:rPr>
        <w:t>u ovim situacijama</w:t>
      </w:r>
      <w:r>
        <w:rPr>
          <w:rFonts w:ascii="Microsoft Sans Serif" w:hAnsi="Microsoft Sans Serif" w:cs="Microsoft Sans Serif"/>
          <w:sz w:val="20"/>
          <w:szCs w:val="20"/>
          <w:lang w:val="sr-Latn-RS"/>
        </w:rPr>
        <w:t>.</w:t>
      </w:r>
    </w:p>
    <w:p w14:paraId="22561727">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rPr>
        <w:t xml:space="preserve">U cilјu smanjenja potencijalnog rizika od krvarenja povezanog sa istovremenom primjenom rivaroksabana i neuraksijalne (epiduralna/spinalna) anestezije ili spinalne punkcije, treba razmotriti farmakokinetički profil rivaroksabana. Postavlјanje ili uklanjanje epiduralnog katetera ili lumbalnu punkciju je najbolјe uraditi kada se procijeni da je antikoagulantni efekat rivaroksabana slab. </w:t>
      </w:r>
      <w:r>
        <w:rPr>
          <w:rFonts w:ascii="Microsoft Sans Serif" w:hAnsi="Microsoft Sans Serif" w:cs="Microsoft Sans Serif"/>
          <w:sz w:val="20"/>
          <w:szCs w:val="20"/>
          <w:lang w:val="sr-Cyrl-RS"/>
        </w:rPr>
        <w:t>Međutim, tačno vr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eme kada se postiže dovolјno mali antikoagulantni efekat, kod svakog pacijenta pojedinačno, nije poznat.</w:t>
      </w:r>
    </w:p>
    <w:p w14:paraId="5BC2EB10">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Bazirano na farmakokinetičkim karakteristikama, od posljednje primjene rivaroksabana do vađenja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epiduralnog katetera, mora proći najmanje dvostruko poluvrijeme eliminacije rivaroksabana, odnosno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kod mlađih pacijenata najmanje 18 sati, a kod starijih pacijenata najmanje 26 sati (pogledati dio 5.2). Nakon vađenja katetera, mora proći najmanje 6 sati prije primjene sljedeće doze rivaroksabana.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Dogodi li se traumatska punkcija, primjena rivaroksabana mora se odložiti za 24 sata.</w:t>
      </w:r>
    </w:p>
    <w:p w14:paraId="4B7B9300">
      <w:pPr>
        <w:ind w:right="-8"/>
        <w:rPr>
          <w:rFonts w:ascii="Microsoft Sans Serif" w:hAnsi="Microsoft Sans Serif" w:cs="Microsoft Sans Serif"/>
          <w:sz w:val="20"/>
          <w:szCs w:val="20"/>
        </w:rPr>
      </w:pPr>
      <w:r>
        <w:rPr>
          <w:rFonts w:ascii="Microsoft Sans Serif" w:hAnsi="Microsoft Sans Serif" w:cs="Microsoft Sans Serif"/>
          <w:sz w:val="20"/>
          <w:szCs w:val="20"/>
        </w:rPr>
        <w:t xml:space="preserve">Nisu dostupni podaci o </w:t>
      </w:r>
      <w:r>
        <w:rPr>
          <w:rFonts w:ascii="Microsoft Sans Serif" w:hAnsi="Microsoft Sans Serif" w:cs="Microsoft Sans Serif"/>
          <w:sz w:val="20"/>
          <w:szCs w:val="20"/>
          <w:lang w:val="hr-BA"/>
        </w:rPr>
        <w:t>vremenu</w:t>
      </w:r>
      <w:r>
        <w:rPr>
          <w:rFonts w:ascii="Microsoft Sans Serif" w:hAnsi="Microsoft Sans Serif" w:cs="Microsoft Sans Serif"/>
          <w:sz w:val="20"/>
          <w:szCs w:val="20"/>
        </w:rPr>
        <w:t xml:space="preserve"> postavljanja ili uklanjanja neuraksijalnog katetera kod djece dok su uzimali rivaroksaban. U takvim slučajevima, prekinite upotrebu rivaroksabana i razmotrite primjenu kratkodjelujućeg parenteralnog antikoagulansa</w:t>
      </w:r>
      <w:r>
        <w:t>.</w:t>
      </w:r>
    </w:p>
    <w:p w14:paraId="7E78DCF8">
      <w:pPr>
        <w:tabs>
          <w:tab w:val="clear" w:pos="284"/>
        </w:tabs>
        <w:rPr>
          <w:rFonts w:ascii="Microsoft Sans Serif" w:hAnsi="Microsoft Sans Serif" w:cs="Microsoft Sans Serif"/>
          <w:sz w:val="20"/>
          <w:szCs w:val="20"/>
        </w:rPr>
      </w:pPr>
    </w:p>
    <w:p w14:paraId="7DC220C8">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 xml:space="preserve">Preporuke za doziranje prije i nakon invazivnih procedura i hirurške intervencije </w:t>
      </w:r>
    </w:p>
    <w:p w14:paraId="1B70A141">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Ukoliko je potrebno sprovesti invazivnu proceduru ili hiruršku intervenciju, terapiju lijekom Rufixalo 15 mg, ako je moguće, treba prekinuti najmanje 24 sata prije intervencije, što mora biti zasnovano na kliničkoj procjeni ljekara. </w:t>
      </w:r>
    </w:p>
    <w:p w14:paraId="4AE6F32F">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Ako se procedura ne može odložiti, treba procijeniti povećani rizik pojave krvarenja u odnosu na hitnost intervencije.</w:t>
      </w:r>
    </w:p>
    <w:p w14:paraId="190C313C">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Terapiju lijekom Rufixalo treba ponovo započeti što prije nakon invazivne procedure ili hirurške intervencije pod uslovom da to klinička situacija dopušta i da je uspostavlјena adekvatna hemostaza, koja je potvrđena od strane ljekara (pogledati dio 5.2).</w:t>
      </w:r>
    </w:p>
    <w:p w14:paraId="03C99880">
      <w:pPr>
        <w:tabs>
          <w:tab w:val="clear" w:pos="284"/>
        </w:tabs>
        <w:rPr>
          <w:rFonts w:ascii="Microsoft Sans Serif" w:hAnsi="Microsoft Sans Serif" w:cs="Microsoft Sans Serif"/>
          <w:sz w:val="20"/>
          <w:szCs w:val="20"/>
        </w:rPr>
      </w:pPr>
    </w:p>
    <w:p w14:paraId="67EC27D6">
      <w:pPr>
        <w:tabs>
          <w:tab w:val="clear" w:pos="284"/>
        </w:tabs>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rPr>
        <w:t>Starij</w:t>
      </w:r>
      <w:r>
        <w:rPr>
          <w:rFonts w:ascii="Microsoft Sans Serif" w:hAnsi="Microsoft Sans Serif" w:cs="Microsoft Sans Serif"/>
          <w:sz w:val="20"/>
          <w:szCs w:val="20"/>
          <w:u w:val="single"/>
          <w:lang w:val="sr-Cyrl-RS"/>
        </w:rPr>
        <w:t>i pacijenti</w:t>
      </w:r>
    </w:p>
    <w:p w14:paraId="69C12591">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Rizik od krvarenja može biti povećan </w:t>
      </w:r>
      <w:r>
        <w:rPr>
          <w:rFonts w:ascii="Microsoft Sans Serif" w:hAnsi="Microsoft Sans Serif" w:cs="Microsoft Sans Serif"/>
          <w:sz w:val="20"/>
          <w:szCs w:val="20"/>
          <w:lang w:val="sr-Cyrl-RS"/>
        </w:rPr>
        <w:t>s</w:t>
      </w:r>
      <w:r>
        <w:rPr>
          <w:rFonts w:ascii="Microsoft Sans Serif" w:hAnsi="Microsoft Sans Serif" w:cs="Microsoft Sans Serif"/>
          <w:sz w:val="20"/>
          <w:szCs w:val="20"/>
        </w:rPr>
        <w:t>a godinama starosti (pogledati dio 5.2).</w:t>
      </w:r>
    </w:p>
    <w:p w14:paraId="31CB09F0">
      <w:pPr>
        <w:tabs>
          <w:tab w:val="clear" w:pos="284"/>
        </w:tabs>
        <w:rPr>
          <w:rFonts w:ascii="Microsoft Sans Serif" w:hAnsi="Microsoft Sans Serif" w:cs="Microsoft Sans Serif"/>
          <w:sz w:val="20"/>
          <w:szCs w:val="20"/>
        </w:rPr>
      </w:pPr>
    </w:p>
    <w:p w14:paraId="554902FE">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Dermatološke reakcije</w:t>
      </w:r>
    </w:p>
    <w:p w14:paraId="6D04BD10">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U toku post-marketinškog praćenja lijeka, prijavlјene su ozbilјne kožne reakcije, uklјučujući Steven-Johnson-ov sindrom/toksičnu epidermalnu nekrolizu i DRESS sindrom, povezane sa primjenom rivaroksabana (pogledati dio 4.8). Pacijenti su izgleda u najvećem riziku</w:t>
      </w:r>
      <w:r>
        <w:rPr>
          <w:rFonts w:ascii="Microsoft Sans Serif" w:hAnsi="Microsoft Sans Serif" w:cs="Microsoft Sans Serif"/>
          <w:sz w:val="20"/>
          <w:szCs w:val="20"/>
          <w:lang w:val="sr-Cyrl-RS"/>
        </w:rPr>
        <w:t xml:space="preserve"> od pojave ove reakcije</w:t>
      </w:r>
      <w:r>
        <w:rPr>
          <w:rFonts w:ascii="Microsoft Sans Serif" w:hAnsi="Microsoft Sans Serif" w:cs="Microsoft Sans Serif"/>
          <w:sz w:val="20"/>
          <w:szCs w:val="20"/>
        </w:rPr>
        <w:t xml:space="preserve"> na početku terapije: u najvećem broju slučajeva početak reakcija se javlјa tokom prvih nedelјa terapije. Primjenu rivaroksabana treba prekinuti pri prvoj pojavi teškog kožnog osipa (npr. osipa koji se širi, intenzivan je i kod kog se javlјaju plikovi), ili bilo kog drugog simptoma preosjetljivosti udruženog sa mukoznim lezijama.</w:t>
      </w:r>
    </w:p>
    <w:p w14:paraId="69D5F324">
      <w:pPr>
        <w:tabs>
          <w:tab w:val="clear" w:pos="284"/>
        </w:tabs>
        <w:rPr>
          <w:rFonts w:ascii="Microsoft Sans Serif" w:hAnsi="Microsoft Sans Serif" w:cs="Microsoft Sans Serif"/>
          <w:sz w:val="20"/>
          <w:szCs w:val="20"/>
        </w:rPr>
      </w:pPr>
    </w:p>
    <w:p w14:paraId="4FDD8E4F">
      <w:pPr>
        <w:rPr>
          <w:rFonts w:ascii="Microsoft Sans Serif" w:hAnsi="Microsoft Sans Serif" w:cs="Microsoft Sans Serif"/>
          <w:sz w:val="20"/>
          <w:szCs w:val="20"/>
        </w:rPr>
      </w:pPr>
      <w:r>
        <w:rPr>
          <w:rFonts w:ascii="Microsoft Sans Serif" w:hAnsi="Microsoft Sans Serif" w:cs="Microsoft Sans Serif"/>
          <w:sz w:val="20"/>
          <w:szCs w:val="20"/>
        </w:rPr>
        <w:t>Pomoćne supstance</w:t>
      </w:r>
    </w:p>
    <w:p w14:paraId="01A94B90">
      <w:pPr>
        <w:rPr>
          <w:rFonts w:ascii="Microsoft Sans Serif" w:hAnsi="Microsoft Sans Serif" w:cs="Microsoft Sans Serif"/>
          <w:sz w:val="20"/>
          <w:szCs w:val="20"/>
        </w:rPr>
      </w:pPr>
      <w:r>
        <w:rPr>
          <w:rFonts w:ascii="Microsoft Sans Serif" w:hAnsi="Microsoft Sans Serif" w:cs="Microsoft Sans Serif"/>
          <w:sz w:val="20"/>
          <w:szCs w:val="20"/>
        </w:rPr>
        <w:t>Ovaj lijek sadrži laktozu monohidrat. Pacijenti sa rijetkim nasljednim poremećajem nepodnošenja galaktoze, nedostatkom Lapp laktaze ili glukoza-galaktoza malapsorpcijom, ne bi trebali uzimati ovaj lijek.</w:t>
      </w:r>
    </w:p>
    <w:p w14:paraId="56C48524">
      <w:pPr>
        <w:rPr>
          <w:rFonts w:ascii="Microsoft Sans Serif" w:hAnsi="Microsoft Sans Serif" w:cs="Microsoft Sans Serif"/>
          <w:sz w:val="20"/>
          <w:szCs w:val="20"/>
        </w:rPr>
      </w:pPr>
    </w:p>
    <w:p w14:paraId="4C3487E7">
      <w:pPr>
        <w:rPr>
          <w:rFonts w:ascii="Microsoft Sans Serif" w:hAnsi="Microsoft Sans Serif" w:cs="Microsoft Sans Serif"/>
          <w:b/>
          <w:bCs/>
          <w:sz w:val="20"/>
          <w:szCs w:val="20"/>
          <w:lang w:val="ru-RU"/>
        </w:rPr>
      </w:pPr>
      <w:r>
        <w:rPr>
          <w:rFonts w:ascii="Microsoft Sans Serif" w:hAnsi="Microsoft Sans Serif" w:cs="Microsoft Sans Serif"/>
          <w:b/>
          <w:bCs/>
          <w:sz w:val="20"/>
          <w:szCs w:val="20"/>
          <w:lang w:val="ru-RU"/>
        </w:rPr>
        <w:t>4.5. Interakcije sa drugim lijekovima i druge vrste interakcija</w:t>
      </w:r>
    </w:p>
    <w:p w14:paraId="164E7559">
      <w:pPr>
        <w:tabs>
          <w:tab w:val="clear" w:pos="284"/>
        </w:tabs>
        <w:rPr>
          <w:rFonts w:ascii="Microsoft Sans Serif" w:hAnsi="Microsoft Sans Serif" w:cs="Microsoft Sans Serif"/>
          <w:sz w:val="20"/>
          <w:szCs w:val="20"/>
          <w:u w:val="single"/>
        </w:rPr>
      </w:pPr>
    </w:p>
    <w:p w14:paraId="5AF8954C">
      <w:pPr>
        <w:ind w:right="48"/>
      </w:pPr>
      <w:r>
        <w:rPr>
          <w:rFonts w:ascii="Microsoft Sans Serif" w:hAnsi="Microsoft Sans Serif" w:cs="Microsoft Sans Serif"/>
          <w:sz w:val="20"/>
          <w:szCs w:val="20"/>
        </w:rPr>
        <w:t xml:space="preserve">Obim interakcija kod pedijatrijske populacije nije poznat. Podaci o interakcijama navedenih u nastavku teksta, dobijeni su kod odraslih pacijenata, a upozorenja u dijelu 4.4 treba uzeti u obzir za pedijatrijsku populaciju. </w:t>
      </w:r>
    </w:p>
    <w:p w14:paraId="0D8466C5">
      <w:pPr>
        <w:tabs>
          <w:tab w:val="left" w:pos="7655"/>
          <w:tab w:val="clear" w:pos="284"/>
        </w:tabs>
        <w:rPr>
          <w:rFonts w:ascii="Microsoft Sans Serif" w:hAnsi="Microsoft Sans Serif" w:cs="Microsoft Sans Serif"/>
          <w:sz w:val="20"/>
          <w:szCs w:val="20"/>
          <w:u w:val="single"/>
        </w:rPr>
      </w:pPr>
    </w:p>
    <w:p w14:paraId="2B674518">
      <w:pPr>
        <w:tabs>
          <w:tab w:val="left" w:pos="7655"/>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Inhibitori CYP3A4 i P-gp transportera</w:t>
      </w:r>
    </w:p>
    <w:p w14:paraId="33D28608">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Istovremena primjena rivaroksabana sa ketokonazolom (400 mg, jednom dnevno), </w:t>
      </w:r>
      <w:r>
        <w:rPr>
          <w:rFonts w:ascii="Microsoft Sans Serif" w:hAnsi="Microsoft Sans Serif" w:cs="Microsoft Sans Serif"/>
          <w:sz w:val="20"/>
          <w:szCs w:val="20"/>
          <w:lang w:val="sr-Cyrl-RS"/>
        </w:rPr>
        <w:t>ili</w:t>
      </w:r>
      <w:r>
        <w:rPr>
          <w:rFonts w:ascii="Microsoft Sans Serif" w:hAnsi="Microsoft Sans Serif" w:cs="Microsoft Sans Serif"/>
          <w:sz w:val="20"/>
          <w:szCs w:val="20"/>
        </w:rPr>
        <w:t xml:space="preserve"> ritonavirom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 xml:space="preserve">(600 mg, dva puta dnevno), povećala je 2,6 puta/2,5 puta srednju PIK vrijednost rivaroksabana, </w:t>
      </w:r>
      <w:r>
        <w:rPr>
          <w:rFonts w:ascii="Microsoft Sans Serif" w:hAnsi="Microsoft Sans Serif" w:cs="Microsoft Sans Serif"/>
          <w:sz w:val="20"/>
          <w:szCs w:val="20"/>
          <w:lang w:val="sr-Cyrl-RS"/>
        </w:rPr>
        <w:t>i</w:t>
      </w:r>
      <w:r>
        <w:rPr>
          <w:rFonts w:ascii="Microsoft Sans Serif" w:hAnsi="Microsoft Sans Serif" w:cs="Microsoft Sans Serif"/>
          <w:sz w:val="20"/>
          <w:szCs w:val="20"/>
        </w:rPr>
        <w:t xml:space="preserve"> 1,7 puta/1,6</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puta srednju C</w:t>
      </w:r>
      <w:r>
        <w:rPr>
          <w:rFonts w:ascii="Microsoft Sans Serif" w:hAnsi="Microsoft Sans Serif" w:cs="Microsoft Sans Serif"/>
          <w:sz w:val="20"/>
          <w:szCs w:val="20"/>
          <w:vertAlign w:val="subscript"/>
        </w:rPr>
        <w:t>max</w:t>
      </w:r>
      <w:r>
        <w:rPr>
          <w:rFonts w:ascii="Microsoft Sans Serif" w:hAnsi="Microsoft Sans Serif" w:cs="Microsoft Sans Serif"/>
          <w:sz w:val="20"/>
          <w:szCs w:val="20"/>
        </w:rPr>
        <w:t xml:space="preserve"> vrijednost rivaroksabana, sa značajnim povećanjem farmakodinamskih efekata koji 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mogli uzrokovati povećanje rizika od krvarenja. Stoga se lijek Rufixalo ne preporučuje pacijentima koji 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istovremeno liječe azolnim antimikoticima za sistemsku primjenu kao što su ketokonazol, itrakonazol,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 xml:space="preserve">vorikonazol i posakonazol ili inhibitorima HIV proteaze. Ove aktivne supstance </w:t>
      </w:r>
      <w:r>
        <w:rPr>
          <w:rFonts w:ascii="Microsoft Sans Serif" w:hAnsi="Microsoft Sans Serif" w:cs="Microsoft Sans Serif"/>
          <w:sz w:val="20"/>
          <w:szCs w:val="20"/>
          <w:lang w:val="sr-Cyrl-RS"/>
        </w:rPr>
        <w:t xml:space="preserve">su </w:t>
      </w:r>
      <w:r>
        <w:rPr>
          <w:rFonts w:ascii="Microsoft Sans Serif" w:hAnsi="Microsoft Sans Serif" w:cs="Microsoft Sans Serif"/>
          <w:sz w:val="20"/>
          <w:szCs w:val="20"/>
        </w:rPr>
        <w:t>snažni inhibitori kako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CYP3A4, tako i P-gp transportera (pogledati dio 4.4).</w:t>
      </w:r>
    </w:p>
    <w:p w14:paraId="2E6CB25B">
      <w:pPr>
        <w:tabs>
          <w:tab w:val="left" w:pos="7655"/>
          <w:tab w:val="clear" w:pos="284"/>
        </w:tabs>
        <w:rPr>
          <w:rFonts w:ascii="Microsoft Sans Serif" w:hAnsi="Microsoft Sans Serif" w:cs="Microsoft Sans Serif"/>
          <w:sz w:val="20"/>
          <w:szCs w:val="20"/>
        </w:rPr>
      </w:pPr>
      <w:bookmarkStart w:id="1" w:name="page8"/>
      <w:bookmarkEnd w:id="1"/>
    </w:p>
    <w:p w14:paraId="1B03118C">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Očekuje se da aktivne supstance koje snažno inhibiraju samo jedan od puteva eliminacije rivaroksabana, bilo CYP3A4 ili P-gp transportera, u manjoj meri povećavaju koncentracije rivaroksabana u plazmi. Klaritromicin (500 mg, dva puta dnevno), na primjer, za koji se smatra da je snažan inhibitor CYP3A4 i umjereni inhibitor P-gp, povećao je srednju PIK vrijednost rivaroksabana 1,5 puta, </w:t>
      </w:r>
      <w:r>
        <w:rPr>
          <w:rFonts w:ascii="Microsoft Sans Serif" w:hAnsi="Microsoft Sans Serif" w:cs="Microsoft Sans Serif"/>
          <w:sz w:val="20"/>
          <w:szCs w:val="20"/>
          <w:lang w:val="sr-Cyrl-RS"/>
        </w:rPr>
        <w:t>i</w:t>
      </w:r>
      <w:r>
        <w:rPr>
          <w:rFonts w:ascii="Microsoft Sans Serif" w:hAnsi="Microsoft Sans Serif" w:cs="Microsoft Sans Serif"/>
          <w:sz w:val="20"/>
          <w:szCs w:val="20"/>
        </w:rPr>
        <w:t xml:space="preserve"> C</w:t>
      </w:r>
      <w:r>
        <w:rPr>
          <w:rFonts w:ascii="Microsoft Sans Serif" w:hAnsi="Microsoft Sans Serif" w:cs="Microsoft Sans Serif"/>
          <w:sz w:val="20"/>
          <w:szCs w:val="20"/>
          <w:vertAlign w:val="subscript"/>
        </w:rPr>
        <w:t>max</w:t>
      </w:r>
      <w:r>
        <w:rPr>
          <w:rFonts w:ascii="Microsoft Sans Serif" w:hAnsi="Microsoft Sans Serif" w:cs="Microsoft Sans Serif"/>
          <w:sz w:val="20"/>
          <w:szCs w:val="20"/>
        </w:rPr>
        <w:t xml:space="preserve"> rivaroksabana 1,4 puta. Interakcija sa klaritromicinom najverovatnije nije od relevantnog kliničkog značaja za većinu pacijenata, ali može biti potencijalno značajna kod visoko rizičnih pacijenata (za pacijente sa oštećenjem funkcije bubrega pogledajte dio 4.4).</w:t>
      </w:r>
    </w:p>
    <w:p w14:paraId="5FC4DC15">
      <w:pPr>
        <w:tabs>
          <w:tab w:val="left" w:pos="7655"/>
          <w:tab w:val="clear" w:pos="284"/>
        </w:tabs>
        <w:rPr>
          <w:rFonts w:ascii="Microsoft Sans Serif" w:hAnsi="Microsoft Sans Serif" w:cs="Microsoft Sans Serif"/>
          <w:sz w:val="20"/>
          <w:szCs w:val="20"/>
        </w:rPr>
      </w:pPr>
    </w:p>
    <w:p w14:paraId="1E3C02A0">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Eritromicin (500 mg, tri puta dnevno), koji umjereno inhibira CYP3A4 i P-gp transporter, povećao je srednje vrijednosti PIK i C</w:t>
      </w:r>
      <w:r>
        <w:rPr>
          <w:rFonts w:ascii="Microsoft Sans Serif" w:hAnsi="Microsoft Sans Serif" w:cs="Microsoft Sans Serif"/>
          <w:sz w:val="20"/>
          <w:szCs w:val="20"/>
          <w:vertAlign w:val="subscript"/>
        </w:rPr>
        <w:t>max</w:t>
      </w:r>
      <w:r>
        <w:rPr>
          <w:rFonts w:ascii="Microsoft Sans Serif" w:hAnsi="Microsoft Sans Serif" w:cs="Microsoft Sans Serif"/>
          <w:sz w:val="20"/>
          <w:szCs w:val="20"/>
        </w:rPr>
        <w:t xml:space="preserve"> rivaroksabana 1,3 puta. Interakcija sa eritromicinom najverovatnije nije od relevantnog kliničkog značaja za većinu pacijenata, ali može biti potencijalno značajna kod visoko rizičnih pacijenata. </w:t>
      </w:r>
    </w:p>
    <w:p w14:paraId="7F3D644D">
      <w:pPr>
        <w:tabs>
          <w:tab w:val="left" w:pos="7655"/>
          <w:tab w:val="clear" w:pos="284"/>
        </w:tabs>
        <w:rPr>
          <w:rFonts w:ascii="Microsoft Sans Serif" w:hAnsi="Microsoft Sans Serif" w:cs="Microsoft Sans Serif"/>
          <w:sz w:val="20"/>
          <w:szCs w:val="20"/>
        </w:rPr>
      </w:pPr>
    </w:p>
    <w:p w14:paraId="713DD64E">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Kod pacijenata sa umjerenim oštećenjem funkcije bubrega, primjena eritromicina (u dozi od 500 mg tri puta dnevno) je dovela do povećanja srednje PIK vrijednosti rivaroksabana 1,8 puta i povećanja C</w:t>
      </w:r>
      <w:r>
        <w:rPr>
          <w:rFonts w:ascii="Microsoft Sans Serif" w:hAnsi="Microsoft Sans Serif" w:cs="Microsoft Sans Serif"/>
          <w:sz w:val="20"/>
          <w:szCs w:val="20"/>
          <w:vertAlign w:val="subscript"/>
        </w:rPr>
        <w:t>max</w:t>
      </w:r>
      <w:r>
        <w:rPr>
          <w:rFonts w:ascii="Microsoft Sans Serif" w:hAnsi="Microsoft Sans Serif" w:cs="Microsoft Sans Serif"/>
          <w:sz w:val="20"/>
          <w:szCs w:val="20"/>
        </w:rPr>
        <w:t xml:space="preserve"> vrijednosti rivaroksabana 1,6 puta u poređenju sa pacijentima sa očuvanom funkcijom bubrega. Kod ispitanika sa umjerenim oštećenjem funkcije bubrega, primjena eritromicina je dovela do povećanja srednje PIK vrijednosti za rivaroksaban od 2,0 puta i do povećanja vrijednosti C</w:t>
      </w:r>
      <w:r>
        <w:rPr>
          <w:rFonts w:ascii="Microsoft Sans Serif" w:hAnsi="Microsoft Sans Serif" w:cs="Microsoft Sans Serif"/>
          <w:sz w:val="20"/>
          <w:szCs w:val="20"/>
          <w:vertAlign w:val="subscript"/>
        </w:rPr>
        <w:t>max</w:t>
      </w:r>
      <w:r>
        <w:rPr>
          <w:rFonts w:ascii="Microsoft Sans Serif" w:hAnsi="Microsoft Sans Serif" w:cs="Microsoft Sans Serif"/>
          <w:sz w:val="20"/>
          <w:szCs w:val="20"/>
        </w:rPr>
        <w:t xml:space="preserve"> od 1,6 </w:t>
      </w:r>
      <w:r>
        <w:rPr>
          <w:rFonts w:ascii="Microsoft Sans Serif" w:hAnsi="Microsoft Sans Serif" w:cs="Microsoft Sans Serif"/>
          <w:sz w:val="20"/>
          <w:szCs w:val="20"/>
          <w:lang w:val="sr-Cyrl-RS"/>
        </w:rPr>
        <w:t xml:space="preserve">puta </w:t>
      </w:r>
      <w:r>
        <w:rPr>
          <w:rFonts w:ascii="Microsoft Sans Serif" w:hAnsi="Microsoft Sans Serif" w:cs="Microsoft Sans Serif"/>
          <w:sz w:val="20"/>
          <w:szCs w:val="20"/>
        </w:rPr>
        <w:t>u poređenju sa pacijentima sa očuvanom funkcijom bubrega. Efekat eritriomicina je aditivan efektu oštećenja funkcije bubrega (pogledati dio 4.4).</w:t>
      </w:r>
    </w:p>
    <w:p w14:paraId="6C5363BF">
      <w:pPr>
        <w:tabs>
          <w:tab w:val="left" w:pos="7655"/>
          <w:tab w:val="clear" w:pos="284"/>
        </w:tabs>
        <w:rPr>
          <w:rFonts w:ascii="Microsoft Sans Serif" w:hAnsi="Microsoft Sans Serif" w:cs="Microsoft Sans Serif"/>
          <w:sz w:val="20"/>
          <w:szCs w:val="20"/>
        </w:rPr>
      </w:pPr>
    </w:p>
    <w:p w14:paraId="56268880">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Flukonazol (400 mg, jednom dnevno) koji umjereno inhibira CYP3A4, povećao je srednju PIK vrijednost rivaroksaban 1,4 puta i srednja vrijednost C</w:t>
      </w:r>
      <w:r>
        <w:rPr>
          <w:rFonts w:ascii="Microsoft Sans Serif" w:hAnsi="Microsoft Sans Serif" w:cs="Microsoft Sans Serif"/>
          <w:sz w:val="20"/>
          <w:szCs w:val="20"/>
          <w:vertAlign w:val="subscript"/>
        </w:rPr>
        <w:t>max</w:t>
      </w:r>
      <w:r>
        <w:rPr>
          <w:rFonts w:ascii="Microsoft Sans Serif" w:hAnsi="Microsoft Sans Serif" w:cs="Microsoft Sans Serif"/>
          <w:sz w:val="20"/>
          <w:szCs w:val="20"/>
        </w:rPr>
        <w:t xml:space="preserve"> rivaroksabana 1,3 puta. Interakcija sa flukonazolom najverovatnije nije od relevantnog kliničkog značaja za većinu pacijenata, ali može biti potencijalno značajna kod visoko rizičnih pacijenata (za pacijente sa oštećenjem funkcije bubrega pogledajte dio 4.4).</w:t>
      </w:r>
    </w:p>
    <w:p w14:paraId="1F4F88EB">
      <w:pPr>
        <w:tabs>
          <w:tab w:val="left" w:pos="7655"/>
          <w:tab w:val="clear" w:pos="284"/>
        </w:tabs>
        <w:rPr>
          <w:rFonts w:ascii="Microsoft Sans Serif" w:hAnsi="Microsoft Sans Serif" w:cs="Microsoft Sans Serif"/>
          <w:sz w:val="20"/>
          <w:szCs w:val="20"/>
        </w:rPr>
      </w:pPr>
    </w:p>
    <w:p w14:paraId="494460DC">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S obzirom na ograničene dostupne kliničke podatke za dronedaron, istovremenu primjenu sa rivaroksabanom treba izbjegavati.</w:t>
      </w:r>
    </w:p>
    <w:p w14:paraId="5F44A851">
      <w:pPr>
        <w:tabs>
          <w:tab w:val="left" w:pos="7655"/>
          <w:tab w:val="clear" w:pos="284"/>
        </w:tabs>
        <w:rPr>
          <w:rFonts w:ascii="Microsoft Sans Serif" w:hAnsi="Microsoft Sans Serif" w:cs="Microsoft Sans Serif"/>
          <w:sz w:val="20"/>
          <w:szCs w:val="20"/>
        </w:rPr>
      </w:pPr>
    </w:p>
    <w:p w14:paraId="67FA27CE">
      <w:pPr>
        <w:tabs>
          <w:tab w:val="left" w:pos="7655"/>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Antikoagulansi</w:t>
      </w:r>
    </w:p>
    <w:p w14:paraId="02D5F7C3">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Poslije istovremene primjene enoksaparina (40 mg, pojedinačna doza) sa rivaroksabanom (10 mg, pojedinačna doza) zapažen je aditivni anti-faktor Xa efekat, bez bilo kakvog dodatnog uticaja na testove koagulacije (PT, aPTT). Enoksaparin nije uticao na farmakokinetiku rivaroksabana. Zbog povećanog rizika od krvarenja, potrebna je opreznost ukoliko se pacijenti istovremeno liječe sa bilo kojim drugim antikoagulansom (pogledati dijelove 4.3 i 4.4).</w:t>
      </w:r>
    </w:p>
    <w:p w14:paraId="658E92DC">
      <w:pPr>
        <w:tabs>
          <w:tab w:val="left" w:pos="7655"/>
          <w:tab w:val="clear" w:pos="284"/>
        </w:tabs>
        <w:rPr>
          <w:rFonts w:ascii="Microsoft Sans Serif" w:hAnsi="Microsoft Sans Serif" w:cs="Microsoft Sans Serif"/>
          <w:sz w:val="20"/>
          <w:szCs w:val="20"/>
        </w:rPr>
      </w:pPr>
    </w:p>
    <w:p w14:paraId="29A4E368">
      <w:pPr>
        <w:tabs>
          <w:tab w:val="left" w:pos="7655"/>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NSAIL/inhibitori agregacije trombocita</w:t>
      </w:r>
    </w:p>
    <w:p w14:paraId="35B4E353">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Nije primjećeno klinički značajno produženje vremena krvarenja poslije istovremene primjene rivaroksabana (15 mg) i 500 mg naproksena. Uprkos tome, kod pojedinaca, farmakodinamski odgovor može biti više izražen.</w:t>
      </w:r>
    </w:p>
    <w:p w14:paraId="7781B91F">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Nisu zapažene klinički značajne farmakokinetičke ili farmakodinamske interakcije kada je rivaroksaban primjenjen u kombinaciji sa 500 mg acetilsalicilne kiseline.</w:t>
      </w:r>
    </w:p>
    <w:p w14:paraId="46A7CF86">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Klopidogrel (</w:t>
      </w:r>
      <w:r>
        <w:rPr>
          <w:rFonts w:ascii="Microsoft Sans Serif" w:hAnsi="Microsoft Sans Serif" w:cs="Microsoft Sans Serif"/>
          <w:sz w:val="20"/>
          <w:szCs w:val="20"/>
          <w:lang w:val="sr-Cyrl-RS"/>
        </w:rPr>
        <w:t>udarna</w:t>
      </w:r>
      <w:r>
        <w:rPr>
          <w:rFonts w:ascii="Microsoft Sans Serif" w:hAnsi="Microsoft Sans Serif" w:cs="Microsoft Sans Serif"/>
          <w:sz w:val="20"/>
          <w:szCs w:val="20"/>
        </w:rPr>
        <w:t xml:space="preserve"> doza od 300 mg, a zatim doza održavanja od 75 mg) nije pokazao farmakokinetičku interakciju sa rivaroksabanom (15 mg), ali je u jednoj podgrupi pacijenata primjećeno relevantno produženje vremena krvarenja koje nije koreliralo sa agregacijom trombocita, nivoima P-selektina ili GPIIb/IIIa receptora.</w:t>
      </w:r>
    </w:p>
    <w:p w14:paraId="2ED12BDC">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Potreban je oprez ukoliko se pacijent istovremeno liječi NSAIL (uklјučujući acetilsalicilnu kiselinu) i inhibitorima agregacije trombocita, pošto je za ove lijekove karakteristično da povećavaju rizik od krvarenja (pogledati dio 4.4).</w:t>
      </w:r>
    </w:p>
    <w:p w14:paraId="298C6B25">
      <w:pPr>
        <w:tabs>
          <w:tab w:val="left" w:pos="7655"/>
          <w:tab w:val="clear" w:pos="284"/>
        </w:tabs>
        <w:rPr>
          <w:rFonts w:ascii="Microsoft Sans Serif" w:hAnsi="Microsoft Sans Serif" w:cs="Microsoft Sans Serif"/>
          <w:sz w:val="20"/>
          <w:szCs w:val="20"/>
        </w:rPr>
      </w:pPr>
    </w:p>
    <w:p w14:paraId="0AF72437">
      <w:pPr>
        <w:tabs>
          <w:tab w:val="left" w:pos="7655"/>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SSRI/SNRI</w:t>
      </w:r>
    </w:p>
    <w:p w14:paraId="4635072E">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Kao i kod drugih antikoagulanasa, postoji mogućnost da su pacijenti izloženi većem riziku od krvarenja </w:t>
      </w:r>
      <w:r>
        <w:rPr>
          <w:rFonts w:ascii="Microsoft Sans Serif" w:hAnsi="Microsoft Sans Serif" w:cs="Microsoft Sans Serif"/>
          <w:sz w:val="20"/>
          <w:szCs w:val="20"/>
          <w:lang w:val="sr-Cyrl-RS"/>
        </w:rPr>
        <w:t>prilikom</w:t>
      </w:r>
      <w:r>
        <w:rPr>
          <w:rFonts w:ascii="Microsoft Sans Serif" w:hAnsi="Microsoft Sans Serif" w:cs="Microsoft Sans Serif"/>
          <w:sz w:val="20"/>
          <w:szCs w:val="20"/>
        </w:rPr>
        <w:t xml:space="preserve"> istovremene primjene rivaroksabana sa SSRI i SNRI zbog prijavlјenih efekta ovih lijekova na trombocite. Kod istovremene primjene SSRI/SNRI i rivaroksabana u kliničkim ispitivanjima, primjećena je numerički veća stopa obilnih ili klinički značajnih krvarenja koja nisu obilna u svim terapijskim grupama.</w:t>
      </w:r>
    </w:p>
    <w:p w14:paraId="7B614833">
      <w:pPr>
        <w:tabs>
          <w:tab w:val="left" w:pos="7655"/>
          <w:tab w:val="clear" w:pos="284"/>
        </w:tabs>
        <w:rPr>
          <w:rFonts w:ascii="Microsoft Sans Serif" w:hAnsi="Microsoft Sans Serif" w:cs="Microsoft Sans Serif"/>
          <w:sz w:val="20"/>
          <w:szCs w:val="20"/>
        </w:rPr>
      </w:pPr>
    </w:p>
    <w:p w14:paraId="5E1BBA39">
      <w:pPr>
        <w:tabs>
          <w:tab w:val="left" w:pos="7655"/>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Varfarin</w:t>
      </w:r>
    </w:p>
    <w:p w14:paraId="68C3F38C">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Prevođenjem pacijenata sa terapije antagonistom vitamina K, varfarinom (INR 2,0 do 3,0) na rivaroksaban (20 mg) ili sa rivaroksabana (20 mg) na varfarin (INR 2,0 do 3,0) produženo je protrombinsko vrijeme/INR (Neoplastin) više nego aditivno (mogu se uočiti pojedinačne INR vrijednosti do 12 ), dok je uticaj na aPTT, inhibiciju aktivnosti faktora Xa i endogeni trombin potencijal bio aditivan.</w:t>
      </w:r>
    </w:p>
    <w:p w14:paraId="40632FB4">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Za ispitivanje farmakodinamskih efekata rivaroksabana tokom perioda prevođenja, mogu se koristiti aktivnost anti-faktora Xa, PiCT i Heptest jer varfarin nije imao uticaj na njih. Četvrtog dana nakon posljednje doze varfarina, svi testovi (uklјučujući PT, aPTT, inhibiciju aktivnosti faktora Xa i ETP) su odražavali samo uticaj rivaroksabana.</w:t>
      </w:r>
    </w:p>
    <w:p w14:paraId="3829F12C">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Za ispitivanje farmakodinamskih efekata varfarina tokom perioda prevođenja, mjerenje INR se može koristiti pri najmanjoj postignutoj koncentraciji (C</w:t>
      </w:r>
      <w:r>
        <w:rPr>
          <w:rFonts w:ascii="Microsoft Sans Serif" w:hAnsi="Microsoft Sans Serif" w:cs="Microsoft Sans Serif"/>
          <w:sz w:val="20"/>
          <w:szCs w:val="20"/>
          <w:vertAlign w:val="subscript"/>
        </w:rPr>
        <w:t>trough</w:t>
      </w:r>
      <w:r>
        <w:rPr>
          <w:rFonts w:ascii="Microsoft Sans Serif" w:hAnsi="Microsoft Sans Serif" w:cs="Microsoft Sans Serif"/>
          <w:sz w:val="20"/>
          <w:szCs w:val="20"/>
        </w:rPr>
        <w:t>) rivaroksabana (24 sata nakon prethodnog uzimanja rivaroksabana) jer rivaroksaban minimalno utiče na test u tom trenutku.</w:t>
      </w:r>
    </w:p>
    <w:p w14:paraId="3C15E439">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Nije zapažena bilo kakva farmakokinetička interakcija između varfarina i rivaroksabana.</w:t>
      </w:r>
    </w:p>
    <w:p w14:paraId="2EE1443C">
      <w:pPr>
        <w:tabs>
          <w:tab w:val="left" w:pos="7655"/>
          <w:tab w:val="clear" w:pos="284"/>
        </w:tabs>
        <w:rPr>
          <w:rFonts w:ascii="Microsoft Sans Serif" w:hAnsi="Microsoft Sans Serif" w:cs="Microsoft Sans Serif"/>
          <w:sz w:val="20"/>
          <w:szCs w:val="20"/>
        </w:rPr>
      </w:pPr>
    </w:p>
    <w:p w14:paraId="1303905C">
      <w:pPr>
        <w:tabs>
          <w:tab w:val="left" w:pos="7655"/>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Induktori CYP3A4</w:t>
      </w:r>
    </w:p>
    <w:p w14:paraId="0AC5D5BE">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Istovremena primjena rivaroksabana i rifampicina, snažnog induktora CYP3A4, smanjivala je srednju PIK vrijednost rivaroksabana za približno 50%, sa paralelnim smanjivanjem njegovih farmakodinamskih efekata. Istovremena primjena rivaroksabana sa drugim snažnim induktorima CYP3A4 (npr. fenitoin, karbamazepin, fenobarbiton ili kantarion) može takođe smanjiti koncentraciju rivaroksabana u plazmi. Zbog toga, istovremenu primjenu snažnih induktora CYP3A4 treba izbjegavati, osim ukoliko pacijent nije pod stalnim praćenjem zbog moguće pojave znakova i simptoma tromboze.</w:t>
      </w:r>
    </w:p>
    <w:p w14:paraId="62A595F7">
      <w:pPr>
        <w:tabs>
          <w:tab w:val="left" w:pos="7655"/>
          <w:tab w:val="clear" w:pos="284"/>
        </w:tabs>
        <w:rPr>
          <w:rFonts w:ascii="Microsoft Sans Serif" w:hAnsi="Microsoft Sans Serif" w:cs="Microsoft Sans Serif"/>
          <w:sz w:val="20"/>
          <w:szCs w:val="20"/>
        </w:rPr>
      </w:pPr>
    </w:p>
    <w:p w14:paraId="05770A90">
      <w:pPr>
        <w:tabs>
          <w:tab w:val="left" w:pos="7655"/>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Interakcije sa ostalim lijekovima</w:t>
      </w:r>
    </w:p>
    <w:p w14:paraId="42DCE405">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Nisu zapažene klinički značajne farmakokinetičke ili farmakodinamske interakcije pri istovremenoj primjeni rivaroksabana sa midazolamom (supstrat za CYP3A4), digoksinom (supstrat za P-gp transporter), atorvastatinom (supstrat za CYP3A4 i P-gp transporter) ili omeprazolom (inhibitor protonske pumpe). Rivaroksaban ne dovodi do indukcije niti do inhibicije bilo kog važnijeg izoenzima CYP, kao što je CYP3A4.</w:t>
      </w:r>
    </w:p>
    <w:p w14:paraId="2F246604">
      <w:pPr>
        <w:tabs>
          <w:tab w:val="left" w:pos="7655"/>
          <w:tab w:val="clear" w:pos="284"/>
        </w:tabs>
        <w:rPr>
          <w:rFonts w:ascii="Microsoft Sans Serif" w:hAnsi="Microsoft Sans Serif" w:cs="Microsoft Sans Serif"/>
          <w:sz w:val="20"/>
          <w:szCs w:val="20"/>
        </w:rPr>
      </w:pPr>
    </w:p>
    <w:p w14:paraId="226A64E5">
      <w:pPr>
        <w:tabs>
          <w:tab w:val="left" w:pos="7655"/>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Laboratorijski parametri</w:t>
      </w:r>
    </w:p>
    <w:p w14:paraId="66AD7CEE">
      <w:pPr>
        <w:tabs>
          <w:tab w:val="left" w:pos="7655"/>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Parametri koagulacije (npr. PT, aPTT, HepTest) mijenjaju se, kako se i očekuje, zbog mehanizma djelovanja rivaroksabana (pogledati dio 5.1).</w:t>
      </w:r>
    </w:p>
    <w:p w14:paraId="289EAB33">
      <w:pPr>
        <w:rPr>
          <w:rFonts w:ascii="Microsoft Sans Serif" w:hAnsi="Microsoft Sans Serif" w:cs="Microsoft Sans Serif"/>
          <w:sz w:val="20"/>
          <w:szCs w:val="20"/>
        </w:rPr>
      </w:pPr>
    </w:p>
    <w:p w14:paraId="6A1A9D37">
      <w:pPr>
        <w:rPr>
          <w:rFonts w:ascii="Microsoft Sans Serif" w:hAnsi="Microsoft Sans Serif" w:cs="Microsoft Sans Serif"/>
          <w:b/>
          <w:bCs/>
          <w:sz w:val="20"/>
          <w:szCs w:val="20"/>
        </w:rPr>
      </w:pPr>
      <w:r>
        <w:rPr>
          <w:rFonts w:ascii="Microsoft Sans Serif" w:hAnsi="Microsoft Sans Serif" w:cs="Microsoft Sans Serif"/>
          <w:b/>
          <w:bCs/>
          <w:sz w:val="20"/>
          <w:szCs w:val="20"/>
          <w:lang w:val="ru-RU"/>
        </w:rPr>
        <w:t xml:space="preserve">4.6. </w:t>
      </w:r>
      <w:r>
        <w:rPr>
          <w:rFonts w:ascii="Microsoft Sans Serif" w:hAnsi="Microsoft Sans Serif" w:cs="Microsoft Sans Serif"/>
          <w:b/>
          <w:bCs/>
          <w:sz w:val="20"/>
          <w:szCs w:val="20"/>
        </w:rPr>
        <w:t xml:space="preserve">Plodnost, </w:t>
      </w:r>
      <w:r>
        <w:rPr>
          <w:rFonts w:ascii="Microsoft Sans Serif" w:hAnsi="Microsoft Sans Serif" w:cs="Microsoft Sans Serif"/>
          <w:b/>
          <w:bCs/>
          <w:sz w:val="20"/>
          <w:szCs w:val="20"/>
          <w:lang w:val="ru-RU"/>
        </w:rPr>
        <w:t>trudnoć</w:t>
      </w:r>
      <w:r>
        <w:rPr>
          <w:rFonts w:ascii="Microsoft Sans Serif" w:hAnsi="Microsoft Sans Serif" w:cs="Microsoft Sans Serif"/>
          <w:b/>
          <w:bCs/>
          <w:sz w:val="20"/>
          <w:szCs w:val="20"/>
        </w:rPr>
        <w:t>a</w:t>
      </w:r>
      <w:r>
        <w:rPr>
          <w:rFonts w:ascii="Microsoft Sans Serif" w:hAnsi="Microsoft Sans Serif" w:cs="Microsoft Sans Serif"/>
          <w:b/>
          <w:bCs/>
          <w:sz w:val="20"/>
          <w:szCs w:val="20"/>
          <w:lang w:val="ru-RU"/>
        </w:rPr>
        <w:t xml:space="preserve"> i </w:t>
      </w:r>
      <w:r>
        <w:rPr>
          <w:rFonts w:ascii="Microsoft Sans Serif" w:hAnsi="Microsoft Sans Serif" w:cs="Microsoft Sans Serif"/>
          <w:b/>
          <w:bCs/>
          <w:sz w:val="20"/>
          <w:szCs w:val="20"/>
        </w:rPr>
        <w:t>dojenje</w:t>
      </w:r>
    </w:p>
    <w:p w14:paraId="1A0E3115">
      <w:pPr>
        <w:tabs>
          <w:tab w:val="clear" w:pos="284"/>
        </w:tabs>
        <w:rPr>
          <w:rFonts w:ascii="Microsoft Sans Serif" w:hAnsi="Microsoft Sans Serif" w:cs="Microsoft Sans Serif"/>
          <w:sz w:val="20"/>
          <w:szCs w:val="20"/>
          <w:u w:val="single"/>
        </w:rPr>
      </w:pPr>
    </w:p>
    <w:p w14:paraId="2D7DADE6">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Trudnoća</w:t>
      </w:r>
    </w:p>
    <w:p w14:paraId="49851E08">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Bezbjednost i efikasnost rivaroksabana nisu ustanovlјeni kod trudnica. Studije na životinjama pokazale su reproduktivnu toksičnost (pogledati dio 5.3). Zbog moguće reproduktivne toksičnosti, svojstvenog rizika od krvarenja i podataka o tome da rivaroksaban prolazi kroz placentu, lijek Rufixalo je kontraindikovan tokom trudnoće (pogledati dio 4.3).</w:t>
      </w:r>
    </w:p>
    <w:p w14:paraId="12DDEBB5">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Žene u reproduktivnom periodu treba da izbjegavaju trudnoću tokom liječenja rivaroksabanom.</w:t>
      </w:r>
    </w:p>
    <w:p w14:paraId="66A82737">
      <w:pPr>
        <w:tabs>
          <w:tab w:val="clear" w:pos="284"/>
        </w:tabs>
        <w:rPr>
          <w:rFonts w:ascii="Microsoft Sans Serif" w:hAnsi="Microsoft Sans Serif" w:cs="Microsoft Sans Serif"/>
          <w:sz w:val="20"/>
          <w:szCs w:val="20"/>
        </w:rPr>
      </w:pPr>
    </w:p>
    <w:p w14:paraId="5BF5461D">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Dojenje</w:t>
      </w:r>
    </w:p>
    <w:p w14:paraId="6B8FBE45">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Bezbjednost i efikasnost rivaroksabana nisu ustanovlјeni kod dojilјa. Podaci na životinjama ukazuju da se rivaroksaban izlučuje u mlijeko. Stoga, primjena lijeka Rufixalo je kontraindikovana tokom dojenja (pogledati dio 4.3). Mora da se donese odluka da li će se prekinuti dojenje ili napraviti prekid/pauza u terapiji.</w:t>
      </w:r>
    </w:p>
    <w:p w14:paraId="048340F3">
      <w:pPr>
        <w:tabs>
          <w:tab w:val="clear" w:pos="284"/>
        </w:tabs>
        <w:rPr>
          <w:rFonts w:ascii="Microsoft Sans Serif" w:hAnsi="Microsoft Sans Serif" w:cs="Microsoft Sans Serif"/>
          <w:sz w:val="20"/>
          <w:szCs w:val="20"/>
        </w:rPr>
      </w:pPr>
    </w:p>
    <w:p w14:paraId="3A5F62B3">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Plodnost</w:t>
      </w:r>
    </w:p>
    <w:p w14:paraId="785A3E3F">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lang w:val="sr-Cyrl-RS"/>
        </w:rPr>
        <w:t>N</w:t>
      </w:r>
      <w:r>
        <w:rPr>
          <w:rFonts w:ascii="Microsoft Sans Serif" w:hAnsi="Microsoft Sans Serif" w:cs="Microsoft Sans Serif"/>
          <w:sz w:val="20"/>
          <w:szCs w:val="20"/>
        </w:rPr>
        <w:t>isu rađene bilo kakve specifične studije sa rivaroksabanom</w:t>
      </w:r>
      <w:r>
        <w:rPr>
          <w:rFonts w:ascii="Microsoft Sans Serif" w:hAnsi="Microsoft Sans Serif" w:cs="Microsoft Sans Serif"/>
          <w:sz w:val="20"/>
          <w:szCs w:val="20"/>
          <w:lang w:val="sr-Cyrl-RS"/>
        </w:rPr>
        <w:t xml:space="preserve"> kod lјudi</w:t>
      </w:r>
      <w:r>
        <w:rPr>
          <w:rFonts w:ascii="Microsoft Sans Serif" w:hAnsi="Microsoft Sans Serif" w:cs="Microsoft Sans Serif"/>
          <w:sz w:val="20"/>
          <w:szCs w:val="20"/>
        </w:rPr>
        <w:t xml:space="preserve"> radi procjene uticaja na plodnost. U jednoj studiji plodnosti, kod mužjaka i ženki pacova nije uočen bilo kakav uticaj (pogledati dio 5.3).</w:t>
      </w:r>
    </w:p>
    <w:p w14:paraId="3912F332">
      <w:pPr>
        <w:rPr>
          <w:rFonts w:ascii="Microsoft Sans Serif" w:hAnsi="Microsoft Sans Serif" w:cs="Microsoft Sans Serif"/>
          <w:sz w:val="20"/>
          <w:szCs w:val="20"/>
        </w:rPr>
      </w:pPr>
    </w:p>
    <w:p w14:paraId="270885D4">
      <w:pPr>
        <w:rPr>
          <w:rFonts w:ascii="Microsoft Sans Serif" w:hAnsi="Microsoft Sans Serif" w:cs="Microsoft Sans Serif"/>
          <w:b/>
          <w:bCs/>
          <w:spacing w:val="-8"/>
          <w:sz w:val="20"/>
          <w:szCs w:val="20"/>
          <w:lang w:val="ru-RU"/>
        </w:rPr>
      </w:pPr>
      <w:r>
        <w:rPr>
          <w:rFonts w:ascii="Microsoft Sans Serif" w:hAnsi="Microsoft Sans Serif" w:cs="Microsoft Sans Serif"/>
          <w:b/>
          <w:bCs/>
          <w:spacing w:val="-8"/>
          <w:sz w:val="20"/>
          <w:szCs w:val="20"/>
          <w:lang w:val="ru-RU"/>
        </w:rPr>
        <w:t xml:space="preserve">4.7. </w:t>
      </w:r>
      <w:r>
        <w:rPr>
          <w:rFonts w:ascii="Microsoft Sans Serif" w:hAnsi="Microsoft Sans Serif" w:cs="Microsoft Sans Serif"/>
          <w:b/>
          <w:bCs/>
          <w:spacing w:val="-8"/>
          <w:sz w:val="20"/>
          <w:szCs w:val="20"/>
          <w:lang w:val="sr-Latn-CS"/>
        </w:rPr>
        <w:t>Uticaj lijeka na sposobnost upravlјanja vozilima i rukovanja mašinama</w:t>
      </w:r>
    </w:p>
    <w:p w14:paraId="0D02E67E">
      <w:pPr>
        <w:tabs>
          <w:tab w:val="clear" w:pos="284"/>
        </w:tabs>
        <w:rPr>
          <w:rFonts w:ascii="Microsoft Sans Serif" w:hAnsi="Microsoft Sans Serif" w:cs="Microsoft Sans Serif"/>
          <w:sz w:val="20"/>
          <w:szCs w:val="20"/>
        </w:rPr>
      </w:pPr>
    </w:p>
    <w:p w14:paraId="43512665">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w:t>
      </w:r>
      <w:r>
        <w:rPr>
          <w:rFonts w:ascii="Microsoft Sans Serif" w:hAnsi="Microsoft Sans Serif" w:cs="Microsoft Sans Serif"/>
          <w:sz w:val="20"/>
          <w:szCs w:val="20"/>
        </w:rPr>
        <w:t>Rufixalo ima mali uticaj na sposobnosti upravlјanja vozilima i rukovanja mašinama. Prijavlјena su neželјena djelovanja poput sinkope (učestalost: povremena) i vrtoglavice (učestalost: česta)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(pogledati dio 4.8). Pacijenti kod kojih se javlјaju ova neželјena djelovanja ne treba da upravlјaju vozilima ili rukuju mašinama.</w:t>
      </w:r>
    </w:p>
    <w:p w14:paraId="1B3ADA7E">
      <w:pPr>
        <w:rPr>
          <w:rFonts w:ascii="Microsoft Sans Serif" w:hAnsi="Microsoft Sans Serif" w:cs="Microsoft Sans Serif"/>
          <w:sz w:val="20"/>
          <w:szCs w:val="20"/>
        </w:rPr>
      </w:pPr>
    </w:p>
    <w:p w14:paraId="3BDCD988">
      <w:pPr>
        <w:rPr>
          <w:rFonts w:ascii="Microsoft Sans Serif" w:hAnsi="Microsoft Sans Serif" w:cs="Microsoft Sans Serif"/>
          <w:b/>
          <w:bCs/>
          <w:sz w:val="20"/>
          <w:szCs w:val="20"/>
        </w:rPr>
      </w:pPr>
      <w:r>
        <w:rPr>
          <w:rFonts w:ascii="Microsoft Sans Serif" w:hAnsi="Microsoft Sans Serif" w:cs="Microsoft Sans Serif"/>
          <w:b/>
          <w:bCs/>
          <w:sz w:val="20"/>
          <w:szCs w:val="20"/>
        </w:rPr>
        <w:t>4.8. Neželјena djelovanja</w:t>
      </w:r>
    </w:p>
    <w:p w14:paraId="2292145E">
      <w:pPr>
        <w:rPr>
          <w:rFonts w:ascii="Microsoft Sans Serif" w:hAnsi="Microsoft Sans Serif" w:cs="Microsoft Sans Serif"/>
          <w:sz w:val="20"/>
          <w:szCs w:val="20"/>
          <w:u w:val="single"/>
          <w:lang w:val="hr-HR"/>
        </w:rPr>
      </w:pPr>
    </w:p>
    <w:p w14:paraId="59242B72">
      <w:pPr>
        <w:rPr>
          <w:rFonts w:ascii="Microsoft Sans Serif" w:hAnsi="Microsoft Sans Serif" w:cs="Microsoft Sans Serif"/>
          <w:sz w:val="20"/>
          <w:szCs w:val="20"/>
          <w:u w:val="single"/>
        </w:rPr>
      </w:pPr>
      <w:r>
        <w:rPr>
          <w:rFonts w:ascii="Microsoft Sans Serif" w:hAnsi="Microsoft Sans Serif" w:cs="Microsoft Sans Serif"/>
          <w:sz w:val="20"/>
          <w:szCs w:val="20"/>
          <w:u w:val="single"/>
        </w:rPr>
        <w:t>Sažetak bezbjednosnog profila</w:t>
      </w:r>
    </w:p>
    <w:p w14:paraId="5BA39153">
      <w:pPr>
        <w:rPr>
          <w:rFonts w:ascii="Microsoft Sans Serif" w:hAnsi="Microsoft Sans Serif" w:cs="Microsoft Sans Serif"/>
          <w:sz w:val="20"/>
          <w:szCs w:val="20"/>
        </w:rPr>
      </w:pPr>
      <w:r>
        <w:rPr>
          <w:rFonts w:ascii="Microsoft Sans Serif" w:hAnsi="Microsoft Sans Serif" w:cs="Microsoft Sans Serif"/>
          <w:sz w:val="20"/>
          <w:szCs w:val="20"/>
        </w:rPr>
        <w:t xml:space="preserve">Bezbjednost rivaroksabana je procjenjena u trinaest studija Faze III, u koje je uklјučeno 53103 pacijenata koji su primali rivaroksaban i u dvije pedijatrijske studije faze II i </w:t>
      </w:r>
      <w:r>
        <w:rPr>
          <w:rFonts w:ascii="Microsoft Sans Serif" w:hAnsi="Microsoft Sans Serif" w:cs="Microsoft Sans Serif"/>
          <w:sz w:val="20"/>
          <w:szCs w:val="20"/>
          <w:lang w:val="hr-BA"/>
        </w:rPr>
        <w:t xml:space="preserve">jednoj pedijatrijskoj studiji </w:t>
      </w:r>
      <w:r>
        <w:rPr>
          <w:rFonts w:ascii="Microsoft Sans Serif" w:hAnsi="Microsoft Sans Serif" w:cs="Microsoft Sans Serif"/>
          <w:sz w:val="20"/>
          <w:szCs w:val="20"/>
        </w:rPr>
        <w:t>faze III u koje je uključeno412 pacijenata. Pogledajte studije III faze navedene u tabeli 1.</w:t>
      </w:r>
    </w:p>
    <w:p w14:paraId="2D0AFFFC">
      <w:pPr>
        <w:rPr>
          <w:rFonts w:ascii="Microsoft Sans Serif" w:hAnsi="Microsoft Sans Serif" w:cs="Microsoft Sans Serif"/>
          <w:sz w:val="20"/>
          <w:szCs w:val="20"/>
        </w:rPr>
      </w:pPr>
    </w:p>
    <w:p w14:paraId="1A0B306E">
      <w:pPr>
        <w:rPr>
          <w:rFonts w:ascii="Microsoft Sans Serif" w:hAnsi="Microsoft Sans Serif" w:cs="Microsoft Sans Serif"/>
          <w:b/>
          <w:sz w:val="20"/>
          <w:szCs w:val="20"/>
        </w:rPr>
      </w:pPr>
      <w:r>
        <w:rPr>
          <w:rFonts w:ascii="Microsoft Sans Serif" w:hAnsi="Microsoft Sans Serif" w:cs="Microsoft Sans Serif"/>
          <w:b/>
          <w:sz w:val="20"/>
          <w:szCs w:val="20"/>
        </w:rPr>
        <w:t>Tabela 1: Broj pacijenata u studijama, ukupna dnevna doza i maksimalno trajanje terapije</w:t>
      </w:r>
    </w:p>
    <w:p w14:paraId="3A4DA32F">
      <w:pPr>
        <w:rPr>
          <w:rFonts w:ascii="Microsoft Sans Serif" w:hAnsi="Microsoft Sans Serif" w:cs="Microsoft Sans Serif"/>
          <w:b/>
          <w:sz w:val="20"/>
          <w:szCs w:val="20"/>
        </w:rPr>
      </w:pPr>
      <w:r>
        <w:rPr>
          <w:rFonts w:ascii="Microsoft Sans Serif" w:hAnsi="Microsoft Sans Serif" w:cs="Microsoft Sans Serif"/>
          <w:b/>
          <w:sz w:val="20"/>
          <w:szCs w:val="20"/>
        </w:rPr>
        <w:t>u studijama Faze III kod odraslih i djece</w:t>
      </w:r>
    </w:p>
    <w:tbl>
      <w:tblPr>
        <w:tblStyle w:val="7"/>
        <w:tblW w:w="9341" w:type="dxa"/>
        <w:tblInd w:w="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529"/>
        <w:gridCol w:w="1418"/>
        <w:gridCol w:w="2698"/>
        <w:gridCol w:w="1696"/>
      </w:tblGrid>
      <w:tr w14:paraId="4A67E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529" w:type="dxa"/>
            <w:vAlign w:val="center"/>
          </w:tcPr>
          <w:p w14:paraId="4F7A16E4">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Indikacija</w:t>
            </w:r>
          </w:p>
        </w:tc>
        <w:tc>
          <w:tcPr>
            <w:tcW w:w="1418" w:type="dxa"/>
            <w:vAlign w:val="center"/>
          </w:tcPr>
          <w:p w14:paraId="19CD1A59">
            <w:pPr>
              <w:jc w:val="left"/>
              <w:rPr>
                <w:rFonts w:ascii="Microsoft Sans Serif" w:hAnsi="Microsoft Sans Serif" w:cs="Microsoft Sans Serif"/>
                <w:sz w:val="20"/>
                <w:szCs w:val="20"/>
              </w:rPr>
            </w:pPr>
            <w:r>
              <w:rPr>
                <w:rFonts w:ascii="Microsoft Sans Serif" w:hAnsi="Microsoft Sans Serif" w:cs="Microsoft Sans Serif"/>
                <w:b/>
                <w:bCs/>
                <w:sz w:val="20"/>
                <w:szCs w:val="20"/>
                <w:lang w:val="sr-Cyrl-RS"/>
              </w:rPr>
              <w:t>Broj pacijenata</w:t>
            </w:r>
            <w:r>
              <w:rPr>
                <w:rFonts w:ascii="Microsoft Sans Serif" w:hAnsi="Microsoft Sans Serif" w:cs="Microsoft Sans Serif"/>
                <w:b/>
                <w:bCs/>
                <w:sz w:val="20"/>
                <w:szCs w:val="20"/>
              </w:rPr>
              <w:t>*</w:t>
            </w:r>
          </w:p>
        </w:tc>
        <w:tc>
          <w:tcPr>
            <w:tcW w:w="2698" w:type="dxa"/>
            <w:vAlign w:val="center"/>
          </w:tcPr>
          <w:p w14:paraId="6C7882EC">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Ukupna dnevna doza</w:t>
            </w:r>
          </w:p>
        </w:tc>
        <w:tc>
          <w:tcPr>
            <w:tcW w:w="1696" w:type="dxa"/>
            <w:vAlign w:val="center"/>
          </w:tcPr>
          <w:p w14:paraId="66439995">
            <w:pPr>
              <w:jc w:val="left"/>
              <w:rPr>
                <w:rFonts w:ascii="Microsoft Sans Serif" w:hAnsi="Microsoft Sans Serif" w:cs="Microsoft Sans Serif"/>
                <w:sz w:val="20"/>
                <w:szCs w:val="20"/>
              </w:rPr>
            </w:pPr>
            <w:r>
              <w:rPr>
                <w:rFonts w:ascii="Microsoft Sans Serif" w:hAnsi="Microsoft Sans Serif" w:cs="Microsoft Sans Serif"/>
                <w:b/>
                <w:bCs/>
                <w:sz w:val="20"/>
                <w:szCs w:val="20"/>
              </w:rPr>
              <w:t>Maksimalno trajanje terapije</w:t>
            </w:r>
          </w:p>
        </w:tc>
      </w:tr>
      <w:tr w14:paraId="57E67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529" w:type="dxa"/>
          </w:tcPr>
          <w:p w14:paraId="0E3301C8">
            <w:pPr>
              <w:jc w:val="left"/>
              <w:rPr>
                <w:rFonts w:ascii="Microsoft Sans Serif" w:hAnsi="Microsoft Sans Serif" w:cs="Microsoft Sans Serif"/>
                <w:sz w:val="20"/>
                <w:szCs w:val="20"/>
              </w:rPr>
            </w:pPr>
            <w:r>
              <w:rPr>
                <w:rFonts w:ascii="Microsoft Sans Serif" w:hAnsi="Microsoft Sans Serif" w:cs="Microsoft Sans Serif"/>
                <w:sz w:val="20"/>
                <w:szCs w:val="20"/>
              </w:rPr>
              <w:t>Prevencija venske tromboembolije</w:t>
            </w:r>
          </w:p>
          <w:p w14:paraId="55D801A3">
            <w:pPr>
              <w:jc w:val="left"/>
              <w:rPr>
                <w:rFonts w:ascii="Microsoft Sans Serif" w:hAnsi="Microsoft Sans Serif" w:cs="Microsoft Sans Serif"/>
                <w:sz w:val="20"/>
                <w:szCs w:val="20"/>
              </w:rPr>
            </w:pPr>
            <w:r>
              <w:rPr>
                <w:rFonts w:ascii="Microsoft Sans Serif" w:hAnsi="Microsoft Sans Serif" w:cs="Microsoft Sans Serif"/>
                <w:sz w:val="20"/>
                <w:szCs w:val="20"/>
              </w:rPr>
              <w:t>(VTE) kod odraslih pacijenata koji</w:t>
            </w:r>
          </w:p>
          <w:p w14:paraId="5AC3BBF4">
            <w:pPr>
              <w:jc w:val="left"/>
              <w:rPr>
                <w:rFonts w:ascii="Microsoft Sans Serif" w:hAnsi="Microsoft Sans Serif" w:cs="Microsoft Sans Serif"/>
                <w:sz w:val="20"/>
                <w:szCs w:val="20"/>
              </w:rPr>
            </w:pPr>
            <w:r>
              <w:rPr>
                <w:rFonts w:ascii="Microsoft Sans Serif" w:hAnsi="Microsoft Sans Serif" w:cs="Microsoft Sans Serif"/>
                <w:sz w:val="20"/>
                <w:szCs w:val="20"/>
              </w:rPr>
              <w:t>se podvrgavaju elektivnoj</w:t>
            </w:r>
          </w:p>
          <w:p w14:paraId="220E7581">
            <w:pPr>
              <w:jc w:val="left"/>
              <w:rPr>
                <w:rFonts w:ascii="Microsoft Sans Serif" w:hAnsi="Microsoft Sans Serif" w:cs="Microsoft Sans Serif"/>
                <w:sz w:val="20"/>
                <w:szCs w:val="20"/>
              </w:rPr>
            </w:pPr>
            <w:r>
              <w:rPr>
                <w:rFonts w:ascii="Microsoft Sans Serif" w:hAnsi="Microsoft Sans Serif" w:cs="Microsoft Sans Serif"/>
                <w:sz w:val="20"/>
                <w:szCs w:val="20"/>
              </w:rPr>
              <w:t>hirurškoj intervenciji zamjene kuka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koljena</w:t>
            </w:r>
          </w:p>
        </w:tc>
        <w:tc>
          <w:tcPr>
            <w:tcW w:w="1418" w:type="dxa"/>
          </w:tcPr>
          <w:p w14:paraId="1FBEA4FD">
            <w:pPr>
              <w:jc w:val="left"/>
              <w:rPr>
                <w:rFonts w:ascii="Microsoft Sans Serif" w:hAnsi="Microsoft Sans Serif" w:cs="Microsoft Sans Serif"/>
                <w:sz w:val="20"/>
                <w:szCs w:val="20"/>
              </w:rPr>
            </w:pPr>
            <w:r>
              <w:rPr>
                <w:rFonts w:ascii="Microsoft Sans Serif" w:hAnsi="Microsoft Sans Serif" w:cs="Microsoft Sans Serif"/>
                <w:sz w:val="20"/>
                <w:szCs w:val="20"/>
              </w:rPr>
              <w:t>6,097</w:t>
            </w:r>
          </w:p>
        </w:tc>
        <w:tc>
          <w:tcPr>
            <w:tcW w:w="2698" w:type="dxa"/>
          </w:tcPr>
          <w:p w14:paraId="6FCC508E">
            <w:pPr>
              <w:jc w:val="left"/>
              <w:rPr>
                <w:rFonts w:ascii="Microsoft Sans Serif" w:hAnsi="Microsoft Sans Serif" w:cs="Microsoft Sans Serif"/>
                <w:sz w:val="20"/>
                <w:szCs w:val="20"/>
              </w:rPr>
            </w:pPr>
            <w:r>
              <w:rPr>
                <w:rFonts w:ascii="Microsoft Sans Serif" w:hAnsi="Microsoft Sans Serif" w:cs="Microsoft Sans Serif"/>
                <w:sz w:val="20"/>
                <w:szCs w:val="20"/>
              </w:rPr>
              <w:t>10 mg</w:t>
            </w:r>
          </w:p>
        </w:tc>
        <w:tc>
          <w:tcPr>
            <w:tcW w:w="1696" w:type="dxa"/>
          </w:tcPr>
          <w:p w14:paraId="0C3B3ED7">
            <w:pPr>
              <w:jc w:val="left"/>
              <w:rPr>
                <w:rFonts w:ascii="Microsoft Sans Serif" w:hAnsi="Microsoft Sans Serif" w:cs="Microsoft Sans Serif"/>
                <w:sz w:val="20"/>
                <w:szCs w:val="20"/>
              </w:rPr>
            </w:pPr>
            <w:r>
              <w:rPr>
                <w:rFonts w:ascii="Microsoft Sans Serif" w:hAnsi="Microsoft Sans Serif" w:cs="Microsoft Sans Serif"/>
                <w:sz w:val="20"/>
                <w:szCs w:val="20"/>
              </w:rPr>
              <w:t>39 dana</w:t>
            </w:r>
          </w:p>
        </w:tc>
      </w:tr>
      <w:tr w14:paraId="11F1D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529" w:type="dxa"/>
          </w:tcPr>
          <w:p w14:paraId="40609EA0">
            <w:pPr>
              <w:jc w:val="left"/>
              <w:rPr>
                <w:rFonts w:ascii="Microsoft Sans Serif" w:hAnsi="Microsoft Sans Serif" w:cs="Microsoft Sans Serif"/>
                <w:sz w:val="20"/>
                <w:szCs w:val="20"/>
              </w:rPr>
            </w:pPr>
            <w:r>
              <w:rPr>
                <w:rFonts w:ascii="Microsoft Sans Serif" w:hAnsi="Microsoft Sans Serif" w:cs="Microsoft Sans Serif"/>
                <w:sz w:val="20"/>
                <w:szCs w:val="20"/>
              </w:rPr>
              <w:t>Prevencija venske tromboembolije</w:t>
            </w:r>
          </w:p>
          <w:p w14:paraId="55B242CE">
            <w:pPr>
              <w:jc w:val="left"/>
              <w:rPr>
                <w:rFonts w:ascii="Microsoft Sans Serif" w:hAnsi="Microsoft Sans Serif" w:cs="Microsoft Sans Serif"/>
                <w:sz w:val="20"/>
                <w:szCs w:val="20"/>
              </w:rPr>
            </w:pPr>
            <w:r>
              <w:rPr>
                <w:rFonts w:ascii="Microsoft Sans Serif" w:hAnsi="Microsoft Sans Serif" w:cs="Microsoft Sans Serif"/>
                <w:sz w:val="20"/>
                <w:szCs w:val="20"/>
              </w:rPr>
              <w:t>(VTE) kod hospitalizovanih</w:t>
            </w:r>
          </w:p>
          <w:p w14:paraId="32B9BB25">
            <w:pPr>
              <w:jc w:val="left"/>
              <w:rPr>
                <w:rFonts w:ascii="Microsoft Sans Serif" w:hAnsi="Microsoft Sans Serif" w:cs="Microsoft Sans Serif"/>
                <w:sz w:val="20"/>
                <w:szCs w:val="20"/>
              </w:rPr>
            </w:pPr>
            <w:r>
              <w:rPr>
                <w:rFonts w:ascii="Microsoft Sans Serif" w:hAnsi="Microsoft Sans Serif" w:cs="Microsoft Sans Serif"/>
                <w:sz w:val="20"/>
                <w:szCs w:val="20"/>
              </w:rPr>
              <w:t>hroničnih pacijenata</w:t>
            </w:r>
          </w:p>
        </w:tc>
        <w:tc>
          <w:tcPr>
            <w:tcW w:w="1418" w:type="dxa"/>
          </w:tcPr>
          <w:p w14:paraId="1A4D39E9">
            <w:pPr>
              <w:jc w:val="left"/>
              <w:rPr>
                <w:rFonts w:ascii="Microsoft Sans Serif" w:hAnsi="Microsoft Sans Serif" w:cs="Microsoft Sans Serif"/>
                <w:sz w:val="20"/>
                <w:szCs w:val="20"/>
              </w:rPr>
            </w:pPr>
            <w:r>
              <w:rPr>
                <w:rFonts w:ascii="Microsoft Sans Serif" w:hAnsi="Microsoft Sans Serif" w:cs="Microsoft Sans Serif"/>
                <w:sz w:val="20"/>
                <w:szCs w:val="20"/>
              </w:rPr>
              <w:t>3,997</w:t>
            </w:r>
          </w:p>
        </w:tc>
        <w:tc>
          <w:tcPr>
            <w:tcW w:w="2698" w:type="dxa"/>
          </w:tcPr>
          <w:p w14:paraId="1FB34D5A">
            <w:pPr>
              <w:jc w:val="left"/>
              <w:rPr>
                <w:rFonts w:ascii="Microsoft Sans Serif" w:hAnsi="Microsoft Sans Serif" w:cs="Microsoft Sans Serif"/>
                <w:sz w:val="20"/>
                <w:szCs w:val="20"/>
              </w:rPr>
            </w:pPr>
            <w:r>
              <w:rPr>
                <w:rFonts w:ascii="Microsoft Sans Serif" w:hAnsi="Microsoft Sans Serif" w:cs="Microsoft Sans Serif"/>
                <w:sz w:val="20"/>
                <w:szCs w:val="20"/>
              </w:rPr>
              <w:t>10 mg</w:t>
            </w:r>
          </w:p>
        </w:tc>
        <w:tc>
          <w:tcPr>
            <w:tcW w:w="1696" w:type="dxa"/>
          </w:tcPr>
          <w:p w14:paraId="3CAB47E4">
            <w:pPr>
              <w:jc w:val="left"/>
              <w:rPr>
                <w:rFonts w:ascii="Microsoft Sans Serif" w:hAnsi="Microsoft Sans Serif" w:cs="Microsoft Sans Serif"/>
                <w:sz w:val="20"/>
                <w:szCs w:val="20"/>
              </w:rPr>
            </w:pPr>
            <w:r>
              <w:rPr>
                <w:rFonts w:ascii="Microsoft Sans Serif" w:hAnsi="Microsoft Sans Serif" w:cs="Microsoft Sans Serif"/>
                <w:sz w:val="20"/>
                <w:szCs w:val="20"/>
              </w:rPr>
              <w:t>39 dana</w:t>
            </w:r>
          </w:p>
        </w:tc>
      </w:tr>
      <w:tr w14:paraId="362BA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529" w:type="dxa"/>
          </w:tcPr>
          <w:p w14:paraId="0636F399">
            <w:pPr>
              <w:jc w:val="left"/>
              <w:rPr>
                <w:rFonts w:ascii="Microsoft Sans Serif" w:hAnsi="Microsoft Sans Serif" w:cs="Microsoft Sans Serif"/>
                <w:sz w:val="20"/>
                <w:szCs w:val="20"/>
                <w:lang w:val="sr-Cyrl-RS"/>
              </w:rPr>
            </w:pPr>
            <w:r>
              <w:rPr>
                <w:rFonts w:ascii="Microsoft Sans Serif" w:hAnsi="Microsoft Sans Serif" w:cs="Microsoft Sans Serif"/>
                <w:sz w:val="20"/>
                <w:szCs w:val="20"/>
              </w:rPr>
              <w:t xml:space="preserve">Terapija </w:t>
            </w:r>
            <w:r>
              <w:rPr>
                <w:rFonts w:ascii="Microsoft Sans Serif" w:hAnsi="Microsoft Sans Serif" w:cs="Microsoft Sans Serif"/>
                <w:sz w:val="20"/>
                <w:szCs w:val="20"/>
                <w:lang w:val="sr-Cyrl-RS"/>
              </w:rPr>
              <w:t>duboke venske tromboze</w:t>
            </w:r>
          </w:p>
          <w:p w14:paraId="052BDC99">
            <w:pPr>
              <w:jc w:val="left"/>
              <w:rPr>
                <w:rFonts w:ascii="Microsoft Sans Serif" w:hAnsi="Microsoft Sans Serif" w:cs="Microsoft Sans Serif"/>
                <w:sz w:val="20"/>
                <w:szCs w:val="20"/>
              </w:rPr>
            </w:pPr>
            <w:r>
              <w:rPr>
                <w:rFonts w:ascii="Microsoft Sans Serif" w:hAnsi="Microsoft Sans Serif" w:cs="Microsoft Sans Serif"/>
                <w:sz w:val="20"/>
                <w:szCs w:val="20"/>
              </w:rPr>
              <w:t>(DV</w:t>
            </w:r>
            <w:r>
              <w:rPr>
                <w:rFonts w:ascii="Microsoft Sans Serif" w:hAnsi="Microsoft Sans Serif" w:cs="Microsoft Sans Serif"/>
                <w:sz w:val="20"/>
                <w:szCs w:val="20"/>
                <w:lang w:val="sr-Cyrl-RS"/>
              </w:rPr>
              <w:t>T</w:t>
            </w:r>
            <w:r>
              <w:rPr>
                <w:rFonts w:ascii="Microsoft Sans Serif" w:hAnsi="Microsoft Sans Serif" w:cs="Microsoft Sans Serif"/>
                <w:sz w:val="20"/>
                <w:szCs w:val="20"/>
              </w:rPr>
              <w:t>), plućne embolije (PE) i</w:t>
            </w:r>
          </w:p>
          <w:p w14:paraId="7EBA8CE8">
            <w:pPr>
              <w:jc w:val="left"/>
              <w:rPr>
                <w:rFonts w:ascii="Microsoft Sans Serif" w:hAnsi="Microsoft Sans Serif" w:cs="Microsoft Sans Serif"/>
                <w:sz w:val="20"/>
                <w:szCs w:val="20"/>
              </w:rPr>
            </w:pPr>
            <w:r>
              <w:rPr>
                <w:rFonts w:ascii="Microsoft Sans Serif" w:hAnsi="Microsoft Sans Serif" w:cs="Microsoft Sans Serif"/>
                <w:sz w:val="20"/>
                <w:szCs w:val="20"/>
              </w:rPr>
              <w:t>prevencija njihovog ponovnog</w:t>
            </w:r>
          </w:p>
          <w:p w14:paraId="55BC8A61">
            <w:pPr>
              <w:jc w:val="left"/>
              <w:rPr>
                <w:rFonts w:ascii="Microsoft Sans Serif" w:hAnsi="Microsoft Sans Serif" w:cs="Microsoft Sans Serif"/>
                <w:sz w:val="20"/>
                <w:szCs w:val="20"/>
              </w:rPr>
            </w:pPr>
            <w:r>
              <w:rPr>
                <w:rFonts w:ascii="Microsoft Sans Serif" w:hAnsi="Microsoft Sans Serif" w:cs="Microsoft Sans Serif"/>
                <w:sz w:val="20"/>
                <w:szCs w:val="20"/>
              </w:rPr>
              <w:t>javlјanja</w:t>
            </w:r>
          </w:p>
        </w:tc>
        <w:tc>
          <w:tcPr>
            <w:tcW w:w="1418" w:type="dxa"/>
          </w:tcPr>
          <w:p w14:paraId="3D158CDF">
            <w:pPr>
              <w:jc w:val="left"/>
              <w:rPr>
                <w:rFonts w:ascii="Microsoft Sans Serif" w:hAnsi="Microsoft Sans Serif" w:cs="Microsoft Sans Serif"/>
                <w:sz w:val="20"/>
                <w:szCs w:val="20"/>
              </w:rPr>
            </w:pPr>
            <w:r>
              <w:rPr>
                <w:rFonts w:ascii="Microsoft Sans Serif" w:hAnsi="Microsoft Sans Serif" w:cs="Microsoft Sans Serif"/>
                <w:sz w:val="20"/>
                <w:szCs w:val="20"/>
              </w:rPr>
              <w:t>6,790</w:t>
            </w:r>
          </w:p>
        </w:tc>
        <w:tc>
          <w:tcPr>
            <w:tcW w:w="2698" w:type="dxa"/>
          </w:tcPr>
          <w:p w14:paraId="7ECA147C">
            <w:pPr>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Od 1. do 21. dana</w:t>
            </w:r>
            <w:r>
              <w:rPr>
                <w:rFonts w:ascii="Microsoft Sans Serif" w:hAnsi="Microsoft Sans Serif" w:cs="Microsoft Sans Serif"/>
                <w:sz w:val="20"/>
                <w:szCs w:val="20"/>
              </w:rPr>
              <w:t>: 30 mg</w:t>
            </w:r>
          </w:p>
          <w:p w14:paraId="2980D235">
            <w:pPr>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Od 22. dana nadalјe</w:t>
            </w:r>
            <w:r>
              <w:rPr>
                <w:rFonts w:ascii="Microsoft Sans Serif" w:hAnsi="Microsoft Sans Serif" w:cs="Microsoft Sans Serif"/>
                <w:sz w:val="20"/>
                <w:szCs w:val="20"/>
              </w:rPr>
              <w:t>: 20 mg</w:t>
            </w:r>
          </w:p>
          <w:p w14:paraId="4E0D0A27">
            <w:pPr>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Nakon najmanje 6 mjeseci</w:t>
            </w:r>
            <w:r>
              <w:rPr>
                <w:rFonts w:ascii="Microsoft Sans Serif" w:hAnsi="Microsoft Sans Serif" w:cs="Microsoft Sans Serif"/>
                <w:sz w:val="20"/>
                <w:szCs w:val="20"/>
              </w:rPr>
              <w:t>:</w:t>
            </w:r>
          </w:p>
          <w:p w14:paraId="654B5E45">
            <w:pPr>
              <w:jc w:val="left"/>
              <w:rPr>
                <w:rFonts w:ascii="Microsoft Sans Serif" w:hAnsi="Microsoft Sans Serif" w:cs="Microsoft Sans Serif"/>
                <w:sz w:val="20"/>
                <w:szCs w:val="20"/>
              </w:rPr>
            </w:pPr>
            <w:r>
              <w:rPr>
                <w:rFonts w:ascii="Microsoft Sans Serif" w:hAnsi="Microsoft Sans Serif" w:cs="Microsoft Sans Serif"/>
                <w:sz w:val="20"/>
                <w:szCs w:val="20"/>
              </w:rPr>
              <w:t>10 mg ili 20 mg</w:t>
            </w:r>
          </w:p>
        </w:tc>
        <w:tc>
          <w:tcPr>
            <w:tcW w:w="1696" w:type="dxa"/>
          </w:tcPr>
          <w:p w14:paraId="176C70AF">
            <w:pPr>
              <w:jc w:val="left"/>
              <w:rPr>
                <w:rFonts w:ascii="Microsoft Sans Serif" w:hAnsi="Microsoft Sans Serif" w:cs="Microsoft Sans Serif"/>
                <w:sz w:val="20"/>
                <w:szCs w:val="20"/>
              </w:rPr>
            </w:pPr>
            <w:r>
              <w:rPr>
                <w:rFonts w:ascii="Microsoft Sans Serif" w:hAnsi="Microsoft Sans Serif" w:cs="Microsoft Sans Serif"/>
                <w:sz w:val="20"/>
                <w:szCs w:val="20"/>
              </w:rPr>
              <w:t>21 mjesec</w:t>
            </w:r>
          </w:p>
        </w:tc>
      </w:tr>
      <w:tr w14:paraId="0FFF9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529" w:type="dxa"/>
          </w:tcPr>
          <w:p w14:paraId="666E3A08">
            <w:pPr>
              <w:jc w:val="left"/>
              <w:rPr>
                <w:rFonts w:ascii="Microsoft Sans Serif" w:hAnsi="Microsoft Sans Serif" w:cs="Microsoft Sans Serif"/>
                <w:sz w:val="20"/>
                <w:szCs w:val="20"/>
              </w:rPr>
            </w:pPr>
            <w:r>
              <w:rPr>
                <w:rFonts w:ascii="Microsoft Sans Serif" w:hAnsi="Microsoft Sans Serif" w:cs="Microsoft Sans Serif"/>
                <w:sz w:val="20"/>
                <w:szCs w:val="20"/>
              </w:rPr>
              <w:t>Liječenje VTE i prevencija recidiva VTE kod novorođenčadi rođenih u terminu i djece mlađe od 18 godina nakon započinjanja standardnog antikoagulacionog tretmana</w:t>
            </w:r>
          </w:p>
        </w:tc>
        <w:tc>
          <w:tcPr>
            <w:tcW w:w="1418" w:type="dxa"/>
          </w:tcPr>
          <w:p w14:paraId="2DB543FC">
            <w:pPr>
              <w:jc w:val="left"/>
              <w:rPr>
                <w:rFonts w:ascii="Microsoft Sans Serif" w:hAnsi="Microsoft Sans Serif" w:cs="Microsoft Sans Serif"/>
                <w:sz w:val="20"/>
                <w:szCs w:val="20"/>
              </w:rPr>
            </w:pPr>
            <w:r>
              <w:t>329</w:t>
            </w:r>
          </w:p>
        </w:tc>
        <w:tc>
          <w:tcPr>
            <w:tcW w:w="2698" w:type="dxa"/>
          </w:tcPr>
          <w:p w14:paraId="2E375ADC">
            <w:pPr>
              <w:jc w:val="left"/>
              <w:rPr>
                <w:rFonts w:ascii="Microsoft Sans Serif" w:hAnsi="Microsoft Sans Serif" w:cs="Microsoft Sans Serif"/>
                <w:sz w:val="20"/>
                <w:szCs w:val="20"/>
                <w:lang w:val="sr-Cyrl-RS"/>
              </w:rPr>
            </w:pPr>
            <w:r>
              <w:rPr>
                <w:rFonts w:ascii="Microsoft Sans Serif" w:hAnsi="Microsoft Sans Serif" w:cs="Microsoft Sans Serif"/>
                <w:sz w:val="20"/>
                <w:szCs w:val="20"/>
              </w:rPr>
              <w:t>Doza prilagođena tjelesnoj težini da bi se postigla slična izloženost kao kod odraslih liječenih od DVT sa 20 mg rivaroksabana jednom dnevno</w:t>
            </w:r>
          </w:p>
        </w:tc>
        <w:tc>
          <w:tcPr>
            <w:tcW w:w="1696" w:type="dxa"/>
          </w:tcPr>
          <w:p w14:paraId="1CA56425">
            <w:pPr>
              <w:jc w:val="left"/>
              <w:rPr>
                <w:rFonts w:ascii="Microsoft Sans Serif" w:hAnsi="Microsoft Sans Serif" w:cs="Microsoft Sans Serif"/>
                <w:sz w:val="20"/>
                <w:szCs w:val="20"/>
              </w:rPr>
            </w:pPr>
            <w:r>
              <w:rPr>
                <w:rFonts w:ascii="Microsoft Sans Serif" w:hAnsi="Microsoft Sans Serif" w:cs="Microsoft Sans Serif"/>
                <w:sz w:val="20"/>
                <w:szCs w:val="20"/>
              </w:rPr>
              <w:t>12 mjeseci</w:t>
            </w:r>
          </w:p>
        </w:tc>
      </w:tr>
      <w:tr w14:paraId="2FFD9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529" w:type="dxa"/>
          </w:tcPr>
          <w:p w14:paraId="5B7A6A1E">
            <w:pPr>
              <w:jc w:val="left"/>
              <w:rPr>
                <w:rFonts w:ascii="Microsoft Sans Serif" w:hAnsi="Microsoft Sans Serif" w:cs="Microsoft Sans Serif"/>
                <w:sz w:val="20"/>
                <w:szCs w:val="20"/>
              </w:rPr>
            </w:pPr>
            <w:r>
              <w:rPr>
                <w:rFonts w:ascii="Microsoft Sans Serif" w:hAnsi="Microsoft Sans Serif" w:cs="Microsoft Sans Serif"/>
                <w:sz w:val="20"/>
                <w:szCs w:val="20"/>
              </w:rPr>
              <w:t>Prevencija moždanog udara i</w:t>
            </w:r>
          </w:p>
          <w:p w14:paraId="0245F0D8">
            <w:pPr>
              <w:jc w:val="left"/>
              <w:rPr>
                <w:rFonts w:ascii="Microsoft Sans Serif" w:hAnsi="Microsoft Sans Serif" w:cs="Microsoft Sans Serif"/>
                <w:sz w:val="20"/>
                <w:szCs w:val="20"/>
              </w:rPr>
            </w:pPr>
            <w:r>
              <w:rPr>
                <w:rFonts w:ascii="Microsoft Sans Serif" w:hAnsi="Microsoft Sans Serif" w:cs="Microsoft Sans Serif"/>
                <w:sz w:val="20"/>
                <w:szCs w:val="20"/>
              </w:rPr>
              <w:t>sistemske embolije kod</w:t>
            </w:r>
          </w:p>
          <w:p w14:paraId="5035502E">
            <w:pPr>
              <w:jc w:val="left"/>
              <w:rPr>
                <w:rFonts w:ascii="Microsoft Sans Serif" w:hAnsi="Microsoft Sans Serif" w:cs="Microsoft Sans Serif"/>
                <w:sz w:val="20"/>
                <w:szCs w:val="20"/>
              </w:rPr>
            </w:pPr>
            <w:r>
              <w:rPr>
                <w:rFonts w:ascii="Microsoft Sans Serif" w:hAnsi="Microsoft Sans Serif" w:cs="Microsoft Sans Serif"/>
                <w:sz w:val="20"/>
                <w:szCs w:val="20"/>
              </w:rPr>
              <w:t>pacijenata sa nevalvularnom</w:t>
            </w:r>
          </w:p>
          <w:p w14:paraId="2851DA05">
            <w:pPr>
              <w:jc w:val="left"/>
              <w:rPr>
                <w:rFonts w:ascii="Microsoft Sans Serif" w:hAnsi="Microsoft Sans Serif" w:cs="Microsoft Sans Serif"/>
                <w:sz w:val="20"/>
                <w:szCs w:val="20"/>
              </w:rPr>
            </w:pPr>
            <w:r>
              <w:rPr>
                <w:rFonts w:ascii="Microsoft Sans Serif" w:hAnsi="Microsoft Sans Serif" w:cs="Microsoft Sans Serif"/>
                <w:sz w:val="20"/>
                <w:szCs w:val="20"/>
              </w:rPr>
              <w:t>atrijalnom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fibrilacijom</w:t>
            </w:r>
          </w:p>
        </w:tc>
        <w:tc>
          <w:tcPr>
            <w:tcW w:w="1418" w:type="dxa"/>
          </w:tcPr>
          <w:p w14:paraId="6725AC1C">
            <w:pPr>
              <w:jc w:val="left"/>
              <w:rPr>
                <w:rFonts w:ascii="Microsoft Sans Serif" w:hAnsi="Microsoft Sans Serif" w:cs="Microsoft Sans Serif"/>
                <w:sz w:val="20"/>
                <w:szCs w:val="20"/>
              </w:rPr>
            </w:pPr>
            <w:r>
              <w:rPr>
                <w:rFonts w:ascii="Microsoft Sans Serif" w:hAnsi="Microsoft Sans Serif" w:cs="Microsoft Sans Serif"/>
                <w:sz w:val="20"/>
                <w:szCs w:val="20"/>
              </w:rPr>
              <w:t>7,750</w:t>
            </w:r>
          </w:p>
        </w:tc>
        <w:tc>
          <w:tcPr>
            <w:tcW w:w="2698" w:type="dxa"/>
          </w:tcPr>
          <w:p w14:paraId="2B489427">
            <w:pPr>
              <w:jc w:val="left"/>
              <w:rPr>
                <w:rFonts w:ascii="Microsoft Sans Serif" w:hAnsi="Microsoft Sans Serif" w:cs="Microsoft Sans Serif"/>
                <w:sz w:val="20"/>
                <w:szCs w:val="20"/>
              </w:rPr>
            </w:pPr>
            <w:r>
              <w:rPr>
                <w:rFonts w:ascii="Microsoft Sans Serif" w:hAnsi="Microsoft Sans Serif" w:cs="Microsoft Sans Serif"/>
                <w:sz w:val="20"/>
                <w:szCs w:val="20"/>
              </w:rPr>
              <w:t>20 mg</w:t>
            </w:r>
          </w:p>
        </w:tc>
        <w:tc>
          <w:tcPr>
            <w:tcW w:w="1696" w:type="dxa"/>
          </w:tcPr>
          <w:p w14:paraId="1A6857D0">
            <w:pPr>
              <w:jc w:val="left"/>
              <w:rPr>
                <w:rFonts w:ascii="Microsoft Sans Serif" w:hAnsi="Microsoft Sans Serif" w:cs="Microsoft Sans Serif"/>
                <w:sz w:val="20"/>
                <w:szCs w:val="20"/>
              </w:rPr>
            </w:pPr>
            <w:r>
              <w:rPr>
                <w:rFonts w:ascii="Microsoft Sans Serif" w:hAnsi="Microsoft Sans Serif" w:cs="Microsoft Sans Serif"/>
                <w:sz w:val="20"/>
                <w:szCs w:val="20"/>
              </w:rPr>
              <w:t>41 mjesec</w:t>
            </w:r>
          </w:p>
        </w:tc>
      </w:tr>
      <w:tr w14:paraId="2BC44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529" w:type="dxa"/>
          </w:tcPr>
          <w:p w14:paraId="2D9DFC82">
            <w:pPr>
              <w:jc w:val="left"/>
              <w:rPr>
                <w:rFonts w:ascii="Microsoft Sans Serif" w:hAnsi="Microsoft Sans Serif" w:cs="Microsoft Sans Serif"/>
                <w:sz w:val="20"/>
                <w:szCs w:val="20"/>
              </w:rPr>
            </w:pPr>
            <w:r>
              <w:rPr>
                <w:rFonts w:ascii="Microsoft Sans Serif" w:hAnsi="Microsoft Sans Serif" w:cs="Microsoft Sans Serif"/>
                <w:sz w:val="20"/>
                <w:szCs w:val="20"/>
              </w:rPr>
              <w:t>Prevencija aterotrombotskih</w:t>
            </w:r>
          </w:p>
          <w:p w14:paraId="20ECD7ED">
            <w:pPr>
              <w:jc w:val="left"/>
              <w:rPr>
                <w:rFonts w:ascii="Microsoft Sans Serif" w:hAnsi="Microsoft Sans Serif" w:cs="Microsoft Sans Serif"/>
                <w:sz w:val="20"/>
                <w:szCs w:val="20"/>
              </w:rPr>
            </w:pPr>
            <w:r>
              <w:rPr>
                <w:rFonts w:ascii="Microsoft Sans Serif" w:hAnsi="Microsoft Sans Serif" w:cs="Microsoft Sans Serif"/>
                <w:sz w:val="20"/>
                <w:szCs w:val="20"/>
              </w:rPr>
              <w:t>događaja kod pacijenata nakon</w:t>
            </w:r>
          </w:p>
          <w:p w14:paraId="39246AA0">
            <w:pPr>
              <w:jc w:val="left"/>
              <w:rPr>
                <w:rFonts w:ascii="Microsoft Sans Serif" w:hAnsi="Microsoft Sans Serif" w:cs="Microsoft Sans Serif"/>
                <w:sz w:val="20"/>
                <w:szCs w:val="20"/>
              </w:rPr>
            </w:pPr>
            <w:r>
              <w:rPr>
                <w:rFonts w:ascii="Microsoft Sans Serif" w:hAnsi="Microsoft Sans Serif" w:cs="Microsoft Sans Serif"/>
                <w:sz w:val="20"/>
                <w:szCs w:val="20"/>
              </w:rPr>
              <w:t>akutnog koronarnog sindroma</w:t>
            </w:r>
          </w:p>
          <w:p w14:paraId="451B5990">
            <w:pPr>
              <w:jc w:val="left"/>
              <w:rPr>
                <w:rFonts w:ascii="Microsoft Sans Serif" w:hAnsi="Microsoft Sans Serif" w:cs="Microsoft Sans Serif"/>
                <w:sz w:val="20"/>
                <w:szCs w:val="20"/>
              </w:rPr>
            </w:pPr>
            <w:r>
              <w:rPr>
                <w:rFonts w:ascii="Microsoft Sans Serif" w:hAnsi="Microsoft Sans Serif" w:cs="Microsoft Sans Serif"/>
                <w:sz w:val="20"/>
                <w:szCs w:val="20"/>
              </w:rPr>
              <w:t>(AKS)</w:t>
            </w:r>
          </w:p>
        </w:tc>
        <w:tc>
          <w:tcPr>
            <w:tcW w:w="1418" w:type="dxa"/>
          </w:tcPr>
          <w:p w14:paraId="4547B032">
            <w:pPr>
              <w:jc w:val="left"/>
              <w:rPr>
                <w:rFonts w:ascii="Microsoft Sans Serif" w:hAnsi="Microsoft Sans Serif" w:cs="Microsoft Sans Serif"/>
                <w:sz w:val="20"/>
                <w:szCs w:val="20"/>
              </w:rPr>
            </w:pPr>
            <w:r>
              <w:rPr>
                <w:rFonts w:ascii="Microsoft Sans Serif" w:hAnsi="Microsoft Sans Serif" w:cs="Microsoft Sans Serif"/>
                <w:sz w:val="20"/>
                <w:szCs w:val="20"/>
              </w:rPr>
              <w:t>10,225</w:t>
            </w:r>
          </w:p>
        </w:tc>
        <w:tc>
          <w:tcPr>
            <w:tcW w:w="2698" w:type="dxa"/>
          </w:tcPr>
          <w:p w14:paraId="6A3F418F">
            <w:pPr>
              <w:jc w:val="left"/>
              <w:rPr>
                <w:rFonts w:ascii="Microsoft Sans Serif" w:hAnsi="Microsoft Sans Serif" w:cs="Microsoft Sans Serif"/>
                <w:sz w:val="20"/>
                <w:szCs w:val="20"/>
                <w:lang w:val="sr-Cyrl-RS"/>
              </w:rPr>
            </w:pPr>
            <w:r>
              <w:rPr>
                <w:rFonts w:ascii="Microsoft Sans Serif" w:hAnsi="Microsoft Sans Serif" w:cs="Microsoft Sans Serif"/>
                <w:sz w:val="20"/>
                <w:szCs w:val="20"/>
              </w:rPr>
              <w:t xml:space="preserve">5 mg ili 10 mg primjenjeno istovremeno uz </w:t>
            </w:r>
            <w:r>
              <w:rPr>
                <w:rFonts w:ascii="Microsoft Sans Serif" w:hAnsi="Microsoft Sans Serif" w:cs="Microsoft Sans Serif"/>
                <w:sz w:val="20"/>
                <w:szCs w:val="20"/>
                <w:lang w:val="sr-Cyrl-RS"/>
              </w:rPr>
              <w:t>ASK ili ASK i klopidogrel ili tiklopidin</w:t>
            </w:r>
          </w:p>
        </w:tc>
        <w:tc>
          <w:tcPr>
            <w:tcW w:w="1696" w:type="dxa"/>
          </w:tcPr>
          <w:p w14:paraId="17C2EB29">
            <w:pPr>
              <w:jc w:val="left"/>
              <w:rPr>
                <w:rFonts w:ascii="Microsoft Sans Serif" w:hAnsi="Microsoft Sans Serif" w:cs="Microsoft Sans Serif"/>
                <w:sz w:val="20"/>
                <w:szCs w:val="20"/>
              </w:rPr>
            </w:pPr>
            <w:r>
              <w:rPr>
                <w:rFonts w:ascii="Microsoft Sans Serif" w:hAnsi="Microsoft Sans Serif" w:cs="Microsoft Sans Serif"/>
                <w:sz w:val="20"/>
                <w:szCs w:val="20"/>
              </w:rPr>
              <w:t>31 mjesec</w:t>
            </w:r>
          </w:p>
        </w:tc>
      </w:tr>
      <w:tr w14:paraId="67B96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529" w:type="dxa"/>
          </w:tcPr>
          <w:p w14:paraId="22DA7A2F">
            <w:pPr>
              <w:jc w:val="left"/>
              <w:rPr>
                <w:rFonts w:ascii="Microsoft Sans Serif" w:hAnsi="Microsoft Sans Serif" w:cs="Microsoft Sans Serif"/>
                <w:sz w:val="20"/>
                <w:szCs w:val="20"/>
              </w:rPr>
            </w:pPr>
            <w:r>
              <w:rPr>
                <w:rFonts w:ascii="Microsoft Sans Serif" w:hAnsi="Microsoft Sans Serif" w:cs="Microsoft Sans Serif"/>
                <w:sz w:val="20"/>
                <w:szCs w:val="20"/>
              </w:rPr>
              <w:t>Prevencija aterotrombotskih</w:t>
            </w:r>
          </w:p>
          <w:p w14:paraId="328E24C8">
            <w:pPr>
              <w:jc w:val="left"/>
              <w:rPr>
                <w:rFonts w:ascii="Microsoft Sans Serif" w:hAnsi="Microsoft Sans Serif" w:cs="Microsoft Sans Serif"/>
                <w:sz w:val="20"/>
                <w:szCs w:val="20"/>
              </w:rPr>
            </w:pPr>
            <w:r>
              <w:rPr>
                <w:rFonts w:ascii="Microsoft Sans Serif" w:hAnsi="Microsoft Sans Serif" w:cs="Microsoft Sans Serif"/>
                <w:sz w:val="20"/>
                <w:szCs w:val="20"/>
              </w:rPr>
              <w:t>događaja kod pacijenata sa</w:t>
            </w:r>
          </w:p>
          <w:p w14:paraId="1225DFFB">
            <w:pPr>
              <w:jc w:val="left"/>
              <w:rPr>
                <w:rFonts w:ascii="Microsoft Sans Serif" w:hAnsi="Microsoft Sans Serif" w:cs="Microsoft Sans Serif"/>
                <w:sz w:val="20"/>
                <w:szCs w:val="20"/>
              </w:rPr>
            </w:pPr>
            <w:r>
              <w:rPr>
                <w:rFonts w:ascii="Microsoft Sans Serif" w:hAnsi="Microsoft Sans Serif" w:cs="Microsoft Sans Serif"/>
                <w:sz w:val="20"/>
                <w:szCs w:val="20"/>
              </w:rPr>
              <w:t>BKA/BPA</w:t>
            </w:r>
          </w:p>
        </w:tc>
        <w:tc>
          <w:tcPr>
            <w:tcW w:w="1418" w:type="dxa"/>
          </w:tcPr>
          <w:p w14:paraId="520E530F">
            <w:pPr>
              <w:jc w:val="left"/>
              <w:rPr>
                <w:rFonts w:ascii="Microsoft Sans Serif" w:hAnsi="Microsoft Sans Serif" w:cs="Microsoft Sans Serif"/>
                <w:sz w:val="20"/>
                <w:szCs w:val="20"/>
              </w:rPr>
            </w:pPr>
            <w:r>
              <w:rPr>
                <w:rFonts w:ascii="Microsoft Sans Serif" w:hAnsi="Microsoft Sans Serif" w:cs="Microsoft Sans Serif"/>
                <w:sz w:val="20"/>
                <w:szCs w:val="20"/>
              </w:rPr>
              <w:t>18,244</w:t>
            </w:r>
          </w:p>
        </w:tc>
        <w:tc>
          <w:tcPr>
            <w:tcW w:w="2698" w:type="dxa"/>
          </w:tcPr>
          <w:p w14:paraId="0A954D1B">
            <w:pPr>
              <w:jc w:val="left"/>
              <w:rPr>
                <w:rFonts w:ascii="Microsoft Sans Serif" w:hAnsi="Microsoft Sans Serif" w:cs="Microsoft Sans Serif"/>
                <w:sz w:val="20"/>
                <w:szCs w:val="20"/>
                <w:lang w:val="sr-Cyrl-RS"/>
              </w:rPr>
            </w:pPr>
            <w:r>
              <w:rPr>
                <w:rFonts w:ascii="Microsoft Sans Serif" w:hAnsi="Microsoft Sans Serif" w:cs="Microsoft Sans Serif"/>
                <w:sz w:val="20"/>
                <w:szCs w:val="20"/>
              </w:rPr>
              <w:t xml:space="preserve">5 mg primjenjeno istovremeno uz </w:t>
            </w:r>
            <w:r>
              <w:rPr>
                <w:rFonts w:ascii="Microsoft Sans Serif" w:hAnsi="Microsoft Sans Serif" w:cs="Microsoft Sans Serif"/>
                <w:sz w:val="20"/>
                <w:szCs w:val="20"/>
                <w:lang w:val="sr-Cyrl-RS"/>
              </w:rPr>
              <w:t>ASK ili 10</w:t>
            </w:r>
            <w:r>
              <w:rPr>
                <w:rFonts w:ascii="Microsoft Sans Serif" w:hAnsi="Microsoft Sans Serif" w:cs="Microsoft Sans Serif"/>
                <w:sz w:val="20"/>
                <w:szCs w:val="20"/>
                <w:lang w:val="sr-Latn-RS"/>
              </w:rPr>
              <w:t xml:space="preserve"> mg</w:t>
            </w:r>
            <w:r>
              <w:rPr>
                <w:rFonts w:ascii="Microsoft Sans Serif" w:hAnsi="Microsoft Sans Serif" w:cs="Microsoft Sans Serif"/>
                <w:sz w:val="20"/>
                <w:szCs w:val="20"/>
                <w:lang w:val="sr-Cyrl-RS"/>
              </w:rPr>
              <w:t xml:space="preserve"> u monoterapiji</w:t>
            </w:r>
          </w:p>
        </w:tc>
        <w:tc>
          <w:tcPr>
            <w:tcW w:w="1696" w:type="dxa"/>
          </w:tcPr>
          <w:p w14:paraId="1CBBB271">
            <w:pPr>
              <w:jc w:val="left"/>
              <w:rPr>
                <w:rFonts w:ascii="Microsoft Sans Serif" w:hAnsi="Microsoft Sans Serif" w:cs="Microsoft Sans Serif"/>
                <w:sz w:val="20"/>
                <w:szCs w:val="20"/>
              </w:rPr>
            </w:pPr>
            <w:r>
              <w:rPr>
                <w:rFonts w:ascii="Microsoft Sans Serif" w:hAnsi="Microsoft Sans Serif" w:cs="Microsoft Sans Serif"/>
                <w:sz w:val="20"/>
                <w:szCs w:val="20"/>
              </w:rPr>
              <w:t>47 mjeseci</w:t>
            </w:r>
          </w:p>
        </w:tc>
      </w:tr>
    </w:tbl>
    <w:p w14:paraId="5CBB6D35">
      <w:pPr>
        <w:jc w:val="left"/>
        <w:rPr>
          <w:rFonts w:ascii="Microsoft Sans Serif" w:hAnsi="Microsoft Sans Serif" w:cs="Microsoft Sans Serif"/>
          <w:sz w:val="20"/>
          <w:szCs w:val="20"/>
        </w:rPr>
      </w:pPr>
      <w:r>
        <w:rPr>
          <w:rFonts w:ascii="Microsoft Sans Serif" w:hAnsi="Microsoft Sans Serif" w:cs="Microsoft Sans Serif"/>
          <w:sz w:val="20"/>
          <w:szCs w:val="20"/>
        </w:rPr>
        <w:t>* Pacijenti koji su primili najmanje jednu dozu rivaroksabanaNajčešće prijavlјena neželјena djelovanja kod pacijenata na terapiji rivaroksabanom su bila krvarenja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(pogledati dio 4.4. i „Opis odbranih neželјenih dejstava”) (Tabela 2). Najčešće prijavlјena krvarenja su bila epistaksa (4,5%) i hemoragije u gastrointestinalnom traktu (3,8%).</w:t>
      </w:r>
    </w:p>
    <w:p w14:paraId="1D598284">
      <w:pPr>
        <w:rPr>
          <w:rFonts w:ascii="Microsoft Sans Serif" w:hAnsi="Microsoft Sans Serif" w:cs="Microsoft Sans Serif"/>
          <w:sz w:val="20"/>
          <w:szCs w:val="20"/>
        </w:rPr>
      </w:pPr>
    </w:p>
    <w:p w14:paraId="0DF0C9E3">
      <w:pPr>
        <w:rPr>
          <w:rFonts w:ascii="Microsoft Sans Serif" w:hAnsi="Microsoft Sans Serif" w:cs="Microsoft Sans Serif"/>
          <w:b/>
          <w:sz w:val="20"/>
          <w:szCs w:val="20"/>
        </w:rPr>
      </w:pPr>
      <w:r>
        <w:rPr>
          <w:rFonts w:ascii="Microsoft Sans Serif" w:hAnsi="Microsoft Sans Serif" w:cs="Microsoft Sans Serif"/>
          <w:b/>
          <w:sz w:val="20"/>
          <w:szCs w:val="20"/>
        </w:rPr>
        <w:t>Tabela 2: Učestalost događaja krvarenja* i anemija kod pacijenata koji su primali rivaroksaban u završenim studijama faze III kod odraslih i djece</w:t>
      </w:r>
    </w:p>
    <w:tbl>
      <w:tblPr>
        <w:tblStyle w:val="7"/>
        <w:tblW w:w="9301" w:type="dxa"/>
        <w:tblInd w:w="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198"/>
        <w:gridCol w:w="2410"/>
        <w:gridCol w:w="2693"/>
      </w:tblGrid>
      <w:tr w14:paraId="211D5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4198" w:type="dxa"/>
          </w:tcPr>
          <w:p w14:paraId="697DCB53">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Indikacija</w:t>
            </w:r>
          </w:p>
        </w:tc>
        <w:tc>
          <w:tcPr>
            <w:tcW w:w="2410" w:type="dxa"/>
          </w:tcPr>
          <w:p w14:paraId="19EE2265">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Bilo kakvo krvarenje</w:t>
            </w:r>
          </w:p>
        </w:tc>
        <w:tc>
          <w:tcPr>
            <w:tcW w:w="2693" w:type="dxa"/>
          </w:tcPr>
          <w:p w14:paraId="5FAA3E1A">
            <w:pPr>
              <w:jc w:val="left"/>
              <w:rPr>
                <w:rFonts w:ascii="Microsoft Sans Serif" w:hAnsi="Microsoft Sans Serif" w:cs="Microsoft Sans Serif"/>
                <w:sz w:val="20"/>
                <w:szCs w:val="20"/>
              </w:rPr>
            </w:pPr>
            <w:r>
              <w:rPr>
                <w:rFonts w:ascii="Microsoft Sans Serif" w:hAnsi="Microsoft Sans Serif" w:cs="Microsoft Sans Serif"/>
                <w:b/>
                <w:bCs/>
                <w:sz w:val="20"/>
                <w:szCs w:val="20"/>
              </w:rPr>
              <w:t>Anemija</w:t>
            </w:r>
          </w:p>
        </w:tc>
      </w:tr>
      <w:tr w14:paraId="656AF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4198" w:type="dxa"/>
          </w:tcPr>
          <w:p w14:paraId="7E420D4C">
            <w:pPr>
              <w:jc w:val="left"/>
              <w:rPr>
                <w:rFonts w:ascii="Microsoft Sans Serif" w:hAnsi="Microsoft Sans Serif" w:cs="Microsoft Sans Serif"/>
                <w:sz w:val="20"/>
                <w:szCs w:val="20"/>
              </w:rPr>
            </w:pPr>
            <w:r>
              <w:rPr>
                <w:rFonts w:ascii="Microsoft Sans Serif" w:hAnsi="Microsoft Sans Serif" w:cs="Microsoft Sans Serif"/>
                <w:sz w:val="20"/>
                <w:szCs w:val="20"/>
              </w:rPr>
              <w:t>Prevencija venske tromboembolije</w:t>
            </w:r>
          </w:p>
          <w:p w14:paraId="47050A28">
            <w:pPr>
              <w:jc w:val="left"/>
              <w:rPr>
                <w:rFonts w:ascii="Microsoft Sans Serif" w:hAnsi="Microsoft Sans Serif" w:cs="Microsoft Sans Serif"/>
                <w:sz w:val="20"/>
                <w:szCs w:val="20"/>
              </w:rPr>
            </w:pPr>
            <w:r>
              <w:rPr>
                <w:rFonts w:ascii="Microsoft Sans Serif" w:hAnsi="Microsoft Sans Serif" w:cs="Microsoft Sans Serif"/>
                <w:sz w:val="20"/>
                <w:szCs w:val="20"/>
              </w:rPr>
              <w:t>(VTE) kod odraslih pacijenata koji</w:t>
            </w:r>
          </w:p>
          <w:p w14:paraId="27636997">
            <w:pPr>
              <w:jc w:val="left"/>
              <w:rPr>
                <w:rFonts w:ascii="Microsoft Sans Serif" w:hAnsi="Microsoft Sans Serif" w:cs="Microsoft Sans Serif"/>
                <w:sz w:val="20"/>
                <w:szCs w:val="20"/>
              </w:rPr>
            </w:pPr>
            <w:r>
              <w:rPr>
                <w:rFonts w:ascii="Microsoft Sans Serif" w:hAnsi="Microsoft Sans Serif" w:cs="Microsoft Sans Serif"/>
                <w:sz w:val="20"/>
                <w:szCs w:val="20"/>
              </w:rPr>
              <w:t>se podvrgavaju elektivnoj</w:t>
            </w:r>
          </w:p>
          <w:p w14:paraId="2BD67D27">
            <w:pPr>
              <w:jc w:val="left"/>
              <w:rPr>
                <w:rFonts w:ascii="Microsoft Sans Serif" w:hAnsi="Microsoft Sans Serif" w:cs="Microsoft Sans Serif"/>
                <w:sz w:val="20"/>
                <w:szCs w:val="20"/>
              </w:rPr>
            </w:pPr>
            <w:r>
              <w:rPr>
                <w:rFonts w:ascii="Microsoft Sans Serif" w:hAnsi="Microsoft Sans Serif" w:cs="Microsoft Sans Serif"/>
                <w:sz w:val="20"/>
                <w:szCs w:val="20"/>
              </w:rPr>
              <w:t>hirurškoj intervenciji zamjene kuka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koljena</w:t>
            </w:r>
          </w:p>
        </w:tc>
        <w:tc>
          <w:tcPr>
            <w:tcW w:w="2410" w:type="dxa"/>
          </w:tcPr>
          <w:p w14:paraId="5E8C1CF4">
            <w:pPr>
              <w:jc w:val="left"/>
              <w:rPr>
                <w:rFonts w:ascii="Microsoft Sans Serif" w:hAnsi="Microsoft Sans Serif" w:cs="Microsoft Sans Serif"/>
                <w:sz w:val="20"/>
                <w:szCs w:val="20"/>
              </w:rPr>
            </w:pPr>
            <w:r>
              <w:rPr>
                <w:rFonts w:ascii="Microsoft Sans Serif" w:hAnsi="Microsoft Sans Serif" w:cs="Microsoft Sans Serif"/>
                <w:sz w:val="20"/>
                <w:szCs w:val="20"/>
              </w:rPr>
              <w:t>6</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 xml:space="preserve">8% </w:t>
            </w:r>
            <w:r>
              <w:rPr>
                <w:rFonts w:ascii="Microsoft Sans Serif" w:hAnsi="Microsoft Sans Serif" w:cs="Microsoft Sans Serif"/>
                <w:sz w:val="20"/>
                <w:szCs w:val="20"/>
                <w:lang w:val="sr-Cyrl-RS"/>
              </w:rPr>
              <w:t>pacijenata</w:t>
            </w:r>
          </w:p>
        </w:tc>
        <w:tc>
          <w:tcPr>
            <w:tcW w:w="2693" w:type="dxa"/>
          </w:tcPr>
          <w:p w14:paraId="403FAA09">
            <w:pPr>
              <w:jc w:val="left"/>
              <w:rPr>
                <w:rFonts w:ascii="Microsoft Sans Serif" w:hAnsi="Microsoft Sans Serif" w:cs="Microsoft Sans Serif"/>
                <w:sz w:val="20"/>
                <w:szCs w:val="20"/>
              </w:rPr>
            </w:pPr>
            <w:r>
              <w:rPr>
                <w:rFonts w:ascii="Microsoft Sans Serif" w:hAnsi="Microsoft Sans Serif" w:cs="Microsoft Sans Serif"/>
                <w:sz w:val="20"/>
                <w:szCs w:val="20"/>
              </w:rPr>
              <w:t>5</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9% pacijenata</w:t>
            </w:r>
          </w:p>
        </w:tc>
      </w:tr>
      <w:tr w14:paraId="3612D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4198" w:type="dxa"/>
          </w:tcPr>
          <w:p w14:paraId="546977E9">
            <w:pPr>
              <w:jc w:val="left"/>
              <w:rPr>
                <w:rFonts w:ascii="Microsoft Sans Serif" w:hAnsi="Microsoft Sans Serif" w:cs="Microsoft Sans Serif"/>
                <w:sz w:val="20"/>
                <w:szCs w:val="20"/>
              </w:rPr>
            </w:pPr>
            <w:r>
              <w:rPr>
                <w:rFonts w:ascii="Microsoft Sans Serif" w:hAnsi="Microsoft Sans Serif" w:cs="Microsoft Sans Serif"/>
                <w:sz w:val="20"/>
                <w:szCs w:val="20"/>
              </w:rPr>
              <w:t>Prevencija venske tromboembolije</w:t>
            </w:r>
          </w:p>
          <w:p w14:paraId="6D2A08EC">
            <w:pPr>
              <w:jc w:val="left"/>
              <w:rPr>
                <w:rFonts w:ascii="Microsoft Sans Serif" w:hAnsi="Microsoft Sans Serif" w:cs="Microsoft Sans Serif"/>
                <w:sz w:val="20"/>
                <w:szCs w:val="20"/>
              </w:rPr>
            </w:pPr>
            <w:r>
              <w:rPr>
                <w:rFonts w:ascii="Microsoft Sans Serif" w:hAnsi="Microsoft Sans Serif" w:cs="Microsoft Sans Serif"/>
                <w:sz w:val="20"/>
                <w:szCs w:val="20"/>
              </w:rPr>
              <w:t>(VTE) kod hospitalizovanih</w:t>
            </w:r>
          </w:p>
          <w:p w14:paraId="00A5396E">
            <w:pPr>
              <w:jc w:val="left"/>
              <w:rPr>
                <w:rFonts w:ascii="Microsoft Sans Serif" w:hAnsi="Microsoft Sans Serif" w:cs="Microsoft Sans Serif"/>
                <w:sz w:val="20"/>
                <w:szCs w:val="20"/>
              </w:rPr>
            </w:pPr>
            <w:r>
              <w:rPr>
                <w:rFonts w:ascii="Microsoft Sans Serif" w:hAnsi="Microsoft Sans Serif" w:cs="Microsoft Sans Serif"/>
                <w:sz w:val="20"/>
                <w:szCs w:val="20"/>
              </w:rPr>
              <w:t>hroničnih pacijenata</w:t>
            </w:r>
          </w:p>
        </w:tc>
        <w:tc>
          <w:tcPr>
            <w:tcW w:w="2410" w:type="dxa"/>
          </w:tcPr>
          <w:p w14:paraId="5D98CF75">
            <w:pPr>
              <w:jc w:val="left"/>
              <w:rPr>
                <w:rFonts w:ascii="Microsoft Sans Serif" w:hAnsi="Microsoft Sans Serif" w:cs="Microsoft Sans Serif"/>
                <w:sz w:val="20"/>
                <w:szCs w:val="20"/>
              </w:rPr>
            </w:pPr>
            <w:r>
              <w:rPr>
                <w:rFonts w:ascii="Microsoft Sans Serif" w:hAnsi="Microsoft Sans Serif" w:cs="Microsoft Sans Serif"/>
                <w:sz w:val="20"/>
                <w:szCs w:val="20"/>
              </w:rPr>
              <w:t>12</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6% pacijenata</w:t>
            </w:r>
          </w:p>
        </w:tc>
        <w:tc>
          <w:tcPr>
            <w:tcW w:w="2693" w:type="dxa"/>
          </w:tcPr>
          <w:p w14:paraId="4A5B9292">
            <w:pPr>
              <w:jc w:val="left"/>
              <w:rPr>
                <w:rFonts w:ascii="Microsoft Sans Serif" w:hAnsi="Microsoft Sans Serif" w:cs="Microsoft Sans Serif"/>
                <w:sz w:val="20"/>
                <w:szCs w:val="20"/>
              </w:rPr>
            </w:pPr>
            <w:r>
              <w:rPr>
                <w:rFonts w:ascii="Microsoft Sans Serif" w:hAnsi="Microsoft Sans Serif" w:cs="Microsoft Sans Serif"/>
                <w:sz w:val="20"/>
                <w:szCs w:val="20"/>
              </w:rPr>
              <w:t>2</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1% pacijenata</w:t>
            </w:r>
          </w:p>
        </w:tc>
      </w:tr>
      <w:tr w14:paraId="1EF2D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4198" w:type="dxa"/>
          </w:tcPr>
          <w:p w14:paraId="0B31453B">
            <w:pPr>
              <w:jc w:val="left"/>
              <w:rPr>
                <w:rFonts w:ascii="Microsoft Sans Serif" w:hAnsi="Microsoft Sans Serif" w:cs="Microsoft Sans Serif"/>
                <w:sz w:val="20"/>
                <w:szCs w:val="20"/>
              </w:rPr>
            </w:pPr>
            <w:r>
              <w:rPr>
                <w:rFonts w:ascii="Microsoft Sans Serif" w:hAnsi="Microsoft Sans Serif" w:cs="Microsoft Sans Serif"/>
                <w:sz w:val="20"/>
                <w:szCs w:val="20"/>
              </w:rPr>
              <w:t xml:space="preserve">Terapija </w:t>
            </w:r>
            <w:r>
              <w:rPr>
                <w:rFonts w:ascii="Microsoft Sans Serif" w:hAnsi="Microsoft Sans Serif" w:cs="Microsoft Sans Serif"/>
                <w:sz w:val="20"/>
                <w:szCs w:val="20"/>
                <w:lang w:val="sr-Cyrl-RS"/>
              </w:rPr>
              <w:t xml:space="preserve">duboke venske tromboze </w:t>
            </w:r>
            <w:r>
              <w:rPr>
                <w:rFonts w:ascii="Microsoft Sans Serif" w:hAnsi="Microsoft Sans Serif" w:cs="Microsoft Sans Serif"/>
                <w:sz w:val="20"/>
                <w:szCs w:val="20"/>
              </w:rPr>
              <w:t>(DV</w:t>
            </w:r>
            <w:r>
              <w:rPr>
                <w:rFonts w:ascii="Microsoft Sans Serif" w:hAnsi="Microsoft Sans Serif" w:cs="Microsoft Sans Serif"/>
                <w:sz w:val="20"/>
                <w:szCs w:val="20"/>
                <w:lang w:val="sr-Cyrl-RS"/>
              </w:rPr>
              <w:t>T</w:t>
            </w:r>
            <w:r>
              <w:rPr>
                <w:rFonts w:ascii="Microsoft Sans Serif" w:hAnsi="Microsoft Sans Serif" w:cs="Microsoft Sans Serif"/>
                <w:sz w:val="20"/>
                <w:szCs w:val="20"/>
              </w:rPr>
              <w:t>), plućne embolije (PE) i</w:t>
            </w:r>
          </w:p>
          <w:p w14:paraId="7C399816">
            <w:pPr>
              <w:jc w:val="left"/>
              <w:rPr>
                <w:rFonts w:ascii="Microsoft Sans Serif" w:hAnsi="Microsoft Sans Serif" w:cs="Microsoft Sans Serif"/>
                <w:sz w:val="20"/>
                <w:szCs w:val="20"/>
              </w:rPr>
            </w:pPr>
            <w:r>
              <w:rPr>
                <w:rFonts w:ascii="Microsoft Sans Serif" w:hAnsi="Microsoft Sans Serif" w:cs="Microsoft Sans Serif"/>
                <w:sz w:val="20"/>
                <w:szCs w:val="20"/>
              </w:rPr>
              <w:t>prevencija njihovog ponovnog</w:t>
            </w:r>
          </w:p>
          <w:p w14:paraId="488C71E9">
            <w:pPr>
              <w:jc w:val="left"/>
              <w:rPr>
                <w:rFonts w:ascii="Microsoft Sans Serif" w:hAnsi="Microsoft Sans Serif" w:cs="Microsoft Sans Serif"/>
                <w:sz w:val="20"/>
                <w:szCs w:val="20"/>
              </w:rPr>
            </w:pPr>
            <w:r>
              <w:rPr>
                <w:rFonts w:ascii="Microsoft Sans Serif" w:hAnsi="Microsoft Sans Serif" w:cs="Microsoft Sans Serif"/>
                <w:sz w:val="20"/>
                <w:szCs w:val="20"/>
              </w:rPr>
              <w:t>javlјanja</w:t>
            </w:r>
          </w:p>
        </w:tc>
        <w:tc>
          <w:tcPr>
            <w:tcW w:w="2410" w:type="dxa"/>
          </w:tcPr>
          <w:p w14:paraId="4EFAE377">
            <w:pPr>
              <w:jc w:val="left"/>
              <w:rPr>
                <w:rFonts w:ascii="Microsoft Sans Serif" w:hAnsi="Microsoft Sans Serif" w:cs="Microsoft Sans Serif"/>
                <w:sz w:val="20"/>
                <w:szCs w:val="20"/>
              </w:rPr>
            </w:pPr>
            <w:r>
              <w:rPr>
                <w:rFonts w:ascii="Microsoft Sans Serif" w:hAnsi="Microsoft Sans Serif" w:cs="Microsoft Sans Serif"/>
                <w:sz w:val="20"/>
                <w:szCs w:val="20"/>
              </w:rPr>
              <w:t>23% pacijenata</w:t>
            </w:r>
          </w:p>
        </w:tc>
        <w:tc>
          <w:tcPr>
            <w:tcW w:w="2693" w:type="dxa"/>
          </w:tcPr>
          <w:p w14:paraId="09F534AF">
            <w:pPr>
              <w:jc w:val="left"/>
              <w:rPr>
                <w:rFonts w:ascii="Microsoft Sans Serif" w:hAnsi="Microsoft Sans Serif" w:cs="Microsoft Sans Serif"/>
                <w:sz w:val="20"/>
                <w:szCs w:val="20"/>
              </w:rPr>
            </w:pPr>
            <w:r>
              <w:rPr>
                <w:rFonts w:ascii="Microsoft Sans Serif" w:hAnsi="Microsoft Sans Serif" w:cs="Microsoft Sans Serif"/>
                <w:sz w:val="20"/>
                <w:szCs w:val="20"/>
              </w:rPr>
              <w:t>1</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6% pacijenata</w:t>
            </w:r>
          </w:p>
        </w:tc>
      </w:tr>
      <w:tr w14:paraId="1F6BA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4198" w:type="dxa"/>
          </w:tcPr>
          <w:p w14:paraId="33DABE33">
            <w:pPr>
              <w:jc w:val="left"/>
              <w:rPr>
                <w:rFonts w:ascii="Microsoft Sans Serif" w:hAnsi="Microsoft Sans Serif" w:cs="Microsoft Sans Serif"/>
                <w:sz w:val="20"/>
                <w:szCs w:val="20"/>
              </w:rPr>
            </w:pPr>
            <w:r>
              <w:rPr>
                <w:rFonts w:ascii="Microsoft Sans Serif" w:hAnsi="Microsoft Sans Serif" w:cs="Microsoft Sans Serif"/>
                <w:sz w:val="20"/>
                <w:szCs w:val="20"/>
              </w:rPr>
              <w:t>Liječenje VTE i prevencija recidiva VTE kod novorođenčadi rođenih u terminu i djece mlađe od 18 godina nakon započinjanja standardnog antikoagulacionog tretmana</w:t>
            </w:r>
          </w:p>
        </w:tc>
        <w:tc>
          <w:tcPr>
            <w:tcW w:w="2410" w:type="dxa"/>
          </w:tcPr>
          <w:p w14:paraId="69BF72C2">
            <w:pPr>
              <w:jc w:val="left"/>
              <w:rPr>
                <w:rFonts w:ascii="Microsoft Sans Serif" w:hAnsi="Microsoft Sans Serif" w:cs="Microsoft Sans Serif"/>
                <w:sz w:val="20"/>
                <w:szCs w:val="20"/>
              </w:rPr>
            </w:pPr>
            <w:r>
              <w:rPr>
                <w:rFonts w:ascii="Microsoft Sans Serif" w:hAnsi="Microsoft Sans Serif" w:cs="Microsoft Sans Serif"/>
                <w:sz w:val="20"/>
                <w:szCs w:val="20"/>
              </w:rPr>
              <w:t>39.5% pacijenata</w:t>
            </w:r>
          </w:p>
        </w:tc>
        <w:tc>
          <w:tcPr>
            <w:tcW w:w="2693" w:type="dxa"/>
          </w:tcPr>
          <w:p w14:paraId="70A25A36">
            <w:pPr>
              <w:jc w:val="left"/>
              <w:rPr>
                <w:rFonts w:ascii="Microsoft Sans Serif" w:hAnsi="Microsoft Sans Serif" w:cs="Microsoft Sans Serif"/>
                <w:sz w:val="20"/>
                <w:szCs w:val="20"/>
              </w:rPr>
            </w:pPr>
            <w:r>
              <w:rPr>
                <w:rFonts w:ascii="Microsoft Sans Serif" w:hAnsi="Microsoft Sans Serif" w:cs="Microsoft Sans Serif"/>
                <w:sz w:val="20"/>
                <w:szCs w:val="20"/>
              </w:rPr>
              <w:t>4.6% pacijenata</w:t>
            </w:r>
          </w:p>
        </w:tc>
      </w:tr>
      <w:tr w14:paraId="051A8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4198" w:type="dxa"/>
          </w:tcPr>
          <w:p w14:paraId="00C0A1F1">
            <w:pPr>
              <w:jc w:val="left"/>
              <w:rPr>
                <w:rFonts w:ascii="Microsoft Sans Serif" w:hAnsi="Microsoft Sans Serif" w:cs="Microsoft Sans Serif"/>
                <w:sz w:val="20"/>
                <w:szCs w:val="20"/>
              </w:rPr>
            </w:pPr>
            <w:r>
              <w:rPr>
                <w:rFonts w:ascii="Microsoft Sans Serif" w:hAnsi="Microsoft Sans Serif" w:cs="Microsoft Sans Serif"/>
                <w:sz w:val="20"/>
                <w:szCs w:val="20"/>
              </w:rPr>
              <w:t>Prevencija moždanog udara i</w:t>
            </w:r>
          </w:p>
          <w:p w14:paraId="79113D77">
            <w:pPr>
              <w:jc w:val="left"/>
              <w:rPr>
                <w:rFonts w:ascii="Microsoft Sans Serif" w:hAnsi="Microsoft Sans Serif" w:cs="Microsoft Sans Serif"/>
                <w:sz w:val="20"/>
                <w:szCs w:val="20"/>
              </w:rPr>
            </w:pPr>
            <w:r>
              <w:rPr>
                <w:rFonts w:ascii="Microsoft Sans Serif" w:hAnsi="Microsoft Sans Serif" w:cs="Microsoft Sans Serif"/>
                <w:sz w:val="20"/>
                <w:szCs w:val="20"/>
              </w:rPr>
              <w:t>sistemske embolije 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pacijenata sa nevalvularnom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atrijalnom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fibrilacijom</w:t>
            </w:r>
          </w:p>
        </w:tc>
        <w:tc>
          <w:tcPr>
            <w:tcW w:w="2410" w:type="dxa"/>
          </w:tcPr>
          <w:p w14:paraId="256FF0CD">
            <w:pPr>
              <w:jc w:val="left"/>
              <w:rPr>
                <w:rFonts w:ascii="Microsoft Sans Serif" w:hAnsi="Microsoft Sans Serif" w:cs="Microsoft Sans Serif"/>
                <w:sz w:val="20"/>
                <w:szCs w:val="20"/>
              </w:rPr>
            </w:pPr>
            <w:r>
              <w:rPr>
                <w:rFonts w:ascii="Microsoft Sans Serif" w:hAnsi="Microsoft Sans Serif" w:cs="Microsoft Sans Serif"/>
                <w:sz w:val="20"/>
                <w:szCs w:val="20"/>
              </w:rPr>
              <w:t>28 na 100 pacijent-godina</w:t>
            </w:r>
          </w:p>
        </w:tc>
        <w:tc>
          <w:tcPr>
            <w:tcW w:w="2693" w:type="dxa"/>
          </w:tcPr>
          <w:p w14:paraId="52759D25">
            <w:pPr>
              <w:jc w:val="left"/>
              <w:rPr>
                <w:rFonts w:ascii="Microsoft Sans Serif" w:hAnsi="Microsoft Sans Serif" w:cs="Microsoft Sans Serif"/>
                <w:sz w:val="20"/>
                <w:szCs w:val="20"/>
              </w:rPr>
            </w:pPr>
            <w:r>
              <w:rPr>
                <w:rFonts w:ascii="Microsoft Sans Serif" w:hAnsi="Microsoft Sans Serif" w:cs="Microsoft Sans Serif"/>
                <w:sz w:val="20"/>
                <w:szCs w:val="20"/>
              </w:rPr>
              <w:t>2</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5 na 100 pacijent-godina</w:t>
            </w:r>
          </w:p>
        </w:tc>
      </w:tr>
      <w:tr w14:paraId="4B51F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4198" w:type="dxa"/>
          </w:tcPr>
          <w:p w14:paraId="660203EA">
            <w:pPr>
              <w:jc w:val="left"/>
              <w:rPr>
                <w:rFonts w:ascii="Microsoft Sans Serif" w:hAnsi="Microsoft Sans Serif" w:cs="Microsoft Sans Serif"/>
                <w:sz w:val="20"/>
                <w:szCs w:val="20"/>
              </w:rPr>
            </w:pPr>
            <w:r>
              <w:rPr>
                <w:rFonts w:ascii="Microsoft Sans Serif" w:hAnsi="Microsoft Sans Serif" w:cs="Microsoft Sans Serif"/>
                <w:sz w:val="20"/>
                <w:szCs w:val="20"/>
              </w:rPr>
              <w:t>Prevencija aterotrombotskih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događaja kod pacijenata nakon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akutnog koronarnog sindroma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(AKS)</w:t>
            </w:r>
          </w:p>
        </w:tc>
        <w:tc>
          <w:tcPr>
            <w:tcW w:w="2410" w:type="dxa"/>
          </w:tcPr>
          <w:p w14:paraId="765D2296">
            <w:pPr>
              <w:jc w:val="left"/>
              <w:rPr>
                <w:rFonts w:ascii="Microsoft Sans Serif" w:hAnsi="Microsoft Sans Serif" w:cs="Microsoft Sans Serif"/>
                <w:sz w:val="20"/>
                <w:szCs w:val="20"/>
              </w:rPr>
            </w:pPr>
            <w:r>
              <w:rPr>
                <w:rFonts w:ascii="Microsoft Sans Serif" w:hAnsi="Microsoft Sans Serif" w:cs="Microsoft Sans Serif"/>
                <w:sz w:val="20"/>
                <w:szCs w:val="20"/>
              </w:rPr>
              <w:t>22 na 100 pacijent-godina</w:t>
            </w:r>
          </w:p>
        </w:tc>
        <w:tc>
          <w:tcPr>
            <w:tcW w:w="2693" w:type="dxa"/>
          </w:tcPr>
          <w:p w14:paraId="6E04DAFC">
            <w:pPr>
              <w:jc w:val="left"/>
              <w:rPr>
                <w:rFonts w:ascii="Microsoft Sans Serif" w:hAnsi="Microsoft Sans Serif" w:cs="Microsoft Sans Serif"/>
                <w:sz w:val="20"/>
                <w:szCs w:val="20"/>
              </w:rPr>
            </w:pPr>
            <w:r>
              <w:rPr>
                <w:rFonts w:ascii="Microsoft Sans Serif" w:hAnsi="Microsoft Sans Serif" w:cs="Microsoft Sans Serif"/>
                <w:sz w:val="20"/>
                <w:szCs w:val="20"/>
              </w:rPr>
              <w:t>1</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4 na 100 pacijent-godina</w:t>
            </w:r>
          </w:p>
        </w:tc>
      </w:tr>
      <w:tr w14:paraId="527EB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4198" w:type="dxa"/>
          </w:tcPr>
          <w:p w14:paraId="22929565">
            <w:pPr>
              <w:jc w:val="left"/>
              <w:rPr>
                <w:rFonts w:ascii="Microsoft Sans Serif" w:hAnsi="Microsoft Sans Serif" w:cs="Microsoft Sans Serif"/>
                <w:sz w:val="20"/>
                <w:szCs w:val="20"/>
              </w:rPr>
            </w:pPr>
            <w:r>
              <w:rPr>
                <w:rFonts w:ascii="Microsoft Sans Serif" w:hAnsi="Microsoft Sans Serif" w:cs="Microsoft Sans Serif"/>
                <w:sz w:val="20"/>
                <w:szCs w:val="20"/>
              </w:rPr>
              <w:t>Prevencija aterotrombotskih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događaja kod pacijenata 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BKA/BPA</w:t>
            </w:r>
          </w:p>
        </w:tc>
        <w:tc>
          <w:tcPr>
            <w:tcW w:w="2410" w:type="dxa"/>
          </w:tcPr>
          <w:p w14:paraId="6C7A0DDE">
            <w:pPr>
              <w:jc w:val="left"/>
              <w:rPr>
                <w:rFonts w:ascii="Microsoft Sans Serif" w:hAnsi="Microsoft Sans Serif" w:cs="Microsoft Sans Serif"/>
                <w:sz w:val="20"/>
                <w:szCs w:val="20"/>
              </w:rPr>
            </w:pPr>
            <w:r>
              <w:rPr>
                <w:rFonts w:ascii="Microsoft Sans Serif" w:hAnsi="Microsoft Sans Serif" w:cs="Microsoft Sans Serif"/>
                <w:sz w:val="20"/>
                <w:szCs w:val="20"/>
              </w:rPr>
              <w:t>6</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7 na 100 pacijent-godina</w:t>
            </w:r>
          </w:p>
        </w:tc>
        <w:tc>
          <w:tcPr>
            <w:tcW w:w="2693" w:type="dxa"/>
          </w:tcPr>
          <w:p w14:paraId="2172F71C">
            <w:pPr>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15 na 100 pacijent-godina**</w:t>
            </w:r>
          </w:p>
        </w:tc>
      </w:tr>
    </w:tbl>
    <w:p w14:paraId="616F74BF">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*Prikuplјeni su, zabilježeni i procjenjeni svi događaji krvarenja u svim studijama sa rivaroksabanom.</w:t>
      </w:r>
    </w:p>
    <w:p w14:paraId="0BDEB881">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**U studiji COMPASS postoji niska incidenca anemije jer je primjenjen selektivni pristup</w:t>
      </w:r>
    </w:p>
    <w:p w14:paraId="7A58DCAA">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sakuplјanju neželјenih događaja</w:t>
      </w:r>
    </w:p>
    <w:p w14:paraId="3E16619D">
      <w:pPr>
        <w:rPr>
          <w:rFonts w:ascii="Microsoft Sans Serif" w:hAnsi="Microsoft Sans Serif" w:cs="Microsoft Sans Serif"/>
          <w:sz w:val="20"/>
          <w:szCs w:val="20"/>
          <w:lang w:val="sr-Latn-RS"/>
        </w:rPr>
      </w:pPr>
    </w:p>
    <w:p w14:paraId="7BABA79D">
      <w:pPr>
        <w:rPr>
          <w:rFonts w:ascii="Microsoft Sans Serif" w:hAnsi="Microsoft Sans Serif" w:cs="Microsoft Sans Serif"/>
          <w:sz w:val="20"/>
          <w:szCs w:val="20"/>
          <w:u w:val="single"/>
        </w:rPr>
      </w:pPr>
      <w:r>
        <w:rPr>
          <w:rFonts w:ascii="Microsoft Sans Serif" w:hAnsi="Microsoft Sans Serif" w:cs="Microsoft Sans Serif"/>
          <w:sz w:val="20"/>
          <w:szCs w:val="20"/>
          <w:u w:val="single"/>
        </w:rPr>
        <w:t>Tabelarni prikaz neželјenih djelovanja</w:t>
      </w:r>
    </w:p>
    <w:p w14:paraId="034A1B3D">
      <w:pPr>
        <w:rPr>
          <w:rFonts w:ascii="Microsoft Sans Serif" w:hAnsi="Microsoft Sans Serif" w:cs="Microsoft Sans Serif"/>
          <w:sz w:val="20"/>
          <w:szCs w:val="20"/>
        </w:rPr>
      </w:pPr>
      <w:r>
        <w:rPr>
          <w:rFonts w:ascii="Microsoft Sans Serif" w:hAnsi="Microsoft Sans Serif" w:cs="Microsoft Sans Serif"/>
          <w:sz w:val="20"/>
          <w:szCs w:val="20"/>
        </w:rPr>
        <w:t>Učestalost neželјenih djelovanja prijavlјenih tokom upotrebe rivaroksabana je prikazana u Tabeli 3 prema klasi sistema organa (MedDRA), kao i prema učestalosti.</w:t>
      </w:r>
    </w:p>
    <w:p w14:paraId="4D03A789">
      <w:pPr>
        <w:rPr>
          <w:rFonts w:ascii="Microsoft Sans Serif" w:hAnsi="Microsoft Sans Serif" w:cs="Microsoft Sans Serif"/>
          <w:sz w:val="20"/>
          <w:szCs w:val="20"/>
        </w:rPr>
      </w:pPr>
    </w:p>
    <w:p w14:paraId="203F0B57">
      <w:pPr>
        <w:rPr>
          <w:rFonts w:ascii="Microsoft Sans Serif" w:hAnsi="Microsoft Sans Serif" w:cs="Microsoft Sans Serif"/>
          <w:sz w:val="20"/>
          <w:szCs w:val="20"/>
        </w:rPr>
      </w:pPr>
      <w:r>
        <w:rPr>
          <w:rFonts w:ascii="Microsoft Sans Serif" w:hAnsi="Microsoft Sans Serif" w:cs="Microsoft Sans Serif"/>
          <w:sz w:val="20"/>
          <w:szCs w:val="20"/>
        </w:rPr>
        <w:t>Učestalosti su definisane na sljedeći način:</w:t>
      </w:r>
    </w:p>
    <w:p w14:paraId="2DA2C78C">
      <w:pPr>
        <w:rPr>
          <w:rFonts w:ascii="Microsoft Sans Serif" w:hAnsi="Microsoft Sans Serif" w:cs="Microsoft Sans Serif"/>
          <w:sz w:val="20"/>
          <w:szCs w:val="20"/>
        </w:rPr>
      </w:pPr>
      <w:r>
        <w:rPr>
          <w:rFonts w:ascii="Microsoft Sans Serif" w:hAnsi="Microsoft Sans Serif" w:cs="Microsoft Sans Serif"/>
          <w:sz w:val="20"/>
          <w:szCs w:val="20"/>
        </w:rPr>
        <w:t>- veoma često (≥ 1/10),</w:t>
      </w:r>
    </w:p>
    <w:p w14:paraId="58CE0F83">
      <w:pPr>
        <w:rPr>
          <w:rFonts w:ascii="Microsoft Sans Serif" w:hAnsi="Microsoft Sans Serif" w:cs="Microsoft Sans Serif"/>
          <w:sz w:val="20"/>
          <w:szCs w:val="20"/>
        </w:rPr>
      </w:pPr>
      <w:r>
        <w:rPr>
          <w:rFonts w:ascii="Microsoft Sans Serif" w:hAnsi="Microsoft Sans Serif" w:cs="Microsoft Sans Serif"/>
          <w:sz w:val="20"/>
          <w:szCs w:val="20"/>
        </w:rPr>
        <w:t>- često (≥ 1/100 do &lt; 1/10),</w:t>
      </w:r>
    </w:p>
    <w:p w14:paraId="743603A1">
      <w:pPr>
        <w:rPr>
          <w:rFonts w:ascii="Microsoft Sans Serif" w:hAnsi="Microsoft Sans Serif" w:cs="Microsoft Sans Serif"/>
          <w:sz w:val="20"/>
          <w:szCs w:val="20"/>
        </w:rPr>
      </w:pPr>
      <w:r>
        <w:rPr>
          <w:rFonts w:ascii="Microsoft Sans Serif" w:hAnsi="Microsoft Sans Serif" w:cs="Microsoft Sans Serif"/>
          <w:sz w:val="20"/>
          <w:szCs w:val="20"/>
        </w:rPr>
        <w:t>- povremeno (≥ 1/1000 do &lt; 1/100),</w:t>
      </w:r>
    </w:p>
    <w:p w14:paraId="57363F08">
      <w:pPr>
        <w:rPr>
          <w:rFonts w:ascii="Microsoft Sans Serif" w:hAnsi="Microsoft Sans Serif" w:cs="Microsoft Sans Serif"/>
          <w:sz w:val="20"/>
          <w:szCs w:val="20"/>
        </w:rPr>
      </w:pPr>
      <w:r>
        <w:rPr>
          <w:rFonts w:ascii="Microsoft Sans Serif" w:hAnsi="Microsoft Sans Serif" w:cs="Microsoft Sans Serif"/>
          <w:sz w:val="20"/>
          <w:szCs w:val="20"/>
        </w:rPr>
        <w:t>- rijetko (≥ 1/10000 do &lt; 1/1000),</w:t>
      </w:r>
    </w:p>
    <w:p w14:paraId="571D065F">
      <w:pPr>
        <w:rPr>
          <w:rFonts w:ascii="Microsoft Sans Serif" w:hAnsi="Microsoft Sans Serif" w:cs="Microsoft Sans Serif"/>
          <w:sz w:val="20"/>
          <w:szCs w:val="20"/>
        </w:rPr>
      </w:pPr>
      <w:r>
        <w:rPr>
          <w:rFonts w:ascii="Microsoft Sans Serif" w:hAnsi="Microsoft Sans Serif" w:cs="Microsoft Sans Serif"/>
          <w:sz w:val="20"/>
          <w:szCs w:val="20"/>
        </w:rPr>
        <w:t>- veoma rijetko (</w:t>
      </w:r>
      <w:r>
        <w:t>&lt;</w:t>
      </w:r>
      <w:r>
        <w:rPr>
          <w:rFonts w:ascii="Microsoft Sans Serif" w:hAnsi="Microsoft Sans Serif" w:cs="Microsoft Sans Serif"/>
          <w:sz w:val="20"/>
          <w:szCs w:val="20"/>
        </w:rPr>
        <w:t xml:space="preserve"> 1/10000),</w:t>
      </w:r>
    </w:p>
    <w:p w14:paraId="0F8A5D01">
      <w:pPr>
        <w:rPr>
          <w:rFonts w:ascii="Microsoft Sans Serif" w:hAnsi="Microsoft Sans Serif" w:cs="Microsoft Sans Serif"/>
          <w:sz w:val="20"/>
          <w:szCs w:val="20"/>
        </w:rPr>
      </w:pPr>
      <w:r>
        <w:rPr>
          <w:rFonts w:ascii="Microsoft Sans Serif" w:hAnsi="Microsoft Sans Serif" w:cs="Microsoft Sans Serif"/>
          <w:sz w:val="20"/>
          <w:szCs w:val="20"/>
        </w:rPr>
        <w:t>- nepoznato (ne može se procijeniti na osnovu raspoloživih podataka).</w:t>
      </w:r>
    </w:p>
    <w:p w14:paraId="4A1EB7D2">
      <w:pPr>
        <w:rPr>
          <w:rFonts w:ascii="Microsoft Sans Serif" w:hAnsi="Microsoft Sans Serif" w:cs="Microsoft Sans Serif"/>
          <w:sz w:val="20"/>
          <w:szCs w:val="20"/>
        </w:rPr>
      </w:pPr>
    </w:p>
    <w:p w14:paraId="177EBF92">
      <w:pPr>
        <w:rPr>
          <w:rFonts w:ascii="Microsoft Sans Serif" w:hAnsi="Microsoft Sans Serif" w:cs="Microsoft Sans Serif"/>
          <w:b/>
          <w:bCs/>
          <w:sz w:val="20"/>
          <w:szCs w:val="20"/>
        </w:rPr>
      </w:pPr>
      <w:r>
        <w:rPr>
          <w:rFonts w:ascii="Microsoft Sans Serif" w:hAnsi="Microsoft Sans Serif" w:cs="Microsoft Sans Serif"/>
          <w:b/>
          <w:bCs/>
          <w:sz w:val="20"/>
          <w:szCs w:val="20"/>
        </w:rPr>
        <w:t>Tabela 3: Sva neželјena djelovanja prijavlјene kod pacijenata uklјučenih u studije Faze III ili tokom postmarketinškog praćenja*</w:t>
      </w:r>
    </w:p>
    <w:p w14:paraId="7487F411">
      <w:pPr>
        <w:rPr>
          <w:rFonts w:ascii="Microsoft Sans Serif" w:hAnsi="Microsoft Sans Serif" w:cs="Microsoft Sans Serif"/>
          <w:b/>
          <w:bCs/>
          <w:sz w:val="20"/>
          <w:szCs w:val="20"/>
        </w:rPr>
      </w:pPr>
    </w:p>
    <w:tbl>
      <w:tblPr>
        <w:tblStyle w:val="7"/>
        <w:tblW w:w="9356" w:type="dxa"/>
        <w:tblInd w:w="0" w:type="dxa"/>
        <w:tblLayout w:type="fixed"/>
        <w:tblCellMar>
          <w:top w:w="0" w:type="dxa"/>
          <w:left w:w="0" w:type="dxa"/>
          <w:bottom w:w="0" w:type="dxa"/>
          <w:right w:w="0" w:type="dxa"/>
        </w:tblCellMar>
      </w:tblPr>
      <w:tblGrid>
        <w:gridCol w:w="1860"/>
        <w:gridCol w:w="79"/>
        <w:gridCol w:w="46"/>
        <w:gridCol w:w="1843"/>
        <w:gridCol w:w="1842"/>
        <w:gridCol w:w="1670"/>
        <w:gridCol w:w="31"/>
        <w:gridCol w:w="1985"/>
      </w:tblGrid>
      <w:tr w14:paraId="3011CCE7">
        <w:tblPrEx>
          <w:tblCellMar>
            <w:top w:w="0" w:type="dxa"/>
            <w:left w:w="0" w:type="dxa"/>
            <w:bottom w:w="0" w:type="dxa"/>
            <w:right w:w="0" w:type="dxa"/>
          </w:tblCellMar>
        </w:tblPrEx>
        <w:trPr>
          <w:trHeight w:val="223" w:hRule="atLeast"/>
        </w:trPr>
        <w:tc>
          <w:tcPr>
            <w:tcW w:w="1860" w:type="dxa"/>
            <w:tcBorders>
              <w:top w:val="single" w:color="auto" w:sz="8" w:space="0"/>
              <w:left w:val="single" w:color="auto" w:sz="8" w:space="0"/>
              <w:bottom w:val="single" w:color="auto" w:sz="8" w:space="0"/>
              <w:right w:val="single" w:color="auto" w:sz="8" w:space="0"/>
            </w:tcBorders>
          </w:tcPr>
          <w:p w14:paraId="1EAB1A94">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Često</w:t>
            </w:r>
          </w:p>
        </w:tc>
        <w:tc>
          <w:tcPr>
            <w:tcW w:w="1968" w:type="dxa"/>
            <w:gridSpan w:val="3"/>
            <w:tcBorders>
              <w:top w:val="single" w:color="auto" w:sz="8" w:space="0"/>
              <w:bottom w:val="single" w:color="auto" w:sz="8" w:space="0"/>
              <w:right w:val="single" w:color="auto" w:sz="8" w:space="0"/>
            </w:tcBorders>
          </w:tcPr>
          <w:p w14:paraId="2527508C">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Povremeno</w:t>
            </w:r>
          </w:p>
        </w:tc>
        <w:tc>
          <w:tcPr>
            <w:tcW w:w="1842" w:type="dxa"/>
            <w:tcBorders>
              <w:top w:val="single" w:color="auto" w:sz="8" w:space="0"/>
              <w:bottom w:val="single" w:color="auto" w:sz="8" w:space="0"/>
              <w:right w:val="single" w:color="auto" w:sz="8" w:space="0"/>
            </w:tcBorders>
          </w:tcPr>
          <w:p w14:paraId="7049C7D9">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Rijetko</w:t>
            </w:r>
          </w:p>
        </w:tc>
        <w:tc>
          <w:tcPr>
            <w:tcW w:w="1670" w:type="dxa"/>
            <w:tcBorders>
              <w:top w:val="single" w:color="auto" w:sz="8" w:space="0"/>
              <w:bottom w:val="single" w:color="auto" w:sz="8" w:space="0"/>
              <w:right w:val="single" w:color="auto" w:sz="8" w:space="0"/>
            </w:tcBorders>
          </w:tcPr>
          <w:p w14:paraId="5984CA7D">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Veoma rijetko</w:t>
            </w:r>
          </w:p>
        </w:tc>
        <w:tc>
          <w:tcPr>
            <w:tcW w:w="2016" w:type="dxa"/>
            <w:gridSpan w:val="2"/>
            <w:tcBorders>
              <w:top w:val="single" w:color="auto" w:sz="8" w:space="0"/>
              <w:bottom w:val="single" w:color="auto" w:sz="8" w:space="0"/>
              <w:right w:val="single" w:color="auto" w:sz="8" w:space="0"/>
            </w:tcBorders>
          </w:tcPr>
          <w:p w14:paraId="56590496">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Nepoznato</w:t>
            </w:r>
          </w:p>
        </w:tc>
      </w:tr>
      <w:tr w14:paraId="1BE3D3F2">
        <w:tblPrEx>
          <w:tblCellMar>
            <w:top w:w="0" w:type="dxa"/>
            <w:left w:w="0" w:type="dxa"/>
            <w:bottom w:w="0" w:type="dxa"/>
            <w:right w:w="0" w:type="dxa"/>
          </w:tblCellMar>
        </w:tblPrEx>
        <w:trPr>
          <w:trHeight w:val="243" w:hRule="atLeast"/>
        </w:trPr>
        <w:tc>
          <w:tcPr>
            <w:tcW w:w="9356" w:type="dxa"/>
            <w:gridSpan w:val="8"/>
            <w:tcBorders>
              <w:left w:val="single" w:color="auto" w:sz="8" w:space="0"/>
              <w:bottom w:val="single" w:color="auto" w:sz="8" w:space="0"/>
              <w:right w:val="single" w:color="auto" w:sz="8" w:space="0"/>
            </w:tcBorders>
          </w:tcPr>
          <w:p w14:paraId="35EE8EAA">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Poremećaji krvi i limfnog sistema</w:t>
            </w:r>
          </w:p>
        </w:tc>
      </w:tr>
      <w:tr w14:paraId="66160AE8">
        <w:tblPrEx>
          <w:tblCellMar>
            <w:top w:w="0" w:type="dxa"/>
            <w:left w:w="0" w:type="dxa"/>
            <w:bottom w:w="0" w:type="dxa"/>
            <w:right w:w="0" w:type="dxa"/>
          </w:tblCellMar>
        </w:tblPrEx>
        <w:trPr>
          <w:trHeight w:val="1197" w:hRule="atLeast"/>
        </w:trPr>
        <w:tc>
          <w:tcPr>
            <w:tcW w:w="1860" w:type="dxa"/>
            <w:tcBorders>
              <w:left w:val="single" w:color="auto" w:sz="8" w:space="0"/>
              <w:bottom w:val="single" w:color="auto" w:sz="4" w:space="0"/>
              <w:right w:val="single" w:color="auto" w:sz="8" w:space="0"/>
            </w:tcBorders>
          </w:tcPr>
          <w:p w14:paraId="0E46A9A2">
            <w:pPr>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Anemija (uklјučujući odgovarajuće laboratorijske parametre)</w:t>
            </w:r>
          </w:p>
        </w:tc>
        <w:tc>
          <w:tcPr>
            <w:tcW w:w="1968" w:type="dxa"/>
            <w:gridSpan w:val="3"/>
            <w:tcBorders>
              <w:bottom w:val="single" w:color="auto" w:sz="4" w:space="0"/>
              <w:right w:val="single" w:color="auto" w:sz="8" w:space="0"/>
            </w:tcBorders>
          </w:tcPr>
          <w:p w14:paraId="47E6609A">
            <w:pPr>
              <w:jc w:val="left"/>
              <w:rPr>
                <w:rFonts w:ascii="Microsoft Sans Serif" w:hAnsi="Microsoft Sans Serif" w:cs="Microsoft Sans Serif"/>
                <w:sz w:val="20"/>
                <w:szCs w:val="20"/>
              </w:rPr>
            </w:pPr>
            <w:r>
              <w:rPr>
                <w:rFonts w:ascii="Microsoft Sans Serif" w:hAnsi="Microsoft Sans Serif" w:cs="Microsoft Sans Serif"/>
                <w:sz w:val="20"/>
                <w:szCs w:val="20"/>
              </w:rPr>
              <w:t>Trombocitoza(uklјučujući povećan broj trombocita)</w:t>
            </w:r>
            <w:r>
              <w:rPr>
                <w:rFonts w:ascii="Microsoft Sans Serif" w:hAnsi="Microsoft Sans Serif" w:cs="Microsoft Sans Serif"/>
                <w:sz w:val="20"/>
                <w:szCs w:val="20"/>
                <w:vertAlign w:val="superscript"/>
              </w:rPr>
              <w:t>A</w:t>
            </w:r>
            <w:r>
              <w:rPr>
                <w:rFonts w:ascii="Microsoft Sans Serif" w:hAnsi="Microsoft Sans Serif" w:cs="Microsoft Sans Serif"/>
                <w:sz w:val="20"/>
                <w:szCs w:val="20"/>
              </w:rPr>
              <w:t>,</w:t>
            </w:r>
          </w:p>
          <w:p w14:paraId="6C14C8FD">
            <w:pPr>
              <w:jc w:val="left"/>
              <w:rPr>
                <w:rFonts w:ascii="Microsoft Sans Serif" w:hAnsi="Microsoft Sans Serif" w:cs="Microsoft Sans Serif"/>
                <w:sz w:val="20"/>
                <w:szCs w:val="20"/>
              </w:rPr>
            </w:pPr>
            <w:r>
              <w:rPr>
                <w:rFonts w:ascii="Microsoft Sans Serif" w:hAnsi="Microsoft Sans Serif" w:cs="Microsoft Sans Serif"/>
                <w:sz w:val="20"/>
                <w:szCs w:val="20"/>
              </w:rPr>
              <w:t>Trombocitopenija</w:t>
            </w:r>
          </w:p>
        </w:tc>
        <w:tc>
          <w:tcPr>
            <w:tcW w:w="1842" w:type="dxa"/>
            <w:tcBorders>
              <w:bottom w:val="single" w:color="auto" w:sz="4" w:space="0"/>
              <w:right w:val="single" w:color="auto" w:sz="8" w:space="0"/>
            </w:tcBorders>
          </w:tcPr>
          <w:p w14:paraId="746F71F7">
            <w:pPr>
              <w:jc w:val="left"/>
              <w:rPr>
                <w:rFonts w:ascii="Microsoft Sans Serif" w:hAnsi="Microsoft Sans Serif" w:cs="Microsoft Sans Serif"/>
                <w:sz w:val="20"/>
                <w:szCs w:val="20"/>
              </w:rPr>
            </w:pPr>
          </w:p>
        </w:tc>
        <w:tc>
          <w:tcPr>
            <w:tcW w:w="1670" w:type="dxa"/>
            <w:tcBorders>
              <w:left w:val="single" w:color="auto" w:sz="8" w:space="0"/>
              <w:bottom w:val="single" w:color="auto" w:sz="4" w:space="0"/>
              <w:right w:val="single" w:color="auto" w:sz="8" w:space="0"/>
            </w:tcBorders>
          </w:tcPr>
          <w:p w14:paraId="72740BD6">
            <w:pPr>
              <w:jc w:val="left"/>
              <w:rPr>
                <w:rFonts w:ascii="Microsoft Sans Serif" w:hAnsi="Microsoft Sans Serif" w:cs="Microsoft Sans Serif"/>
                <w:sz w:val="20"/>
                <w:szCs w:val="20"/>
              </w:rPr>
            </w:pPr>
          </w:p>
        </w:tc>
        <w:tc>
          <w:tcPr>
            <w:tcW w:w="2016" w:type="dxa"/>
            <w:gridSpan w:val="2"/>
            <w:tcBorders>
              <w:bottom w:val="single" w:color="auto" w:sz="4" w:space="0"/>
              <w:right w:val="single" w:color="auto" w:sz="8" w:space="0"/>
            </w:tcBorders>
          </w:tcPr>
          <w:p w14:paraId="68F6FB5D">
            <w:pPr>
              <w:jc w:val="left"/>
              <w:rPr>
                <w:rFonts w:ascii="Microsoft Sans Serif" w:hAnsi="Microsoft Sans Serif" w:cs="Microsoft Sans Serif"/>
                <w:sz w:val="20"/>
                <w:szCs w:val="20"/>
              </w:rPr>
            </w:pPr>
          </w:p>
        </w:tc>
      </w:tr>
      <w:tr w14:paraId="701FCFD1">
        <w:tblPrEx>
          <w:tblCellMar>
            <w:top w:w="0" w:type="dxa"/>
            <w:left w:w="0" w:type="dxa"/>
            <w:bottom w:w="0" w:type="dxa"/>
            <w:right w:w="0" w:type="dxa"/>
          </w:tblCellMar>
        </w:tblPrEx>
        <w:trPr>
          <w:trHeight w:val="243" w:hRule="atLeast"/>
        </w:trPr>
        <w:tc>
          <w:tcPr>
            <w:tcW w:w="9356" w:type="dxa"/>
            <w:gridSpan w:val="8"/>
            <w:tcBorders>
              <w:top w:val="single" w:color="auto" w:sz="4" w:space="0"/>
              <w:left w:val="single" w:color="auto" w:sz="8" w:space="0"/>
              <w:bottom w:val="single" w:color="auto" w:sz="8" w:space="0"/>
              <w:right w:val="single" w:color="auto" w:sz="8" w:space="0"/>
            </w:tcBorders>
          </w:tcPr>
          <w:p w14:paraId="76AD443D">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Poremećaji imunog sistema</w:t>
            </w:r>
          </w:p>
        </w:tc>
      </w:tr>
      <w:tr w14:paraId="38BB670A">
        <w:tblPrEx>
          <w:tblCellMar>
            <w:top w:w="0" w:type="dxa"/>
            <w:left w:w="0" w:type="dxa"/>
            <w:bottom w:w="0" w:type="dxa"/>
            <w:right w:w="0" w:type="dxa"/>
          </w:tblCellMar>
        </w:tblPrEx>
        <w:trPr>
          <w:trHeight w:val="1071" w:hRule="atLeast"/>
        </w:trPr>
        <w:tc>
          <w:tcPr>
            <w:tcW w:w="1860" w:type="dxa"/>
            <w:tcBorders>
              <w:left w:val="single" w:color="auto" w:sz="8" w:space="0"/>
              <w:bottom w:val="single" w:color="auto" w:sz="4" w:space="0"/>
              <w:right w:val="single" w:color="auto" w:sz="8" w:space="0"/>
            </w:tcBorders>
          </w:tcPr>
          <w:p w14:paraId="0F748847">
            <w:pPr>
              <w:jc w:val="left"/>
              <w:rPr>
                <w:rFonts w:ascii="Microsoft Sans Serif" w:hAnsi="Microsoft Sans Serif" w:cs="Microsoft Sans Serif"/>
                <w:sz w:val="20"/>
                <w:szCs w:val="20"/>
              </w:rPr>
            </w:pPr>
          </w:p>
        </w:tc>
        <w:tc>
          <w:tcPr>
            <w:tcW w:w="1968" w:type="dxa"/>
            <w:gridSpan w:val="3"/>
            <w:tcBorders>
              <w:bottom w:val="single" w:color="auto" w:sz="4" w:space="0"/>
              <w:right w:val="single" w:color="auto" w:sz="8" w:space="0"/>
            </w:tcBorders>
          </w:tcPr>
          <w:p w14:paraId="049CCF4F">
            <w:pPr>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Alergijska reakcija</w:t>
            </w:r>
            <w:r>
              <w:rPr>
                <w:rFonts w:ascii="Microsoft Sans Serif" w:hAnsi="Microsoft Sans Serif" w:cs="Microsoft Sans Serif"/>
                <w:sz w:val="20"/>
                <w:szCs w:val="20"/>
              </w:rPr>
              <w:t>,</w:t>
            </w:r>
          </w:p>
          <w:p w14:paraId="0EC9B011">
            <w:pPr>
              <w:jc w:val="left"/>
              <w:rPr>
                <w:rFonts w:ascii="Microsoft Sans Serif" w:hAnsi="Microsoft Sans Serif" w:cs="Microsoft Sans Serif"/>
                <w:sz w:val="20"/>
                <w:szCs w:val="20"/>
              </w:rPr>
            </w:pPr>
            <w:r>
              <w:rPr>
                <w:rFonts w:ascii="Microsoft Sans Serif" w:hAnsi="Microsoft Sans Serif" w:cs="Microsoft Sans Serif"/>
                <w:sz w:val="20"/>
                <w:szCs w:val="20"/>
              </w:rPr>
              <w:t xml:space="preserve">Alergijski </w:t>
            </w:r>
            <w:r>
              <w:rPr>
                <w:rFonts w:ascii="Microsoft Sans Serif" w:hAnsi="Microsoft Sans Serif" w:cs="Microsoft Sans Serif"/>
                <w:sz w:val="20"/>
                <w:szCs w:val="20"/>
                <w:lang w:val="sr-Cyrl-RS"/>
              </w:rPr>
              <w:t>dermatitis</w:t>
            </w:r>
            <w:r>
              <w:rPr>
                <w:rFonts w:ascii="Microsoft Sans Serif" w:hAnsi="Microsoft Sans Serif" w:cs="Microsoft Sans Serif"/>
                <w:sz w:val="20"/>
                <w:szCs w:val="20"/>
              </w:rPr>
              <w:t>,</w:t>
            </w:r>
          </w:p>
          <w:p w14:paraId="6A742FA6">
            <w:pPr>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Angioedem i alergijski edem</w:t>
            </w:r>
          </w:p>
        </w:tc>
        <w:tc>
          <w:tcPr>
            <w:tcW w:w="1842" w:type="dxa"/>
            <w:tcBorders>
              <w:bottom w:val="single" w:color="auto" w:sz="4" w:space="0"/>
              <w:right w:val="single" w:color="auto" w:sz="8" w:space="0"/>
            </w:tcBorders>
          </w:tcPr>
          <w:p w14:paraId="0654EB58">
            <w:pPr>
              <w:jc w:val="left"/>
              <w:rPr>
                <w:rFonts w:ascii="Microsoft Sans Serif" w:hAnsi="Microsoft Sans Serif" w:cs="Microsoft Sans Serif"/>
                <w:sz w:val="20"/>
                <w:szCs w:val="20"/>
              </w:rPr>
            </w:pPr>
          </w:p>
        </w:tc>
        <w:tc>
          <w:tcPr>
            <w:tcW w:w="1670" w:type="dxa"/>
            <w:tcBorders>
              <w:left w:val="single" w:color="auto" w:sz="8" w:space="0"/>
              <w:bottom w:val="single" w:color="auto" w:sz="4" w:space="0"/>
              <w:right w:val="single" w:color="auto" w:sz="8" w:space="0"/>
            </w:tcBorders>
          </w:tcPr>
          <w:p w14:paraId="02D54200">
            <w:pPr>
              <w:jc w:val="left"/>
              <w:rPr>
                <w:rFonts w:ascii="Microsoft Sans Serif" w:hAnsi="Microsoft Sans Serif" w:cs="Microsoft Sans Serif"/>
                <w:sz w:val="20"/>
                <w:szCs w:val="20"/>
              </w:rPr>
            </w:pPr>
            <w:r>
              <w:rPr>
                <w:rFonts w:ascii="Microsoft Sans Serif" w:hAnsi="Microsoft Sans Serif" w:cs="Microsoft Sans Serif"/>
                <w:sz w:val="20"/>
                <w:szCs w:val="20"/>
              </w:rPr>
              <w:t>Anafilaktičke reakcije uklјučujući anafilaktički šok</w:t>
            </w:r>
          </w:p>
        </w:tc>
        <w:tc>
          <w:tcPr>
            <w:tcW w:w="2016" w:type="dxa"/>
            <w:gridSpan w:val="2"/>
            <w:tcBorders>
              <w:bottom w:val="single" w:color="auto" w:sz="4" w:space="0"/>
              <w:right w:val="single" w:color="auto" w:sz="8" w:space="0"/>
            </w:tcBorders>
          </w:tcPr>
          <w:p w14:paraId="4A51A1DD">
            <w:pPr>
              <w:jc w:val="left"/>
              <w:rPr>
                <w:rFonts w:ascii="Microsoft Sans Serif" w:hAnsi="Microsoft Sans Serif" w:cs="Microsoft Sans Serif"/>
                <w:sz w:val="20"/>
                <w:szCs w:val="20"/>
              </w:rPr>
            </w:pPr>
          </w:p>
        </w:tc>
      </w:tr>
      <w:tr w14:paraId="5118D7DA">
        <w:tblPrEx>
          <w:tblCellMar>
            <w:top w:w="0" w:type="dxa"/>
            <w:left w:w="0" w:type="dxa"/>
            <w:bottom w:w="0" w:type="dxa"/>
            <w:right w:w="0" w:type="dxa"/>
          </w:tblCellMar>
        </w:tblPrEx>
        <w:trPr>
          <w:trHeight w:val="243" w:hRule="atLeast"/>
        </w:trPr>
        <w:tc>
          <w:tcPr>
            <w:tcW w:w="9356" w:type="dxa"/>
            <w:gridSpan w:val="8"/>
            <w:tcBorders>
              <w:top w:val="single" w:color="auto" w:sz="4" w:space="0"/>
              <w:left w:val="single" w:color="auto" w:sz="8" w:space="0"/>
              <w:bottom w:val="single" w:color="auto" w:sz="4" w:space="0"/>
              <w:right w:val="single" w:color="auto" w:sz="8" w:space="0"/>
            </w:tcBorders>
          </w:tcPr>
          <w:p w14:paraId="086CCD9E">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Poremećaji nervnog sistema</w:t>
            </w:r>
          </w:p>
        </w:tc>
      </w:tr>
      <w:tr w14:paraId="7E760AF2">
        <w:tblPrEx>
          <w:tblCellMar>
            <w:top w:w="0" w:type="dxa"/>
            <w:left w:w="0" w:type="dxa"/>
            <w:bottom w:w="0" w:type="dxa"/>
            <w:right w:w="0" w:type="dxa"/>
          </w:tblCellMar>
        </w:tblPrEx>
        <w:trPr>
          <w:trHeight w:val="1177" w:hRule="atLeast"/>
        </w:trPr>
        <w:tc>
          <w:tcPr>
            <w:tcW w:w="1860" w:type="dxa"/>
            <w:tcBorders>
              <w:top w:val="single" w:color="auto" w:sz="4" w:space="0"/>
              <w:left w:val="single" w:color="auto" w:sz="8" w:space="0"/>
              <w:bottom w:val="single" w:color="auto" w:sz="4" w:space="0"/>
              <w:right w:val="single" w:color="auto" w:sz="8" w:space="0"/>
            </w:tcBorders>
          </w:tcPr>
          <w:p w14:paraId="411D9B8A">
            <w:pPr>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Vrtoglavica, glavobolјa</w:t>
            </w:r>
          </w:p>
        </w:tc>
        <w:tc>
          <w:tcPr>
            <w:tcW w:w="1968" w:type="dxa"/>
            <w:gridSpan w:val="3"/>
            <w:tcBorders>
              <w:top w:val="single" w:color="auto" w:sz="4" w:space="0"/>
              <w:bottom w:val="single" w:color="auto" w:sz="4" w:space="0"/>
              <w:right w:val="single" w:color="auto" w:sz="8" w:space="0"/>
            </w:tcBorders>
          </w:tcPr>
          <w:p w14:paraId="27E4D2B4">
            <w:pPr>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Cerebralno i intrakranijalno krvarenje, sinkopa</w:t>
            </w:r>
          </w:p>
        </w:tc>
        <w:tc>
          <w:tcPr>
            <w:tcW w:w="1842" w:type="dxa"/>
            <w:tcBorders>
              <w:top w:val="single" w:color="auto" w:sz="4" w:space="0"/>
              <w:bottom w:val="single" w:color="auto" w:sz="4" w:space="0"/>
              <w:right w:val="single" w:color="auto" w:sz="8" w:space="0"/>
            </w:tcBorders>
          </w:tcPr>
          <w:p w14:paraId="10740781">
            <w:pPr>
              <w:jc w:val="left"/>
              <w:rPr>
                <w:rFonts w:ascii="Microsoft Sans Serif" w:hAnsi="Microsoft Sans Serif" w:cs="Microsoft Sans Serif"/>
                <w:sz w:val="20"/>
                <w:szCs w:val="20"/>
              </w:rPr>
            </w:pPr>
          </w:p>
        </w:tc>
        <w:tc>
          <w:tcPr>
            <w:tcW w:w="1670" w:type="dxa"/>
            <w:tcBorders>
              <w:top w:val="single" w:color="auto" w:sz="4" w:space="0"/>
              <w:left w:val="single" w:color="auto" w:sz="8" w:space="0"/>
              <w:bottom w:val="single" w:color="auto" w:sz="4" w:space="0"/>
              <w:right w:val="single" w:color="auto" w:sz="8" w:space="0"/>
            </w:tcBorders>
          </w:tcPr>
          <w:p w14:paraId="4E50979C">
            <w:pPr>
              <w:jc w:val="left"/>
              <w:rPr>
                <w:rFonts w:ascii="Microsoft Sans Serif" w:hAnsi="Microsoft Sans Serif" w:cs="Microsoft Sans Serif"/>
                <w:sz w:val="20"/>
                <w:szCs w:val="20"/>
              </w:rPr>
            </w:pPr>
          </w:p>
        </w:tc>
        <w:tc>
          <w:tcPr>
            <w:tcW w:w="2016" w:type="dxa"/>
            <w:gridSpan w:val="2"/>
            <w:tcBorders>
              <w:top w:val="single" w:color="auto" w:sz="4" w:space="0"/>
              <w:bottom w:val="single" w:color="auto" w:sz="4" w:space="0"/>
              <w:right w:val="single" w:color="auto" w:sz="8" w:space="0"/>
            </w:tcBorders>
          </w:tcPr>
          <w:p w14:paraId="04D51AE9">
            <w:pPr>
              <w:jc w:val="left"/>
              <w:rPr>
                <w:rFonts w:ascii="Microsoft Sans Serif" w:hAnsi="Microsoft Sans Serif" w:cs="Microsoft Sans Serif"/>
                <w:sz w:val="20"/>
                <w:szCs w:val="20"/>
              </w:rPr>
            </w:pPr>
          </w:p>
        </w:tc>
      </w:tr>
      <w:tr w14:paraId="33948DD5">
        <w:tblPrEx>
          <w:tblCellMar>
            <w:top w:w="0" w:type="dxa"/>
            <w:left w:w="0" w:type="dxa"/>
            <w:bottom w:w="0" w:type="dxa"/>
            <w:right w:w="0" w:type="dxa"/>
          </w:tblCellMar>
        </w:tblPrEx>
        <w:trPr>
          <w:trHeight w:val="210" w:hRule="atLeast"/>
        </w:trPr>
        <w:tc>
          <w:tcPr>
            <w:tcW w:w="9356" w:type="dxa"/>
            <w:gridSpan w:val="8"/>
            <w:tcBorders>
              <w:left w:val="single" w:color="auto" w:sz="8" w:space="0"/>
              <w:bottom w:val="single" w:color="auto" w:sz="8" w:space="0"/>
              <w:right w:val="single" w:color="auto" w:sz="8" w:space="0"/>
            </w:tcBorders>
          </w:tcPr>
          <w:p w14:paraId="118EEFDC">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Poremećaji oka</w:t>
            </w:r>
          </w:p>
        </w:tc>
      </w:tr>
      <w:tr w14:paraId="364693AD">
        <w:tblPrEx>
          <w:tblCellMar>
            <w:top w:w="0" w:type="dxa"/>
            <w:left w:w="0" w:type="dxa"/>
            <w:bottom w:w="0" w:type="dxa"/>
            <w:right w:w="0" w:type="dxa"/>
          </w:tblCellMar>
        </w:tblPrEx>
        <w:trPr>
          <w:trHeight w:val="964" w:hRule="atLeast"/>
        </w:trPr>
        <w:tc>
          <w:tcPr>
            <w:tcW w:w="1939" w:type="dxa"/>
            <w:gridSpan w:val="2"/>
            <w:tcBorders>
              <w:left w:val="single" w:color="auto" w:sz="8" w:space="0"/>
              <w:bottom w:val="single" w:color="auto" w:sz="4" w:space="0"/>
              <w:right w:val="single" w:color="auto" w:sz="8" w:space="0"/>
            </w:tcBorders>
          </w:tcPr>
          <w:p w14:paraId="65120615">
            <w:pPr>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Krvarenje u oku</w:t>
            </w:r>
            <w:r>
              <w:rPr>
                <w:rFonts w:ascii="Microsoft Sans Serif" w:hAnsi="Microsoft Sans Serif" w:cs="Microsoft Sans Serif"/>
                <w:sz w:val="20"/>
                <w:szCs w:val="20"/>
              </w:rPr>
              <w:t xml:space="preserve"> (uklјučujući krvarenje konjuktive)</w:t>
            </w:r>
          </w:p>
        </w:tc>
        <w:tc>
          <w:tcPr>
            <w:tcW w:w="1889" w:type="dxa"/>
            <w:gridSpan w:val="2"/>
            <w:tcBorders>
              <w:bottom w:val="single" w:color="auto" w:sz="4" w:space="0"/>
              <w:right w:val="single" w:color="auto" w:sz="8" w:space="0"/>
            </w:tcBorders>
          </w:tcPr>
          <w:p w14:paraId="7F804E6F">
            <w:pPr>
              <w:jc w:val="left"/>
              <w:rPr>
                <w:rFonts w:ascii="Microsoft Sans Serif" w:hAnsi="Microsoft Sans Serif" w:cs="Microsoft Sans Serif"/>
                <w:sz w:val="20"/>
                <w:szCs w:val="20"/>
              </w:rPr>
            </w:pPr>
          </w:p>
        </w:tc>
        <w:tc>
          <w:tcPr>
            <w:tcW w:w="1842" w:type="dxa"/>
            <w:tcBorders>
              <w:bottom w:val="single" w:color="auto" w:sz="4" w:space="0"/>
              <w:right w:val="single" w:color="auto" w:sz="8" w:space="0"/>
            </w:tcBorders>
          </w:tcPr>
          <w:p w14:paraId="784DED5C">
            <w:pPr>
              <w:jc w:val="left"/>
              <w:rPr>
                <w:rFonts w:ascii="Microsoft Sans Serif" w:hAnsi="Microsoft Sans Serif" w:cs="Microsoft Sans Serif"/>
                <w:sz w:val="20"/>
                <w:szCs w:val="20"/>
              </w:rPr>
            </w:pPr>
          </w:p>
        </w:tc>
        <w:tc>
          <w:tcPr>
            <w:tcW w:w="1701" w:type="dxa"/>
            <w:gridSpan w:val="2"/>
            <w:tcBorders>
              <w:bottom w:val="single" w:color="auto" w:sz="4" w:space="0"/>
              <w:right w:val="single" w:color="auto" w:sz="8" w:space="0"/>
            </w:tcBorders>
          </w:tcPr>
          <w:p w14:paraId="6097D822">
            <w:pPr>
              <w:jc w:val="left"/>
              <w:rPr>
                <w:rFonts w:ascii="Microsoft Sans Serif" w:hAnsi="Microsoft Sans Serif" w:cs="Microsoft Sans Serif"/>
                <w:sz w:val="20"/>
                <w:szCs w:val="20"/>
              </w:rPr>
            </w:pPr>
          </w:p>
        </w:tc>
        <w:tc>
          <w:tcPr>
            <w:tcW w:w="1985" w:type="dxa"/>
            <w:tcBorders>
              <w:bottom w:val="single" w:color="auto" w:sz="4" w:space="0"/>
              <w:right w:val="single" w:color="auto" w:sz="8" w:space="0"/>
            </w:tcBorders>
          </w:tcPr>
          <w:p w14:paraId="3C4B77FA">
            <w:pPr>
              <w:rPr>
                <w:rFonts w:ascii="Microsoft Sans Serif" w:hAnsi="Microsoft Sans Serif" w:cs="Microsoft Sans Serif"/>
                <w:sz w:val="20"/>
                <w:szCs w:val="20"/>
              </w:rPr>
            </w:pPr>
          </w:p>
        </w:tc>
      </w:tr>
      <w:tr w14:paraId="1FD93BDE">
        <w:tblPrEx>
          <w:tblCellMar>
            <w:top w:w="0" w:type="dxa"/>
            <w:left w:w="0" w:type="dxa"/>
            <w:bottom w:w="0" w:type="dxa"/>
            <w:right w:w="0" w:type="dxa"/>
          </w:tblCellMar>
        </w:tblPrEx>
        <w:trPr>
          <w:trHeight w:val="210" w:hRule="atLeast"/>
        </w:trPr>
        <w:tc>
          <w:tcPr>
            <w:tcW w:w="9356" w:type="dxa"/>
            <w:gridSpan w:val="8"/>
            <w:tcBorders>
              <w:top w:val="single" w:color="auto" w:sz="4" w:space="0"/>
              <w:left w:val="single" w:color="auto" w:sz="8" w:space="0"/>
              <w:bottom w:val="single" w:color="auto" w:sz="8" w:space="0"/>
              <w:right w:val="single" w:color="auto" w:sz="8" w:space="0"/>
            </w:tcBorders>
          </w:tcPr>
          <w:p w14:paraId="4C9C363A">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Kardiološki poremećaji</w:t>
            </w:r>
          </w:p>
        </w:tc>
      </w:tr>
      <w:tr w14:paraId="506CDE8F">
        <w:tblPrEx>
          <w:tblCellMar>
            <w:top w:w="0" w:type="dxa"/>
            <w:left w:w="0" w:type="dxa"/>
            <w:bottom w:w="0" w:type="dxa"/>
            <w:right w:w="0" w:type="dxa"/>
          </w:tblCellMar>
        </w:tblPrEx>
        <w:trPr>
          <w:trHeight w:val="424" w:hRule="atLeast"/>
        </w:trPr>
        <w:tc>
          <w:tcPr>
            <w:tcW w:w="1939" w:type="dxa"/>
            <w:gridSpan w:val="2"/>
            <w:tcBorders>
              <w:left w:val="single" w:color="auto" w:sz="8" w:space="0"/>
              <w:bottom w:val="single" w:color="auto" w:sz="8" w:space="0"/>
              <w:right w:val="single" w:color="auto" w:sz="8" w:space="0"/>
            </w:tcBorders>
          </w:tcPr>
          <w:p w14:paraId="6BDA8398">
            <w:pPr>
              <w:jc w:val="left"/>
              <w:rPr>
                <w:rFonts w:ascii="Microsoft Sans Serif" w:hAnsi="Microsoft Sans Serif" w:cs="Microsoft Sans Serif"/>
                <w:sz w:val="20"/>
                <w:szCs w:val="20"/>
              </w:rPr>
            </w:pPr>
          </w:p>
        </w:tc>
        <w:tc>
          <w:tcPr>
            <w:tcW w:w="1889" w:type="dxa"/>
            <w:gridSpan w:val="2"/>
            <w:tcBorders>
              <w:bottom w:val="single" w:color="auto" w:sz="8" w:space="0"/>
              <w:right w:val="single" w:color="auto" w:sz="8" w:space="0"/>
            </w:tcBorders>
          </w:tcPr>
          <w:p w14:paraId="38F75727">
            <w:pPr>
              <w:jc w:val="left"/>
              <w:rPr>
                <w:rFonts w:ascii="Microsoft Sans Serif" w:hAnsi="Microsoft Sans Serif" w:cs="Microsoft Sans Serif"/>
                <w:sz w:val="20"/>
                <w:szCs w:val="20"/>
              </w:rPr>
            </w:pPr>
            <w:r>
              <w:rPr>
                <w:rFonts w:ascii="Microsoft Sans Serif" w:hAnsi="Microsoft Sans Serif" w:cs="Microsoft Sans Serif"/>
                <w:sz w:val="20"/>
                <w:szCs w:val="20"/>
              </w:rPr>
              <w:t>Tahikardija</w:t>
            </w:r>
          </w:p>
        </w:tc>
        <w:tc>
          <w:tcPr>
            <w:tcW w:w="1842" w:type="dxa"/>
            <w:tcBorders>
              <w:bottom w:val="single" w:color="auto" w:sz="8" w:space="0"/>
              <w:right w:val="single" w:color="auto" w:sz="8" w:space="0"/>
            </w:tcBorders>
          </w:tcPr>
          <w:p w14:paraId="03D7539B">
            <w:pPr>
              <w:jc w:val="left"/>
              <w:rPr>
                <w:rFonts w:ascii="Microsoft Sans Serif" w:hAnsi="Microsoft Sans Serif" w:cs="Microsoft Sans Serif"/>
                <w:sz w:val="20"/>
                <w:szCs w:val="20"/>
              </w:rPr>
            </w:pPr>
          </w:p>
        </w:tc>
        <w:tc>
          <w:tcPr>
            <w:tcW w:w="1701" w:type="dxa"/>
            <w:gridSpan w:val="2"/>
            <w:tcBorders>
              <w:bottom w:val="single" w:color="auto" w:sz="8" w:space="0"/>
              <w:right w:val="single" w:color="auto" w:sz="8" w:space="0"/>
            </w:tcBorders>
          </w:tcPr>
          <w:p w14:paraId="76AF0C04">
            <w:pPr>
              <w:jc w:val="left"/>
              <w:rPr>
                <w:rFonts w:ascii="Microsoft Sans Serif" w:hAnsi="Microsoft Sans Serif" w:cs="Microsoft Sans Serif"/>
                <w:sz w:val="20"/>
                <w:szCs w:val="20"/>
              </w:rPr>
            </w:pPr>
          </w:p>
        </w:tc>
        <w:tc>
          <w:tcPr>
            <w:tcW w:w="1985" w:type="dxa"/>
            <w:tcBorders>
              <w:bottom w:val="single" w:color="auto" w:sz="8" w:space="0"/>
              <w:right w:val="single" w:color="auto" w:sz="8" w:space="0"/>
            </w:tcBorders>
          </w:tcPr>
          <w:p w14:paraId="346CE3D3">
            <w:pPr>
              <w:rPr>
                <w:rFonts w:ascii="Microsoft Sans Serif" w:hAnsi="Microsoft Sans Serif" w:cs="Microsoft Sans Serif"/>
                <w:sz w:val="20"/>
                <w:szCs w:val="20"/>
              </w:rPr>
            </w:pPr>
          </w:p>
        </w:tc>
      </w:tr>
      <w:tr w14:paraId="33052184">
        <w:tblPrEx>
          <w:tblCellMar>
            <w:top w:w="0" w:type="dxa"/>
            <w:left w:w="0" w:type="dxa"/>
            <w:bottom w:w="0" w:type="dxa"/>
            <w:right w:w="0" w:type="dxa"/>
          </w:tblCellMar>
        </w:tblPrEx>
        <w:trPr>
          <w:trHeight w:val="211" w:hRule="atLeast"/>
        </w:trPr>
        <w:tc>
          <w:tcPr>
            <w:tcW w:w="9356" w:type="dxa"/>
            <w:gridSpan w:val="8"/>
            <w:tcBorders>
              <w:left w:val="single" w:color="auto" w:sz="8" w:space="0"/>
              <w:bottom w:val="single" w:color="auto" w:sz="8" w:space="0"/>
              <w:right w:val="single" w:color="auto" w:sz="8" w:space="0"/>
            </w:tcBorders>
          </w:tcPr>
          <w:p w14:paraId="7BA2E3AB">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Vaskularni poremećaji</w:t>
            </w:r>
          </w:p>
        </w:tc>
      </w:tr>
      <w:tr w14:paraId="6B7651E9">
        <w:tblPrEx>
          <w:tblCellMar>
            <w:top w:w="0" w:type="dxa"/>
            <w:left w:w="0" w:type="dxa"/>
            <w:bottom w:w="0" w:type="dxa"/>
            <w:right w:w="0" w:type="dxa"/>
          </w:tblCellMar>
        </w:tblPrEx>
        <w:trPr>
          <w:trHeight w:val="694" w:hRule="atLeast"/>
        </w:trPr>
        <w:tc>
          <w:tcPr>
            <w:tcW w:w="1939" w:type="dxa"/>
            <w:gridSpan w:val="2"/>
            <w:tcBorders>
              <w:left w:val="single" w:color="auto" w:sz="8" w:space="0"/>
              <w:bottom w:val="single" w:color="auto" w:sz="4" w:space="0"/>
              <w:right w:val="single" w:color="auto" w:sz="8" w:space="0"/>
            </w:tcBorders>
          </w:tcPr>
          <w:p w14:paraId="66E38B4F">
            <w:pPr>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Hipotenzija</w:t>
            </w:r>
            <w:r>
              <w:rPr>
                <w:rFonts w:ascii="Microsoft Sans Serif" w:hAnsi="Microsoft Sans Serif" w:cs="Microsoft Sans Serif"/>
                <w:sz w:val="20"/>
                <w:szCs w:val="20"/>
              </w:rPr>
              <w:t>,</w:t>
            </w:r>
          </w:p>
          <w:p w14:paraId="4264450B">
            <w:pPr>
              <w:jc w:val="left"/>
              <w:rPr>
                <w:rFonts w:ascii="Microsoft Sans Serif" w:hAnsi="Microsoft Sans Serif" w:cs="Microsoft Sans Serif"/>
                <w:sz w:val="20"/>
                <w:szCs w:val="20"/>
              </w:rPr>
            </w:pPr>
            <w:r>
              <w:rPr>
                <w:rFonts w:ascii="Microsoft Sans Serif" w:hAnsi="Microsoft Sans Serif" w:cs="Microsoft Sans Serif"/>
                <w:sz w:val="20"/>
                <w:szCs w:val="20"/>
              </w:rPr>
              <w:t>hematomi</w:t>
            </w:r>
          </w:p>
        </w:tc>
        <w:tc>
          <w:tcPr>
            <w:tcW w:w="1889" w:type="dxa"/>
            <w:gridSpan w:val="2"/>
            <w:tcBorders>
              <w:bottom w:val="single" w:color="auto" w:sz="4" w:space="0"/>
              <w:right w:val="single" w:color="auto" w:sz="8" w:space="0"/>
            </w:tcBorders>
          </w:tcPr>
          <w:p w14:paraId="1BB98DB1">
            <w:pPr>
              <w:jc w:val="left"/>
              <w:rPr>
                <w:rFonts w:ascii="Microsoft Sans Serif" w:hAnsi="Microsoft Sans Serif" w:cs="Microsoft Sans Serif"/>
                <w:sz w:val="20"/>
                <w:szCs w:val="20"/>
              </w:rPr>
            </w:pPr>
          </w:p>
        </w:tc>
        <w:tc>
          <w:tcPr>
            <w:tcW w:w="1842" w:type="dxa"/>
            <w:tcBorders>
              <w:bottom w:val="single" w:color="auto" w:sz="4" w:space="0"/>
              <w:right w:val="single" w:color="auto" w:sz="8" w:space="0"/>
            </w:tcBorders>
          </w:tcPr>
          <w:p w14:paraId="387D78D9">
            <w:pPr>
              <w:jc w:val="left"/>
              <w:rPr>
                <w:rFonts w:ascii="Microsoft Sans Serif" w:hAnsi="Microsoft Sans Serif" w:cs="Microsoft Sans Serif"/>
                <w:sz w:val="20"/>
                <w:szCs w:val="20"/>
              </w:rPr>
            </w:pPr>
          </w:p>
        </w:tc>
        <w:tc>
          <w:tcPr>
            <w:tcW w:w="1701" w:type="dxa"/>
            <w:gridSpan w:val="2"/>
            <w:tcBorders>
              <w:bottom w:val="single" w:color="auto" w:sz="4" w:space="0"/>
              <w:right w:val="single" w:color="auto" w:sz="8" w:space="0"/>
            </w:tcBorders>
          </w:tcPr>
          <w:p w14:paraId="4091E37D">
            <w:pPr>
              <w:jc w:val="left"/>
              <w:rPr>
                <w:rFonts w:ascii="Microsoft Sans Serif" w:hAnsi="Microsoft Sans Serif" w:cs="Microsoft Sans Serif"/>
                <w:sz w:val="20"/>
                <w:szCs w:val="20"/>
              </w:rPr>
            </w:pPr>
          </w:p>
        </w:tc>
        <w:tc>
          <w:tcPr>
            <w:tcW w:w="1985" w:type="dxa"/>
            <w:tcBorders>
              <w:bottom w:val="single" w:color="auto" w:sz="4" w:space="0"/>
              <w:right w:val="single" w:color="auto" w:sz="8" w:space="0"/>
            </w:tcBorders>
          </w:tcPr>
          <w:p w14:paraId="37D11744">
            <w:pPr>
              <w:rPr>
                <w:rFonts w:ascii="Microsoft Sans Serif" w:hAnsi="Microsoft Sans Serif" w:cs="Microsoft Sans Serif"/>
                <w:sz w:val="20"/>
                <w:szCs w:val="20"/>
              </w:rPr>
            </w:pPr>
          </w:p>
        </w:tc>
      </w:tr>
      <w:tr w14:paraId="3C6686A8">
        <w:tblPrEx>
          <w:tblCellMar>
            <w:top w:w="0" w:type="dxa"/>
            <w:left w:w="0" w:type="dxa"/>
            <w:bottom w:w="0" w:type="dxa"/>
            <w:right w:w="0" w:type="dxa"/>
          </w:tblCellMar>
        </w:tblPrEx>
        <w:trPr>
          <w:trHeight w:val="211" w:hRule="atLeast"/>
        </w:trPr>
        <w:tc>
          <w:tcPr>
            <w:tcW w:w="9356" w:type="dxa"/>
            <w:gridSpan w:val="8"/>
            <w:tcBorders>
              <w:top w:val="single" w:color="auto" w:sz="4" w:space="0"/>
              <w:left w:val="single" w:color="auto" w:sz="8" w:space="0"/>
              <w:bottom w:val="single" w:color="auto" w:sz="8" w:space="0"/>
              <w:right w:val="single" w:color="auto" w:sz="8" w:space="0"/>
            </w:tcBorders>
          </w:tcPr>
          <w:p w14:paraId="3531390D">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Respiratorni, torakalni i medijastinalni poremećaji</w:t>
            </w:r>
          </w:p>
        </w:tc>
      </w:tr>
      <w:tr w14:paraId="3883ECBB">
        <w:tblPrEx>
          <w:tblCellMar>
            <w:top w:w="0" w:type="dxa"/>
            <w:left w:w="0" w:type="dxa"/>
            <w:bottom w:w="0" w:type="dxa"/>
            <w:right w:w="0" w:type="dxa"/>
          </w:tblCellMar>
        </w:tblPrEx>
        <w:trPr>
          <w:trHeight w:val="714" w:hRule="atLeast"/>
        </w:trPr>
        <w:tc>
          <w:tcPr>
            <w:tcW w:w="1939" w:type="dxa"/>
            <w:gridSpan w:val="2"/>
            <w:tcBorders>
              <w:left w:val="single" w:color="auto" w:sz="8" w:space="0"/>
              <w:bottom w:val="single" w:color="auto" w:sz="4" w:space="0"/>
              <w:right w:val="single" w:color="auto" w:sz="8" w:space="0"/>
            </w:tcBorders>
          </w:tcPr>
          <w:p w14:paraId="4448BA31">
            <w:pPr>
              <w:jc w:val="left"/>
              <w:rPr>
                <w:rFonts w:ascii="Microsoft Sans Serif" w:hAnsi="Microsoft Sans Serif" w:cs="Microsoft Sans Serif"/>
                <w:sz w:val="20"/>
                <w:szCs w:val="20"/>
              </w:rPr>
            </w:pPr>
            <w:r>
              <w:rPr>
                <w:rFonts w:ascii="Microsoft Sans Serif" w:hAnsi="Microsoft Sans Serif" w:cs="Microsoft Sans Serif"/>
                <w:sz w:val="20"/>
                <w:szCs w:val="20"/>
              </w:rPr>
              <w:t>Epistaksa,</w:t>
            </w:r>
          </w:p>
          <w:p w14:paraId="351BB781">
            <w:pPr>
              <w:jc w:val="left"/>
              <w:rPr>
                <w:rFonts w:ascii="Microsoft Sans Serif" w:hAnsi="Microsoft Sans Serif" w:cs="Microsoft Sans Serif"/>
                <w:sz w:val="20"/>
                <w:szCs w:val="20"/>
              </w:rPr>
            </w:pPr>
            <w:r>
              <w:rPr>
                <w:rFonts w:ascii="Microsoft Sans Serif" w:hAnsi="Microsoft Sans Serif" w:cs="Microsoft Sans Serif"/>
                <w:sz w:val="20"/>
                <w:szCs w:val="20"/>
              </w:rPr>
              <w:t>hemoptiza</w:t>
            </w:r>
          </w:p>
        </w:tc>
        <w:tc>
          <w:tcPr>
            <w:tcW w:w="1889" w:type="dxa"/>
            <w:gridSpan w:val="2"/>
            <w:tcBorders>
              <w:bottom w:val="single" w:color="auto" w:sz="4" w:space="0"/>
              <w:right w:val="single" w:color="auto" w:sz="8" w:space="0"/>
            </w:tcBorders>
          </w:tcPr>
          <w:p w14:paraId="035B9134">
            <w:pPr>
              <w:jc w:val="left"/>
              <w:rPr>
                <w:rFonts w:ascii="Microsoft Sans Serif" w:hAnsi="Microsoft Sans Serif" w:cs="Microsoft Sans Serif"/>
                <w:sz w:val="20"/>
                <w:szCs w:val="20"/>
              </w:rPr>
            </w:pPr>
          </w:p>
        </w:tc>
        <w:tc>
          <w:tcPr>
            <w:tcW w:w="1842" w:type="dxa"/>
            <w:tcBorders>
              <w:bottom w:val="single" w:color="auto" w:sz="4" w:space="0"/>
              <w:right w:val="single" w:color="auto" w:sz="8" w:space="0"/>
            </w:tcBorders>
          </w:tcPr>
          <w:p w14:paraId="6ADE3A5A">
            <w:pPr>
              <w:jc w:val="left"/>
              <w:rPr>
                <w:rFonts w:ascii="Microsoft Sans Serif" w:hAnsi="Microsoft Sans Serif" w:cs="Microsoft Sans Serif"/>
                <w:sz w:val="20"/>
                <w:szCs w:val="20"/>
              </w:rPr>
            </w:pPr>
          </w:p>
        </w:tc>
        <w:tc>
          <w:tcPr>
            <w:tcW w:w="1701" w:type="dxa"/>
            <w:gridSpan w:val="2"/>
            <w:tcBorders>
              <w:bottom w:val="single" w:color="auto" w:sz="4" w:space="0"/>
              <w:right w:val="single" w:color="auto" w:sz="8" w:space="0"/>
            </w:tcBorders>
          </w:tcPr>
          <w:p w14:paraId="6A716CF4">
            <w:pPr>
              <w:jc w:val="left"/>
              <w:rPr>
                <w:rFonts w:ascii="Microsoft Sans Serif" w:hAnsi="Microsoft Sans Serif" w:cs="Microsoft Sans Serif"/>
                <w:sz w:val="20"/>
                <w:szCs w:val="20"/>
              </w:rPr>
            </w:pPr>
          </w:p>
        </w:tc>
        <w:tc>
          <w:tcPr>
            <w:tcW w:w="1985" w:type="dxa"/>
            <w:tcBorders>
              <w:bottom w:val="single" w:color="auto" w:sz="4" w:space="0"/>
              <w:right w:val="single" w:color="auto" w:sz="8" w:space="0"/>
            </w:tcBorders>
          </w:tcPr>
          <w:p w14:paraId="1C6DB9F7">
            <w:pPr>
              <w:rPr>
                <w:rFonts w:ascii="Microsoft Sans Serif" w:hAnsi="Microsoft Sans Serif" w:cs="Microsoft Sans Serif"/>
                <w:sz w:val="20"/>
                <w:szCs w:val="20"/>
              </w:rPr>
            </w:pPr>
          </w:p>
        </w:tc>
      </w:tr>
      <w:tr w14:paraId="634408B8">
        <w:tblPrEx>
          <w:tblCellMar>
            <w:top w:w="0" w:type="dxa"/>
            <w:left w:w="0" w:type="dxa"/>
            <w:bottom w:w="0" w:type="dxa"/>
            <w:right w:w="0" w:type="dxa"/>
          </w:tblCellMar>
        </w:tblPrEx>
        <w:trPr>
          <w:trHeight w:val="210" w:hRule="atLeast"/>
        </w:trPr>
        <w:tc>
          <w:tcPr>
            <w:tcW w:w="9356" w:type="dxa"/>
            <w:gridSpan w:val="8"/>
            <w:tcBorders>
              <w:top w:val="single" w:color="auto" w:sz="4" w:space="0"/>
              <w:left w:val="single" w:color="auto" w:sz="8" w:space="0"/>
              <w:bottom w:val="single" w:color="auto" w:sz="8" w:space="0"/>
              <w:right w:val="single" w:color="auto" w:sz="8" w:space="0"/>
            </w:tcBorders>
          </w:tcPr>
          <w:p w14:paraId="381D9E05">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Gastrointestinalni poremećaji</w:t>
            </w:r>
          </w:p>
        </w:tc>
      </w:tr>
      <w:tr w14:paraId="595434AA">
        <w:tblPrEx>
          <w:tblCellMar>
            <w:top w:w="0" w:type="dxa"/>
            <w:left w:w="0" w:type="dxa"/>
            <w:bottom w:w="0" w:type="dxa"/>
            <w:right w:w="0" w:type="dxa"/>
          </w:tblCellMar>
        </w:tblPrEx>
        <w:trPr>
          <w:trHeight w:val="2979" w:hRule="atLeast"/>
        </w:trPr>
        <w:tc>
          <w:tcPr>
            <w:tcW w:w="1939" w:type="dxa"/>
            <w:gridSpan w:val="2"/>
            <w:tcBorders>
              <w:left w:val="single" w:color="auto" w:sz="8" w:space="0"/>
              <w:bottom w:val="single" w:color="auto" w:sz="4" w:space="0"/>
              <w:right w:val="single" w:color="auto" w:sz="8" w:space="0"/>
            </w:tcBorders>
          </w:tcPr>
          <w:p w14:paraId="440F720E">
            <w:pPr>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Krvarenje desni</w:t>
            </w:r>
            <w:r>
              <w:rPr>
                <w:rFonts w:ascii="Microsoft Sans Serif" w:hAnsi="Microsoft Sans Serif" w:cs="Microsoft Sans Serif"/>
                <w:sz w:val="20"/>
                <w:szCs w:val="20"/>
              </w:rPr>
              <w:t>,</w:t>
            </w:r>
          </w:p>
          <w:p w14:paraId="1F975C8D">
            <w:pPr>
              <w:jc w:val="left"/>
              <w:rPr>
                <w:rFonts w:ascii="Microsoft Sans Serif" w:hAnsi="Microsoft Sans Serif" w:cs="Microsoft Sans Serif"/>
                <w:sz w:val="20"/>
                <w:szCs w:val="20"/>
              </w:rPr>
            </w:pPr>
            <w:r>
              <w:rPr>
                <w:rFonts w:ascii="Microsoft Sans Serif" w:hAnsi="Microsoft Sans Serif" w:cs="Microsoft Sans Serif"/>
                <w:sz w:val="20"/>
                <w:szCs w:val="20"/>
              </w:rPr>
              <w:t>k</w:t>
            </w:r>
            <w:r>
              <w:rPr>
                <w:rFonts w:ascii="Microsoft Sans Serif" w:hAnsi="Microsoft Sans Serif" w:cs="Microsoft Sans Serif"/>
                <w:sz w:val="20"/>
                <w:szCs w:val="20"/>
                <w:lang w:val="sr-Cyrl-RS"/>
              </w:rPr>
              <w:t>rvarenje u gastrointestinalnom traktu</w:t>
            </w:r>
            <w:r>
              <w:rPr>
                <w:rFonts w:ascii="Microsoft Sans Serif" w:hAnsi="Microsoft Sans Serif" w:cs="Microsoft Sans Serif"/>
                <w:sz w:val="20"/>
                <w:szCs w:val="20"/>
              </w:rPr>
              <w:t xml:space="preserve"> (uklјučujući rektalno krvarenje),</w:t>
            </w:r>
          </w:p>
          <w:p w14:paraId="0CC6626B">
            <w:pPr>
              <w:jc w:val="left"/>
              <w:rPr>
                <w:rFonts w:ascii="Microsoft Sans Serif" w:hAnsi="Microsoft Sans Serif" w:cs="Microsoft Sans Serif"/>
                <w:sz w:val="20"/>
                <w:szCs w:val="20"/>
              </w:rPr>
            </w:pPr>
            <w:r>
              <w:rPr>
                <w:rFonts w:ascii="Microsoft Sans Serif" w:hAnsi="Microsoft Sans Serif" w:cs="Microsoft Sans Serif"/>
                <w:sz w:val="20"/>
                <w:szCs w:val="20"/>
              </w:rPr>
              <w:t xml:space="preserve">gastrointestinalni </w:t>
            </w:r>
            <w:r>
              <w:rPr>
                <w:rFonts w:ascii="Microsoft Sans Serif" w:hAnsi="Microsoft Sans Serif" w:cs="Microsoft Sans Serif"/>
                <w:sz w:val="20"/>
                <w:szCs w:val="20"/>
                <w:lang w:val="sr-Cyrl-RS"/>
              </w:rPr>
              <w:t>i abdominalni bolovi</w:t>
            </w:r>
            <w:r>
              <w:rPr>
                <w:rFonts w:ascii="Microsoft Sans Serif" w:hAnsi="Microsoft Sans Serif" w:cs="Microsoft Sans Serif"/>
                <w:sz w:val="20"/>
                <w:szCs w:val="20"/>
              </w:rPr>
              <w:t>,</w:t>
            </w:r>
          </w:p>
          <w:p w14:paraId="31BA6A81">
            <w:pPr>
              <w:jc w:val="left"/>
              <w:rPr>
                <w:rFonts w:ascii="Microsoft Sans Serif" w:hAnsi="Microsoft Sans Serif" w:cs="Microsoft Sans Serif"/>
                <w:sz w:val="20"/>
                <w:szCs w:val="20"/>
              </w:rPr>
            </w:pPr>
            <w:r>
              <w:rPr>
                <w:rFonts w:ascii="Microsoft Sans Serif" w:hAnsi="Microsoft Sans Serif" w:cs="Microsoft Sans Serif"/>
                <w:sz w:val="20"/>
                <w:szCs w:val="20"/>
              </w:rPr>
              <w:t xml:space="preserve">dispepsija, </w:t>
            </w:r>
          </w:p>
          <w:p w14:paraId="5794A337">
            <w:pPr>
              <w:jc w:val="left"/>
              <w:rPr>
                <w:rFonts w:ascii="Microsoft Sans Serif" w:hAnsi="Microsoft Sans Serif" w:cs="Microsoft Sans Serif"/>
                <w:sz w:val="20"/>
                <w:szCs w:val="20"/>
              </w:rPr>
            </w:pPr>
            <w:r>
              <w:rPr>
                <w:rFonts w:ascii="Microsoft Sans Serif" w:hAnsi="Microsoft Sans Serif" w:cs="Microsoft Sans Serif"/>
                <w:sz w:val="20"/>
                <w:szCs w:val="20"/>
              </w:rPr>
              <w:t>mučnina,</w:t>
            </w:r>
          </w:p>
          <w:p w14:paraId="7C465256">
            <w:pPr>
              <w:jc w:val="left"/>
              <w:rPr>
                <w:rFonts w:ascii="Microsoft Sans Serif" w:hAnsi="Microsoft Sans Serif" w:cs="Microsoft Sans Serif"/>
                <w:sz w:val="20"/>
                <w:szCs w:val="20"/>
              </w:rPr>
            </w:pPr>
            <w:r>
              <w:rPr>
                <w:rFonts w:ascii="Microsoft Sans Serif" w:hAnsi="Microsoft Sans Serif" w:cs="Microsoft Sans Serif"/>
                <w:sz w:val="20"/>
                <w:szCs w:val="20"/>
              </w:rPr>
              <w:t>konstipacija</w:t>
            </w:r>
            <w:r>
              <w:rPr>
                <w:rFonts w:ascii="Microsoft Sans Serif" w:hAnsi="Microsoft Sans Serif" w:cs="Microsoft Sans Serif"/>
                <w:sz w:val="20"/>
                <w:szCs w:val="20"/>
                <w:vertAlign w:val="superscript"/>
              </w:rPr>
              <w:t>A</w:t>
            </w:r>
            <w:r>
              <w:rPr>
                <w:rFonts w:ascii="Microsoft Sans Serif" w:hAnsi="Microsoft Sans Serif" w:cs="Microsoft Sans Serif"/>
                <w:sz w:val="20"/>
                <w:szCs w:val="20"/>
              </w:rPr>
              <w:t>,</w:t>
            </w:r>
          </w:p>
          <w:p w14:paraId="30D1B9E2">
            <w:pPr>
              <w:jc w:val="left"/>
              <w:rPr>
                <w:rFonts w:ascii="Microsoft Sans Serif" w:hAnsi="Microsoft Sans Serif" w:cs="Microsoft Sans Serif"/>
                <w:sz w:val="20"/>
                <w:szCs w:val="20"/>
              </w:rPr>
            </w:pPr>
            <w:r>
              <w:rPr>
                <w:rFonts w:ascii="Microsoft Sans Serif" w:hAnsi="Microsoft Sans Serif" w:cs="Microsoft Sans Serif"/>
                <w:sz w:val="20"/>
                <w:szCs w:val="20"/>
              </w:rPr>
              <w:t>dijareja,</w:t>
            </w:r>
          </w:p>
          <w:p w14:paraId="78D4EAB1">
            <w:pPr>
              <w:jc w:val="left"/>
              <w:rPr>
                <w:rFonts w:ascii="Microsoft Sans Serif" w:hAnsi="Microsoft Sans Serif" w:cs="Microsoft Sans Serif"/>
                <w:sz w:val="20"/>
                <w:szCs w:val="20"/>
              </w:rPr>
            </w:pPr>
            <w:r>
              <w:rPr>
                <w:rFonts w:ascii="Microsoft Sans Serif" w:hAnsi="Microsoft Sans Serif" w:cs="Microsoft Sans Serif"/>
                <w:sz w:val="20"/>
                <w:szCs w:val="20"/>
              </w:rPr>
              <w:t>povraćanje</w:t>
            </w:r>
            <w:r>
              <w:rPr>
                <w:rFonts w:ascii="Microsoft Sans Serif" w:hAnsi="Microsoft Sans Serif" w:cs="Microsoft Sans Serif"/>
                <w:sz w:val="20"/>
                <w:szCs w:val="20"/>
                <w:vertAlign w:val="superscript"/>
              </w:rPr>
              <w:t>A</w:t>
            </w:r>
          </w:p>
        </w:tc>
        <w:tc>
          <w:tcPr>
            <w:tcW w:w="1889" w:type="dxa"/>
            <w:gridSpan w:val="2"/>
            <w:tcBorders>
              <w:bottom w:val="single" w:color="auto" w:sz="4" w:space="0"/>
              <w:right w:val="single" w:color="auto" w:sz="8" w:space="0"/>
            </w:tcBorders>
          </w:tcPr>
          <w:p w14:paraId="1B3C6F1B">
            <w:pPr>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Suva usta</w:t>
            </w:r>
          </w:p>
        </w:tc>
        <w:tc>
          <w:tcPr>
            <w:tcW w:w="1842" w:type="dxa"/>
            <w:tcBorders>
              <w:bottom w:val="single" w:color="auto" w:sz="4" w:space="0"/>
              <w:right w:val="single" w:color="auto" w:sz="8" w:space="0"/>
            </w:tcBorders>
          </w:tcPr>
          <w:p w14:paraId="787F1A60">
            <w:pPr>
              <w:jc w:val="left"/>
              <w:rPr>
                <w:rFonts w:ascii="Microsoft Sans Serif" w:hAnsi="Microsoft Sans Serif" w:cs="Microsoft Sans Serif"/>
                <w:sz w:val="20"/>
                <w:szCs w:val="20"/>
              </w:rPr>
            </w:pPr>
          </w:p>
        </w:tc>
        <w:tc>
          <w:tcPr>
            <w:tcW w:w="1701" w:type="dxa"/>
            <w:gridSpan w:val="2"/>
            <w:tcBorders>
              <w:bottom w:val="single" w:color="auto" w:sz="4" w:space="0"/>
              <w:right w:val="single" w:color="auto" w:sz="8" w:space="0"/>
            </w:tcBorders>
          </w:tcPr>
          <w:p w14:paraId="3F23BE39">
            <w:pPr>
              <w:jc w:val="left"/>
              <w:rPr>
                <w:rFonts w:ascii="Microsoft Sans Serif" w:hAnsi="Microsoft Sans Serif" w:cs="Microsoft Sans Serif"/>
                <w:sz w:val="20"/>
                <w:szCs w:val="20"/>
              </w:rPr>
            </w:pPr>
          </w:p>
        </w:tc>
        <w:tc>
          <w:tcPr>
            <w:tcW w:w="1985" w:type="dxa"/>
            <w:tcBorders>
              <w:bottom w:val="single" w:color="auto" w:sz="4" w:space="0"/>
              <w:right w:val="single" w:color="auto" w:sz="8" w:space="0"/>
            </w:tcBorders>
          </w:tcPr>
          <w:p w14:paraId="59457988">
            <w:pPr>
              <w:rPr>
                <w:rFonts w:ascii="Microsoft Sans Serif" w:hAnsi="Microsoft Sans Serif" w:cs="Microsoft Sans Serif"/>
                <w:sz w:val="20"/>
                <w:szCs w:val="20"/>
              </w:rPr>
            </w:pPr>
          </w:p>
        </w:tc>
      </w:tr>
      <w:tr w14:paraId="44C858E3">
        <w:tblPrEx>
          <w:tblCellMar>
            <w:top w:w="0" w:type="dxa"/>
            <w:left w:w="0" w:type="dxa"/>
            <w:bottom w:w="0" w:type="dxa"/>
            <w:right w:w="0" w:type="dxa"/>
          </w:tblCellMar>
        </w:tblPrEx>
        <w:trPr>
          <w:trHeight w:val="210" w:hRule="atLeast"/>
        </w:trPr>
        <w:tc>
          <w:tcPr>
            <w:tcW w:w="9356" w:type="dxa"/>
            <w:gridSpan w:val="8"/>
            <w:tcBorders>
              <w:top w:val="single" w:color="auto" w:sz="4" w:space="0"/>
              <w:left w:val="single" w:color="auto" w:sz="8" w:space="0"/>
              <w:bottom w:val="single" w:color="auto" w:sz="4" w:space="0"/>
              <w:right w:val="single" w:color="auto" w:sz="8" w:space="0"/>
            </w:tcBorders>
          </w:tcPr>
          <w:p w14:paraId="0E754AEF">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Hepatobilijarni poremećaji</w:t>
            </w:r>
          </w:p>
        </w:tc>
      </w:tr>
      <w:tr w14:paraId="3879CF11">
        <w:tblPrEx>
          <w:tblCellMar>
            <w:top w:w="0" w:type="dxa"/>
            <w:left w:w="0" w:type="dxa"/>
            <w:bottom w:w="0" w:type="dxa"/>
            <w:right w:w="0" w:type="dxa"/>
          </w:tblCellMar>
        </w:tblPrEx>
        <w:trPr>
          <w:trHeight w:val="2323" w:hRule="atLeast"/>
        </w:trPr>
        <w:tc>
          <w:tcPr>
            <w:tcW w:w="1939" w:type="dxa"/>
            <w:gridSpan w:val="2"/>
            <w:tcBorders>
              <w:top w:val="single" w:color="auto" w:sz="4" w:space="0"/>
              <w:left w:val="single" w:color="auto" w:sz="8" w:space="0"/>
              <w:bottom w:val="single" w:color="auto" w:sz="4" w:space="0"/>
              <w:right w:val="single" w:color="auto" w:sz="8" w:space="0"/>
            </w:tcBorders>
          </w:tcPr>
          <w:p w14:paraId="5506E0CB">
            <w:pPr>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Povećanje vrijednosti transaminaza</w:t>
            </w:r>
          </w:p>
        </w:tc>
        <w:tc>
          <w:tcPr>
            <w:tcW w:w="1889" w:type="dxa"/>
            <w:gridSpan w:val="2"/>
            <w:tcBorders>
              <w:top w:val="single" w:color="auto" w:sz="4" w:space="0"/>
              <w:bottom w:val="single" w:color="auto" w:sz="4" w:space="0"/>
              <w:right w:val="single" w:color="auto" w:sz="8" w:space="0"/>
            </w:tcBorders>
          </w:tcPr>
          <w:p w14:paraId="03EAADE8">
            <w:pPr>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Oštećenje funkcije jetre</w:t>
            </w:r>
            <w:r>
              <w:rPr>
                <w:rFonts w:ascii="Microsoft Sans Serif" w:hAnsi="Microsoft Sans Serif" w:cs="Microsoft Sans Serif"/>
                <w:sz w:val="20"/>
                <w:szCs w:val="20"/>
              </w:rPr>
              <w:t>,</w:t>
            </w:r>
          </w:p>
          <w:p w14:paraId="5D1E4ECF">
            <w:pPr>
              <w:jc w:val="left"/>
              <w:rPr>
                <w:rFonts w:ascii="Microsoft Sans Serif" w:hAnsi="Microsoft Sans Serif" w:cs="Microsoft Sans Serif"/>
                <w:sz w:val="20"/>
                <w:szCs w:val="20"/>
              </w:rPr>
            </w:pPr>
            <w:r>
              <w:rPr>
                <w:rFonts w:ascii="Microsoft Sans Serif" w:hAnsi="Microsoft Sans Serif" w:cs="Microsoft Sans Serif"/>
                <w:sz w:val="20"/>
                <w:szCs w:val="20"/>
              </w:rPr>
              <w:t>p</w:t>
            </w:r>
            <w:r>
              <w:rPr>
                <w:rFonts w:ascii="Microsoft Sans Serif" w:hAnsi="Microsoft Sans Serif" w:cs="Microsoft Sans Serif"/>
                <w:sz w:val="20"/>
                <w:szCs w:val="20"/>
                <w:lang w:val="sr-Cyrl-RS"/>
              </w:rPr>
              <w:t>ovećana koncentracija bilirubina</w:t>
            </w:r>
            <w:r>
              <w:rPr>
                <w:rFonts w:ascii="Microsoft Sans Serif" w:hAnsi="Microsoft Sans Serif" w:cs="Microsoft Sans Serif"/>
                <w:sz w:val="20"/>
                <w:szCs w:val="20"/>
              </w:rPr>
              <w:t>,</w:t>
            </w:r>
          </w:p>
          <w:p w14:paraId="6EC23782">
            <w:pPr>
              <w:jc w:val="left"/>
              <w:rPr>
                <w:rFonts w:ascii="Microsoft Sans Serif" w:hAnsi="Microsoft Sans Serif" w:cs="Microsoft Sans Serif"/>
                <w:sz w:val="20"/>
                <w:szCs w:val="20"/>
              </w:rPr>
            </w:pPr>
            <w:r>
              <w:rPr>
                <w:rFonts w:ascii="Microsoft Sans Serif" w:hAnsi="Microsoft Sans Serif" w:cs="Microsoft Sans Serif"/>
                <w:sz w:val="20"/>
                <w:szCs w:val="20"/>
              </w:rPr>
              <w:t xml:space="preserve">povećana </w:t>
            </w:r>
            <w:r>
              <w:rPr>
                <w:rFonts w:ascii="Microsoft Sans Serif" w:hAnsi="Microsoft Sans Serif" w:cs="Microsoft Sans Serif"/>
                <w:sz w:val="20"/>
                <w:szCs w:val="20"/>
                <w:lang w:val="sr-Cyrl-RS"/>
              </w:rPr>
              <w:t>vrijednost alkalne fosfataze u krvi</w:t>
            </w:r>
            <w:r>
              <w:rPr>
                <w:rFonts w:ascii="Microsoft Sans Serif" w:hAnsi="Microsoft Sans Serif" w:cs="Microsoft Sans Serif"/>
                <w:sz w:val="20"/>
                <w:szCs w:val="20"/>
                <w:vertAlign w:val="superscript"/>
              </w:rPr>
              <w:t>A</w:t>
            </w:r>
            <w:r>
              <w:rPr>
                <w:rFonts w:ascii="Microsoft Sans Serif" w:hAnsi="Microsoft Sans Serif" w:cs="Microsoft Sans Serif"/>
                <w:sz w:val="20"/>
                <w:szCs w:val="20"/>
              </w:rPr>
              <w:t>,</w:t>
            </w:r>
          </w:p>
          <w:p w14:paraId="2BD86E0A">
            <w:pPr>
              <w:jc w:val="left"/>
              <w:rPr>
                <w:rFonts w:ascii="Microsoft Sans Serif" w:hAnsi="Microsoft Sans Serif" w:cs="Microsoft Sans Serif"/>
                <w:sz w:val="20"/>
                <w:szCs w:val="20"/>
              </w:rPr>
            </w:pPr>
            <w:r>
              <w:rPr>
                <w:rFonts w:ascii="Microsoft Sans Serif" w:hAnsi="Microsoft Sans Serif" w:cs="Microsoft Sans Serif"/>
                <w:sz w:val="20"/>
                <w:szCs w:val="20"/>
              </w:rPr>
              <w:t xml:space="preserve">povećana </w:t>
            </w:r>
            <w:r>
              <w:rPr>
                <w:rFonts w:ascii="Microsoft Sans Serif" w:hAnsi="Microsoft Sans Serif" w:cs="Microsoft Sans Serif"/>
                <w:sz w:val="20"/>
                <w:szCs w:val="20"/>
                <w:lang w:val="sr-Cyrl-RS"/>
              </w:rPr>
              <w:t>vrijednost</w:t>
            </w:r>
            <w:r>
              <w:rPr>
                <w:rFonts w:ascii="Microsoft Sans Serif" w:hAnsi="Microsoft Sans Serif" w:cs="Microsoft Sans Serif"/>
                <w:sz w:val="20"/>
                <w:szCs w:val="20"/>
              </w:rPr>
              <w:t xml:space="preserve"> GGT</w:t>
            </w:r>
            <w:r>
              <w:rPr>
                <w:rFonts w:ascii="Microsoft Sans Serif" w:hAnsi="Microsoft Sans Serif" w:cs="Microsoft Sans Serif"/>
                <w:sz w:val="20"/>
                <w:szCs w:val="20"/>
                <w:vertAlign w:val="superscript"/>
              </w:rPr>
              <w:t>A</w:t>
            </w:r>
          </w:p>
        </w:tc>
        <w:tc>
          <w:tcPr>
            <w:tcW w:w="1842" w:type="dxa"/>
            <w:tcBorders>
              <w:top w:val="single" w:color="auto" w:sz="4" w:space="0"/>
              <w:bottom w:val="single" w:color="auto" w:sz="4" w:space="0"/>
              <w:right w:val="single" w:color="auto" w:sz="8" w:space="0"/>
            </w:tcBorders>
          </w:tcPr>
          <w:p w14:paraId="29023A32">
            <w:pPr>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Žutica</w:t>
            </w:r>
            <w:r>
              <w:rPr>
                <w:rFonts w:ascii="Microsoft Sans Serif" w:hAnsi="Microsoft Sans Serif" w:cs="Microsoft Sans Serif"/>
                <w:sz w:val="20"/>
                <w:szCs w:val="20"/>
              </w:rPr>
              <w:t xml:space="preserve">, </w:t>
            </w:r>
          </w:p>
          <w:p w14:paraId="557F4B5B">
            <w:pPr>
              <w:jc w:val="left"/>
              <w:rPr>
                <w:rFonts w:ascii="Microsoft Sans Serif" w:hAnsi="Microsoft Sans Serif" w:cs="Microsoft Sans Serif"/>
                <w:sz w:val="20"/>
                <w:szCs w:val="20"/>
              </w:rPr>
            </w:pPr>
            <w:r>
              <w:rPr>
                <w:rFonts w:ascii="Microsoft Sans Serif" w:hAnsi="Microsoft Sans Serif" w:cs="Microsoft Sans Serif"/>
                <w:sz w:val="20"/>
                <w:szCs w:val="20"/>
              </w:rPr>
              <w:t>p</w:t>
            </w:r>
            <w:r>
              <w:rPr>
                <w:rFonts w:ascii="Microsoft Sans Serif" w:hAnsi="Microsoft Sans Serif" w:cs="Microsoft Sans Serif"/>
                <w:sz w:val="20"/>
                <w:szCs w:val="20"/>
                <w:lang w:val="sr-Cyrl-RS"/>
              </w:rPr>
              <w:t>ovećana vrijednost konjugovanog bilirubina</w:t>
            </w:r>
            <w:r>
              <w:rPr>
                <w:rFonts w:ascii="Microsoft Sans Serif" w:hAnsi="Microsoft Sans Serif" w:cs="Microsoft Sans Serif"/>
                <w:sz w:val="20"/>
                <w:szCs w:val="20"/>
              </w:rPr>
              <w:t xml:space="preserve"> (sa ili bez istovremenog povećanja ALT),</w:t>
            </w:r>
          </w:p>
          <w:p w14:paraId="0F7ACEEF">
            <w:pPr>
              <w:jc w:val="left"/>
              <w:rPr>
                <w:rFonts w:ascii="Microsoft Sans Serif" w:hAnsi="Microsoft Sans Serif" w:cs="Microsoft Sans Serif"/>
                <w:sz w:val="20"/>
                <w:szCs w:val="20"/>
              </w:rPr>
            </w:pPr>
            <w:r>
              <w:rPr>
                <w:rFonts w:ascii="Microsoft Sans Serif" w:hAnsi="Microsoft Sans Serif" w:cs="Microsoft Sans Serif"/>
                <w:sz w:val="20"/>
                <w:szCs w:val="20"/>
              </w:rPr>
              <w:t>holestaza,</w:t>
            </w:r>
          </w:p>
          <w:p w14:paraId="75615760">
            <w:pPr>
              <w:jc w:val="left"/>
              <w:rPr>
                <w:rFonts w:ascii="Microsoft Sans Serif" w:hAnsi="Microsoft Sans Serif" w:cs="Microsoft Sans Serif"/>
                <w:sz w:val="20"/>
                <w:szCs w:val="20"/>
              </w:rPr>
            </w:pPr>
            <w:r>
              <w:rPr>
                <w:rFonts w:ascii="Microsoft Sans Serif" w:hAnsi="Microsoft Sans Serif" w:cs="Microsoft Sans Serif"/>
                <w:sz w:val="20"/>
                <w:szCs w:val="20"/>
              </w:rPr>
              <w:t>hepatitis (uklјučujući hepatocelularno oštećenje)</w:t>
            </w:r>
          </w:p>
        </w:tc>
        <w:tc>
          <w:tcPr>
            <w:tcW w:w="1701" w:type="dxa"/>
            <w:gridSpan w:val="2"/>
            <w:tcBorders>
              <w:top w:val="single" w:color="auto" w:sz="4" w:space="0"/>
              <w:bottom w:val="single" w:color="auto" w:sz="4" w:space="0"/>
              <w:right w:val="single" w:color="auto" w:sz="8" w:space="0"/>
            </w:tcBorders>
          </w:tcPr>
          <w:p w14:paraId="3261F2B0">
            <w:pPr>
              <w:jc w:val="left"/>
              <w:rPr>
                <w:rFonts w:ascii="Microsoft Sans Serif" w:hAnsi="Microsoft Sans Serif" w:cs="Microsoft Sans Serif"/>
                <w:sz w:val="20"/>
                <w:szCs w:val="20"/>
              </w:rPr>
            </w:pPr>
          </w:p>
        </w:tc>
        <w:tc>
          <w:tcPr>
            <w:tcW w:w="1985" w:type="dxa"/>
            <w:tcBorders>
              <w:top w:val="single" w:color="auto" w:sz="4" w:space="0"/>
              <w:bottom w:val="single" w:color="auto" w:sz="4" w:space="0"/>
              <w:right w:val="single" w:color="auto" w:sz="8" w:space="0"/>
            </w:tcBorders>
          </w:tcPr>
          <w:p w14:paraId="72A82AAB">
            <w:pPr>
              <w:rPr>
                <w:rFonts w:ascii="Microsoft Sans Serif" w:hAnsi="Microsoft Sans Serif" w:cs="Microsoft Sans Serif"/>
                <w:sz w:val="20"/>
                <w:szCs w:val="20"/>
              </w:rPr>
            </w:pPr>
          </w:p>
        </w:tc>
      </w:tr>
      <w:tr w14:paraId="6FE0F8E1">
        <w:tblPrEx>
          <w:tblCellMar>
            <w:top w:w="0" w:type="dxa"/>
            <w:left w:w="0" w:type="dxa"/>
            <w:bottom w:w="0" w:type="dxa"/>
            <w:right w:w="0" w:type="dxa"/>
          </w:tblCellMar>
        </w:tblPrEx>
        <w:trPr>
          <w:trHeight w:val="210" w:hRule="atLeast"/>
        </w:trPr>
        <w:tc>
          <w:tcPr>
            <w:tcW w:w="9356" w:type="dxa"/>
            <w:gridSpan w:val="8"/>
            <w:tcBorders>
              <w:top w:val="single" w:color="auto" w:sz="4" w:space="0"/>
              <w:left w:val="single" w:color="auto" w:sz="8" w:space="0"/>
              <w:bottom w:val="single" w:color="auto" w:sz="8" w:space="0"/>
              <w:right w:val="single" w:color="auto" w:sz="8" w:space="0"/>
            </w:tcBorders>
          </w:tcPr>
          <w:p w14:paraId="34099D36">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Poremećaji kože i potkožnog tkiva</w:t>
            </w:r>
          </w:p>
        </w:tc>
      </w:tr>
      <w:tr w14:paraId="4FABEF66">
        <w:tblPrEx>
          <w:tblCellMar>
            <w:top w:w="0" w:type="dxa"/>
            <w:left w:w="0" w:type="dxa"/>
            <w:bottom w:w="0" w:type="dxa"/>
            <w:right w:w="0" w:type="dxa"/>
          </w:tblCellMar>
        </w:tblPrEx>
        <w:trPr>
          <w:trHeight w:val="1872" w:hRule="atLeast"/>
        </w:trPr>
        <w:tc>
          <w:tcPr>
            <w:tcW w:w="1939" w:type="dxa"/>
            <w:gridSpan w:val="2"/>
            <w:tcBorders>
              <w:left w:val="single" w:color="auto" w:sz="8" w:space="0"/>
              <w:bottom w:val="single" w:color="auto" w:sz="4" w:space="0"/>
              <w:right w:val="single" w:color="auto" w:sz="8" w:space="0"/>
            </w:tcBorders>
          </w:tcPr>
          <w:p w14:paraId="24B8CEE5">
            <w:pPr>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Pruritus</w:t>
            </w:r>
            <w:r>
              <w:rPr>
                <w:rFonts w:ascii="Microsoft Sans Serif" w:hAnsi="Microsoft Sans Serif" w:cs="Microsoft Sans Serif"/>
                <w:sz w:val="20"/>
                <w:szCs w:val="20"/>
              </w:rPr>
              <w:t xml:space="preserve"> (uklјučujući povremene slučajeve generalizovanog pruritusa), </w:t>
            </w:r>
          </w:p>
          <w:p w14:paraId="60E5E41B">
            <w:pPr>
              <w:jc w:val="left"/>
              <w:rPr>
                <w:rFonts w:ascii="Microsoft Sans Serif" w:hAnsi="Microsoft Sans Serif" w:cs="Microsoft Sans Serif"/>
                <w:sz w:val="20"/>
                <w:szCs w:val="20"/>
              </w:rPr>
            </w:pPr>
            <w:r>
              <w:rPr>
                <w:rFonts w:ascii="Microsoft Sans Serif" w:hAnsi="Microsoft Sans Serif" w:cs="Microsoft Sans Serif"/>
                <w:sz w:val="20"/>
                <w:szCs w:val="20"/>
              </w:rPr>
              <w:t>osip,</w:t>
            </w:r>
          </w:p>
          <w:p w14:paraId="6E6CD37F">
            <w:pPr>
              <w:jc w:val="left"/>
              <w:rPr>
                <w:rFonts w:ascii="Microsoft Sans Serif" w:hAnsi="Microsoft Sans Serif" w:cs="Microsoft Sans Serif"/>
                <w:sz w:val="20"/>
                <w:szCs w:val="20"/>
              </w:rPr>
            </w:pPr>
            <w:r>
              <w:rPr>
                <w:rFonts w:ascii="Microsoft Sans Serif" w:hAnsi="Microsoft Sans Serif" w:cs="Microsoft Sans Serif"/>
                <w:sz w:val="20"/>
                <w:szCs w:val="20"/>
              </w:rPr>
              <w:t>ekhimoza,</w:t>
            </w:r>
          </w:p>
          <w:p w14:paraId="5FFA9A5C">
            <w:pPr>
              <w:jc w:val="left"/>
              <w:rPr>
                <w:rFonts w:ascii="Microsoft Sans Serif" w:hAnsi="Microsoft Sans Serif" w:cs="Microsoft Sans Serif"/>
                <w:sz w:val="20"/>
                <w:szCs w:val="20"/>
              </w:rPr>
            </w:pPr>
            <w:r>
              <w:rPr>
                <w:rFonts w:ascii="Microsoft Sans Serif" w:hAnsi="Microsoft Sans Serif" w:cs="Microsoft Sans Serif"/>
                <w:sz w:val="20"/>
                <w:szCs w:val="20"/>
              </w:rPr>
              <w:t>kutano i subkutano krvarenje</w:t>
            </w:r>
          </w:p>
        </w:tc>
        <w:tc>
          <w:tcPr>
            <w:tcW w:w="1889" w:type="dxa"/>
            <w:gridSpan w:val="2"/>
            <w:tcBorders>
              <w:bottom w:val="single" w:color="auto" w:sz="4" w:space="0"/>
              <w:right w:val="single" w:color="auto" w:sz="8" w:space="0"/>
            </w:tcBorders>
          </w:tcPr>
          <w:p w14:paraId="2C009291">
            <w:pPr>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Urtikarija</w:t>
            </w:r>
          </w:p>
        </w:tc>
        <w:tc>
          <w:tcPr>
            <w:tcW w:w="1842" w:type="dxa"/>
            <w:tcBorders>
              <w:bottom w:val="single" w:color="auto" w:sz="4" w:space="0"/>
              <w:right w:val="single" w:color="auto" w:sz="8" w:space="0"/>
            </w:tcBorders>
          </w:tcPr>
          <w:p w14:paraId="2D0381AB">
            <w:pPr>
              <w:jc w:val="left"/>
              <w:rPr>
                <w:rFonts w:ascii="Microsoft Sans Serif" w:hAnsi="Microsoft Sans Serif" w:cs="Microsoft Sans Serif"/>
                <w:sz w:val="20"/>
                <w:szCs w:val="20"/>
              </w:rPr>
            </w:pPr>
          </w:p>
        </w:tc>
        <w:tc>
          <w:tcPr>
            <w:tcW w:w="1701" w:type="dxa"/>
            <w:gridSpan w:val="2"/>
            <w:tcBorders>
              <w:bottom w:val="single" w:color="auto" w:sz="4" w:space="0"/>
              <w:right w:val="single" w:color="auto" w:sz="8" w:space="0"/>
            </w:tcBorders>
          </w:tcPr>
          <w:p w14:paraId="7A92516A">
            <w:pPr>
              <w:jc w:val="left"/>
              <w:rPr>
                <w:rFonts w:ascii="Microsoft Sans Serif" w:hAnsi="Microsoft Sans Serif" w:cs="Microsoft Sans Serif"/>
                <w:sz w:val="20"/>
                <w:szCs w:val="20"/>
              </w:rPr>
            </w:pPr>
            <w:r>
              <w:rPr>
                <w:rFonts w:ascii="Microsoft Sans Serif" w:hAnsi="Microsoft Sans Serif" w:cs="Microsoft Sans Serif"/>
                <w:sz w:val="20"/>
                <w:szCs w:val="20"/>
              </w:rPr>
              <w:t>Stevens-Johnson</w:t>
            </w:r>
            <w:r>
              <w:rPr>
                <w:rFonts w:ascii="Microsoft Sans Serif" w:hAnsi="Microsoft Sans Serif" w:cs="Microsoft Sans Serif"/>
                <w:sz w:val="20"/>
                <w:szCs w:val="20"/>
                <w:lang w:val="sr-Cyrl-RS"/>
              </w:rPr>
              <w:t>-ov</w:t>
            </w:r>
            <w:r>
              <w:rPr>
                <w:rFonts w:ascii="Microsoft Sans Serif" w:hAnsi="Microsoft Sans Serif" w:cs="Microsoft Sans Serif"/>
                <w:sz w:val="20"/>
                <w:szCs w:val="20"/>
              </w:rPr>
              <w:t xml:space="preserve"> sindrom/ Toksična epidermalna nekroliza,</w:t>
            </w:r>
          </w:p>
          <w:p w14:paraId="5A4A369C">
            <w:pPr>
              <w:jc w:val="left"/>
              <w:rPr>
                <w:rFonts w:ascii="Microsoft Sans Serif" w:hAnsi="Microsoft Sans Serif" w:cs="Microsoft Sans Serif"/>
                <w:sz w:val="20"/>
                <w:szCs w:val="20"/>
              </w:rPr>
            </w:pPr>
            <w:r>
              <w:rPr>
                <w:rFonts w:ascii="Microsoft Sans Serif" w:hAnsi="Microsoft Sans Serif" w:cs="Microsoft Sans Serif"/>
                <w:sz w:val="20"/>
                <w:szCs w:val="20"/>
              </w:rPr>
              <w:t>DRESS sindrom</w:t>
            </w:r>
          </w:p>
        </w:tc>
        <w:tc>
          <w:tcPr>
            <w:tcW w:w="1985" w:type="dxa"/>
            <w:tcBorders>
              <w:bottom w:val="single" w:color="auto" w:sz="4" w:space="0"/>
              <w:right w:val="single" w:color="auto" w:sz="8" w:space="0"/>
            </w:tcBorders>
          </w:tcPr>
          <w:p w14:paraId="6C1DD61C">
            <w:pPr>
              <w:rPr>
                <w:rFonts w:ascii="Microsoft Sans Serif" w:hAnsi="Microsoft Sans Serif" w:cs="Microsoft Sans Serif"/>
                <w:sz w:val="20"/>
                <w:szCs w:val="20"/>
              </w:rPr>
            </w:pPr>
          </w:p>
        </w:tc>
      </w:tr>
      <w:tr w14:paraId="725D8769">
        <w:tblPrEx>
          <w:tblCellMar>
            <w:top w:w="0" w:type="dxa"/>
            <w:left w:w="0" w:type="dxa"/>
            <w:bottom w:w="0" w:type="dxa"/>
            <w:right w:w="0" w:type="dxa"/>
          </w:tblCellMar>
        </w:tblPrEx>
        <w:trPr>
          <w:trHeight w:val="210" w:hRule="atLeast"/>
        </w:trPr>
        <w:tc>
          <w:tcPr>
            <w:tcW w:w="9356" w:type="dxa"/>
            <w:gridSpan w:val="8"/>
            <w:tcBorders>
              <w:top w:val="single" w:color="auto" w:sz="4" w:space="0"/>
              <w:left w:val="single" w:color="auto" w:sz="8" w:space="0"/>
              <w:bottom w:val="single" w:color="auto" w:sz="8" w:space="0"/>
              <w:right w:val="single" w:color="auto" w:sz="8" w:space="0"/>
            </w:tcBorders>
          </w:tcPr>
          <w:p w14:paraId="120C0662">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Poremećaji mišićno-koštanog sistema i vezivnog tkiva</w:t>
            </w:r>
          </w:p>
        </w:tc>
      </w:tr>
      <w:tr w14:paraId="2D6676A5">
        <w:tblPrEx>
          <w:tblCellMar>
            <w:top w:w="0" w:type="dxa"/>
            <w:left w:w="0" w:type="dxa"/>
            <w:bottom w:w="0" w:type="dxa"/>
            <w:right w:w="0" w:type="dxa"/>
          </w:tblCellMar>
        </w:tblPrEx>
        <w:trPr>
          <w:trHeight w:val="939" w:hRule="atLeast"/>
        </w:trPr>
        <w:tc>
          <w:tcPr>
            <w:tcW w:w="1939" w:type="dxa"/>
            <w:gridSpan w:val="2"/>
            <w:tcBorders>
              <w:left w:val="single" w:color="auto" w:sz="8" w:space="0"/>
              <w:right w:val="single" w:color="auto" w:sz="8" w:space="0"/>
            </w:tcBorders>
          </w:tcPr>
          <w:p w14:paraId="0920AEA0">
            <w:pPr>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Bol u ekstremitetu</w:t>
            </w:r>
            <w:r>
              <w:rPr>
                <w:rFonts w:ascii="Microsoft Sans Serif" w:hAnsi="Microsoft Sans Serif" w:cs="Microsoft Sans Serif"/>
                <w:sz w:val="20"/>
                <w:szCs w:val="20"/>
                <w:vertAlign w:val="superscript"/>
              </w:rPr>
              <w:t>A</w:t>
            </w:r>
          </w:p>
        </w:tc>
        <w:tc>
          <w:tcPr>
            <w:tcW w:w="1889" w:type="dxa"/>
            <w:gridSpan w:val="2"/>
            <w:tcBorders>
              <w:right w:val="single" w:color="auto" w:sz="8" w:space="0"/>
            </w:tcBorders>
          </w:tcPr>
          <w:p w14:paraId="45D7DDC2">
            <w:pPr>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Hemartroza</w:t>
            </w:r>
          </w:p>
        </w:tc>
        <w:tc>
          <w:tcPr>
            <w:tcW w:w="1842" w:type="dxa"/>
            <w:tcBorders>
              <w:right w:val="single" w:color="auto" w:sz="8" w:space="0"/>
            </w:tcBorders>
          </w:tcPr>
          <w:p w14:paraId="056326B5">
            <w:pPr>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Krvarenje iz mišića</w:t>
            </w:r>
          </w:p>
        </w:tc>
        <w:tc>
          <w:tcPr>
            <w:tcW w:w="1701" w:type="dxa"/>
            <w:gridSpan w:val="2"/>
            <w:tcBorders>
              <w:right w:val="single" w:color="auto" w:sz="8" w:space="0"/>
            </w:tcBorders>
          </w:tcPr>
          <w:p w14:paraId="47D0AF51">
            <w:pPr>
              <w:jc w:val="left"/>
              <w:rPr>
                <w:rFonts w:ascii="Microsoft Sans Serif" w:hAnsi="Microsoft Sans Serif" w:cs="Microsoft Sans Serif"/>
                <w:sz w:val="20"/>
                <w:szCs w:val="20"/>
              </w:rPr>
            </w:pPr>
          </w:p>
        </w:tc>
        <w:tc>
          <w:tcPr>
            <w:tcW w:w="1985" w:type="dxa"/>
            <w:tcBorders>
              <w:right w:val="single" w:color="auto" w:sz="8" w:space="0"/>
            </w:tcBorders>
          </w:tcPr>
          <w:p w14:paraId="2BE28DCB">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Kompartment sindrom nakon krvarenja</w:t>
            </w:r>
          </w:p>
        </w:tc>
      </w:tr>
      <w:tr w14:paraId="5D84D63C">
        <w:tblPrEx>
          <w:tblCellMar>
            <w:top w:w="0" w:type="dxa"/>
            <w:left w:w="0" w:type="dxa"/>
            <w:bottom w:w="0" w:type="dxa"/>
            <w:right w:w="0" w:type="dxa"/>
          </w:tblCellMar>
        </w:tblPrEx>
        <w:trPr>
          <w:trHeight w:val="243" w:hRule="atLeast"/>
        </w:trPr>
        <w:tc>
          <w:tcPr>
            <w:tcW w:w="9356" w:type="dxa"/>
            <w:gridSpan w:val="8"/>
            <w:tcBorders>
              <w:top w:val="single" w:color="auto" w:sz="4" w:space="0"/>
              <w:left w:val="single" w:color="auto" w:sz="4" w:space="0"/>
              <w:bottom w:val="single" w:color="auto" w:sz="4" w:space="0"/>
              <w:right w:val="single" w:color="auto" w:sz="4" w:space="0"/>
            </w:tcBorders>
          </w:tcPr>
          <w:p w14:paraId="4EE25FDF">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Poremećaji bubrega i urinarnog sistema</w:t>
            </w:r>
          </w:p>
        </w:tc>
      </w:tr>
      <w:tr w14:paraId="0BFDCA32">
        <w:tblPrEx>
          <w:tblCellMar>
            <w:top w:w="0" w:type="dxa"/>
            <w:left w:w="0" w:type="dxa"/>
            <w:bottom w:w="0" w:type="dxa"/>
            <w:right w:w="0" w:type="dxa"/>
          </w:tblCellMar>
        </w:tblPrEx>
        <w:trPr>
          <w:trHeight w:val="2141" w:hRule="atLeast"/>
        </w:trPr>
        <w:tc>
          <w:tcPr>
            <w:tcW w:w="1985" w:type="dxa"/>
            <w:gridSpan w:val="3"/>
            <w:tcBorders>
              <w:top w:val="single" w:color="auto" w:sz="4" w:space="0"/>
              <w:left w:val="single" w:color="auto" w:sz="4" w:space="0"/>
              <w:bottom w:val="single" w:color="auto" w:sz="4" w:space="0"/>
              <w:right w:val="single" w:color="auto" w:sz="4" w:space="0"/>
            </w:tcBorders>
          </w:tcPr>
          <w:p w14:paraId="4C1BAF09">
            <w:pPr>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Krvarenje u urogenitalnom traktu</w:t>
            </w:r>
            <w:r>
              <w:rPr>
                <w:rFonts w:ascii="Microsoft Sans Serif" w:hAnsi="Microsoft Sans Serif" w:cs="Microsoft Sans Serif"/>
                <w:sz w:val="20"/>
                <w:szCs w:val="20"/>
              </w:rPr>
              <w:t xml:space="preserve"> (uklјučujući hematuriju i menoragiju</w:t>
            </w:r>
            <w:r>
              <w:rPr>
                <w:rFonts w:ascii="Microsoft Sans Serif" w:hAnsi="Microsoft Sans Serif" w:cs="Microsoft Sans Serif"/>
                <w:sz w:val="20"/>
                <w:szCs w:val="20"/>
                <w:vertAlign w:val="superscript"/>
              </w:rPr>
              <w:t>B</w:t>
            </w:r>
            <w:r>
              <w:rPr>
                <w:rFonts w:ascii="Microsoft Sans Serif" w:hAnsi="Microsoft Sans Serif" w:cs="Microsoft Sans Serif"/>
                <w:sz w:val="20"/>
                <w:szCs w:val="20"/>
              </w:rPr>
              <w:t>), oštećenje funkcije bubrega (uklјučujući povećane koncentracije kreatinina i uree u krvi)</w:t>
            </w:r>
          </w:p>
        </w:tc>
        <w:tc>
          <w:tcPr>
            <w:tcW w:w="1843" w:type="dxa"/>
            <w:tcBorders>
              <w:top w:val="single" w:color="auto" w:sz="4" w:space="0"/>
              <w:left w:val="single" w:color="auto" w:sz="4" w:space="0"/>
              <w:bottom w:val="single" w:color="auto" w:sz="4" w:space="0"/>
              <w:right w:val="single" w:color="auto" w:sz="4" w:space="0"/>
            </w:tcBorders>
          </w:tcPr>
          <w:p w14:paraId="5D16D40B">
            <w:pPr>
              <w:jc w:val="left"/>
              <w:rPr>
                <w:rFonts w:ascii="Microsoft Sans Serif" w:hAnsi="Microsoft Sans Serif" w:cs="Microsoft Sans Serif"/>
                <w:sz w:val="20"/>
                <w:szCs w:val="20"/>
              </w:rPr>
            </w:pPr>
          </w:p>
        </w:tc>
        <w:tc>
          <w:tcPr>
            <w:tcW w:w="1842" w:type="dxa"/>
            <w:tcBorders>
              <w:top w:val="single" w:color="auto" w:sz="4" w:space="0"/>
              <w:left w:val="single" w:color="auto" w:sz="4" w:space="0"/>
              <w:bottom w:val="single" w:color="auto" w:sz="4" w:space="0"/>
              <w:right w:val="single" w:color="auto" w:sz="4" w:space="0"/>
            </w:tcBorders>
          </w:tcPr>
          <w:p w14:paraId="4FD199CA">
            <w:pPr>
              <w:jc w:val="left"/>
              <w:rPr>
                <w:rFonts w:ascii="Microsoft Sans Serif" w:hAnsi="Microsoft Sans Serif" w:cs="Microsoft Sans Serif"/>
                <w:sz w:val="20"/>
                <w:szCs w:val="20"/>
              </w:rPr>
            </w:pPr>
          </w:p>
        </w:tc>
        <w:tc>
          <w:tcPr>
            <w:tcW w:w="1701" w:type="dxa"/>
            <w:gridSpan w:val="2"/>
            <w:tcBorders>
              <w:top w:val="single" w:color="auto" w:sz="4" w:space="0"/>
              <w:left w:val="single" w:color="auto" w:sz="4" w:space="0"/>
              <w:bottom w:val="single" w:color="auto" w:sz="4" w:space="0"/>
              <w:right w:val="single" w:color="auto" w:sz="4" w:space="0"/>
            </w:tcBorders>
          </w:tcPr>
          <w:p w14:paraId="3705B486">
            <w:pPr>
              <w:jc w:val="left"/>
              <w:rPr>
                <w:rFonts w:ascii="Microsoft Sans Serif" w:hAnsi="Microsoft Sans Serif" w:cs="Microsoft Sans Serif"/>
                <w:sz w:val="20"/>
                <w:szCs w:val="20"/>
              </w:rPr>
            </w:pPr>
          </w:p>
        </w:tc>
        <w:tc>
          <w:tcPr>
            <w:tcW w:w="1985" w:type="dxa"/>
            <w:tcBorders>
              <w:top w:val="single" w:color="auto" w:sz="4" w:space="0"/>
              <w:left w:val="single" w:color="auto" w:sz="4" w:space="0"/>
              <w:bottom w:val="single" w:color="auto" w:sz="4" w:space="0"/>
              <w:right w:val="single" w:color="auto" w:sz="4" w:space="0"/>
            </w:tcBorders>
          </w:tcPr>
          <w:p w14:paraId="70EB3FDC">
            <w:pPr>
              <w:rPr>
                <w:rFonts w:ascii="Microsoft Sans Serif" w:hAnsi="Microsoft Sans Serif" w:cs="Microsoft Sans Serif"/>
                <w:sz w:val="20"/>
                <w:szCs w:val="20"/>
              </w:rPr>
            </w:pPr>
            <w:r>
              <w:rPr>
                <w:rFonts w:ascii="Microsoft Sans Serif" w:hAnsi="Microsoft Sans Serif" w:cs="Microsoft Sans Serif"/>
                <w:sz w:val="20"/>
                <w:szCs w:val="20"/>
                <w:lang w:val="sr-Cyrl-RS"/>
              </w:rPr>
              <w:t>Insuficijencija bubrega</w:t>
            </w:r>
            <w:r>
              <w:rPr>
                <w:rFonts w:ascii="Microsoft Sans Serif" w:hAnsi="Microsoft Sans Serif" w:cs="Microsoft Sans Serif"/>
                <w:sz w:val="20"/>
                <w:szCs w:val="20"/>
              </w:rPr>
              <w:t>/akutna bubrežna insuficijencija nakon krvarenja koje je dovolјno da izazove hipoperfuziju</w:t>
            </w:r>
          </w:p>
        </w:tc>
      </w:tr>
      <w:tr w14:paraId="6DA59D94">
        <w:tblPrEx>
          <w:tblCellMar>
            <w:top w:w="0" w:type="dxa"/>
            <w:left w:w="0" w:type="dxa"/>
            <w:bottom w:w="0" w:type="dxa"/>
            <w:right w:w="0" w:type="dxa"/>
          </w:tblCellMar>
        </w:tblPrEx>
        <w:trPr>
          <w:trHeight w:val="262" w:hRule="atLeast"/>
        </w:trPr>
        <w:tc>
          <w:tcPr>
            <w:tcW w:w="9356" w:type="dxa"/>
            <w:gridSpan w:val="8"/>
            <w:tcBorders>
              <w:top w:val="single" w:color="auto" w:sz="4" w:space="0"/>
              <w:left w:val="single" w:color="auto" w:sz="4" w:space="0"/>
              <w:bottom w:val="single" w:color="auto" w:sz="4" w:space="0"/>
              <w:right w:val="single" w:color="auto" w:sz="4" w:space="0"/>
            </w:tcBorders>
          </w:tcPr>
          <w:p w14:paraId="2242899A">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Opšti poremećaji i reakcije na mestu primjene</w:t>
            </w:r>
          </w:p>
        </w:tc>
      </w:tr>
      <w:tr w14:paraId="07623989">
        <w:tblPrEx>
          <w:tblCellMar>
            <w:top w:w="0" w:type="dxa"/>
            <w:left w:w="0" w:type="dxa"/>
            <w:bottom w:w="0" w:type="dxa"/>
            <w:right w:w="0" w:type="dxa"/>
          </w:tblCellMar>
        </w:tblPrEx>
        <w:trPr>
          <w:trHeight w:val="1270" w:hRule="atLeast"/>
        </w:trPr>
        <w:tc>
          <w:tcPr>
            <w:tcW w:w="1985" w:type="dxa"/>
            <w:gridSpan w:val="3"/>
            <w:tcBorders>
              <w:top w:val="single" w:color="auto" w:sz="4" w:space="0"/>
              <w:left w:val="single" w:color="auto" w:sz="4" w:space="0"/>
              <w:bottom w:val="single" w:color="auto" w:sz="4" w:space="0"/>
              <w:right w:val="single" w:color="auto" w:sz="4" w:space="0"/>
            </w:tcBorders>
          </w:tcPr>
          <w:p w14:paraId="059B1F4B">
            <w:pPr>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Povišena tjelesna temperatura</w:t>
            </w:r>
            <w:r>
              <w:rPr>
                <w:rFonts w:ascii="Microsoft Sans Serif" w:hAnsi="Microsoft Sans Serif" w:cs="Microsoft Sans Serif"/>
                <w:sz w:val="20"/>
                <w:szCs w:val="20"/>
                <w:vertAlign w:val="superscript"/>
              </w:rPr>
              <w:t>A</w:t>
            </w:r>
            <w:r>
              <w:rPr>
                <w:rFonts w:ascii="Microsoft Sans Serif" w:hAnsi="Microsoft Sans Serif" w:cs="Microsoft Sans Serif"/>
                <w:sz w:val="20"/>
                <w:szCs w:val="20"/>
              </w:rPr>
              <w:t>, periferni edem, smanjena opšta snaga i energija (uklјučujući umor i asteniju)</w:t>
            </w:r>
          </w:p>
        </w:tc>
        <w:tc>
          <w:tcPr>
            <w:tcW w:w="1843" w:type="dxa"/>
            <w:tcBorders>
              <w:top w:val="single" w:color="auto" w:sz="4" w:space="0"/>
              <w:left w:val="single" w:color="auto" w:sz="4" w:space="0"/>
              <w:bottom w:val="single" w:color="auto" w:sz="4" w:space="0"/>
              <w:right w:val="single" w:color="auto" w:sz="4" w:space="0"/>
            </w:tcBorders>
          </w:tcPr>
          <w:p w14:paraId="2B0C42B6">
            <w:pPr>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Opšte loše stanje</w:t>
            </w:r>
            <w:r>
              <w:rPr>
                <w:rFonts w:ascii="Microsoft Sans Serif" w:hAnsi="Microsoft Sans Serif" w:cs="Microsoft Sans Serif"/>
                <w:sz w:val="20"/>
                <w:szCs w:val="20"/>
              </w:rPr>
              <w:t xml:space="preserve"> (uklјučujući slabost)</w:t>
            </w:r>
          </w:p>
        </w:tc>
        <w:tc>
          <w:tcPr>
            <w:tcW w:w="1842" w:type="dxa"/>
            <w:tcBorders>
              <w:top w:val="single" w:color="auto" w:sz="4" w:space="0"/>
              <w:left w:val="single" w:color="auto" w:sz="4" w:space="0"/>
              <w:bottom w:val="single" w:color="auto" w:sz="4" w:space="0"/>
              <w:right w:val="single" w:color="auto" w:sz="4" w:space="0"/>
            </w:tcBorders>
          </w:tcPr>
          <w:p w14:paraId="1067F804">
            <w:pPr>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Lokalizovan edem</w:t>
            </w:r>
            <w:r>
              <w:rPr>
                <w:rFonts w:ascii="Microsoft Sans Serif" w:hAnsi="Microsoft Sans Serif" w:cs="Microsoft Sans Serif"/>
                <w:sz w:val="20"/>
                <w:szCs w:val="20"/>
                <w:vertAlign w:val="superscript"/>
              </w:rPr>
              <w:t>A</w:t>
            </w:r>
          </w:p>
        </w:tc>
        <w:tc>
          <w:tcPr>
            <w:tcW w:w="1701" w:type="dxa"/>
            <w:gridSpan w:val="2"/>
            <w:tcBorders>
              <w:top w:val="single" w:color="auto" w:sz="4" w:space="0"/>
              <w:left w:val="single" w:color="auto" w:sz="4" w:space="0"/>
              <w:bottom w:val="single" w:color="auto" w:sz="4" w:space="0"/>
              <w:right w:val="single" w:color="auto" w:sz="4" w:space="0"/>
            </w:tcBorders>
          </w:tcPr>
          <w:p w14:paraId="7FA27842">
            <w:pPr>
              <w:jc w:val="left"/>
              <w:rPr>
                <w:rFonts w:ascii="Microsoft Sans Serif" w:hAnsi="Microsoft Sans Serif" w:cs="Microsoft Sans Serif"/>
                <w:sz w:val="20"/>
                <w:szCs w:val="20"/>
              </w:rPr>
            </w:pPr>
          </w:p>
        </w:tc>
        <w:tc>
          <w:tcPr>
            <w:tcW w:w="1985" w:type="dxa"/>
            <w:tcBorders>
              <w:top w:val="single" w:color="auto" w:sz="4" w:space="0"/>
              <w:left w:val="single" w:color="auto" w:sz="4" w:space="0"/>
              <w:bottom w:val="single" w:color="auto" w:sz="4" w:space="0"/>
              <w:right w:val="single" w:color="auto" w:sz="4" w:space="0"/>
            </w:tcBorders>
          </w:tcPr>
          <w:p w14:paraId="16EC6EC5">
            <w:pPr>
              <w:rPr>
                <w:rFonts w:ascii="Microsoft Sans Serif" w:hAnsi="Microsoft Sans Serif" w:cs="Microsoft Sans Serif"/>
                <w:sz w:val="20"/>
                <w:szCs w:val="20"/>
              </w:rPr>
            </w:pPr>
          </w:p>
        </w:tc>
      </w:tr>
      <w:tr w14:paraId="3D5D8434">
        <w:tblPrEx>
          <w:tblCellMar>
            <w:top w:w="0" w:type="dxa"/>
            <w:left w:w="0" w:type="dxa"/>
            <w:bottom w:w="0" w:type="dxa"/>
            <w:right w:w="0" w:type="dxa"/>
          </w:tblCellMar>
        </w:tblPrEx>
        <w:trPr>
          <w:trHeight w:val="243" w:hRule="atLeast"/>
        </w:trPr>
        <w:tc>
          <w:tcPr>
            <w:tcW w:w="9356" w:type="dxa"/>
            <w:gridSpan w:val="8"/>
            <w:tcBorders>
              <w:top w:val="single" w:color="auto" w:sz="4" w:space="0"/>
              <w:left w:val="single" w:color="auto" w:sz="4" w:space="0"/>
              <w:bottom w:val="single" w:color="auto" w:sz="4" w:space="0"/>
              <w:right w:val="single" w:color="auto" w:sz="4" w:space="0"/>
            </w:tcBorders>
          </w:tcPr>
          <w:p w14:paraId="5E45F890">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Ispitivanja</w:t>
            </w:r>
          </w:p>
        </w:tc>
      </w:tr>
      <w:tr w14:paraId="6D1C4E09">
        <w:tblPrEx>
          <w:tblCellMar>
            <w:top w:w="0" w:type="dxa"/>
            <w:left w:w="0" w:type="dxa"/>
            <w:bottom w:w="0" w:type="dxa"/>
            <w:right w:w="0" w:type="dxa"/>
          </w:tblCellMar>
        </w:tblPrEx>
        <w:trPr>
          <w:trHeight w:val="1136" w:hRule="atLeast"/>
        </w:trPr>
        <w:tc>
          <w:tcPr>
            <w:tcW w:w="1985" w:type="dxa"/>
            <w:gridSpan w:val="3"/>
            <w:tcBorders>
              <w:top w:val="single" w:color="auto" w:sz="4" w:space="0"/>
              <w:left w:val="single" w:color="auto" w:sz="4" w:space="0"/>
              <w:bottom w:val="single" w:color="auto" w:sz="4" w:space="0"/>
              <w:right w:val="single" w:color="auto" w:sz="4" w:space="0"/>
            </w:tcBorders>
          </w:tcPr>
          <w:p w14:paraId="47A59B34">
            <w:pPr>
              <w:jc w:val="left"/>
              <w:rPr>
                <w:rFonts w:ascii="Microsoft Sans Serif" w:hAnsi="Microsoft Sans Serif" w:cs="Microsoft Sans Serif"/>
                <w:sz w:val="20"/>
                <w:szCs w:val="20"/>
              </w:rPr>
            </w:pPr>
          </w:p>
        </w:tc>
        <w:tc>
          <w:tcPr>
            <w:tcW w:w="1843" w:type="dxa"/>
            <w:tcBorders>
              <w:top w:val="single" w:color="auto" w:sz="4" w:space="0"/>
              <w:left w:val="single" w:color="auto" w:sz="4" w:space="0"/>
              <w:bottom w:val="single" w:color="auto" w:sz="4" w:space="0"/>
              <w:right w:val="single" w:color="auto" w:sz="4" w:space="0"/>
            </w:tcBorders>
          </w:tcPr>
          <w:p w14:paraId="373FEB57">
            <w:pPr>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Povećana vrijednost</w:t>
            </w:r>
            <w:r>
              <w:rPr>
                <w:rFonts w:ascii="Microsoft Sans Serif" w:hAnsi="Microsoft Sans Serif" w:cs="Microsoft Sans Serif"/>
                <w:sz w:val="20"/>
                <w:szCs w:val="20"/>
              </w:rPr>
              <w:t xml:space="preserve"> LDH</w:t>
            </w:r>
            <w:r>
              <w:rPr>
                <w:rFonts w:ascii="Microsoft Sans Serif" w:hAnsi="Microsoft Sans Serif" w:cs="Microsoft Sans Serif"/>
                <w:sz w:val="20"/>
                <w:szCs w:val="20"/>
                <w:vertAlign w:val="superscript"/>
              </w:rPr>
              <w:t>A</w:t>
            </w:r>
            <w:r>
              <w:rPr>
                <w:rFonts w:ascii="Microsoft Sans Serif" w:hAnsi="Microsoft Sans Serif" w:cs="Microsoft Sans Serif"/>
                <w:sz w:val="20"/>
                <w:szCs w:val="20"/>
              </w:rPr>
              <w:t>, povećana vrijednost lipaze</w:t>
            </w:r>
            <w:r>
              <w:rPr>
                <w:rFonts w:ascii="Microsoft Sans Serif" w:hAnsi="Microsoft Sans Serif" w:cs="Microsoft Sans Serif"/>
                <w:sz w:val="20"/>
                <w:szCs w:val="20"/>
                <w:vertAlign w:val="superscript"/>
              </w:rPr>
              <w:t>A</w:t>
            </w:r>
            <w:r>
              <w:rPr>
                <w:rFonts w:ascii="Microsoft Sans Serif" w:hAnsi="Microsoft Sans Serif" w:cs="Microsoft Sans Serif"/>
                <w:sz w:val="20"/>
                <w:szCs w:val="20"/>
              </w:rPr>
              <w:t>, povećana vrijednost amilaze</w:t>
            </w:r>
            <w:r>
              <w:rPr>
                <w:rFonts w:ascii="Microsoft Sans Serif" w:hAnsi="Microsoft Sans Serif" w:cs="Microsoft Sans Serif"/>
                <w:sz w:val="20"/>
                <w:szCs w:val="20"/>
                <w:vertAlign w:val="superscript"/>
              </w:rPr>
              <w:t>A</w:t>
            </w:r>
          </w:p>
        </w:tc>
        <w:tc>
          <w:tcPr>
            <w:tcW w:w="1842" w:type="dxa"/>
            <w:tcBorders>
              <w:top w:val="single" w:color="auto" w:sz="4" w:space="0"/>
              <w:left w:val="single" w:color="auto" w:sz="4" w:space="0"/>
              <w:bottom w:val="single" w:color="auto" w:sz="4" w:space="0"/>
              <w:right w:val="single" w:color="auto" w:sz="4" w:space="0"/>
            </w:tcBorders>
          </w:tcPr>
          <w:p w14:paraId="2A342D17">
            <w:pPr>
              <w:jc w:val="left"/>
              <w:rPr>
                <w:rFonts w:ascii="Microsoft Sans Serif" w:hAnsi="Microsoft Sans Serif" w:cs="Microsoft Sans Serif"/>
                <w:sz w:val="20"/>
                <w:szCs w:val="20"/>
              </w:rPr>
            </w:pPr>
          </w:p>
        </w:tc>
        <w:tc>
          <w:tcPr>
            <w:tcW w:w="1701" w:type="dxa"/>
            <w:gridSpan w:val="2"/>
            <w:tcBorders>
              <w:top w:val="single" w:color="auto" w:sz="4" w:space="0"/>
              <w:left w:val="single" w:color="auto" w:sz="4" w:space="0"/>
              <w:bottom w:val="single" w:color="auto" w:sz="4" w:space="0"/>
              <w:right w:val="single" w:color="auto" w:sz="4" w:space="0"/>
            </w:tcBorders>
          </w:tcPr>
          <w:p w14:paraId="2EB2A5F2">
            <w:pPr>
              <w:jc w:val="left"/>
              <w:rPr>
                <w:rFonts w:ascii="Microsoft Sans Serif" w:hAnsi="Microsoft Sans Serif" w:cs="Microsoft Sans Serif"/>
                <w:sz w:val="20"/>
                <w:szCs w:val="20"/>
              </w:rPr>
            </w:pPr>
          </w:p>
        </w:tc>
        <w:tc>
          <w:tcPr>
            <w:tcW w:w="1985" w:type="dxa"/>
            <w:tcBorders>
              <w:top w:val="single" w:color="auto" w:sz="4" w:space="0"/>
              <w:left w:val="single" w:color="auto" w:sz="4" w:space="0"/>
              <w:bottom w:val="single" w:color="auto" w:sz="4" w:space="0"/>
              <w:right w:val="single" w:color="auto" w:sz="4" w:space="0"/>
            </w:tcBorders>
          </w:tcPr>
          <w:p w14:paraId="1694FF8C">
            <w:pPr>
              <w:rPr>
                <w:rFonts w:ascii="Microsoft Sans Serif" w:hAnsi="Microsoft Sans Serif" w:cs="Microsoft Sans Serif"/>
                <w:sz w:val="20"/>
                <w:szCs w:val="20"/>
              </w:rPr>
            </w:pPr>
          </w:p>
        </w:tc>
      </w:tr>
      <w:tr w14:paraId="522CB45B">
        <w:tblPrEx>
          <w:tblCellMar>
            <w:top w:w="0" w:type="dxa"/>
            <w:left w:w="0" w:type="dxa"/>
            <w:bottom w:w="0" w:type="dxa"/>
            <w:right w:w="0" w:type="dxa"/>
          </w:tblCellMar>
        </w:tblPrEx>
        <w:trPr>
          <w:trHeight w:val="243" w:hRule="atLeast"/>
        </w:trPr>
        <w:tc>
          <w:tcPr>
            <w:tcW w:w="9356" w:type="dxa"/>
            <w:gridSpan w:val="8"/>
            <w:tcBorders>
              <w:top w:val="single" w:color="auto" w:sz="4" w:space="0"/>
              <w:left w:val="single" w:color="auto" w:sz="4" w:space="0"/>
              <w:bottom w:val="single" w:color="auto" w:sz="4" w:space="0"/>
              <w:right w:val="single" w:color="auto" w:sz="4" w:space="0"/>
            </w:tcBorders>
          </w:tcPr>
          <w:p w14:paraId="71EAA79A">
            <w:pPr>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Povrede, trovanja i proceduralne komplikacije</w:t>
            </w:r>
          </w:p>
        </w:tc>
      </w:tr>
      <w:tr w14:paraId="30F8BF9F">
        <w:tblPrEx>
          <w:tblCellMar>
            <w:top w:w="0" w:type="dxa"/>
            <w:left w:w="0" w:type="dxa"/>
            <w:bottom w:w="0" w:type="dxa"/>
            <w:right w:w="0" w:type="dxa"/>
          </w:tblCellMar>
        </w:tblPrEx>
        <w:trPr>
          <w:trHeight w:val="1864" w:hRule="atLeast"/>
        </w:trPr>
        <w:tc>
          <w:tcPr>
            <w:tcW w:w="1985" w:type="dxa"/>
            <w:gridSpan w:val="3"/>
            <w:tcBorders>
              <w:top w:val="single" w:color="auto" w:sz="4" w:space="0"/>
              <w:left w:val="single" w:color="auto" w:sz="4" w:space="0"/>
              <w:bottom w:val="single" w:color="auto" w:sz="4" w:space="0"/>
              <w:right w:val="single" w:color="auto" w:sz="4" w:space="0"/>
            </w:tcBorders>
          </w:tcPr>
          <w:p w14:paraId="180FF92D">
            <w:pPr>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Krvarenje poslije intervencije</w:t>
            </w:r>
            <w:r>
              <w:rPr>
                <w:rFonts w:ascii="Microsoft Sans Serif" w:hAnsi="Microsoft Sans Serif" w:cs="Microsoft Sans Serif"/>
                <w:sz w:val="20"/>
                <w:szCs w:val="20"/>
              </w:rPr>
              <w:t xml:space="preserve"> (uklјučujući postoperativnu anemiju i krvarenje rana), kontuzija, sekrecija iz rane</w:t>
            </w:r>
            <w:r>
              <w:rPr>
                <w:rFonts w:ascii="Microsoft Sans Serif" w:hAnsi="Microsoft Sans Serif" w:cs="Microsoft Sans Serif"/>
                <w:sz w:val="20"/>
                <w:szCs w:val="20"/>
                <w:vertAlign w:val="superscript"/>
              </w:rPr>
              <w:t>A</w:t>
            </w:r>
          </w:p>
        </w:tc>
        <w:tc>
          <w:tcPr>
            <w:tcW w:w="1843" w:type="dxa"/>
            <w:tcBorders>
              <w:top w:val="single" w:color="auto" w:sz="4" w:space="0"/>
              <w:left w:val="single" w:color="auto" w:sz="4" w:space="0"/>
              <w:bottom w:val="single" w:color="auto" w:sz="4" w:space="0"/>
              <w:right w:val="single" w:color="auto" w:sz="4" w:space="0"/>
            </w:tcBorders>
          </w:tcPr>
          <w:p w14:paraId="37D6FF53">
            <w:pPr>
              <w:jc w:val="left"/>
              <w:rPr>
                <w:rFonts w:ascii="Microsoft Sans Serif" w:hAnsi="Microsoft Sans Serif" w:cs="Microsoft Sans Serif"/>
                <w:sz w:val="20"/>
                <w:szCs w:val="20"/>
              </w:rPr>
            </w:pPr>
          </w:p>
        </w:tc>
        <w:tc>
          <w:tcPr>
            <w:tcW w:w="1842" w:type="dxa"/>
            <w:tcBorders>
              <w:top w:val="single" w:color="auto" w:sz="4" w:space="0"/>
              <w:left w:val="single" w:color="auto" w:sz="4" w:space="0"/>
              <w:bottom w:val="single" w:color="auto" w:sz="4" w:space="0"/>
              <w:right w:val="single" w:color="auto" w:sz="4" w:space="0"/>
            </w:tcBorders>
          </w:tcPr>
          <w:p w14:paraId="4E0DF409">
            <w:pPr>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Vaskularna pseudoaneurizma</w:t>
            </w:r>
            <w:r>
              <w:rPr>
                <w:rFonts w:ascii="Microsoft Sans Serif" w:hAnsi="Microsoft Sans Serif" w:cs="Microsoft Sans Serif"/>
                <w:sz w:val="20"/>
                <w:szCs w:val="20"/>
                <w:vertAlign w:val="superscript"/>
              </w:rPr>
              <w:t>C</w:t>
            </w:r>
          </w:p>
        </w:tc>
        <w:tc>
          <w:tcPr>
            <w:tcW w:w="1701" w:type="dxa"/>
            <w:gridSpan w:val="2"/>
            <w:tcBorders>
              <w:top w:val="single" w:color="auto" w:sz="4" w:space="0"/>
              <w:left w:val="single" w:color="auto" w:sz="4" w:space="0"/>
              <w:bottom w:val="single" w:color="auto" w:sz="4" w:space="0"/>
              <w:right w:val="single" w:color="auto" w:sz="4" w:space="0"/>
            </w:tcBorders>
          </w:tcPr>
          <w:p w14:paraId="0857D1CB">
            <w:pPr>
              <w:jc w:val="left"/>
              <w:rPr>
                <w:rFonts w:ascii="Microsoft Sans Serif" w:hAnsi="Microsoft Sans Serif" w:cs="Microsoft Sans Serif"/>
                <w:sz w:val="20"/>
                <w:szCs w:val="20"/>
              </w:rPr>
            </w:pPr>
          </w:p>
        </w:tc>
        <w:tc>
          <w:tcPr>
            <w:tcW w:w="1985" w:type="dxa"/>
            <w:tcBorders>
              <w:top w:val="single" w:color="auto" w:sz="4" w:space="0"/>
              <w:left w:val="single" w:color="auto" w:sz="4" w:space="0"/>
              <w:bottom w:val="single" w:color="auto" w:sz="4" w:space="0"/>
              <w:right w:val="single" w:color="auto" w:sz="4" w:space="0"/>
            </w:tcBorders>
          </w:tcPr>
          <w:p w14:paraId="2C180807">
            <w:pPr>
              <w:rPr>
                <w:rFonts w:ascii="Microsoft Sans Serif" w:hAnsi="Microsoft Sans Serif" w:cs="Microsoft Sans Serif"/>
                <w:sz w:val="20"/>
                <w:szCs w:val="20"/>
              </w:rPr>
            </w:pPr>
          </w:p>
        </w:tc>
      </w:tr>
    </w:tbl>
    <w:p w14:paraId="51DC10C0">
      <w:pPr>
        <w:rPr>
          <w:rFonts w:ascii="Microsoft Sans Serif" w:hAnsi="Microsoft Sans Serif" w:cs="Microsoft Sans Serif"/>
          <w:bCs/>
          <w:sz w:val="20"/>
          <w:szCs w:val="20"/>
        </w:rPr>
      </w:pPr>
      <w:r>
        <w:rPr>
          <w:rFonts w:ascii="Microsoft Sans Serif" w:hAnsi="Microsoft Sans Serif" w:cs="Microsoft Sans Serif"/>
          <w:bCs/>
          <w:sz w:val="20"/>
          <w:szCs w:val="20"/>
          <w:vertAlign w:val="superscript"/>
        </w:rPr>
        <w:t>A</w:t>
      </w:r>
      <w:r>
        <w:rPr>
          <w:rFonts w:ascii="Microsoft Sans Serif" w:hAnsi="Microsoft Sans Serif" w:cs="Microsoft Sans Serif"/>
          <w:bCs/>
          <w:sz w:val="20"/>
          <w:szCs w:val="20"/>
        </w:rPr>
        <w:t>: uočeno u prevenciji venske tromboembolije (VTE) kod odraslih pacijenata koji se podvrgavaju elektivnoj</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hirurškoj intervenciji zamjene kuka ili koljena</w:t>
      </w:r>
    </w:p>
    <w:p w14:paraId="027B755D">
      <w:pPr>
        <w:rPr>
          <w:rFonts w:ascii="Microsoft Sans Serif" w:hAnsi="Microsoft Sans Serif" w:cs="Microsoft Sans Serif"/>
          <w:bCs/>
          <w:sz w:val="20"/>
          <w:szCs w:val="20"/>
        </w:rPr>
      </w:pPr>
      <w:r>
        <w:rPr>
          <w:rFonts w:ascii="Microsoft Sans Serif" w:hAnsi="Microsoft Sans Serif" w:cs="Microsoft Sans Serif"/>
          <w:bCs/>
          <w:sz w:val="20"/>
          <w:szCs w:val="20"/>
          <w:vertAlign w:val="superscript"/>
        </w:rPr>
        <w:t>B</w:t>
      </w:r>
      <w:r>
        <w:rPr>
          <w:rFonts w:ascii="Microsoft Sans Serif" w:hAnsi="Microsoft Sans Serif" w:cs="Microsoft Sans Serif"/>
          <w:bCs/>
          <w:sz w:val="20"/>
          <w:szCs w:val="20"/>
        </w:rPr>
        <w:t>: uočeno u terapiji DV</w:t>
      </w:r>
      <w:r>
        <w:rPr>
          <w:rFonts w:ascii="Microsoft Sans Serif" w:hAnsi="Microsoft Sans Serif" w:cs="Microsoft Sans Serif"/>
          <w:bCs/>
          <w:sz w:val="20"/>
          <w:szCs w:val="20"/>
          <w:lang w:val="sr-Cyrl-RS"/>
        </w:rPr>
        <w:t>T</w:t>
      </w:r>
      <w:r>
        <w:rPr>
          <w:rFonts w:ascii="Microsoft Sans Serif" w:hAnsi="Microsoft Sans Serif" w:cs="Microsoft Sans Serif"/>
          <w:bCs/>
          <w:sz w:val="20"/>
          <w:szCs w:val="20"/>
        </w:rPr>
        <w:t>, PE i prevenciji njihovih recidiva kao veoma često kod žena &lt; 55 godina</w:t>
      </w:r>
    </w:p>
    <w:p w14:paraId="55521B91">
      <w:pPr>
        <w:rPr>
          <w:rFonts w:ascii="Microsoft Sans Serif" w:hAnsi="Microsoft Sans Serif" w:cs="Microsoft Sans Serif"/>
          <w:bCs/>
          <w:sz w:val="20"/>
          <w:szCs w:val="20"/>
        </w:rPr>
      </w:pPr>
      <w:r>
        <w:rPr>
          <w:rFonts w:ascii="Microsoft Sans Serif" w:hAnsi="Microsoft Sans Serif" w:cs="Microsoft Sans Serif"/>
          <w:bCs/>
          <w:sz w:val="20"/>
          <w:szCs w:val="20"/>
          <w:vertAlign w:val="superscript"/>
        </w:rPr>
        <w:t>C</w:t>
      </w:r>
      <w:r>
        <w:rPr>
          <w:rFonts w:ascii="Microsoft Sans Serif" w:hAnsi="Microsoft Sans Serif" w:cs="Microsoft Sans Serif"/>
          <w:bCs/>
          <w:sz w:val="20"/>
          <w:szCs w:val="20"/>
        </w:rPr>
        <w:t>: uočeno kao povremeno neželјeno djelovanje kod prevencije aterotrombotskih događaja poslije akutnog</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koronarnog sindroma (AKS) (poslije perkutane koronarne intervencije)</w:t>
      </w:r>
    </w:p>
    <w:p w14:paraId="49F87F04">
      <w:pPr>
        <w:rPr>
          <w:rFonts w:ascii="Microsoft Sans Serif" w:hAnsi="Microsoft Sans Serif" w:cs="Microsoft Sans Serif"/>
          <w:bCs/>
          <w:sz w:val="20"/>
          <w:szCs w:val="20"/>
        </w:rPr>
      </w:pPr>
      <w:r>
        <w:rPr>
          <w:rFonts w:ascii="Microsoft Sans Serif" w:hAnsi="Microsoft Sans Serif" w:cs="Microsoft Sans Serif"/>
          <w:bCs/>
          <w:sz w:val="20"/>
          <w:szCs w:val="20"/>
        </w:rPr>
        <w:t>* Primjenjen je unaprijed određeni selektivni pristup sakuplјanju neželјenih događaja. Pošto se učestalost</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 xml:space="preserve">neželјenih djelovanja nije povećala i nisu utvrđena nova neželјena djelovanja, podaci iz studije </w:t>
      </w:r>
      <w:r>
        <w:rPr>
          <w:rFonts w:ascii="Microsoft Sans Serif" w:hAnsi="Microsoft Sans Serif" w:cs="Microsoft Sans Serif"/>
          <w:bCs/>
          <w:sz w:val="20"/>
          <w:szCs w:val="20"/>
          <w:lang w:val="sr-Latn-RS"/>
        </w:rPr>
        <w:t>COMPASS</w:t>
      </w:r>
      <w:r>
        <w:rPr>
          <w:rFonts w:ascii="Microsoft Sans Serif" w:hAnsi="Microsoft Sans Serif" w:cs="Microsoft Sans Serif"/>
          <w:bCs/>
          <w:sz w:val="20"/>
          <w:szCs w:val="20"/>
        </w:rPr>
        <w:t xml:space="preserve"> nisu</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uklјučeni u izračunavanje frekvencije u ovoj tabeli.</w:t>
      </w:r>
    </w:p>
    <w:p w14:paraId="5D2D982A">
      <w:pPr>
        <w:rPr>
          <w:rFonts w:ascii="Microsoft Sans Serif" w:hAnsi="Microsoft Sans Serif" w:cs="Microsoft Sans Serif"/>
          <w:sz w:val="20"/>
          <w:szCs w:val="20"/>
        </w:rPr>
      </w:pPr>
    </w:p>
    <w:p w14:paraId="393369AF">
      <w:pPr>
        <w:rPr>
          <w:rFonts w:ascii="Microsoft Sans Serif" w:hAnsi="Microsoft Sans Serif" w:cs="Microsoft Sans Serif"/>
          <w:sz w:val="20"/>
          <w:szCs w:val="20"/>
          <w:u w:val="single"/>
        </w:rPr>
      </w:pPr>
      <w:r>
        <w:rPr>
          <w:rFonts w:ascii="Microsoft Sans Serif" w:hAnsi="Microsoft Sans Serif" w:cs="Microsoft Sans Serif"/>
          <w:sz w:val="20"/>
          <w:szCs w:val="20"/>
          <w:u w:val="single"/>
        </w:rPr>
        <w:t>Opis odabranih neželјenih djelovanja</w:t>
      </w:r>
    </w:p>
    <w:p w14:paraId="046A4408">
      <w:pPr>
        <w:rPr>
          <w:rFonts w:ascii="Microsoft Sans Serif" w:hAnsi="Microsoft Sans Serif" w:cs="Microsoft Sans Serif"/>
          <w:sz w:val="20"/>
          <w:szCs w:val="20"/>
        </w:rPr>
      </w:pPr>
      <w:r>
        <w:rPr>
          <w:rFonts w:ascii="Microsoft Sans Serif" w:hAnsi="Microsoft Sans Serif" w:cs="Microsoft Sans Serif"/>
          <w:sz w:val="20"/>
          <w:szCs w:val="20"/>
        </w:rPr>
        <w:t>Usljed farmakološkog mehanizma dejstva, primjena rivaroksabana može biti povezana sa povećanim rizikom od skrivenog ili vidlјivog krvarenja iz bilo kog tkiva ili organa što može dovesti do posthemoragijske anemije. Znaci, simptomi i težina (uklјučujući smrtan ishod) će varirati prema lokalizaciji i stepenu ili obimu krvarenja i/ili anemije (pogledati dio 4.9 „Postupak liječenja u slučaju krvarenja”). U kliničkim ispitivanjima krvarenje mukoza (tj. epistaksa, gingivalno, gastrointestinalno, genitourinarno uklјučujući neuobičajeno vaginalno ili pojačano menstrualno krvarenje) i anemija su se češće javlјali tokom dugotrajne terapije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rivaroksabanom u poređenju sa terapijom VKA. Tako, pored adekvatnog kliničkog praćenja, laboratorijsko ispitivanje hemoglobina/hematokrita bi moglo biti značajno za otkrivanje skrivenog krvarenja i za određivanje kliničkog značaja vidlјivog krvarenja, ukoliko se procijeni adekvatnim. Rizik od krvarenja može biti povećan kod nekih grupa pacijenata, npr. kod pacijenata sa nekontrolisanom teškom arterijskom hipertenzijom i/ili u slučaju istovremene terapije lijekom koji utiče na hemostazu (pogledati „Rizik od krvarenja” u dijelu 4.4). Menstrualno krvarenje može biti pojačano i/ili produženo. Komplikacije usljed krvarenja se mogu manifestovati kao slabost, bljedilo, vrtoglavica, glavobolјa ili neobjašnjivi otok, dispneja i neobjašnjivi šok. U nekim slučajevima kao posljedica anemije, uočeni su simptomi srčane ishemije poput bola u grudima ili angine pektoris.</w:t>
      </w:r>
    </w:p>
    <w:p w14:paraId="7BC09821">
      <w:pPr>
        <w:rPr>
          <w:rFonts w:ascii="Microsoft Sans Serif" w:hAnsi="Microsoft Sans Serif" w:cs="Microsoft Sans Serif"/>
          <w:sz w:val="20"/>
          <w:szCs w:val="20"/>
        </w:rPr>
      </w:pPr>
      <w:r>
        <w:rPr>
          <w:rFonts w:ascii="Microsoft Sans Serif" w:hAnsi="Microsoft Sans Serif" w:cs="Microsoft Sans Serif"/>
          <w:sz w:val="20"/>
          <w:szCs w:val="20"/>
        </w:rPr>
        <w:t>Kod primjene rivaroksabana prijavlјene su poznate komplikacije nakon ozbilјnog krvarenja, poput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kompartment sindroma i insuficijencije bubrega usljed hipoperfuzije. Prema tome, mora se uzeti u obzir mogućnost pojave krvarenja prilikom evaluacije stanja svakog pacijenta na antikoagulantnoj terapiji.</w:t>
      </w:r>
    </w:p>
    <w:p w14:paraId="26993728">
      <w:pPr>
        <w:rPr>
          <w:rFonts w:ascii="Microsoft Sans Serif" w:hAnsi="Microsoft Sans Serif" w:cs="Microsoft Sans Serif"/>
          <w:sz w:val="20"/>
          <w:szCs w:val="20"/>
        </w:rPr>
      </w:pPr>
    </w:p>
    <w:p w14:paraId="2922980A">
      <w:pPr>
        <w:rPr>
          <w:rFonts w:ascii="Microsoft Sans Serif" w:hAnsi="Microsoft Sans Serif" w:cs="Microsoft Sans Serif"/>
          <w:sz w:val="20"/>
          <w:szCs w:val="20"/>
          <w:u w:val="single"/>
        </w:rPr>
      </w:pPr>
      <w:r>
        <w:rPr>
          <w:rFonts w:ascii="Microsoft Sans Serif" w:hAnsi="Microsoft Sans Serif" w:cs="Microsoft Sans Serif"/>
          <w:sz w:val="20"/>
          <w:szCs w:val="20"/>
          <w:u w:val="single"/>
        </w:rPr>
        <w:t>Pedijatrijska populacija</w:t>
      </w:r>
    </w:p>
    <w:p w14:paraId="2F2F8675">
      <w:pPr>
        <w:rPr>
          <w:rFonts w:ascii="Microsoft Sans Serif" w:hAnsi="Microsoft Sans Serif" w:cs="Microsoft Sans Serif"/>
          <w:sz w:val="20"/>
          <w:szCs w:val="20"/>
        </w:rPr>
      </w:pPr>
      <w:r>
        <w:rPr>
          <w:rFonts w:ascii="Microsoft Sans Serif" w:hAnsi="Microsoft Sans Serif" w:cs="Microsoft Sans Serif"/>
          <w:sz w:val="20"/>
          <w:szCs w:val="20"/>
        </w:rPr>
        <w:t>Procjena bezbjednosti kod dece i adolescenata zasniva se na podacima o bezbjednosti iz dvije faze II i jedne faze III otvorenih aktivno kontrolisanih studija kod pedijatrijskih pacijenata mlađeg od 18 godina.</w:t>
      </w:r>
    </w:p>
    <w:p w14:paraId="4D4613A4">
      <w:pPr>
        <w:rPr>
          <w:rFonts w:ascii="Microsoft Sans Serif" w:hAnsi="Microsoft Sans Serif" w:cs="Microsoft Sans Serif"/>
          <w:sz w:val="20"/>
          <w:szCs w:val="20"/>
        </w:rPr>
      </w:pPr>
      <w:r>
        <w:rPr>
          <w:rFonts w:ascii="Microsoft Sans Serif" w:hAnsi="Microsoft Sans Serif" w:cs="Microsoft Sans Serif"/>
          <w:sz w:val="20"/>
          <w:szCs w:val="20"/>
        </w:rPr>
        <w:t>Nalazi o bezbjednosti bili su generalno slični između rivaroksabana i komparatora u različitim pedijatrijskim starosnim grupama. Sve u svemu, bezbjednosni profil kod 412 djece i adolescenata liječenih rivaroksabanom bio je sličan onome koji je zabilježen kod odrasle populacije i dosljedan je među starosnim podgrupama, iako je procjena ograničena malim brojem pacijenata.</w:t>
      </w:r>
    </w:p>
    <w:p w14:paraId="1F8D372F">
      <w:pPr>
        <w:rPr>
          <w:rFonts w:ascii="Microsoft Sans Serif" w:hAnsi="Microsoft Sans Serif" w:cs="Microsoft Sans Serif"/>
          <w:sz w:val="20"/>
          <w:szCs w:val="20"/>
          <w:lang w:val="bs-Latn-BA" w:eastAsia="en-GB"/>
        </w:rPr>
      </w:pPr>
      <w:r>
        <w:rPr>
          <w:rFonts w:ascii="Microsoft Sans Serif" w:hAnsi="Microsoft Sans Serif" w:cs="Microsoft Sans Serif"/>
          <w:sz w:val="20"/>
          <w:szCs w:val="20"/>
        </w:rPr>
        <w:t xml:space="preserve">Kod pedijatrijskih pacijenata, glavobolja (veoma česta, 16,7%), </w:t>
      </w:r>
      <w:r>
        <w:rPr>
          <w:rFonts w:ascii="Microsoft Sans Serif" w:hAnsi="Microsoft Sans Serif" w:cs="Microsoft Sans Serif"/>
          <w:sz w:val="20"/>
          <w:szCs w:val="20"/>
          <w:lang w:val="hr-BA"/>
        </w:rPr>
        <w:t>povećana tjelesna temperatura</w:t>
      </w:r>
      <w:r>
        <w:rPr>
          <w:rFonts w:ascii="Microsoft Sans Serif" w:hAnsi="Microsoft Sans Serif" w:cs="Microsoft Sans Serif"/>
          <w:sz w:val="20"/>
          <w:szCs w:val="20"/>
        </w:rPr>
        <w:t xml:space="preserve"> (veoma česta, 11,7%), epistaksa (veoma česta, 11,2%), povraćanje (veoma često, 10,7%), tahikardija (česta, 1,5%), povećane vrijednosti  bilirubina (često, 1,5%) I vrijednosti konjugovanog bilirubina (povremeno, 0,7%) prijavljivane su češće u poređenju sa odraslim pacijentima. U skladu sa odraslom populacijom, menoragija je primjećena kod 6,6% (često) ženskih adolescenata poslije menarhe. Trombocitopenija, primjećena u postmarketinškom iskustvu kod odrasle populacije, bila je česta (4,6%) u pedijatrijskim kliničkim studijama. Neželjene reakcije na lijek kod pedijatrijskih pacijenata bile su prvenstveno blage do umjerene težine</w:t>
      </w:r>
      <w:r>
        <w:rPr>
          <w:rFonts w:ascii="Microsoft Sans Serif" w:hAnsi="Microsoft Sans Serif" w:cs="Microsoft Sans Serif"/>
        </w:rPr>
        <w:t>.</w:t>
      </w:r>
    </w:p>
    <w:p w14:paraId="3461D545">
      <w:pPr>
        <w:rPr>
          <w:rFonts w:ascii="Microsoft Sans Serif" w:hAnsi="Microsoft Sans Serif" w:cs="Microsoft Sans Serif"/>
          <w:sz w:val="20"/>
          <w:szCs w:val="20"/>
          <w:u w:val="single"/>
          <w:lang w:val="bs-Latn-BA" w:eastAsia="en-GB"/>
        </w:rPr>
      </w:pPr>
    </w:p>
    <w:p w14:paraId="078AD1C1">
      <w:pPr>
        <w:rPr>
          <w:rFonts w:ascii="Microsoft Sans Serif" w:hAnsi="Microsoft Sans Serif" w:cs="Microsoft Sans Serif"/>
          <w:sz w:val="20"/>
          <w:szCs w:val="20"/>
          <w:u w:val="single"/>
          <w:lang w:val="bs-Latn-BA" w:eastAsia="en-GB"/>
        </w:rPr>
      </w:pPr>
      <w:r>
        <w:rPr>
          <w:rFonts w:ascii="Microsoft Sans Serif" w:hAnsi="Microsoft Sans Serif" w:cs="Microsoft Sans Serif"/>
          <w:sz w:val="20"/>
          <w:szCs w:val="20"/>
          <w:u w:val="single"/>
          <w:lang w:val="bs-Latn-BA" w:eastAsia="en-GB"/>
        </w:rPr>
        <w:t>Prijavljivanje sumnje na neželjena dejstva lijeka</w:t>
      </w:r>
    </w:p>
    <w:p w14:paraId="739D9E1F">
      <w:pPr>
        <w:rPr>
          <w:rFonts w:ascii="Microsoft Sans Serif" w:hAnsi="Microsoft Sans Serif" w:cs="Microsoft Sans Serif"/>
          <w:sz w:val="20"/>
          <w:szCs w:val="20"/>
          <w:lang w:val="bs-Latn-BA" w:eastAsia="en-GB"/>
        </w:rPr>
      </w:pPr>
      <w:r>
        <w:rPr>
          <w:rFonts w:ascii="Microsoft Sans Serif" w:hAnsi="Microsoft Sans Serif" w:cs="Microsoft Sans Serif"/>
          <w:sz w:val="20"/>
          <w:szCs w:val="20"/>
          <w:lang w:val="bs-Latn-BA" w:eastAsia="en-GB"/>
        </w:rPr>
        <w:t>Prijavljivanje sumnje na neželjena dejstva lijekova, a nakon stavljanja lijeka u promet je od velike važnosti za formiranje kompletnije slike o bezbjednosnom profilu lijeka, odnosno za formiranje što bolje ocjene odnosa korist/rizik pri terapijskoj primjeni lijeka.</w:t>
      </w:r>
    </w:p>
    <w:p w14:paraId="00C7F045">
      <w:pPr>
        <w:rPr>
          <w:rFonts w:ascii="Microsoft Sans Serif" w:hAnsi="Microsoft Sans Serif" w:cs="Microsoft Sans Serif"/>
          <w:sz w:val="20"/>
          <w:szCs w:val="20"/>
          <w:lang w:val="bs-Latn-BA" w:eastAsia="en-GB"/>
        </w:rPr>
      </w:pPr>
      <w:r>
        <w:rPr>
          <w:rFonts w:ascii="Microsoft Sans Serif" w:hAnsi="Microsoft Sans Serif" w:cs="Microsoft Sans Serif"/>
          <w:sz w:val="20"/>
          <w:szCs w:val="20"/>
          <w:lang w:val="bs-Latn-BA" w:eastAsia="en-GB"/>
        </w:rPr>
        <w:t>Proces prijavljivanja sumnji na neželjena dejstva lijeka doprinosi kontinuiranom praćenju odnosa koristi/rizik i adekvatnoj ocjeni bezbjednosnog profila lijeka. Od zdravstvenih stručnjaka se traži da prijave svaku sumnju na neželjeno dejstvo lijeka direktno ALMBiH. Prijava se može dostaviti:</w:t>
      </w:r>
    </w:p>
    <w:p w14:paraId="115934DA">
      <w:pPr>
        <w:numPr>
          <w:ilvl w:val="0"/>
          <w:numId w:val="2"/>
        </w:numPr>
        <w:tabs>
          <w:tab w:val="left" w:pos="567"/>
          <w:tab w:val="clear" w:pos="284"/>
        </w:tabs>
        <w:ind w:left="0" w:firstLine="0"/>
        <w:contextualSpacing/>
        <w:rPr>
          <w:rFonts w:ascii="Microsoft Sans Serif" w:hAnsi="Microsoft Sans Serif" w:eastAsia="Calibri" w:cs="Microsoft Sans Serif"/>
          <w:sz w:val="20"/>
          <w:szCs w:val="20"/>
          <w:lang w:val="bs-Latn-BA"/>
        </w:rPr>
      </w:pPr>
      <w:r>
        <w:rPr>
          <w:rFonts w:ascii="Microsoft Sans Serif" w:hAnsi="Microsoft Sans Serif" w:eastAsia="Calibri" w:cs="Microsoft Sans Serif"/>
          <w:sz w:val="20"/>
          <w:szCs w:val="20"/>
          <w:lang w:val="bs-Latn-BA"/>
        </w:rPr>
        <w:t>posredstvom softverske aplikacije za prijavu neželjenih dejstava lijekova za humanu upotrebu (IS Farmakovigilansa) o kojoj više informacija možete dobiti u našoj Glavnoj kancelariji za farmakovigilansu ili</w:t>
      </w:r>
    </w:p>
    <w:p w14:paraId="264D4200">
      <w:pPr>
        <w:numPr>
          <w:ilvl w:val="0"/>
          <w:numId w:val="2"/>
        </w:numPr>
        <w:tabs>
          <w:tab w:val="left" w:pos="567"/>
          <w:tab w:val="clear" w:pos="284"/>
        </w:tabs>
        <w:ind w:left="0" w:firstLine="0"/>
        <w:contextualSpacing/>
        <w:rPr>
          <w:rFonts w:ascii="Microsoft Sans Serif" w:hAnsi="Microsoft Sans Serif" w:eastAsia="Calibri" w:cs="Microsoft Sans Serif"/>
          <w:sz w:val="20"/>
          <w:szCs w:val="20"/>
          <w:lang w:val="bs-Latn-BA"/>
        </w:rPr>
      </w:pPr>
      <w:r>
        <w:rPr>
          <w:rFonts w:ascii="Microsoft Sans Serif" w:hAnsi="Microsoft Sans Serif" w:eastAsia="Calibri" w:cs="Microsoft Sans Serif"/>
          <w:sz w:val="20"/>
          <w:szCs w:val="20"/>
          <w:lang w:val="bs-Latn-BA"/>
        </w:rPr>
        <w:t xml:space="preserve">posredstvom odgovarajućeg obrasca za prijavljivanje sumnji na neželjena dejstva lijeka, koji se mogu naći na internet stranici Agencije za lijekove: </w:t>
      </w:r>
      <w:r>
        <w:rPr>
          <w:rFonts w:ascii="Microsoft Sans Serif" w:hAnsi="Microsoft Sans Serif" w:eastAsia="Calibri" w:cs="Microsoft Sans Serif"/>
          <w:sz w:val="20"/>
          <w:szCs w:val="20"/>
          <w:u w:val="single"/>
          <w:lang w:val="bs-Latn-BA"/>
        </w:rPr>
        <w:t>www.almbih.gov.ba</w:t>
      </w:r>
      <w:r>
        <w:rPr>
          <w:rFonts w:ascii="Microsoft Sans Serif" w:hAnsi="Microsoft Sans Serif" w:eastAsia="Calibri" w:cs="Microsoft Sans Serif"/>
          <w:sz w:val="20"/>
          <w:szCs w:val="20"/>
          <w:lang w:val="bs-Latn-BA"/>
        </w:rPr>
        <w:t xml:space="preserve">. Popunjen obrazac se može dostaviti ALMBiH putem pošte, na adresu Agencija za lijekove i medicinska sredstva Bosne i Hercegovine, Veljka Mlađenovića bb, Banja Luka ili elektronske pošte (na e-mail adresu: </w:t>
      </w:r>
      <w:r>
        <w:rPr>
          <w:rFonts w:ascii="Microsoft Sans Serif" w:hAnsi="Microsoft Sans Serif" w:eastAsia="Calibri" w:cs="Microsoft Sans Serif"/>
          <w:sz w:val="20"/>
          <w:szCs w:val="20"/>
          <w:u w:val="single"/>
          <w:lang w:val="bs-Latn-BA"/>
        </w:rPr>
        <w:t>ndl@almbih.gov.ba</w:t>
      </w:r>
      <w:r>
        <w:rPr>
          <w:rFonts w:ascii="Microsoft Sans Serif" w:hAnsi="Microsoft Sans Serif" w:eastAsia="Calibri" w:cs="Microsoft Sans Serif"/>
          <w:sz w:val="20"/>
          <w:szCs w:val="20"/>
          <w:lang w:val="bs-Latn-BA"/>
        </w:rPr>
        <w:t>).</w:t>
      </w:r>
    </w:p>
    <w:p w14:paraId="7CE9BED1">
      <w:pPr>
        <w:rPr>
          <w:rFonts w:ascii="Microsoft Sans Serif" w:hAnsi="Microsoft Sans Serif" w:cs="Microsoft Sans Serif"/>
          <w:sz w:val="20"/>
          <w:szCs w:val="20"/>
        </w:rPr>
      </w:pPr>
    </w:p>
    <w:p w14:paraId="2E4A650E">
      <w:pPr>
        <w:rPr>
          <w:rFonts w:ascii="Microsoft Sans Serif" w:hAnsi="Microsoft Sans Serif" w:cs="Microsoft Sans Serif"/>
          <w:b/>
          <w:bCs/>
          <w:sz w:val="20"/>
          <w:szCs w:val="20"/>
        </w:rPr>
      </w:pPr>
      <w:r>
        <w:rPr>
          <w:rFonts w:ascii="Microsoft Sans Serif" w:hAnsi="Microsoft Sans Serif" w:cs="Microsoft Sans Serif"/>
          <w:b/>
          <w:bCs/>
          <w:sz w:val="20"/>
          <w:szCs w:val="20"/>
        </w:rPr>
        <w:t>4.9. Predoziranje</w:t>
      </w:r>
    </w:p>
    <w:p w14:paraId="77139563">
      <w:pPr>
        <w:rPr>
          <w:rFonts w:ascii="Microsoft Sans Serif" w:hAnsi="Microsoft Sans Serif" w:cs="Microsoft Sans Serif"/>
          <w:sz w:val="20"/>
          <w:szCs w:val="20"/>
        </w:rPr>
      </w:pPr>
    </w:p>
    <w:p w14:paraId="4556E5DC">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Kod odraslih, prijavlјeni su rijetki slučajevi predoziranja dozom do 600 mg bez komplikacija krvarenja ili drugih neželјenih djelovanja. Dostupni su ograničeni podaci za djecu.</w:t>
      </w:r>
      <w:r>
        <w:t xml:space="preserve"> </w:t>
      </w:r>
      <w:r>
        <w:rPr>
          <w:rFonts w:ascii="Microsoft Sans Serif" w:hAnsi="Microsoft Sans Serif" w:cs="Microsoft Sans Serif"/>
          <w:sz w:val="20"/>
          <w:szCs w:val="20"/>
        </w:rPr>
        <w:t>Usljed ograničene resorpcije očekuje se efekat plafona bez dalјeg povećanja prosječne izloženosti u plazmi pri supraterapijskim dozama od 50 mg rivaroksabana ili većim</w:t>
      </w:r>
      <w:r>
        <w:t xml:space="preserve"> </w:t>
      </w:r>
      <w:r>
        <w:rPr>
          <w:rFonts w:ascii="Microsoft Sans Serif" w:hAnsi="Microsoft Sans Serif" w:cs="Microsoft Sans Serif"/>
          <w:sz w:val="20"/>
          <w:szCs w:val="20"/>
        </w:rPr>
        <w:t>kod odraslih, međutim, nisu dostupni podaci za supraterapijskim dozama kod djece.</w:t>
      </w:r>
    </w:p>
    <w:p w14:paraId="31BCFC2B">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Dostupan je specifični antidot (andeksanet alfa) koji antagonizuje farmakodinamsko dejstvo rivaroksabana (pogledati Sažetak karakteristika lijeka za andeksanet alfa).</w:t>
      </w:r>
    </w:p>
    <w:p w14:paraId="3A22CFE5">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Treba razmotriti mogućnost primjene aktivnog (medicinskog) uglјa u cilјu smanjenja resorpcije prekomjerne doze rivaroksabana.</w:t>
      </w:r>
    </w:p>
    <w:p w14:paraId="648E4899">
      <w:pPr>
        <w:tabs>
          <w:tab w:val="clear" w:pos="284"/>
        </w:tabs>
        <w:rPr>
          <w:rFonts w:ascii="Microsoft Sans Serif" w:hAnsi="Microsoft Sans Serif" w:cs="Microsoft Sans Serif"/>
          <w:sz w:val="20"/>
          <w:szCs w:val="20"/>
        </w:rPr>
      </w:pPr>
    </w:p>
    <w:p w14:paraId="41840F91">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Postupak liječenja u slučaju krvarenja</w:t>
      </w:r>
    </w:p>
    <w:p w14:paraId="0255FC6E">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Ukoliko se kod pacijenta koji prima rivaroksaban pojavi komplikacija sa krvarenjem, sljedeću primjenu rivaroksabana treba odložiti ili terapiju treba prekinuti, na odgovarajući način. Rivaroksaban ima poluvrijeme eliminacije od približno 5 do 13 sati</w:t>
      </w:r>
      <w:r>
        <w:t xml:space="preserve"> </w:t>
      </w:r>
      <w:r>
        <w:rPr>
          <w:rFonts w:ascii="Microsoft Sans Serif" w:hAnsi="Microsoft Sans Serif" w:cs="Microsoft Sans Serif"/>
          <w:sz w:val="20"/>
          <w:szCs w:val="20"/>
        </w:rPr>
        <w:t>kod odraslih. Poluvrijeme eliminacije kod djece procijenjeno korišćenjem pristupa populacionog farmakokinetičkog modela je kraće (pogledati dio 5.2). Postupak treba prilagoditi svakom pacijentu pojedinačno u skladu sa težinom i mjestom krvarenja. Po potrebi treba koristiti odgovarajuću simptomatsku terapiju, npr. mehaničku kompresiju (npr. kod teške epistakse), hiruršku hemostazu sa procedurama kontrole krvarenja, nadoknadu tečnosti i hemodinamsku suportivnu terapiju, primjenu derivata krvi (pakovani eritrociti ili svježe zamrznuta plazma, u zavisnosti od pridružene anemije ili koagulopatije) ili trombocit</w:t>
      </w:r>
      <w:r>
        <w:rPr>
          <w:rFonts w:ascii="Microsoft Sans Serif" w:hAnsi="Microsoft Sans Serif" w:cs="Microsoft Sans Serif"/>
          <w:sz w:val="20"/>
          <w:szCs w:val="20"/>
          <w:lang w:val="sr-Cyrl-RS"/>
        </w:rPr>
        <w:t>a</w:t>
      </w:r>
      <w:r>
        <w:rPr>
          <w:rFonts w:ascii="Microsoft Sans Serif" w:hAnsi="Microsoft Sans Serif" w:cs="Microsoft Sans Serif"/>
          <w:sz w:val="20"/>
          <w:szCs w:val="20"/>
        </w:rPr>
        <w:t>.</w:t>
      </w:r>
    </w:p>
    <w:p w14:paraId="37C1B7C4">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Ako se krvarenje ne može kontrolisati navedenim mjerama, mora se razmotriti primjena ili specifičnog agensa za reverziju inhibitora faktora Xa (andeksanet alfa), koji antagonizuje farmakodinamske efekte rivaroksabana, ili specifičnog reverznog prokoagulantnog sredstva poput koncentrata protrombinskog kompleksa (engl. </w:t>
      </w:r>
      <w:r>
        <w:rPr>
          <w:rFonts w:ascii="Microsoft Sans Serif" w:hAnsi="Microsoft Sans Serif" w:cs="Microsoft Sans Serif"/>
          <w:i/>
          <w:sz w:val="20"/>
          <w:szCs w:val="20"/>
        </w:rPr>
        <w:t>prothrombin complex concentrate</w:t>
      </w:r>
      <w:r>
        <w:rPr>
          <w:rFonts w:ascii="Microsoft Sans Serif" w:hAnsi="Microsoft Sans Serif" w:cs="Microsoft Sans Serif"/>
          <w:sz w:val="20"/>
          <w:szCs w:val="20"/>
        </w:rPr>
        <w:t xml:space="preserve">, PCC), aktiviranog koncentrata protrombinskog kompleksa (engl. </w:t>
      </w:r>
      <w:r>
        <w:rPr>
          <w:rFonts w:ascii="Microsoft Sans Serif" w:hAnsi="Microsoft Sans Serif" w:cs="Microsoft Sans Serif"/>
          <w:i/>
          <w:sz w:val="20"/>
          <w:szCs w:val="20"/>
        </w:rPr>
        <w:t>activated prothrombin complex concentrate</w:t>
      </w:r>
      <w:r>
        <w:rPr>
          <w:rFonts w:ascii="Microsoft Sans Serif" w:hAnsi="Microsoft Sans Serif" w:cs="Microsoft Sans Serif"/>
          <w:sz w:val="20"/>
          <w:szCs w:val="20"/>
        </w:rPr>
        <w:t>, APCC) ili rekombinantnog faktora VIIa (r-FVIIa). Međutim, kod odraslih i djece</w:t>
      </w:r>
      <w:r>
        <w:t xml:space="preserve"> </w:t>
      </w:r>
      <w:r>
        <w:rPr>
          <w:rFonts w:ascii="Microsoft Sans Serif" w:hAnsi="Microsoft Sans Serif" w:cs="Microsoft Sans Serif"/>
          <w:sz w:val="20"/>
          <w:szCs w:val="20"/>
        </w:rPr>
        <w:t>koji primaju rivaroksaban trenutno postoji veoma ograničeno kliničko iskustvo sa primjenom ovih proizvoda. Preporuka se takođe zasniva na ograničenim pretkliničkim podacima. Ponovno doziranje rekombinantnog faktora VIIa se mora razmotriti i titrirati u zavisnosti od pobolјšanja stanja krvarenja. U zavisnosti od lokalne dostupnosti, u slučaju većih krvarenja potrebno je razmotriti savjetovanje sa hematologom (pogledati dio 5.1).</w:t>
      </w:r>
    </w:p>
    <w:p w14:paraId="1DB3AFB3">
      <w:pPr>
        <w:tabs>
          <w:tab w:val="clear" w:pos="284"/>
        </w:tabs>
        <w:rPr>
          <w:rFonts w:ascii="Microsoft Sans Serif" w:hAnsi="Microsoft Sans Serif" w:cs="Microsoft Sans Serif"/>
          <w:sz w:val="20"/>
          <w:szCs w:val="20"/>
        </w:rPr>
      </w:pPr>
    </w:p>
    <w:p w14:paraId="11683A2D">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Ne očekuje se da protamin-sulfat i vitamin K utiču na antikoagulantnu aktivnost rivaroksabana. Postoji ograničeno iskustvo sa traneksamičnom kiselinom, dok sa aminokaproinskom kiselinom i aprotininom nema iskustva kod odraslih koje primaju rivaroksaban. Nema ni naučnog osnova za korist, niti iskustva sa primjenom sistemskih hemostatika poput dezmopresina kod osoba koje primaju rivaroksaban. Ne očekuje se da rivaroksaban podliježe dijalizi zbog toga što se u velikoj mjeri vezuje za proteine plazme.</w:t>
      </w:r>
    </w:p>
    <w:p w14:paraId="668C8326">
      <w:pPr>
        <w:rPr>
          <w:rFonts w:ascii="Microsoft Sans Serif" w:hAnsi="Microsoft Sans Serif" w:cs="Microsoft Sans Serif"/>
          <w:sz w:val="20"/>
          <w:szCs w:val="20"/>
        </w:rPr>
      </w:pPr>
    </w:p>
    <w:p w14:paraId="3790287D">
      <w:pPr>
        <w:rPr>
          <w:rFonts w:ascii="Microsoft Sans Serif" w:hAnsi="Microsoft Sans Serif" w:cs="Microsoft Sans Serif"/>
          <w:sz w:val="20"/>
          <w:szCs w:val="20"/>
        </w:rPr>
      </w:pPr>
    </w:p>
    <w:p w14:paraId="306E1B87">
      <w:pPr>
        <w:pStyle w:val="17"/>
        <w:spacing w:before="0" w:after="0"/>
        <w:jc w:val="both"/>
        <w:rPr>
          <w:rFonts w:ascii="Microsoft Sans Serif" w:hAnsi="Microsoft Sans Serif" w:cs="Microsoft Sans Serif"/>
          <w:sz w:val="20"/>
          <w:szCs w:val="20"/>
        </w:rPr>
      </w:pPr>
      <w:r>
        <w:rPr>
          <w:rFonts w:ascii="Microsoft Sans Serif" w:hAnsi="Microsoft Sans Serif" w:cs="Microsoft Sans Serif"/>
          <w:sz w:val="20"/>
          <w:szCs w:val="20"/>
        </w:rPr>
        <w:t>5. FARMAKOLOŠKI PODACI</w:t>
      </w:r>
    </w:p>
    <w:p w14:paraId="0B22D4E6">
      <w:pPr>
        <w:pStyle w:val="17"/>
        <w:spacing w:before="0" w:after="0"/>
        <w:jc w:val="both"/>
        <w:rPr>
          <w:rFonts w:ascii="Microsoft Sans Serif" w:hAnsi="Microsoft Sans Serif" w:cs="Microsoft Sans Serif"/>
          <w:sz w:val="20"/>
          <w:szCs w:val="20"/>
        </w:rPr>
      </w:pPr>
    </w:p>
    <w:p w14:paraId="524E40A3">
      <w:pPr>
        <w:rPr>
          <w:rFonts w:ascii="Microsoft Sans Serif" w:hAnsi="Microsoft Sans Serif" w:cs="Microsoft Sans Serif"/>
          <w:b/>
          <w:bCs/>
          <w:sz w:val="20"/>
          <w:szCs w:val="20"/>
        </w:rPr>
      </w:pPr>
      <w:r>
        <w:rPr>
          <w:rFonts w:ascii="Microsoft Sans Serif" w:hAnsi="Microsoft Sans Serif" w:cs="Microsoft Sans Serif"/>
          <w:b/>
          <w:bCs/>
          <w:sz w:val="20"/>
          <w:szCs w:val="20"/>
        </w:rPr>
        <w:t>5.1. Farmakodinamski podaci</w:t>
      </w:r>
    </w:p>
    <w:p w14:paraId="1F129930">
      <w:pPr>
        <w:rPr>
          <w:rFonts w:ascii="Microsoft Sans Serif" w:hAnsi="Microsoft Sans Serif" w:cs="Microsoft Sans Serif"/>
          <w:bCs/>
          <w:sz w:val="20"/>
          <w:szCs w:val="20"/>
        </w:rPr>
      </w:pPr>
    </w:p>
    <w:p w14:paraId="278B9676">
      <w:pPr>
        <w:rPr>
          <w:rFonts w:ascii="Microsoft Sans Serif" w:hAnsi="Microsoft Sans Serif" w:cs="Microsoft Sans Serif"/>
          <w:bCs/>
          <w:sz w:val="20"/>
          <w:szCs w:val="20"/>
        </w:rPr>
      </w:pPr>
      <w:r>
        <w:rPr>
          <w:rFonts w:ascii="Microsoft Sans Serif" w:hAnsi="Microsoft Sans Serif" w:cs="Microsoft Sans Serif"/>
          <w:b/>
          <w:bCs/>
          <w:sz w:val="20"/>
          <w:szCs w:val="20"/>
        </w:rPr>
        <w:t xml:space="preserve">Farmakoterapijska grupa: </w:t>
      </w:r>
      <w:r>
        <w:rPr>
          <w:rFonts w:ascii="Microsoft Sans Serif" w:hAnsi="Microsoft Sans Serif" w:cs="Microsoft Sans Serif"/>
          <w:bCs/>
          <w:sz w:val="20"/>
          <w:szCs w:val="20"/>
        </w:rPr>
        <w:t>Antitrombotička sredstva (antikoagulansi); Direktni inhibitori faktora Xa</w:t>
      </w:r>
    </w:p>
    <w:p w14:paraId="31180668">
      <w:pPr>
        <w:rPr>
          <w:rFonts w:ascii="Microsoft Sans Serif" w:hAnsi="Microsoft Sans Serif" w:cs="Microsoft Sans Serif"/>
          <w:bCs/>
          <w:sz w:val="20"/>
          <w:szCs w:val="20"/>
        </w:rPr>
      </w:pPr>
      <w:r>
        <w:rPr>
          <w:rFonts w:ascii="Microsoft Sans Serif" w:hAnsi="Microsoft Sans Serif" w:cs="Microsoft Sans Serif"/>
          <w:b/>
          <w:bCs/>
          <w:sz w:val="20"/>
          <w:szCs w:val="20"/>
        </w:rPr>
        <w:t>ATC šifra:</w:t>
      </w:r>
      <w:r>
        <w:rPr>
          <w:rFonts w:ascii="Microsoft Sans Serif" w:hAnsi="Microsoft Sans Serif" w:cs="Microsoft Sans Serif"/>
          <w:bCs/>
          <w:sz w:val="20"/>
          <w:szCs w:val="20"/>
        </w:rPr>
        <w:t xml:space="preserve"> B01AF01</w:t>
      </w:r>
    </w:p>
    <w:p w14:paraId="01BA9FF2">
      <w:pPr>
        <w:rPr>
          <w:rFonts w:ascii="Microsoft Sans Serif" w:hAnsi="Microsoft Sans Serif" w:cs="Microsoft Sans Serif"/>
          <w:bCs/>
          <w:sz w:val="20"/>
          <w:szCs w:val="20"/>
          <w:u w:val="single"/>
        </w:rPr>
      </w:pPr>
    </w:p>
    <w:p w14:paraId="6F96CA6C">
      <w:pPr>
        <w:rPr>
          <w:rFonts w:ascii="Microsoft Sans Serif" w:hAnsi="Microsoft Sans Serif" w:cs="Microsoft Sans Serif"/>
          <w:bCs/>
          <w:sz w:val="20"/>
          <w:szCs w:val="20"/>
          <w:u w:val="single"/>
        </w:rPr>
      </w:pPr>
      <w:r>
        <w:rPr>
          <w:rFonts w:ascii="Microsoft Sans Serif" w:hAnsi="Microsoft Sans Serif" w:cs="Microsoft Sans Serif"/>
          <w:bCs/>
          <w:sz w:val="20"/>
          <w:szCs w:val="20"/>
          <w:u w:val="single"/>
        </w:rPr>
        <w:t>Mehanizam dejstva:</w:t>
      </w:r>
    </w:p>
    <w:p w14:paraId="06E08455">
      <w:pPr>
        <w:rPr>
          <w:rFonts w:ascii="Microsoft Sans Serif" w:hAnsi="Microsoft Sans Serif" w:cs="Microsoft Sans Serif"/>
          <w:bCs/>
          <w:sz w:val="20"/>
          <w:szCs w:val="20"/>
        </w:rPr>
      </w:pPr>
      <w:r>
        <w:rPr>
          <w:rFonts w:ascii="Microsoft Sans Serif" w:hAnsi="Microsoft Sans Serif" w:cs="Microsoft Sans Serif"/>
          <w:bCs/>
          <w:sz w:val="20"/>
          <w:szCs w:val="20"/>
        </w:rPr>
        <w:t>Rivaroksaban je izrazito selektivan direktni inhibitor faktora Xa sa bioraspoloživošću nakon oralne primjene. Inhibicija faktora Xa prekida intrinzički (unutrašnji) i ekstrinzički (spolјašnji) put kaskadne aktivacije koagulacije krvi, inhibirajući i stvaranje trombina i formiranje tromba. Rivaroksaban ne inhibira trombin (aktivirani faktor II) i nisu pokazani efekti na trombocite.</w:t>
      </w:r>
    </w:p>
    <w:p w14:paraId="6E415511">
      <w:pPr>
        <w:tabs>
          <w:tab w:val="clear" w:pos="284"/>
        </w:tabs>
        <w:rPr>
          <w:rFonts w:ascii="Microsoft Sans Serif" w:hAnsi="Microsoft Sans Serif" w:cs="Microsoft Sans Serif"/>
          <w:sz w:val="20"/>
          <w:szCs w:val="20"/>
        </w:rPr>
      </w:pPr>
    </w:p>
    <w:p w14:paraId="5B69631D">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Farmakodinamski efekti</w:t>
      </w:r>
    </w:p>
    <w:p w14:paraId="750C25C6">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Kod lјudi je primjećena dozno-zavisna inhibicija aktivnosti faktor Xa. Rivaroksaban dozno-zavisno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 xml:space="preserve">utiče na protrombinsko vrijeme (engl. </w:t>
      </w:r>
      <w:r>
        <w:rPr>
          <w:rFonts w:ascii="Microsoft Sans Serif" w:hAnsi="Microsoft Sans Serif" w:cs="Microsoft Sans Serif"/>
          <w:i/>
          <w:sz w:val="20"/>
          <w:szCs w:val="20"/>
        </w:rPr>
        <w:t>Prothrombin Time</w:t>
      </w:r>
      <w:r>
        <w:rPr>
          <w:rFonts w:ascii="Microsoft Sans Serif" w:hAnsi="Microsoft Sans Serif" w:cs="Microsoft Sans Serif"/>
          <w:sz w:val="20"/>
          <w:szCs w:val="20"/>
        </w:rPr>
        <w:t>, PT), što značajno korelira sa koncentracijama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 xml:space="preserve">u plazmi (r </w:t>
      </w:r>
      <w:r>
        <w:rPr>
          <w:rFonts w:ascii="Microsoft Sans Serif" w:hAnsi="Microsoft Sans Serif" w:cs="Microsoft Sans Serif"/>
          <w:sz w:val="20"/>
          <w:szCs w:val="20"/>
          <w:lang w:val="mk-MK"/>
        </w:rPr>
        <w:t xml:space="preserve">vrijednost </w:t>
      </w:r>
      <w:r>
        <w:rPr>
          <w:rFonts w:ascii="Microsoft Sans Serif" w:hAnsi="Microsoft Sans Serif" w:cs="Microsoft Sans Serif"/>
          <w:sz w:val="20"/>
          <w:szCs w:val="20"/>
        </w:rPr>
        <w:t>iznosi 0,98) ukoliko se za test koristi Neoplastin. Drugi reagensi mogu dati drugačije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 xml:space="preserve">rezultate. PT treba očitavati u sekundama, pošto je INR (engl. </w:t>
      </w:r>
      <w:r>
        <w:rPr>
          <w:rFonts w:ascii="Microsoft Sans Serif" w:hAnsi="Microsoft Sans Serif" w:cs="Microsoft Sans Serif"/>
          <w:i/>
          <w:sz w:val="20"/>
          <w:szCs w:val="20"/>
        </w:rPr>
        <w:t>International Normalized Ratio</w:t>
      </w:r>
      <w:r>
        <w:rPr>
          <w:rFonts w:ascii="Microsoft Sans Serif" w:hAnsi="Microsoft Sans Serif" w:cs="Microsoft Sans Serif"/>
          <w:sz w:val="20"/>
          <w:szCs w:val="20"/>
        </w:rPr>
        <w: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kalibrisan i validiran samo za kumarine i ne može se koristiti za druge antikoagulanse.</w:t>
      </w:r>
    </w:p>
    <w:p w14:paraId="6E121FC1">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rPr>
        <w:t>Kod pacijenata koji primaju rivaroksaban za terapiju DVT i PE i prevenciju rekurentnih DVT i PE,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5/95 percentila PT vrijednosti (Neoplastin) 2-4 sata nakon uzimanja tablete (tj. u vrijeme postizanja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maksimalnog efekta) za do</w:t>
      </w:r>
      <w:r>
        <w:rPr>
          <w:rFonts w:ascii="Microsoft Sans Serif" w:hAnsi="Microsoft Sans Serif" w:cs="Microsoft Sans Serif"/>
          <w:sz w:val="20"/>
          <w:szCs w:val="20"/>
          <w:lang w:val="sr-Cyrl-RS"/>
        </w:rPr>
        <w:t>z</w:t>
      </w:r>
      <w:r>
        <w:rPr>
          <w:rFonts w:ascii="Microsoft Sans Serif" w:hAnsi="Microsoft Sans Serif" w:cs="Microsoft Sans Serif"/>
          <w:sz w:val="20"/>
          <w:szCs w:val="20"/>
        </w:rPr>
        <w:t>u od 15 mg dva puta dnevno obuhvata raspon od 17 do 32 s, a za dozu 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20 mg rivaroksabana jednom dnevno od 15 do 30 s. Kod najmanjih koncentracija (u periodu 8-16 sati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nakon uzimanja tablete) 5/95 percentila za dozu od 15 mg dva puta dnevno obuhvata raspon od 14 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24 s, a za dozu od 20 mg jednom dnevno (18-30 sati nakon unosa tablete) od 13 do 20 s.</w:t>
      </w:r>
      <w:r>
        <w:rPr>
          <w:rFonts w:ascii="Microsoft Sans Serif" w:hAnsi="Microsoft Sans Serif" w:cs="Microsoft Sans Serif"/>
          <w:sz w:val="20"/>
          <w:szCs w:val="20"/>
          <w:lang w:val="sr-Cyrl-RS"/>
        </w:rPr>
        <w:t xml:space="preserve"> </w:t>
      </w:r>
    </w:p>
    <w:p w14:paraId="48590EA6">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Kod pacijenata sa nevalvularnom atrijalnom fibrilacijom koji primaju rivaroksaban za prevenciju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moždanog udara i sistemske embolije, 5/95 percentila za PT (Neoplastin) 1-4 sata nakon uzimanja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tablete (tj. u vrijeme postizanja maksimalnog efekta) kod pacijenata liječenih sa dozom od 20 mg jednom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dnevno se kretao od 14 do 40 s, a kod pacijenata sa umjerenim oštećenjem funkcije bubrega na terapiji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sa 15 mg jednom dnevno od 10 do 50 s. Kod najmanjih koncentracija (u periodu od 16 do 36 sati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nakon uzimanja tablete) 5/95 percentila kod pacijenata na terapiji sa 20 mg jednom dnevno se kretao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od 12 do 26 s, a kod pacijenata sa umjerenim oštećenjem funkcije bubrega na terapiji sa 15 mg jednom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dnevno od 12 do 26 s. U kliničkoj farmakološkoj studiji reverzije farmakodinamike rivaroksabana 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zdravih odraslih ispitanika (n=22), procjenjivani su efekti pojedinačnih doza (50 IU/kg) dva različita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tipa PCC-a, PCC koji sadrži 3 faktora (faktori II, IX i X) i PCC-a koji sadrži 4 faktora (faktori II, VII,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IX i X). PCC sa 3 faktora je smanjio srednje vrijednosti PT-a sa Neoplastinom za približno 1,0 sekundi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unutar 30 minuta, u poređenju sa smanjenjem od približno 3,5 sekundi koje je zapaženo kod PCC sa 4 faktora. Suprotno tome, PCC sa 3 faktora je imao veći i brži cjelokupni efekat na poništavanje promjena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 stvaranju endogenog trombina, u odnosu na PCC sa 4 faktora (pogledati dio 4.9).</w:t>
      </w:r>
    </w:p>
    <w:p w14:paraId="1B93C090">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Aktivirano parcijalno tromboplastinsko vreme (</w:t>
      </w:r>
      <w:r>
        <w:rPr>
          <w:rFonts w:ascii="Microsoft Sans Serif" w:hAnsi="Microsoft Sans Serif" w:cs="Microsoft Sans Serif"/>
          <w:sz w:val="20"/>
          <w:szCs w:val="20"/>
          <w:lang w:val="mk-MK"/>
        </w:rPr>
        <w:t xml:space="preserve">engl. </w:t>
      </w:r>
      <w:r>
        <w:rPr>
          <w:rFonts w:ascii="Microsoft Sans Serif" w:hAnsi="Microsoft Sans Serif" w:cs="Microsoft Sans Serif"/>
          <w:i/>
          <w:sz w:val="20"/>
          <w:szCs w:val="20"/>
        </w:rPr>
        <w:t>Activated Partial Thromboplastin Time</w:t>
      </w:r>
      <w:r>
        <w:rPr>
          <w:rFonts w:ascii="Microsoft Sans Serif" w:hAnsi="Microsoft Sans Serif" w:cs="Microsoft Sans Serif"/>
          <w:sz w:val="20"/>
          <w:szCs w:val="20"/>
        </w:rPr>
        <w:t>, aPTT) 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HepTest, takođe su dozno-zavisno produženi; međutim, ne preporučuje se da se oni koriste za procjenu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farmakodinamskih efekata rivaroksabana. Nema potrebe da se sprovodi rutinska klinička kontrola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parametara koagulacije tokom liječenja rivaroksabanom. Međutim, ukoliko je klinički indikovano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koncentracija rivaroksabana se može odrediti kalibrisanim kvantitativnim anti-faktor Xa testovima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(pogledati dio 5.2).</w:t>
      </w:r>
    </w:p>
    <w:p w14:paraId="0E4F0804">
      <w:pPr>
        <w:tabs>
          <w:tab w:val="clear" w:pos="284"/>
        </w:tabs>
        <w:rPr>
          <w:rFonts w:ascii="Microsoft Sans Serif" w:hAnsi="Microsoft Sans Serif" w:cs="Microsoft Sans Serif"/>
          <w:sz w:val="20"/>
          <w:szCs w:val="20"/>
        </w:rPr>
      </w:pPr>
    </w:p>
    <w:p w14:paraId="184DBC5F">
      <w:pPr>
        <w:rPr>
          <w:rFonts w:ascii="Microsoft Sans Serif" w:hAnsi="Microsoft Sans Serif" w:cs="Microsoft Sans Serif"/>
          <w:sz w:val="20"/>
          <w:szCs w:val="20"/>
        </w:rPr>
      </w:pPr>
      <w:r>
        <w:rPr>
          <w:rFonts w:ascii="Microsoft Sans Serif" w:hAnsi="Microsoft Sans Serif" w:cs="Microsoft Sans Serif"/>
          <w:sz w:val="20"/>
          <w:szCs w:val="20"/>
        </w:rPr>
        <w:t>Pedijatrijska populacija</w:t>
      </w:r>
    </w:p>
    <w:p w14:paraId="2F1C582A">
      <w:pPr>
        <w:rPr>
          <w:u w:val="single"/>
          <w:lang w:val="sr-Cyrl-RS"/>
        </w:rPr>
      </w:pPr>
      <w:r>
        <w:rPr>
          <w:rFonts w:ascii="Microsoft Sans Serif" w:hAnsi="Microsoft Sans Serif" w:cs="Microsoft Sans Serif"/>
          <w:sz w:val="20"/>
          <w:szCs w:val="20"/>
        </w:rPr>
        <w:t xml:space="preserve">PT (reagens za neoplastin), aPTT i anti-Xa test (sa kalibrisanim kvantitativnim testom) pokazuju blisku korelaciju sa koncentracijom u plazmi kod djece. Korelacija između anti-Xa i koncentracija u plazmi je linearna sa nagibom blizu 1. Mogu se javiti pojedinačna odstupanja sa višim ili nižim vrijednostima anti-Xa u poređenju sa odgovarajućim koncentracijama u plazmi. Nema potrebe za rutinskim praćenjem parametara koagulacije tokom kliničkog liječenja rivaroksabanom. Međutim, ako </w:t>
      </w:r>
      <w:r>
        <w:rPr>
          <w:rFonts w:ascii="Microsoft Sans Serif" w:hAnsi="Microsoft Sans Serif" w:cs="Microsoft Sans Serif"/>
          <w:sz w:val="20"/>
          <w:szCs w:val="20"/>
          <w:lang w:val="sr-Cyrl-RS"/>
        </w:rPr>
        <w:t>је</w:t>
      </w:r>
      <w:r>
        <w:rPr>
          <w:rFonts w:ascii="Microsoft Sans Serif" w:hAnsi="Microsoft Sans Serif" w:cs="Microsoft Sans Serif"/>
          <w:sz w:val="20"/>
          <w:szCs w:val="20"/>
        </w:rPr>
        <w:t xml:space="preserve"> klinički indikovan</w:t>
      </w:r>
      <w:r>
        <w:rPr>
          <w:rFonts w:ascii="Microsoft Sans Serif" w:hAnsi="Microsoft Sans Serif" w:cs="Microsoft Sans Serif"/>
          <w:sz w:val="20"/>
          <w:szCs w:val="20"/>
          <w:lang w:val="sr-Cyrl-RS"/>
        </w:rPr>
        <w:t>о</w:t>
      </w:r>
      <w:r>
        <w:rPr>
          <w:rFonts w:ascii="Microsoft Sans Serif" w:hAnsi="Microsoft Sans Serif" w:cs="Microsoft Sans Serif"/>
          <w:sz w:val="20"/>
          <w:szCs w:val="20"/>
        </w:rPr>
        <w:t>, koncentracije rivaroksabana mogu se mjeriti kalibrisanim kvantitativnim testovima anti-faktora Xa u mcg/l (pogledati tabelu 13 u dijelu 5.2 za opsege uočenih koncentracija rivaroksabana u plazmi kod djece). Mora se uzeti u obzir donja granica kvantifikacije kada se test anti-Xa koristi za kvantifikovanje koncentracije rivaroksabana u plazmi kod djece. Nije utvrđen prag za efikasnost ili bezbjednosne događaje</w:t>
      </w:r>
      <w:r>
        <w:rPr>
          <w:rFonts w:ascii="Microsoft Sans Serif" w:hAnsi="Microsoft Sans Serif" w:cs="Microsoft Sans Serif"/>
          <w:sz w:val="20"/>
          <w:szCs w:val="20"/>
          <w:lang w:val="sr-Cyrl-RS"/>
        </w:rPr>
        <w:t>.</w:t>
      </w:r>
    </w:p>
    <w:p w14:paraId="772B0A25"/>
    <w:p w14:paraId="7D1E76CA">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Klinička efikasnost i bezbjednost</w:t>
      </w:r>
    </w:p>
    <w:p w14:paraId="2B55957A">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Prevencija moždanog udara i sistemske embolije kod pacijenata sa nevalvularnom atrijalnom fibrilacijom</w:t>
      </w:r>
    </w:p>
    <w:p w14:paraId="0D543DB1">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Kliničko ispitivanje rivaroksabana dizajnirano je tako da se pokaže efikasnost ovog lijeka u prevenciji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moždanog udara i sistemske embolije kod pacijenata sa nevalvularnom atrijalnom fibrilacijom.</w:t>
      </w:r>
    </w:p>
    <w:p w14:paraId="73CF7701">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U pivotalnoj dvostruko slepoj studiji ROCKET AF bilo je uklјučeno 14264 pacijenta koji su primali 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rivaroksaban u dozi od 20 mg jednom dnevno (15 mg jednom dnevno kod pacijenata kod kojih 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klirens kreatinina bio 30-49 ml/min) ili varfarin titriran do cilјne vrijednosti INR od 2,5 (terapijske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vrijednosti 2,0 do 3,0). Medijana vremena trajanja terapije je iznosila 19 mjeseci, a ukupno trajanje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terapije je bilo do 41 mjesec.</w:t>
      </w:r>
    </w:p>
    <w:p w14:paraId="79155B0B">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34,9% pacijenata su dobijali acetilsalicilnu kiselinu, a 11,4% neki od antiaritmika klase III uklјučujući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amjodaron.</w:t>
      </w:r>
    </w:p>
    <w:p w14:paraId="4352B499">
      <w:pPr>
        <w:tabs>
          <w:tab w:val="clear" w:pos="284"/>
        </w:tabs>
        <w:rPr>
          <w:rFonts w:ascii="Microsoft Sans Serif" w:hAnsi="Microsoft Sans Serif" w:cs="Microsoft Sans Serif"/>
          <w:sz w:val="20"/>
          <w:szCs w:val="20"/>
          <w:u w:val="single"/>
        </w:rPr>
      </w:pPr>
    </w:p>
    <w:p w14:paraId="56E7384F">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Rivaroksaban se pokazao neinferiornim u odnosu na varfarin u primarnom zbirnom ishodu efikasnosti kod moždanog udara i sistemske embolije koja nije povezana sa CNS-om. Kod pacijenata koji su bili na terapiji po protokolu, moždani udar ili sistemska embolija su se javili kod 188 pacijenata na rivaroksabanu (1,71% po godini) i 241 na varfarinu (2,16% po godini) (HR 0,79; 95% CI, 0,66 – 0,96; P&lt;0,001 za neinferiornost). Među svim randomizovanim pacijentima koji su analizirani u skladu sa ITT, primarni događaji su se desili kod 269 pacijenata na terapiji rivaroksabanom (2,12% po godini) i kod 306 pacijenata na terapiji varfarinom (2,42% po godini) (HR 0,88; 95% CI, 0,74 – 1,03; P&lt;0,001 za neinferiornost; P=0,117 za superiornost). Rezultati za sekundarne ishode testirane po hijerarhijskom</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rPr>
        <w:t>rangu u ITT analizi su prikazani u Tabeli 4.</w:t>
      </w:r>
    </w:p>
    <w:p w14:paraId="7F6809A9">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Među pacijentima u varfarinskoj grupi, INR vrijednosti su bile unutar terapijskog opsega (2,0 do 3,0) u prosjeku 55% vremena (medijana, 58%; interkvartilni raspon, 43 do 71). Efekat rivaroksabana se nije razlikovao u odnosu na nivo centra TTR (</w:t>
      </w:r>
      <w:r>
        <w:rPr>
          <w:rFonts w:ascii="Microsoft Sans Serif" w:hAnsi="Microsoft Sans Serif" w:cs="Microsoft Sans Serif"/>
          <w:sz w:val="20"/>
          <w:szCs w:val="20"/>
          <w:lang w:val="sr-Cyrl-RS"/>
        </w:rPr>
        <w:t xml:space="preserve">engl. </w:t>
      </w:r>
      <w:r>
        <w:rPr>
          <w:rFonts w:ascii="Microsoft Sans Serif" w:hAnsi="Microsoft Sans Serif" w:cs="Microsoft Sans Serif"/>
          <w:i/>
          <w:sz w:val="20"/>
          <w:szCs w:val="20"/>
        </w:rPr>
        <w:t>Time in Target INR Range</w:t>
      </w:r>
      <w:r>
        <w:rPr>
          <w:rFonts w:ascii="Microsoft Sans Serif" w:hAnsi="Microsoft Sans Serif" w:cs="Microsoft Sans Serif"/>
          <w:sz w:val="20"/>
          <w:szCs w:val="20"/>
        </w:rPr>
        <w:t xml:space="preserve"> od 2,0 – 3,0) u kvartilima po</w:t>
      </w:r>
      <w:r>
        <w:rPr>
          <w:rFonts w:ascii="Microsoft Sans Serif" w:hAnsi="Microsoft Sans Serif" w:cs="Microsoft Sans Serif"/>
          <w:sz w:val="20"/>
          <w:szCs w:val="20"/>
          <w:lang w:val="sr-Cyrl-RS"/>
        </w:rPr>
        <w:t>dj</w:t>
      </w:r>
      <w:r>
        <w:rPr>
          <w:rFonts w:ascii="Microsoft Sans Serif" w:hAnsi="Microsoft Sans Serif" w:cs="Microsoft Sans Serif"/>
          <w:sz w:val="20"/>
          <w:szCs w:val="20"/>
        </w:rPr>
        <w:t>ednake veličine (P=0,74 za interakciju). Unutar najvišeg kvartila prema centru, hazard ratio (HR) sa rivaroksabanom prema varfarinu je bio 0,74 (95% CI, 0,49 – 1,12).</w:t>
      </w:r>
    </w:p>
    <w:p w14:paraId="554785DD">
      <w:pPr>
        <w:tabs>
          <w:tab w:val="clear" w:pos="284"/>
        </w:tabs>
        <w:rPr>
          <w:rFonts w:ascii="Microsoft Sans Serif" w:hAnsi="Microsoft Sans Serif" w:cs="Microsoft Sans Serif"/>
          <w:sz w:val="20"/>
          <w:szCs w:val="20"/>
        </w:rPr>
      </w:pPr>
    </w:p>
    <w:p w14:paraId="33E757A9">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Stope učestalosti za glavni bezbjednosni ishod (obilna krvarenja ili klinički značajna krvarenja koja nisu obilna) su bile slične za obje terapijske grupe (pogledati Tabelu 5).</w:t>
      </w:r>
    </w:p>
    <w:p w14:paraId="4D1AC935">
      <w:pPr>
        <w:tabs>
          <w:tab w:val="clear" w:pos="284"/>
        </w:tabs>
        <w:rPr>
          <w:rFonts w:ascii="Microsoft Sans Serif" w:hAnsi="Microsoft Sans Serif" w:cs="Microsoft Sans Serif"/>
          <w:b/>
          <w:sz w:val="20"/>
          <w:szCs w:val="20"/>
        </w:rPr>
      </w:pPr>
      <w:r>
        <w:rPr>
          <w:rFonts w:ascii="Microsoft Sans Serif" w:hAnsi="Microsoft Sans Serif" w:cs="Microsoft Sans Serif"/>
          <w:sz w:val="20"/>
          <w:szCs w:val="20"/>
        </w:rPr>
        <w:br w:type="textWrapping"/>
      </w:r>
      <w:r>
        <w:rPr>
          <w:rFonts w:ascii="Microsoft Sans Serif" w:hAnsi="Microsoft Sans Serif" w:cs="Microsoft Sans Serif"/>
          <w:b/>
          <w:sz w:val="20"/>
          <w:szCs w:val="20"/>
        </w:rPr>
        <w:t>Tabela 4: Rezultati efikasnosti iz Faze III studije ROCKET AF</w:t>
      </w:r>
    </w:p>
    <w:tbl>
      <w:tblPr>
        <w:tblStyle w:val="7"/>
        <w:tblW w:w="9614" w:type="dxa"/>
        <w:tblInd w:w="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815"/>
        <w:gridCol w:w="2410"/>
        <w:gridCol w:w="2398"/>
        <w:gridCol w:w="1982"/>
        <w:gridCol w:w="9"/>
      </w:tblGrid>
      <w:tr w14:paraId="48761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7" w:hRule="atLeast"/>
        </w:trPr>
        <w:tc>
          <w:tcPr>
            <w:tcW w:w="2815" w:type="dxa"/>
            <w:vAlign w:val="center"/>
          </w:tcPr>
          <w:p w14:paraId="17A5D5CA">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Populacija u studiji</w:t>
            </w:r>
          </w:p>
        </w:tc>
        <w:tc>
          <w:tcPr>
            <w:tcW w:w="6799" w:type="dxa"/>
            <w:gridSpan w:val="4"/>
            <w:vAlign w:val="center"/>
          </w:tcPr>
          <w:p w14:paraId="50077090">
            <w:pPr>
              <w:tabs>
                <w:tab w:val="clear" w:pos="284"/>
              </w:tabs>
              <w:jc w:val="left"/>
              <w:rPr>
                <w:rFonts w:ascii="Microsoft Sans Serif" w:hAnsi="Microsoft Sans Serif" w:cs="Microsoft Sans Serif"/>
                <w:b/>
                <w:bCs/>
                <w:sz w:val="20"/>
                <w:szCs w:val="20"/>
              </w:rPr>
            </w:pPr>
            <w:r>
              <w:rPr>
                <w:rFonts w:ascii="Microsoft Sans Serif" w:hAnsi="Microsoft Sans Serif" w:cs="Microsoft Sans Serif"/>
                <w:b/>
                <w:bCs/>
                <w:sz w:val="20"/>
                <w:szCs w:val="20"/>
                <w:lang w:val="sr-Latn-RS"/>
              </w:rPr>
              <w:t>I</w:t>
            </w:r>
            <w:r>
              <w:rPr>
                <w:rFonts w:ascii="Microsoft Sans Serif" w:hAnsi="Microsoft Sans Serif" w:cs="Microsoft Sans Serif"/>
                <w:b/>
                <w:bCs/>
                <w:sz w:val="20"/>
                <w:szCs w:val="20"/>
              </w:rPr>
              <w:t>TT analize efikasnost kod pacijenata sa nevalvularnom atrijalnom</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rPr>
              <w:t>fibrilacijom</w:t>
            </w:r>
          </w:p>
        </w:tc>
      </w:tr>
      <w:tr w14:paraId="2A59A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9" w:type="dxa"/>
          <w:trHeight w:val="20" w:hRule="atLeast"/>
        </w:trPr>
        <w:tc>
          <w:tcPr>
            <w:tcW w:w="2815" w:type="dxa"/>
          </w:tcPr>
          <w:p w14:paraId="756CDB7A">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Terapijska doza</w:t>
            </w:r>
          </w:p>
        </w:tc>
        <w:tc>
          <w:tcPr>
            <w:tcW w:w="2410" w:type="dxa"/>
          </w:tcPr>
          <w:p w14:paraId="6C2CCA55">
            <w:pPr>
              <w:tabs>
                <w:tab w:val="clear" w:pos="284"/>
              </w:tabs>
              <w:jc w:val="left"/>
              <w:rPr>
                <w:rFonts w:ascii="Microsoft Sans Serif" w:hAnsi="Microsoft Sans Serif" w:cs="Microsoft Sans Serif"/>
                <w:b/>
                <w:bCs/>
                <w:sz w:val="20"/>
                <w:szCs w:val="20"/>
              </w:rPr>
            </w:pPr>
            <w:r>
              <w:rPr>
                <w:rFonts w:ascii="Microsoft Sans Serif" w:hAnsi="Microsoft Sans Serif" w:cs="Microsoft Sans Serif"/>
                <w:b/>
                <w:bCs/>
                <w:sz w:val="20"/>
                <w:szCs w:val="20"/>
              </w:rPr>
              <w:t xml:space="preserve">rivaroksaban </w:t>
            </w:r>
          </w:p>
          <w:p w14:paraId="0D5B1831">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20 mg jednom dnevno</w:t>
            </w:r>
          </w:p>
          <w:p w14:paraId="7ABBC645">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(15 mg jednom dnevno</w:t>
            </w:r>
            <w:r>
              <w:rPr>
                <w:rFonts w:ascii="Microsoft Sans Serif" w:hAnsi="Microsoft Sans Serif" w:cs="Microsoft Sans Serif"/>
                <w:b/>
                <w:bCs/>
                <w:sz w:val="20"/>
                <w:szCs w:val="20"/>
                <w:lang w:val="sr-Cyrl-RS"/>
              </w:rPr>
              <w:t xml:space="preserve"> kod pacijenata sa umjerenim oštećenjem funkcije bubrega</w:t>
            </w:r>
            <w:r>
              <w:rPr>
                <w:rFonts w:ascii="Microsoft Sans Serif" w:hAnsi="Microsoft Sans Serif" w:cs="Microsoft Sans Serif"/>
                <w:b/>
                <w:bCs/>
                <w:sz w:val="20"/>
                <w:szCs w:val="20"/>
              </w:rPr>
              <w:t>)</w:t>
            </w:r>
          </w:p>
          <w:p w14:paraId="10B2474C">
            <w:pPr>
              <w:tabs>
                <w:tab w:val="clear" w:pos="284"/>
              </w:tabs>
              <w:jc w:val="left"/>
              <w:rPr>
                <w:rFonts w:ascii="Microsoft Sans Serif" w:hAnsi="Microsoft Sans Serif" w:cs="Microsoft Sans Serif"/>
                <w:b/>
                <w:bCs/>
                <w:sz w:val="20"/>
                <w:szCs w:val="20"/>
              </w:rPr>
            </w:pPr>
            <w:r>
              <w:rPr>
                <w:rFonts w:ascii="Microsoft Sans Serif" w:hAnsi="Microsoft Sans Serif" w:cs="Microsoft Sans Serif"/>
                <w:b/>
                <w:bCs/>
                <w:sz w:val="20"/>
                <w:szCs w:val="20"/>
                <w:lang w:val="sr-Cyrl-RS"/>
              </w:rPr>
              <w:t>Stopa događaja</w:t>
            </w:r>
            <w:r>
              <w:rPr>
                <w:rFonts w:ascii="Microsoft Sans Serif" w:hAnsi="Microsoft Sans Serif" w:cs="Microsoft Sans Serif"/>
                <w:b/>
                <w:bCs/>
                <w:sz w:val="20"/>
                <w:szCs w:val="20"/>
              </w:rPr>
              <w:t xml:space="preserve"> (100 pacijent-godina)</w:t>
            </w:r>
          </w:p>
        </w:tc>
        <w:tc>
          <w:tcPr>
            <w:tcW w:w="2398" w:type="dxa"/>
          </w:tcPr>
          <w:p w14:paraId="2265D666">
            <w:pPr>
              <w:tabs>
                <w:tab w:val="clear" w:pos="284"/>
              </w:tabs>
              <w:jc w:val="left"/>
              <w:rPr>
                <w:rFonts w:ascii="Microsoft Sans Serif" w:hAnsi="Microsoft Sans Serif" w:cs="Microsoft Sans Serif"/>
                <w:b/>
                <w:bCs/>
                <w:sz w:val="20"/>
                <w:szCs w:val="20"/>
                <w:lang w:val="sr-Cyrl-RS"/>
              </w:rPr>
            </w:pPr>
            <w:r>
              <w:rPr>
                <w:rFonts w:ascii="Microsoft Sans Serif" w:hAnsi="Microsoft Sans Serif" w:cs="Microsoft Sans Serif"/>
                <w:b/>
                <w:bCs/>
                <w:sz w:val="20"/>
                <w:szCs w:val="20"/>
                <w:lang w:val="sr-Cyrl-RS"/>
              </w:rPr>
              <w:t xml:space="preserve">Varfarin titriran do cilјnog </w:t>
            </w:r>
            <w:r>
              <w:rPr>
                <w:rFonts w:ascii="Microsoft Sans Serif" w:hAnsi="Microsoft Sans Serif" w:cs="Microsoft Sans Serif"/>
                <w:b/>
                <w:bCs/>
                <w:sz w:val="20"/>
                <w:szCs w:val="20"/>
                <w:lang w:val="sr-Latn-RS"/>
              </w:rPr>
              <w:t>INR</w:t>
            </w:r>
            <w:r>
              <w:rPr>
                <w:rFonts w:ascii="Microsoft Sans Serif" w:hAnsi="Microsoft Sans Serif" w:cs="Microsoft Sans Serif"/>
                <w:b/>
                <w:bCs/>
                <w:sz w:val="20"/>
                <w:szCs w:val="20"/>
                <w:lang w:val="sr-Cyrl-RS"/>
              </w:rPr>
              <w:t xml:space="preserve"> 2,5 (terapijski raspon 2,0 do 3,0) </w:t>
            </w:r>
          </w:p>
          <w:p w14:paraId="37DECBD7">
            <w:pPr>
              <w:tabs>
                <w:tab w:val="clear" w:pos="284"/>
              </w:tabs>
              <w:jc w:val="left"/>
              <w:rPr>
                <w:rFonts w:ascii="Microsoft Sans Serif" w:hAnsi="Microsoft Sans Serif" w:cs="Microsoft Sans Serif"/>
                <w:b/>
                <w:sz w:val="20"/>
                <w:szCs w:val="20"/>
                <w:lang w:val="sr-Cyrl-RS"/>
              </w:rPr>
            </w:pPr>
            <w:r>
              <w:rPr>
                <w:rFonts w:ascii="Microsoft Sans Serif" w:hAnsi="Microsoft Sans Serif" w:cs="Microsoft Sans Serif"/>
                <w:b/>
                <w:sz w:val="20"/>
                <w:szCs w:val="20"/>
                <w:lang w:val="sr-Cyrl-RS"/>
              </w:rPr>
              <w:t>Stopa događaja (100 pacijent-godina)</w:t>
            </w:r>
          </w:p>
        </w:tc>
        <w:tc>
          <w:tcPr>
            <w:tcW w:w="1982" w:type="dxa"/>
          </w:tcPr>
          <w:p w14:paraId="793EC733">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HR (95% CI)</w:t>
            </w:r>
          </w:p>
          <w:p w14:paraId="786CF665">
            <w:pPr>
              <w:tabs>
                <w:tab w:val="clear" w:pos="284"/>
              </w:tabs>
              <w:jc w:val="left"/>
              <w:rPr>
                <w:rFonts w:ascii="Microsoft Sans Serif" w:hAnsi="Microsoft Sans Serif" w:cs="Microsoft Sans Serif"/>
                <w:b/>
                <w:bCs/>
                <w:sz w:val="20"/>
                <w:szCs w:val="20"/>
              </w:rPr>
            </w:pPr>
            <w:r>
              <w:rPr>
                <w:rFonts w:ascii="Microsoft Sans Serif" w:hAnsi="Microsoft Sans Serif" w:cs="Microsoft Sans Serif"/>
                <w:b/>
                <w:bCs/>
                <w:sz w:val="20"/>
                <w:szCs w:val="20"/>
              </w:rPr>
              <w:t xml:space="preserve">p-vrijednost, </w:t>
            </w:r>
          </w:p>
          <w:p w14:paraId="07357F19">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test superiornosti</w:t>
            </w:r>
          </w:p>
        </w:tc>
      </w:tr>
      <w:tr w14:paraId="5392D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9" w:type="dxa"/>
          <w:trHeight w:val="20" w:hRule="atLeast"/>
        </w:trPr>
        <w:tc>
          <w:tcPr>
            <w:tcW w:w="2815" w:type="dxa"/>
            <w:vAlign w:val="center"/>
          </w:tcPr>
          <w:p w14:paraId="4C43C42B">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Moždani udar i sistemska embolija van CNS-a</w:t>
            </w:r>
          </w:p>
        </w:tc>
        <w:tc>
          <w:tcPr>
            <w:tcW w:w="2410" w:type="dxa"/>
            <w:vAlign w:val="center"/>
          </w:tcPr>
          <w:p w14:paraId="5EC98D18">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269</w:t>
            </w:r>
          </w:p>
          <w:p w14:paraId="7536CC00">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w:t>
            </w:r>
            <w:r>
              <w:rPr>
                <w:rFonts w:ascii="Microsoft Sans Serif" w:hAnsi="Microsoft Sans Serif" w:cs="Microsoft Sans Serif"/>
                <w:sz w:val="20"/>
                <w:szCs w:val="20"/>
                <w:lang w:val="mk-MK"/>
              </w:rPr>
              <w:t>,</w:t>
            </w:r>
            <w:r>
              <w:rPr>
                <w:rFonts w:ascii="Microsoft Sans Serif" w:hAnsi="Microsoft Sans Serif" w:cs="Microsoft Sans Serif"/>
                <w:sz w:val="20"/>
                <w:szCs w:val="20"/>
              </w:rPr>
              <w:t>12)</w:t>
            </w:r>
          </w:p>
        </w:tc>
        <w:tc>
          <w:tcPr>
            <w:tcW w:w="2398" w:type="dxa"/>
            <w:vAlign w:val="center"/>
          </w:tcPr>
          <w:p w14:paraId="523D069F">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6"/>
                <w:sz w:val="20"/>
                <w:szCs w:val="20"/>
              </w:rPr>
              <w:t>306</w:t>
            </w:r>
          </w:p>
          <w:p w14:paraId="0A33EDE3">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7"/>
                <w:sz w:val="20"/>
                <w:szCs w:val="20"/>
              </w:rPr>
              <w:t>(2</w:t>
            </w:r>
            <w:r>
              <w:rPr>
                <w:rFonts w:ascii="Microsoft Sans Serif" w:hAnsi="Microsoft Sans Serif" w:cs="Microsoft Sans Serif"/>
                <w:w w:val="97"/>
                <w:sz w:val="20"/>
                <w:szCs w:val="20"/>
                <w:lang w:val="mk-MK"/>
              </w:rPr>
              <w:t>,</w:t>
            </w:r>
            <w:r>
              <w:rPr>
                <w:rFonts w:ascii="Microsoft Sans Serif" w:hAnsi="Microsoft Sans Serif" w:cs="Microsoft Sans Serif"/>
                <w:w w:val="97"/>
                <w:sz w:val="20"/>
                <w:szCs w:val="20"/>
              </w:rPr>
              <w:t>42)</w:t>
            </w:r>
          </w:p>
        </w:tc>
        <w:tc>
          <w:tcPr>
            <w:tcW w:w="1982" w:type="dxa"/>
            <w:vAlign w:val="center"/>
          </w:tcPr>
          <w:p w14:paraId="0539D511">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88</w:t>
            </w:r>
          </w:p>
          <w:p w14:paraId="16AF981D">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9"/>
                <w:sz w:val="20"/>
                <w:szCs w:val="20"/>
              </w:rPr>
              <w:t>(0</w:t>
            </w:r>
            <w:r>
              <w:rPr>
                <w:rFonts w:ascii="Microsoft Sans Serif" w:hAnsi="Microsoft Sans Serif" w:cs="Microsoft Sans Serif"/>
                <w:w w:val="99"/>
                <w:sz w:val="20"/>
                <w:szCs w:val="20"/>
                <w:lang w:val="mk-MK"/>
              </w:rPr>
              <w:t>,</w:t>
            </w:r>
            <w:r>
              <w:rPr>
                <w:rFonts w:ascii="Microsoft Sans Serif" w:hAnsi="Microsoft Sans Serif" w:cs="Microsoft Sans Serif"/>
                <w:w w:val="99"/>
                <w:sz w:val="20"/>
                <w:szCs w:val="20"/>
              </w:rPr>
              <w:t>74 - 1</w:t>
            </w:r>
            <w:r>
              <w:rPr>
                <w:rFonts w:ascii="Microsoft Sans Serif" w:hAnsi="Microsoft Sans Serif" w:cs="Microsoft Sans Serif"/>
                <w:w w:val="99"/>
                <w:sz w:val="20"/>
                <w:szCs w:val="20"/>
                <w:lang w:val="mk-MK"/>
              </w:rPr>
              <w:t>,</w:t>
            </w:r>
            <w:r>
              <w:rPr>
                <w:rFonts w:ascii="Microsoft Sans Serif" w:hAnsi="Microsoft Sans Serif" w:cs="Microsoft Sans Serif"/>
                <w:w w:val="99"/>
                <w:sz w:val="20"/>
                <w:szCs w:val="20"/>
              </w:rPr>
              <w:t>03)</w:t>
            </w:r>
          </w:p>
          <w:p w14:paraId="696B4715">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6"/>
                <w:sz w:val="20"/>
                <w:szCs w:val="20"/>
              </w:rPr>
              <w:t>0</w:t>
            </w:r>
            <w:r>
              <w:rPr>
                <w:rFonts w:ascii="Microsoft Sans Serif" w:hAnsi="Microsoft Sans Serif" w:cs="Microsoft Sans Serif"/>
                <w:w w:val="96"/>
                <w:sz w:val="20"/>
                <w:szCs w:val="20"/>
                <w:lang w:val="mk-MK"/>
              </w:rPr>
              <w:t>,</w:t>
            </w:r>
            <w:r>
              <w:rPr>
                <w:rFonts w:ascii="Microsoft Sans Serif" w:hAnsi="Microsoft Sans Serif" w:cs="Microsoft Sans Serif"/>
                <w:w w:val="96"/>
                <w:sz w:val="20"/>
                <w:szCs w:val="20"/>
              </w:rPr>
              <w:t>117</w:t>
            </w:r>
          </w:p>
        </w:tc>
      </w:tr>
      <w:tr w14:paraId="39324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9" w:type="dxa"/>
          <w:trHeight w:val="20" w:hRule="atLeast"/>
        </w:trPr>
        <w:tc>
          <w:tcPr>
            <w:tcW w:w="2815" w:type="dxa"/>
            <w:vAlign w:val="center"/>
          </w:tcPr>
          <w:p w14:paraId="42C71FBF">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Moždani udar, sistemska embolija van CNS-a i vaskularna smrt</w:t>
            </w:r>
          </w:p>
        </w:tc>
        <w:tc>
          <w:tcPr>
            <w:tcW w:w="2410" w:type="dxa"/>
            <w:vAlign w:val="center"/>
          </w:tcPr>
          <w:p w14:paraId="6C19BFF8">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572</w:t>
            </w:r>
          </w:p>
          <w:p w14:paraId="32E68847">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(4</w:t>
            </w:r>
            <w:r>
              <w:rPr>
                <w:rFonts w:ascii="Microsoft Sans Serif" w:hAnsi="Microsoft Sans Serif" w:cs="Microsoft Sans Serif"/>
                <w:sz w:val="20"/>
                <w:szCs w:val="20"/>
                <w:lang w:val="mk-MK"/>
              </w:rPr>
              <w:t>,</w:t>
            </w:r>
            <w:r>
              <w:rPr>
                <w:rFonts w:ascii="Microsoft Sans Serif" w:hAnsi="Microsoft Sans Serif" w:cs="Microsoft Sans Serif"/>
                <w:sz w:val="20"/>
                <w:szCs w:val="20"/>
              </w:rPr>
              <w:t>51)</w:t>
            </w:r>
          </w:p>
        </w:tc>
        <w:tc>
          <w:tcPr>
            <w:tcW w:w="2398" w:type="dxa"/>
            <w:vAlign w:val="center"/>
          </w:tcPr>
          <w:p w14:paraId="5106D6F2">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6"/>
                <w:sz w:val="20"/>
                <w:szCs w:val="20"/>
              </w:rPr>
              <w:t>609</w:t>
            </w:r>
          </w:p>
          <w:p w14:paraId="0E70E2E0">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7"/>
                <w:sz w:val="20"/>
                <w:szCs w:val="20"/>
              </w:rPr>
              <w:t>(4</w:t>
            </w:r>
            <w:r>
              <w:rPr>
                <w:rFonts w:ascii="Microsoft Sans Serif" w:hAnsi="Microsoft Sans Serif" w:cs="Microsoft Sans Serif"/>
                <w:w w:val="97"/>
                <w:sz w:val="20"/>
                <w:szCs w:val="20"/>
                <w:lang w:val="mk-MK"/>
              </w:rPr>
              <w:t>,</w:t>
            </w:r>
            <w:r>
              <w:rPr>
                <w:rFonts w:ascii="Microsoft Sans Serif" w:hAnsi="Microsoft Sans Serif" w:cs="Microsoft Sans Serif"/>
                <w:w w:val="97"/>
                <w:sz w:val="20"/>
                <w:szCs w:val="20"/>
              </w:rPr>
              <w:t>81)</w:t>
            </w:r>
          </w:p>
        </w:tc>
        <w:tc>
          <w:tcPr>
            <w:tcW w:w="1982" w:type="dxa"/>
            <w:vAlign w:val="center"/>
          </w:tcPr>
          <w:p w14:paraId="1BBC6080">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94</w:t>
            </w:r>
          </w:p>
          <w:p w14:paraId="24CEE006">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9"/>
                <w:sz w:val="20"/>
                <w:szCs w:val="20"/>
              </w:rPr>
              <w:t>(0</w:t>
            </w:r>
            <w:r>
              <w:rPr>
                <w:rFonts w:ascii="Microsoft Sans Serif" w:hAnsi="Microsoft Sans Serif" w:cs="Microsoft Sans Serif"/>
                <w:w w:val="99"/>
                <w:sz w:val="20"/>
                <w:szCs w:val="20"/>
                <w:lang w:val="mk-MK"/>
              </w:rPr>
              <w:t>,</w:t>
            </w:r>
            <w:r>
              <w:rPr>
                <w:rFonts w:ascii="Microsoft Sans Serif" w:hAnsi="Microsoft Sans Serif" w:cs="Microsoft Sans Serif"/>
                <w:w w:val="99"/>
                <w:sz w:val="20"/>
                <w:szCs w:val="20"/>
              </w:rPr>
              <w:t>84 - 1</w:t>
            </w:r>
            <w:r>
              <w:rPr>
                <w:rFonts w:ascii="Microsoft Sans Serif" w:hAnsi="Microsoft Sans Serif" w:cs="Microsoft Sans Serif"/>
                <w:w w:val="99"/>
                <w:sz w:val="20"/>
                <w:szCs w:val="20"/>
                <w:lang w:val="mk-MK"/>
              </w:rPr>
              <w:t>,</w:t>
            </w:r>
            <w:r>
              <w:rPr>
                <w:rFonts w:ascii="Microsoft Sans Serif" w:hAnsi="Microsoft Sans Serif" w:cs="Microsoft Sans Serif"/>
                <w:w w:val="99"/>
                <w:sz w:val="20"/>
                <w:szCs w:val="20"/>
              </w:rPr>
              <w:t>05)</w:t>
            </w:r>
          </w:p>
          <w:p w14:paraId="2F7511A2">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6"/>
                <w:sz w:val="20"/>
                <w:szCs w:val="20"/>
              </w:rPr>
              <w:t>0</w:t>
            </w:r>
            <w:r>
              <w:rPr>
                <w:rFonts w:ascii="Microsoft Sans Serif" w:hAnsi="Microsoft Sans Serif" w:cs="Microsoft Sans Serif"/>
                <w:w w:val="96"/>
                <w:sz w:val="20"/>
                <w:szCs w:val="20"/>
                <w:lang w:val="mk-MK"/>
              </w:rPr>
              <w:t>,</w:t>
            </w:r>
            <w:r>
              <w:rPr>
                <w:rFonts w:ascii="Microsoft Sans Serif" w:hAnsi="Microsoft Sans Serif" w:cs="Microsoft Sans Serif"/>
                <w:w w:val="96"/>
                <w:sz w:val="20"/>
                <w:szCs w:val="20"/>
              </w:rPr>
              <w:t>265</w:t>
            </w:r>
          </w:p>
        </w:tc>
      </w:tr>
      <w:tr w14:paraId="6A52F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9" w:type="dxa"/>
          <w:trHeight w:val="20" w:hRule="atLeast"/>
        </w:trPr>
        <w:tc>
          <w:tcPr>
            <w:tcW w:w="2815" w:type="dxa"/>
            <w:vAlign w:val="center"/>
          </w:tcPr>
          <w:p w14:paraId="5959F6CB">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Moždani udar, sistemska embolija van CNS-a, vaskularna smrt i infarkt miokarda</w:t>
            </w:r>
          </w:p>
        </w:tc>
        <w:tc>
          <w:tcPr>
            <w:tcW w:w="2410" w:type="dxa"/>
            <w:vAlign w:val="center"/>
          </w:tcPr>
          <w:p w14:paraId="6B5D9CC4">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659</w:t>
            </w:r>
          </w:p>
          <w:p w14:paraId="0153EEF0">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(5</w:t>
            </w:r>
            <w:r>
              <w:rPr>
                <w:rFonts w:ascii="Microsoft Sans Serif" w:hAnsi="Microsoft Sans Serif" w:cs="Microsoft Sans Serif"/>
                <w:sz w:val="20"/>
                <w:szCs w:val="20"/>
                <w:lang w:val="mk-MK"/>
              </w:rPr>
              <w:t>,</w:t>
            </w:r>
            <w:r>
              <w:rPr>
                <w:rFonts w:ascii="Microsoft Sans Serif" w:hAnsi="Microsoft Sans Serif" w:cs="Microsoft Sans Serif"/>
                <w:sz w:val="20"/>
                <w:szCs w:val="20"/>
              </w:rPr>
              <w:t>24)</w:t>
            </w:r>
          </w:p>
        </w:tc>
        <w:tc>
          <w:tcPr>
            <w:tcW w:w="2398" w:type="dxa"/>
            <w:vAlign w:val="center"/>
          </w:tcPr>
          <w:p w14:paraId="0C0217AD">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6"/>
                <w:sz w:val="20"/>
                <w:szCs w:val="20"/>
              </w:rPr>
              <w:t>709</w:t>
            </w:r>
          </w:p>
          <w:p w14:paraId="4752FAF3">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7"/>
                <w:sz w:val="20"/>
                <w:szCs w:val="20"/>
              </w:rPr>
              <w:t>(5</w:t>
            </w:r>
            <w:r>
              <w:rPr>
                <w:rFonts w:ascii="Microsoft Sans Serif" w:hAnsi="Microsoft Sans Serif" w:cs="Microsoft Sans Serif"/>
                <w:w w:val="97"/>
                <w:sz w:val="20"/>
                <w:szCs w:val="20"/>
                <w:lang w:val="mk-MK"/>
              </w:rPr>
              <w:t>,</w:t>
            </w:r>
            <w:r>
              <w:rPr>
                <w:rFonts w:ascii="Microsoft Sans Serif" w:hAnsi="Microsoft Sans Serif" w:cs="Microsoft Sans Serif"/>
                <w:w w:val="97"/>
                <w:sz w:val="20"/>
                <w:szCs w:val="20"/>
              </w:rPr>
              <w:t>65)</w:t>
            </w:r>
          </w:p>
        </w:tc>
        <w:tc>
          <w:tcPr>
            <w:tcW w:w="1982" w:type="dxa"/>
            <w:vAlign w:val="center"/>
          </w:tcPr>
          <w:p w14:paraId="55721CF9">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93</w:t>
            </w:r>
          </w:p>
          <w:p w14:paraId="15CE52C7">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9"/>
                <w:sz w:val="20"/>
                <w:szCs w:val="20"/>
              </w:rPr>
              <w:t>(0</w:t>
            </w:r>
            <w:r>
              <w:rPr>
                <w:rFonts w:ascii="Microsoft Sans Serif" w:hAnsi="Microsoft Sans Serif" w:cs="Microsoft Sans Serif"/>
                <w:w w:val="99"/>
                <w:sz w:val="20"/>
                <w:szCs w:val="20"/>
                <w:lang w:val="mk-MK"/>
              </w:rPr>
              <w:t>,</w:t>
            </w:r>
            <w:r>
              <w:rPr>
                <w:rFonts w:ascii="Microsoft Sans Serif" w:hAnsi="Microsoft Sans Serif" w:cs="Microsoft Sans Serif"/>
                <w:w w:val="99"/>
                <w:sz w:val="20"/>
                <w:szCs w:val="20"/>
              </w:rPr>
              <w:t>83 - 1</w:t>
            </w:r>
            <w:r>
              <w:rPr>
                <w:rFonts w:ascii="Microsoft Sans Serif" w:hAnsi="Microsoft Sans Serif" w:cs="Microsoft Sans Serif"/>
                <w:w w:val="99"/>
                <w:sz w:val="20"/>
                <w:szCs w:val="20"/>
                <w:lang w:val="mk-MK"/>
              </w:rPr>
              <w:t>,</w:t>
            </w:r>
            <w:r>
              <w:rPr>
                <w:rFonts w:ascii="Microsoft Sans Serif" w:hAnsi="Microsoft Sans Serif" w:cs="Microsoft Sans Serif"/>
                <w:w w:val="99"/>
                <w:sz w:val="20"/>
                <w:szCs w:val="20"/>
              </w:rPr>
              <w:t>03)</w:t>
            </w:r>
          </w:p>
          <w:p w14:paraId="274A595D">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6"/>
                <w:sz w:val="20"/>
                <w:szCs w:val="20"/>
              </w:rPr>
              <w:t>0</w:t>
            </w:r>
            <w:r>
              <w:rPr>
                <w:rFonts w:ascii="Microsoft Sans Serif" w:hAnsi="Microsoft Sans Serif" w:cs="Microsoft Sans Serif"/>
                <w:w w:val="96"/>
                <w:sz w:val="20"/>
                <w:szCs w:val="20"/>
                <w:lang w:val="mk-MK"/>
              </w:rPr>
              <w:t>,</w:t>
            </w:r>
            <w:r>
              <w:rPr>
                <w:rFonts w:ascii="Microsoft Sans Serif" w:hAnsi="Microsoft Sans Serif" w:cs="Microsoft Sans Serif"/>
                <w:w w:val="96"/>
                <w:sz w:val="20"/>
                <w:szCs w:val="20"/>
              </w:rPr>
              <w:t>158</w:t>
            </w:r>
          </w:p>
        </w:tc>
      </w:tr>
      <w:tr w14:paraId="4D7D6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9" w:type="dxa"/>
          <w:trHeight w:val="20" w:hRule="atLeast"/>
        </w:trPr>
        <w:tc>
          <w:tcPr>
            <w:tcW w:w="2815" w:type="dxa"/>
            <w:vAlign w:val="center"/>
          </w:tcPr>
          <w:p w14:paraId="0C41918F">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Moždani udar</w:t>
            </w:r>
          </w:p>
        </w:tc>
        <w:tc>
          <w:tcPr>
            <w:tcW w:w="2410" w:type="dxa"/>
            <w:vAlign w:val="center"/>
          </w:tcPr>
          <w:p w14:paraId="4A79CC67">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253</w:t>
            </w:r>
          </w:p>
          <w:p w14:paraId="3DA360C3">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w:t>
            </w:r>
            <w:r>
              <w:rPr>
                <w:rFonts w:ascii="Microsoft Sans Serif" w:hAnsi="Microsoft Sans Serif" w:cs="Microsoft Sans Serif"/>
                <w:sz w:val="20"/>
                <w:szCs w:val="20"/>
                <w:lang w:val="mk-MK"/>
              </w:rPr>
              <w:t>,</w:t>
            </w:r>
            <w:r>
              <w:rPr>
                <w:rFonts w:ascii="Microsoft Sans Serif" w:hAnsi="Microsoft Sans Serif" w:cs="Microsoft Sans Serif"/>
                <w:sz w:val="20"/>
                <w:szCs w:val="20"/>
              </w:rPr>
              <w:t>99)</w:t>
            </w:r>
          </w:p>
        </w:tc>
        <w:tc>
          <w:tcPr>
            <w:tcW w:w="2398" w:type="dxa"/>
            <w:vAlign w:val="center"/>
          </w:tcPr>
          <w:p w14:paraId="3FC3EE69">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6"/>
                <w:sz w:val="20"/>
                <w:szCs w:val="20"/>
              </w:rPr>
              <w:t>281</w:t>
            </w:r>
          </w:p>
          <w:p w14:paraId="5A9DF641">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7"/>
                <w:sz w:val="20"/>
                <w:szCs w:val="20"/>
              </w:rPr>
              <w:t>(2</w:t>
            </w:r>
            <w:r>
              <w:rPr>
                <w:rFonts w:ascii="Microsoft Sans Serif" w:hAnsi="Microsoft Sans Serif" w:cs="Microsoft Sans Serif"/>
                <w:w w:val="97"/>
                <w:sz w:val="20"/>
                <w:szCs w:val="20"/>
                <w:lang w:val="mk-MK"/>
              </w:rPr>
              <w:t>,</w:t>
            </w:r>
            <w:r>
              <w:rPr>
                <w:rFonts w:ascii="Microsoft Sans Serif" w:hAnsi="Microsoft Sans Serif" w:cs="Microsoft Sans Serif"/>
                <w:w w:val="97"/>
                <w:sz w:val="20"/>
                <w:szCs w:val="20"/>
              </w:rPr>
              <w:t>22)</w:t>
            </w:r>
          </w:p>
        </w:tc>
        <w:tc>
          <w:tcPr>
            <w:tcW w:w="1982" w:type="dxa"/>
            <w:vAlign w:val="center"/>
          </w:tcPr>
          <w:p w14:paraId="78FCF9B8">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90</w:t>
            </w:r>
          </w:p>
          <w:p w14:paraId="1C050D72">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9"/>
                <w:sz w:val="20"/>
                <w:szCs w:val="20"/>
              </w:rPr>
              <w:t>(0</w:t>
            </w:r>
            <w:r>
              <w:rPr>
                <w:rFonts w:ascii="Microsoft Sans Serif" w:hAnsi="Microsoft Sans Serif" w:cs="Microsoft Sans Serif"/>
                <w:w w:val="99"/>
                <w:sz w:val="20"/>
                <w:szCs w:val="20"/>
                <w:lang w:val="mk-MK"/>
              </w:rPr>
              <w:t>,</w:t>
            </w:r>
            <w:r>
              <w:rPr>
                <w:rFonts w:ascii="Microsoft Sans Serif" w:hAnsi="Microsoft Sans Serif" w:cs="Microsoft Sans Serif"/>
                <w:w w:val="99"/>
                <w:sz w:val="20"/>
                <w:szCs w:val="20"/>
              </w:rPr>
              <w:t>76 - 1</w:t>
            </w:r>
            <w:r>
              <w:rPr>
                <w:rFonts w:ascii="Microsoft Sans Serif" w:hAnsi="Microsoft Sans Serif" w:cs="Microsoft Sans Serif"/>
                <w:w w:val="99"/>
                <w:sz w:val="20"/>
                <w:szCs w:val="20"/>
                <w:lang w:val="mk-MK"/>
              </w:rPr>
              <w:t>,</w:t>
            </w:r>
            <w:r>
              <w:rPr>
                <w:rFonts w:ascii="Microsoft Sans Serif" w:hAnsi="Microsoft Sans Serif" w:cs="Microsoft Sans Serif"/>
                <w:w w:val="99"/>
                <w:sz w:val="20"/>
                <w:szCs w:val="20"/>
              </w:rPr>
              <w:t>07)</w:t>
            </w:r>
          </w:p>
          <w:p w14:paraId="08E17CCC">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6"/>
                <w:sz w:val="20"/>
                <w:szCs w:val="20"/>
              </w:rPr>
              <w:t>0</w:t>
            </w:r>
            <w:r>
              <w:rPr>
                <w:rFonts w:ascii="Microsoft Sans Serif" w:hAnsi="Microsoft Sans Serif" w:cs="Microsoft Sans Serif"/>
                <w:w w:val="96"/>
                <w:sz w:val="20"/>
                <w:szCs w:val="20"/>
                <w:lang w:val="mk-MK"/>
              </w:rPr>
              <w:t>,</w:t>
            </w:r>
            <w:r>
              <w:rPr>
                <w:rFonts w:ascii="Microsoft Sans Serif" w:hAnsi="Microsoft Sans Serif" w:cs="Microsoft Sans Serif"/>
                <w:w w:val="96"/>
                <w:sz w:val="20"/>
                <w:szCs w:val="20"/>
              </w:rPr>
              <w:t>221</w:t>
            </w:r>
          </w:p>
        </w:tc>
      </w:tr>
      <w:tr w14:paraId="41295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9" w:type="dxa"/>
          <w:trHeight w:val="20" w:hRule="atLeast"/>
        </w:trPr>
        <w:tc>
          <w:tcPr>
            <w:tcW w:w="2815" w:type="dxa"/>
            <w:vAlign w:val="center"/>
          </w:tcPr>
          <w:p w14:paraId="5E30BC53">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Sistemska embolija van CNS-a</w:t>
            </w:r>
          </w:p>
        </w:tc>
        <w:tc>
          <w:tcPr>
            <w:tcW w:w="2410" w:type="dxa"/>
            <w:vAlign w:val="center"/>
          </w:tcPr>
          <w:p w14:paraId="0EB59745">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9"/>
                <w:sz w:val="20"/>
                <w:szCs w:val="20"/>
              </w:rPr>
              <w:t>20</w:t>
            </w:r>
          </w:p>
          <w:p w14:paraId="6778E0BF">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16)</w:t>
            </w:r>
          </w:p>
        </w:tc>
        <w:tc>
          <w:tcPr>
            <w:tcW w:w="2398" w:type="dxa"/>
            <w:vAlign w:val="center"/>
          </w:tcPr>
          <w:p w14:paraId="2352DF72">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9"/>
                <w:sz w:val="20"/>
                <w:szCs w:val="20"/>
              </w:rPr>
              <w:t>27</w:t>
            </w:r>
          </w:p>
          <w:p w14:paraId="3D52ED02">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7"/>
                <w:sz w:val="20"/>
                <w:szCs w:val="20"/>
              </w:rPr>
              <w:t>(0</w:t>
            </w:r>
            <w:r>
              <w:rPr>
                <w:rFonts w:ascii="Microsoft Sans Serif" w:hAnsi="Microsoft Sans Serif" w:cs="Microsoft Sans Serif"/>
                <w:w w:val="97"/>
                <w:sz w:val="20"/>
                <w:szCs w:val="20"/>
                <w:lang w:val="mk-MK"/>
              </w:rPr>
              <w:t>,</w:t>
            </w:r>
            <w:r>
              <w:rPr>
                <w:rFonts w:ascii="Microsoft Sans Serif" w:hAnsi="Microsoft Sans Serif" w:cs="Microsoft Sans Serif"/>
                <w:w w:val="97"/>
                <w:sz w:val="20"/>
                <w:szCs w:val="20"/>
              </w:rPr>
              <w:t>21)</w:t>
            </w:r>
          </w:p>
        </w:tc>
        <w:tc>
          <w:tcPr>
            <w:tcW w:w="1982" w:type="dxa"/>
            <w:vAlign w:val="center"/>
          </w:tcPr>
          <w:p w14:paraId="315B4257">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74</w:t>
            </w:r>
          </w:p>
          <w:p w14:paraId="150CCA91">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9"/>
                <w:sz w:val="20"/>
                <w:szCs w:val="20"/>
              </w:rPr>
              <w:t>(0</w:t>
            </w:r>
            <w:r>
              <w:rPr>
                <w:rFonts w:ascii="Microsoft Sans Serif" w:hAnsi="Microsoft Sans Serif" w:cs="Microsoft Sans Serif"/>
                <w:w w:val="99"/>
                <w:sz w:val="20"/>
                <w:szCs w:val="20"/>
                <w:lang w:val="mk-MK"/>
              </w:rPr>
              <w:t>,</w:t>
            </w:r>
            <w:r>
              <w:rPr>
                <w:rFonts w:ascii="Microsoft Sans Serif" w:hAnsi="Microsoft Sans Serif" w:cs="Microsoft Sans Serif"/>
                <w:w w:val="99"/>
                <w:sz w:val="20"/>
                <w:szCs w:val="20"/>
              </w:rPr>
              <w:t>42 - 1</w:t>
            </w:r>
            <w:r>
              <w:rPr>
                <w:rFonts w:ascii="Microsoft Sans Serif" w:hAnsi="Microsoft Sans Serif" w:cs="Microsoft Sans Serif"/>
                <w:w w:val="99"/>
                <w:sz w:val="20"/>
                <w:szCs w:val="20"/>
                <w:lang w:val="mk-MK"/>
              </w:rPr>
              <w:t>,</w:t>
            </w:r>
            <w:r>
              <w:rPr>
                <w:rFonts w:ascii="Microsoft Sans Serif" w:hAnsi="Microsoft Sans Serif" w:cs="Microsoft Sans Serif"/>
                <w:w w:val="99"/>
                <w:sz w:val="20"/>
                <w:szCs w:val="20"/>
              </w:rPr>
              <w:t>32)</w:t>
            </w:r>
          </w:p>
          <w:p w14:paraId="26C3D0AE">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6"/>
                <w:sz w:val="20"/>
                <w:szCs w:val="20"/>
              </w:rPr>
              <w:t>0</w:t>
            </w:r>
            <w:r>
              <w:rPr>
                <w:rFonts w:ascii="Microsoft Sans Serif" w:hAnsi="Microsoft Sans Serif" w:cs="Microsoft Sans Serif"/>
                <w:w w:val="96"/>
                <w:sz w:val="20"/>
                <w:szCs w:val="20"/>
                <w:lang w:val="mk-MK"/>
              </w:rPr>
              <w:t>,</w:t>
            </w:r>
            <w:r>
              <w:rPr>
                <w:rFonts w:ascii="Microsoft Sans Serif" w:hAnsi="Microsoft Sans Serif" w:cs="Microsoft Sans Serif"/>
                <w:w w:val="96"/>
                <w:sz w:val="20"/>
                <w:szCs w:val="20"/>
              </w:rPr>
              <w:t>308</w:t>
            </w:r>
          </w:p>
        </w:tc>
      </w:tr>
      <w:tr w14:paraId="32B8F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9" w:type="dxa"/>
          <w:trHeight w:val="20" w:hRule="atLeast"/>
        </w:trPr>
        <w:tc>
          <w:tcPr>
            <w:tcW w:w="2815" w:type="dxa"/>
            <w:vAlign w:val="center"/>
          </w:tcPr>
          <w:p w14:paraId="6A45ABBA">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Infarkt miokarda</w:t>
            </w:r>
          </w:p>
        </w:tc>
        <w:tc>
          <w:tcPr>
            <w:tcW w:w="2410" w:type="dxa"/>
            <w:vAlign w:val="center"/>
          </w:tcPr>
          <w:p w14:paraId="0DD9F5C9">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130</w:t>
            </w:r>
          </w:p>
          <w:p w14:paraId="7DB6D31E">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w:t>
            </w:r>
            <w:r>
              <w:rPr>
                <w:rFonts w:ascii="Microsoft Sans Serif" w:hAnsi="Microsoft Sans Serif" w:cs="Microsoft Sans Serif"/>
                <w:sz w:val="20"/>
                <w:szCs w:val="20"/>
                <w:lang w:val="mk-MK"/>
              </w:rPr>
              <w:t>,</w:t>
            </w:r>
            <w:r>
              <w:rPr>
                <w:rFonts w:ascii="Microsoft Sans Serif" w:hAnsi="Microsoft Sans Serif" w:cs="Microsoft Sans Serif"/>
                <w:sz w:val="20"/>
                <w:szCs w:val="20"/>
              </w:rPr>
              <w:t>02)</w:t>
            </w:r>
          </w:p>
        </w:tc>
        <w:tc>
          <w:tcPr>
            <w:tcW w:w="2398" w:type="dxa"/>
            <w:vAlign w:val="center"/>
          </w:tcPr>
          <w:p w14:paraId="69CE2174">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6"/>
                <w:sz w:val="20"/>
                <w:szCs w:val="20"/>
              </w:rPr>
              <w:t>142</w:t>
            </w:r>
          </w:p>
          <w:p w14:paraId="23E64D36">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7"/>
                <w:sz w:val="20"/>
                <w:szCs w:val="20"/>
              </w:rPr>
              <w:t>(1</w:t>
            </w:r>
            <w:r>
              <w:rPr>
                <w:rFonts w:ascii="Microsoft Sans Serif" w:hAnsi="Microsoft Sans Serif" w:cs="Microsoft Sans Serif"/>
                <w:w w:val="97"/>
                <w:sz w:val="20"/>
                <w:szCs w:val="20"/>
                <w:lang w:val="mk-MK"/>
              </w:rPr>
              <w:t>,</w:t>
            </w:r>
            <w:r>
              <w:rPr>
                <w:rFonts w:ascii="Microsoft Sans Serif" w:hAnsi="Microsoft Sans Serif" w:cs="Microsoft Sans Serif"/>
                <w:w w:val="97"/>
                <w:sz w:val="20"/>
                <w:szCs w:val="20"/>
              </w:rPr>
              <w:t>11)</w:t>
            </w:r>
          </w:p>
        </w:tc>
        <w:tc>
          <w:tcPr>
            <w:tcW w:w="1982" w:type="dxa"/>
            <w:vAlign w:val="center"/>
          </w:tcPr>
          <w:p w14:paraId="552CE3F0">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8"/>
                <w:sz w:val="20"/>
                <w:szCs w:val="20"/>
              </w:rPr>
              <w:t>0</w:t>
            </w:r>
            <w:r>
              <w:rPr>
                <w:rFonts w:ascii="Microsoft Sans Serif" w:hAnsi="Microsoft Sans Serif" w:cs="Microsoft Sans Serif"/>
                <w:w w:val="98"/>
                <w:sz w:val="20"/>
                <w:szCs w:val="20"/>
                <w:lang w:val="mk-MK"/>
              </w:rPr>
              <w:t>,</w:t>
            </w:r>
            <w:r>
              <w:rPr>
                <w:rFonts w:ascii="Microsoft Sans Serif" w:hAnsi="Microsoft Sans Serif" w:cs="Microsoft Sans Serif"/>
                <w:w w:val="98"/>
                <w:sz w:val="20"/>
                <w:szCs w:val="20"/>
              </w:rPr>
              <w:t>91</w:t>
            </w:r>
          </w:p>
          <w:p w14:paraId="3631476E">
            <w:pPr>
              <w:tabs>
                <w:tab w:val="clear" w:pos="284"/>
              </w:tabs>
              <w:jc w:val="left"/>
              <w:rPr>
                <w:rFonts w:ascii="Microsoft Sans Serif" w:hAnsi="Microsoft Sans Serif" w:cs="Microsoft Sans Serif"/>
                <w:sz w:val="20"/>
                <w:szCs w:val="20"/>
              </w:rPr>
            </w:pPr>
            <w:r>
              <w:rPr>
                <w:rFonts w:ascii="Microsoft Sans Serif" w:hAnsi="Microsoft Sans Serif" w:cs="Microsoft Sans Serif"/>
                <w:w w:val="99"/>
                <w:sz w:val="20"/>
                <w:szCs w:val="20"/>
              </w:rPr>
              <w:t>(0</w:t>
            </w:r>
            <w:r>
              <w:rPr>
                <w:rFonts w:ascii="Microsoft Sans Serif" w:hAnsi="Microsoft Sans Serif" w:cs="Microsoft Sans Serif"/>
                <w:w w:val="99"/>
                <w:sz w:val="20"/>
                <w:szCs w:val="20"/>
                <w:lang w:val="mk-MK"/>
              </w:rPr>
              <w:t>,</w:t>
            </w:r>
            <w:r>
              <w:rPr>
                <w:rFonts w:ascii="Microsoft Sans Serif" w:hAnsi="Microsoft Sans Serif" w:cs="Microsoft Sans Serif"/>
                <w:w w:val="99"/>
                <w:sz w:val="20"/>
                <w:szCs w:val="20"/>
              </w:rPr>
              <w:t>72 - 1</w:t>
            </w:r>
            <w:r>
              <w:rPr>
                <w:rFonts w:ascii="Microsoft Sans Serif" w:hAnsi="Microsoft Sans Serif" w:cs="Microsoft Sans Serif"/>
                <w:w w:val="99"/>
                <w:sz w:val="20"/>
                <w:szCs w:val="20"/>
                <w:lang w:val="mk-MK"/>
              </w:rPr>
              <w:t>,</w:t>
            </w:r>
            <w:r>
              <w:rPr>
                <w:rFonts w:ascii="Microsoft Sans Serif" w:hAnsi="Microsoft Sans Serif" w:cs="Microsoft Sans Serif"/>
                <w:w w:val="99"/>
                <w:sz w:val="20"/>
                <w:szCs w:val="20"/>
              </w:rPr>
              <w:t>16)</w:t>
            </w:r>
          </w:p>
          <w:p w14:paraId="1B8E0741">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464</w:t>
            </w:r>
          </w:p>
        </w:tc>
      </w:tr>
    </w:tbl>
    <w:p w14:paraId="7CCB9A1D">
      <w:pPr>
        <w:tabs>
          <w:tab w:val="clear" w:pos="284"/>
        </w:tabs>
        <w:rPr>
          <w:rFonts w:ascii="Microsoft Sans Serif" w:hAnsi="Microsoft Sans Serif" w:cs="Microsoft Sans Serif"/>
          <w:b/>
          <w:sz w:val="20"/>
          <w:szCs w:val="20"/>
        </w:rPr>
      </w:pPr>
    </w:p>
    <w:p w14:paraId="29E43276">
      <w:pPr>
        <w:tabs>
          <w:tab w:val="clear" w:pos="284"/>
        </w:tabs>
        <w:rPr>
          <w:rFonts w:ascii="Microsoft Sans Serif" w:hAnsi="Microsoft Sans Serif" w:cs="Microsoft Sans Serif"/>
          <w:b/>
          <w:bCs/>
          <w:sz w:val="20"/>
          <w:szCs w:val="20"/>
        </w:rPr>
      </w:pPr>
      <w:bookmarkStart w:id="2" w:name="page66"/>
      <w:bookmarkEnd w:id="2"/>
      <w:r>
        <w:rPr>
          <w:rFonts w:ascii="Microsoft Sans Serif" w:hAnsi="Microsoft Sans Serif" w:cs="Microsoft Sans Serif"/>
          <w:b/>
          <w:bCs/>
          <w:sz w:val="20"/>
          <w:szCs w:val="20"/>
        </w:rPr>
        <w:t xml:space="preserve">Tabela 5: Rezultati bezbjednosti iz Faze III </w:t>
      </w:r>
      <w:r>
        <w:rPr>
          <w:rFonts w:ascii="Microsoft Sans Serif" w:hAnsi="Microsoft Sans Serif" w:cs="Microsoft Sans Serif"/>
          <w:b/>
          <w:bCs/>
          <w:sz w:val="20"/>
          <w:szCs w:val="20"/>
          <w:lang w:val="sr-Cyrl-RS"/>
        </w:rPr>
        <w:t xml:space="preserve">studije </w:t>
      </w:r>
      <w:r>
        <w:rPr>
          <w:rFonts w:ascii="Microsoft Sans Serif" w:hAnsi="Microsoft Sans Serif" w:cs="Microsoft Sans Serif"/>
          <w:b/>
          <w:bCs/>
          <w:sz w:val="20"/>
          <w:szCs w:val="20"/>
        </w:rPr>
        <w:t>ROCKET AF</w:t>
      </w:r>
    </w:p>
    <w:tbl>
      <w:tblPr>
        <w:tblStyle w:val="7"/>
        <w:tblW w:w="9492" w:type="dxa"/>
        <w:tblInd w:w="10" w:type="dxa"/>
        <w:tblLayout w:type="fixed"/>
        <w:tblCellMar>
          <w:top w:w="0" w:type="dxa"/>
          <w:left w:w="0" w:type="dxa"/>
          <w:bottom w:w="0" w:type="dxa"/>
          <w:right w:w="0" w:type="dxa"/>
        </w:tblCellMar>
      </w:tblPr>
      <w:tblGrid>
        <w:gridCol w:w="2683"/>
        <w:gridCol w:w="2481"/>
        <w:gridCol w:w="2481"/>
        <w:gridCol w:w="1817"/>
        <w:gridCol w:w="30"/>
      </w:tblGrid>
      <w:tr w14:paraId="3BA31AA6">
        <w:tblPrEx>
          <w:tblCellMar>
            <w:top w:w="0" w:type="dxa"/>
            <w:left w:w="0" w:type="dxa"/>
            <w:bottom w:w="0" w:type="dxa"/>
            <w:right w:w="0" w:type="dxa"/>
          </w:tblCellMar>
        </w:tblPrEx>
        <w:trPr>
          <w:trHeight w:val="454" w:hRule="atLeast"/>
        </w:trPr>
        <w:tc>
          <w:tcPr>
            <w:tcW w:w="2683" w:type="dxa"/>
            <w:tcBorders>
              <w:top w:val="single" w:color="auto" w:sz="8" w:space="0"/>
              <w:left w:val="single" w:color="auto" w:sz="8" w:space="0"/>
              <w:bottom w:val="single" w:color="auto" w:sz="8" w:space="0"/>
              <w:right w:val="single" w:color="auto" w:sz="8" w:space="0"/>
            </w:tcBorders>
            <w:vAlign w:val="center"/>
          </w:tcPr>
          <w:p w14:paraId="3270B04F">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Populacija u studiji</w:t>
            </w:r>
          </w:p>
        </w:tc>
        <w:tc>
          <w:tcPr>
            <w:tcW w:w="6779" w:type="dxa"/>
            <w:gridSpan w:val="3"/>
            <w:tcBorders>
              <w:top w:val="single" w:color="auto" w:sz="8" w:space="0"/>
              <w:bottom w:val="single" w:color="auto" w:sz="8" w:space="0"/>
              <w:right w:val="single" w:color="auto" w:sz="8" w:space="0"/>
            </w:tcBorders>
            <w:vAlign w:val="center"/>
          </w:tcPr>
          <w:p w14:paraId="28289F91">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lang w:val="sr-Cyrl-RS"/>
              </w:rPr>
              <w:t>Pacijenti sa nevalvularnom atrijalnom fibrilacijom</w:t>
            </w:r>
            <w:r>
              <w:rPr>
                <w:rFonts w:ascii="Microsoft Sans Serif" w:hAnsi="Microsoft Sans Serif" w:cs="Microsoft Sans Serif"/>
                <w:b/>
                <w:bCs/>
                <w:sz w:val="20"/>
                <w:szCs w:val="20"/>
                <w:vertAlign w:val="superscript"/>
              </w:rPr>
              <w:t>a)</w:t>
            </w:r>
          </w:p>
        </w:tc>
        <w:tc>
          <w:tcPr>
            <w:tcW w:w="30" w:type="dxa"/>
            <w:vAlign w:val="bottom"/>
          </w:tcPr>
          <w:p w14:paraId="397E417D">
            <w:pPr>
              <w:tabs>
                <w:tab w:val="clear" w:pos="284"/>
              </w:tabs>
              <w:rPr>
                <w:rFonts w:ascii="Microsoft Sans Serif" w:hAnsi="Microsoft Sans Serif" w:cs="Microsoft Sans Serif"/>
                <w:sz w:val="20"/>
                <w:szCs w:val="20"/>
              </w:rPr>
            </w:pPr>
          </w:p>
        </w:tc>
      </w:tr>
      <w:tr w14:paraId="6442B320">
        <w:tblPrEx>
          <w:tblCellMar>
            <w:top w:w="0" w:type="dxa"/>
            <w:left w:w="0" w:type="dxa"/>
            <w:bottom w:w="0" w:type="dxa"/>
            <w:right w:w="0" w:type="dxa"/>
          </w:tblCellMar>
        </w:tblPrEx>
        <w:trPr>
          <w:trHeight w:val="19" w:hRule="atLeast"/>
        </w:trPr>
        <w:tc>
          <w:tcPr>
            <w:tcW w:w="2683" w:type="dxa"/>
            <w:vMerge w:val="restart"/>
            <w:tcBorders>
              <w:left w:val="single" w:color="auto" w:sz="8" w:space="0"/>
              <w:right w:val="single" w:color="auto" w:sz="8" w:space="0"/>
            </w:tcBorders>
            <w:vAlign w:val="center"/>
          </w:tcPr>
          <w:p w14:paraId="7B421BA8">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Terapijska doza</w:t>
            </w:r>
          </w:p>
        </w:tc>
        <w:tc>
          <w:tcPr>
            <w:tcW w:w="2481" w:type="dxa"/>
            <w:vMerge w:val="restart"/>
            <w:tcBorders>
              <w:right w:val="single" w:color="auto" w:sz="8" w:space="0"/>
            </w:tcBorders>
          </w:tcPr>
          <w:p w14:paraId="322BF591">
            <w:pPr>
              <w:tabs>
                <w:tab w:val="clear" w:pos="284"/>
              </w:tabs>
              <w:jc w:val="left"/>
              <w:rPr>
                <w:rFonts w:ascii="Microsoft Sans Serif" w:hAnsi="Microsoft Sans Serif" w:cs="Microsoft Sans Serif"/>
                <w:b/>
                <w:bCs/>
                <w:sz w:val="20"/>
                <w:szCs w:val="20"/>
              </w:rPr>
            </w:pPr>
            <w:r>
              <w:rPr>
                <w:rFonts w:ascii="Microsoft Sans Serif" w:hAnsi="Microsoft Sans Serif" w:cs="Microsoft Sans Serif"/>
                <w:b/>
                <w:bCs/>
                <w:sz w:val="20"/>
                <w:szCs w:val="20"/>
                <w:lang w:val="sr-Cyrl-RS"/>
              </w:rPr>
              <w:t>R</w:t>
            </w:r>
            <w:r>
              <w:rPr>
                <w:rFonts w:ascii="Microsoft Sans Serif" w:hAnsi="Microsoft Sans Serif" w:cs="Microsoft Sans Serif"/>
                <w:b/>
                <w:bCs/>
                <w:sz w:val="20"/>
                <w:szCs w:val="20"/>
              </w:rPr>
              <w:t xml:space="preserve">ivaroksaban </w:t>
            </w:r>
          </w:p>
          <w:p w14:paraId="5B788721">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20 mg jednom dnevno</w:t>
            </w:r>
          </w:p>
          <w:p w14:paraId="39E4D375">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(15 mg jednom dnevno</w:t>
            </w:r>
            <w:r>
              <w:rPr>
                <w:rFonts w:ascii="Microsoft Sans Serif" w:hAnsi="Microsoft Sans Serif" w:cs="Microsoft Sans Serif"/>
                <w:b/>
                <w:bCs/>
                <w:sz w:val="20"/>
                <w:szCs w:val="20"/>
                <w:lang w:val="sr-Cyrl-RS"/>
              </w:rPr>
              <w:t xml:space="preserve"> kod pacijenata sa umjerenim oštećenjem funkcije bubrega</w:t>
            </w:r>
            <w:r>
              <w:rPr>
                <w:rFonts w:ascii="Microsoft Sans Serif" w:hAnsi="Microsoft Sans Serif" w:cs="Microsoft Sans Serif"/>
                <w:b/>
                <w:bCs/>
                <w:sz w:val="20"/>
                <w:szCs w:val="20"/>
              </w:rPr>
              <w:t>)</w:t>
            </w:r>
          </w:p>
          <w:p w14:paraId="1A90FA82">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lang w:val="sr-Cyrl-RS"/>
              </w:rPr>
              <w:t>Stopa događaja</w:t>
            </w:r>
            <w:r>
              <w:rPr>
                <w:rFonts w:ascii="Microsoft Sans Serif" w:hAnsi="Microsoft Sans Serif" w:cs="Microsoft Sans Serif"/>
                <w:b/>
                <w:bCs/>
                <w:sz w:val="20"/>
                <w:szCs w:val="20"/>
              </w:rPr>
              <w:t xml:space="preserve"> (100 pacijent-godina)</w:t>
            </w:r>
          </w:p>
        </w:tc>
        <w:tc>
          <w:tcPr>
            <w:tcW w:w="2481" w:type="dxa"/>
            <w:vMerge w:val="restart"/>
            <w:tcBorders>
              <w:right w:val="single" w:color="auto" w:sz="8" w:space="0"/>
            </w:tcBorders>
          </w:tcPr>
          <w:p w14:paraId="46E7203F">
            <w:pPr>
              <w:tabs>
                <w:tab w:val="clear" w:pos="284"/>
              </w:tabs>
              <w:jc w:val="left"/>
              <w:rPr>
                <w:rFonts w:ascii="Microsoft Sans Serif" w:hAnsi="Microsoft Sans Serif" w:cs="Microsoft Sans Serif"/>
                <w:b/>
                <w:bCs/>
                <w:sz w:val="20"/>
                <w:szCs w:val="20"/>
                <w:lang w:val="sr-Cyrl-RS"/>
              </w:rPr>
            </w:pPr>
            <w:r>
              <w:rPr>
                <w:rFonts w:ascii="Microsoft Sans Serif" w:hAnsi="Microsoft Sans Serif" w:cs="Microsoft Sans Serif"/>
                <w:b/>
                <w:bCs/>
                <w:sz w:val="20"/>
                <w:szCs w:val="20"/>
                <w:lang w:val="sr-Cyrl-RS"/>
              </w:rPr>
              <w:t xml:space="preserve">Varfarin titriran do cilјnog </w:t>
            </w:r>
            <w:r>
              <w:rPr>
                <w:rFonts w:ascii="Microsoft Sans Serif" w:hAnsi="Microsoft Sans Serif" w:cs="Microsoft Sans Serif"/>
                <w:b/>
                <w:bCs/>
                <w:sz w:val="20"/>
                <w:szCs w:val="20"/>
                <w:lang w:val="sr-Latn-RS"/>
              </w:rPr>
              <w:t>INR</w:t>
            </w:r>
            <w:r>
              <w:rPr>
                <w:rFonts w:ascii="Microsoft Sans Serif" w:hAnsi="Microsoft Sans Serif" w:cs="Microsoft Sans Serif"/>
                <w:b/>
                <w:bCs/>
                <w:sz w:val="20"/>
                <w:szCs w:val="20"/>
                <w:lang w:val="sr-Cyrl-RS"/>
              </w:rPr>
              <w:t xml:space="preserve"> 2,5 (terapijski raspon 2,0 do 3,0) </w:t>
            </w:r>
          </w:p>
          <w:p w14:paraId="2BCCF49E">
            <w:pPr>
              <w:tabs>
                <w:tab w:val="clear" w:pos="284"/>
              </w:tabs>
              <w:jc w:val="left"/>
              <w:rPr>
                <w:rFonts w:ascii="Microsoft Sans Serif" w:hAnsi="Microsoft Sans Serif" w:cs="Microsoft Sans Serif"/>
                <w:sz w:val="20"/>
                <w:szCs w:val="20"/>
              </w:rPr>
            </w:pPr>
            <w:r>
              <w:rPr>
                <w:rFonts w:ascii="Microsoft Sans Serif" w:hAnsi="Microsoft Sans Serif" w:cs="Microsoft Sans Serif"/>
                <w:b/>
                <w:sz w:val="20"/>
                <w:szCs w:val="20"/>
                <w:lang w:val="sr-Cyrl-RS"/>
              </w:rPr>
              <w:t>Stopa događaja (100 pacijent-godina)</w:t>
            </w:r>
          </w:p>
        </w:tc>
        <w:tc>
          <w:tcPr>
            <w:tcW w:w="1816" w:type="dxa"/>
            <w:vMerge w:val="restart"/>
            <w:tcBorders>
              <w:right w:val="single" w:color="auto" w:sz="8" w:space="0"/>
            </w:tcBorders>
            <w:vAlign w:val="center"/>
          </w:tcPr>
          <w:p w14:paraId="70D1222B">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HR (95% CI)</w:t>
            </w:r>
          </w:p>
          <w:p w14:paraId="2218C47C">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p- vrijednost</w:t>
            </w:r>
          </w:p>
        </w:tc>
        <w:tc>
          <w:tcPr>
            <w:tcW w:w="30" w:type="dxa"/>
            <w:vAlign w:val="bottom"/>
          </w:tcPr>
          <w:p w14:paraId="2B367C13">
            <w:pPr>
              <w:tabs>
                <w:tab w:val="clear" w:pos="284"/>
              </w:tabs>
              <w:rPr>
                <w:rFonts w:ascii="Microsoft Sans Serif" w:hAnsi="Microsoft Sans Serif" w:cs="Microsoft Sans Serif"/>
                <w:sz w:val="20"/>
                <w:szCs w:val="20"/>
              </w:rPr>
            </w:pPr>
          </w:p>
        </w:tc>
      </w:tr>
      <w:tr w14:paraId="33105144">
        <w:tblPrEx>
          <w:tblCellMar>
            <w:top w:w="0" w:type="dxa"/>
            <w:left w:w="0" w:type="dxa"/>
            <w:bottom w:w="0" w:type="dxa"/>
            <w:right w:w="0" w:type="dxa"/>
          </w:tblCellMar>
        </w:tblPrEx>
        <w:trPr>
          <w:trHeight w:val="19" w:hRule="atLeast"/>
        </w:trPr>
        <w:tc>
          <w:tcPr>
            <w:tcW w:w="2683" w:type="dxa"/>
            <w:vMerge w:val="continue"/>
            <w:tcBorders>
              <w:left w:val="single" w:color="auto" w:sz="8" w:space="0"/>
              <w:right w:val="single" w:color="auto" w:sz="8" w:space="0"/>
            </w:tcBorders>
            <w:vAlign w:val="bottom"/>
          </w:tcPr>
          <w:p w14:paraId="6DDEC4BD">
            <w:pPr>
              <w:tabs>
                <w:tab w:val="clear" w:pos="284"/>
              </w:tabs>
              <w:jc w:val="left"/>
              <w:rPr>
                <w:rFonts w:ascii="Microsoft Sans Serif" w:hAnsi="Microsoft Sans Serif" w:cs="Microsoft Sans Serif"/>
                <w:sz w:val="20"/>
                <w:szCs w:val="20"/>
              </w:rPr>
            </w:pPr>
          </w:p>
        </w:tc>
        <w:tc>
          <w:tcPr>
            <w:tcW w:w="2481" w:type="dxa"/>
            <w:vMerge w:val="continue"/>
            <w:tcBorders>
              <w:right w:val="single" w:color="auto" w:sz="8" w:space="0"/>
            </w:tcBorders>
            <w:vAlign w:val="bottom"/>
          </w:tcPr>
          <w:p w14:paraId="162E7901">
            <w:pPr>
              <w:tabs>
                <w:tab w:val="clear" w:pos="284"/>
              </w:tabs>
              <w:jc w:val="left"/>
              <w:rPr>
                <w:rFonts w:ascii="Microsoft Sans Serif" w:hAnsi="Microsoft Sans Serif" w:cs="Microsoft Sans Serif"/>
                <w:sz w:val="20"/>
                <w:szCs w:val="20"/>
              </w:rPr>
            </w:pPr>
          </w:p>
        </w:tc>
        <w:tc>
          <w:tcPr>
            <w:tcW w:w="2481" w:type="dxa"/>
            <w:vMerge w:val="continue"/>
            <w:tcBorders>
              <w:right w:val="single" w:color="auto" w:sz="8" w:space="0"/>
            </w:tcBorders>
            <w:vAlign w:val="bottom"/>
          </w:tcPr>
          <w:p w14:paraId="0FE4D609">
            <w:pPr>
              <w:tabs>
                <w:tab w:val="clear" w:pos="284"/>
              </w:tabs>
              <w:jc w:val="left"/>
              <w:rPr>
                <w:rFonts w:ascii="Microsoft Sans Serif" w:hAnsi="Microsoft Sans Serif" w:cs="Microsoft Sans Serif"/>
                <w:sz w:val="20"/>
                <w:szCs w:val="20"/>
              </w:rPr>
            </w:pPr>
          </w:p>
        </w:tc>
        <w:tc>
          <w:tcPr>
            <w:tcW w:w="1816" w:type="dxa"/>
            <w:vMerge w:val="continue"/>
            <w:tcBorders>
              <w:right w:val="single" w:color="auto" w:sz="8" w:space="0"/>
            </w:tcBorders>
            <w:vAlign w:val="bottom"/>
          </w:tcPr>
          <w:p w14:paraId="58F3D35C">
            <w:pPr>
              <w:tabs>
                <w:tab w:val="clear" w:pos="284"/>
              </w:tabs>
              <w:jc w:val="left"/>
              <w:rPr>
                <w:rFonts w:ascii="Microsoft Sans Serif" w:hAnsi="Microsoft Sans Serif" w:cs="Microsoft Sans Serif"/>
                <w:sz w:val="20"/>
                <w:szCs w:val="20"/>
              </w:rPr>
            </w:pPr>
          </w:p>
        </w:tc>
        <w:tc>
          <w:tcPr>
            <w:tcW w:w="30" w:type="dxa"/>
            <w:vAlign w:val="bottom"/>
          </w:tcPr>
          <w:p w14:paraId="1D006430">
            <w:pPr>
              <w:tabs>
                <w:tab w:val="clear" w:pos="284"/>
              </w:tabs>
              <w:rPr>
                <w:rFonts w:ascii="Microsoft Sans Serif" w:hAnsi="Microsoft Sans Serif" w:cs="Microsoft Sans Serif"/>
                <w:sz w:val="20"/>
                <w:szCs w:val="20"/>
              </w:rPr>
            </w:pPr>
          </w:p>
        </w:tc>
      </w:tr>
      <w:tr w14:paraId="0FD71331">
        <w:tblPrEx>
          <w:tblCellMar>
            <w:top w:w="0" w:type="dxa"/>
            <w:left w:w="0" w:type="dxa"/>
            <w:bottom w:w="0" w:type="dxa"/>
            <w:right w:w="0" w:type="dxa"/>
          </w:tblCellMar>
        </w:tblPrEx>
        <w:trPr>
          <w:trHeight w:val="19" w:hRule="atLeast"/>
        </w:trPr>
        <w:tc>
          <w:tcPr>
            <w:tcW w:w="2683" w:type="dxa"/>
            <w:vMerge w:val="continue"/>
            <w:tcBorders>
              <w:left w:val="single" w:color="auto" w:sz="8" w:space="0"/>
              <w:right w:val="single" w:color="auto" w:sz="8" w:space="0"/>
            </w:tcBorders>
            <w:vAlign w:val="bottom"/>
          </w:tcPr>
          <w:p w14:paraId="140A70A7">
            <w:pPr>
              <w:tabs>
                <w:tab w:val="clear" w:pos="284"/>
              </w:tabs>
              <w:jc w:val="left"/>
              <w:rPr>
                <w:rFonts w:ascii="Microsoft Sans Serif" w:hAnsi="Microsoft Sans Serif" w:cs="Microsoft Sans Serif"/>
                <w:sz w:val="20"/>
                <w:szCs w:val="20"/>
              </w:rPr>
            </w:pPr>
          </w:p>
        </w:tc>
        <w:tc>
          <w:tcPr>
            <w:tcW w:w="2481" w:type="dxa"/>
            <w:vMerge w:val="continue"/>
            <w:tcBorders>
              <w:right w:val="single" w:color="auto" w:sz="8" w:space="0"/>
            </w:tcBorders>
            <w:vAlign w:val="bottom"/>
          </w:tcPr>
          <w:p w14:paraId="6F906D10">
            <w:pPr>
              <w:tabs>
                <w:tab w:val="clear" w:pos="284"/>
              </w:tabs>
              <w:jc w:val="left"/>
              <w:rPr>
                <w:rFonts w:ascii="Microsoft Sans Serif" w:hAnsi="Microsoft Sans Serif" w:cs="Microsoft Sans Serif"/>
                <w:sz w:val="20"/>
                <w:szCs w:val="20"/>
              </w:rPr>
            </w:pPr>
          </w:p>
        </w:tc>
        <w:tc>
          <w:tcPr>
            <w:tcW w:w="2481" w:type="dxa"/>
            <w:vMerge w:val="continue"/>
            <w:tcBorders>
              <w:right w:val="single" w:color="auto" w:sz="8" w:space="0"/>
            </w:tcBorders>
            <w:vAlign w:val="bottom"/>
          </w:tcPr>
          <w:p w14:paraId="12B4FA13">
            <w:pPr>
              <w:tabs>
                <w:tab w:val="clear" w:pos="284"/>
              </w:tabs>
              <w:jc w:val="left"/>
              <w:rPr>
                <w:rFonts w:ascii="Microsoft Sans Serif" w:hAnsi="Microsoft Sans Serif" w:cs="Microsoft Sans Serif"/>
                <w:sz w:val="20"/>
                <w:szCs w:val="20"/>
              </w:rPr>
            </w:pPr>
          </w:p>
        </w:tc>
        <w:tc>
          <w:tcPr>
            <w:tcW w:w="1816" w:type="dxa"/>
            <w:vMerge w:val="continue"/>
            <w:tcBorders>
              <w:right w:val="single" w:color="auto" w:sz="8" w:space="0"/>
            </w:tcBorders>
            <w:vAlign w:val="bottom"/>
          </w:tcPr>
          <w:p w14:paraId="43EA56BC">
            <w:pPr>
              <w:tabs>
                <w:tab w:val="clear" w:pos="284"/>
              </w:tabs>
              <w:jc w:val="left"/>
              <w:rPr>
                <w:rFonts w:ascii="Microsoft Sans Serif" w:hAnsi="Microsoft Sans Serif" w:cs="Microsoft Sans Serif"/>
                <w:sz w:val="20"/>
                <w:szCs w:val="20"/>
              </w:rPr>
            </w:pPr>
          </w:p>
        </w:tc>
        <w:tc>
          <w:tcPr>
            <w:tcW w:w="30" w:type="dxa"/>
            <w:vAlign w:val="bottom"/>
          </w:tcPr>
          <w:p w14:paraId="100E4E1B">
            <w:pPr>
              <w:tabs>
                <w:tab w:val="clear" w:pos="284"/>
              </w:tabs>
              <w:rPr>
                <w:rFonts w:ascii="Microsoft Sans Serif" w:hAnsi="Microsoft Sans Serif" w:cs="Microsoft Sans Serif"/>
                <w:sz w:val="20"/>
                <w:szCs w:val="20"/>
              </w:rPr>
            </w:pPr>
          </w:p>
        </w:tc>
      </w:tr>
      <w:tr w14:paraId="3DC7680D">
        <w:tblPrEx>
          <w:tblCellMar>
            <w:top w:w="0" w:type="dxa"/>
            <w:left w:w="0" w:type="dxa"/>
            <w:bottom w:w="0" w:type="dxa"/>
            <w:right w:w="0" w:type="dxa"/>
          </w:tblCellMar>
        </w:tblPrEx>
        <w:trPr>
          <w:trHeight w:val="19" w:hRule="atLeast"/>
        </w:trPr>
        <w:tc>
          <w:tcPr>
            <w:tcW w:w="2683" w:type="dxa"/>
            <w:vMerge w:val="continue"/>
            <w:tcBorders>
              <w:left w:val="single" w:color="auto" w:sz="8" w:space="0"/>
              <w:right w:val="single" w:color="auto" w:sz="8" w:space="0"/>
            </w:tcBorders>
            <w:vAlign w:val="bottom"/>
          </w:tcPr>
          <w:p w14:paraId="4907E6D0">
            <w:pPr>
              <w:tabs>
                <w:tab w:val="clear" w:pos="284"/>
              </w:tabs>
              <w:jc w:val="left"/>
              <w:rPr>
                <w:rFonts w:ascii="Microsoft Sans Serif" w:hAnsi="Microsoft Sans Serif" w:cs="Microsoft Sans Serif"/>
                <w:sz w:val="20"/>
                <w:szCs w:val="20"/>
              </w:rPr>
            </w:pPr>
          </w:p>
        </w:tc>
        <w:tc>
          <w:tcPr>
            <w:tcW w:w="2481" w:type="dxa"/>
            <w:vMerge w:val="continue"/>
            <w:tcBorders>
              <w:right w:val="single" w:color="auto" w:sz="8" w:space="0"/>
            </w:tcBorders>
            <w:vAlign w:val="bottom"/>
          </w:tcPr>
          <w:p w14:paraId="4F2E9340">
            <w:pPr>
              <w:tabs>
                <w:tab w:val="clear" w:pos="284"/>
              </w:tabs>
              <w:jc w:val="left"/>
              <w:rPr>
                <w:rFonts w:ascii="Microsoft Sans Serif" w:hAnsi="Microsoft Sans Serif" w:cs="Microsoft Sans Serif"/>
                <w:sz w:val="20"/>
                <w:szCs w:val="20"/>
              </w:rPr>
            </w:pPr>
          </w:p>
        </w:tc>
        <w:tc>
          <w:tcPr>
            <w:tcW w:w="2481" w:type="dxa"/>
            <w:vMerge w:val="continue"/>
            <w:tcBorders>
              <w:right w:val="single" w:color="auto" w:sz="8" w:space="0"/>
            </w:tcBorders>
            <w:vAlign w:val="bottom"/>
          </w:tcPr>
          <w:p w14:paraId="48D3E859">
            <w:pPr>
              <w:tabs>
                <w:tab w:val="clear" w:pos="284"/>
              </w:tabs>
              <w:jc w:val="left"/>
              <w:rPr>
                <w:rFonts w:ascii="Microsoft Sans Serif" w:hAnsi="Microsoft Sans Serif" w:cs="Microsoft Sans Serif"/>
                <w:sz w:val="20"/>
                <w:szCs w:val="20"/>
              </w:rPr>
            </w:pPr>
          </w:p>
        </w:tc>
        <w:tc>
          <w:tcPr>
            <w:tcW w:w="1816" w:type="dxa"/>
            <w:vMerge w:val="continue"/>
            <w:tcBorders>
              <w:right w:val="single" w:color="auto" w:sz="8" w:space="0"/>
            </w:tcBorders>
            <w:vAlign w:val="bottom"/>
          </w:tcPr>
          <w:p w14:paraId="04857FF8">
            <w:pPr>
              <w:tabs>
                <w:tab w:val="clear" w:pos="284"/>
              </w:tabs>
              <w:jc w:val="left"/>
              <w:rPr>
                <w:rFonts w:ascii="Microsoft Sans Serif" w:hAnsi="Microsoft Sans Serif" w:cs="Microsoft Sans Serif"/>
                <w:sz w:val="20"/>
                <w:szCs w:val="20"/>
              </w:rPr>
            </w:pPr>
          </w:p>
        </w:tc>
        <w:tc>
          <w:tcPr>
            <w:tcW w:w="30" w:type="dxa"/>
            <w:vAlign w:val="bottom"/>
          </w:tcPr>
          <w:p w14:paraId="108AF436">
            <w:pPr>
              <w:tabs>
                <w:tab w:val="clear" w:pos="284"/>
              </w:tabs>
              <w:rPr>
                <w:rFonts w:ascii="Microsoft Sans Serif" w:hAnsi="Microsoft Sans Serif" w:cs="Microsoft Sans Serif"/>
                <w:sz w:val="20"/>
                <w:szCs w:val="20"/>
              </w:rPr>
            </w:pPr>
          </w:p>
        </w:tc>
      </w:tr>
      <w:tr w14:paraId="40F6A6DA">
        <w:tblPrEx>
          <w:tblCellMar>
            <w:top w:w="0" w:type="dxa"/>
            <w:left w:w="0" w:type="dxa"/>
            <w:bottom w:w="0" w:type="dxa"/>
            <w:right w:w="0" w:type="dxa"/>
          </w:tblCellMar>
        </w:tblPrEx>
        <w:trPr>
          <w:trHeight w:val="19" w:hRule="atLeast"/>
        </w:trPr>
        <w:tc>
          <w:tcPr>
            <w:tcW w:w="2683" w:type="dxa"/>
            <w:vMerge w:val="continue"/>
            <w:tcBorders>
              <w:left w:val="single" w:color="auto" w:sz="8" w:space="0"/>
              <w:right w:val="single" w:color="auto" w:sz="8" w:space="0"/>
            </w:tcBorders>
            <w:vAlign w:val="bottom"/>
          </w:tcPr>
          <w:p w14:paraId="25EF898D">
            <w:pPr>
              <w:tabs>
                <w:tab w:val="clear" w:pos="284"/>
              </w:tabs>
              <w:jc w:val="left"/>
              <w:rPr>
                <w:rFonts w:ascii="Microsoft Sans Serif" w:hAnsi="Microsoft Sans Serif" w:cs="Microsoft Sans Serif"/>
                <w:sz w:val="20"/>
                <w:szCs w:val="20"/>
              </w:rPr>
            </w:pPr>
          </w:p>
        </w:tc>
        <w:tc>
          <w:tcPr>
            <w:tcW w:w="2481" w:type="dxa"/>
            <w:vMerge w:val="continue"/>
            <w:tcBorders>
              <w:right w:val="single" w:color="auto" w:sz="8" w:space="0"/>
            </w:tcBorders>
            <w:vAlign w:val="bottom"/>
          </w:tcPr>
          <w:p w14:paraId="717C9CFE">
            <w:pPr>
              <w:tabs>
                <w:tab w:val="clear" w:pos="284"/>
              </w:tabs>
              <w:jc w:val="left"/>
              <w:rPr>
                <w:rFonts w:ascii="Microsoft Sans Serif" w:hAnsi="Microsoft Sans Serif" w:cs="Microsoft Sans Serif"/>
                <w:sz w:val="20"/>
                <w:szCs w:val="20"/>
              </w:rPr>
            </w:pPr>
          </w:p>
        </w:tc>
        <w:tc>
          <w:tcPr>
            <w:tcW w:w="2481" w:type="dxa"/>
            <w:vMerge w:val="continue"/>
            <w:tcBorders>
              <w:right w:val="single" w:color="auto" w:sz="8" w:space="0"/>
            </w:tcBorders>
            <w:vAlign w:val="bottom"/>
          </w:tcPr>
          <w:p w14:paraId="549FB402">
            <w:pPr>
              <w:tabs>
                <w:tab w:val="clear" w:pos="284"/>
              </w:tabs>
              <w:jc w:val="left"/>
              <w:rPr>
                <w:rFonts w:ascii="Microsoft Sans Serif" w:hAnsi="Microsoft Sans Serif" w:cs="Microsoft Sans Serif"/>
                <w:sz w:val="20"/>
                <w:szCs w:val="20"/>
              </w:rPr>
            </w:pPr>
          </w:p>
        </w:tc>
        <w:tc>
          <w:tcPr>
            <w:tcW w:w="1816" w:type="dxa"/>
            <w:vMerge w:val="continue"/>
            <w:tcBorders>
              <w:right w:val="single" w:color="auto" w:sz="8" w:space="0"/>
            </w:tcBorders>
            <w:vAlign w:val="bottom"/>
          </w:tcPr>
          <w:p w14:paraId="0DC994C2">
            <w:pPr>
              <w:tabs>
                <w:tab w:val="clear" w:pos="284"/>
              </w:tabs>
              <w:jc w:val="left"/>
              <w:rPr>
                <w:rFonts w:ascii="Microsoft Sans Serif" w:hAnsi="Microsoft Sans Serif" w:cs="Microsoft Sans Serif"/>
                <w:sz w:val="20"/>
                <w:szCs w:val="20"/>
              </w:rPr>
            </w:pPr>
          </w:p>
        </w:tc>
        <w:tc>
          <w:tcPr>
            <w:tcW w:w="30" w:type="dxa"/>
            <w:vAlign w:val="bottom"/>
          </w:tcPr>
          <w:p w14:paraId="095C9CC3">
            <w:pPr>
              <w:tabs>
                <w:tab w:val="clear" w:pos="284"/>
              </w:tabs>
              <w:rPr>
                <w:rFonts w:ascii="Microsoft Sans Serif" w:hAnsi="Microsoft Sans Serif" w:cs="Microsoft Sans Serif"/>
                <w:sz w:val="20"/>
                <w:szCs w:val="20"/>
              </w:rPr>
            </w:pPr>
          </w:p>
        </w:tc>
      </w:tr>
      <w:tr w14:paraId="5378561F">
        <w:tblPrEx>
          <w:tblCellMar>
            <w:top w:w="0" w:type="dxa"/>
            <w:left w:w="0" w:type="dxa"/>
            <w:bottom w:w="0" w:type="dxa"/>
            <w:right w:w="0" w:type="dxa"/>
          </w:tblCellMar>
        </w:tblPrEx>
        <w:trPr>
          <w:trHeight w:val="19" w:hRule="atLeast"/>
        </w:trPr>
        <w:tc>
          <w:tcPr>
            <w:tcW w:w="2683" w:type="dxa"/>
            <w:vMerge w:val="continue"/>
            <w:tcBorders>
              <w:left w:val="single" w:color="auto" w:sz="8" w:space="0"/>
              <w:right w:val="single" w:color="auto" w:sz="8" w:space="0"/>
            </w:tcBorders>
            <w:vAlign w:val="bottom"/>
          </w:tcPr>
          <w:p w14:paraId="516BD402">
            <w:pPr>
              <w:tabs>
                <w:tab w:val="clear" w:pos="284"/>
              </w:tabs>
              <w:jc w:val="left"/>
              <w:rPr>
                <w:rFonts w:ascii="Microsoft Sans Serif" w:hAnsi="Microsoft Sans Serif" w:cs="Microsoft Sans Serif"/>
                <w:sz w:val="20"/>
                <w:szCs w:val="20"/>
              </w:rPr>
            </w:pPr>
          </w:p>
        </w:tc>
        <w:tc>
          <w:tcPr>
            <w:tcW w:w="2481" w:type="dxa"/>
            <w:vMerge w:val="continue"/>
            <w:tcBorders>
              <w:right w:val="single" w:color="auto" w:sz="8" w:space="0"/>
            </w:tcBorders>
            <w:vAlign w:val="bottom"/>
          </w:tcPr>
          <w:p w14:paraId="30B13043">
            <w:pPr>
              <w:tabs>
                <w:tab w:val="clear" w:pos="284"/>
              </w:tabs>
              <w:jc w:val="left"/>
              <w:rPr>
                <w:rFonts w:ascii="Microsoft Sans Serif" w:hAnsi="Microsoft Sans Serif" w:cs="Microsoft Sans Serif"/>
                <w:sz w:val="20"/>
                <w:szCs w:val="20"/>
              </w:rPr>
            </w:pPr>
          </w:p>
        </w:tc>
        <w:tc>
          <w:tcPr>
            <w:tcW w:w="2481" w:type="dxa"/>
            <w:vMerge w:val="continue"/>
            <w:tcBorders>
              <w:right w:val="single" w:color="auto" w:sz="8" w:space="0"/>
            </w:tcBorders>
            <w:vAlign w:val="bottom"/>
          </w:tcPr>
          <w:p w14:paraId="18954486">
            <w:pPr>
              <w:tabs>
                <w:tab w:val="clear" w:pos="284"/>
              </w:tabs>
              <w:jc w:val="left"/>
              <w:rPr>
                <w:rFonts w:ascii="Microsoft Sans Serif" w:hAnsi="Microsoft Sans Serif" w:cs="Microsoft Sans Serif"/>
                <w:sz w:val="20"/>
                <w:szCs w:val="20"/>
              </w:rPr>
            </w:pPr>
          </w:p>
        </w:tc>
        <w:tc>
          <w:tcPr>
            <w:tcW w:w="1816" w:type="dxa"/>
            <w:vMerge w:val="continue"/>
            <w:tcBorders>
              <w:right w:val="single" w:color="auto" w:sz="8" w:space="0"/>
            </w:tcBorders>
            <w:vAlign w:val="bottom"/>
          </w:tcPr>
          <w:p w14:paraId="3172756A">
            <w:pPr>
              <w:tabs>
                <w:tab w:val="clear" w:pos="284"/>
              </w:tabs>
              <w:jc w:val="left"/>
              <w:rPr>
                <w:rFonts w:ascii="Microsoft Sans Serif" w:hAnsi="Microsoft Sans Serif" w:cs="Microsoft Sans Serif"/>
                <w:sz w:val="20"/>
                <w:szCs w:val="20"/>
              </w:rPr>
            </w:pPr>
          </w:p>
        </w:tc>
        <w:tc>
          <w:tcPr>
            <w:tcW w:w="30" w:type="dxa"/>
            <w:vAlign w:val="bottom"/>
          </w:tcPr>
          <w:p w14:paraId="0F0F27D9">
            <w:pPr>
              <w:tabs>
                <w:tab w:val="clear" w:pos="284"/>
              </w:tabs>
              <w:rPr>
                <w:rFonts w:ascii="Microsoft Sans Serif" w:hAnsi="Microsoft Sans Serif" w:cs="Microsoft Sans Serif"/>
                <w:sz w:val="20"/>
                <w:szCs w:val="20"/>
              </w:rPr>
            </w:pPr>
          </w:p>
        </w:tc>
      </w:tr>
      <w:tr w14:paraId="110BCFC7">
        <w:tblPrEx>
          <w:tblCellMar>
            <w:top w:w="0" w:type="dxa"/>
            <w:left w:w="0" w:type="dxa"/>
            <w:bottom w:w="0" w:type="dxa"/>
            <w:right w:w="0" w:type="dxa"/>
          </w:tblCellMar>
        </w:tblPrEx>
        <w:trPr>
          <w:trHeight w:val="19" w:hRule="atLeast"/>
        </w:trPr>
        <w:tc>
          <w:tcPr>
            <w:tcW w:w="2683" w:type="dxa"/>
            <w:vMerge w:val="continue"/>
            <w:tcBorders>
              <w:left w:val="single" w:color="auto" w:sz="8" w:space="0"/>
              <w:bottom w:val="single" w:color="auto" w:sz="8" w:space="0"/>
              <w:right w:val="single" w:color="auto" w:sz="8" w:space="0"/>
            </w:tcBorders>
            <w:vAlign w:val="bottom"/>
          </w:tcPr>
          <w:p w14:paraId="4A8CB622">
            <w:pPr>
              <w:tabs>
                <w:tab w:val="clear" w:pos="284"/>
              </w:tabs>
              <w:jc w:val="left"/>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bottom"/>
          </w:tcPr>
          <w:p w14:paraId="13340C26">
            <w:pPr>
              <w:tabs>
                <w:tab w:val="clear" w:pos="284"/>
              </w:tabs>
              <w:jc w:val="left"/>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bottom"/>
          </w:tcPr>
          <w:p w14:paraId="4EC2C075">
            <w:pPr>
              <w:tabs>
                <w:tab w:val="clear" w:pos="284"/>
              </w:tabs>
              <w:jc w:val="left"/>
              <w:rPr>
                <w:rFonts w:ascii="Microsoft Sans Serif" w:hAnsi="Microsoft Sans Serif" w:cs="Microsoft Sans Serif"/>
                <w:sz w:val="20"/>
                <w:szCs w:val="20"/>
              </w:rPr>
            </w:pPr>
          </w:p>
        </w:tc>
        <w:tc>
          <w:tcPr>
            <w:tcW w:w="1816" w:type="dxa"/>
            <w:vMerge w:val="continue"/>
            <w:tcBorders>
              <w:bottom w:val="single" w:color="auto" w:sz="8" w:space="0"/>
              <w:right w:val="single" w:color="auto" w:sz="8" w:space="0"/>
            </w:tcBorders>
            <w:vAlign w:val="bottom"/>
          </w:tcPr>
          <w:p w14:paraId="205E1A41">
            <w:pPr>
              <w:tabs>
                <w:tab w:val="clear" w:pos="284"/>
              </w:tabs>
              <w:jc w:val="left"/>
              <w:rPr>
                <w:rFonts w:ascii="Microsoft Sans Serif" w:hAnsi="Microsoft Sans Serif" w:cs="Microsoft Sans Serif"/>
                <w:sz w:val="20"/>
                <w:szCs w:val="20"/>
              </w:rPr>
            </w:pPr>
          </w:p>
        </w:tc>
        <w:tc>
          <w:tcPr>
            <w:tcW w:w="30" w:type="dxa"/>
            <w:vAlign w:val="bottom"/>
          </w:tcPr>
          <w:p w14:paraId="5521E99B">
            <w:pPr>
              <w:tabs>
                <w:tab w:val="clear" w:pos="284"/>
              </w:tabs>
              <w:rPr>
                <w:rFonts w:ascii="Microsoft Sans Serif" w:hAnsi="Microsoft Sans Serif" w:cs="Microsoft Sans Serif"/>
                <w:sz w:val="20"/>
                <w:szCs w:val="20"/>
              </w:rPr>
            </w:pPr>
          </w:p>
        </w:tc>
      </w:tr>
      <w:tr w14:paraId="0B3383CF">
        <w:tblPrEx>
          <w:tblCellMar>
            <w:top w:w="0" w:type="dxa"/>
            <w:left w:w="0" w:type="dxa"/>
            <w:bottom w:w="0" w:type="dxa"/>
            <w:right w:w="0" w:type="dxa"/>
          </w:tblCellMar>
        </w:tblPrEx>
        <w:trPr>
          <w:trHeight w:val="19" w:hRule="atLeast"/>
        </w:trPr>
        <w:tc>
          <w:tcPr>
            <w:tcW w:w="2683" w:type="dxa"/>
            <w:vMerge w:val="restart"/>
            <w:tcBorders>
              <w:left w:val="single" w:color="auto" w:sz="8" w:space="0"/>
              <w:right w:val="single" w:color="auto" w:sz="8" w:space="0"/>
            </w:tcBorders>
            <w:vAlign w:val="center"/>
          </w:tcPr>
          <w:p w14:paraId="0D2ED16C">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Obilno i klinički značajno krvarenje koje nije obilno</w:t>
            </w:r>
          </w:p>
        </w:tc>
        <w:tc>
          <w:tcPr>
            <w:tcW w:w="2481" w:type="dxa"/>
            <w:vMerge w:val="restart"/>
            <w:tcBorders>
              <w:right w:val="single" w:color="auto" w:sz="8" w:space="0"/>
            </w:tcBorders>
            <w:vAlign w:val="center"/>
          </w:tcPr>
          <w:p w14:paraId="5824E4B0">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1,475</w:t>
            </w:r>
          </w:p>
          <w:p w14:paraId="1A662695">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(14</w:t>
            </w:r>
            <w:r>
              <w:rPr>
                <w:rFonts w:ascii="Microsoft Sans Serif" w:hAnsi="Microsoft Sans Serif" w:cs="Microsoft Sans Serif"/>
                <w:sz w:val="20"/>
                <w:szCs w:val="20"/>
                <w:lang w:val="mk-MK"/>
              </w:rPr>
              <w:t>,</w:t>
            </w:r>
            <w:r>
              <w:rPr>
                <w:rFonts w:ascii="Microsoft Sans Serif" w:hAnsi="Microsoft Sans Serif" w:cs="Microsoft Sans Serif"/>
                <w:sz w:val="20"/>
                <w:szCs w:val="20"/>
              </w:rPr>
              <w:t>91)</w:t>
            </w:r>
          </w:p>
        </w:tc>
        <w:tc>
          <w:tcPr>
            <w:tcW w:w="2481" w:type="dxa"/>
            <w:vMerge w:val="restart"/>
            <w:tcBorders>
              <w:right w:val="single" w:color="auto" w:sz="8" w:space="0"/>
            </w:tcBorders>
            <w:vAlign w:val="center"/>
          </w:tcPr>
          <w:p w14:paraId="5BE2D228">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1,449</w:t>
            </w:r>
          </w:p>
          <w:p w14:paraId="27A532EE">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(14</w:t>
            </w:r>
            <w:r>
              <w:rPr>
                <w:rFonts w:ascii="Microsoft Sans Serif" w:hAnsi="Microsoft Sans Serif" w:cs="Microsoft Sans Serif"/>
                <w:sz w:val="20"/>
                <w:szCs w:val="20"/>
                <w:lang w:val="mk-MK"/>
              </w:rPr>
              <w:t>,</w:t>
            </w:r>
            <w:r>
              <w:rPr>
                <w:rFonts w:ascii="Microsoft Sans Serif" w:hAnsi="Microsoft Sans Serif" w:cs="Microsoft Sans Serif"/>
                <w:sz w:val="20"/>
                <w:szCs w:val="20"/>
              </w:rPr>
              <w:t>52)</w:t>
            </w:r>
          </w:p>
        </w:tc>
        <w:tc>
          <w:tcPr>
            <w:tcW w:w="1816" w:type="dxa"/>
            <w:vMerge w:val="restart"/>
            <w:tcBorders>
              <w:right w:val="single" w:color="auto" w:sz="8" w:space="0"/>
            </w:tcBorders>
            <w:vAlign w:val="center"/>
          </w:tcPr>
          <w:p w14:paraId="079FAB9B">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w:t>
            </w:r>
            <w:r>
              <w:rPr>
                <w:rFonts w:ascii="Microsoft Sans Serif" w:hAnsi="Microsoft Sans Serif" w:cs="Microsoft Sans Serif"/>
                <w:sz w:val="20"/>
                <w:szCs w:val="20"/>
                <w:lang w:val="mk-MK"/>
              </w:rPr>
              <w:t>,</w:t>
            </w:r>
            <w:r>
              <w:rPr>
                <w:rFonts w:ascii="Microsoft Sans Serif" w:hAnsi="Microsoft Sans Serif" w:cs="Microsoft Sans Serif"/>
                <w:sz w:val="20"/>
                <w:szCs w:val="20"/>
              </w:rPr>
              <w:t>03 (0</w:t>
            </w:r>
            <w:r>
              <w:rPr>
                <w:rFonts w:ascii="Microsoft Sans Serif" w:hAnsi="Microsoft Sans Serif" w:cs="Microsoft Sans Serif"/>
                <w:sz w:val="20"/>
                <w:szCs w:val="20"/>
                <w:lang w:val="mk-MK"/>
              </w:rPr>
              <w:t>,</w:t>
            </w:r>
            <w:r>
              <w:rPr>
                <w:rFonts w:ascii="Microsoft Sans Serif" w:hAnsi="Microsoft Sans Serif" w:cs="Microsoft Sans Serif"/>
                <w:sz w:val="20"/>
                <w:szCs w:val="20"/>
              </w:rPr>
              <w:t>96 - 1</w:t>
            </w:r>
            <w:r>
              <w:rPr>
                <w:rFonts w:ascii="Microsoft Sans Serif" w:hAnsi="Microsoft Sans Serif" w:cs="Microsoft Sans Serif"/>
                <w:sz w:val="20"/>
                <w:szCs w:val="20"/>
                <w:lang w:val="mk-MK"/>
              </w:rPr>
              <w:t>,</w:t>
            </w:r>
            <w:r>
              <w:rPr>
                <w:rFonts w:ascii="Microsoft Sans Serif" w:hAnsi="Microsoft Sans Serif" w:cs="Microsoft Sans Serif"/>
                <w:sz w:val="20"/>
                <w:szCs w:val="20"/>
              </w:rPr>
              <w:t>11)</w:t>
            </w:r>
          </w:p>
          <w:p w14:paraId="1387164E">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442</w:t>
            </w:r>
          </w:p>
        </w:tc>
        <w:tc>
          <w:tcPr>
            <w:tcW w:w="30" w:type="dxa"/>
            <w:vAlign w:val="bottom"/>
          </w:tcPr>
          <w:p w14:paraId="406F5C44">
            <w:pPr>
              <w:tabs>
                <w:tab w:val="clear" w:pos="284"/>
              </w:tabs>
              <w:rPr>
                <w:rFonts w:ascii="Microsoft Sans Serif" w:hAnsi="Microsoft Sans Serif" w:cs="Microsoft Sans Serif"/>
                <w:sz w:val="20"/>
                <w:szCs w:val="20"/>
              </w:rPr>
            </w:pPr>
          </w:p>
        </w:tc>
      </w:tr>
      <w:tr w14:paraId="07BA672A">
        <w:tblPrEx>
          <w:tblCellMar>
            <w:top w:w="0" w:type="dxa"/>
            <w:left w:w="0" w:type="dxa"/>
            <w:bottom w:w="0" w:type="dxa"/>
            <w:right w:w="0" w:type="dxa"/>
          </w:tblCellMar>
        </w:tblPrEx>
        <w:trPr>
          <w:trHeight w:val="19" w:hRule="atLeast"/>
        </w:trPr>
        <w:tc>
          <w:tcPr>
            <w:tcW w:w="2683" w:type="dxa"/>
            <w:vMerge w:val="continue"/>
            <w:tcBorders>
              <w:left w:val="single" w:color="auto" w:sz="8" w:space="0"/>
              <w:right w:val="single" w:color="auto" w:sz="8" w:space="0"/>
            </w:tcBorders>
            <w:vAlign w:val="center"/>
          </w:tcPr>
          <w:p w14:paraId="52544D47">
            <w:pPr>
              <w:tabs>
                <w:tab w:val="clear" w:pos="284"/>
              </w:tabs>
              <w:jc w:val="left"/>
              <w:rPr>
                <w:rFonts w:ascii="Microsoft Sans Serif" w:hAnsi="Microsoft Sans Serif" w:cs="Microsoft Sans Serif"/>
                <w:sz w:val="20"/>
                <w:szCs w:val="20"/>
              </w:rPr>
            </w:pPr>
          </w:p>
        </w:tc>
        <w:tc>
          <w:tcPr>
            <w:tcW w:w="2481" w:type="dxa"/>
            <w:vMerge w:val="continue"/>
            <w:tcBorders>
              <w:right w:val="single" w:color="auto" w:sz="8" w:space="0"/>
            </w:tcBorders>
            <w:vAlign w:val="center"/>
          </w:tcPr>
          <w:p w14:paraId="072575A9">
            <w:pPr>
              <w:tabs>
                <w:tab w:val="clear" w:pos="284"/>
              </w:tabs>
              <w:jc w:val="left"/>
              <w:rPr>
                <w:rFonts w:ascii="Microsoft Sans Serif" w:hAnsi="Microsoft Sans Serif" w:cs="Microsoft Sans Serif"/>
                <w:sz w:val="20"/>
                <w:szCs w:val="20"/>
              </w:rPr>
            </w:pPr>
          </w:p>
        </w:tc>
        <w:tc>
          <w:tcPr>
            <w:tcW w:w="2481" w:type="dxa"/>
            <w:vMerge w:val="continue"/>
            <w:tcBorders>
              <w:right w:val="single" w:color="auto" w:sz="8" w:space="0"/>
            </w:tcBorders>
            <w:vAlign w:val="center"/>
          </w:tcPr>
          <w:p w14:paraId="431F9834">
            <w:pPr>
              <w:tabs>
                <w:tab w:val="clear" w:pos="284"/>
              </w:tabs>
              <w:jc w:val="left"/>
              <w:rPr>
                <w:rFonts w:ascii="Microsoft Sans Serif" w:hAnsi="Microsoft Sans Serif" w:cs="Microsoft Sans Serif"/>
                <w:sz w:val="20"/>
                <w:szCs w:val="20"/>
              </w:rPr>
            </w:pPr>
          </w:p>
        </w:tc>
        <w:tc>
          <w:tcPr>
            <w:tcW w:w="1816" w:type="dxa"/>
            <w:vMerge w:val="continue"/>
            <w:tcBorders>
              <w:right w:val="single" w:color="auto" w:sz="8" w:space="0"/>
            </w:tcBorders>
            <w:vAlign w:val="center"/>
          </w:tcPr>
          <w:p w14:paraId="2E1EEB7E">
            <w:pPr>
              <w:tabs>
                <w:tab w:val="clear" w:pos="284"/>
              </w:tabs>
              <w:jc w:val="left"/>
              <w:rPr>
                <w:rFonts w:ascii="Microsoft Sans Serif" w:hAnsi="Microsoft Sans Serif" w:cs="Microsoft Sans Serif"/>
                <w:sz w:val="20"/>
                <w:szCs w:val="20"/>
              </w:rPr>
            </w:pPr>
          </w:p>
        </w:tc>
        <w:tc>
          <w:tcPr>
            <w:tcW w:w="30" w:type="dxa"/>
            <w:vAlign w:val="bottom"/>
          </w:tcPr>
          <w:p w14:paraId="733D0A20">
            <w:pPr>
              <w:tabs>
                <w:tab w:val="clear" w:pos="284"/>
              </w:tabs>
              <w:rPr>
                <w:rFonts w:ascii="Microsoft Sans Serif" w:hAnsi="Microsoft Sans Serif" w:cs="Microsoft Sans Serif"/>
                <w:sz w:val="20"/>
                <w:szCs w:val="20"/>
              </w:rPr>
            </w:pPr>
          </w:p>
        </w:tc>
      </w:tr>
      <w:tr w14:paraId="2BFDBA04">
        <w:tblPrEx>
          <w:tblCellMar>
            <w:top w:w="0" w:type="dxa"/>
            <w:left w:w="0" w:type="dxa"/>
            <w:bottom w:w="0" w:type="dxa"/>
            <w:right w:w="0" w:type="dxa"/>
          </w:tblCellMar>
        </w:tblPrEx>
        <w:trPr>
          <w:trHeight w:val="19" w:hRule="atLeast"/>
        </w:trPr>
        <w:tc>
          <w:tcPr>
            <w:tcW w:w="2683" w:type="dxa"/>
            <w:vMerge w:val="continue"/>
            <w:tcBorders>
              <w:left w:val="single" w:color="auto" w:sz="8" w:space="0"/>
              <w:right w:val="single" w:color="auto" w:sz="8" w:space="0"/>
            </w:tcBorders>
            <w:vAlign w:val="center"/>
          </w:tcPr>
          <w:p w14:paraId="15145B5A">
            <w:pPr>
              <w:tabs>
                <w:tab w:val="clear" w:pos="284"/>
              </w:tabs>
              <w:jc w:val="left"/>
              <w:rPr>
                <w:rFonts w:ascii="Microsoft Sans Serif" w:hAnsi="Microsoft Sans Serif" w:cs="Microsoft Sans Serif"/>
                <w:sz w:val="20"/>
                <w:szCs w:val="20"/>
              </w:rPr>
            </w:pPr>
          </w:p>
        </w:tc>
        <w:tc>
          <w:tcPr>
            <w:tcW w:w="2481" w:type="dxa"/>
            <w:vMerge w:val="continue"/>
            <w:tcBorders>
              <w:right w:val="single" w:color="auto" w:sz="8" w:space="0"/>
            </w:tcBorders>
            <w:vAlign w:val="center"/>
          </w:tcPr>
          <w:p w14:paraId="49013BCD">
            <w:pPr>
              <w:tabs>
                <w:tab w:val="clear" w:pos="284"/>
              </w:tabs>
              <w:jc w:val="left"/>
              <w:rPr>
                <w:rFonts w:ascii="Microsoft Sans Serif" w:hAnsi="Microsoft Sans Serif" w:cs="Microsoft Sans Serif"/>
                <w:sz w:val="20"/>
                <w:szCs w:val="20"/>
              </w:rPr>
            </w:pPr>
          </w:p>
        </w:tc>
        <w:tc>
          <w:tcPr>
            <w:tcW w:w="2481" w:type="dxa"/>
            <w:vMerge w:val="continue"/>
            <w:tcBorders>
              <w:right w:val="single" w:color="auto" w:sz="8" w:space="0"/>
            </w:tcBorders>
            <w:vAlign w:val="center"/>
          </w:tcPr>
          <w:p w14:paraId="4F5FF27A">
            <w:pPr>
              <w:tabs>
                <w:tab w:val="clear" w:pos="284"/>
              </w:tabs>
              <w:jc w:val="left"/>
              <w:rPr>
                <w:rFonts w:ascii="Microsoft Sans Serif" w:hAnsi="Microsoft Sans Serif" w:cs="Microsoft Sans Serif"/>
                <w:sz w:val="20"/>
                <w:szCs w:val="20"/>
              </w:rPr>
            </w:pPr>
          </w:p>
        </w:tc>
        <w:tc>
          <w:tcPr>
            <w:tcW w:w="1816" w:type="dxa"/>
            <w:vMerge w:val="continue"/>
            <w:tcBorders>
              <w:right w:val="single" w:color="auto" w:sz="8" w:space="0"/>
            </w:tcBorders>
            <w:vAlign w:val="center"/>
          </w:tcPr>
          <w:p w14:paraId="2EE60558">
            <w:pPr>
              <w:tabs>
                <w:tab w:val="clear" w:pos="284"/>
              </w:tabs>
              <w:jc w:val="left"/>
              <w:rPr>
                <w:rFonts w:ascii="Microsoft Sans Serif" w:hAnsi="Microsoft Sans Serif" w:cs="Microsoft Sans Serif"/>
                <w:sz w:val="20"/>
                <w:szCs w:val="20"/>
              </w:rPr>
            </w:pPr>
          </w:p>
        </w:tc>
        <w:tc>
          <w:tcPr>
            <w:tcW w:w="30" w:type="dxa"/>
            <w:vAlign w:val="bottom"/>
          </w:tcPr>
          <w:p w14:paraId="4967BE56">
            <w:pPr>
              <w:tabs>
                <w:tab w:val="clear" w:pos="284"/>
              </w:tabs>
              <w:rPr>
                <w:rFonts w:ascii="Microsoft Sans Serif" w:hAnsi="Microsoft Sans Serif" w:cs="Microsoft Sans Serif"/>
                <w:sz w:val="20"/>
                <w:szCs w:val="20"/>
              </w:rPr>
            </w:pPr>
          </w:p>
        </w:tc>
      </w:tr>
      <w:tr w14:paraId="0F36529C">
        <w:tblPrEx>
          <w:tblCellMar>
            <w:top w:w="0" w:type="dxa"/>
            <w:left w:w="0" w:type="dxa"/>
            <w:bottom w:w="0" w:type="dxa"/>
            <w:right w:w="0" w:type="dxa"/>
          </w:tblCellMar>
        </w:tblPrEx>
        <w:trPr>
          <w:trHeight w:val="19" w:hRule="atLeast"/>
        </w:trPr>
        <w:tc>
          <w:tcPr>
            <w:tcW w:w="2683" w:type="dxa"/>
            <w:vMerge w:val="continue"/>
            <w:tcBorders>
              <w:left w:val="single" w:color="auto" w:sz="8" w:space="0"/>
              <w:right w:val="single" w:color="auto" w:sz="8" w:space="0"/>
            </w:tcBorders>
            <w:vAlign w:val="center"/>
          </w:tcPr>
          <w:p w14:paraId="3FD5FDF3">
            <w:pPr>
              <w:tabs>
                <w:tab w:val="clear" w:pos="284"/>
              </w:tabs>
              <w:jc w:val="left"/>
              <w:rPr>
                <w:rFonts w:ascii="Microsoft Sans Serif" w:hAnsi="Microsoft Sans Serif" w:cs="Microsoft Sans Serif"/>
                <w:sz w:val="20"/>
                <w:szCs w:val="20"/>
              </w:rPr>
            </w:pPr>
          </w:p>
        </w:tc>
        <w:tc>
          <w:tcPr>
            <w:tcW w:w="2481" w:type="dxa"/>
            <w:vMerge w:val="continue"/>
            <w:tcBorders>
              <w:right w:val="single" w:color="auto" w:sz="8" w:space="0"/>
            </w:tcBorders>
            <w:vAlign w:val="center"/>
          </w:tcPr>
          <w:p w14:paraId="0F7C2C98">
            <w:pPr>
              <w:tabs>
                <w:tab w:val="clear" w:pos="284"/>
              </w:tabs>
              <w:jc w:val="left"/>
              <w:rPr>
                <w:rFonts w:ascii="Microsoft Sans Serif" w:hAnsi="Microsoft Sans Serif" w:cs="Microsoft Sans Serif"/>
                <w:sz w:val="20"/>
                <w:szCs w:val="20"/>
              </w:rPr>
            </w:pPr>
          </w:p>
        </w:tc>
        <w:tc>
          <w:tcPr>
            <w:tcW w:w="2481" w:type="dxa"/>
            <w:vMerge w:val="continue"/>
            <w:tcBorders>
              <w:right w:val="single" w:color="auto" w:sz="8" w:space="0"/>
            </w:tcBorders>
            <w:vAlign w:val="center"/>
          </w:tcPr>
          <w:p w14:paraId="29C78A7A">
            <w:pPr>
              <w:tabs>
                <w:tab w:val="clear" w:pos="284"/>
              </w:tabs>
              <w:jc w:val="left"/>
              <w:rPr>
                <w:rFonts w:ascii="Microsoft Sans Serif" w:hAnsi="Microsoft Sans Serif" w:cs="Microsoft Sans Serif"/>
                <w:sz w:val="20"/>
                <w:szCs w:val="20"/>
              </w:rPr>
            </w:pPr>
          </w:p>
        </w:tc>
        <w:tc>
          <w:tcPr>
            <w:tcW w:w="1816" w:type="dxa"/>
            <w:vMerge w:val="continue"/>
            <w:tcBorders>
              <w:right w:val="single" w:color="auto" w:sz="8" w:space="0"/>
            </w:tcBorders>
            <w:vAlign w:val="center"/>
          </w:tcPr>
          <w:p w14:paraId="67183A31">
            <w:pPr>
              <w:tabs>
                <w:tab w:val="clear" w:pos="284"/>
              </w:tabs>
              <w:jc w:val="left"/>
              <w:rPr>
                <w:rFonts w:ascii="Microsoft Sans Serif" w:hAnsi="Microsoft Sans Serif" w:cs="Microsoft Sans Serif"/>
                <w:sz w:val="20"/>
                <w:szCs w:val="20"/>
              </w:rPr>
            </w:pPr>
          </w:p>
        </w:tc>
        <w:tc>
          <w:tcPr>
            <w:tcW w:w="30" w:type="dxa"/>
            <w:vAlign w:val="bottom"/>
          </w:tcPr>
          <w:p w14:paraId="277D5BC5">
            <w:pPr>
              <w:tabs>
                <w:tab w:val="clear" w:pos="284"/>
              </w:tabs>
              <w:rPr>
                <w:rFonts w:ascii="Microsoft Sans Serif" w:hAnsi="Microsoft Sans Serif" w:cs="Microsoft Sans Serif"/>
                <w:sz w:val="20"/>
                <w:szCs w:val="20"/>
              </w:rPr>
            </w:pPr>
          </w:p>
        </w:tc>
      </w:tr>
      <w:tr w14:paraId="3ECDD719">
        <w:tblPrEx>
          <w:tblCellMar>
            <w:top w:w="0" w:type="dxa"/>
            <w:left w:w="0" w:type="dxa"/>
            <w:bottom w:w="0" w:type="dxa"/>
            <w:right w:w="0" w:type="dxa"/>
          </w:tblCellMar>
        </w:tblPrEx>
        <w:trPr>
          <w:trHeight w:val="66" w:hRule="atLeast"/>
        </w:trPr>
        <w:tc>
          <w:tcPr>
            <w:tcW w:w="2683" w:type="dxa"/>
            <w:vMerge w:val="continue"/>
            <w:tcBorders>
              <w:left w:val="single" w:color="auto" w:sz="8" w:space="0"/>
              <w:bottom w:val="single" w:color="auto" w:sz="8" w:space="0"/>
              <w:right w:val="single" w:color="auto" w:sz="8" w:space="0"/>
            </w:tcBorders>
            <w:vAlign w:val="center"/>
          </w:tcPr>
          <w:p w14:paraId="320BED6F">
            <w:pPr>
              <w:tabs>
                <w:tab w:val="clear" w:pos="284"/>
              </w:tabs>
              <w:jc w:val="left"/>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center"/>
          </w:tcPr>
          <w:p w14:paraId="0EA08F19">
            <w:pPr>
              <w:tabs>
                <w:tab w:val="clear" w:pos="284"/>
              </w:tabs>
              <w:jc w:val="left"/>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center"/>
          </w:tcPr>
          <w:p w14:paraId="409E6868">
            <w:pPr>
              <w:tabs>
                <w:tab w:val="clear" w:pos="284"/>
              </w:tabs>
              <w:jc w:val="left"/>
              <w:rPr>
                <w:rFonts w:ascii="Microsoft Sans Serif" w:hAnsi="Microsoft Sans Serif" w:cs="Microsoft Sans Serif"/>
                <w:sz w:val="20"/>
                <w:szCs w:val="20"/>
              </w:rPr>
            </w:pPr>
          </w:p>
        </w:tc>
        <w:tc>
          <w:tcPr>
            <w:tcW w:w="1816" w:type="dxa"/>
            <w:vMerge w:val="continue"/>
            <w:tcBorders>
              <w:bottom w:val="single" w:color="auto" w:sz="8" w:space="0"/>
              <w:right w:val="single" w:color="auto" w:sz="8" w:space="0"/>
            </w:tcBorders>
            <w:vAlign w:val="center"/>
          </w:tcPr>
          <w:p w14:paraId="18182BB6">
            <w:pPr>
              <w:tabs>
                <w:tab w:val="clear" w:pos="284"/>
              </w:tabs>
              <w:jc w:val="left"/>
              <w:rPr>
                <w:rFonts w:ascii="Microsoft Sans Serif" w:hAnsi="Microsoft Sans Serif" w:cs="Microsoft Sans Serif"/>
                <w:sz w:val="20"/>
                <w:szCs w:val="20"/>
              </w:rPr>
            </w:pPr>
          </w:p>
        </w:tc>
        <w:tc>
          <w:tcPr>
            <w:tcW w:w="30" w:type="dxa"/>
            <w:vAlign w:val="bottom"/>
          </w:tcPr>
          <w:p w14:paraId="725194FE">
            <w:pPr>
              <w:tabs>
                <w:tab w:val="clear" w:pos="284"/>
              </w:tabs>
              <w:rPr>
                <w:rFonts w:ascii="Microsoft Sans Serif" w:hAnsi="Microsoft Sans Serif" w:cs="Microsoft Sans Serif"/>
                <w:sz w:val="20"/>
                <w:szCs w:val="20"/>
              </w:rPr>
            </w:pPr>
          </w:p>
        </w:tc>
      </w:tr>
      <w:tr w14:paraId="4375C4CA">
        <w:tblPrEx>
          <w:tblCellMar>
            <w:top w:w="0" w:type="dxa"/>
            <w:left w:w="0" w:type="dxa"/>
            <w:bottom w:w="0" w:type="dxa"/>
            <w:right w:w="0" w:type="dxa"/>
          </w:tblCellMar>
        </w:tblPrEx>
        <w:trPr>
          <w:trHeight w:val="19" w:hRule="atLeast"/>
        </w:trPr>
        <w:tc>
          <w:tcPr>
            <w:tcW w:w="2683" w:type="dxa"/>
            <w:vMerge w:val="restart"/>
            <w:tcBorders>
              <w:left w:val="single" w:color="auto" w:sz="8" w:space="0"/>
              <w:right w:val="single" w:color="auto" w:sz="8" w:space="0"/>
            </w:tcBorders>
            <w:vAlign w:val="center"/>
          </w:tcPr>
          <w:p w14:paraId="79C1B99D">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Obilno krvarenje</w:t>
            </w:r>
          </w:p>
        </w:tc>
        <w:tc>
          <w:tcPr>
            <w:tcW w:w="2481" w:type="dxa"/>
            <w:vMerge w:val="restart"/>
            <w:tcBorders>
              <w:right w:val="single" w:color="auto" w:sz="8" w:space="0"/>
            </w:tcBorders>
            <w:vAlign w:val="center"/>
          </w:tcPr>
          <w:p w14:paraId="17FAAC95">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395</w:t>
            </w:r>
          </w:p>
          <w:p w14:paraId="06BB7D04">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(3</w:t>
            </w:r>
            <w:r>
              <w:rPr>
                <w:rFonts w:ascii="Microsoft Sans Serif" w:hAnsi="Microsoft Sans Serif" w:cs="Microsoft Sans Serif"/>
                <w:sz w:val="20"/>
                <w:szCs w:val="20"/>
                <w:lang w:val="mk-MK"/>
              </w:rPr>
              <w:t>,</w:t>
            </w:r>
            <w:r>
              <w:rPr>
                <w:rFonts w:ascii="Microsoft Sans Serif" w:hAnsi="Microsoft Sans Serif" w:cs="Microsoft Sans Serif"/>
                <w:sz w:val="20"/>
                <w:szCs w:val="20"/>
              </w:rPr>
              <w:t>60)</w:t>
            </w:r>
          </w:p>
        </w:tc>
        <w:tc>
          <w:tcPr>
            <w:tcW w:w="2481" w:type="dxa"/>
            <w:vMerge w:val="restart"/>
            <w:tcBorders>
              <w:right w:val="single" w:color="auto" w:sz="8" w:space="0"/>
            </w:tcBorders>
            <w:vAlign w:val="center"/>
          </w:tcPr>
          <w:p w14:paraId="61B7AE5C">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386</w:t>
            </w:r>
          </w:p>
          <w:p w14:paraId="5EA8EA31">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(3</w:t>
            </w:r>
            <w:r>
              <w:rPr>
                <w:rFonts w:ascii="Microsoft Sans Serif" w:hAnsi="Microsoft Sans Serif" w:cs="Microsoft Sans Serif"/>
                <w:sz w:val="20"/>
                <w:szCs w:val="20"/>
                <w:lang w:val="mk-MK"/>
              </w:rPr>
              <w:t>,</w:t>
            </w:r>
            <w:r>
              <w:rPr>
                <w:rFonts w:ascii="Microsoft Sans Serif" w:hAnsi="Microsoft Sans Serif" w:cs="Microsoft Sans Serif"/>
                <w:sz w:val="20"/>
                <w:szCs w:val="20"/>
              </w:rPr>
              <w:t>45)</w:t>
            </w:r>
          </w:p>
        </w:tc>
        <w:tc>
          <w:tcPr>
            <w:tcW w:w="1816" w:type="dxa"/>
            <w:vMerge w:val="restart"/>
            <w:tcBorders>
              <w:right w:val="single" w:color="auto" w:sz="8" w:space="0"/>
            </w:tcBorders>
            <w:vAlign w:val="center"/>
          </w:tcPr>
          <w:p w14:paraId="112D53CA">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w:t>
            </w:r>
            <w:r>
              <w:rPr>
                <w:rFonts w:ascii="Microsoft Sans Serif" w:hAnsi="Microsoft Sans Serif" w:cs="Microsoft Sans Serif"/>
                <w:sz w:val="20"/>
                <w:szCs w:val="20"/>
                <w:lang w:val="mk-MK"/>
              </w:rPr>
              <w:t>,</w:t>
            </w:r>
            <w:r>
              <w:rPr>
                <w:rFonts w:ascii="Microsoft Sans Serif" w:hAnsi="Microsoft Sans Serif" w:cs="Microsoft Sans Serif"/>
                <w:sz w:val="20"/>
                <w:szCs w:val="20"/>
              </w:rPr>
              <w:t>04 (0</w:t>
            </w:r>
            <w:r>
              <w:rPr>
                <w:rFonts w:ascii="Microsoft Sans Serif" w:hAnsi="Microsoft Sans Serif" w:cs="Microsoft Sans Serif"/>
                <w:sz w:val="20"/>
                <w:szCs w:val="20"/>
                <w:lang w:val="mk-MK"/>
              </w:rPr>
              <w:t>,</w:t>
            </w:r>
            <w:r>
              <w:rPr>
                <w:rFonts w:ascii="Microsoft Sans Serif" w:hAnsi="Microsoft Sans Serif" w:cs="Microsoft Sans Serif"/>
                <w:sz w:val="20"/>
                <w:szCs w:val="20"/>
              </w:rPr>
              <w:t>90 - 1</w:t>
            </w:r>
            <w:r>
              <w:rPr>
                <w:rFonts w:ascii="Microsoft Sans Serif" w:hAnsi="Microsoft Sans Serif" w:cs="Microsoft Sans Serif"/>
                <w:sz w:val="20"/>
                <w:szCs w:val="20"/>
                <w:lang w:val="mk-MK"/>
              </w:rPr>
              <w:t>,</w:t>
            </w:r>
            <w:r>
              <w:rPr>
                <w:rFonts w:ascii="Microsoft Sans Serif" w:hAnsi="Microsoft Sans Serif" w:cs="Microsoft Sans Serif"/>
                <w:sz w:val="20"/>
                <w:szCs w:val="20"/>
              </w:rPr>
              <w:t>20)</w:t>
            </w:r>
          </w:p>
          <w:p w14:paraId="12F414C6">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576</w:t>
            </w:r>
          </w:p>
        </w:tc>
        <w:tc>
          <w:tcPr>
            <w:tcW w:w="30" w:type="dxa"/>
            <w:vAlign w:val="bottom"/>
          </w:tcPr>
          <w:p w14:paraId="38CD9FBC">
            <w:pPr>
              <w:tabs>
                <w:tab w:val="clear" w:pos="284"/>
              </w:tabs>
              <w:rPr>
                <w:rFonts w:ascii="Microsoft Sans Serif" w:hAnsi="Microsoft Sans Serif" w:cs="Microsoft Sans Serif"/>
                <w:sz w:val="20"/>
                <w:szCs w:val="20"/>
              </w:rPr>
            </w:pPr>
          </w:p>
        </w:tc>
      </w:tr>
      <w:tr w14:paraId="763B93B4">
        <w:tblPrEx>
          <w:tblCellMar>
            <w:top w:w="0" w:type="dxa"/>
            <w:left w:w="0" w:type="dxa"/>
            <w:bottom w:w="0" w:type="dxa"/>
            <w:right w:w="0" w:type="dxa"/>
          </w:tblCellMar>
        </w:tblPrEx>
        <w:trPr>
          <w:trHeight w:val="19" w:hRule="atLeast"/>
        </w:trPr>
        <w:tc>
          <w:tcPr>
            <w:tcW w:w="2683" w:type="dxa"/>
            <w:vMerge w:val="continue"/>
            <w:tcBorders>
              <w:left w:val="single" w:color="auto" w:sz="8" w:space="0"/>
              <w:right w:val="single" w:color="auto" w:sz="8" w:space="0"/>
            </w:tcBorders>
            <w:vAlign w:val="center"/>
          </w:tcPr>
          <w:p w14:paraId="180B5CE4">
            <w:pPr>
              <w:tabs>
                <w:tab w:val="clear" w:pos="284"/>
              </w:tabs>
              <w:jc w:val="left"/>
              <w:rPr>
                <w:rFonts w:ascii="Microsoft Sans Serif" w:hAnsi="Microsoft Sans Serif" w:cs="Microsoft Sans Serif"/>
                <w:sz w:val="20"/>
                <w:szCs w:val="20"/>
              </w:rPr>
            </w:pPr>
          </w:p>
        </w:tc>
        <w:tc>
          <w:tcPr>
            <w:tcW w:w="2481" w:type="dxa"/>
            <w:vMerge w:val="continue"/>
            <w:tcBorders>
              <w:right w:val="single" w:color="auto" w:sz="8" w:space="0"/>
            </w:tcBorders>
            <w:vAlign w:val="center"/>
          </w:tcPr>
          <w:p w14:paraId="06F752B3">
            <w:pPr>
              <w:tabs>
                <w:tab w:val="clear" w:pos="284"/>
              </w:tabs>
              <w:jc w:val="left"/>
              <w:rPr>
                <w:rFonts w:ascii="Microsoft Sans Serif" w:hAnsi="Microsoft Sans Serif" w:cs="Microsoft Sans Serif"/>
                <w:sz w:val="20"/>
                <w:szCs w:val="20"/>
              </w:rPr>
            </w:pPr>
          </w:p>
        </w:tc>
        <w:tc>
          <w:tcPr>
            <w:tcW w:w="2481" w:type="dxa"/>
            <w:vMerge w:val="continue"/>
            <w:tcBorders>
              <w:right w:val="single" w:color="auto" w:sz="8" w:space="0"/>
            </w:tcBorders>
            <w:vAlign w:val="center"/>
          </w:tcPr>
          <w:p w14:paraId="592C5586">
            <w:pPr>
              <w:tabs>
                <w:tab w:val="clear" w:pos="284"/>
              </w:tabs>
              <w:jc w:val="left"/>
              <w:rPr>
                <w:rFonts w:ascii="Microsoft Sans Serif" w:hAnsi="Microsoft Sans Serif" w:cs="Microsoft Sans Serif"/>
                <w:sz w:val="20"/>
                <w:szCs w:val="20"/>
              </w:rPr>
            </w:pPr>
          </w:p>
        </w:tc>
        <w:tc>
          <w:tcPr>
            <w:tcW w:w="1816" w:type="dxa"/>
            <w:vMerge w:val="continue"/>
            <w:tcBorders>
              <w:right w:val="single" w:color="auto" w:sz="8" w:space="0"/>
            </w:tcBorders>
            <w:vAlign w:val="center"/>
          </w:tcPr>
          <w:p w14:paraId="14D9CDE0">
            <w:pPr>
              <w:tabs>
                <w:tab w:val="clear" w:pos="284"/>
              </w:tabs>
              <w:jc w:val="left"/>
              <w:rPr>
                <w:rFonts w:ascii="Microsoft Sans Serif" w:hAnsi="Microsoft Sans Serif" w:cs="Microsoft Sans Serif"/>
                <w:sz w:val="20"/>
                <w:szCs w:val="20"/>
              </w:rPr>
            </w:pPr>
          </w:p>
        </w:tc>
        <w:tc>
          <w:tcPr>
            <w:tcW w:w="30" w:type="dxa"/>
            <w:vAlign w:val="bottom"/>
          </w:tcPr>
          <w:p w14:paraId="02BBB5D6">
            <w:pPr>
              <w:tabs>
                <w:tab w:val="clear" w:pos="284"/>
              </w:tabs>
              <w:rPr>
                <w:rFonts w:ascii="Microsoft Sans Serif" w:hAnsi="Microsoft Sans Serif" w:cs="Microsoft Sans Serif"/>
                <w:sz w:val="20"/>
                <w:szCs w:val="20"/>
              </w:rPr>
            </w:pPr>
          </w:p>
        </w:tc>
      </w:tr>
      <w:tr w14:paraId="73E2DD2A">
        <w:tblPrEx>
          <w:tblCellMar>
            <w:top w:w="0" w:type="dxa"/>
            <w:left w:w="0" w:type="dxa"/>
            <w:bottom w:w="0" w:type="dxa"/>
            <w:right w:w="0" w:type="dxa"/>
          </w:tblCellMar>
        </w:tblPrEx>
        <w:trPr>
          <w:trHeight w:val="66" w:hRule="atLeast"/>
        </w:trPr>
        <w:tc>
          <w:tcPr>
            <w:tcW w:w="2683" w:type="dxa"/>
            <w:vMerge w:val="continue"/>
            <w:tcBorders>
              <w:left w:val="single" w:color="auto" w:sz="8" w:space="0"/>
              <w:bottom w:val="single" w:color="auto" w:sz="8" w:space="0"/>
              <w:right w:val="single" w:color="auto" w:sz="8" w:space="0"/>
            </w:tcBorders>
            <w:vAlign w:val="center"/>
          </w:tcPr>
          <w:p w14:paraId="669E4CBD">
            <w:pPr>
              <w:tabs>
                <w:tab w:val="clear" w:pos="284"/>
              </w:tabs>
              <w:jc w:val="left"/>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center"/>
          </w:tcPr>
          <w:p w14:paraId="61F2D23D">
            <w:pPr>
              <w:tabs>
                <w:tab w:val="clear" w:pos="284"/>
              </w:tabs>
              <w:jc w:val="left"/>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center"/>
          </w:tcPr>
          <w:p w14:paraId="3B78575C">
            <w:pPr>
              <w:tabs>
                <w:tab w:val="clear" w:pos="284"/>
              </w:tabs>
              <w:jc w:val="left"/>
              <w:rPr>
                <w:rFonts w:ascii="Microsoft Sans Serif" w:hAnsi="Microsoft Sans Serif" w:cs="Microsoft Sans Serif"/>
                <w:sz w:val="20"/>
                <w:szCs w:val="20"/>
              </w:rPr>
            </w:pPr>
          </w:p>
        </w:tc>
        <w:tc>
          <w:tcPr>
            <w:tcW w:w="1816" w:type="dxa"/>
            <w:vMerge w:val="continue"/>
            <w:tcBorders>
              <w:bottom w:val="single" w:color="auto" w:sz="8" w:space="0"/>
              <w:right w:val="single" w:color="auto" w:sz="8" w:space="0"/>
            </w:tcBorders>
            <w:vAlign w:val="center"/>
          </w:tcPr>
          <w:p w14:paraId="12BC3F2A">
            <w:pPr>
              <w:tabs>
                <w:tab w:val="clear" w:pos="284"/>
              </w:tabs>
              <w:jc w:val="left"/>
              <w:rPr>
                <w:rFonts w:ascii="Microsoft Sans Serif" w:hAnsi="Microsoft Sans Serif" w:cs="Microsoft Sans Serif"/>
                <w:sz w:val="20"/>
                <w:szCs w:val="20"/>
              </w:rPr>
            </w:pPr>
          </w:p>
        </w:tc>
        <w:tc>
          <w:tcPr>
            <w:tcW w:w="30" w:type="dxa"/>
            <w:vAlign w:val="bottom"/>
          </w:tcPr>
          <w:p w14:paraId="5ACFE075">
            <w:pPr>
              <w:tabs>
                <w:tab w:val="clear" w:pos="284"/>
              </w:tabs>
              <w:rPr>
                <w:rFonts w:ascii="Microsoft Sans Serif" w:hAnsi="Microsoft Sans Serif" w:cs="Microsoft Sans Serif"/>
                <w:sz w:val="20"/>
                <w:szCs w:val="20"/>
              </w:rPr>
            </w:pPr>
          </w:p>
        </w:tc>
      </w:tr>
      <w:tr w14:paraId="40692B95">
        <w:tblPrEx>
          <w:tblCellMar>
            <w:top w:w="0" w:type="dxa"/>
            <w:left w:w="0" w:type="dxa"/>
            <w:bottom w:w="0" w:type="dxa"/>
            <w:right w:w="0" w:type="dxa"/>
          </w:tblCellMar>
        </w:tblPrEx>
        <w:trPr>
          <w:trHeight w:val="19" w:hRule="atLeast"/>
        </w:trPr>
        <w:tc>
          <w:tcPr>
            <w:tcW w:w="2683" w:type="dxa"/>
            <w:vMerge w:val="restart"/>
            <w:tcBorders>
              <w:left w:val="single" w:color="auto" w:sz="8" w:space="0"/>
              <w:right w:val="single" w:color="auto" w:sz="8" w:space="0"/>
            </w:tcBorders>
            <w:vAlign w:val="center"/>
          </w:tcPr>
          <w:p w14:paraId="614B8D57">
            <w:pPr>
              <w:tabs>
                <w:tab w:val="clear" w:pos="284"/>
              </w:tabs>
              <w:ind w:left="426"/>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Smrt zbog krvarenja</w:t>
            </w:r>
            <w:r>
              <w:rPr>
                <w:rFonts w:ascii="Microsoft Sans Serif" w:hAnsi="Microsoft Sans Serif" w:cs="Microsoft Sans Serif"/>
                <w:sz w:val="20"/>
                <w:szCs w:val="20"/>
              </w:rPr>
              <w:t>*</w:t>
            </w:r>
          </w:p>
        </w:tc>
        <w:tc>
          <w:tcPr>
            <w:tcW w:w="2481" w:type="dxa"/>
            <w:vMerge w:val="restart"/>
            <w:tcBorders>
              <w:right w:val="single" w:color="auto" w:sz="8" w:space="0"/>
            </w:tcBorders>
            <w:vAlign w:val="center"/>
          </w:tcPr>
          <w:p w14:paraId="2A7A30D4">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27</w:t>
            </w:r>
          </w:p>
          <w:p w14:paraId="2CAFEFE9">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24)</w:t>
            </w:r>
          </w:p>
        </w:tc>
        <w:tc>
          <w:tcPr>
            <w:tcW w:w="2481" w:type="dxa"/>
            <w:vMerge w:val="restart"/>
            <w:tcBorders>
              <w:right w:val="single" w:color="auto" w:sz="8" w:space="0"/>
            </w:tcBorders>
            <w:vAlign w:val="center"/>
          </w:tcPr>
          <w:p w14:paraId="74938EA4">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55</w:t>
            </w:r>
          </w:p>
          <w:p w14:paraId="5BD410FA">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(0.48)</w:t>
            </w:r>
          </w:p>
        </w:tc>
        <w:tc>
          <w:tcPr>
            <w:tcW w:w="1816" w:type="dxa"/>
            <w:vMerge w:val="restart"/>
            <w:tcBorders>
              <w:right w:val="single" w:color="auto" w:sz="8" w:space="0"/>
            </w:tcBorders>
            <w:vAlign w:val="center"/>
          </w:tcPr>
          <w:p w14:paraId="719C3A22">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50 (0</w:t>
            </w:r>
            <w:r>
              <w:rPr>
                <w:rFonts w:ascii="Microsoft Sans Serif" w:hAnsi="Microsoft Sans Serif" w:cs="Microsoft Sans Serif"/>
                <w:sz w:val="20"/>
                <w:szCs w:val="20"/>
                <w:lang w:val="mk-MK"/>
              </w:rPr>
              <w:t>,</w:t>
            </w:r>
            <w:r>
              <w:rPr>
                <w:rFonts w:ascii="Microsoft Sans Serif" w:hAnsi="Microsoft Sans Serif" w:cs="Microsoft Sans Serif"/>
                <w:sz w:val="20"/>
                <w:szCs w:val="20"/>
              </w:rPr>
              <w:t>31 - 0</w:t>
            </w:r>
            <w:r>
              <w:rPr>
                <w:rFonts w:ascii="Microsoft Sans Serif" w:hAnsi="Microsoft Sans Serif" w:cs="Microsoft Sans Serif"/>
                <w:sz w:val="20"/>
                <w:szCs w:val="20"/>
                <w:lang w:val="mk-MK"/>
              </w:rPr>
              <w:t>,</w:t>
            </w:r>
            <w:r>
              <w:rPr>
                <w:rFonts w:ascii="Microsoft Sans Serif" w:hAnsi="Microsoft Sans Serif" w:cs="Microsoft Sans Serif"/>
                <w:sz w:val="20"/>
                <w:szCs w:val="20"/>
              </w:rPr>
              <w:t>79)</w:t>
            </w:r>
          </w:p>
          <w:p w14:paraId="116F1919">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003</w:t>
            </w:r>
          </w:p>
        </w:tc>
        <w:tc>
          <w:tcPr>
            <w:tcW w:w="30" w:type="dxa"/>
            <w:vAlign w:val="bottom"/>
          </w:tcPr>
          <w:p w14:paraId="6E22998A">
            <w:pPr>
              <w:tabs>
                <w:tab w:val="clear" w:pos="284"/>
              </w:tabs>
              <w:rPr>
                <w:rFonts w:ascii="Microsoft Sans Serif" w:hAnsi="Microsoft Sans Serif" w:cs="Microsoft Sans Serif"/>
                <w:sz w:val="20"/>
                <w:szCs w:val="20"/>
              </w:rPr>
            </w:pPr>
          </w:p>
        </w:tc>
      </w:tr>
      <w:tr w14:paraId="16DF7A63">
        <w:tblPrEx>
          <w:tblCellMar>
            <w:top w:w="0" w:type="dxa"/>
            <w:left w:w="0" w:type="dxa"/>
            <w:bottom w:w="0" w:type="dxa"/>
            <w:right w:w="0" w:type="dxa"/>
          </w:tblCellMar>
        </w:tblPrEx>
        <w:trPr>
          <w:trHeight w:val="19" w:hRule="atLeast"/>
        </w:trPr>
        <w:tc>
          <w:tcPr>
            <w:tcW w:w="2683" w:type="dxa"/>
            <w:vMerge w:val="continue"/>
            <w:tcBorders>
              <w:left w:val="single" w:color="auto" w:sz="8" w:space="0"/>
              <w:bottom w:val="single" w:color="auto" w:sz="8" w:space="0"/>
              <w:right w:val="single" w:color="auto" w:sz="8" w:space="0"/>
            </w:tcBorders>
            <w:vAlign w:val="center"/>
          </w:tcPr>
          <w:p w14:paraId="1DB9D510">
            <w:pPr>
              <w:tabs>
                <w:tab w:val="clear" w:pos="284"/>
              </w:tabs>
              <w:ind w:left="426"/>
              <w:jc w:val="left"/>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center"/>
          </w:tcPr>
          <w:p w14:paraId="7D2F89CC">
            <w:pPr>
              <w:tabs>
                <w:tab w:val="clear" w:pos="284"/>
              </w:tabs>
              <w:jc w:val="left"/>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center"/>
          </w:tcPr>
          <w:p w14:paraId="23C63FC9">
            <w:pPr>
              <w:tabs>
                <w:tab w:val="clear" w:pos="284"/>
              </w:tabs>
              <w:jc w:val="left"/>
              <w:rPr>
                <w:rFonts w:ascii="Microsoft Sans Serif" w:hAnsi="Microsoft Sans Serif" w:cs="Microsoft Sans Serif"/>
                <w:sz w:val="20"/>
                <w:szCs w:val="20"/>
              </w:rPr>
            </w:pPr>
          </w:p>
        </w:tc>
        <w:tc>
          <w:tcPr>
            <w:tcW w:w="1816" w:type="dxa"/>
            <w:vMerge w:val="continue"/>
            <w:tcBorders>
              <w:bottom w:val="single" w:color="auto" w:sz="8" w:space="0"/>
              <w:right w:val="single" w:color="auto" w:sz="8" w:space="0"/>
            </w:tcBorders>
            <w:vAlign w:val="center"/>
          </w:tcPr>
          <w:p w14:paraId="0789D26C">
            <w:pPr>
              <w:tabs>
                <w:tab w:val="clear" w:pos="284"/>
              </w:tabs>
              <w:jc w:val="left"/>
              <w:rPr>
                <w:rFonts w:ascii="Microsoft Sans Serif" w:hAnsi="Microsoft Sans Serif" w:cs="Microsoft Sans Serif"/>
                <w:sz w:val="20"/>
                <w:szCs w:val="20"/>
              </w:rPr>
            </w:pPr>
          </w:p>
        </w:tc>
        <w:tc>
          <w:tcPr>
            <w:tcW w:w="30" w:type="dxa"/>
            <w:vAlign w:val="bottom"/>
          </w:tcPr>
          <w:p w14:paraId="4D5A28E3">
            <w:pPr>
              <w:tabs>
                <w:tab w:val="clear" w:pos="284"/>
              </w:tabs>
              <w:rPr>
                <w:rFonts w:ascii="Microsoft Sans Serif" w:hAnsi="Microsoft Sans Serif" w:cs="Microsoft Sans Serif"/>
                <w:sz w:val="20"/>
                <w:szCs w:val="20"/>
              </w:rPr>
            </w:pPr>
          </w:p>
        </w:tc>
      </w:tr>
      <w:tr w14:paraId="05E5A82D">
        <w:tblPrEx>
          <w:tblCellMar>
            <w:top w:w="0" w:type="dxa"/>
            <w:left w:w="0" w:type="dxa"/>
            <w:bottom w:w="0" w:type="dxa"/>
            <w:right w:w="0" w:type="dxa"/>
          </w:tblCellMar>
        </w:tblPrEx>
        <w:trPr>
          <w:trHeight w:val="19" w:hRule="atLeast"/>
        </w:trPr>
        <w:tc>
          <w:tcPr>
            <w:tcW w:w="2683" w:type="dxa"/>
            <w:vMerge w:val="restart"/>
            <w:tcBorders>
              <w:left w:val="single" w:color="auto" w:sz="8" w:space="0"/>
              <w:right w:val="single" w:color="auto" w:sz="8" w:space="0"/>
            </w:tcBorders>
            <w:vAlign w:val="center"/>
          </w:tcPr>
          <w:p w14:paraId="1666ED5A">
            <w:pPr>
              <w:tabs>
                <w:tab w:val="clear" w:pos="284"/>
              </w:tabs>
              <w:ind w:left="426"/>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Krvarenje u kritičnom organu</w:t>
            </w:r>
            <w:r>
              <w:rPr>
                <w:rFonts w:ascii="Microsoft Sans Serif" w:hAnsi="Microsoft Sans Serif" w:cs="Microsoft Sans Serif"/>
                <w:sz w:val="20"/>
                <w:szCs w:val="20"/>
              </w:rPr>
              <w:t>*</w:t>
            </w:r>
          </w:p>
        </w:tc>
        <w:tc>
          <w:tcPr>
            <w:tcW w:w="2481" w:type="dxa"/>
            <w:vMerge w:val="restart"/>
            <w:tcBorders>
              <w:right w:val="single" w:color="auto" w:sz="8" w:space="0"/>
            </w:tcBorders>
            <w:vAlign w:val="center"/>
          </w:tcPr>
          <w:p w14:paraId="05AC50D1">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91</w:t>
            </w:r>
          </w:p>
          <w:p w14:paraId="3EA52177">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82)</w:t>
            </w:r>
          </w:p>
        </w:tc>
        <w:tc>
          <w:tcPr>
            <w:tcW w:w="2481" w:type="dxa"/>
            <w:vMerge w:val="restart"/>
            <w:tcBorders>
              <w:right w:val="single" w:color="auto" w:sz="8" w:space="0"/>
            </w:tcBorders>
            <w:vAlign w:val="center"/>
          </w:tcPr>
          <w:p w14:paraId="6001AD44">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133</w:t>
            </w:r>
          </w:p>
          <w:p w14:paraId="3B60FE24">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w:t>
            </w:r>
            <w:r>
              <w:rPr>
                <w:rFonts w:ascii="Microsoft Sans Serif" w:hAnsi="Microsoft Sans Serif" w:cs="Microsoft Sans Serif"/>
                <w:sz w:val="20"/>
                <w:szCs w:val="20"/>
                <w:lang w:val="mk-MK"/>
              </w:rPr>
              <w:t>,</w:t>
            </w:r>
            <w:r>
              <w:rPr>
                <w:rFonts w:ascii="Microsoft Sans Serif" w:hAnsi="Microsoft Sans Serif" w:cs="Microsoft Sans Serif"/>
                <w:sz w:val="20"/>
                <w:szCs w:val="20"/>
              </w:rPr>
              <w:t>18)</w:t>
            </w:r>
          </w:p>
        </w:tc>
        <w:tc>
          <w:tcPr>
            <w:tcW w:w="1816" w:type="dxa"/>
            <w:vMerge w:val="restart"/>
            <w:tcBorders>
              <w:right w:val="single" w:color="auto" w:sz="8" w:space="0"/>
            </w:tcBorders>
            <w:vAlign w:val="center"/>
          </w:tcPr>
          <w:p w14:paraId="13028F43">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69 (0</w:t>
            </w:r>
            <w:r>
              <w:rPr>
                <w:rFonts w:ascii="Microsoft Sans Serif" w:hAnsi="Microsoft Sans Serif" w:cs="Microsoft Sans Serif"/>
                <w:sz w:val="20"/>
                <w:szCs w:val="20"/>
                <w:lang w:val="mk-MK"/>
              </w:rPr>
              <w:t>,</w:t>
            </w:r>
            <w:r>
              <w:rPr>
                <w:rFonts w:ascii="Microsoft Sans Serif" w:hAnsi="Microsoft Sans Serif" w:cs="Microsoft Sans Serif"/>
                <w:sz w:val="20"/>
                <w:szCs w:val="20"/>
              </w:rPr>
              <w:t>53 - 0</w:t>
            </w:r>
            <w:r>
              <w:rPr>
                <w:rFonts w:ascii="Microsoft Sans Serif" w:hAnsi="Microsoft Sans Serif" w:cs="Microsoft Sans Serif"/>
                <w:sz w:val="20"/>
                <w:szCs w:val="20"/>
                <w:lang w:val="mk-MK"/>
              </w:rPr>
              <w:t>,</w:t>
            </w:r>
            <w:r>
              <w:rPr>
                <w:rFonts w:ascii="Microsoft Sans Serif" w:hAnsi="Microsoft Sans Serif" w:cs="Microsoft Sans Serif"/>
                <w:sz w:val="20"/>
                <w:szCs w:val="20"/>
              </w:rPr>
              <w:t>91)</w:t>
            </w:r>
          </w:p>
          <w:p w14:paraId="643EAB32">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007</w:t>
            </w:r>
          </w:p>
        </w:tc>
        <w:tc>
          <w:tcPr>
            <w:tcW w:w="30" w:type="dxa"/>
            <w:vAlign w:val="bottom"/>
          </w:tcPr>
          <w:p w14:paraId="533A7D4C">
            <w:pPr>
              <w:tabs>
                <w:tab w:val="clear" w:pos="284"/>
              </w:tabs>
              <w:rPr>
                <w:rFonts w:ascii="Microsoft Sans Serif" w:hAnsi="Microsoft Sans Serif" w:cs="Microsoft Sans Serif"/>
                <w:sz w:val="20"/>
                <w:szCs w:val="20"/>
              </w:rPr>
            </w:pPr>
          </w:p>
        </w:tc>
      </w:tr>
      <w:tr w14:paraId="0319FD08">
        <w:tblPrEx>
          <w:tblCellMar>
            <w:top w:w="0" w:type="dxa"/>
            <w:left w:w="0" w:type="dxa"/>
            <w:bottom w:w="0" w:type="dxa"/>
            <w:right w:w="0" w:type="dxa"/>
          </w:tblCellMar>
        </w:tblPrEx>
        <w:trPr>
          <w:trHeight w:val="341" w:hRule="atLeast"/>
        </w:trPr>
        <w:tc>
          <w:tcPr>
            <w:tcW w:w="2683" w:type="dxa"/>
            <w:vMerge w:val="continue"/>
            <w:tcBorders>
              <w:left w:val="single" w:color="auto" w:sz="8" w:space="0"/>
              <w:bottom w:val="single" w:color="auto" w:sz="8" w:space="0"/>
              <w:right w:val="single" w:color="auto" w:sz="8" w:space="0"/>
            </w:tcBorders>
            <w:vAlign w:val="center"/>
          </w:tcPr>
          <w:p w14:paraId="56717879">
            <w:pPr>
              <w:tabs>
                <w:tab w:val="clear" w:pos="284"/>
              </w:tabs>
              <w:ind w:left="426"/>
              <w:jc w:val="left"/>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center"/>
          </w:tcPr>
          <w:p w14:paraId="5A27A7A7">
            <w:pPr>
              <w:tabs>
                <w:tab w:val="clear" w:pos="284"/>
              </w:tabs>
              <w:jc w:val="left"/>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center"/>
          </w:tcPr>
          <w:p w14:paraId="3E578883">
            <w:pPr>
              <w:tabs>
                <w:tab w:val="clear" w:pos="284"/>
              </w:tabs>
              <w:jc w:val="left"/>
              <w:rPr>
                <w:rFonts w:ascii="Microsoft Sans Serif" w:hAnsi="Microsoft Sans Serif" w:cs="Microsoft Sans Serif"/>
                <w:sz w:val="20"/>
                <w:szCs w:val="20"/>
              </w:rPr>
            </w:pPr>
          </w:p>
        </w:tc>
        <w:tc>
          <w:tcPr>
            <w:tcW w:w="1816" w:type="dxa"/>
            <w:vMerge w:val="continue"/>
            <w:tcBorders>
              <w:bottom w:val="single" w:color="auto" w:sz="8" w:space="0"/>
              <w:right w:val="single" w:color="auto" w:sz="8" w:space="0"/>
            </w:tcBorders>
            <w:vAlign w:val="center"/>
          </w:tcPr>
          <w:p w14:paraId="3F1CD112">
            <w:pPr>
              <w:tabs>
                <w:tab w:val="clear" w:pos="284"/>
              </w:tabs>
              <w:jc w:val="left"/>
              <w:rPr>
                <w:rFonts w:ascii="Microsoft Sans Serif" w:hAnsi="Microsoft Sans Serif" w:cs="Microsoft Sans Serif"/>
                <w:sz w:val="20"/>
                <w:szCs w:val="20"/>
              </w:rPr>
            </w:pPr>
          </w:p>
        </w:tc>
        <w:tc>
          <w:tcPr>
            <w:tcW w:w="30" w:type="dxa"/>
            <w:vAlign w:val="bottom"/>
          </w:tcPr>
          <w:p w14:paraId="4F8D8451">
            <w:pPr>
              <w:tabs>
                <w:tab w:val="clear" w:pos="284"/>
              </w:tabs>
              <w:rPr>
                <w:rFonts w:ascii="Microsoft Sans Serif" w:hAnsi="Microsoft Sans Serif" w:cs="Microsoft Sans Serif"/>
                <w:sz w:val="20"/>
                <w:szCs w:val="20"/>
              </w:rPr>
            </w:pPr>
          </w:p>
        </w:tc>
      </w:tr>
      <w:tr w14:paraId="25A458F0">
        <w:tblPrEx>
          <w:tblCellMar>
            <w:top w:w="0" w:type="dxa"/>
            <w:left w:w="0" w:type="dxa"/>
            <w:bottom w:w="0" w:type="dxa"/>
            <w:right w:w="0" w:type="dxa"/>
          </w:tblCellMar>
        </w:tblPrEx>
        <w:trPr>
          <w:trHeight w:val="19" w:hRule="atLeast"/>
        </w:trPr>
        <w:tc>
          <w:tcPr>
            <w:tcW w:w="2683" w:type="dxa"/>
            <w:vMerge w:val="restart"/>
            <w:tcBorders>
              <w:left w:val="single" w:color="auto" w:sz="8" w:space="0"/>
              <w:right w:val="single" w:color="auto" w:sz="8" w:space="0"/>
            </w:tcBorders>
            <w:vAlign w:val="center"/>
          </w:tcPr>
          <w:p w14:paraId="170CDB13">
            <w:pPr>
              <w:tabs>
                <w:tab w:val="clear" w:pos="284"/>
              </w:tabs>
              <w:ind w:left="426"/>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Intrakranijalno krvarenje</w:t>
            </w:r>
            <w:r>
              <w:rPr>
                <w:rFonts w:ascii="Microsoft Sans Serif" w:hAnsi="Microsoft Sans Serif" w:cs="Microsoft Sans Serif"/>
                <w:sz w:val="20"/>
                <w:szCs w:val="20"/>
              </w:rPr>
              <w:t>*</w:t>
            </w:r>
          </w:p>
        </w:tc>
        <w:tc>
          <w:tcPr>
            <w:tcW w:w="2481" w:type="dxa"/>
            <w:vMerge w:val="restart"/>
            <w:tcBorders>
              <w:right w:val="single" w:color="auto" w:sz="8" w:space="0"/>
            </w:tcBorders>
            <w:vAlign w:val="center"/>
          </w:tcPr>
          <w:p w14:paraId="633D2019">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55</w:t>
            </w:r>
          </w:p>
          <w:p w14:paraId="3B0558C4">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49)</w:t>
            </w:r>
          </w:p>
        </w:tc>
        <w:tc>
          <w:tcPr>
            <w:tcW w:w="2481" w:type="dxa"/>
            <w:vMerge w:val="restart"/>
            <w:tcBorders>
              <w:right w:val="single" w:color="auto" w:sz="8" w:space="0"/>
            </w:tcBorders>
            <w:vAlign w:val="center"/>
          </w:tcPr>
          <w:p w14:paraId="572B3071">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84</w:t>
            </w:r>
          </w:p>
          <w:p w14:paraId="2EEE45B4">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(0.74)</w:t>
            </w:r>
          </w:p>
        </w:tc>
        <w:tc>
          <w:tcPr>
            <w:tcW w:w="1816" w:type="dxa"/>
            <w:vMerge w:val="restart"/>
            <w:tcBorders>
              <w:right w:val="single" w:color="auto" w:sz="8" w:space="0"/>
            </w:tcBorders>
            <w:vAlign w:val="center"/>
          </w:tcPr>
          <w:p w14:paraId="05F4DE64">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67 (0</w:t>
            </w:r>
            <w:r>
              <w:rPr>
                <w:rFonts w:ascii="Microsoft Sans Serif" w:hAnsi="Microsoft Sans Serif" w:cs="Microsoft Sans Serif"/>
                <w:sz w:val="20"/>
                <w:szCs w:val="20"/>
                <w:lang w:val="mk-MK"/>
              </w:rPr>
              <w:t>,</w:t>
            </w:r>
            <w:r>
              <w:rPr>
                <w:rFonts w:ascii="Microsoft Sans Serif" w:hAnsi="Microsoft Sans Serif" w:cs="Microsoft Sans Serif"/>
                <w:sz w:val="20"/>
                <w:szCs w:val="20"/>
              </w:rPr>
              <w:t>47 - 0</w:t>
            </w:r>
            <w:r>
              <w:rPr>
                <w:rFonts w:ascii="Microsoft Sans Serif" w:hAnsi="Microsoft Sans Serif" w:cs="Microsoft Sans Serif"/>
                <w:sz w:val="20"/>
                <w:szCs w:val="20"/>
                <w:lang w:val="mk-MK"/>
              </w:rPr>
              <w:t>,</w:t>
            </w:r>
            <w:r>
              <w:rPr>
                <w:rFonts w:ascii="Microsoft Sans Serif" w:hAnsi="Microsoft Sans Serif" w:cs="Microsoft Sans Serif"/>
                <w:sz w:val="20"/>
                <w:szCs w:val="20"/>
              </w:rPr>
              <w:t>93)</w:t>
            </w:r>
          </w:p>
          <w:p w14:paraId="1E044732">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019</w:t>
            </w:r>
          </w:p>
        </w:tc>
        <w:tc>
          <w:tcPr>
            <w:tcW w:w="30" w:type="dxa"/>
            <w:vAlign w:val="bottom"/>
          </w:tcPr>
          <w:p w14:paraId="252C0ABA">
            <w:pPr>
              <w:tabs>
                <w:tab w:val="clear" w:pos="284"/>
              </w:tabs>
              <w:rPr>
                <w:rFonts w:ascii="Microsoft Sans Serif" w:hAnsi="Microsoft Sans Serif" w:cs="Microsoft Sans Serif"/>
                <w:sz w:val="20"/>
                <w:szCs w:val="20"/>
              </w:rPr>
            </w:pPr>
          </w:p>
        </w:tc>
      </w:tr>
      <w:tr w14:paraId="2F058067">
        <w:tblPrEx>
          <w:tblCellMar>
            <w:top w:w="0" w:type="dxa"/>
            <w:left w:w="0" w:type="dxa"/>
            <w:bottom w:w="0" w:type="dxa"/>
            <w:right w:w="0" w:type="dxa"/>
          </w:tblCellMar>
        </w:tblPrEx>
        <w:trPr>
          <w:trHeight w:val="19" w:hRule="atLeast"/>
        </w:trPr>
        <w:tc>
          <w:tcPr>
            <w:tcW w:w="2683" w:type="dxa"/>
            <w:vMerge w:val="continue"/>
            <w:tcBorders>
              <w:left w:val="single" w:color="auto" w:sz="8" w:space="0"/>
              <w:bottom w:val="single" w:color="auto" w:sz="8" w:space="0"/>
              <w:right w:val="single" w:color="auto" w:sz="8" w:space="0"/>
            </w:tcBorders>
            <w:vAlign w:val="center"/>
          </w:tcPr>
          <w:p w14:paraId="2CF4C116">
            <w:pPr>
              <w:tabs>
                <w:tab w:val="clear" w:pos="284"/>
              </w:tabs>
              <w:ind w:left="426"/>
              <w:jc w:val="left"/>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center"/>
          </w:tcPr>
          <w:p w14:paraId="44A030EC">
            <w:pPr>
              <w:tabs>
                <w:tab w:val="clear" w:pos="284"/>
              </w:tabs>
              <w:jc w:val="left"/>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center"/>
          </w:tcPr>
          <w:p w14:paraId="5081B5F5">
            <w:pPr>
              <w:tabs>
                <w:tab w:val="clear" w:pos="284"/>
              </w:tabs>
              <w:jc w:val="left"/>
              <w:rPr>
                <w:rFonts w:ascii="Microsoft Sans Serif" w:hAnsi="Microsoft Sans Serif" w:cs="Microsoft Sans Serif"/>
                <w:sz w:val="20"/>
                <w:szCs w:val="20"/>
              </w:rPr>
            </w:pPr>
          </w:p>
        </w:tc>
        <w:tc>
          <w:tcPr>
            <w:tcW w:w="1816" w:type="dxa"/>
            <w:vMerge w:val="continue"/>
            <w:tcBorders>
              <w:bottom w:val="single" w:color="auto" w:sz="8" w:space="0"/>
              <w:right w:val="single" w:color="auto" w:sz="8" w:space="0"/>
            </w:tcBorders>
            <w:vAlign w:val="center"/>
          </w:tcPr>
          <w:p w14:paraId="1B2E6B3F">
            <w:pPr>
              <w:tabs>
                <w:tab w:val="clear" w:pos="284"/>
              </w:tabs>
              <w:jc w:val="left"/>
              <w:rPr>
                <w:rFonts w:ascii="Microsoft Sans Serif" w:hAnsi="Microsoft Sans Serif" w:cs="Microsoft Sans Serif"/>
                <w:sz w:val="20"/>
                <w:szCs w:val="20"/>
              </w:rPr>
            </w:pPr>
          </w:p>
        </w:tc>
        <w:tc>
          <w:tcPr>
            <w:tcW w:w="30" w:type="dxa"/>
            <w:vAlign w:val="bottom"/>
          </w:tcPr>
          <w:p w14:paraId="5ED5114C">
            <w:pPr>
              <w:tabs>
                <w:tab w:val="clear" w:pos="284"/>
              </w:tabs>
              <w:rPr>
                <w:rFonts w:ascii="Microsoft Sans Serif" w:hAnsi="Microsoft Sans Serif" w:cs="Microsoft Sans Serif"/>
                <w:sz w:val="20"/>
                <w:szCs w:val="20"/>
              </w:rPr>
            </w:pPr>
          </w:p>
        </w:tc>
      </w:tr>
      <w:tr w14:paraId="4FBA50A7">
        <w:tblPrEx>
          <w:tblCellMar>
            <w:top w:w="0" w:type="dxa"/>
            <w:left w:w="0" w:type="dxa"/>
            <w:bottom w:w="0" w:type="dxa"/>
            <w:right w:w="0" w:type="dxa"/>
          </w:tblCellMar>
        </w:tblPrEx>
        <w:trPr>
          <w:trHeight w:val="19" w:hRule="atLeast"/>
        </w:trPr>
        <w:tc>
          <w:tcPr>
            <w:tcW w:w="2683" w:type="dxa"/>
            <w:vMerge w:val="restart"/>
            <w:tcBorders>
              <w:left w:val="single" w:color="auto" w:sz="8" w:space="0"/>
              <w:right w:val="single" w:color="auto" w:sz="8" w:space="0"/>
            </w:tcBorders>
            <w:vAlign w:val="center"/>
          </w:tcPr>
          <w:p w14:paraId="011BC990">
            <w:pPr>
              <w:tabs>
                <w:tab w:val="clear" w:pos="284"/>
              </w:tabs>
              <w:ind w:left="426"/>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Smanjenje koncentracije hemoglobina</w:t>
            </w:r>
            <w:r>
              <w:rPr>
                <w:rFonts w:ascii="Microsoft Sans Serif" w:hAnsi="Microsoft Sans Serif" w:cs="Microsoft Sans Serif"/>
                <w:sz w:val="20"/>
                <w:szCs w:val="20"/>
              </w:rPr>
              <w:t>*</w:t>
            </w:r>
          </w:p>
        </w:tc>
        <w:tc>
          <w:tcPr>
            <w:tcW w:w="2481" w:type="dxa"/>
            <w:vMerge w:val="restart"/>
            <w:tcBorders>
              <w:right w:val="single" w:color="auto" w:sz="8" w:space="0"/>
            </w:tcBorders>
            <w:vAlign w:val="center"/>
          </w:tcPr>
          <w:p w14:paraId="22103A22">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305</w:t>
            </w:r>
          </w:p>
          <w:p w14:paraId="6392F342">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w:t>
            </w:r>
            <w:r>
              <w:rPr>
                <w:rFonts w:ascii="Microsoft Sans Serif" w:hAnsi="Microsoft Sans Serif" w:cs="Microsoft Sans Serif"/>
                <w:sz w:val="20"/>
                <w:szCs w:val="20"/>
                <w:lang w:val="mk-MK"/>
              </w:rPr>
              <w:t>,</w:t>
            </w:r>
            <w:r>
              <w:rPr>
                <w:rFonts w:ascii="Microsoft Sans Serif" w:hAnsi="Microsoft Sans Serif" w:cs="Microsoft Sans Serif"/>
                <w:sz w:val="20"/>
                <w:szCs w:val="20"/>
              </w:rPr>
              <w:t>77)</w:t>
            </w:r>
          </w:p>
        </w:tc>
        <w:tc>
          <w:tcPr>
            <w:tcW w:w="2481" w:type="dxa"/>
            <w:vMerge w:val="restart"/>
            <w:tcBorders>
              <w:right w:val="single" w:color="auto" w:sz="8" w:space="0"/>
            </w:tcBorders>
            <w:vAlign w:val="center"/>
          </w:tcPr>
          <w:p w14:paraId="178B0634">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254</w:t>
            </w:r>
          </w:p>
          <w:p w14:paraId="4B79C52B">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w:t>
            </w:r>
            <w:r>
              <w:rPr>
                <w:rFonts w:ascii="Microsoft Sans Serif" w:hAnsi="Microsoft Sans Serif" w:cs="Microsoft Sans Serif"/>
                <w:sz w:val="20"/>
                <w:szCs w:val="20"/>
                <w:lang w:val="mk-MK"/>
              </w:rPr>
              <w:t>,</w:t>
            </w:r>
            <w:r>
              <w:rPr>
                <w:rFonts w:ascii="Microsoft Sans Serif" w:hAnsi="Microsoft Sans Serif" w:cs="Microsoft Sans Serif"/>
                <w:sz w:val="20"/>
                <w:szCs w:val="20"/>
              </w:rPr>
              <w:t>26)</w:t>
            </w:r>
          </w:p>
        </w:tc>
        <w:tc>
          <w:tcPr>
            <w:tcW w:w="1816" w:type="dxa"/>
            <w:vMerge w:val="restart"/>
            <w:tcBorders>
              <w:right w:val="single" w:color="auto" w:sz="8" w:space="0"/>
            </w:tcBorders>
            <w:vAlign w:val="center"/>
          </w:tcPr>
          <w:p w14:paraId="198DD904">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w:t>
            </w:r>
            <w:r>
              <w:rPr>
                <w:rFonts w:ascii="Microsoft Sans Serif" w:hAnsi="Microsoft Sans Serif" w:cs="Microsoft Sans Serif"/>
                <w:sz w:val="20"/>
                <w:szCs w:val="20"/>
                <w:lang w:val="mk-MK"/>
              </w:rPr>
              <w:t>,</w:t>
            </w:r>
            <w:r>
              <w:rPr>
                <w:rFonts w:ascii="Microsoft Sans Serif" w:hAnsi="Microsoft Sans Serif" w:cs="Microsoft Sans Serif"/>
                <w:sz w:val="20"/>
                <w:szCs w:val="20"/>
              </w:rPr>
              <w:t>22 (1</w:t>
            </w:r>
            <w:r>
              <w:rPr>
                <w:rFonts w:ascii="Microsoft Sans Serif" w:hAnsi="Microsoft Sans Serif" w:cs="Microsoft Sans Serif"/>
                <w:sz w:val="20"/>
                <w:szCs w:val="20"/>
                <w:lang w:val="mk-MK"/>
              </w:rPr>
              <w:t>,</w:t>
            </w:r>
            <w:r>
              <w:rPr>
                <w:rFonts w:ascii="Microsoft Sans Serif" w:hAnsi="Microsoft Sans Serif" w:cs="Microsoft Sans Serif"/>
                <w:sz w:val="20"/>
                <w:szCs w:val="20"/>
              </w:rPr>
              <w:t>03 - 1</w:t>
            </w:r>
            <w:r>
              <w:rPr>
                <w:rFonts w:ascii="Microsoft Sans Serif" w:hAnsi="Microsoft Sans Serif" w:cs="Microsoft Sans Serif"/>
                <w:sz w:val="20"/>
                <w:szCs w:val="20"/>
                <w:lang w:val="mk-MK"/>
              </w:rPr>
              <w:t>,</w:t>
            </w:r>
            <w:r>
              <w:rPr>
                <w:rFonts w:ascii="Microsoft Sans Serif" w:hAnsi="Microsoft Sans Serif" w:cs="Microsoft Sans Serif"/>
                <w:sz w:val="20"/>
                <w:szCs w:val="20"/>
              </w:rPr>
              <w:t>44)</w:t>
            </w:r>
          </w:p>
          <w:p w14:paraId="71CB327C">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019</w:t>
            </w:r>
          </w:p>
        </w:tc>
        <w:tc>
          <w:tcPr>
            <w:tcW w:w="30" w:type="dxa"/>
            <w:vAlign w:val="bottom"/>
          </w:tcPr>
          <w:p w14:paraId="1B5CBC8E">
            <w:pPr>
              <w:tabs>
                <w:tab w:val="clear" w:pos="284"/>
              </w:tabs>
              <w:rPr>
                <w:rFonts w:ascii="Microsoft Sans Serif" w:hAnsi="Microsoft Sans Serif" w:cs="Microsoft Sans Serif"/>
                <w:sz w:val="20"/>
                <w:szCs w:val="20"/>
              </w:rPr>
            </w:pPr>
          </w:p>
        </w:tc>
      </w:tr>
      <w:tr w14:paraId="04710C95">
        <w:tblPrEx>
          <w:tblCellMar>
            <w:top w:w="0" w:type="dxa"/>
            <w:left w:w="0" w:type="dxa"/>
            <w:bottom w:w="0" w:type="dxa"/>
            <w:right w:w="0" w:type="dxa"/>
          </w:tblCellMar>
        </w:tblPrEx>
        <w:trPr>
          <w:trHeight w:val="19" w:hRule="atLeast"/>
        </w:trPr>
        <w:tc>
          <w:tcPr>
            <w:tcW w:w="2683" w:type="dxa"/>
            <w:vMerge w:val="continue"/>
            <w:tcBorders>
              <w:left w:val="single" w:color="auto" w:sz="8" w:space="0"/>
              <w:bottom w:val="single" w:color="auto" w:sz="8" w:space="0"/>
              <w:right w:val="single" w:color="auto" w:sz="8" w:space="0"/>
            </w:tcBorders>
            <w:vAlign w:val="center"/>
          </w:tcPr>
          <w:p w14:paraId="39B4F1EE">
            <w:pPr>
              <w:tabs>
                <w:tab w:val="clear" w:pos="284"/>
              </w:tabs>
              <w:ind w:left="426"/>
              <w:jc w:val="left"/>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center"/>
          </w:tcPr>
          <w:p w14:paraId="6DB21A70">
            <w:pPr>
              <w:tabs>
                <w:tab w:val="clear" w:pos="284"/>
              </w:tabs>
              <w:jc w:val="left"/>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center"/>
          </w:tcPr>
          <w:p w14:paraId="64AD38DD">
            <w:pPr>
              <w:tabs>
                <w:tab w:val="clear" w:pos="284"/>
              </w:tabs>
              <w:jc w:val="left"/>
              <w:rPr>
                <w:rFonts w:ascii="Microsoft Sans Serif" w:hAnsi="Microsoft Sans Serif" w:cs="Microsoft Sans Serif"/>
                <w:sz w:val="20"/>
                <w:szCs w:val="20"/>
              </w:rPr>
            </w:pPr>
          </w:p>
        </w:tc>
        <w:tc>
          <w:tcPr>
            <w:tcW w:w="1816" w:type="dxa"/>
            <w:vMerge w:val="continue"/>
            <w:tcBorders>
              <w:bottom w:val="single" w:color="auto" w:sz="8" w:space="0"/>
              <w:right w:val="single" w:color="auto" w:sz="8" w:space="0"/>
            </w:tcBorders>
            <w:vAlign w:val="center"/>
          </w:tcPr>
          <w:p w14:paraId="646B71FD">
            <w:pPr>
              <w:tabs>
                <w:tab w:val="clear" w:pos="284"/>
              </w:tabs>
              <w:jc w:val="left"/>
              <w:rPr>
                <w:rFonts w:ascii="Microsoft Sans Serif" w:hAnsi="Microsoft Sans Serif" w:cs="Microsoft Sans Serif"/>
                <w:sz w:val="20"/>
                <w:szCs w:val="20"/>
              </w:rPr>
            </w:pPr>
          </w:p>
        </w:tc>
        <w:tc>
          <w:tcPr>
            <w:tcW w:w="30" w:type="dxa"/>
            <w:vAlign w:val="bottom"/>
          </w:tcPr>
          <w:p w14:paraId="0900F2D8">
            <w:pPr>
              <w:tabs>
                <w:tab w:val="clear" w:pos="284"/>
              </w:tabs>
              <w:rPr>
                <w:rFonts w:ascii="Microsoft Sans Serif" w:hAnsi="Microsoft Sans Serif" w:cs="Microsoft Sans Serif"/>
                <w:sz w:val="20"/>
                <w:szCs w:val="20"/>
              </w:rPr>
            </w:pPr>
          </w:p>
        </w:tc>
      </w:tr>
      <w:tr w14:paraId="2D771BB0">
        <w:tblPrEx>
          <w:tblCellMar>
            <w:top w:w="0" w:type="dxa"/>
            <w:left w:w="0" w:type="dxa"/>
            <w:bottom w:w="0" w:type="dxa"/>
            <w:right w:w="0" w:type="dxa"/>
          </w:tblCellMar>
        </w:tblPrEx>
        <w:trPr>
          <w:trHeight w:val="19" w:hRule="atLeast"/>
        </w:trPr>
        <w:tc>
          <w:tcPr>
            <w:tcW w:w="2683" w:type="dxa"/>
            <w:vMerge w:val="restart"/>
            <w:tcBorders>
              <w:left w:val="single" w:color="auto" w:sz="8" w:space="0"/>
              <w:right w:val="single" w:color="auto" w:sz="8" w:space="0"/>
            </w:tcBorders>
            <w:vAlign w:val="center"/>
          </w:tcPr>
          <w:p w14:paraId="7FFC67DF">
            <w:pPr>
              <w:tabs>
                <w:tab w:val="clear" w:pos="284"/>
              </w:tabs>
              <w:ind w:left="426"/>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Transfuzija 2 ili više jedinica pakovanih eritrocita ili pune krvi</w:t>
            </w:r>
            <w:r>
              <w:rPr>
                <w:rFonts w:ascii="Microsoft Sans Serif" w:hAnsi="Microsoft Sans Serif" w:cs="Microsoft Sans Serif"/>
                <w:sz w:val="20"/>
                <w:szCs w:val="20"/>
              </w:rPr>
              <w:t>*</w:t>
            </w:r>
          </w:p>
        </w:tc>
        <w:tc>
          <w:tcPr>
            <w:tcW w:w="2481" w:type="dxa"/>
            <w:vMerge w:val="restart"/>
            <w:tcBorders>
              <w:right w:val="single" w:color="auto" w:sz="8" w:space="0"/>
            </w:tcBorders>
            <w:vAlign w:val="center"/>
          </w:tcPr>
          <w:p w14:paraId="1129DB9D">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183</w:t>
            </w:r>
          </w:p>
          <w:p w14:paraId="0DDAC46B">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(1.65)</w:t>
            </w:r>
          </w:p>
        </w:tc>
        <w:tc>
          <w:tcPr>
            <w:tcW w:w="2481" w:type="dxa"/>
            <w:vMerge w:val="restart"/>
            <w:tcBorders>
              <w:right w:val="single" w:color="auto" w:sz="8" w:space="0"/>
            </w:tcBorders>
            <w:vAlign w:val="center"/>
          </w:tcPr>
          <w:p w14:paraId="1CAE010F">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149</w:t>
            </w:r>
          </w:p>
          <w:p w14:paraId="5A6B5B2A">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w:t>
            </w:r>
            <w:r>
              <w:rPr>
                <w:rFonts w:ascii="Microsoft Sans Serif" w:hAnsi="Microsoft Sans Serif" w:cs="Microsoft Sans Serif"/>
                <w:sz w:val="20"/>
                <w:szCs w:val="20"/>
                <w:lang w:val="mk-MK"/>
              </w:rPr>
              <w:t>,</w:t>
            </w:r>
            <w:r>
              <w:rPr>
                <w:rFonts w:ascii="Microsoft Sans Serif" w:hAnsi="Microsoft Sans Serif" w:cs="Microsoft Sans Serif"/>
                <w:sz w:val="20"/>
                <w:szCs w:val="20"/>
              </w:rPr>
              <w:t>32)</w:t>
            </w:r>
          </w:p>
        </w:tc>
        <w:tc>
          <w:tcPr>
            <w:tcW w:w="1816" w:type="dxa"/>
            <w:vMerge w:val="restart"/>
            <w:tcBorders>
              <w:right w:val="single" w:color="auto" w:sz="8" w:space="0"/>
            </w:tcBorders>
            <w:vAlign w:val="center"/>
          </w:tcPr>
          <w:p w14:paraId="6395355E">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w:t>
            </w:r>
            <w:r>
              <w:rPr>
                <w:rFonts w:ascii="Microsoft Sans Serif" w:hAnsi="Microsoft Sans Serif" w:cs="Microsoft Sans Serif"/>
                <w:sz w:val="20"/>
                <w:szCs w:val="20"/>
                <w:lang w:val="mk-MK"/>
              </w:rPr>
              <w:t>,</w:t>
            </w:r>
            <w:r>
              <w:rPr>
                <w:rFonts w:ascii="Microsoft Sans Serif" w:hAnsi="Microsoft Sans Serif" w:cs="Microsoft Sans Serif"/>
                <w:sz w:val="20"/>
                <w:szCs w:val="20"/>
              </w:rPr>
              <w:t>25 (1</w:t>
            </w:r>
            <w:r>
              <w:rPr>
                <w:rFonts w:ascii="Microsoft Sans Serif" w:hAnsi="Microsoft Sans Serif" w:cs="Microsoft Sans Serif"/>
                <w:sz w:val="20"/>
                <w:szCs w:val="20"/>
                <w:lang w:val="mk-MK"/>
              </w:rPr>
              <w:t>,</w:t>
            </w:r>
            <w:r>
              <w:rPr>
                <w:rFonts w:ascii="Microsoft Sans Serif" w:hAnsi="Microsoft Sans Serif" w:cs="Microsoft Sans Serif"/>
                <w:sz w:val="20"/>
                <w:szCs w:val="20"/>
              </w:rPr>
              <w:t>01 - 1</w:t>
            </w:r>
            <w:r>
              <w:rPr>
                <w:rFonts w:ascii="Microsoft Sans Serif" w:hAnsi="Microsoft Sans Serif" w:cs="Microsoft Sans Serif"/>
                <w:sz w:val="20"/>
                <w:szCs w:val="20"/>
                <w:lang w:val="mk-MK"/>
              </w:rPr>
              <w:t>,</w:t>
            </w:r>
            <w:r>
              <w:rPr>
                <w:rFonts w:ascii="Microsoft Sans Serif" w:hAnsi="Microsoft Sans Serif" w:cs="Microsoft Sans Serif"/>
                <w:sz w:val="20"/>
                <w:szCs w:val="20"/>
              </w:rPr>
              <w:t>55)</w:t>
            </w:r>
          </w:p>
          <w:p w14:paraId="6E2D528E">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044</w:t>
            </w:r>
          </w:p>
        </w:tc>
        <w:tc>
          <w:tcPr>
            <w:tcW w:w="30" w:type="dxa"/>
            <w:vAlign w:val="bottom"/>
          </w:tcPr>
          <w:p w14:paraId="5BC4F1A5">
            <w:pPr>
              <w:tabs>
                <w:tab w:val="clear" w:pos="284"/>
              </w:tabs>
              <w:rPr>
                <w:rFonts w:ascii="Microsoft Sans Serif" w:hAnsi="Microsoft Sans Serif" w:cs="Microsoft Sans Serif"/>
                <w:sz w:val="20"/>
                <w:szCs w:val="20"/>
              </w:rPr>
            </w:pPr>
          </w:p>
        </w:tc>
      </w:tr>
      <w:tr w14:paraId="1D7CB147">
        <w:tblPrEx>
          <w:tblCellMar>
            <w:top w:w="0" w:type="dxa"/>
            <w:left w:w="0" w:type="dxa"/>
            <w:bottom w:w="0" w:type="dxa"/>
            <w:right w:w="0" w:type="dxa"/>
          </w:tblCellMar>
        </w:tblPrEx>
        <w:trPr>
          <w:trHeight w:val="19" w:hRule="atLeast"/>
        </w:trPr>
        <w:tc>
          <w:tcPr>
            <w:tcW w:w="2683" w:type="dxa"/>
            <w:vMerge w:val="continue"/>
            <w:tcBorders>
              <w:left w:val="single" w:color="auto" w:sz="8" w:space="0"/>
              <w:right w:val="single" w:color="auto" w:sz="8" w:space="0"/>
            </w:tcBorders>
            <w:vAlign w:val="center"/>
          </w:tcPr>
          <w:p w14:paraId="4D6DF31F">
            <w:pPr>
              <w:tabs>
                <w:tab w:val="clear" w:pos="284"/>
              </w:tabs>
              <w:rPr>
                <w:rFonts w:ascii="Microsoft Sans Serif" w:hAnsi="Microsoft Sans Serif" w:cs="Microsoft Sans Serif"/>
                <w:sz w:val="20"/>
                <w:szCs w:val="20"/>
              </w:rPr>
            </w:pPr>
          </w:p>
        </w:tc>
        <w:tc>
          <w:tcPr>
            <w:tcW w:w="2481" w:type="dxa"/>
            <w:vMerge w:val="continue"/>
            <w:tcBorders>
              <w:right w:val="single" w:color="auto" w:sz="8" w:space="0"/>
            </w:tcBorders>
            <w:vAlign w:val="center"/>
          </w:tcPr>
          <w:p w14:paraId="0E14D158">
            <w:pPr>
              <w:tabs>
                <w:tab w:val="clear" w:pos="284"/>
              </w:tabs>
              <w:rPr>
                <w:rFonts w:ascii="Microsoft Sans Serif" w:hAnsi="Microsoft Sans Serif" w:cs="Microsoft Sans Serif"/>
                <w:sz w:val="20"/>
                <w:szCs w:val="20"/>
              </w:rPr>
            </w:pPr>
          </w:p>
        </w:tc>
        <w:tc>
          <w:tcPr>
            <w:tcW w:w="2481" w:type="dxa"/>
            <w:vMerge w:val="continue"/>
            <w:tcBorders>
              <w:right w:val="single" w:color="auto" w:sz="8" w:space="0"/>
            </w:tcBorders>
            <w:vAlign w:val="center"/>
          </w:tcPr>
          <w:p w14:paraId="4FAFD1B8">
            <w:pPr>
              <w:tabs>
                <w:tab w:val="clear" w:pos="284"/>
              </w:tabs>
              <w:rPr>
                <w:rFonts w:ascii="Microsoft Sans Serif" w:hAnsi="Microsoft Sans Serif" w:cs="Microsoft Sans Serif"/>
                <w:sz w:val="20"/>
                <w:szCs w:val="20"/>
              </w:rPr>
            </w:pPr>
          </w:p>
        </w:tc>
        <w:tc>
          <w:tcPr>
            <w:tcW w:w="1816" w:type="dxa"/>
            <w:vMerge w:val="continue"/>
            <w:tcBorders>
              <w:right w:val="single" w:color="auto" w:sz="8" w:space="0"/>
            </w:tcBorders>
            <w:vAlign w:val="center"/>
          </w:tcPr>
          <w:p w14:paraId="270D54E4">
            <w:pPr>
              <w:tabs>
                <w:tab w:val="clear" w:pos="284"/>
              </w:tabs>
              <w:rPr>
                <w:rFonts w:ascii="Microsoft Sans Serif" w:hAnsi="Microsoft Sans Serif" w:cs="Microsoft Sans Serif"/>
                <w:sz w:val="20"/>
                <w:szCs w:val="20"/>
              </w:rPr>
            </w:pPr>
          </w:p>
        </w:tc>
        <w:tc>
          <w:tcPr>
            <w:tcW w:w="30" w:type="dxa"/>
            <w:vAlign w:val="bottom"/>
          </w:tcPr>
          <w:p w14:paraId="457E6886">
            <w:pPr>
              <w:tabs>
                <w:tab w:val="clear" w:pos="284"/>
              </w:tabs>
              <w:rPr>
                <w:rFonts w:ascii="Microsoft Sans Serif" w:hAnsi="Microsoft Sans Serif" w:cs="Microsoft Sans Serif"/>
                <w:sz w:val="20"/>
                <w:szCs w:val="20"/>
              </w:rPr>
            </w:pPr>
          </w:p>
        </w:tc>
      </w:tr>
      <w:tr w14:paraId="08B9606D">
        <w:tblPrEx>
          <w:tblCellMar>
            <w:top w:w="0" w:type="dxa"/>
            <w:left w:w="0" w:type="dxa"/>
            <w:bottom w:w="0" w:type="dxa"/>
            <w:right w:w="0" w:type="dxa"/>
          </w:tblCellMar>
        </w:tblPrEx>
        <w:trPr>
          <w:trHeight w:val="19" w:hRule="atLeast"/>
        </w:trPr>
        <w:tc>
          <w:tcPr>
            <w:tcW w:w="2683" w:type="dxa"/>
            <w:vMerge w:val="continue"/>
            <w:tcBorders>
              <w:left w:val="single" w:color="auto" w:sz="8" w:space="0"/>
              <w:right w:val="single" w:color="auto" w:sz="8" w:space="0"/>
            </w:tcBorders>
            <w:vAlign w:val="center"/>
          </w:tcPr>
          <w:p w14:paraId="53A9A70A">
            <w:pPr>
              <w:tabs>
                <w:tab w:val="clear" w:pos="284"/>
              </w:tabs>
              <w:rPr>
                <w:rFonts w:ascii="Microsoft Sans Serif" w:hAnsi="Microsoft Sans Serif" w:cs="Microsoft Sans Serif"/>
                <w:sz w:val="20"/>
                <w:szCs w:val="20"/>
              </w:rPr>
            </w:pPr>
          </w:p>
        </w:tc>
        <w:tc>
          <w:tcPr>
            <w:tcW w:w="2481" w:type="dxa"/>
            <w:vMerge w:val="continue"/>
            <w:tcBorders>
              <w:right w:val="single" w:color="auto" w:sz="8" w:space="0"/>
            </w:tcBorders>
            <w:vAlign w:val="center"/>
          </w:tcPr>
          <w:p w14:paraId="2E7A17F4">
            <w:pPr>
              <w:tabs>
                <w:tab w:val="clear" w:pos="284"/>
              </w:tabs>
              <w:rPr>
                <w:rFonts w:ascii="Microsoft Sans Serif" w:hAnsi="Microsoft Sans Serif" w:cs="Microsoft Sans Serif"/>
                <w:sz w:val="20"/>
                <w:szCs w:val="20"/>
              </w:rPr>
            </w:pPr>
          </w:p>
        </w:tc>
        <w:tc>
          <w:tcPr>
            <w:tcW w:w="2481" w:type="dxa"/>
            <w:vMerge w:val="continue"/>
            <w:tcBorders>
              <w:right w:val="single" w:color="auto" w:sz="8" w:space="0"/>
            </w:tcBorders>
            <w:vAlign w:val="center"/>
          </w:tcPr>
          <w:p w14:paraId="1CF5C602">
            <w:pPr>
              <w:tabs>
                <w:tab w:val="clear" w:pos="284"/>
              </w:tabs>
              <w:rPr>
                <w:rFonts w:ascii="Microsoft Sans Serif" w:hAnsi="Microsoft Sans Serif" w:cs="Microsoft Sans Serif"/>
                <w:sz w:val="20"/>
                <w:szCs w:val="20"/>
              </w:rPr>
            </w:pPr>
          </w:p>
        </w:tc>
        <w:tc>
          <w:tcPr>
            <w:tcW w:w="1816" w:type="dxa"/>
            <w:vMerge w:val="continue"/>
            <w:tcBorders>
              <w:right w:val="single" w:color="auto" w:sz="8" w:space="0"/>
            </w:tcBorders>
            <w:vAlign w:val="center"/>
          </w:tcPr>
          <w:p w14:paraId="1BB9F074">
            <w:pPr>
              <w:tabs>
                <w:tab w:val="clear" w:pos="284"/>
              </w:tabs>
              <w:rPr>
                <w:rFonts w:ascii="Microsoft Sans Serif" w:hAnsi="Microsoft Sans Serif" w:cs="Microsoft Sans Serif"/>
                <w:sz w:val="20"/>
                <w:szCs w:val="20"/>
              </w:rPr>
            </w:pPr>
          </w:p>
        </w:tc>
        <w:tc>
          <w:tcPr>
            <w:tcW w:w="30" w:type="dxa"/>
            <w:vAlign w:val="bottom"/>
          </w:tcPr>
          <w:p w14:paraId="474A4EAF">
            <w:pPr>
              <w:tabs>
                <w:tab w:val="clear" w:pos="284"/>
              </w:tabs>
              <w:rPr>
                <w:rFonts w:ascii="Microsoft Sans Serif" w:hAnsi="Microsoft Sans Serif" w:cs="Microsoft Sans Serif"/>
                <w:sz w:val="20"/>
                <w:szCs w:val="20"/>
              </w:rPr>
            </w:pPr>
          </w:p>
        </w:tc>
      </w:tr>
      <w:tr w14:paraId="35EC6110">
        <w:tblPrEx>
          <w:tblCellMar>
            <w:top w:w="0" w:type="dxa"/>
            <w:left w:w="0" w:type="dxa"/>
            <w:bottom w:w="0" w:type="dxa"/>
            <w:right w:w="0" w:type="dxa"/>
          </w:tblCellMar>
        </w:tblPrEx>
        <w:trPr>
          <w:trHeight w:val="19" w:hRule="atLeast"/>
        </w:trPr>
        <w:tc>
          <w:tcPr>
            <w:tcW w:w="2683" w:type="dxa"/>
            <w:vMerge w:val="continue"/>
            <w:tcBorders>
              <w:left w:val="single" w:color="auto" w:sz="8" w:space="0"/>
              <w:right w:val="single" w:color="auto" w:sz="8" w:space="0"/>
            </w:tcBorders>
            <w:vAlign w:val="center"/>
          </w:tcPr>
          <w:p w14:paraId="4AB4E8B3">
            <w:pPr>
              <w:tabs>
                <w:tab w:val="clear" w:pos="284"/>
              </w:tabs>
              <w:rPr>
                <w:rFonts w:ascii="Microsoft Sans Serif" w:hAnsi="Microsoft Sans Serif" w:cs="Microsoft Sans Serif"/>
                <w:sz w:val="20"/>
                <w:szCs w:val="20"/>
              </w:rPr>
            </w:pPr>
          </w:p>
        </w:tc>
        <w:tc>
          <w:tcPr>
            <w:tcW w:w="2481" w:type="dxa"/>
            <w:vMerge w:val="continue"/>
            <w:tcBorders>
              <w:right w:val="single" w:color="auto" w:sz="8" w:space="0"/>
            </w:tcBorders>
            <w:vAlign w:val="center"/>
          </w:tcPr>
          <w:p w14:paraId="194FF039">
            <w:pPr>
              <w:tabs>
                <w:tab w:val="clear" w:pos="284"/>
              </w:tabs>
              <w:rPr>
                <w:rFonts w:ascii="Microsoft Sans Serif" w:hAnsi="Microsoft Sans Serif" w:cs="Microsoft Sans Serif"/>
                <w:sz w:val="20"/>
                <w:szCs w:val="20"/>
              </w:rPr>
            </w:pPr>
          </w:p>
        </w:tc>
        <w:tc>
          <w:tcPr>
            <w:tcW w:w="2481" w:type="dxa"/>
            <w:vMerge w:val="continue"/>
            <w:tcBorders>
              <w:right w:val="single" w:color="auto" w:sz="8" w:space="0"/>
            </w:tcBorders>
            <w:vAlign w:val="center"/>
          </w:tcPr>
          <w:p w14:paraId="2ABF8257">
            <w:pPr>
              <w:tabs>
                <w:tab w:val="clear" w:pos="284"/>
              </w:tabs>
              <w:rPr>
                <w:rFonts w:ascii="Microsoft Sans Serif" w:hAnsi="Microsoft Sans Serif" w:cs="Microsoft Sans Serif"/>
                <w:sz w:val="20"/>
                <w:szCs w:val="20"/>
              </w:rPr>
            </w:pPr>
          </w:p>
        </w:tc>
        <w:tc>
          <w:tcPr>
            <w:tcW w:w="1816" w:type="dxa"/>
            <w:vMerge w:val="continue"/>
            <w:tcBorders>
              <w:right w:val="single" w:color="auto" w:sz="8" w:space="0"/>
            </w:tcBorders>
            <w:vAlign w:val="center"/>
          </w:tcPr>
          <w:p w14:paraId="0FF80FF6">
            <w:pPr>
              <w:tabs>
                <w:tab w:val="clear" w:pos="284"/>
              </w:tabs>
              <w:rPr>
                <w:rFonts w:ascii="Microsoft Sans Serif" w:hAnsi="Microsoft Sans Serif" w:cs="Microsoft Sans Serif"/>
                <w:sz w:val="20"/>
                <w:szCs w:val="20"/>
              </w:rPr>
            </w:pPr>
          </w:p>
        </w:tc>
        <w:tc>
          <w:tcPr>
            <w:tcW w:w="30" w:type="dxa"/>
            <w:vAlign w:val="bottom"/>
          </w:tcPr>
          <w:p w14:paraId="3A89075D">
            <w:pPr>
              <w:tabs>
                <w:tab w:val="clear" w:pos="284"/>
              </w:tabs>
              <w:rPr>
                <w:rFonts w:ascii="Microsoft Sans Serif" w:hAnsi="Microsoft Sans Serif" w:cs="Microsoft Sans Serif"/>
                <w:sz w:val="20"/>
                <w:szCs w:val="20"/>
              </w:rPr>
            </w:pPr>
          </w:p>
        </w:tc>
      </w:tr>
      <w:tr w14:paraId="17CAB972">
        <w:tblPrEx>
          <w:tblCellMar>
            <w:top w:w="0" w:type="dxa"/>
            <w:left w:w="0" w:type="dxa"/>
            <w:bottom w:w="0" w:type="dxa"/>
            <w:right w:w="0" w:type="dxa"/>
          </w:tblCellMar>
        </w:tblPrEx>
        <w:trPr>
          <w:trHeight w:val="66" w:hRule="atLeast"/>
        </w:trPr>
        <w:tc>
          <w:tcPr>
            <w:tcW w:w="2683" w:type="dxa"/>
            <w:vMerge w:val="continue"/>
            <w:tcBorders>
              <w:left w:val="single" w:color="auto" w:sz="8" w:space="0"/>
              <w:bottom w:val="single" w:color="auto" w:sz="8" w:space="0"/>
              <w:right w:val="single" w:color="auto" w:sz="8" w:space="0"/>
            </w:tcBorders>
            <w:vAlign w:val="center"/>
          </w:tcPr>
          <w:p w14:paraId="48547A54">
            <w:pPr>
              <w:tabs>
                <w:tab w:val="clear" w:pos="284"/>
              </w:tabs>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center"/>
          </w:tcPr>
          <w:p w14:paraId="6BE5C859">
            <w:pPr>
              <w:tabs>
                <w:tab w:val="clear" w:pos="284"/>
              </w:tabs>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center"/>
          </w:tcPr>
          <w:p w14:paraId="6943E462">
            <w:pPr>
              <w:tabs>
                <w:tab w:val="clear" w:pos="284"/>
              </w:tabs>
              <w:rPr>
                <w:rFonts w:ascii="Microsoft Sans Serif" w:hAnsi="Microsoft Sans Serif" w:cs="Microsoft Sans Serif"/>
                <w:sz w:val="20"/>
                <w:szCs w:val="20"/>
              </w:rPr>
            </w:pPr>
          </w:p>
        </w:tc>
        <w:tc>
          <w:tcPr>
            <w:tcW w:w="1816" w:type="dxa"/>
            <w:vMerge w:val="continue"/>
            <w:tcBorders>
              <w:bottom w:val="single" w:color="auto" w:sz="8" w:space="0"/>
              <w:right w:val="single" w:color="auto" w:sz="8" w:space="0"/>
            </w:tcBorders>
            <w:vAlign w:val="center"/>
          </w:tcPr>
          <w:p w14:paraId="6C9D6CB9">
            <w:pPr>
              <w:tabs>
                <w:tab w:val="clear" w:pos="284"/>
              </w:tabs>
              <w:rPr>
                <w:rFonts w:ascii="Microsoft Sans Serif" w:hAnsi="Microsoft Sans Serif" w:cs="Microsoft Sans Serif"/>
                <w:sz w:val="20"/>
                <w:szCs w:val="20"/>
              </w:rPr>
            </w:pPr>
          </w:p>
        </w:tc>
        <w:tc>
          <w:tcPr>
            <w:tcW w:w="30" w:type="dxa"/>
            <w:vAlign w:val="bottom"/>
          </w:tcPr>
          <w:p w14:paraId="6E60EF56">
            <w:pPr>
              <w:tabs>
                <w:tab w:val="clear" w:pos="284"/>
              </w:tabs>
              <w:rPr>
                <w:rFonts w:ascii="Microsoft Sans Serif" w:hAnsi="Microsoft Sans Serif" w:cs="Microsoft Sans Serif"/>
                <w:sz w:val="20"/>
                <w:szCs w:val="20"/>
              </w:rPr>
            </w:pPr>
          </w:p>
        </w:tc>
      </w:tr>
      <w:tr w14:paraId="6987F327">
        <w:tblPrEx>
          <w:tblCellMar>
            <w:top w:w="0" w:type="dxa"/>
            <w:left w:w="0" w:type="dxa"/>
            <w:bottom w:w="0" w:type="dxa"/>
            <w:right w:w="0" w:type="dxa"/>
          </w:tblCellMar>
        </w:tblPrEx>
        <w:trPr>
          <w:trHeight w:val="19" w:hRule="atLeast"/>
        </w:trPr>
        <w:tc>
          <w:tcPr>
            <w:tcW w:w="2683" w:type="dxa"/>
            <w:vMerge w:val="restart"/>
            <w:tcBorders>
              <w:left w:val="single" w:color="auto" w:sz="8" w:space="0"/>
              <w:right w:val="single" w:color="auto" w:sz="8" w:space="0"/>
            </w:tcBorders>
            <w:vAlign w:val="center"/>
          </w:tcPr>
          <w:p w14:paraId="5738FFFD">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Klinički značajno krvarenje koje nije obilno</w:t>
            </w:r>
          </w:p>
        </w:tc>
        <w:tc>
          <w:tcPr>
            <w:tcW w:w="2481" w:type="dxa"/>
            <w:vMerge w:val="restart"/>
            <w:tcBorders>
              <w:right w:val="single" w:color="auto" w:sz="8" w:space="0"/>
            </w:tcBorders>
            <w:vAlign w:val="center"/>
          </w:tcPr>
          <w:p w14:paraId="40C161E1">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1,185</w:t>
            </w:r>
          </w:p>
          <w:p w14:paraId="55D4CDD4">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(11</w:t>
            </w:r>
            <w:r>
              <w:rPr>
                <w:rFonts w:ascii="Microsoft Sans Serif" w:hAnsi="Microsoft Sans Serif" w:cs="Microsoft Sans Serif"/>
                <w:sz w:val="20"/>
                <w:szCs w:val="20"/>
                <w:lang w:val="mk-MK"/>
              </w:rPr>
              <w:t>,</w:t>
            </w:r>
            <w:r>
              <w:rPr>
                <w:rFonts w:ascii="Microsoft Sans Serif" w:hAnsi="Microsoft Sans Serif" w:cs="Microsoft Sans Serif"/>
                <w:sz w:val="20"/>
                <w:szCs w:val="20"/>
              </w:rPr>
              <w:t>80)</w:t>
            </w:r>
          </w:p>
        </w:tc>
        <w:tc>
          <w:tcPr>
            <w:tcW w:w="2481" w:type="dxa"/>
            <w:vMerge w:val="restart"/>
            <w:tcBorders>
              <w:right w:val="single" w:color="auto" w:sz="8" w:space="0"/>
            </w:tcBorders>
            <w:vAlign w:val="center"/>
          </w:tcPr>
          <w:p w14:paraId="5FE916BB">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1,151</w:t>
            </w:r>
          </w:p>
          <w:p w14:paraId="0C19E02C">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(11</w:t>
            </w:r>
            <w:r>
              <w:rPr>
                <w:rFonts w:ascii="Microsoft Sans Serif" w:hAnsi="Microsoft Sans Serif" w:cs="Microsoft Sans Serif"/>
                <w:sz w:val="20"/>
                <w:szCs w:val="20"/>
                <w:lang w:val="mk-MK"/>
              </w:rPr>
              <w:t>,</w:t>
            </w:r>
            <w:r>
              <w:rPr>
                <w:rFonts w:ascii="Microsoft Sans Serif" w:hAnsi="Microsoft Sans Serif" w:cs="Microsoft Sans Serif"/>
                <w:sz w:val="20"/>
                <w:szCs w:val="20"/>
              </w:rPr>
              <w:t>37)</w:t>
            </w:r>
          </w:p>
        </w:tc>
        <w:tc>
          <w:tcPr>
            <w:tcW w:w="1816" w:type="dxa"/>
            <w:vMerge w:val="restart"/>
            <w:tcBorders>
              <w:right w:val="single" w:color="auto" w:sz="8" w:space="0"/>
            </w:tcBorders>
            <w:vAlign w:val="center"/>
          </w:tcPr>
          <w:p w14:paraId="57B9C276">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1</w:t>
            </w:r>
            <w:r>
              <w:rPr>
                <w:rFonts w:ascii="Microsoft Sans Serif" w:hAnsi="Microsoft Sans Serif" w:cs="Microsoft Sans Serif"/>
                <w:sz w:val="20"/>
                <w:szCs w:val="20"/>
                <w:lang w:val="mk-MK"/>
              </w:rPr>
              <w:t>,</w:t>
            </w:r>
            <w:r>
              <w:rPr>
                <w:rFonts w:ascii="Microsoft Sans Serif" w:hAnsi="Microsoft Sans Serif" w:cs="Microsoft Sans Serif"/>
                <w:sz w:val="20"/>
                <w:szCs w:val="20"/>
              </w:rPr>
              <w:t>04 (0</w:t>
            </w:r>
            <w:r>
              <w:rPr>
                <w:rFonts w:ascii="Microsoft Sans Serif" w:hAnsi="Microsoft Sans Serif" w:cs="Microsoft Sans Serif"/>
                <w:sz w:val="20"/>
                <w:szCs w:val="20"/>
                <w:lang w:val="mk-MK"/>
              </w:rPr>
              <w:t>,</w:t>
            </w:r>
            <w:r>
              <w:rPr>
                <w:rFonts w:ascii="Microsoft Sans Serif" w:hAnsi="Microsoft Sans Serif" w:cs="Microsoft Sans Serif"/>
                <w:sz w:val="20"/>
                <w:szCs w:val="20"/>
              </w:rPr>
              <w:t>96 - 1</w:t>
            </w:r>
            <w:r>
              <w:rPr>
                <w:rFonts w:ascii="Microsoft Sans Serif" w:hAnsi="Microsoft Sans Serif" w:cs="Microsoft Sans Serif"/>
                <w:sz w:val="20"/>
                <w:szCs w:val="20"/>
                <w:lang w:val="mk-MK"/>
              </w:rPr>
              <w:t>,</w:t>
            </w:r>
            <w:r>
              <w:rPr>
                <w:rFonts w:ascii="Microsoft Sans Serif" w:hAnsi="Microsoft Sans Serif" w:cs="Microsoft Sans Serif"/>
                <w:sz w:val="20"/>
                <w:szCs w:val="20"/>
              </w:rPr>
              <w:t>13)</w:t>
            </w:r>
          </w:p>
          <w:p w14:paraId="0C6617D7">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345</w:t>
            </w:r>
          </w:p>
        </w:tc>
        <w:tc>
          <w:tcPr>
            <w:tcW w:w="30" w:type="dxa"/>
            <w:vAlign w:val="bottom"/>
          </w:tcPr>
          <w:p w14:paraId="43AD46F5">
            <w:pPr>
              <w:tabs>
                <w:tab w:val="clear" w:pos="284"/>
              </w:tabs>
              <w:rPr>
                <w:rFonts w:ascii="Microsoft Sans Serif" w:hAnsi="Microsoft Sans Serif" w:cs="Microsoft Sans Serif"/>
                <w:sz w:val="20"/>
                <w:szCs w:val="20"/>
              </w:rPr>
            </w:pPr>
          </w:p>
        </w:tc>
      </w:tr>
      <w:tr w14:paraId="7EBD5364">
        <w:tblPrEx>
          <w:tblCellMar>
            <w:top w:w="0" w:type="dxa"/>
            <w:left w:w="0" w:type="dxa"/>
            <w:bottom w:w="0" w:type="dxa"/>
            <w:right w:w="0" w:type="dxa"/>
          </w:tblCellMar>
        </w:tblPrEx>
        <w:trPr>
          <w:trHeight w:val="19" w:hRule="atLeast"/>
        </w:trPr>
        <w:tc>
          <w:tcPr>
            <w:tcW w:w="2683" w:type="dxa"/>
            <w:vMerge w:val="continue"/>
            <w:tcBorders>
              <w:left w:val="single" w:color="auto" w:sz="8" w:space="0"/>
              <w:bottom w:val="single" w:color="auto" w:sz="8" w:space="0"/>
              <w:right w:val="single" w:color="auto" w:sz="8" w:space="0"/>
            </w:tcBorders>
            <w:vAlign w:val="center"/>
          </w:tcPr>
          <w:p w14:paraId="1F880A51">
            <w:pPr>
              <w:tabs>
                <w:tab w:val="clear" w:pos="284"/>
              </w:tabs>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center"/>
          </w:tcPr>
          <w:p w14:paraId="41009586">
            <w:pPr>
              <w:tabs>
                <w:tab w:val="clear" w:pos="284"/>
              </w:tabs>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center"/>
          </w:tcPr>
          <w:p w14:paraId="4E751630">
            <w:pPr>
              <w:tabs>
                <w:tab w:val="clear" w:pos="284"/>
              </w:tabs>
              <w:rPr>
                <w:rFonts w:ascii="Microsoft Sans Serif" w:hAnsi="Microsoft Sans Serif" w:cs="Microsoft Sans Serif"/>
                <w:sz w:val="20"/>
                <w:szCs w:val="20"/>
              </w:rPr>
            </w:pPr>
          </w:p>
        </w:tc>
        <w:tc>
          <w:tcPr>
            <w:tcW w:w="1816" w:type="dxa"/>
            <w:vMerge w:val="continue"/>
            <w:tcBorders>
              <w:bottom w:val="single" w:color="auto" w:sz="8" w:space="0"/>
              <w:right w:val="single" w:color="auto" w:sz="8" w:space="0"/>
            </w:tcBorders>
            <w:vAlign w:val="center"/>
          </w:tcPr>
          <w:p w14:paraId="7CE1077A">
            <w:pPr>
              <w:tabs>
                <w:tab w:val="clear" w:pos="284"/>
              </w:tabs>
              <w:rPr>
                <w:rFonts w:ascii="Microsoft Sans Serif" w:hAnsi="Microsoft Sans Serif" w:cs="Microsoft Sans Serif"/>
                <w:sz w:val="20"/>
                <w:szCs w:val="20"/>
              </w:rPr>
            </w:pPr>
          </w:p>
        </w:tc>
        <w:tc>
          <w:tcPr>
            <w:tcW w:w="30" w:type="dxa"/>
            <w:vAlign w:val="bottom"/>
          </w:tcPr>
          <w:p w14:paraId="5FE8BD91">
            <w:pPr>
              <w:tabs>
                <w:tab w:val="clear" w:pos="284"/>
              </w:tabs>
              <w:rPr>
                <w:rFonts w:ascii="Microsoft Sans Serif" w:hAnsi="Microsoft Sans Serif" w:cs="Microsoft Sans Serif"/>
                <w:sz w:val="20"/>
                <w:szCs w:val="20"/>
              </w:rPr>
            </w:pPr>
          </w:p>
        </w:tc>
      </w:tr>
      <w:tr w14:paraId="158C52CC">
        <w:tblPrEx>
          <w:tblCellMar>
            <w:top w:w="0" w:type="dxa"/>
            <w:left w:w="0" w:type="dxa"/>
            <w:bottom w:w="0" w:type="dxa"/>
            <w:right w:w="0" w:type="dxa"/>
          </w:tblCellMar>
        </w:tblPrEx>
        <w:trPr>
          <w:trHeight w:val="19" w:hRule="atLeast"/>
        </w:trPr>
        <w:tc>
          <w:tcPr>
            <w:tcW w:w="2683" w:type="dxa"/>
            <w:vMerge w:val="restart"/>
            <w:tcBorders>
              <w:left w:val="single" w:color="auto" w:sz="8" w:space="0"/>
              <w:right w:val="single" w:color="auto" w:sz="8" w:space="0"/>
            </w:tcBorders>
            <w:vAlign w:val="center"/>
          </w:tcPr>
          <w:p w14:paraId="40351CDD">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Smrtnost usljed svih uzroka</w:t>
            </w:r>
          </w:p>
        </w:tc>
        <w:tc>
          <w:tcPr>
            <w:tcW w:w="2481" w:type="dxa"/>
            <w:vMerge w:val="restart"/>
            <w:tcBorders>
              <w:right w:val="single" w:color="auto" w:sz="8" w:space="0"/>
            </w:tcBorders>
            <w:vAlign w:val="center"/>
          </w:tcPr>
          <w:p w14:paraId="50A115BD">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208</w:t>
            </w:r>
          </w:p>
          <w:p w14:paraId="4ECBCA20">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(1</w:t>
            </w:r>
            <w:r>
              <w:rPr>
                <w:rFonts w:ascii="Microsoft Sans Serif" w:hAnsi="Microsoft Sans Serif" w:cs="Microsoft Sans Serif"/>
                <w:sz w:val="20"/>
                <w:szCs w:val="20"/>
                <w:lang w:val="mk-MK"/>
              </w:rPr>
              <w:t>,</w:t>
            </w:r>
            <w:r>
              <w:rPr>
                <w:rFonts w:ascii="Microsoft Sans Serif" w:hAnsi="Microsoft Sans Serif" w:cs="Microsoft Sans Serif"/>
                <w:sz w:val="20"/>
                <w:szCs w:val="20"/>
              </w:rPr>
              <w:t>87)</w:t>
            </w:r>
          </w:p>
        </w:tc>
        <w:tc>
          <w:tcPr>
            <w:tcW w:w="2481" w:type="dxa"/>
            <w:vMerge w:val="restart"/>
            <w:tcBorders>
              <w:right w:val="single" w:color="auto" w:sz="8" w:space="0"/>
            </w:tcBorders>
            <w:vAlign w:val="center"/>
          </w:tcPr>
          <w:p w14:paraId="7B161EFD">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250</w:t>
            </w:r>
          </w:p>
          <w:p w14:paraId="1AAFC94C">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(2</w:t>
            </w:r>
            <w:r>
              <w:rPr>
                <w:rFonts w:ascii="Microsoft Sans Serif" w:hAnsi="Microsoft Sans Serif" w:cs="Microsoft Sans Serif"/>
                <w:sz w:val="20"/>
                <w:szCs w:val="20"/>
                <w:lang w:val="mk-MK"/>
              </w:rPr>
              <w:t>,</w:t>
            </w:r>
            <w:r>
              <w:rPr>
                <w:rFonts w:ascii="Microsoft Sans Serif" w:hAnsi="Microsoft Sans Serif" w:cs="Microsoft Sans Serif"/>
                <w:sz w:val="20"/>
                <w:szCs w:val="20"/>
              </w:rPr>
              <w:t>21)</w:t>
            </w:r>
          </w:p>
        </w:tc>
        <w:tc>
          <w:tcPr>
            <w:tcW w:w="1816" w:type="dxa"/>
            <w:vMerge w:val="restart"/>
            <w:tcBorders>
              <w:right w:val="single" w:color="auto" w:sz="8" w:space="0"/>
            </w:tcBorders>
            <w:vAlign w:val="center"/>
          </w:tcPr>
          <w:p w14:paraId="64CA25F9">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85 (0</w:t>
            </w:r>
            <w:r>
              <w:rPr>
                <w:rFonts w:ascii="Microsoft Sans Serif" w:hAnsi="Microsoft Sans Serif" w:cs="Microsoft Sans Serif"/>
                <w:sz w:val="20"/>
                <w:szCs w:val="20"/>
                <w:lang w:val="mk-MK"/>
              </w:rPr>
              <w:t>,</w:t>
            </w:r>
            <w:r>
              <w:rPr>
                <w:rFonts w:ascii="Microsoft Sans Serif" w:hAnsi="Microsoft Sans Serif" w:cs="Microsoft Sans Serif"/>
                <w:sz w:val="20"/>
                <w:szCs w:val="20"/>
              </w:rPr>
              <w:t>70 - 1</w:t>
            </w:r>
            <w:r>
              <w:rPr>
                <w:rFonts w:ascii="Microsoft Sans Serif" w:hAnsi="Microsoft Sans Serif" w:cs="Microsoft Sans Serif"/>
                <w:sz w:val="20"/>
                <w:szCs w:val="20"/>
                <w:lang w:val="mk-MK"/>
              </w:rPr>
              <w:t>,</w:t>
            </w:r>
            <w:r>
              <w:rPr>
                <w:rFonts w:ascii="Microsoft Sans Serif" w:hAnsi="Microsoft Sans Serif" w:cs="Microsoft Sans Serif"/>
                <w:sz w:val="20"/>
                <w:szCs w:val="20"/>
              </w:rPr>
              <w:t>02)</w:t>
            </w:r>
          </w:p>
          <w:p w14:paraId="3A1FB898">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0</w:t>
            </w:r>
            <w:r>
              <w:rPr>
                <w:rFonts w:ascii="Microsoft Sans Serif" w:hAnsi="Microsoft Sans Serif" w:cs="Microsoft Sans Serif"/>
                <w:sz w:val="20"/>
                <w:szCs w:val="20"/>
                <w:lang w:val="mk-MK"/>
              </w:rPr>
              <w:t>,</w:t>
            </w:r>
            <w:r>
              <w:rPr>
                <w:rFonts w:ascii="Microsoft Sans Serif" w:hAnsi="Microsoft Sans Serif" w:cs="Microsoft Sans Serif"/>
                <w:sz w:val="20"/>
                <w:szCs w:val="20"/>
              </w:rPr>
              <w:t>073</w:t>
            </w:r>
          </w:p>
        </w:tc>
        <w:tc>
          <w:tcPr>
            <w:tcW w:w="30" w:type="dxa"/>
            <w:vAlign w:val="bottom"/>
          </w:tcPr>
          <w:p w14:paraId="6DF971B6">
            <w:pPr>
              <w:tabs>
                <w:tab w:val="clear" w:pos="284"/>
              </w:tabs>
              <w:rPr>
                <w:rFonts w:ascii="Microsoft Sans Serif" w:hAnsi="Microsoft Sans Serif" w:cs="Microsoft Sans Serif"/>
                <w:sz w:val="20"/>
                <w:szCs w:val="20"/>
              </w:rPr>
            </w:pPr>
          </w:p>
        </w:tc>
      </w:tr>
      <w:tr w14:paraId="0E428A2D">
        <w:tblPrEx>
          <w:tblCellMar>
            <w:top w:w="0" w:type="dxa"/>
            <w:left w:w="0" w:type="dxa"/>
            <w:bottom w:w="0" w:type="dxa"/>
            <w:right w:w="0" w:type="dxa"/>
          </w:tblCellMar>
        </w:tblPrEx>
        <w:trPr>
          <w:trHeight w:val="19" w:hRule="atLeast"/>
        </w:trPr>
        <w:tc>
          <w:tcPr>
            <w:tcW w:w="2683" w:type="dxa"/>
            <w:vMerge w:val="continue"/>
            <w:tcBorders>
              <w:left w:val="single" w:color="auto" w:sz="8" w:space="0"/>
              <w:right w:val="single" w:color="auto" w:sz="8" w:space="0"/>
            </w:tcBorders>
            <w:vAlign w:val="bottom"/>
          </w:tcPr>
          <w:p w14:paraId="4351235E">
            <w:pPr>
              <w:tabs>
                <w:tab w:val="clear" w:pos="284"/>
              </w:tabs>
              <w:rPr>
                <w:rFonts w:ascii="Microsoft Sans Serif" w:hAnsi="Microsoft Sans Serif" w:cs="Microsoft Sans Serif"/>
                <w:sz w:val="20"/>
                <w:szCs w:val="20"/>
              </w:rPr>
            </w:pPr>
          </w:p>
        </w:tc>
        <w:tc>
          <w:tcPr>
            <w:tcW w:w="2481" w:type="dxa"/>
            <w:vMerge w:val="continue"/>
            <w:tcBorders>
              <w:right w:val="single" w:color="auto" w:sz="8" w:space="0"/>
            </w:tcBorders>
            <w:vAlign w:val="bottom"/>
          </w:tcPr>
          <w:p w14:paraId="1AC69D06">
            <w:pPr>
              <w:tabs>
                <w:tab w:val="clear" w:pos="284"/>
              </w:tabs>
              <w:rPr>
                <w:rFonts w:ascii="Microsoft Sans Serif" w:hAnsi="Microsoft Sans Serif" w:cs="Microsoft Sans Serif"/>
                <w:sz w:val="20"/>
                <w:szCs w:val="20"/>
              </w:rPr>
            </w:pPr>
          </w:p>
        </w:tc>
        <w:tc>
          <w:tcPr>
            <w:tcW w:w="2481" w:type="dxa"/>
            <w:vMerge w:val="continue"/>
            <w:tcBorders>
              <w:right w:val="single" w:color="auto" w:sz="8" w:space="0"/>
            </w:tcBorders>
            <w:vAlign w:val="bottom"/>
          </w:tcPr>
          <w:p w14:paraId="5082BAC8">
            <w:pPr>
              <w:tabs>
                <w:tab w:val="clear" w:pos="284"/>
              </w:tabs>
              <w:rPr>
                <w:rFonts w:ascii="Microsoft Sans Serif" w:hAnsi="Microsoft Sans Serif" w:cs="Microsoft Sans Serif"/>
                <w:sz w:val="20"/>
                <w:szCs w:val="20"/>
              </w:rPr>
            </w:pPr>
          </w:p>
        </w:tc>
        <w:tc>
          <w:tcPr>
            <w:tcW w:w="1816" w:type="dxa"/>
            <w:vMerge w:val="continue"/>
            <w:tcBorders>
              <w:right w:val="single" w:color="auto" w:sz="8" w:space="0"/>
            </w:tcBorders>
            <w:vAlign w:val="bottom"/>
          </w:tcPr>
          <w:p w14:paraId="42446F0F">
            <w:pPr>
              <w:tabs>
                <w:tab w:val="clear" w:pos="284"/>
              </w:tabs>
              <w:rPr>
                <w:rFonts w:ascii="Microsoft Sans Serif" w:hAnsi="Microsoft Sans Serif" w:cs="Microsoft Sans Serif"/>
                <w:sz w:val="20"/>
                <w:szCs w:val="20"/>
              </w:rPr>
            </w:pPr>
          </w:p>
        </w:tc>
        <w:tc>
          <w:tcPr>
            <w:tcW w:w="30" w:type="dxa"/>
            <w:vAlign w:val="bottom"/>
          </w:tcPr>
          <w:p w14:paraId="56657B93">
            <w:pPr>
              <w:tabs>
                <w:tab w:val="clear" w:pos="284"/>
              </w:tabs>
              <w:rPr>
                <w:rFonts w:ascii="Microsoft Sans Serif" w:hAnsi="Microsoft Sans Serif" w:cs="Microsoft Sans Serif"/>
                <w:sz w:val="20"/>
                <w:szCs w:val="20"/>
              </w:rPr>
            </w:pPr>
          </w:p>
        </w:tc>
      </w:tr>
      <w:tr w14:paraId="0C2AB1CB">
        <w:tblPrEx>
          <w:tblCellMar>
            <w:top w:w="0" w:type="dxa"/>
            <w:left w:w="0" w:type="dxa"/>
            <w:bottom w:w="0" w:type="dxa"/>
            <w:right w:w="0" w:type="dxa"/>
          </w:tblCellMar>
        </w:tblPrEx>
        <w:trPr>
          <w:trHeight w:val="68" w:hRule="atLeast"/>
        </w:trPr>
        <w:tc>
          <w:tcPr>
            <w:tcW w:w="2683" w:type="dxa"/>
            <w:vMerge w:val="continue"/>
            <w:tcBorders>
              <w:left w:val="single" w:color="auto" w:sz="8" w:space="0"/>
              <w:bottom w:val="single" w:color="auto" w:sz="8" w:space="0"/>
              <w:right w:val="single" w:color="auto" w:sz="8" w:space="0"/>
            </w:tcBorders>
            <w:vAlign w:val="bottom"/>
          </w:tcPr>
          <w:p w14:paraId="29BB96AC">
            <w:pPr>
              <w:tabs>
                <w:tab w:val="clear" w:pos="284"/>
              </w:tabs>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bottom"/>
          </w:tcPr>
          <w:p w14:paraId="1C90126A">
            <w:pPr>
              <w:tabs>
                <w:tab w:val="clear" w:pos="284"/>
              </w:tabs>
              <w:rPr>
                <w:rFonts w:ascii="Microsoft Sans Serif" w:hAnsi="Microsoft Sans Serif" w:cs="Microsoft Sans Serif"/>
                <w:sz w:val="20"/>
                <w:szCs w:val="20"/>
              </w:rPr>
            </w:pPr>
          </w:p>
        </w:tc>
        <w:tc>
          <w:tcPr>
            <w:tcW w:w="2481" w:type="dxa"/>
            <w:vMerge w:val="continue"/>
            <w:tcBorders>
              <w:bottom w:val="single" w:color="auto" w:sz="8" w:space="0"/>
              <w:right w:val="single" w:color="auto" w:sz="8" w:space="0"/>
            </w:tcBorders>
            <w:vAlign w:val="bottom"/>
          </w:tcPr>
          <w:p w14:paraId="5E1F1C63">
            <w:pPr>
              <w:tabs>
                <w:tab w:val="clear" w:pos="284"/>
              </w:tabs>
              <w:rPr>
                <w:rFonts w:ascii="Microsoft Sans Serif" w:hAnsi="Microsoft Sans Serif" w:cs="Microsoft Sans Serif"/>
                <w:sz w:val="20"/>
                <w:szCs w:val="20"/>
              </w:rPr>
            </w:pPr>
          </w:p>
        </w:tc>
        <w:tc>
          <w:tcPr>
            <w:tcW w:w="1816" w:type="dxa"/>
            <w:vMerge w:val="continue"/>
            <w:tcBorders>
              <w:bottom w:val="single" w:color="auto" w:sz="8" w:space="0"/>
              <w:right w:val="single" w:color="auto" w:sz="8" w:space="0"/>
            </w:tcBorders>
            <w:vAlign w:val="bottom"/>
          </w:tcPr>
          <w:p w14:paraId="6A90DE6D">
            <w:pPr>
              <w:tabs>
                <w:tab w:val="clear" w:pos="284"/>
              </w:tabs>
              <w:rPr>
                <w:rFonts w:ascii="Microsoft Sans Serif" w:hAnsi="Microsoft Sans Serif" w:cs="Microsoft Sans Serif"/>
                <w:sz w:val="20"/>
                <w:szCs w:val="20"/>
              </w:rPr>
            </w:pPr>
          </w:p>
        </w:tc>
        <w:tc>
          <w:tcPr>
            <w:tcW w:w="30" w:type="dxa"/>
            <w:vAlign w:val="bottom"/>
          </w:tcPr>
          <w:p w14:paraId="52B1DAFB">
            <w:pPr>
              <w:tabs>
                <w:tab w:val="clear" w:pos="284"/>
              </w:tabs>
              <w:rPr>
                <w:rFonts w:ascii="Microsoft Sans Serif" w:hAnsi="Microsoft Sans Serif" w:cs="Microsoft Sans Serif"/>
                <w:sz w:val="20"/>
                <w:szCs w:val="20"/>
              </w:rPr>
            </w:pPr>
          </w:p>
        </w:tc>
      </w:tr>
    </w:tbl>
    <w:p w14:paraId="5CF36DB8">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vertAlign w:val="superscript"/>
        </w:rPr>
        <w:t>a)</w:t>
      </w:r>
      <w:r>
        <w:rPr>
          <w:rFonts w:ascii="Microsoft Sans Serif" w:hAnsi="Microsoft Sans Serif" w:cs="Microsoft Sans Serif"/>
          <w:bCs/>
          <w:sz w:val="20"/>
          <w:szCs w:val="20"/>
        </w:rPr>
        <w:t xml:space="preserve"> Populacija kod koje se ocenjuje bezbjednost, na terapiji</w:t>
      </w:r>
    </w:p>
    <w:p w14:paraId="01C515CC">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 Nominalno značajno</w:t>
      </w:r>
    </w:p>
    <w:p w14:paraId="00E1E072">
      <w:pPr>
        <w:tabs>
          <w:tab w:val="clear" w:pos="284"/>
        </w:tabs>
        <w:rPr>
          <w:rFonts w:ascii="Microsoft Sans Serif" w:hAnsi="Microsoft Sans Serif" w:cs="Microsoft Sans Serif"/>
          <w:sz w:val="20"/>
          <w:szCs w:val="20"/>
        </w:rPr>
      </w:pPr>
    </w:p>
    <w:p w14:paraId="746C24C5">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Dodatno, uz ispitivanje faze III studije ROCKET AF, sprovedeno je prospektivno, neintervencijsko,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otvoreno ispitivanje kohorte sa jednom grupom (XANTUS), nakon stavlјanja lijeka u promet, 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centralnom ocjenom ishoda koji su uklјučivali tromboembolijske događaje i obilna krvarenja. Bilo 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uklјučeno 6785 pacijenata sa nevalvularnom atrijalnom fibrilacijom u cilјu prevencije moždanog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udara i sistemske embolije koja nije povezana sa CNS-om u kliničkoj praksi. U studiji XANTUS, srednja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vrijednost i CHADS 2 i HAS-BLED skora je bila 2,0 u odnosu na ROCKET AF studiju, gdje je srednja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vrijednost za CHADS 2 skor bila 3,5 dok je srednja vrijednost HS-BLED skora bila 2,8. Obilna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krvarenja su se javila kod 2,1 na 100 pacijent-godina. Krvarenje sa smrtnim ishodom je prijavlјeno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kod 0,2 na 100 pacijent-godina, a intrakranijalno krvarenje kod 0,4 na 100 pacijent</w:t>
      </w:r>
      <w:r>
        <w:rPr>
          <w:rFonts w:ascii="Microsoft Sans Serif" w:hAnsi="Microsoft Sans Serif" w:cs="Microsoft Sans Serif"/>
          <w:sz w:val="20"/>
          <w:szCs w:val="20"/>
          <w:lang w:val="mk-MK"/>
        </w:rPr>
        <w:t>-</w:t>
      </w:r>
      <w:r>
        <w:rPr>
          <w:rFonts w:ascii="Microsoft Sans Serif" w:hAnsi="Microsoft Sans Serif" w:cs="Microsoft Sans Serif"/>
          <w:sz w:val="20"/>
          <w:szCs w:val="20"/>
        </w:rPr>
        <w:t>godina. Moždani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udar ili sistemska embolija van CNS su zabilježeni kod 0,8 na 100 pacijent-godina.</w:t>
      </w:r>
    </w:p>
    <w:p w14:paraId="73CB829B">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Ova zapažanja u kliničkoj praksi su u skladu sa ustanovlјenim bezbjednosnim profilom za ovu indikaciju.</w:t>
      </w:r>
    </w:p>
    <w:p w14:paraId="615E7ACE">
      <w:pPr>
        <w:tabs>
          <w:tab w:val="clear" w:pos="284"/>
        </w:tabs>
        <w:rPr>
          <w:rFonts w:ascii="Microsoft Sans Serif" w:hAnsi="Microsoft Sans Serif" w:cs="Microsoft Sans Serif"/>
          <w:sz w:val="20"/>
          <w:szCs w:val="20"/>
        </w:rPr>
      </w:pPr>
    </w:p>
    <w:p w14:paraId="009A0C7A">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Pacijenti koji se podvrgavaju kardioverziji</w:t>
      </w:r>
    </w:p>
    <w:p w14:paraId="30DD5D6B">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Prospektivna, randomizovana, otvorena, multicentrična, eksplorativna studija sa slijepom završnom evaluacijom (X-VERT) je sprovedena kod 1504 pacijenta (sa ili bez prethodne terapije antikoagulansima) sa nevalvularnom atrijalnom fibrilacijom, kojima je bila zakazana kardioverzija, u cilјu poređenja rivaroksabana sa dozno prilagođenim VKA (randomizacija 2:1) u prevenciji kardiovaskularnih događaja. Primjenjene metode su uklјučivale TEE vođenu (1-5 dana pred-tretmana) ili konvencionalnu kardioverziju (najmanje tri nedelјe prije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terapije). Glavni ishod efikasnosti (moždani udar, tranzitorni ishemijski udar, sistemska embolija van CNS-a, infarkt miokarda i kardiovaskularna smrt) se desio kod 5 (0,5%) pacijenata u rivaroksaban grupi (n=978) i 5 (1,0%) pacijenata u VKA grupi (n=492; RR 0,50; 95% CI 0,15 - 1,73; modifikovana ITT populacija). Glavni bezbjednosni ishod (ozbilјno krvarenje) se javio redom kod 6 (0,6%), i 4 (0,8%) pacijenta u rivaroksaban (n=988), odnosno VKA (n=499) grupi (RR 0,75; 95% CI 0,21-2,67; bezbjednosna populacija). Ova eksplorativna studija je pokazala uporedivu efikasnost i bezbjednost između rivaroksabana i VKA terapijskih grupa u okolnostima kardioverzije.</w:t>
      </w:r>
    </w:p>
    <w:p w14:paraId="37559515">
      <w:pPr>
        <w:tabs>
          <w:tab w:val="clear" w:pos="284"/>
        </w:tabs>
        <w:rPr>
          <w:rFonts w:ascii="Microsoft Sans Serif" w:hAnsi="Microsoft Sans Serif" w:cs="Microsoft Sans Serif"/>
          <w:sz w:val="20"/>
          <w:szCs w:val="20"/>
          <w:u w:val="single"/>
        </w:rPr>
      </w:pPr>
    </w:p>
    <w:p w14:paraId="69452958">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Pacijenti sa nevalvularnom atrijalnom fibrilacijom koji se podvrgavaju PCI-u sa ugradnjom stenta</w:t>
      </w:r>
    </w:p>
    <w:p w14:paraId="1D500DE8">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Randomizovana, otvorena, multicentrična studija (PIONEER AF-PCI) je sprovedena kod 2124</w:t>
      </w:r>
    </w:p>
    <w:p w14:paraId="23323734">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pacijenta sa nevalvularnom atrijalnom fibrilacijom, koji su podvrgnuti PCI-u sa ugradnjom stenta kod primarne ateroskleroze, u cilјu poređenja bezbjednosti dva terapijska režima sa rivaroksabanom i jednog terapijskog režima sa VKA. Pacijenti su nasumično raspoređivani u odnosu 1:1:1 za cjelokupnu 12-mjesečnu terapiju. Pacijenti sa moždanim udarom ili TIA u anamnezi su bili izuzeti iz studije.</w:t>
      </w:r>
    </w:p>
    <w:p w14:paraId="587C8906">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Grupa 1 je dobijala 15 mg rivaroksabana jednom dnevno (odnosno 10 mg jednom dnevno kod</w:t>
      </w:r>
    </w:p>
    <w:p w14:paraId="3CA1A1CB">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pacijenata sa klirensom kreatinina od 30-49 ml/min) u kombinaciji sa P2Y12 inhibitorom. Grupa 2 je dobijala 2,5 mg rivaroksabana dva puta dnevno uz dvojnu antiagregacionu terapiju (engl. </w:t>
      </w:r>
      <w:r>
        <w:rPr>
          <w:rFonts w:ascii="Microsoft Sans Serif" w:hAnsi="Microsoft Sans Serif" w:cs="Microsoft Sans Serif"/>
          <w:i/>
          <w:sz w:val="20"/>
          <w:szCs w:val="20"/>
        </w:rPr>
        <w:t>dual antiplatelent therapy</w:t>
      </w:r>
      <w:r>
        <w:rPr>
          <w:rFonts w:ascii="Microsoft Sans Serif" w:hAnsi="Microsoft Sans Serif" w:cs="Microsoft Sans Serif"/>
          <w:sz w:val="20"/>
          <w:szCs w:val="20"/>
        </w:rPr>
        <w:t>, DAPT) (npr. klopidogrel 75 mg [ili drugi P2Y12 inhibitor] uz malu dozu acetilsalicilne kiseline [ASK]) tokom jednog, 6 ili 12 mjeseci, nakon čega je primjenjivan rivaroksaban u dozi od 15 mg (odnosno 10 mg kod ispitanika sa klirensom kreatinina od 30-49 ml/min) jednom dnevno uz malu dozu ASK. Grupa 3 je dobijala prilagođenu dozu VKA uz DAPT tokom jednog, 6 ili 12 mjeseci, nakon čega su pacijenti prevođeni na terapiju VKA u prilagođenoj dozi uz malu dozu ASK.</w:t>
      </w:r>
    </w:p>
    <w:p w14:paraId="1FC8B0D4">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Primarni parametar p</w:t>
      </w:r>
      <w:r>
        <w:rPr>
          <w:rFonts w:ascii="Microsoft Sans Serif" w:hAnsi="Microsoft Sans Serif" w:cs="Microsoft Sans Serif"/>
          <w:sz w:val="20"/>
          <w:szCs w:val="20"/>
          <w:lang w:val="sr-Cyrl-RS"/>
        </w:rPr>
        <w:t>r</w:t>
      </w:r>
      <w:r>
        <w:rPr>
          <w:rFonts w:ascii="Microsoft Sans Serif" w:hAnsi="Microsoft Sans Serif" w:cs="Microsoft Sans Serif"/>
          <w:sz w:val="20"/>
          <w:szCs w:val="20"/>
        </w:rPr>
        <w:t>aćenja bezbjednosti, klinički značajna krvarenja, su se javila kod 109 (15,7%), 117 (16,6%), odnosno kod 167 (24,0%) ispitanika u grupi 1, 2 i 3 (HR 0,59; 95% CI 0,47-0,76; p&lt;0,001 i HR 0,63; 95% CI 0,50-0,80; p&lt;0,001 redom). Sekundarni parametar praćenja (zbir kardiovaskularnih događaja- KV smrt, IM ili moždani udar) se javio kod 41 (5,9%) ispitanika iz grupe 1, 36 (5,1%) ispitanika iz grupe 2 i 36 (5,2%) ispitanika iz grupe 3. Oba terapijska režima sa rivaroksabanom, pokazala su značajno smanjenje klinički značajnih krvarenja u poređenju sa VKA terapijskim režimom, kod pacijenata sa nevalvularnom atrijalnom fibrilacijom, koji su bili podvrgnuti PCI-u sa ugradnjom stenta. Osnovni cilј PIONEER AF-PCI studije je bila procjena bezbjednosti. Podaci o efikasnosti (uklјučujući tromboembolijske događaje) u ovoj populaciji su ograničeni.</w:t>
      </w:r>
    </w:p>
    <w:p w14:paraId="713484D0">
      <w:pPr>
        <w:tabs>
          <w:tab w:val="clear" w:pos="284"/>
        </w:tabs>
        <w:rPr>
          <w:rFonts w:ascii="Microsoft Sans Serif" w:hAnsi="Microsoft Sans Serif" w:cs="Microsoft Sans Serif"/>
          <w:sz w:val="20"/>
          <w:szCs w:val="20"/>
        </w:rPr>
      </w:pPr>
    </w:p>
    <w:p w14:paraId="06D80A90">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Terapija DVT, PE i prevencija rekurentn</w:t>
      </w:r>
      <w:r>
        <w:rPr>
          <w:rFonts w:ascii="Microsoft Sans Serif" w:hAnsi="Microsoft Sans Serif" w:cs="Microsoft Sans Serif"/>
          <w:i/>
          <w:sz w:val="20"/>
          <w:szCs w:val="20"/>
          <w:lang w:val="sr-Cyrl-RS"/>
        </w:rPr>
        <w:t>e</w:t>
      </w:r>
      <w:r>
        <w:rPr>
          <w:rFonts w:ascii="Microsoft Sans Serif" w:hAnsi="Microsoft Sans Serif" w:cs="Microsoft Sans Serif"/>
          <w:i/>
          <w:sz w:val="20"/>
          <w:szCs w:val="20"/>
        </w:rPr>
        <w:t xml:space="preserve"> DVT i PE</w:t>
      </w:r>
    </w:p>
    <w:p w14:paraId="2919F87A">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Klinički program rivaroksabana dizajniran je tako da pokaže efikasnost ovog lijeka u inicijalnom liječenju, nastavku terapije akutne DVT i PE i u prevenciji rekurence.</w:t>
      </w:r>
    </w:p>
    <w:p w14:paraId="645E22B4">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U ispitivanje je uklјučeno preko 12800 pacijenata u četiri randomizovane kontrolisane kliničke studije faze III (Einstein DVT, Einstein PE, Einstein Extension i Einstein Choice) a dodatno je sprovedena i unaprijed definisana zbirna analiza Einstein DVT i Einstein PE studija. Ukupno zbirno trajanje terapije u svim studijama je bilo do 21 mjesec.</w:t>
      </w:r>
    </w:p>
    <w:p w14:paraId="0A66510D">
      <w:pPr>
        <w:tabs>
          <w:tab w:val="clear" w:pos="284"/>
        </w:tabs>
        <w:rPr>
          <w:rFonts w:ascii="Microsoft Sans Serif" w:hAnsi="Microsoft Sans Serif" w:cs="Microsoft Sans Serif"/>
          <w:sz w:val="20"/>
          <w:szCs w:val="20"/>
        </w:rPr>
      </w:pPr>
    </w:p>
    <w:p w14:paraId="1240044A">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U Einstein DVT studiji uklјučeno je 3449 pacijenata sa akutnom DVT kod kojih je ispitivana terapija DVT i prevencija rekurentne DVT i PE (pacijenti sa simptomatskim PE su bili isklјučeni iz ovog ispitivanja).</w:t>
      </w:r>
    </w:p>
    <w:p w14:paraId="3CF156EF">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Dužina terapije bila je 3, 6 ili 12 mjeseci zavisno od kliničke procjene ispitivača.</w:t>
      </w:r>
    </w:p>
    <w:p w14:paraId="11A0F6AE">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Tokom prve 3 nedelјe terapije akutne DVT, primjenjivan je rivaroksaban u dozi od 15 mg dva puta dnevno, a potom doza od 20 mg rivaroksabana jednom dnevno.</w:t>
      </w:r>
    </w:p>
    <w:p w14:paraId="67241B3E">
      <w:pPr>
        <w:tabs>
          <w:tab w:val="clear" w:pos="284"/>
        </w:tabs>
        <w:rPr>
          <w:rFonts w:ascii="Microsoft Sans Serif" w:hAnsi="Microsoft Sans Serif" w:cs="Microsoft Sans Serif"/>
          <w:i/>
          <w:iCs/>
          <w:sz w:val="20"/>
          <w:szCs w:val="20"/>
        </w:rPr>
      </w:pPr>
    </w:p>
    <w:p w14:paraId="6F3615E7">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U Einstain PE studiju uklјučeno je 4832 pacijenta sa akutnom PE kod kojih je ispitivana terapija PE i prevencija reukrentne DVT i PE. Dužina terapije bila je 3,6 ili 12 mjeseci zavisno od kliničke procjene ispitivača. Za inicijalnu terapiju akutne PE primjenjivan je rivaroksaban u dozi od 15 mg dnevno tokom tri nedelјe, a potom doza od 20 mg rivaroksabana jednom dnevno.</w:t>
      </w:r>
    </w:p>
    <w:p w14:paraId="08F32CD7">
      <w:pPr>
        <w:tabs>
          <w:tab w:val="clear" w:pos="284"/>
        </w:tabs>
        <w:rPr>
          <w:rFonts w:ascii="Microsoft Sans Serif" w:hAnsi="Microsoft Sans Serif" w:cs="Microsoft Sans Serif"/>
          <w:sz w:val="20"/>
          <w:szCs w:val="20"/>
        </w:rPr>
      </w:pPr>
    </w:p>
    <w:p w14:paraId="740BF990">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U obje studije, Einstein DVT i Einstein PE u kontrolnoj grupi terapija se sastojala od enoksaparina primjenjenog najmanje 5 dana u kombinaciji sa antagonistom vitamina K dok nije postignuta vrijednost PT/INRR u terapijskom opsegu (≥ 2,0). Terapija je nastavlјena antagonistom vitamina K prilagođene doze radi održavanja vrijednosti PT/INR unutar terapijskog opsega od 2,0 do 3,0.</w:t>
      </w:r>
    </w:p>
    <w:p w14:paraId="0A71F1C4">
      <w:pPr>
        <w:tabs>
          <w:tab w:val="clear" w:pos="284"/>
        </w:tabs>
        <w:rPr>
          <w:rFonts w:ascii="Microsoft Sans Serif" w:hAnsi="Microsoft Sans Serif" w:cs="Microsoft Sans Serif"/>
          <w:sz w:val="20"/>
          <w:szCs w:val="20"/>
        </w:rPr>
      </w:pPr>
    </w:p>
    <w:p w14:paraId="5054A7C5">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U </w:t>
      </w:r>
      <w:r>
        <w:rPr>
          <w:rFonts w:ascii="Microsoft Sans Serif" w:hAnsi="Microsoft Sans Serif" w:cs="Microsoft Sans Serif"/>
          <w:sz w:val="20"/>
          <w:szCs w:val="20"/>
          <w:lang w:val="sr-Cyrl-RS"/>
        </w:rPr>
        <w:t>E</w:t>
      </w:r>
      <w:r>
        <w:rPr>
          <w:rFonts w:ascii="Microsoft Sans Serif" w:hAnsi="Microsoft Sans Serif" w:cs="Microsoft Sans Serif"/>
          <w:sz w:val="20"/>
          <w:szCs w:val="20"/>
        </w:rPr>
        <w:t>instein Extension studiju kod 1197 pacijenata sa DVT ili PE ispitivana je prevencij</w:t>
      </w:r>
      <w:r>
        <w:rPr>
          <w:rFonts w:ascii="Microsoft Sans Serif" w:hAnsi="Microsoft Sans Serif" w:cs="Microsoft Sans Serif"/>
          <w:sz w:val="20"/>
          <w:szCs w:val="20"/>
          <w:lang w:val="sr-Cyrl-RS"/>
        </w:rPr>
        <w:t>a</w:t>
      </w:r>
      <w:r>
        <w:rPr>
          <w:rFonts w:ascii="Microsoft Sans Serif" w:hAnsi="Microsoft Sans Serif" w:cs="Microsoft Sans Serif"/>
          <w:sz w:val="20"/>
          <w:szCs w:val="20"/>
        </w:rPr>
        <w:t xml:space="preserve"> rekurentne DVT i PE. Dužina terapije trajala je dodatnih 6 ili 12 mjeseci, u zavisnosti od kliničke procjene ispitivača, kod pacijenata koji su već završili 6 do 12 mjeseci terapije zbog venske tromboembolije. Primjena rivaroksabana u dozi od 20 mg jednom dnevno je upoređivana sa placebom.</w:t>
      </w:r>
    </w:p>
    <w:p w14:paraId="5AB519EA">
      <w:pPr>
        <w:tabs>
          <w:tab w:val="clear" w:pos="284"/>
        </w:tabs>
        <w:rPr>
          <w:rFonts w:ascii="Microsoft Sans Serif" w:hAnsi="Microsoft Sans Serif" w:cs="Microsoft Sans Serif"/>
          <w:sz w:val="20"/>
          <w:szCs w:val="20"/>
        </w:rPr>
      </w:pPr>
    </w:p>
    <w:p w14:paraId="70B00EAE">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U studijama Einstein DVT, PE i Extension korišćeni su isti unaprijed definisani primarni i sekundarni ishodi efikasnosti. Primarni ishod efikasnosti je bila simptomatska rekurentna VTE definisana kao zbir rekurentnih DVT ili PE sa smrtnim ishodom i PE bez smrtnog ishoda. Sekundarni ishod efikasnosti je bio definisan kao zbir rekurentne DVT, PE bez smrtnog ishoda i smrtnosti usljed svih uzroka.</w:t>
      </w:r>
    </w:p>
    <w:p w14:paraId="2D301FE6">
      <w:pPr>
        <w:tabs>
          <w:tab w:val="clear" w:pos="284"/>
        </w:tabs>
        <w:rPr>
          <w:rFonts w:ascii="Microsoft Sans Serif" w:hAnsi="Microsoft Sans Serif" w:cs="Microsoft Sans Serif"/>
          <w:sz w:val="20"/>
          <w:szCs w:val="20"/>
        </w:rPr>
      </w:pPr>
    </w:p>
    <w:p w14:paraId="2A44899B">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U Einstein Choice studiji, 3396 pacijenata sa potvrđenom simptomatskom DVT i/ili PE, koji su završili 6-12 mjeseci antikoagulantne terapije, ispitivano je u prevenciju PE sa smrtnim ishodom ili simptomatske rekurentne DVT ili PE bez smrtnog ishoda. Pacijenti sa indikacijom za nastavak primjene terapijskih doza antikoagulanasa bili su isklјučeni iz studije. Prevencija je trajala do 12 mjeseci, u zavisnosti od individualnog datuma randomizacije (medijana: 351 dan). Urađeno je poređenje doze rivaroksabana od 20 mg i doze rivaroksabana od 10 mg primjenjenih jednom dnevno, sa 100 mg acetilsalicilne kiseline primjenjene jednom dnevno.</w:t>
      </w:r>
    </w:p>
    <w:p w14:paraId="225FCAFD">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Primarni ishod efikasnosti je bila simptomatska rekurentna VTE definisana kao zbir rekurentn</w:t>
      </w:r>
      <w:r>
        <w:rPr>
          <w:rFonts w:ascii="Microsoft Sans Serif" w:hAnsi="Microsoft Sans Serif" w:cs="Microsoft Sans Serif"/>
          <w:sz w:val="20"/>
          <w:szCs w:val="20"/>
          <w:lang w:val="sr-Cyrl-RS"/>
        </w:rPr>
        <w:t xml:space="preserve">e </w:t>
      </w:r>
      <w:r>
        <w:rPr>
          <w:rFonts w:ascii="Microsoft Sans Serif" w:hAnsi="Microsoft Sans Serif" w:cs="Microsoft Sans Serif"/>
          <w:sz w:val="20"/>
          <w:szCs w:val="20"/>
        </w:rPr>
        <w:t>DVT ili PE sa smrtnim ishodom i PE bez smrtnog ishoda.</w:t>
      </w:r>
    </w:p>
    <w:p w14:paraId="4FFB10EB">
      <w:pPr>
        <w:tabs>
          <w:tab w:val="clear" w:pos="284"/>
        </w:tabs>
        <w:rPr>
          <w:rFonts w:ascii="Microsoft Sans Serif" w:hAnsi="Microsoft Sans Serif" w:cs="Microsoft Sans Serif"/>
          <w:sz w:val="20"/>
          <w:szCs w:val="20"/>
        </w:rPr>
      </w:pPr>
    </w:p>
    <w:p w14:paraId="6DC4EC5F">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U Einstein DVT studiji (pogledati tabelu 6), pokazano je da rivaroksaban nije inferioran u odnosu na enoksaparin/VKA za primarni ishod efikasnosti (p &lt; 0,0001 (test neinferiornosti); hazard ratio: 0,680 (0,443– 1,042), p=0,076 (test superiornosti)). Unaprijed specifikovana ukupna klinička korist (primarni ishod efikasnosti plus obilna krvarenja) je prijavlјena uz hazard ratio 0,67 (95% CI: 0,47 – 0,95), nominalna p vrijednost p=0,027) u korist rivaroksabana. INR vrijednosti su bile unutar terapijskog opsega sa prosjekom 60,3% vremena za prosječno trajanje terapije od 189 dana i 55,4%, 60,1%, i 62,8% vremena u grupama namjeravane dužine terapije od 3, 6 odnosno 12 mjeseci. U enoksaparin/VKA grupi, nije bilo jasnog odnosa između vrijednosti prosečnog centralnog TTR-a (</w:t>
      </w:r>
      <w:r>
        <w:rPr>
          <w:rFonts w:ascii="Microsoft Sans Serif" w:hAnsi="Microsoft Sans Serif" w:cs="Microsoft Sans Serif"/>
          <w:sz w:val="20"/>
          <w:szCs w:val="20"/>
          <w:lang w:val="sr-Cyrl-RS"/>
        </w:rPr>
        <w:t xml:space="preserve">engl. </w:t>
      </w:r>
      <w:r>
        <w:rPr>
          <w:rFonts w:ascii="Microsoft Sans Serif" w:hAnsi="Microsoft Sans Serif" w:cs="Microsoft Sans Serif"/>
          <w:i/>
          <w:sz w:val="20"/>
          <w:szCs w:val="20"/>
        </w:rPr>
        <w:t>Time in Target INR Range</w:t>
      </w:r>
      <w:r>
        <w:rPr>
          <w:rFonts w:ascii="Microsoft Sans Serif" w:hAnsi="Microsoft Sans Serif" w:cs="Microsoft Sans Serif"/>
          <w:sz w:val="20"/>
          <w:szCs w:val="20"/>
        </w:rPr>
        <w:t xml:space="preserve"> 2,0 – 3,0) u tercilima po</w:t>
      </w:r>
      <w:r>
        <w:rPr>
          <w:rFonts w:ascii="Microsoft Sans Serif" w:hAnsi="Microsoft Sans Serif" w:cs="Microsoft Sans Serif"/>
          <w:sz w:val="20"/>
          <w:szCs w:val="20"/>
          <w:lang w:val="sr-Cyrl-RS"/>
        </w:rPr>
        <w:t>dj</w:t>
      </w:r>
      <w:r>
        <w:rPr>
          <w:rFonts w:ascii="Microsoft Sans Serif" w:hAnsi="Microsoft Sans Serif" w:cs="Microsoft Sans Serif"/>
          <w:sz w:val="20"/>
          <w:szCs w:val="20"/>
        </w:rPr>
        <w:t>ednake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veličine i sa učestalošću rekurentne VTE (P=0,932 za interakciju). Unutar najvećeg tercila prema centru, odnos rizika sa rivaroksabanom prema varfarinu je bio 0,69 (95% CI: 0,35 – 1,35).</w:t>
      </w:r>
    </w:p>
    <w:p w14:paraId="36ACF305">
      <w:pPr>
        <w:tabs>
          <w:tab w:val="clear" w:pos="284"/>
        </w:tabs>
        <w:rPr>
          <w:rFonts w:ascii="Microsoft Sans Serif" w:hAnsi="Microsoft Sans Serif" w:cs="Microsoft Sans Serif"/>
          <w:sz w:val="20"/>
          <w:szCs w:val="20"/>
        </w:rPr>
      </w:pPr>
    </w:p>
    <w:p w14:paraId="23F3E00F">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Stope učestalosti za primarni ishod bezbjednosti (obilna krvarenja ili klinički značajna krvarenja koja nisu obilna), kao i sekundarni ishod bezbjednosti (obilna krvarenja) bili su slični za obe terapijske grupe.</w:t>
      </w:r>
      <w:bookmarkStart w:id="3" w:name="page69"/>
      <w:bookmarkEnd w:id="3"/>
    </w:p>
    <w:p w14:paraId="5DE75FBC">
      <w:pPr>
        <w:tabs>
          <w:tab w:val="clear" w:pos="284"/>
        </w:tabs>
        <w:rPr>
          <w:rFonts w:ascii="Microsoft Sans Serif" w:hAnsi="Microsoft Sans Serif" w:cs="Microsoft Sans Serif"/>
          <w:sz w:val="20"/>
          <w:szCs w:val="20"/>
        </w:rPr>
      </w:pPr>
    </w:p>
    <w:p w14:paraId="1050A9A8">
      <w:pPr>
        <w:tabs>
          <w:tab w:val="clear" w:pos="284"/>
        </w:tabs>
        <w:rPr>
          <w:rFonts w:ascii="Microsoft Sans Serif" w:hAnsi="Microsoft Sans Serif" w:cs="Microsoft Sans Serif"/>
          <w:b/>
          <w:bCs/>
          <w:sz w:val="20"/>
          <w:szCs w:val="20"/>
        </w:rPr>
      </w:pPr>
      <w:r>
        <w:rPr>
          <w:rFonts w:ascii="Microsoft Sans Serif" w:hAnsi="Microsoft Sans Serif" w:cs="Microsoft Sans Serif"/>
          <w:b/>
          <w:bCs/>
          <w:sz w:val="20"/>
          <w:szCs w:val="20"/>
        </w:rPr>
        <w:t>Tabela 6: Rezultati efikasnosti i bezbjednosti iz studije Einstein DVT faze III</w:t>
      </w:r>
    </w:p>
    <w:tbl>
      <w:tblPr>
        <w:tblStyle w:val="7"/>
        <w:tblW w:w="8911" w:type="dxa"/>
        <w:tblInd w:w="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188"/>
        <w:gridCol w:w="2888"/>
        <w:gridCol w:w="2835"/>
      </w:tblGrid>
      <w:tr w14:paraId="561C3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188" w:type="dxa"/>
            <w:vAlign w:val="center"/>
          </w:tcPr>
          <w:p w14:paraId="01895D43">
            <w:pPr>
              <w:tabs>
                <w:tab w:val="clear" w:pos="284"/>
              </w:tabs>
              <w:jc w:val="left"/>
              <w:rPr>
                <w:rFonts w:ascii="Microsoft Sans Serif" w:hAnsi="Microsoft Sans Serif" w:cs="Microsoft Sans Serif"/>
                <w:bCs/>
                <w:sz w:val="20"/>
                <w:szCs w:val="20"/>
                <w:lang w:val="sr-Cyrl-RS"/>
              </w:rPr>
            </w:pPr>
            <w:r>
              <w:rPr>
                <w:rFonts w:ascii="Microsoft Sans Serif" w:hAnsi="Microsoft Sans Serif" w:cs="Microsoft Sans Serif"/>
                <w:b/>
                <w:bCs/>
                <w:sz w:val="20"/>
                <w:szCs w:val="20"/>
                <w:lang w:val="sr-Cyrl-RS"/>
              </w:rPr>
              <w:t>Populacija u studiji</w:t>
            </w:r>
          </w:p>
        </w:tc>
        <w:tc>
          <w:tcPr>
            <w:tcW w:w="5723" w:type="dxa"/>
            <w:gridSpan w:val="2"/>
            <w:vAlign w:val="center"/>
          </w:tcPr>
          <w:p w14:paraId="0DCB94E8">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
                <w:bCs/>
                <w:sz w:val="20"/>
                <w:szCs w:val="20"/>
              </w:rPr>
              <w:t>3,449 pacijenata sa simptomatskom akutnom trombozom dubokih vena</w:t>
            </w:r>
          </w:p>
        </w:tc>
      </w:tr>
      <w:tr w14:paraId="0EC1D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188" w:type="dxa"/>
            <w:vAlign w:val="center"/>
          </w:tcPr>
          <w:p w14:paraId="13CE82EC">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
                <w:bCs/>
                <w:sz w:val="20"/>
                <w:szCs w:val="20"/>
              </w:rPr>
              <w:t>Terapijska doza i dužina primjene</w:t>
            </w:r>
          </w:p>
        </w:tc>
        <w:tc>
          <w:tcPr>
            <w:tcW w:w="2888" w:type="dxa"/>
            <w:vAlign w:val="center"/>
          </w:tcPr>
          <w:p w14:paraId="748147FC">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
                <w:bCs/>
                <w:sz w:val="20"/>
                <w:szCs w:val="20"/>
                <w:lang w:val="sr-Cyrl-RS"/>
              </w:rPr>
              <w:t>Rivaroksaban</w:t>
            </w:r>
            <w:r>
              <w:rPr>
                <w:rFonts w:ascii="Microsoft Sans Serif" w:hAnsi="Microsoft Sans Serif" w:cs="Microsoft Sans Serif"/>
                <w:b/>
                <w:bCs/>
                <w:sz w:val="20"/>
                <w:szCs w:val="20"/>
                <w:vertAlign w:val="superscript"/>
              </w:rPr>
              <w:t>a)</w:t>
            </w:r>
          </w:p>
          <w:p w14:paraId="1EB38DDA">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
                <w:bCs/>
                <w:sz w:val="20"/>
                <w:szCs w:val="20"/>
              </w:rPr>
              <w:t>3, 6 ili 12 mjeseci</w:t>
            </w:r>
          </w:p>
          <w:p w14:paraId="6955AF0C">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
                <w:bCs/>
                <w:sz w:val="20"/>
                <w:szCs w:val="20"/>
              </w:rPr>
              <w:t>N=1,731</w:t>
            </w:r>
          </w:p>
        </w:tc>
        <w:tc>
          <w:tcPr>
            <w:tcW w:w="2835" w:type="dxa"/>
            <w:vAlign w:val="center"/>
          </w:tcPr>
          <w:p w14:paraId="17294ACF">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
                <w:bCs/>
                <w:sz w:val="20"/>
                <w:szCs w:val="20"/>
              </w:rPr>
              <w:t>Enoksaparin/</w:t>
            </w:r>
            <w:r>
              <w:rPr>
                <w:rFonts w:ascii="Microsoft Sans Serif" w:hAnsi="Microsoft Sans Serif" w:cs="Microsoft Sans Serif"/>
                <w:b/>
                <w:bCs/>
                <w:sz w:val="20"/>
                <w:szCs w:val="20"/>
                <w:lang w:val="sr-Cyrl-RS"/>
              </w:rPr>
              <w:t>V</w:t>
            </w:r>
            <w:r>
              <w:rPr>
                <w:rFonts w:ascii="Microsoft Sans Serif" w:hAnsi="Microsoft Sans Serif" w:cs="Microsoft Sans Serif"/>
                <w:b/>
                <w:bCs/>
                <w:sz w:val="20"/>
                <w:szCs w:val="20"/>
              </w:rPr>
              <w:t>KA</w:t>
            </w:r>
            <w:r>
              <w:rPr>
                <w:rFonts w:ascii="Microsoft Sans Serif" w:hAnsi="Microsoft Sans Serif" w:cs="Microsoft Sans Serif"/>
                <w:b/>
                <w:bCs/>
                <w:sz w:val="20"/>
                <w:szCs w:val="20"/>
                <w:vertAlign w:val="superscript"/>
              </w:rPr>
              <w:t>b)</w:t>
            </w:r>
          </w:p>
          <w:p w14:paraId="2627ACCF">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
                <w:bCs/>
                <w:sz w:val="20"/>
                <w:szCs w:val="20"/>
              </w:rPr>
              <w:t>3, 6 ili 12 mjeseci</w:t>
            </w:r>
          </w:p>
          <w:p w14:paraId="5B1D5139">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
                <w:bCs/>
                <w:sz w:val="20"/>
                <w:szCs w:val="20"/>
              </w:rPr>
              <w:t>N=1,718</w:t>
            </w:r>
          </w:p>
        </w:tc>
      </w:tr>
      <w:tr w14:paraId="186B3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188" w:type="dxa"/>
            <w:vAlign w:val="center"/>
          </w:tcPr>
          <w:p w14:paraId="3C853A0D">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lang w:val="sr-Cyrl-RS"/>
              </w:rPr>
              <w:t>Simptomatska rekurentna</w:t>
            </w:r>
            <w:r>
              <w:rPr>
                <w:rFonts w:ascii="Microsoft Sans Serif" w:hAnsi="Microsoft Sans Serif" w:cs="Microsoft Sans Serif"/>
                <w:bCs/>
                <w:sz w:val="20"/>
                <w:szCs w:val="20"/>
              </w:rPr>
              <w:t xml:space="preserve"> </w:t>
            </w:r>
            <w:r>
              <w:rPr>
                <w:rFonts w:ascii="Microsoft Sans Serif" w:hAnsi="Microsoft Sans Serif" w:cs="Microsoft Sans Serif"/>
                <w:bCs/>
                <w:sz w:val="20"/>
                <w:szCs w:val="20"/>
                <w:lang w:val="sr-Cyrl-RS"/>
              </w:rPr>
              <w:t>VT</w:t>
            </w:r>
            <w:r>
              <w:rPr>
                <w:rFonts w:ascii="Microsoft Sans Serif" w:hAnsi="Microsoft Sans Serif" w:cs="Microsoft Sans Serif"/>
                <w:bCs/>
                <w:sz w:val="20"/>
                <w:szCs w:val="20"/>
              </w:rPr>
              <w:t>E*</w:t>
            </w:r>
          </w:p>
        </w:tc>
        <w:tc>
          <w:tcPr>
            <w:tcW w:w="2888" w:type="dxa"/>
            <w:vAlign w:val="center"/>
          </w:tcPr>
          <w:p w14:paraId="5E10C83B">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36</w:t>
            </w:r>
          </w:p>
          <w:p w14:paraId="44DE7286">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(2,1%)</w:t>
            </w:r>
          </w:p>
        </w:tc>
        <w:tc>
          <w:tcPr>
            <w:tcW w:w="2835" w:type="dxa"/>
            <w:vAlign w:val="center"/>
          </w:tcPr>
          <w:p w14:paraId="24DC5885">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51</w:t>
            </w:r>
          </w:p>
          <w:p w14:paraId="343CB7FD">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(3,0%)</w:t>
            </w:r>
          </w:p>
        </w:tc>
      </w:tr>
      <w:tr w14:paraId="688BA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188" w:type="dxa"/>
            <w:vAlign w:val="center"/>
          </w:tcPr>
          <w:p w14:paraId="6541DE32">
            <w:pPr>
              <w:tabs>
                <w:tab w:val="clear" w:pos="284"/>
              </w:tabs>
              <w:ind w:left="426"/>
              <w:jc w:val="left"/>
              <w:rPr>
                <w:rFonts w:ascii="Microsoft Sans Serif" w:hAnsi="Microsoft Sans Serif" w:cs="Microsoft Sans Serif"/>
                <w:bCs/>
                <w:sz w:val="20"/>
                <w:szCs w:val="20"/>
              </w:rPr>
            </w:pPr>
            <w:r>
              <w:rPr>
                <w:rFonts w:ascii="Microsoft Sans Serif" w:hAnsi="Microsoft Sans Serif" w:cs="Microsoft Sans Serif"/>
                <w:bCs/>
                <w:sz w:val="20"/>
                <w:szCs w:val="20"/>
                <w:lang w:val="sr-Cyrl-RS"/>
              </w:rPr>
              <w:t>Simptomatska rekurentna</w:t>
            </w:r>
            <w:r>
              <w:rPr>
                <w:rFonts w:ascii="Microsoft Sans Serif" w:hAnsi="Microsoft Sans Serif" w:cs="Microsoft Sans Serif"/>
                <w:bCs/>
                <w:sz w:val="20"/>
                <w:szCs w:val="20"/>
              </w:rPr>
              <w:t xml:space="preserve"> </w:t>
            </w:r>
            <w:r>
              <w:rPr>
                <w:rFonts w:ascii="Microsoft Sans Serif" w:hAnsi="Microsoft Sans Serif" w:cs="Microsoft Sans Serif"/>
                <w:bCs/>
                <w:sz w:val="20"/>
                <w:szCs w:val="20"/>
                <w:lang w:val="sr-Cyrl-RS"/>
              </w:rPr>
              <w:t>P</w:t>
            </w:r>
            <w:r>
              <w:rPr>
                <w:rFonts w:ascii="Microsoft Sans Serif" w:hAnsi="Microsoft Sans Serif" w:cs="Microsoft Sans Serif"/>
                <w:bCs/>
                <w:sz w:val="20"/>
                <w:szCs w:val="20"/>
              </w:rPr>
              <w:t>E</w:t>
            </w:r>
          </w:p>
        </w:tc>
        <w:tc>
          <w:tcPr>
            <w:tcW w:w="2888" w:type="dxa"/>
            <w:vAlign w:val="center"/>
          </w:tcPr>
          <w:p w14:paraId="2AF61648">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20</w:t>
            </w:r>
          </w:p>
          <w:p w14:paraId="3DC19422">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(1,2%)</w:t>
            </w:r>
          </w:p>
        </w:tc>
        <w:tc>
          <w:tcPr>
            <w:tcW w:w="2835" w:type="dxa"/>
            <w:vAlign w:val="center"/>
          </w:tcPr>
          <w:p w14:paraId="465CBD3C">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18</w:t>
            </w:r>
          </w:p>
          <w:p w14:paraId="6ED47B50">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(1,0%)</w:t>
            </w:r>
          </w:p>
        </w:tc>
      </w:tr>
      <w:tr w14:paraId="689E5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188" w:type="dxa"/>
            <w:vAlign w:val="center"/>
          </w:tcPr>
          <w:p w14:paraId="50BB85B1">
            <w:pPr>
              <w:tabs>
                <w:tab w:val="clear" w:pos="284"/>
              </w:tabs>
              <w:ind w:left="426"/>
              <w:jc w:val="left"/>
              <w:rPr>
                <w:rFonts w:ascii="Microsoft Sans Serif" w:hAnsi="Microsoft Sans Serif" w:cs="Microsoft Sans Serif"/>
                <w:bCs/>
                <w:sz w:val="20"/>
                <w:szCs w:val="20"/>
              </w:rPr>
            </w:pPr>
            <w:r>
              <w:rPr>
                <w:rFonts w:ascii="Microsoft Sans Serif" w:hAnsi="Microsoft Sans Serif" w:cs="Microsoft Sans Serif"/>
                <w:bCs/>
                <w:sz w:val="20"/>
                <w:szCs w:val="20"/>
                <w:lang w:val="sr-Cyrl-RS"/>
              </w:rPr>
              <w:t>Simptomatska rekurentna DV</w:t>
            </w:r>
            <w:r>
              <w:rPr>
                <w:rFonts w:ascii="Microsoft Sans Serif" w:hAnsi="Microsoft Sans Serif" w:cs="Microsoft Sans Serif"/>
                <w:bCs/>
                <w:sz w:val="20"/>
                <w:szCs w:val="20"/>
              </w:rPr>
              <w:t>T</w:t>
            </w:r>
          </w:p>
        </w:tc>
        <w:tc>
          <w:tcPr>
            <w:tcW w:w="2888" w:type="dxa"/>
            <w:vAlign w:val="center"/>
          </w:tcPr>
          <w:p w14:paraId="4504B842">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14</w:t>
            </w:r>
          </w:p>
          <w:p w14:paraId="611D9776">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(0,8%)</w:t>
            </w:r>
          </w:p>
        </w:tc>
        <w:tc>
          <w:tcPr>
            <w:tcW w:w="2835" w:type="dxa"/>
            <w:vAlign w:val="center"/>
          </w:tcPr>
          <w:p w14:paraId="474881C1">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28</w:t>
            </w:r>
          </w:p>
          <w:p w14:paraId="43A69491">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(1,6%)</w:t>
            </w:r>
          </w:p>
        </w:tc>
      </w:tr>
      <w:tr w14:paraId="74B31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188" w:type="dxa"/>
            <w:vAlign w:val="center"/>
          </w:tcPr>
          <w:p w14:paraId="1D353772">
            <w:pPr>
              <w:tabs>
                <w:tab w:val="clear" w:pos="284"/>
              </w:tabs>
              <w:ind w:left="426"/>
              <w:jc w:val="left"/>
              <w:rPr>
                <w:rFonts w:ascii="Microsoft Sans Serif" w:hAnsi="Microsoft Sans Serif" w:cs="Microsoft Sans Serif"/>
                <w:bCs/>
                <w:sz w:val="20"/>
                <w:szCs w:val="20"/>
              </w:rPr>
            </w:pPr>
            <w:r>
              <w:rPr>
                <w:rFonts w:ascii="Microsoft Sans Serif" w:hAnsi="Microsoft Sans Serif" w:cs="Microsoft Sans Serif"/>
                <w:bCs/>
                <w:sz w:val="20"/>
                <w:szCs w:val="20"/>
                <w:lang w:val="sr-Cyrl-RS"/>
              </w:rPr>
              <w:t>Simptomatska</w:t>
            </w:r>
            <w:r>
              <w:rPr>
                <w:rFonts w:ascii="Microsoft Sans Serif" w:hAnsi="Microsoft Sans Serif" w:cs="Microsoft Sans Serif"/>
                <w:bCs/>
                <w:sz w:val="20"/>
                <w:szCs w:val="20"/>
              </w:rPr>
              <w:t xml:space="preserve"> </w:t>
            </w:r>
            <w:r>
              <w:rPr>
                <w:rFonts w:ascii="Microsoft Sans Serif" w:hAnsi="Microsoft Sans Serif" w:cs="Microsoft Sans Serif"/>
                <w:bCs/>
                <w:sz w:val="20"/>
                <w:szCs w:val="20"/>
                <w:lang w:val="sr-Cyrl-RS"/>
              </w:rPr>
              <w:t>P</w:t>
            </w:r>
            <w:r>
              <w:rPr>
                <w:rFonts w:ascii="Microsoft Sans Serif" w:hAnsi="Microsoft Sans Serif" w:cs="Microsoft Sans Serif"/>
                <w:bCs/>
                <w:sz w:val="20"/>
                <w:szCs w:val="20"/>
              </w:rPr>
              <w:t xml:space="preserve">E i </w:t>
            </w:r>
            <w:r>
              <w:rPr>
                <w:rFonts w:ascii="Microsoft Sans Serif" w:hAnsi="Microsoft Sans Serif" w:cs="Microsoft Sans Serif"/>
                <w:bCs/>
                <w:sz w:val="20"/>
                <w:szCs w:val="20"/>
                <w:lang w:val="sr-Cyrl-RS"/>
              </w:rPr>
              <w:t>DV</w:t>
            </w:r>
            <w:r>
              <w:rPr>
                <w:rFonts w:ascii="Microsoft Sans Serif" w:hAnsi="Microsoft Sans Serif" w:cs="Microsoft Sans Serif"/>
                <w:bCs/>
                <w:sz w:val="20"/>
                <w:szCs w:val="20"/>
              </w:rPr>
              <w:t>T</w:t>
            </w:r>
          </w:p>
        </w:tc>
        <w:tc>
          <w:tcPr>
            <w:tcW w:w="2888" w:type="dxa"/>
            <w:vAlign w:val="center"/>
          </w:tcPr>
          <w:p w14:paraId="1D9CE370">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1</w:t>
            </w:r>
          </w:p>
          <w:p w14:paraId="26CDFD0E">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(0,1%)</w:t>
            </w:r>
          </w:p>
        </w:tc>
        <w:tc>
          <w:tcPr>
            <w:tcW w:w="2835" w:type="dxa"/>
            <w:vAlign w:val="center"/>
          </w:tcPr>
          <w:p w14:paraId="4771D2DC">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0</w:t>
            </w:r>
          </w:p>
        </w:tc>
      </w:tr>
      <w:tr w14:paraId="4BF46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188" w:type="dxa"/>
            <w:vAlign w:val="center"/>
          </w:tcPr>
          <w:p w14:paraId="15232630">
            <w:pPr>
              <w:tabs>
                <w:tab w:val="clear" w:pos="284"/>
              </w:tabs>
              <w:ind w:left="426"/>
              <w:jc w:val="left"/>
              <w:rPr>
                <w:rFonts w:ascii="Microsoft Sans Serif" w:hAnsi="Microsoft Sans Serif" w:cs="Microsoft Sans Serif"/>
                <w:bCs/>
                <w:sz w:val="20"/>
                <w:szCs w:val="20"/>
              </w:rPr>
            </w:pPr>
            <w:r>
              <w:rPr>
                <w:rFonts w:ascii="Microsoft Sans Serif" w:hAnsi="Microsoft Sans Serif" w:cs="Microsoft Sans Serif"/>
                <w:bCs/>
                <w:sz w:val="20"/>
                <w:szCs w:val="20"/>
              </w:rPr>
              <w:t>PE sa smrtnim ishodom/smrt gde se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ne može isklјučiti PE</w:t>
            </w:r>
          </w:p>
        </w:tc>
        <w:tc>
          <w:tcPr>
            <w:tcW w:w="2888" w:type="dxa"/>
            <w:vAlign w:val="center"/>
          </w:tcPr>
          <w:p w14:paraId="007CC6B3">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4</w:t>
            </w:r>
          </w:p>
          <w:p w14:paraId="4DDF6A89">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(0,2%)</w:t>
            </w:r>
          </w:p>
        </w:tc>
        <w:tc>
          <w:tcPr>
            <w:tcW w:w="2835" w:type="dxa"/>
            <w:vAlign w:val="center"/>
          </w:tcPr>
          <w:p w14:paraId="0F06FBBD">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6</w:t>
            </w:r>
          </w:p>
          <w:p w14:paraId="19F44B2B">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(0,3%)</w:t>
            </w:r>
          </w:p>
        </w:tc>
      </w:tr>
      <w:tr w14:paraId="3E778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188" w:type="dxa"/>
            <w:vAlign w:val="center"/>
          </w:tcPr>
          <w:p w14:paraId="7AC7B835">
            <w:pPr>
              <w:tabs>
                <w:tab w:val="clear" w:pos="284"/>
              </w:tabs>
              <w:jc w:val="left"/>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r-Cyrl-RS"/>
              </w:rPr>
              <w:t>Obilna krvarenja ili klinički značajna krvarenja koja nisu obilna</w:t>
            </w:r>
          </w:p>
        </w:tc>
        <w:tc>
          <w:tcPr>
            <w:tcW w:w="2888" w:type="dxa"/>
            <w:vAlign w:val="center"/>
          </w:tcPr>
          <w:p w14:paraId="5AF2B8E5">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139</w:t>
            </w:r>
          </w:p>
          <w:p w14:paraId="2CAC1BE8">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(8,1%)</w:t>
            </w:r>
          </w:p>
        </w:tc>
        <w:tc>
          <w:tcPr>
            <w:tcW w:w="2835" w:type="dxa"/>
            <w:vAlign w:val="center"/>
          </w:tcPr>
          <w:p w14:paraId="61B770A4">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138</w:t>
            </w:r>
          </w:p>
          <w:p w14:paraId="556929DB">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(8,1%)</w:t>
            </w:r>
          </w:p>
        </w:tc>
      </w:tr>
      <w:tr w14:paraId="504DB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188" w:type="dxa"/>
            <w:vAlign w:val="center"/>
          </w:tcPr>
          <w:p w14:paraId="0B924EBD">
            <w:pPr>
              <w:tabs>
                <w:tab w:val="clear" w:pos="284"/>
              </w:tabs>
              <w:jc w:val="left"/>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r-Cyrl-RS"/>
              </w:rPr>
              <w:t>Obilna krvarenja</w:t>
            </w:r>
          </w:p>
        </w:tc>
        <w:tc>
          <w:tcPr>
            <w:tcW w:w="2888" w:type="dxa"/>
            <w:vAlign w:val="center"/>
          </w:tcPr>
          <w:p w14:paraId="06E3685A">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14</w:t>
            </w:r>
          </w:p>
          <w:p w14:paraId="5D27074E">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(0,8%)</w:t>
            </w:r>
          </w:p>
        </w:tc>
        <w:tc>
          <w:tcPr>
            <w:tcW w:w="2835" w:type="dxa"/>
            <w:vAlign w:val="center"/>
          </w:tcPr>
          <w:p w14:paraId="3D502788">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20</w:t>
            </w:r>
          </w:p>
          <w:p w14:paraId="47097156">
            <w:pPr>
              <w:tabs>
                <w:tab w:val="clear" w:pos="284"/>
              </w:tabs>
              <w:jc w:val="left"/>
              <w:rPr>
                <w:rFonts w:ascii="Microsoft Sans Serif" w:hAnsi="Microsoft Sans Serif" w:cs="Microsoft Sans Serif"/>
                <w:bCs/>
                <w:sz w:val="20"/>
                <w:szCs w:val="20"/>
              </w:rPr>
            </w:pPr>
            <w:r>
              <w:rPr>
                <w:rFonts w:ascii="Microsoft Sans Serif" w:hAnsi="Microsoft Sans Serif" w:cs="Microsoft Sans Serif"/>
                <w:bCs/>
                <w:sz w:val="20"/>
                <w:szCs w:val="20"/>
              </w:rPr>
              <w:t>(1,2%)</w:t>
            </w:r>
          </w:p>
        </w:tc>
      </w:tr>
    </w:tbl>
    <w:p w14:paraId="51688F28">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vertAlign w:val="superscript"/>
        </w:rPr>
        <w:t>a)</w:t>
      </w:r>
      <w:r>
        <w:rPr>
          <w:rFonts w:ascii="Microsoft Sans Serif" w:hAnsi="Microsoft Sans Serif" w:cs="Microsoft Sans Serif"/>
          <w:bCs/>
          <w:sz w:val="20"/>
          <w:szCs w:val="20"/>
        </w:rPr>
        <w:t xml:space="preserve"> Rivaroksaban 15 mg dva puta dnevno tokom 3 nedelјe poslije čega slijedi 20 mg jednom dnevno</w:t>
      </w:r>
    </w:p>
    <w:p w14:paraId="3348D0D7">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vertAlign w:val="superscript"/>
        </w:rPr>
        <w:t>b)</w:t>
      </w:r>
      <w:r>
        <w:rPr>
          <w:rFonts w:ascii="Microsoft Sans Serif" w:hAnsi="Microsoft Sans Serif" w:cs="Microsoft Sans Serif"/>
          <w:bCs/>
          <w:sz w:val="20"/>
          <w:szCs w:val="20"/>
        </w:rPr>
        <w:t xml:space="preserve"> Enoksaparin tokom najmanje 5 dana, preklapa se, a zatim nastavlјa terapija sa VKA</w:t>
      </w:r>
    </w:p>
    <w:p w14:paraId="0B80A3BF">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 p&lt; 0,0001 (neinferiornost u odnosu na unaprijed određeni HR 2,0); HR: 0,680 (0,443 – 1,042), p=0,076</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(superiornost)</w:t>
      </w:r>
    </w:p>
    <w:p w14:paraId="61168F7B">
      <w:pPr>
        <w:tabs>
          <w:tab w:val="clear" w:pos="284"/>
        </w:tabs>
        <w:rPr>
          <w:rFonts w:ascii="Microsoft Sans Serif" w:hAnsi="Microsoft Sans Serif" w:cs="Microsoft Sans Serif"/>
          <w:sz w:val="20"/>
          <w:szCs w:val="20"/>
        </w:rPr>
      </w:pPr>
    </w:p>
    <w:p w14:paraId="398B4B42">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U Einstein PE studiji (pogledati Tabelu 7) rivaroksaban se pokazao neinferiornim u odnosu na</w:t>
      </w:r>
    </w:p>
    <w:p w14:paraId="2FD2FA32">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enoksaparin/VKA za primarni ishod efikasnosti (p=0,0026 (test za neinferiornost); HR: 1,123 (0,749-1,684)). Unaprijed definisana ukupna klinička korist (primarni ishod efikasnosti plus obilna krvarenja) zabilježena je sa HR od 0,849 ((95% CI: 0,633 – 1,139), nominalna p vrijednost p=0,275). INR vrijednosti su bile unutar terapijskog opsega prosječno 63% vremena za prosečnu dužinu terapije od 215 dana i 57%, 62% i 65% vremena u grupama namjeravanog trajanja terapije od 3, 6, odnosno 12 mjeseci. U enoksaparin/VKA grupi nije bilo jasnog odnosa između nivoa prosječnog centralnog TTR (</w:t>
      </w:r>
      <w:r>
        <w:rPr>
          <w:rFonts w:ascii="Microsoft Sans Serif" w:hAnsi="Microsoft Sans Serif" w:cs="Microsoft Sans Serif"/>
          <w:sz w:val="20"/>
          <w:szCs w:val="20"/>
          <w:lang w:val="mk-MK"/>
        </w:rPr>
        <w:t xml:space="preserve">engl. </w:t>
      </w:r>
      <w:r>
        <w:rPr>
          <w:rFonts w:ascii="Microsoft Sans Serif" w:hAnsi="Microsoft Sans Serif" w:cs="Microsoft Sans Serif"/>
          <w:i/>
          <w:sz w:val="20"/>
          <w:szCs w:val="20"/>
        </w:rPr>
        <w:t>Time in Target INR Range</w:t>
      </w:r>
      <w:r>
        <w:rPr>
          <w:rFonts w:ascii="Microsoft Sans Serif" w:hAnsi="Microsoft Sans Serif" w:cs="Microsoft Sans Serif"/>
          <w:sz w:val="20"/>
          <w:szCs w:val="20"/>
        </w:rPr>
        <w:t xml:space="preserve"> 2,0 – 3,0) u tercilima po</w:t>
      </w:r>
      <w:r>
        <w:rPr>
          <w:rFonts w:ascii="Microsoft Sans Serif" w:hAnsi="Microsoft Sans Serif" w:cs="Microsoft Sans Serif"/>
          <w:sz w:val="20"/>
          <w:szCs w:val="20"/>
          <w:lang w:val="sr-Cyrl-RS"/>
        </w:rPr>
        <w:t>dj</w:t>
      </w:r>
      <w:r>
        <w:rPr>
          <w:rFonts w:ascii="Microsoft Sans Serif" w:hAnsi="Microsoft Sans Serif" w:cs="Microsoft Sans Serif"/>
          <w:sz w:val="20"/>
          <w:szCs w:val="20"/>
        </w:rPr>
        <w:t>ednake veličine i incidence rekurentne VTE (P=0,082 za interakciju). Unutar najvećeg tercila prema centru, HR sa rivaroksabanom prema varfarinu je bio 0,642 (95% CI: 0,277 – 1,484).</w:t>
      </w:r>
    </w:p>
    <w:p w14:paraId="4BD51420">
      <w:pPr>
        <w:tabs>
          <w:tab w:val="clear" w:pos="284"/>
        </w:tabs>
        <w:jc w:val="center"/>
        <w:rPr>
          <w:rFonts w:ascii="Microsoft Sans Serif" w:hAnsi="Microsoft Sans Serif" w:cs="Microsoft Sans Serif"/>
          <w:sz w:val="20"/>
          <w:szCs w:val="20"/>
        </w:rPr>
      </w:pPr>
    </w:p>
    <w:p w14:paraId="4871DFCC">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Stope incidence za primarni ishod bezbjednosti (obilna krvarenja ili klinički značajna krvarenja koja nisu obilna) bile su neznatno manje u rivaroksaban terapijskoj grupi (10,3% (249/2412)) nego u enoksaparin/</w:t>
      </w:r>
      <w:r>
        <w:rPr>
          <w:rFonts w:ascii="Microsoft Sans Serif" w:hAnsi="Microsoft Sans Serif" w:cs="Microsoft Sans Serif"/>
          <w:sz w:val="20"/>
          <w:szCs w:val="20"/>
          <w:lang w:val="hr-BA"/>
        </w:rPr>
        <w:t>V</w:t>
      </w:r>
      <w:r>
        <w:rPr>
          <w:rFonts w:ascii="Microsoft Sans Serif" w:hAnsi="Microsoft Sans Serif" w:cs="Microsoft Sans Serif"/>
          <w:sz w:val="20"/>
          <w:szCs w:val="20"/>
        </w:rPr>
        <w:t>KA terapijskoj grupi (11,4% (274/2405)). Incidenca sekundarnog ishoda bezbjednosti (obilna krvarenja) bila je manja u rivaroksaban grupi (1,1% (26/2412)) nego u enoksaparin/VKA grupi (2,2% (52/2405)) uz HR 0,493 (95% CI: 0,308 – 0,789)).</w:t>
      </w:r>
    </w:p>
    <w:p w14:paraId="53A37C96">
      <w:pPr>
        <w:tabs>
          <w:tab w:val="clear" w:pos="284"/>
        </w:tabs>
        <w:rPr>
          <w:rFonts w:ascii="Microsoft Sans Serif" w:hAnsi="Microsoft Sans Serif" w:cs="Microsoft Sans Serif"/>
          <w:b/>
          <w:bCs/>
          <w:sz w:val="20"/>
          <w:szCs w:val="20"/>
        </w:rPr>
      </w:pPr>
      <w:bookmarkStart w:id="4" w:name="page70"/>
      <w:bookmarkEnd w:id="4"/>
    </w:p>
    <w:p w14:paraId="41EF5A69">
      <w:pPr>
        <w:tabs>
          <w:tab w:val="clear" w:pos="284"/>
        </w:tabs>
        <w:rPr>
          <w:rFonts w:ascii="Microsoft Sans Serif" w:hAnsi="Microsoft Sans Serif" w:cs="Microsoft Sans Serif"/>
          <w:b/>
          <w:bCs/>
          <w:sz w:val="20"/>
          <w:szCs w:val="20"/>
        </w:rPr>
      </w:pPr>
      <w:r>
        <w:rPr>
          <w:rFonts w:ascii="Microsoft Sans Serif" w:hAnsi="Microsoft Sans Serif" w:cs="Microsoft Sans Serif"/>
          <w:b/>
          <w:bCs/>
          <w:sz w:val="20"/>
          <w:szCs w:val="20"/>
        </w:rPr>
        <w:t>Tabela 7: Rezultati efikasnosti i bezbjednosti iz Einstein PE studije faze III</w:t>
      </w:r>
    </w:p>
    <w:tbl>
      <w:tblPr>
        <w:tblStyle w:val="7"/>
        <w:tblW w:w="9194" w:type="dxa"/>
        <w:tblInd w:w="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382"/>
        <w:gridCol w:w="2694"/>
        <w:gridCol w:w="3118"/>
      </w:tblGrid>
      <w:tr w14:paraId="009EC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382" w:type="dxa"/>
            <w:vAlign w:val="center"/>
          </w:tcPr>
          <w:p w14:paraId="166C58C5">
            <w:pPr>
              <w:tabs>
                <w:tab w:val="clear" w:pos="284"/>
              </w:tabs>
              <w:rPr>
                <w:rFonts w:ascii="Microsoft Sans Serif" w:hAnsi="Microsoft Sans Serif" w:cs="Microsoft Sans Serif"/>
                <w:b/>
                <w:bCs/>
                <w:sz w:val="20"/>
                <w:szCs w:val="20"/>
                <w:lang w:val="sr-Cyrl-RS"/>
              </w:rPr>
            </w:pPr>
            <w:r>
              <w:rPr>
                <w:rFonts w:ascii="Microsoft Sans Serif" w:hAnsi="Microsoft Sans Serif" w:cs="Microsoft Sans Serif"/>
                <w:b/>
                <w:bCs/>
                <w:sz w:val="20"/>
                <w:szCs w:val="20"/>
                <w:lang w:val="sr-Cyrl-RS"/>
              </w:rPr>
              <w:t>Populacija u studiji</w:t>
            </w:r>
          </w:p>
        </w:tc>
        <w:tc>
          <w:tcPr>
            <w:tcW w:w="5812" w:type="dxa"/>
            <w:gridSpan w:val="2"/>
            <w:vAlign w:val="center"/>
          </w:tcPr>
          <w:p w14:paraId="55964340">
            <w:pPr>
              <w:tabs>
                <w:tab w:val="clear" w:pos="284"/>
              </w:tabs>
              <w:rPr>
                <w:rFonts w:ascii="Microsoft Sans Serif" w:hAnsi="Microsoft Sans Serif" w:cs="Microsoft Sans Serif"/>
                <w:b/>
                <w:bCs/>
                <w:sz w:val="20"/>
                <w:szCs w:val="20"/>
              </w:rPr>
            </w:pPr>
            <w:r>
              <w:rPr>
                <w:rFonts w:ascii="Microsoft Sans Serif" w:hAnsi="Microsoft Sans Serif" w:cs="Microsoft Sans Serif"/>
                <w:b/>
                <w:bCs/>
                <w:sz w:val="20"/>
                <w:szCs w:val="20"/>
              </w:rPr>
              <w:t xml:space="preserve">4,832 pacijenata sa akutnom simptomatskom </w:t>
            </w:r>
            <w:r>
              <w:rPr>
                <w:rFonts w:ascii="Microsoft Sans Serif" w:hAnsi="Microsoft Sans Serif" w:cs="Microsoft Sans Serif"/>
                <w:b/>
                <w:bCs/>
                <w:sz w:val="20"/>
                <w:szCs w:val="20"/>
                <w:lang w:val="sr-Cyrl-RS"/>
              </w:rPr>
              <w:t>P</w:t>
            </w:r>
            <w:r>
              <w:rPr>
                <w:rFonts w:ascii="Microsoft Sans Serif" w:hAnsi="Microsoft Sans Serif" w:cs="Microsoft Sans Serif"/>
                <w:b/>
                <w:bCs/>
                <w:sz w:val="20"/>
                <w:szCs w:val="20"/>
              </w:rPr>
              <w:t>E</w:t>
            </w:r>
          </w:p>
        </w:tc>
      </w:tr>
      <w:tr w14:paraId="4B0CE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382" w:type="dxa"/>
            <w:vAlign w:val="center"/>
          </w:tcPr>
          <w:p w14:paraId="6601B0F1">
            <w:pPr>
              <w:tabs>
                <w:tab w:val="clear" w:pos="284"/>
              </w:tabs>
              <w:rPr>
                <w:rFonts w:ascii="Microsoft Sans Serif" w:hAnsi="Microsoft Sans Serif" w:cs="Microsoft Sans Serif"/>
                <w:b/>
                <w:bCs/>
                <w:sz w:val="20"/>
                <w:szCs w:val="20"/>
              </w:rPr>
            </w:pPr>
            <w:r>
              <w:rPr>
                <w:rFonts w:ascii="Microsoft Sans Serif" w:hAnsi="Microsoft Sans Serif" w:cs="Microsoft Sans Serif"/>
                <w:b/>
                <w:bCs/>
                <w:sz w:val="20"/>
                <w:szCs w:val="20"/>
              </w:rPr>
              <w:t>Terapijska doza i dužina primjene</w:t>
            </w:r>
          </w:p>
        </w:tc>
        <w:tc>
          <w:tcPr>
            <w:tcW w:w="2694" w:type="dxa"/>
            <w:vAlign w:val="center"/>
          </w:tcPr>
          <w:p w14:paraId="69EDEA16">
            <w:pPr>
              <w:tabs>
                <w:tab w:val="clear" w:pos="284"/>
              </w:tabs>
              <w:rPr>
                <w:rFonts w:ascii="Microsoft Sans Serif" w:hAnsi="Microsoft Sans Serif" w:cs="Microsoft Sans Serif"/>
                <w:b/>
                <w:bCs/>
                <w:sz w:val="20"/>
                <w:szCs w:val="20"/>
              </w:rPr>
            </w:pPr>
            <w:r>
              <w:rPr>
                <w:rFonts w:ascii="Microsoft Sans Serif" w:hAnsi="Microsoft Sans Serif" w:cs="Microsoft Sans Serif"/>
                <w:b/>
                <w:bCs/>
                <w:sz w:val="20"/>
                <w:szCs w:val="20"/>
                <w:lang w:val="sr-Cyrl-RS"/>
              </w:rPr>
              <w:t>Rivaroksaban</w:t>
            </w:r>
            <w:r>
              <w:rPr>
                <w:rFonts w:ascii="Microsoft Sans Serif" w:hAnsi="Microsoft Sans Serif" w:cs="Microsoft Sans Serif"/>
                <w:b/>
                <w:bCs/>
                <w:sz w:val="20"/>
                <w:szCs w:val="20"/>
                <w:vertAlign w:val="superscript"/>
              </w:rPr>
              <w:t>a)</w:t>
            </w:r>
          </w:p>
          <w:p w14:paraId="673A3FCE">
            <w:pPr>
              <w:tabs>
                <w:tab w:val="clear" w:pos="284"/>
              </w:tabs>
              <w:rPr>
                <w:rFonts w:ascii="Microsoft Sans Serif" w:hAnsi="Microsoft Sans Serif" w:cs="Microsoft Sans Serif"/>
                <w:b/>
                <w:bCs/>
                <w:sz w:val="20"/>
                <w:szCs w:val="20"/>
              </w:rPr>
            </w:pPr>
            <w:r>
              <w:rPr>
                <w:rFonts w:ascii="Microsoft Sans Serif" w:hAnsi="Microsoft Sans Serif" w:cs="Microsoft Sans Serif"/>
                <w:b/>
                <w:bCs/>
                <w:sz w:val="20"/>
                <w:szCs w:val="20"/>
              </w:rPr>
              <w:t>3, 6 ili 12 mjeseci</w:t>
            </w:r>
          </w:p>
          <w:p w14:paraId="40AEBEAB">
            <w:pPr>
              <w:tabs>
                <w:tab w:val="clear" w:pos="284"/>
              </w:tabs>
              <w:rPr>
                <w:rFonts w:ascii="Microsoft Sans Serif" w:hAnsi="Microsoft Sans Serif" w:cs="Microsoft Sans Serif"/>
                <w:b/>
                <w:bCs/>
                <w:sz w:val="20"/>
                <w:szCs w:val="20"/>
              </w:rPr>
            </w:pPr>
            <w:r>
              <w:rPr>
                <w:rFonts w:ascii="Microsoft Sans Serif" w:hAnsi="Microsoft Sans Serif" w:cs="Microsoft Sans Serif"/>
                <w:b/>
                <w:bCs/>
                <w:sz w:val="20"/>
                <w:szCs w:val="20"/>
              </w:rPr>
              <w:t>N=2,419</w:t>
            </w:r>
          </w:p>
        </w:tc>
        <w:tc>
          <w:tcPr>
            <w:tcW w:w="3118" w:type="dxa"/>
            <w:vAlign w:val="center"/>
          </w:tcPr>
          <w:p w14:paraId="0AD57121">
            <w:pPr>
              <w:tabs>
                <w:tab w:val="clear" w:pos="284"/>
              </w:tabs>
              <w:rPr>
                <w:rFonts w:ascii="Microsoft Sans Serif" w:hAnsi="Microsoft Sans Serif" w:cs="Microsoft Sans Serif"/>
                <w:b/>
                <w:bCs/>
                <w:sz w:val="20"/>
                <w:szCs w:val="20"/>
              </w:rPr>
            </w:pPr>
            <w:r>
              <w:rPr>
                <w:rFonts w:ascii="Microsoft Sans Serif" w:hAnsi="Microsoft Sans Serif" w:cs="Microsoft Sans Serif"/>
                <w:b/>
                <w:bCs/>
                <w:sz w:val="20"/>
                <w:szCs w:val="20"/>
              </w:rPr>
              <w:t>Enoksaparin/</w:t>
            </w:r>
            <w:r>
              <w:rPr>
                <w:rFonts w:ascii="Microsoft Sans Serif" w:hAnsi="Microsoft Sans Serif" w:cs="Microsoft Sans Serif"/>
                <w:b/>
                <w:bCs/>
                <w:sz w:val="20"/>
                <w:szCs w:val="20"/>
                <w:lang w:val="hr-BA"/>
              </w:rPr>
              <w:t>V</w:t>
            </w:r>
            <w:r>
              <w:rPr>
                <w:rFonts w:ascii="Microsoft Sans Serif" w:hAnsi="Microsoft Sans Serif" w:cs="Microsoft Sans Serif"/>
                <w:b/>
                <w:bCs/>
                <w:sz w:val="20"/>
                <w:szCs w:val="20"/>
              </w:rPr>
              <w:t>KA</w:t>
            </w:r>
            <w:r>
              <w:rPr>
                <w:rFonts w:ascii="Microsoft Sans Serif" w:hAnsi="Microsoft Sans Serif" w:cs="Microsoft Sans Serif"/>
                <w:b/>
                <w:bCs/>
                <w:sz w:val="20"/>
                <w:szCs w:val="20"/>
                <w:vertAlign w:val="superscript"/>
              </w:rPr>
              <w:t>b)</w:t>
            </w:r>
          </w:p>
          <w:p w14:paraId="3961ABA5">
            <w:pPr>
              <w:tabs>
                <w:tab w:val="clear" w:pos="284"/>
              </w:tabs>
              <w:rPr>
                <w:rFonts w:ascii="Microsoft Sans Serif" w:hAnsi="Microsoft Sans Serif" w:cs="Microsoft Sans Serif"/>
                <w:b/>
                <w:bCs/>
                <w:sz w:val="20"/>
                <w:szCs w:val="20"/>
              </w:rPr>
            </w:pPr>
            <w:r>
              <w:rPr>
                <w:rFonts w:ascii="Microsoft Sans Serif" w:hAnsi="Microsoft Sans Serif" w:cs="Microsoft Sans Serif"/>
                <w:b/>
                <w:bCs/>
                <w:sz w:val="20"/>
                <w:szCs w:val="20"/>
              </w:rPr>
              <w:t>3, 6 ili 12 mjeseci</w:t>
            </w:r>
          </w:p>
          <w:p w14:paraId="7302BCAB">
            <w:pPr>
              <w:tabs>
                <w:tab w:val="clear" w:pos="284"/>
              </w:tabs>
              <w:rPr>
                <w:rFonts w:ascii="Microsoft Sans Serif" w:hAnsi="Microsoft Sans Serif" w:cs="Microsoft Sans Serif"/>
                <w:b/>
                <w:bCs/>
                <w:sz w:val="20"/>
                <w:szCs w:val="20"/>
              </w:rPr>
            </w:pPr>
            <w:r>
              <w:rPr>
                <w:rFonts w:ascii="Microsoft Sans Serif" w:hAnsi="Microsoft Sans Serif" w:cs="Microsoft Sans Serif"/>
                <w:b/>
                <w:bCs/>
                <w:sz w:val="20"/>
                <w:szCs w:val="20"/>
              </w:rPr>
              <w:t>N=2,413</w:t>
            </w:r>
          </w:p>
        </w:tc>
      </w:tr>
      <w:tr w14:paraId="4F363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382" w:type="dxa"/>
            <w:vAlign w:val="center"/>
          </w:tcPr>
          <w:p w14:paraId="48772D9F">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lang w:val="sr-Cyrl-RS"/>
              </w:rPr>
              <w:t>Simptomatska rekurentna</w:t>
            </w:r>
            <w:r>
              <w:rPr>
                <w:rFonts w:ascii="Microsoft Sans Serif" w:hAnsi="Microsoft Sans Serif" w:cs="Microsoft Sans Serif"/>
                <w:bCs/>
                <w:sz w:val="20"/>
                <w:szCs w:val="20"/>
              </w:rPr>
              <w:t xml:space="preserve"> </w:t>
            </w:r>
            <w:r>
              <w:rPr>
                <w:rFonts w:ascii="Microsoft Sans Serif" w:hAnsi="Microsoft Sans Serif" w:cs="Microsoft Sans Serif"/>
                <w:bCs/>
                <w:sz w:val="20"/>
                <w:szCs w:val="20"/>
                <w:lang w:val="sr-Cyrl-RS"/>
              </w:rPr>
              <w:t>V</w:t>
            </w:r>
            <w:r>
              <w:rPr>
                <w:rFonts w:ascii="Microsoft Sans Serif" w:hAnsi="Microsoft Sans Serif" w:cs="Microsoft Sans Serif"/>
                <w:bCs/>
                <w:sz w:val="20"/>
                <w:szCs w:val="20"/>
              </w:rPr>
              <w:t>TE*</w:t>
            </w:r>
          </w:p>
        </w:tc>
        <w:tc>
          <w:tcPr>
            <w:tcW w:w="2694" w:type="dxa"/>
            <w:vAlign w:val="center"/>
          </w:tcPr>
          <w:p w14:paraId="1F1E1404">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50</w:t>
            </w:r>
          </w:p>
          <w:p w14:paraId="5FF29C77">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(2,1%)</w:t>
            </w:r>
          </w:p>
        </w:tc>
        <w:tc>
          <w:tcPr>
            <w:tcW w:w="3118" w:type="dxa"/>
            <w:vAlign w:val="center"/>
          </w:tcPr>
          <w:p w14:paraId="79697837">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44</w:t>
            </w:r>
          </w:p>
          <w:p w14:paraId="5E35C0E7">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(1,8%)</w:t>
            </w:r>
          </w:p>
        </w:tc>
      </w:tr>
      <w:tr w14:paraId="08F07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382" w:type="dxa"/>
            <w:vAlign w:val="center"/>
          </w:tcPr>
          <w:p w14:paraId="6F30D1B2">
            <w:pPr>
              <w:tabs>
                <w:tab w:val="clear" w:pos="284"/>
              </w:tabs>
              <w:ind w:left="426"/>
              <w:rPr>
                <w:rFonts w:ascii="Microsoft Sans Serif" w:hAnsi="Microsoft Sans Serif" w:cs="Microsoft Sans Serif"/>
                <w:bCs/>
                <w:sz w:val="20"/>
                <w:szCs w:val="20"/>
              </w:rPr>
            </w:pPr>
            <w:r>
              <w:rPr>
                <w:rFonts w:ascii="Microsoft Sans Serif" w:hAnsi="Microsoft Sans Serif" w:cs="Microsoft Sans Serif"/>
                <w:bCs/>
                <w:sz w:val="20"/>
                <w:szCs w:val="20"/>
                <w:lang w:val="sr-Cyrl-RS"/>
              </w:rPr>
              <w:t>Simptomatska rekurentna</w:t>
            </w:r>
            <w:r>
              <w:rPr>
                <w:rFonts w:ascii="Microsoft Sans Serif" w:hAnsi="Microsoft Sans Serif" w:cs="Microsoft Sans Serif"/>
                <w:bCs/>
                <w:sz w:val="20"/>
                <w:szCs w:val="20"/>
              </w:rPr>
              <w:t xml:space="preserve"> </w:t>
            </w:r>
            <w:r>
              <w:rPr>
                <w:rFonts w:ascii="Microsoft Sans Serif" w:hAnsi="Microsoft Sans Serif" w:cs="Microsoft Sans Serif"/>
                <w:bCs/>
                <w:sz w:val="20"/>
                <w:szCs w:val="20"/>
                <w:lang w:val="sr-Cyrl-RS"/>
              </w:rPr>
              <w:t>P</w:t>
            </w:r>
            <w:r>
              <w:rPr>
                <w:rFonts w:ascii="Microsoft Sans Serif" w:hAnsi="Microsoft Sans Serif" w:cs="Microsoft Sans Serif"/>
                <w:bCs/>
                <w:sz w:val="20"/>
                <w:szCs w:val="20"/>
              </w:rPr>
              <w:t>E</w:t>
            </w:r>
          </w:p>
        </w:tc>
        <w:tc>
          <w:tcPr>
            <w:tcW w:w="2694" w:type="dxa"/>
            <w:vAlign w:val="center"/>
          </w:tcPr>
          <w:p w14:paraId="3EE992D3">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23</w:t>
            </w:r>
          </w:p>
          <w:p w14:paraId="21B2778E">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(1,0%)</w:t>
            </w:r>
          </w:p>
        </w:tc>
        <w:tc>
          <w:tcPr>
            <w:tcW w:w="3118" w:type="dxa"/>
            <w:vAlign w:val="center"/>
          </w:tcPr>
          <w:p w14:paraId="56A14053">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20</w:t>
            </w:r>
          </w:p>
          <w:p w14:paraId="032DA3C5">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(0,8%)</w:t>
            </w:r>
          </w:p>
        </w:tc>
      </w:tr>
      <w:tr w14:paraId="46606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382" w:type="dxa"/>
            <w:vAlign w:val="center"/>
          </w:tcPr>
          <w:p w14:paraId="0C96B5B3">
            <w:pPr>
              <w:tabs>
                <w:tab w:val="clear" w:pos="284"/>
              </w:tabs>
              <w:ind w:left="426"/>
              <w:rPr>
                <w:rFonts w:ascii="Microsoft Sans Serif" w:hAnsi="Microsoft Sans Serif" w:cs="Microsoft Sans Serif"/>
                <w:bCs/>
                <w:sz w:val="20"/>
                <w:szCs w:val="20"/>
                <w:lang w:val="hr-BA"/>
              </w:rPr>
            </w:pPr>
            <w:r>
              <w:rPr>
                <w:rFonts w:ascii="Microsoft Sans Serif" w:hAnsi="Microsoft Sans Serif" w:cs="Microsoft Sans Serif"/>
                <w:bCs/>
                <w:sz w:val="20"/>
                <w:szCs w:val="20"/>
                <w:lang w:val="sr-Cyrl-RS"/>
              </w:rPr>
              <w:t>Simptomatska rekurentna</w:t>
            </w:r>
            <w:r>
              <w:rPr>
                <w:rFonts w:ascii="Microsoft Sans Serif" w:hAnsi="Microsoft Sans Serif" w:cs="Microsoft Sans Serif"/>
                <w:bCs/>
                <w:sz w:val="20"/>
                <w:szCs w:val="20"/>
              </w:rPr>
              <w:t xml:space="preserve"> </w:t>
            </w:r>
            <w:r>
              <w:rPr>
                <w:rFonts w:ascii="Microsoft Sans Serif" w:hAnsi="Microsoft Sans Serif" w:cs="Microsoft Sans Serif"/>
                <w:bCs/>
                <w:sz w:val="20"/>
                <w:szCs w:val="20"/>
                <w:lang w:val="sr-Cyrl-RS"/>
              </w:rPr>
              <w:t>DV</w:t>
            </w:r>
            <w:r>
              <w:rPr>
                <w:rFonts w:ascii="Microsoft Sans Serif" w:hAnsi="Microsoft Sans Serif" w:cs="Microsoft Sans Serif"/>
                <w:bCs/>
                <w:sz w:val="20"/>
                <w:szCs w:val="20"/>
                <w:lang w:val="hr-BA"/>
              </w:rPr>
              <w:t>T</w:t>
            </w:r>
          </w:p>
        </w:tc>
        <w:tc>
          <w:tcPr>
            <w:tcW w:w="2694" w:type="dxa"/>
            <w:vAlign w:val="center"/>
          </w:tcPr>
          <w:p w14:paraId="0CC53A4F">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18</w:t>
            </w:r>
          </w:p>
          <w:p w14:paraId="055AAC51">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(0,7%)</w:t>
            </w:r>
          </w:p>
        </w:tc>
        <w:tc>
          <w:tcPr>
            <w:tcW w:w="3118" w:type="dxa"/>
            <w:vAlign w:val="center"/>
          </w:tcPr>
          <w:p w14:paraId="0291542C">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17</w:t>
            </w:r>
          </w:p>
          <w:p w14:paraId="1C56BB69">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(0,7%)</w:t>
            </w:r>
          </w:p>
        </w:tc>
      </w:tr>
      <w:tr w14:paraId="6FAA02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382" w:type="dxa"/>
            <w:vAlign w:val="center"/>
          </w:tcPr>
          <w:p w14:paraId="7BD5328B">
            <w:pPr>
              <w:tabs>
                <w:tab w:val="clear" w:pos="284"/>
              </w:tabs>
              <w:ind w:left="426"/>
              <w:rPr>
                <w:rFonts w:ascii="Microsoft Sans Serif" w:hAnsi="Microsoft Sans Serif" w:cs="Microsoft Sans Serif"/>
                <w:bCs/>
                <w:sz w:val="20"/>
                <w:szCs w:val="20"/>
                <w:lang w:val="hr-BA"/>
              </w:rPr>
            </w:pPr>
            <w:r>
              <w:rPr>
                <w:rFonts w:ascii="Microsoft Sans Serif" w:hAnsi="Microsoft Sans Serif" w:cs="Microsoft Sans Serif"/>
                <w:bCs/>
                <w:sz w:val="20"/>
                <w:szCs w:val="20"/>
                <w:lang w:val="sr-Cyrl-RS"/>
              </w:rPr>
              <w:t>Simptomatska</w:t>
            </w:r>
            <w:r>
              <w:rPr>
                <w:rFonts w:ascii="Microsoft Sans Serif" w:hAnsi="Microsoft Sans Serif" w:cs="Microsoft Sans Serif"/>
                <w:bCs/>
                <w:sz w:val="20"/>
                <w:szCs w:val="20"/>
              </w:rPr>
              <w:t xml:space="preserve"> </w:t>
            </w:r>
            <w:r>
              <w:rPr>
                <w:rFonts w:ascii="Microsoft Sans Serif" w:hAnsi="Microsoft Sans Serif" w:cs="Microsoft Sans Serif"/>
                <w:bCs/>
                <w:sz w:val="20"/>
                <w:szCs w:val="20"/>
                <w:lang w:val="sr-Cyrl-RS"/>
              </w:rPr>
              <w:t>P</w:t>
            </w:r>
            <w:r>
              <w:rPr>
                <w:rFonts w:ascii="Microsoft Sans Serif" w:hAnsi="Microsoft Sans Serif" w:cs="Microsoft Sans Serif"/>
                <w:bCs/>
                <w:sz w:val="20"/>
                <w:szCs w:val="20"/>
              </w:rPr>
              <w:t xml:space="preserve">E i </w:t>
            </w:r>
            <w:r>
              <w:rPr>
                <w:rFonts w:ascii="Microsoft Sans Serif" w:hAnsi="Microsoft Sans Serif" w:cs="Microsoft Sans Serif"/>
                <w:bCs/>
                <w:sz w:val="20"/>
                <w:szCs w:val="20"/>
                <w:lang w:val="sr-Cyrl-RS"/>
              </w:rPr>
              <w:t>DV</w:t>
            </w:r>
            <w:r>
              <w:rPr>
                <w:rFonts w:ascii="Microsoft Sans Serif" w:hAnsi="Microsoft Sans Serif" w:cs="Microsoft Sans Serif"/>
                <w:bCs/>
                <w:sz w:val="20"/>
                <w:szCs w:val="20"/>
                <w:lang w:val="hr-BA"/>
              </w:rPr>
              <w:t>T</w:t>
            </w:r>
          </w:p>
        </w:tc>
        <w:tc>
          <w:tcPr>
            <w:tcW w:w="2694" w:type="dxa"/>
            <w:vAlign w:val="center"/>
          </w:tcPr>
          <w:p w14:paraId="3D00F4E2">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0</w:t>
            </w:r>
          </w:p>
        </w:tc>
        <w:tc>
          <w:tcPr>
            <w:tcW w:w="3118" w:type="dxa"/>
            <w:vAlign w:val="center"/>
          </w:tcPr>
          <w:p w14:paraId="68BF5BA4">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2</w:t>
            </w:r>
          </w:p>
          <w:p w14:paraId="102B7EBE">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(&lt;0,1%)</w:t>
            </w:r>
          </w:p>
        </w:tc>
      </w:tr>
      <w:tr w14:paraId="62178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382" w:type="dxa"/>
            <w:vAlign w:val="center"/>
          </w:tcPr>
          <w:p w14:paraId="68300E7E">
            <w:pPr>
              <w:tabs>
                <w:tab w:val="clear" w:pos="284"/>
              </w:tabs>
              <w:ind w:left="426"/>
              <w:rPr>
                <w:rFonts w:ascii="Microsoft Sans Serif" w:hAnsi="Microsoft Sans Serif" w:cs="Microsoft Sans Serif"/>
                <w:bCs/>
                <w:sz w:val="20"/>
                <w:szCs w:val="20"/>
              </w:rPr>
            </w:pPr>
            <w:r>
              <w:rPr>
                <w:rFonts w:ascii="Microsoft Sans Serif" w:hAnsi="Microsoft Sans Serif" w:cs="Microsoft Sans Serif"/>
                <w:bCs/>
                <w:sz w:val="20"/>
                <w:szCs w:val="20"/>
              </w:rPr>
              <w:t>PE sa smrtnim ishodom/Smrt gdje</w:t>
            </w:r>
          </w:p>
          <w:p w14:paraId="16A8F7FB">
            <w:pPr>
              <w:tabs>
                <w:tab w:val="clear" w:pos="284"/>
              </w:tabs>
              <w:ind w:left="426"/>
              <w:rPr>
                <w:rFonts w:ascii="Microsoft Sans Serif" w:hAnsi="Microsoft Sans Serif" w:cs="Microsoft Sans Serif"/>
                <w:bCs/>
                <w:sz w:val="20"/>
                <w:szCs w:val="20"/>
              </w:rPr>
            </w:pPr>
            <w:r>
              <w:rPr>
                <w:rFonts w:ascii="Microsoft Sans Serif" w:hAnsi="Microsoft Sans Serif" w:cs="Microsoft Sans Serif"/>
                <w:bCs/>
                <w:sz w:val="20"/>
                <w:szCs w:val="20"/>
              </w:rPr>
              <w:t>se PE ne može isklјučiti</w:t>
            </w:r>
          </w:p>
        </w:tc>
        <w:tc>
          <w:tcPr>
            <w:tcW w:w="2694" w:type="dxa"/>
            <w:vAlign w:val="center"/>
          </w:tcPr>
          <w:p w14:paraId="6B3E037D">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11</w:t>
            </w:r>
          </w:p>
          <w:p w14:paraId="4518D22A">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(0,5%)</w:t>
            </w:r>
          </w:p>
        </w:tc>
        <w:tc>
          <w:tcPr>
            <w:tcW w:w="3118" w:type="dxa"/>
            <w:vAlign w:val="center"/>
          </w:tcPr>
          <w:p w14:paraId="6443638E">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7</w:t>
            </w:r>
          </w:p>
          <w:p w14:paraId="084F37AC">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(0,3%)</w:t>
            </w:r>
          </w:p>
        </w:tc>
      </w:tr>
      <w:tr w14:paraId="60FF7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382" w:type="dxa"/>
            <w:vAlign w:val="center"/>
          </w:tcPr>
          <w:p w14:paraId="3BFCAFDD">
            <w:pPr>
              <w:tabs>
                <w:tab w:val="clear" w:pos="284"/>
              </w:tabs>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r-Cyrl-RS"/>
              </w:rPr>
              <w:t>Obilna krvarenja ili klinički značajna krvarenja koja nisu obilna</w:t>
            </w:r>
          </w:p>
        </w:tc>
        <w:tc>
          <w:tcPr>
            <w:tcW w:w="2694" w:type="dxa"/>
            <w:vAlign w:val="center"/>
          </w:tcPr>
          <w:p w14:paraId="67F38248">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249</w:t>
            </w:r>
          </w:p>
          <w:p w14:paraId="03D9EB90">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(10,3%)</w:t>
            </w:r>
          </w:p>
        </w:tc>
        <w:tc>
          <w:tcPr>
            <w:tcW w:w="3118" w:type="dxa"/>
            <w:vAlign w:val="center"/>
          </w:tcPr>
          <w:p w14:paraId="5A2E99E6">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274</w:t>
            </w:r>
          </w:p>
          <w:p w14:paraId="48D2FB4C">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(11,4%)</w:t>
            </w:r>
          </w:p>
        </w:tc>
      </w:tr>
      <w:tr w14:paraId="15EBB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3382" w:type="dxa"/>
            <w:vAlign w:val="center"/>
          </w:tcPr>
          <w:p w14:paraId="449C6AAB">
            <w:pPr>
              <w:tabs>
                <w:tab w:val="clear" w:pos="284"/>
              </w:tabs>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r-Cyrl-RS"/>
              </w:rPr>
              <w:t>Obilna krvarenja</w:t>
            </w:r>
          </w:p>
        </w:tc>
        <w:tc>
          <w:tcPr>
            <w:tcW w:w="2694" w:type="dxa"/>
            <w:vAlign w:val="center"/>
          </w:tcPr>
          <w:p w14:paraId="3FB50C25">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26</w:t>
            </w:r>
          </w:p>
          <w:p w14:paraId="1F9FC21B">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(1,1%)</w:t>
            </w:r>
          </w:p>
        </w:tc>
        <w:tc>
          <w:tcPr>
            <w:tcW w:w="3118" w:type="dxa"/>
            <w:vAlign w:val="center"/>
          </w:tcPr>
          <w:p w14:paraId="4EE65768">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52</w:t>
            </w:r>
          </w:p>
          <w:p w14:paraId="75B40333">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(2,2%)</w:t>
            </w:r>
          </w:p>
        </w:tc>
      </w:tr>
    </w:tbl>
    <w:p w14:paraId="0E6E539E">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vertAlign w:val="superscript"/>
        </w:rPr>
        <w:t>a)</w:t>
      </w:r>
      <w:r>
        <w:rPr>
          <w:rFonts w:ascii="Microsoft Sans Serif" w:hAnsi="Microsoft Sans Serif" w:cs="Microsoft Sans Serif"/>
          <w:bCs/>
          <w:sz w:val="20"/>
          <w:szCs w:val="20"/>
        </w:rPr>
        <w:t xml:space="preserve"> Rivaroksaban u dozi od 15 mg dva puta dnevno tokom 3 nedelјe, potom 20 mg jednom dnevno</w:t>
      </w:r>
    </w:p>
    <w:p w14:paraId="398A8481">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vertAlign w:val="superscript"/>
        </w:rPr>
        <w:t>b)</w:t>
      </w:r>
      <w:r>
        <w:rPr>
          <w:rFonts w:ascii="Microsoft Sans Serif" w:hAnsi="Microsoft Sans Serif" w:cs="Microsoft Sans Serif"/>
          <w:bCs/>
          <w:sz w:val="20"/>
          <w:szCs w:val="20"/>
        </w:rPr>
        <w:t xml:space="preserve"> Enoksaparin tokom najmanje 5 dana, preklapa se i nastavlјa terapija sa VKA</w:t>
      </w:r>
    </w:p>
    <w:p w14:paraId="120A13DF">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 p&lt; 0,0026 (neinferiornost u odnosu na predefinisani HR 2,0); HR: 1,123 (0,749 – 1,684)</w:t>
      </w:r>
    </w:p>
    <w:p w14:paraId="27A8FEAC">
      <w:pPr>
        <w:tabs>
          <w:tab w:val="clear" w:pos="284"/>
        </w:tabs>
        <w:rPr>
          <w:rFonts w:ascii="Microsoft Sans Serif" w:hAnsi="Microsoft Sans Serif" w:cs="Microsoft Sans Serif"/>
          <w:bCs/>
          <w:sz w:val="20"/>
          <w:szCs w:val="20"/>
        </w:rPr>
      </w:pPr>
    </w:p>
    <w:p w14:paraId="193EC9DA">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Sprovedena je unaprijed definisana objedinjena analiza ishoda Einstein DVT i Einstein PE studija (pogledati tabelu 8).</w:t>
      </w:r>
    </w:p>
    <w:p w14:paraId="18D280F9">
      <w:pPr>
        <w:tabs>
          <w:tab w:val="clear" w:pos="284"/>
        </w:tabs>
        <w:rPr>
          <w:rFonts w:ascii="Microsoft Sans Serif" w:hAnsi="Microsoft Sans Serif" w:cs="Microsoft Sans Serif"/>
          <w:sz w:val="20"/>
          <w:szCs w:val="20"/>
        </w:rPr>
      </w:pPr>
    </w:p>
    <w:p w14:paraId="5EAA7C97">
      <w:pPr>
        <w:tabs>
          <w:tab w:val="clear" w:pos="284"/>
        </w:tabs>
        <w:rPr>
          <w:rFonts w:ascii="Microsoft Sans Serif" w:hAnsi="Microsoft Sans Serif" w:cs="Microsoft Sans Serif"/>
          <w:b/>
          <w:sz w:val="20"/>
          <w:szCs w:val="20"/>
        </w:rPr>
      </w:pPr>
      <w:r>
        <w:rPr>
          <w:rFonts w:ascii="Microsoft Sans Serif" w:hAnsi="Microsoft Sans Serif" w:cs="Microsoft Sans Serif"/>
          <w:b/>
          <w:sz w:val="20"/>
          <w:szCs w:val="20"/>
        </w:rPr>
        <w:t>Tabela 8: Rezultati efikasnosti i bezbjednosti iz objedinjene analize studija Einstein DVT i Einstein PE faze III</w:t>
      </w:r>
    </w:p>
    <w:tbl>
      <w:tblPr>
        <w:tblStyle w:val="7"/>
        <w:tblW w:w="9220" w:type="dxa"/>
        <w:tblInd w:w="10" w:type="dxa"/>
        <w:tblLayout w:type="fixed"/>
        <w:tblCellMar>
          <w:top w:w="0" w:type="dxa"/>
          <w:left w:w="0" w:type="dxa"/>
          <w:bottom w:w="0" w:type="dxa"/>
          <w:right w:w="0" w:type="dxa"/>
        </w:tblCellMar>
      </w:tblPr>
      <w:tblGrid>
        <w:gridCol w:w="3556"/>
        <w:gridCol w:w="2657"/>
        <w:gridCol w:w="2977"/>
        <w:gridCol w:w="30"/>
      </w:tblGrid>
      <w:tr w14:paraId="586CBBCE">
        <w:tblPrEx>
          <w:tblCellMar>
            <w:top w:w="0" w:type="dxa"/>
            <w:left w:w="0" w:type="dxa"/>
            <w:bottom w:w="0" w:type="dxa"/>
            <w:right w:w="0" w:type="dxa"/>
          </w:tblCellMar>
        </w:tblPrEx>
        <w:trPr>
          <w:trHeight w:val="253" w:hRule="atLeast"/>
        </w:trPr>
        <w:tc>
          <w:tcPr>
            <w:tcW w:w="3556" w:type="dxa"/>
            <w:tcBorders>
              <w:top w:val="single" w:color="auto" w:sz="8" w:space="0"/>
              <w:left w:val="single" w:color="auto" w:sz="8" w:space="0"/>
              <w:bottom w:val="single" w:color="auto" w:sz="4" w:space="0"/>
              <w:right w:val="single" w:color="auto" w:sz="8" w:space="0"/>
            </w:tcBorders>
            <w:vAlign w:val="center"/>
          </w:tcPr>
          <w:p w14:paraId="4D7A862B">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Populacija u studiji</w:t>
            </w:r>
          </w:p>
        </w:tc>
        <w:tc>
          <w:tcPr>
            <w:tcW w:w="5634" w:type="dxa"/>
            <w:gridSpan w:val="2"/>
            <w:tcBorders>
              <w:top w:val="single" w:color="auto" w:sz="8" w:space="0"/>
              <w:bottom w:val="single" w:color="auto" w:sz="4" w:space="0"/>
              <w:right w:val="single" w:color="auto" w:sz="8" w:space="0"/>
            </w:tcBorders>
            <w:vAlign w:val="center"/>
          </w:tcPr>
          <w:p w14:paraId="707A0D3D">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 xml:space="preserve">8,281 pacijenata sa akutnom simptomatskom </w:t>
            </w:r>
            <w:r>
              <w:rPr>
                <w:rFonts w:ascii="Microsoft Sans Serif" w:hAnsi="Microsoft Sans Serif" w:cs="Microsoft Sans Serif"/>
                <w:b/>
                <w:bCs/>
                <w:sz w:val="20"/>
                <w:szCs w:val="20"/>
                <w:lang w:val="sr-Cyrl-RS"/>
              </w:rPr>
              <w:t>DV</w:t>
            </w:r>
            <w:r>
              <w:rPr>
                <w:rFonts w:ascii="Microsoft Sans Serif" w:hAnsi="Microsoft Sans Serif" w:cs="Microsoft Sans Serif"/>
                <w:b/>
                <w:bCs/>
                <w:sz w:val="20"/>
                <w:szCs w:val="20"/>
                <w:lang w:val="hr-BA"/>
              </w:rPr>
              <w:t>T</w:t>
            </w:r>
            <w:r>
              <w:rPr>
                <w:rFonts w:ascii="Microsoft Sans Serif" w:hAnsi="Microsoft Sans Serif" w:cs="Microsoft Sans Serif"/>
                <w:b/>
                <w:bCs/>
                <w:sz w:val="20"/>
                <w:szCs w:val="20"/>
              </w:rPr>
              <w:t xml:space="preserve"> ili </w:t>
            </w:r>
            <w:r>
              <w:rPr>
                <w:rFonts w:ascii="Microsoft Sans Serif" w:hAnsi="Microsoft Sans Serif" w:cs="Microsoft Sans Serif"/>
                <w:b/>
                <w:bCs/>
                <w:sz w:val="20"/>
                <w:szCs w:val="20"/>
                <w:lang w:val="sr-Cyrl-RS"/>
              </w:rPr>
              <w:t>P</w:t>
            </w:r>
            <w:r>
              <w:rPr>
                <w:rFonts w:ascii="Microsoft Sans Serif" w:hAnsi="Microsoft Sans Serif" w:cs="Microsoft Sans Serif"/>
                <w:b/>
                <w:bCs/>
                <w:sz w:val="20"/>
                <w:szCs w:val="20"/>
              </w:rPr>
              <w:t>E</w:t>
            </w:r>
          </w:p>
        </w:tc>
        <w:tc>
          <w:tcPr>
            <w:tcW w:w="30" w:type="dxa"/>
            <w:vMerge w:val="restart"/>
            <w:vAlign w:val="bottom"/>
          </w:tcPr>
          <w:p w14:paraId="155AD366">
            <w:pPr>
              <w:tabs>
                <w:tab w:val="clear" w:pos="284"/>
              </w:tabs>
              <w:rPr>
                <w:rFonts w:ascii="Microsoft Sans Serif" w:hAnsi="Microsoft Sans Serif" w:cs="Microsoft Sans Serif"/>
                <w:sz w:val="20"/>
                <w:szCs w:val="20"/>
              </w:rPr>
            </w:pPr>
          </w:p>
        </w:tc>
      </w:tr>
      <w:tr w14:paraId="3349B81E">
        <w:tblPrEx>
          <w:tblCellMar>
            <w:top w:w="0" w:type="dxa"/>
            <w:left w:w="0" w:type="dxa"/>
            <w:bottom w:w="0" w:type="dxa"/>
            <w:right w:w="0" w:type="dxa"/>
          </w:tblCellMar>
        </w:tblPrEx>
        <w:trPr>
          <w:trHeight w:val="20" w:hRule="atLeast"/>
        </w:trPr>
        <w:tc>
          <w:tcPr>
            <w:tcW w:w="3556" w:type="dxa"/>
            <w:tcBorders>
              <w:top w:val="single" w:color="auto" w:sz="4" w:space="0"/>
              <w:left w:val="single" w:color="auto" w:sz="4" w:space="0"/>
              <w:bottom w:val="single" w:color="auto" w:sz="4" w:space="0"/>
              <w:right w:val="single" w:color="auto" w:sz="4" w:space="0"/>
            </w:tcBorders>
            <w:vAlign w:val="center"/>
          </w:tcPr>
          <w:p w14:paraId="5E6DC02D">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Terapijska doza i dužina primjene</w:t>
            </w:r>
          </w:p>
        </w:tc>
        <w:tc>
          <w:tcPr>
            <w:tcW w:w="2657" w:type="dxa"/>
            <w:tcBorders>
              <w:top w:val="single" w:color="auto" w:sz="4" w:space="0"/>
              <w:left w:val="single" w:color="auto" w:sz="4" w:space="0"/>
              <w:bottom w:val="single" w:color="auto" w:sz="4" w:space="0"/>
              <w:right w:val="single" w:color="auto" w:sz="4" w:space="0"/>
            </w:tcBorders>
            <w:vAlign w:val="center"/>
          </w:tcPr>
          <w:p w14:paraId="33725F3B">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lang w:val="sr-Cyrl-RS"/>
              </w:rPr>
              <w:t>Rivaroksaban</w:t>
            </w:r>
            <w:r>
              <w:rPr>
                <w:rFonts w:ascii="Microsoft Sans Serif" w:hAnsi="Microsoft Sans Serif" w:cs="Microsoft Sans Serif"/>
                <w:b/>
                <w:bCs/>
                <w:sz w:val="20"/>
                <w:szCs w:val="20"/>
                <w:vertAlign w:val="superscript"/>
              </w:rPr>
              <w:t>a)</w:t>
            </w:r>
          </w:p>
          <w:p w14:paraId="45BC2EF4">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3, 6 ili 12 mjeseci</w:t>
            </w:r>
          </w:p>
          <w:p w14:paraId="5F621C48">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N=4,150</w:t>
            </w:r>
          </w:p>
        </w:tc>
        <w:tc>
          <w:tcPr>
            <w:tcW w:w="2977" w:type="dxa"/>
            <w:tcBorders>
              <w:top w:val="single" w:color="auto" w:sz="4" w:space="0"/>
              <w:left w:val="single" w:color="auto" w:sz="4" w:space="0"/>
              <w:bottom w:val="single" w:color="auto" w:sz="4" w:space="0"/>
              <w:right w:val="single" w:color="auto" w:sz="4" w:space="0"/>
            </w:tcBorders>
            <w:vAlign w:val="center"/>
          </w:tcPr>
          <w:p w14:paraId="51E3E799">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Enoksaparin/</w:t>
            </w:r>
            <w:r>
              <w:rPr>
                <w:rFonts w:ascii="Microsoft Sans Serif" w:hAnsi="Microsoft Sans Serif" w:cs="Microsoft Sans Serif"/>
                <w:b/>
                <w:bCs/>
                <w:sz w:val="20"/>
                <w:szCs w:val="20"/>
                <w:lang w:val="hr-BA"/>
              </w:rPr>
              <w:t>V</w:t>
            </w:r>
            <w:r>
              <w:rPr>
                <w:rFonts w:ascii="Microsoft Sans Serif" w:hAnsi="Microsoft Sans Serif" w:cs="Microsoft Sans Serif"/>
                <w:b/>
                <w:bCs/>
                <w:sz w:val="20"/>
                <w:szCs w:val="20"/>
              </w:rPr>
              <w:t>KA</w:t>
            </w:r>
            <w:r>
              <w:rPr>
                <w:rFonts w:ascii="Microsoft Sans Serif" w:hAnsi="Microsoft Sans Serif" w:cs="Microsoft Sans Serif"/>
                <w:b/>
                <w:bCs/>
                <w:sz w:val="20"/>
                <w:szCs w:val="20"/>
                <w:vertAlign w:val="superscript"/>
              </w:rPr>
              <w:t>b)</w:t>
            </w:r>
          </w:p>
          <w:p w14:paraId="2F38B292">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3, 6 ili 12 mjeseci</w:t>
            </w:r>
          </w:p>
          <w:p w14:paraId="2D276AA6">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N=4,131</w:t>
            </w:r>
          </w:p>
        </w:tc>
        <w:tc>
          <w:tcPr>
            <w:tcW w:w="30" w:type="dxa"/>
            <w:vMerge w:val="continue"/>
            <w:tcBorders>
              <w:left w:val="single" w:color="auto" w:sz="4" w:space="0"/>
            </w:tcBorders>
            <w:vAlign w:val="bottom"/>
          </w:tcPr>
          <w:p w14:paraId="5C333373">
            <w:pPr>
              <w:tabs>
                <w:tab w:val="clear" w:pos="284"/>
              </w:tabs>
              <w:rPr>
                <w:rFonts w:ascii="Microsoft Sans Serif" w:hAnsi="Microsoft Sans Serif" w:cs="Microsoft Sans Serif"/>
                <w:sz w:val="20"/>
                <w:szCs w:val="20"/>
              </w:rPr>
            </w:pPr>
          </w:p>
        </w:tc>
      </w:tr>
      <w:tr w14:paraId="0213FF5A">
        <w:tblPrEx>
          <w:tblCellMar>
            <w:top w:w="0" w:type="dxa"/>
            <w:left w:w="0" w:type="dxa"/>
            <w:bottom w:w="0" w:type="dxa"/>
            <w:right w:w="0" w:type="dxa"/>
          </w:tblCellMar>
        </w:tblPrEx>
        <w:trPr>
          <w:trHeight w:val="20" w:hRule="atLeast"/>
        </w:trPr>
        <w:tc>
          <w:tcPr>
            <w:tcW w:w="3556" w:type="dxa"/>
            <w:tcBorders>
              <w:top w:val="single" w:color="auto" w:sz="4" w:space="0"/>
              <w:left w:val="single" w:color="auto" w:sz="4" w:space="0"/>
              <w:bottom w:val="single" w:color="auto" w:sz="4" w:space="0"/>
              <w:right w:val="single" w:color="auto" w:sz="4" w:space="0"/>
            </w:tcBorders>
            <w:vAlign w:val="center"/>
          </w:tcPr>
          <w:p w14:paraId="2E291B9C">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Simptomatska rekurentna</w:t>
            </w:r>
            <w:r>
              <w:rPr>
                <w:rFonts w:ascii="Microsoft Sans Serif" w:hAnsi="Microsoft Sans Serif" w:cs="Microsoft Sans Serif"/>
                <w:sz w:val="20"/>
                <w:szCs w:val="20"/>
              </w:rPr>
              <w:t xml:space="preserve"> </w:t>
            </w:r>
            <w:r>
              <w:rPr>
                <w:rFonts w:ascii="Microsoft Sans Serif" w:hAnsi="Microsoft Sans Serif" w:cs="Microsoft Sans Serif"/>
                <w:sz w:val="20"/>
                <w:szCs w:val="20"/>
                <w:lang w:val="sr-Cyrl-RS"/>
              </w:rPr>
              <w:t>V</w:t>
            </w:r>
            <w:r>
              <w:rPr>
                <w:rFonts w:ascii="Microsoft Sans Serif" w:hAnsi="Microsoft Sans Serif" w:cs="Microsoft Sans Serif"/>
                <w:sz w:val="20"/>
                <w:szCs w:val="20"/>
              </w:rPr>
              <w:t>TE*</w:t>
            </w:r>
          </w:p>
        </w:tc>
        <w:tc>
          <w:tcPr>
            <w:tcW w:w="2657" w:type="dxa"/>
            <w:tcBorders>
              <w:top w:val="single" w:color="auto" w:sz="4" w:space="0"/>
              <w:left w:val="single" w:color="auto" w:sz="4" w:space="0"/>
              <w:bottom w:val="single" w:color="auto" w:sz="4" w:space="0"/>
              <w:right w:val="single" w:color="auto" w:sz="4" w:space="0"/>
            </w:tcBorders>
            <w:vAlign w:val="center"/>
          </w:tcPr>
          <w:p w14:paraId="7A14F8CC">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86</w:t>
            </w:r>
          </w:p>
          <w:p w14:paraId="1199B51B">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rPr>
              <w:t>(2,1%)</w:t>
            </w:r>
          </w:p>
        </w:tc>
        <w:tc>
          <w:tcPr>
            <w:tcW w:w="2977" w:type="dxa"/>
            <w:tcBorders>
              <w:top w:val="single" w:color="auto" w:sz="4" w:space="0"/>
              <w:left w:val="single" w:color="auto" w:sz="4" w:space="0"/>
              <w:bottom w:val="single" w:color="auto" w:sz="4" w:space="0"/>
              <w:right w:val="single" w:color="auto" w:sz="4" w:space="0"/>
            </w:tcBorders>
            <w:vAlign w:val="center"/>
          </w:tcPr>
          <w:p w14:paraId="50C57E30">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95</w:t>
            </w:r>
          </w:p>
          <w:p w14:paraId="4386C5D0">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(2,3%)</w:t>
            </w:r>
          </w:p>
        </w:tc>
        <w:tc>
          <w:tcPr>
            <w:tcW w:w="30" w:type="dxa"/>
            <w:vMerge w:val="continue"/>
            <w:tcBorders>
              <w:left w:val="single" w:color="auto" w:sz="4" w:space="0"/>
            </w:tcBorders>
            <w:vAlign w:val="bottom"/>
          </w:tcPr>
          <w:p w14:paraId="245F9641">
            <w:pPr>
              <w:tabs>
                <w:tab w:val="clear" w:pos="284"/>
              </w:tabs>
              <w:rPr>
                <w:rFonts w:ascii="Microsoft Sans Serif" w:hAnsi="Microsoft Sans Serif" w:cs="Microsoft Sans Serif"/>
                <w:sz w:val="20"/>
                <w:szCs w:val="20"/>
              </w:rPr>
            </w:pPr>
          </w:p>
        </w:tc>
      </w:tr>
      <w:tr w14:paraId="7A06BDE2">
        <w:tblPrEx>
          <w:tblCellMar>
            <w:top w:w="0" w:type="dxa"/>
            <w:left w:w="0" w:type="dxa"/>
            <w:bottom w:w="0" w:type="dxa"/>
            <w:right w:w="0" w:type="dxa"/>
          </w:tblCellMar>
        </w:tblPrEx>
        <w:trPr>
          <w:trHeight w:val="20" w:hRule="atLeast"/>
        </w:trPr>
        <w:tc>
          <w:tcPr>
            <w:tcW w:w="3556" w:type="dxa"/>
            <w:tcBorders>
              <w:top w:val="single" w:color="auto" w:sz="4" w:space="0"/>
              <w:left w:val="single" w:color="auto" w:sz="4" w:space="0"/>
              <w:bottom w:val="single" w:color="auto" w:sz="4" w:space="0"/>
              <w:right w:val="single" w:color="auto" w:sz="4" w:space="0"/>
            </w:tcBorders>
            <w:vAlign w:val="center"/>
          </w:tcPr>
          <w:p w14:paraId="5437DAF6">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Simptomatska rekurentna</w:t>
            </w:r>
            <w:r>
              <w:rPr>
                <w:rFonts w:ascii="Microsoft Sans Serif" w:hAnsi="Microsoft Sans Serif" w:cs="Microsoft Sans Serif"/>
                <w:sz w:val="20"/>
                <w:szCs w:val="20"/>
              </w:rPr>
              <w:t xml:space="preserve"> </w:t>
            </w:r>
            <w:r>
              <w:rPr>
                <w:rFonts w:ascii="Microsoft Sans Serif" w:hAnsi="Microsoft Sans Serif" w:cs="Microsoft Sans Serif"/>
                <w:sz w:val="20"/>
                <w:szCs w:val="20"/>
                <w:lang w:val="sr-Cyrl-RS"/>
              </w:rPr>
              <w:t>P</w:t>
            </w:r>
            <w:r>
              <w:rPr>
                <w:rFonts w:ascii="Microsoft Sans Serif" w:hAnsi="Microsoft Sans Serif" w:cs="Microsoft Sans Serif"/>
                <w:sz w:val="20"/>
                <w:szCs w:val="20"/>
              </w:rPr>
              <w:t>E</w:t>
            </w:r>
          </w:p>
        </w:tc>
        <w:tc>
          <w:tcPr>
            <w:tcW w:w="2657" w:type="dxa"/>
            <w:tcBorders>
              <w:top w:val="single" w:color="auto" w:sz="4" w:space="0"/>
              <w:left w:val="single" w:color="auto" w:sz="4" w:space="0"/>
              <w:bottom w:val="single" w:color="auto" w:sz="4" w:space="0"/>
              <w:right w:val="single" w:color="auto" w:sz="4" w:space="0"/>
            </w:tcBorders>
            <w:vAlign w:val="center"/>
          </w:tcPr>
          <w:p w14:paraId="7DD80335">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43</w:t>
            </w:r>
          </w:p>
          <w:p w14:paraId="62FFF20D">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(1,0%)</w:t>
            </w:r>
          </w:p>
        </w:tc>
        <w:tc>
          <w:tcPr>
            <w:tcW w:w="2977" w:type="dxa"/>
            <w:tcBorders>
              <w:top w:val="single" w:color="auto" w:sz="4" w:space="0"/>
              <w:left w:val="single" w:color="auto" w:sz="4" w:space="0"/>
              <w:bottom w:val="single" w:color="auto" w:sz="4" w:space="0"/>
              <w:right w:val="single" w:color="auto" w:sz="4" w:space="0"/>
            </w:tcBorders>
            <w:vAlign w:val="center"/>
          </w:tcPr>
          <w:p w14:paraId="0FF5C8D9">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38</w:t>
            </w:r>
          </w:p>
          <w:p w14:paraId="6326E46D">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(0,9%)</w:t>
            </w:r>
          </w:p>
        </w:tc>
        <w:tc>
          <w:tcPr>
            <w:tcW w:w="30" w:type="dxa"/>
            <w:vMerge w:val="continue"/>
            <w:tcBorders>
              <w:left w:val="single" w:color="auto" w:sz="4" w:space="0"/>
            </w:tcBorders>
            <w:vAlign w:val="bottom"/>
          </w:tcPr>
          <w:p w14:paraId="66162142">
            <w:pPr>
              <w:tabs>
                <w:tab w:val="clear" w:pos="284"/>
              </w:tabs>
              <w:rPr>
                <w:rFonts w:ascii="Microsoft Sans Serif" w:hAnsi="Microsoft Sans Serif" w:cs="Microsoft Sans Serif"/>
                <w:sz w:val="20"/>
                <w:szCs w:val="20"/>
              </w:rPr>
            </w:pPr>
          </w:p>
        </w:tc>
      </w:tr>
      <w:tr w14:paraId="262DCBAD">
        <w:tblPrEx>
          <w:tblCellMar>
            <w:top w:w="0" w:type="dxa"/>
            <w:left w:w="0" w:type="dxa"/>
            <w:bottom w:w="0" w:type="dxa"/>
            <w:right w:w="0" w:type="dxa"/>
          </w:tblCellMar>
        </w:tblPrEx>
        <w:trPr>
          <w:trHeight w:val="20" w:hRule="atLeast"/>
        </w:trPr>
        <w:tc>
          <w:tcPr>
            <w:tcW w:w="3556" w:type="dxa"/>
            <w:tcBorders>
              <w:top w:val="single" w:color="auto" w:sz="4" w:space="0"/>
              <w:left w:val="single" w:color="auto" w:sz="4" w:space="0"/>
              <w:bottom w:val="single" w:color="auto" w:sz="4" w:space="0"/>
              <w:right w:val="single" w:color="auto" w:sz="4" w:space="0"/>
            </w:tcBorders>
            <w:vAlign w:val="center"/>
          </w:tcPr>
          <w:p w14:paraId="6FAF904B">
            <w:pPr>
              <w:tabs>
                <w:tab w:val="clear" w:pos="284"/>
              </w:tabs>
              <w:jc w:val="left"/>
              <w:rPr>
                <w:rFonts w:ascii="Microsoft Sans Serif" w:hAnsi="Microsoft Sans Serif" w:cs="Microsoft Sans Serif"/>
                <w:sz w:val="20"/>
                <w:szCs w:val="20"/>
                <w:lang w:val="hr-BA"/>
              </w:rPr>
            </w:pPr>
            <w:r>
              <w:rPr>
                <w:rFonts w:ascii="Microsoft Sans Serif" w:hAnsi="Microsoft Sans Serif" w:cs="Microsoft Sans Serif"/>
                <w:sz w:val="20"/>
                <w:szCs w:val="20"/>
                <w:lang w:val="sr-Cyrl-RS"/>
              </w:rPr>
              <w:t>Simptomatska rekurentna</w:t>
            </w:r>
            <w:r>
              <w:rPr>
                <w:rFonts w:ascii="Microsoft Sans Serif" w:hAnsi="Microsoft Sans Serif" w:cs="Microsoft Sans Serif"/>
                <w:sz w:val="20"/>
                <w:szCs w:val="20"/>
              </w:rPr>
              <w:t xml:space="preserve"> </w:t>
            </w:r>
            <w:r>
              <w:rPr>
                <w:rFonts w:ascii="Microsoft Sans Serif" w:hAnsi="Microsoft Sans Serif" w:cs="Microsoft Sans Serif"/>
                <w:sz w:val="20"/>
                <w:szCs w:val="20"/>
                <w:lang w:val="sr-Cyrl-RS"/>
              </w:rPr>
              <w:t>DV</w:t>
            </w:r>
            <w:r>
              <w:rPr>
                <w:rFonts w:ascii="Microsoft Sans Serif" w:hAnsi="Microsoft Sans Serif" w:cs="Microsoft Sans Serif"/>
                <w:sz w:val="20"/>
                <w:szCs w:val="20"/>
                <w:lang w:val="hr-BA"/>
              </w:rPr>
              <w:t>T</w:t>
            </w:r>
          </w:p>
        </w:tc>
        <w:tc>
          <w:tcPr>
            <w:tcW w:w="2657" w:type="dxa"/>
            <w:tcBorders>
              <w:top w:val="single" w:color="auto" w:sz="4" w:space="0"/>
              <w:left w:val="single" w:color="auto" w:sz="4" w:space="0"/>
              <w:bottom w:val="single" w:color="auto" w:sz="4" w:space="0"/>
              <w:right w:val="single" w:color="auto" w:sz="4" w:space="0"/>
            </w:tcBorders>
            <w:vAlign w:val="center"/>
          </w:tcPr>
          <w:p w14:paraId="3D3F7D90">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32</w:t>
            </w:r>
          </w:p>
          <w:p w14:paraId="47C0E1F1">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(0,8%)</w:t>
            </w:r>
          </w:p>
        </w:tc>
        <w:tc>
          <w:tcPr>
            <w:tcW w:w="2977" w:type="dxa"/>
            <w:tcBorders>
              <w:top w:val="single" w:color="auto" w:sz="4" w:space="0"/>
              <w:left w:val="single" w:color="auto" w:sz="4" w:space="0"/>
              <w:bottom w:val="single" w:color="auto" w:sz="4" w:space="0"/>
              <w:right w:val="single" w:color="auto" w:sz="4" w:space="0"/>
            </w:tcBorders>
            <w:vAlign w:val="center"/>
          </w:tcPr>
          <w:p w14:paraId="4DA8B237">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45</w:t>
            </w:r>
          </w:p>
          <w:p w14:paraId="5BC9D5C0">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(1,1%)</w:t>
            </w:r>
          </w:p>
        </w:tc>
        <w:tc>
          <w:tcPr>
            <w:tcW w:w="30" w:type="dxa"/>
            <w:vMerge w:val="continue"/>
            <w:tcBorders>
              <w:left w:val="single" w:color="auto" w:sz="4" w:space="0"/>
            </w:tcBorders>
            <w:vAlign w:val="bottom"/>
          </w:tcPr>
          <w:p w14:paraId="691A048F">
            <w:pPr>
              <w:tabs>
                <w:tab w:val="clear" w:pos="284"/>
              </w:tabs>
              <w:rPr>
                <w:rFonts w:ascii="Microsoft Sans Serif" w:hAnsi="Microsoft Sans Serif" w:cs="Microsoft Sans Serif"/>
                <w:sz w:val="20"/>
                <w:szCs w:val="20"/>
              </w:rPr>
            </w:pPr>
          </w:p>
        </w:tc>
      </w:tr>
      <w:tr w14:paraId="00A4DE6B">
        <w:tblPrEx>
          <w:tblCellMar>
            <w:top w:w="0" w:type="dxa"/>
            <w:left w:w="0" w:type="dxa"/>
            <w:bottom w:w="0" w:type="dxa"/>
            <w:right w:w="0" w:type="dxa"/>
          </w:tblCellMar>
        </w:tblPrEx>
        <w:trPr>
          <w:trHeight w:val="20" w:hRule="atLeast"/>
        </w:trPr>
        <w:tc>
          <w:tcPr>
            <w:tcW w:w="3556" w:type="dxa"/>
            <w:tcBorders>
              <w:top w:val="single" w:color="auto" w:sz="4" w:space="0"/>
              <w:left w:val="single" w:color="auto" w:sz="4" w:space="0"/>
              <w:bottom w:val="single" w:color="auto" w:sz="4" w:space="0"/>
              <w:right w:val="single" w:color="auto" w:sz="4" w:space="0"/>
            </w:tcBorders>
            <w:vAlign w:val="center"/>
          </w:tcPr>
          <w:p w14:paraId="45EB6AA3">
            <w:pPr>
              <w:tabs>
                <w:tab w:val="clear" w:pos="284"/>
              </w:tabs>
              <w:jc w:val="left"/>
              <w:rPr>
                <w:rFonts w:ascii="Microsoft Sans Serif" w:hAnsi="Microsoft Sans Serif" w:cs="Microsoft Sans Serif"/>
                <w:sz w:val="20"/>
                <w:szCs w:val="20"/>
                <w:lang w:val="hr-BA"/>
              </w:rPr>
            </w:pPr>
            <w:r>
              <w:rPr>
                <w:rFonts w:ascii="Microsoft Sans Serif" w:hAnsi="Microsoft Sans Serif" w:cs="Microsoft Sans Serif"/>
                <w:sz w:val="20"/>
                <w:szCs w:val="20"/>
                <w:lang w:val="sr-Cyrl-RS"/>
              </w:rPr>
              <w:t>Simptomatska</w:t>
            </w:r>
            <w:r>
              <w:rPr>
                <w:rFonts w:ascii="Microsoft Sans Serif" w:hAnsi="Microsoft Sans Serif" w:cs="Microsoft Sans Serif"/>
                <w:sz w:val="20"/>
                <w:szCs w:val="20"/>
              </w:rPr>
              <w:t xml:space="preserve"> </w:t>
            </w:r>
            <w:r>
              <w:rPr>
                <w:rFonts w:ascii="Microsoft Sans Serif" w:hAnsi="Microsoft Sans Serif" w:cs="Microsoft Sans Serif"/>
                <w:sz w:val="20"/>
                <w:szCs w:val="20"/>
                <w:lang w:val="sr-Cyrl-RS"/>
              </w:rPr>
              <w:t>P</w:t>
            </w:r>
            <w:r>
              <w:rPr>
                <w:rFonts w:ascii="Microsoft Sans Serif" w:hAnsi="Microsoft Sans Serif" w:cs="Microsoft Sans Serif"/>
                <w:sz w:val="20"/>
                <w:szCs w:val="20"/>
              </w:rPr>
              <w:t xml:space="preserve">E i </w:t>
            </w:r>
            <w:r>
              <w:rPr>
                <w:rFonts w:ascii="Microsoft Sans Serif" w:hAnsi="Microsoft Sans Serif" w:cs="Microsoft Sans Serif"/>
                <w:sz w:val="20"/>
                <w:szCs w:val="20"/>
                <w:lang w:val="sr-Cyrl-RS"/>
              </w:rPr>
              <w:t>DV</w:t>
            </w:r>
            <w:r>
              <w:rPr>
                <w:rFonts w:ascii="Microsoft Sans Serif" w:hAnsi="Microsoft Sans Serif" w:cs="Microsoft Sans Serif"/>
                <w:sz w:val="20"/>
                <w:szCs w:val="20"/>
                <w:lang w:val="hr-BA"/>
              </w:rPr>
              <w:t>T</w:t>
            </w:r>
          </w:p>
        </w:tc>
        <w:tc>
          <w:tcPr>
            <w:tcW w:w="2657" w:type="dxa"/>
            <w:tcBorders>
              <w:top w:val="single" w:color="auto" w:sz="4" w:space="0"/>
              <w:left w:val="single" w:color="auto" w:sz="4" w:space="0"/>
              <w:bottom w:val="single" w:color="auto" w:sz="4" w:space="0"/>
              <w:right w:val="single" w:color="auto" w:sz="4" w:space="0"/>
            </w:tcBorders>
            <w:vAlign w:val="center"/>
          </w:tcPr>
          <w:p w14:paraId="7366D14B">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w:t>
            </w:r>
          </w:p>
          <w:p w14:paraId="4A782188">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(&lt;0,1%)</w:t>
            </w:r>
          </w:p>
        </w:tc>
        <w:tc>
          <w:tcPr>
            <w:tcW w:w="2977" w:type="dxa"/>
            <w:tcBorders>
              <w:top w:val="single" w:color="auto" w:sz="4" w:space="0"/>
              <w:left w:val="single" w:color="auto" w:sz="4" w:space="0"/>
              <w:bottom w:val="single" w:color="auto" w:sz="4" w:space="0"/>
              <w:right w:val="single" w:color="auto" w:sz="4" w:space="0"/>
            </w:tcBorders>
            <w:vAlign w:val="center"/>
          </w:tcPr>
          <w:p w14:paraId="7DAB3ED6">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w:t>
            </w:r>
          </w:p>
          <w:p w14:paraId="2D968F2E">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(&lt;0,1%)</w:t>
            </w:r>
          </w:p>
        </w:tc>
        <w:tc>
          <w:tcPr>
            <w:tcW w:w="30" w:type="dxa"/>
            <w:vMerge w:val="continue"/>
            <w:tcBorders>
              <w:left w:val="single" w:color="auto" w:sz="4" w:space="0"/>
            </w:tcBorders>
            <w:vAlign w:val="bottom"/>
          </w:tcPr>
          <w:p w14:paraId="03FF9FDF">
            <w:pPr>
              <w:tabs>
                <w:tab w:val="clear" w:pos="284"/>
              </w:tabs>
              <w:rPr>
                <w:rFonts w:ascii="Microsoft Sans Serif" w:hAnsi="Microsoft Sans Serif" w:cs="Microsoft Sans Serif"/>
                <w:sz w:val="20"/>
                <w:szCs w:val="20"/>
              </w:rPr>
            </w:pPr>
          </w:p>
        </w:tc>
      </w:tr>
      <w:tr w14:paraId="59B03B03">
        <w:tblPrEx>
          <w:tblCellMar>
            <w:top w:w="0" w:type="dxa"/>
            <w:left w:w="0" w:type="dxa"/>
            <w:bottom w:w="0" w:type="dxa"/>
            <w:right w:w="0" w:type="dxa"/>
          </w:tblCellMar>
        </w:tblPrEx>
        <w:trPr>
          <w:trHeight w:val="20" w:hRule="atLeast"/>
        </w:trPr>
        <w:tc>
          <w:tcPr>
            <w:tcW w:w="3556" w:type="dxa"/>
            <w:tcBorders>
              <w:top w:val="single" w:color="auto" w:sz="4" w:space="0"/>
              <w:left w:val="single" w:color="auto" w:sz="4" w:space="0"/>
              <w:bottom w:val="single" w:color="auto" w:sz="4" w:space="0"/>
              <w:right w:val="single" w:color="auto" w:sz="4" w:space="0"/>
            </w:tcBorders>
            <w:vAlign w:val="center"/>
          </w:tcPr>
          <w:p w14:paraId="4FF56F62">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PE sa smrtnim ishodom/Smrt gdje</w:t>
            </w:r>
          </w:p>
          <w:p w14:paraId="15BEEB81">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se PE ne može isklјučiti</w:t>
            </w:r>
          </w:p>
        </w:tc>
        <w:tc>
          <w:tcPr>
            <w:tcW w:w="2657" w:type="dxa"/>
            <w:tcBorders>
              <w:top w:val="single" w:color="auto" w:sz="4" w:space="0"/>
              <w:left w:val="single" w:color="auto" w:sz="4" w:space="0"/>
              <w:bottom w:val="single" w:color="auto" w:sz="4" w:space="0"/>
              <w:right w:val="single" w:color="auto" w:sz="4" w:space="0"/>
            </w:tcBorders>
            <w:vAlign w:val="center"/>
          </w:tcPr>
          <w:p w14:paraId="585D7E31">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15</w:t>
            </w:r>
          </w:p>
          <w:p w14:paraId="15BEFED6">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(0,4%)</w:t>
            </w:r>
          </w:p>
        </w:tc>
        <w:tc>
          <w:tcPr>
            <w:tcW w:w="2977" w:type="dxa"/>
            <w:tcBorders>
              <w:top w:val="single" w:color="auto" w:sz="4" w:space="0"/>
              <w:left w:val="single" w:color="auto" w:sz="4" w:space="0"/>
              <w:bottom w:val="single" w:color="auto" w:sz="4" w:space="0"/>
              <w:right w:val="single" w:color="auto" w:sz="4" w:space="0"/>
            </w:tcBorders>
            <w:vAlign w:val="center"/>
          </w:tcPr>
          <w:p w14:paraId="5B4313D5">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13</w:t>
            </w:r>
          </w:p>
          <w:p w14:paraId="375CC625">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(0,3%)</w:t>
            </w:r>
          </w:p>
        </w:tc>
        <w:tc>
          <w:tcPr>
            <w:tcW w:w="30" w:type="dxa"/>
            <w:vMerge w:val="continue"/>
            <w:tcBorders>
              <w:left w:val="single" w:color="auto" w:sz="4" w:space="0"/>
            </w:tcBorders>
            <w:vAlign w:val="bottom"/>
          </w:tcPr>
          <w:p w14:paraId="7D2A4544">
            <w:pPr>
              <w:tabs>
                <w:tab w:val="clear" w:pos="284"/>
              </w:tabs>
              <w:rPr>
                <w:rFonts w:ascii="Microsoft Sans Serif" w:hAnsi="Microsoft Sans Serif" w:cs="Microsoft Sans Serif"/>
                <w:sz w:val="20"/>
                <w:szCs w:val="20"/>
              </w:rPr>
            </w:pPr>
          </w:p>
        </w:tc>
      </w:tr>
      <w:tr w14:paraId="3A7B18DF">
        <w:tblPrEx>
          <w:tblCellMar>
            <w:top w:w="0" w:type="dxa"/>
            <w:left w:w="0" w:type="dxa"/>
            <w:bottom w:w="0" w:type="dxa"/>
            <w:right w:w="0" w:type="dxa"/>
          </w:tblCellMar>
        </w:tblPrEx>
        <w:trPr>
          <w:trHeight w:val="20" w:hRule="atLeast"/>
        </w:trPr>
        <w:tc>
          <w:tcPr>
            <w:tcW w:w="3556" w:type="dxa"/>
            <w:tcBorders>
              <w:top w:val="single" w:color="auto" w:sz="4" w:space="0"/>
              <w:left w:val="single" w:color="auto" w:sz="4" w:space="0"/>
              <w:bottom w:val="single" w:color="auto" w:sz="4" w:space="0"/>
              <w:right w:val="single" w:color="auto" w:sz="4" w:space="0"/>
            </w:tcBorders>
            <w:vAlign w:val="center"/>
          </w:tcPr>
          <w:p w14:paraId="58D4BEED">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Obilna krvarenja ili klinički značajna krvarenja koja nisu obilna</w:t>
            </w:r>
          </w:p>
        </w:tc>
        <w:tc>
          <w:tcPr>
            <w:tcW w:w="2657" w:type="dxa"/>
            <w:tcBorders>
              <w:top w:val="single" w:color="auto" w:sz="4" w:space="0"/>
              <w:left w:val="single" w:color="auto" w:sz="4" w:space="0"/>
              <w:bottom w:val="single" w:color="auto" w:sz="4" w:space="0"/>
              <w:right w:val="single" w:color="auto" w:sz="4" w:space="0"/>
            </w:tcBorders>
            <w:vAlign w:val="center"/>
          </w:tcPr>
          <w:p w14:paraId="74AD65F5">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388</w:t>
            </w:r>
          </w:p>
          <w:p w14:paraId="3B2D5C5E">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(9,4%)</w:t>
            </w:r>
          </w:p>
        </w:tc>
        <w:tc>
          <w:tcPr>
            <w:tcW w:w="2977" w:type="dxa"/>
            <w:tcBorders>
              <w:top w:val="single" w:color="auto" w:sz="4" w:space="0"/>
              <w:left w:val="single" w:color="auto" w:sz="4" w:space="0"/>
              <w:bottom w:val="single" w:color="auto" w:sz="4" w:space="0"/>
              <w:right w:val="single" w:color="auto" w:sz="4" w:space="0"/>
            </w:tcBorders>
            <w:vAlign w:val="center"/>
          </w:tcPr>
          <w:p w14:paraId="563D5F6F">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412</w:t>
            </w:r>
          </w:p>
          <w:p w14:paraId="0B8304A3">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(10,0%)</w:t>
            </w:r>
          </w:p>
        </w:tc>
        <w:tc>
          <w:tcPr>
            <w:tcW w:w="30" w:type="dxa"/>
            <w:vMerge w:val="continue"/>
            <w:tcBorders>
              <w:left w:val="single" w:color="auto" w:sz="4" w:space="0"/>
            </w:tcBorders>
            <w:vAlign w:val="bottom"/>
          </w:tcPr>
          <w:p w14:paraId="3C55967D">
            <w:pPr>
              <w:tabs>
                <w:tab w:val="clear" w:pos="284"/>
              </w:tabs>
              <w:rPr>
                <w:rFonts w:ascii="Microsoft Sans Serif" w:hAnsi="Microsoft Sans Serif" w:cs="Microsoft Sans Serif"/>
                <w:sz w:val="20"/>
                <w:szCs w:val="20"/>
              </w:rPr>
            </w:pPr>
          </w:p>
        </w:tc>
      </w:tr>
      <w:tr w14:paraId="5B1DFED2">
        <w:tblPrEx>
          <w:tblCellMar>
            <w:top w:w="0" w:type="dxa"/>
            <w:left w:w="0" w:type="dxa"/>
            <w:bottom w:w="0" w:type="dxa"/>
            <w:right w:w="0" w:type="dxa"/>
          </w:tblCellMar>
        </w:tblPrEx>
        <w:trPr>
          <w:trHeight w:val="20" w:hRule="atLeast"/>
        </w:trPr>
        <w:tc>
          <w:tcPr>
            <w:tcW w:w="3556" w:type="dxa"/>
            <w:tcBorders>
              <w:top w:val="single" w:color="auto" w:sz="4" w:space="0"/>
              <w:left w:val="single" w:color="auto" w:sz="4" w:space="0"/>
              <w:bottom w:val="single" w:color="auto" w:sz="4" w:space="0"/>
              <w:right w:val="single" w:color="auto" w:sz="4" w:space="0"/>
            </w:tcBorders>
            <w:vAlign w:val="center"/>
          </w:tcPr>
          <w:p w14:paraId="1F75E63A">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Obilna krvarenja</w:t>
            </w:r>
          </w:p>
        </w:tc>
        <w:tc>
          <w:tcPr>
            <w:tcW w:w="2657" w:type="dxa"/>
            <w:tcBorders>
              <w:top w:val="single" w:color="auto" w:sz="4" w:space="0"/>
              <w:left w:val="single" w:color="auto" w:sz="4" w:space="0"/>
              <w:bottom w:val="single" w:color="auto" w:sz="4" w:space="0"/>
              <w:right w:val="single" w:color="auto" w:sz="4" w:space="0"/>
            </w:tcBorders>
            <w:vAlign w:val="center"/>
          </w:tcPr>
          <w:p w14:paraId="090DEFED">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40</w:t>
            </w:r>
          </w:p>
          <w:p w14:paraId="76BA1B0E">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(1,0%)</w:t>
            </w:r>
          </w:p>
        </w:tc>
        <w:tc>
          <w:tcPr>
            <w:tcW w:w="2977" w:type="dxa"/>
            <w:tcBorders>
              <w:top w:val="single" w:color="auto" w:sz="4" w:space="0"/>
              <w:left w:val="single" w:color="auto" w:sz="4" w:space="0"/>
              <w:bottom w:val="single" w:color="auto" w:sz="4" w:space="0"/>
              <w:right w:val="single" w:color="auto" w:sz="4" w:space="0"/>
            </w:tcBorders>
            <w:vAlign w:val="center"/>
          </w:tcPr>
          <w:p w14:paraId="5CACDE9F">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72</w:t>
            </w:r>
          </w:p>
          <w:p w14:paraId="6EE56163">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(1,7%)</w:t>
            </w:r>
          </w:p>
        </w:tc>
        <w:tc>
          <w:tcPr>
            <w:tcW w:w="30" w:type="dxa"/>
            <w:vMerge w:val="continue"/>
            <w:tcBorders>
              <w:left w:val="single" w:color="auto" w:sz="4" w:space="0"/>
              <w:bottom w:val="nil"/>
            </w:tcBorders>
            <w:vAlign w:val="bottom"/>
          </w:tcPr>
          <w:p w14:paraId="70D5F4D2">
            <w:pPr>
              <w:tabs>
                <w:tab w:val="clear" w:pos="284"/>
              </w:tabs>
              <w:rPr>
                <w:rFonts w:ascii="Microsoft Sans Serif" w:hAnsi="Microsoft Sans Serif" w:cs="Microsoft Sans Serif"/>
                <w:sz w:val="20"/>
                <w:szCs w:val="20"/>
              </w:rPr>
            </w:pPr>
          </w:p>
        </w:tc>
      </w:tr>
    </w:tbl>
    <w:p w14:paraId="28C592BC">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vertAlign w:val="superscript"/>
        </w:rPr>
        <w:t>a)</w:t>
      </w:r>
      <w:r>
        <w:rPr>
          <w:rFonts w:ascii="Microsoft Sans Serif" w:hAnsi="Microsoft Sans Serif" w:cs="Microsoft Sans Serif"/>
          <w:sz w:val="20"/>
          <w:szCs w:val="20"/>
        </w:rPr>
        <w:t xml:space="preserve"> Rivaroksaban 15 mg dva puta dnevno tokom 3 nedelјe, potom 20 mg jednom dnevno</w:t>
      </w:r>
    </w:p>
    <w:p w14:paraId="3E9B04F9">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vertAlign w:val="superscript"/>
        </w:rPr>
        <w:t>b)</w:t>
      </w:r>
      <w:r>
        <w:rPr>
          <w:rFonts w:ascii="Microsoft Sans Serif" w:hAnsi="Microsoft Sans Serif" w:cs="Microsoft Sans Serif"/>
          <w:sz w:val="20"/>
          <w:szCs w:val="20"/>
        </w:rPr>
        <w:t xml:space="preserve"> Enoksaparin tokom najmanje 5 dana preklapa se i nastavlјa terapija sa VKA</w:t>
      </w:r>
    </w:p>
    <w:p w14:paraId="5C1A93A8">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p &lt; 0,0001 (neinferiornost u odnosu na predefinisani HR 1,75); HR: 0,886 (0,661 –</w:t>
      </w:r>
    </w:p>
    <w:p w14:paraId="029F6DA6">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1,186)</w:t>
      </w:r>
    </w:p>
    <w:p w14:paraId="393E3613">
      <w:pPr>
        <w:tabs>
          <w:tab w:val="clear" w:pos="284"/>
        </w:tabs>
        <w:rPr>
          <w:rFonts w:ascii="Microsoft Sans Serif" w:hAnsi="Microsoft Sans Serif" w:cs="Microsoft Sans Serif"/>
          <w:sz w:val="20"/>
          <w:szCs w:val="20"/>
        </w:rPr>
      </w:pPr>
    </w:p>
    <w:p w14:paraId="22AD364C">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Predefinisana ukupna klinička korist (primarni ishod efikasnosti plus obilna krvarenja) objedinjene analize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zabilježila HR 0,771 ((95% CI: 0,614 – 0,967) nominalna p vrijednost p=0,0244).</w:t>
      </w:r>
    </w:p>
    <w:p w14:paraId="6A08BF59">
      <w:pPr>
        <w:tabs>
          <w:tab w:val="clear" w:pos="284"/>
        </w:tabs>
        <w:rPr>
          <w:rFonts w:ascii="Microsoft Sans Serif" w:hAnsi="Microsoft Sans Serif" w:cs="Microsoft Sans Serif"/>
          <w:sz w:val="20"/>
          <w:szCs w:val="20"/>
        </w:rPr>
      </w:pPr>
    </w:p>
    <w:p w14:paraId="6CA1ACF2">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U Einstein Extension studiji (pogledati tabelu 9), rivaroksaban se pokazao superiornim u odnosu na placebo za primarne i sekundarne ishode efikasnosti. Za primarni ishod bezbjednosti (obilna krvarenja) nije postojala značajno brojno veća stopa incidence za pacijente na terapiji rivaroksabanom 20 mg jednom dnevno, u poređenju sa placebom. Sekundarni ishod bezbjednosti (obilna krvarenja ili klinički značajna krvarenja koja nisu obilna) su pokazali veće stope učestalosti za pacijente na terapiji rivaroksabanom u dozi od 20 mg jednom dnevno u poređenju sa placebom.</w:t>
      </w:r>
    </w:p>
    <w:p w14:paraId="1174A42C">
      <w:pPr>
        <w:tabs>
          <w:tab w:val="clear" w:pos="284"/>
        </w:tabs>
        <w:rPr>
          <w:rFonts w:ascii="Microsoft Sans Serif" w:hAnsi="Microsoft Sans Serif" w:cs="Microsoft Sans Serif"/>
          <w:sz w:val="20"/>
          <w:szCs w:val="20"/>
        </w:rPr>
      </w:pPr>
    </w:p>
    <w:p w14:paraId="42CAE0F5">
      <w:pPr>
        <w:tabs>
          <w:tab w:val="clear" w:pos="284"/>
        </w:tabs>
        <w:rPr>
          <w:rFonts w:ascii="Microsoft Sans Serif" w:hAnsi="Microsoft Sans Serif" w:cs="Microsoft Sans Serif"/>
          <w:b/>
          <w:sz w:val="20"/>
          <w:szCs w:val="20"/>
        </w:rPr>
      </w:pPr>
      <w:r>
        <w:rPr>
          <w:rFonts w:ascii="Microsoft Sans Serif" w:hAnsi="Microsoft Sans Serif" w:cs="Microsoft Sans Serif"/>
          <w:b/>
          <w:sz w:val="20"/>
          <w:szCs w:val="20"/>
        </w:rPr>
        <w:t>Tabela 9: Rezultati efikasnosti i bezbjednosti iz Einstein Extension studije faze III</w:t>
      </w:r>
    </w:p>
    <w:tbl>
      <w:tblPr>
        <w:tblStyle w:val="7"/>
        <w:tblW w:w="9230" w:type="dxa"/>
        <w:tblInd w:w="10" w:type="dxa"/>
        <w:tblLayout w:type="fixed"/>
        <w:tblCellMar>
          <w:top w:w="0" w:type="dxa"/>
          <w:left w:w="0" w:type="dxa"/>
          <w:bottom w:w="0" w:type="dxa"/>
          <w:right w:w="0" w:type="dxa"/>
        </w:tblCellMar>
      </w:tblPr>
      <w:tblGrid>
        <w:gridCol w:w="3700"/>
        <w:gridCol w:w="2680"/>
        <w:gridCol w:w="2820"/>
        <w:gridCol w:w="30"/>
      </w:tblGrid>
      <w:tr w14:paraId="0630EB4A">
        <w:tblPrEx>
          <w:tblCellMar>
            <w:top w:w="0" w:type="dxa"/>
            <w:left w:w="0" w:type="dxa"/>
            <w:bottom w:w="0" w:type="dxa"/>
            <w:right w:w="0" w:type="dxa"/>
          </w:tblCellMar>
        </w:tblPrEx>
        <w:trPr>
          <w:trHeight w:val="20" w:hRule="atLeast"/>
        </w:trPr>
        <w:tc>
          <w:tcPr>
            <w:tcW w:w="3700" w:type="dxa"/>
            <w:tcBorders>
              <w:top w:val="single" w:color="auto" w:sz="8" w:space="0"/>
              <w:left w:val="single" w:color="auto" w:sz="8" w:space="0"/>
              <w:bottom w:val="single" w:color="auto" w:sz="4" w:space="0"/>
              <w:right w:val="single" w:color="auto" w:sz="8" w:space="0"/>
            </w:tcBorders>
            <w:vAlign w:val="center"/>
          </w:tcPr>
          <w:p w14:paraId="7C2500F3">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Studija u populaciji</w:t>
            </w:r>
          </w:p>
        </w:tc>
        <w:tc>
          <w:tcPr>
            <w:tcW w:w="5500" w:type="dxa"/>
            <w:gridSpan w:val="2"/>
            <w:tcBorders>
              <w:top w:val="single" w:color="auto" w:sz="8" w:space="0"/>
              <w:bottom w:val="single" w:color="auto" w:sz="4" w:space="0"/>
              <w:right w:val="single" w:color="auto" w:sz="8" w:space="0"/>
            </w:tcBorders>
            <w:vAlign w:val="center"/>
          </w:tcPr>
          <w:p w14:paraId="32A26456">
            <w:pPr>
              <w:tabs>
                <w:tab w:val="clear" w:pos="284"/>
              </w:tabs>
              <w:jc w:val="left"/>
              <w:rPr>
                <w:rFonts w:ascii="Microsoft Sans Serif" w:hAnsi="Microsoft Sans Serif" w:cs="Microsoft Sans Serif"/>
                <w:b/>
                <w:bCs/>
                <w:sz w:val="20"/>
                <w:szCs w:val="20"/>
              </w:rPr>
            </w:pPr>
            <w:r>
              <w:rPr>
                <w:rFonts w:ascii="Microsoft Sans Serif" w:hAnsi="Microsoft Sans Serif" w:cs="Microsoft Sans Serif"/>
                <w:b/>
                <w:bCs/>
                <w:sz w:val="20"/>
                <w:szCs w:val="20"/>
              </w:rPr>
              <w:t>1,197 pacijenata koji su nastavili terapiju i prevenciju</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rPr>
              <w:t>rekurentne venske tromboembolije</w:t>
            </w:r>
          </w:p>
        </w:tc>
        <w:tc>
          <w:tcPr>
            <w:tcW w:w="30" w:type="dxa"/>
            <w:vMerge w:val="restart"/>
            <w:tcBorders>
              <w:bottom w:val="nil"/>
            </w:tcBorders>
            <w:vAlign w:val="bottom"/>
          </w:tcPr>
          <w:p w14:paraId="1AF00D0A">
            <w:pPr>
              <w:tabs>
                <w:tab w:val="clear" w:pos="284"/>
              </w:tabs>
              <w:rPr>
                <w:rFonts w:ascii="Microsoft Sans Serif" w:hAnsi="Microsoft Sans Serif" w:cs="Microsoft Sans Serif"/>
                <w:sz w:val="20"/>
                <w:szCs w:val="20"/>
              </w:rPr>
            </w:pPr>
          </w:p>
        </w:tc>
      </w:tr>
      <w:tr w14:paraId="2DAC4155">
        <w:tblPrEx>
          <w:tblCellMar>
            <w:top w:w="0" w:type="dxa"/>
            <w:left w:w="0" w:type="dxa"/>
            <w:bottom w:w="0" w:type="dxa"/>
            <w:right w:w="0" w:type="dxa"/>
          </w:tblCellMar>
        </w:tblPrEx>
        <w:trPr>
          <w:trHeight w:val="20" w:hRule="atLeast"/>
        </w:trPr>
        <w:tc>
          <w:tcPr>
            <w:tcW w:w="3700" w:type="dxa"/>
            <w:tcBorders>
              <w:top w:val="single" w:color="auto" w:sz="4" w:space="0"/>
              <w:left w:val="single" w:color="auto" w:sz="4" w:space="0"/>
              <w:bottom w:val="single" w:color="auto" w:sz="4" w:space="0"/>
              <w:right w:val="single" w:color="auto" w:sz="4" w:space="0"/>
            </w:tcBorders>
            <w:vAlign w:val="center"/>
          </w:tcPr>
          <w:p w14:paraId="1DBF2145">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Terapijska doza i dužina primjene</w:t>
            </w:r>
          </w:p>
        </w:tc>
        <w:tc>
          <w:tcPr>
            <w:tcW w:w="2680" w:type="dxa"/>
            <w:tcBorders>
              <w:top w:val="single" w:color="auto" w:sz="4" w:space="0"/>
              <w:left w:val="single" w:color="auto" w:sz="4" w:space="0"/>
              <w:bottom w:val="single" w:color="auto" w:sz="4" w:space="0"/>
              <w:right w:val="single" w:color="auto" w:sz="4" w:space="0"/>
            </w:tcBorders>
            <w:vAlign w:val="center"/>
          </w:tcPr>
          <w:p w14:paraId="486C0E10">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lang w:val="sr-Cyrl-RS"/>
              </w:rPr>
              <w:t>Rivaroksaban</w:t>
            </w:r>
            <w:r>
              <w:rPr>
                <w:rFonts w:ascii="Microsoft Sans Serif" w:hAnsi="Microsoft Sans Serif" w:cs="Microsoft Sans Serif"/>
                <w:b/>
                <w:bCs/>
                <w:sz w:val="20"/>
                <w:szCs w:val="20"/>
                <w:vertAlign w:val="superscript"/>
              </w:rPr>
              <w:t>a)</w:t>
            </w:r>
          </w:p>
          <w:p w14:paraId="746445EA">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6 ili 12 mjeseci</w:t>
            </w:r>
          </w:p>
          <w:p w14:paraId="45DB1480">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N=602</w:t>
            </w:r>
          </w:p>
        </w:tc>
        <w:tc>
          <w:tcPr>
            <w:tcW w:w="2820" w:type="dxa"/>
            <w:tcBorders>
              <w:top w:val="single" w:color="auto" w:sz="4" w:space="0"/>
              <w:left w:val="single" w:color="auto" w:sz="4" w:space="0"/>
              <w:bottom w:val="single" w:color="auto" w:sz="4" w:space="0"/>
              <w:right w:val="single" w:color="auto" w:sz="4" w:space="0"/>
            </w:tcBorders>
            <w:vAlign w:val="center"/>
          </w:tcPr>
          <w:p w14:paraId="00AE3AF6">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Placebo</w:t>
            </w:r>
          </w:p>
          <w:p w14:paraId="37189548">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6 ili 12 mjeseci</w:t>
            </w:r>
          </w:p>
          <w:p w14:paraId="4523C18D">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N=594</w:t>
            </w:r>
          </w:p>
        </w:tc>
        <w:tc>
          <w:tcPr>
            <w:tcW w:w="30" w:type="dxa"/>
            <w:vMerge w:val="continue"/>
            <w:tcBorders>
              <w:left w:val="single" w:color="auto" w:sz="4" w:space="0"/>
              <w:bottom w:val="nil"/>
            </w:tcBorders>
            <w:vAlign w:val="bottom"/>
          </w:tcPr>
          <w:p w14:paraId="07C50DBA">
            <w:pPr>
              <w:tabs>
                <w:tab w:val="clear" w:pos="284"/>
              </w:tabs>
              <w:rPr>
                <w:rFonts w:ascii="Microsoft Sans Serif" w:hAnsi="Microsoft Sans Serif" w:cs="Microsoft Sans Serif"/>
                <w:sz w:val="20"/>
                <w:szCs w:val="20"/>
              </w:rPr>
            </w:pPr>
          </w:p>
        </w:tc>
      </w:tr>
      <w:tr w14:paraId="48C88689">
        <w:tblPrEx>
          <w:tblCellMar>
            <w:top w:w="0" w:type="dxa"/>
            <w:left w:w="0" w:type="dxa"/>
            <w:bottom w:w="0" w:type="dxa"/>
            <w:right w:w="0" w:type="dxa"/>
          </w:tblCellMar>
        </w:tblPrEx>
        <w:trPr>
          <w:trHeight w:val="20" w:hRule="atLeast"/>
        </w:trPr>
        <w:tc>
          <w:tcPr>
            <w:tcW w:w="3700" w:type="dxa"/>
            <w:tcBorders>
              <w:top w:val="single" w:color="auto" w:sz="4" w:space="0"/>
              <w:left w:val="single" w:color="auto" w:sz="4" w:space="0"/>
              <w:bottom w:val="single" w:color="auto" w:sz="4" w:space="0"/>
              <w:right w:val="single" w:color="auto" w:sz="4" w:space="0"/>
            </w:tcBorders>
            <w:vAlign w:val="center"/>
          </w:tcPr>
          <w:p w14:paraId="44532C86">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Simptomatska rekurentna</w:t>
            </w:r>
            <w:r>
              <w:rPr>
                <w:rFonts w:ascii="Microsoft Sans Serif" w:hAnsi="Microsoft Sans Serif" w:cs="Microsoft Sans Serif"/>
                <w:sz w:val="20"/>
                <w:szCs w:val="20"/>
              </w:rPr>
              <w:t xml:space="preserve"> </w:t>
            </w:r>
            <w:r>
              <w:rPr>
                <w:rFonts w:ascii="Microsoft Sans Serif" w:hAnsi="Microsoft Sans Serif" w:cs="Microsoft Sans Serif"/>
                <w:sz w:val="20"/>
                <w:szCs w:val="20"/>
                <w:lang w:val="sr-Cyrl-RS"/>
              </w:rPr>
              <w:t>V</w:t>
            </w:r>
            <w:r>
              <w:rPr>
                <w:rFonts w:ascii="Microsoft Sans Serif" w:hAnsi="Microsoft Sans Serif" w:cs="Microsoft Sans Serif"/>
                <w:sz w:val="20"/>
                <w:szCs w:val="20"/>
              </w:rPr>
              <w:t>TE*</w:t>
            </w:r>
          </w:p>
        </w:tc>
        <w:tc>
          <w:tcPr>
            <w:tcW w:w="2680" w:type="dxa"/>
            <w:tcBorders>
              <w:top w:val="single" w:color="auto" w:sz="4" w:space="0"/>
              <w:left w:val="single" w:color="auto" w:sz="4" w:space="0"/>
              <w:bottom w:val="single" w:color="auto" w:sz="4" w:space="0"/>
              <w:right w:val="single" w:color="auto" w:sz="4" w:space="0"/>
            </w:tcBorders>
            <w:vAlign w:val="center"/>
          </w:tcPr>
          <w:p w14:paraId="45DFF7EE">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8</w:t>
            </w:r>
          </w:p>
          <w:p w14:paraId="3C374AD7">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(1,3%)</w:t>
            </w:r>
          </w:p>
        </w:tc>
        <w:tc>
          <w:tcPr>
            <w:tcW w:w="2820" w:type="dxa"/>
            <w:tcBorders>
              <w:top w:val="single" w:color="auto" w:sz="4" w:space="0"/>
              <w:left w:val="single" w:color="auto" w:sz="4" w:space="0"/>
              <w:bottom w:val="single" w:color="auto" w:sz="4" w:space="0"/>
              <w:right w:val="single" w:color="auto" w:sz="4" w:space="0"/>
            </w:tcBorders>
            <w:vAlign w:val="center"/>
          </w:tcPr>
          <w:p w14:paraId="303EEABB">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42</w:t>
            </w:r>
          </w:p>
          <w:p w14:paraId="78BFCC7D">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(7,1%)</w:t>
            </w:r>
          </w:p>
        </w:tc>
        <w:tc>
          <w:tcPr>
            <w:tcW w:w="30" w:type="dxa"/>
            <w:vMerge w:val="continue"/>
            <w:tcBorders>
              <w:left w:val="single" w:color="auto" w:sz="4" w:space="0"/>
              <w:bottom w:val="nil"/>
            </w:tcBorders>
            <w:vAlign w:val="bottom"/>
          </w:tcPr>
          <w:p w14:paraId="7114DF54">
            <w:pPr>
              <w:tabs>
                <w:tab w:val="clear" w:pos="284"/>
              </w:tabs>
              <w:rPr>
                <w:rFonts w:ascii="Microsoft Sans Serif" w:hAnsi="Microsoft Sans Serif" w:cs="Microsoft Sans Serif"/>
                <w:sz w:val="20"/>
                <w:szCs w:val="20"/>
              </w:rPr>
            </w:pPr>
          </w:p>
        </w:tc>
      </w:tr>
      <w:tr w14:paraId="793F4535">
        <w:tblPrEx>
          <w:tblCellMar>
            <w:top w:w="0" w:type="dxa"/>
            <w:left w:w="0" w:type="dxa"/>
            <w:bottom w:w="0" w:type="dxa"/>
            <w:right w:w="0" w:type="dxa"/>
          </w:tblCellMar>
        </w:tblPrEx>
        <w:trPr>
          <w:trHeight w:val="20" w:hRule="atLeast"/>
        </w:trPr>
        <w:tc>
          <w:tcPr>
            <w:tcW w:w="3700" w:type="dxa"/>
            <w:tcBorders>
              <w:top w:val="single" w:color="auto" w:sz="4" w:space="0"/>
              <w:left w:val="single" w:color="auto" w:sz="4" w:space="0"/>
              <w:bottom w:val="single" w:color="auto" w:sz="4" w:space="0"/>
              <w:right w:val="single" w:color="auto" w:sz="4" w:space="0"/>
            </w:tcBorders>
            <w:vAlign w:val="center"/>
          </w:tcPr>
          <w:p w14:paraId="4FDE1AB3">
            <w:pPr>
              <w:tabs>
                <w:tab w:val="clear" w:pos="284"/>
              </w:tabs>
              <w:ind w:left="426"/>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Simptomatska rekurentna</w:t>
            </w:r>
            <w:r>
              <w:rPr>
                <w:rFonts w:ascii="Microsoft Sans Serif" w:hAnsi="Microsoft Sans Serif" w:cs="Microsoft Sans Serif"/>
                <w:sz w:val="20"/>
                <w:szCs w:val="20"/>
              </w:rPr>
              <w:t xml:space="preserve"> </w:t>
            </w:r>
            <w:r>
              <w:rPr>
                <w:rFonts w:ascii="Microsoft Sans Serif" w:hAnsi="Microsoft Sans Serif" w:cs="Microsoft Sans Serif"/>
                <w:sz w:val="20"/>
                <w:szCs w:val="20"/>
                <w:lang w:val="sr-Cyrl-RS"/>
              </w:rPr>
              <w:t>P</w:t>
            </w:r>
            <w:r>
              <w:rPr>
                <w:rFonts w:ascii="Microsoft Sans Serif" w:hAnsi="Microsoft Sans Serif" w:cs="Microsoft Sans Serif"/>
                <w:sz w:val="20"/>
                <w:szCs w:val="20"/>
              </w:rPr>
              <w:t>E</w:t>
            </w:r>
          </w:p>
        </w:tc>
        <w:tc>
          <w:tcPr>
            <w:tcW w:w="2680" w:type="dxa"/>
            <w:tcBorders>
              <w:top w:val="single" w:color="auto" w:sz="4" w:space="0"/>
              <w:left w:val="single" w:color="auto" w:sz="4" w:space="0"/>
              <w:bottom w:val="single" w:color="auto" w:sz="4" w:space="0"/>
              <w:right w:val="single" w:color="auto" w:sz="4" w:space="0"/>
            </w:tcBorders>
            <w:vAlign w:val="center"/>
          </w:tcPr>
          <w:p w14:paraId="16B31235">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rPr>
              <w:t>2</w:t>
            </w:r>
          </w:p>
          <w:p w14:paraId="6ECE322C">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(0,3%)</w:t>
            </w:r>
          </w:p>
        </w:tc>
        <w:tc>
          <w:tcPr>
            <w:tcW w:w="2820" w:type="dxa"/>
            <w:tcBorders>
              <w:top w:val="single" w:color="auto" w:sz="4" w:space="0"/>
              <w:left w:val="single" w:color="auto" w:sz="4" w:space="0"/>
              <w:bottom w:val="single" w:color="auto" w:sz="4" w:space="0"/>
              <w:right w:val="single" w:color="auto" w:sz="4" w:space="0"/>
            </w:tcBorders>
            <w:vAlign w:val="center"/>
          </w:tcPr>
          <w:p w14:paraId="7767C7A7">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13</w:t>
            </w:r>
          </w:p>
          <w:p w14:paraId="636353AB">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(2,2%)</w:t>
            </w:r>
          </w:p>
        </w:tc>
        <w:tc>
          <w:tcPr>
            <w:tcW w:w="30" w:type="dxa"/>
            <w:vMerge w:val="continue"/>
            <w:tcBorders>
              <w:left w:val="single" w:color="auto" w:sz="4" w:space="0"/>
              <w:bottom w:val="nil"/>
            </w:tcBorders>
            <w:vAlign w:val="bottom"/>
          </w:tcPr>
          <w:p w14:paraId="748DA6A7">
            <w:pPr>
              <w:tabs>
                <w:tab w:val="clear" w:pos="284"/>
              </w:tabs>
              <w:rPr>
                <w:rFonts w:ascii="Microsoft Sans Serif" w:hAnsi="Microsoft Sans Serif" w:cs="Microsoft Sans Serif"/>
                <w:sz w:val="20"/>
                <w:szCs w:val="20"/>
              </w:rPr>
            </w:pPr>
          </w:p>
        </w:tc>
      </w:tr>
      <w:tr w14:paraId="7B2F2B63">
        <w:tblPrEx>
          <w:tblCellMar>
            <w:top w:w="0" w:type="dxa"/>
            <w:left w:w="0" w:type="dxa"/>
            <w:bottom w:w="0" w:type="dxa"/>
            <w:right w:w="0" w:type="dxa"/>
          </w:tblCellMar>
        </w:tblPrEx>
        <w:trPr>
          <w:trHeight w:val="20" w:hRule="atLeast"/>
        </w:trPr>
        <w:tc>
          <w:tcPr>
            <w:tcW w:w="3700" w:type="dxa"/>
            <w:tcBorders>
              <w:top w:val="single" w:color="auto" w:sz="4" w:space="0"/>
              <w:left w:val="single" w:color="auto" w:sz="4" w:space="0"/>
              <w:bottom w:val="single" w:color="auto" w:sz="4" w:space="0"/>
              <w:right w:val="single" w:color="auto" w:sz="4" w:space="0"/>
            </w:tcBorders>
            <w:vAlign w:val="center"/>
          </w:tcPr>
          <w:p w14:paraId="0B4EFBDE">
            <w:pPr>
              <w:tabs>
                <w:tab w:val="clear" w:pos="284"/>
              </w:tabs>
              <w:ind w:left="426"/>
              <w:jc w:val="left"/>
              <w:rPr>
                <w:rFonts w:ascii="Microsoft Sans Serif" w:hAnsi="Microsoft Sans Serif" w:cs="Microsoft Sans Serif"/>
                <w:sz w:val="20"/>
                <w:szCs w:val="20"/>
                <w:lang w:val="hr-BA"/>
              </w:rPr>
            </w:pPr>
            <w:r>
              <w:rPr>
                <w:rFonts w:ascii="Microsoft Sans Serif" w:hAnsi="Microsoft Sans Serif" w:cs="Microsoft Sans Serif"/>
                <w:sz w:val="20"/>
                <w:szCs w:val="20"/>
                <w:lang w:val="sr-Cyrl-RS"/>
              </w:rPr>
              <w:t>Simptomatska rekurentna</w:t>
            </w:r>
            <w:r>
              <w:rPr>
                <w:rFonts w:ascii="Microsoft Sans Serif" w:hAnsi="Microsoft Sans Serif" w:cs="Microsoft Sans Serif"/>
                <w:sz w:val="20"/>
                <w:szCs w:val="20"/>
              </w:rPr>
              <w:t xml:space="preserve"> </w:t>
            </w:r>
            <w:r>
              <w:rPr>
                <w:rFonts w:ascii="Microsoft Sans Serif" w:hAnsi="Microsoft Sans Serif" w:cs="Microsoft Sans Serif"/>
                <w:sz w:val="20"/>
                <w:szCs w:val="20"/>
                <w:lang w:val="sr-Cyrl-RS"/>
              </w:rPr>
              <w:t>DV</w:t>
            </w:r>
            <w:r>
              <w:rPr>
                <w:rFonts w:ascii="Microsoft Sans Serif" w:hAnsi="Microsoft Sans Serif" w:cs="Microsoft Sans Serif"/>
                <w:sz w:val="20"/>
                <w:szCs w:val="20"/>
                <w:lang w:val="hr-BA"/>
              </w:rPr>
              <w:t>T</w:t>
            </w:r>
          </w:p>
        </w:tc>
        <w:tc>
          <w:tcPr>
            <w:tcW w:w="2680" w:type="dxa"/>
            <w:tcBorders>
              <w:top w:val="single" w:color="auto" w:sz="4" w:space="0"/>
              <w:left w:val="single" w:color="auto" w:sz="4" w:space="0"/>
              <w:bottom w:val="single" w:color="auto" w:sz="4" w:space="0"/>
              <w:right w:val="single" w:color="auto" w:sz="4" w:space="0"/>
            </w:tcBorders>
            <w:vAlign w:val="center"/>
          </w:tcPr>
          <w:p w14:paraId="70211FA1">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5</w:t>
            </w:r>
          </w:p>
          <w:p w14:paraId="41C7553B">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(0,8%)</w:t>
            </w:r>
          </w:p>
        </w:tc>
        <w:tc>
          <w:tcPr>
            <w:tcW w:w="2820" w:type="dxa"/>
            <w:tcBorders>
              <w:top w:val="single" w:color="auto" w:sz="4" w:space="0"/>
              <w:left w:val="single" w:color="auto" w:sz="4" w:space="0"/>
              <w:bottom w:val="single" w:color="auto" w:sz="4" w:space="0"/>
              <w:right w:val="single" w:color="auto" w:sz="4" w:space="0"/>
            </w:tcBorders>
            <w:vAlign w:val="center"/>
          </w:tcPr>
          <w:p w14:paraId="171D8816">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31</w:t>
            </w:r>
          </w:p>
          <w:p w14:paraId="62FA6AB0">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(5,2%)</w:t>
            </w:r>
          </w:p>
        </w:tc>
        <w:tc>
          <w:tcPr>
            <w:tcW w:w="30" w:type="dxa"/>
            <w:vMerge w:val="continue"/>
            <w:tcBorders>
              <w:left w:val="single" w:color="auto" w:sz="4" w:space="0"/>
              <w:bottom w:val="nil"/>
            </w:tcBorders>
            <w:vAlign w:val="bottom"/>
          </w:tcPr>
          <w:p w14:paraId="3BDBD2B5">
            <w:pPr>
              <w:tabs>
                <w:tab w:val="clear" w:pos="284"/>
              </w:tabs>
              <w:rPr>
                <w:rFonts w:ascii="Microsoft Sans Serif" w:hAnsi="Microsoft Sans Serif" w:cs="Microsoft Sans Serif"/>
                <w:sz w:val="20"/>
                <w:szCs w:val="20"/>
              </w:rPr>
            </w:pPr>
          </w:p>
        </w:tc>
      </w:tr>
      <w:tr w14:paraId="424BB59E">
        <w:tblPrEx>
          <w:tblCellMar>
            <w:top w:w="0" w:type="dxa"/>
            <w:left w:w="0" w:type="dxa"/>
            <w:bottom w:w="0" w:type="dxa"/>
            <w:right w:w="0" w:type="dxa"/>
          </w:tblCellMar>
        </w:tblPrEx>
        <w:trPr>
          <w:trHeight w:val="20" w:hRule="atLeast"/>
        </w:trPr>
        <w:tc>
          <w:tcPr>
            <w:tcW w:w="3700" w:type="dxa"/>
            <w:tcBorders>
              <w:top w:val="single" w:color="auto" w:sz="4" w:space="0"/>
              <w:left w:val="single" w:color="auto" w:sz="4" w:space="0"/>
              <w:bottom w:val="single" w:color="auto" w:sz="4" w:space="0"/>
              <w:right w:val="single" w:color="auto" w:sz="4" w:space="0"/>
            </w:tcBorders>
            <w:vAlign w:val="center"/>
          </w:tcPr>
          <w:p w14:paraId="5BA079A9">
            <w:pPr>
              <w:tabs>
                <w:tab w:val="clear" w:pos="284"/>
              </w:tabs>
              <w:ind w:left="426"/>
              <w:jc w:val="left"/>
              <w:rPr>
                <w:rFonts w:ascii="Microsoft Sans Serif" w:hAnsi="Microsoft Sans Serif" w:cs="Microsoft Sans Serif"/>
                <w:sz w:val="20"/>
                <w:szCs w:val="20"/>
              </w:rPr>
            </w:pPr>
            <w:r>
              <w:rPr>
                <w:rFonts w:ascii="Microsoft Sans Serif" w:hAnsi="Microsoft Sans Serif" w:cs="Microsoft Sans Serif"/>
                <w:sz w:val="20"/>
                <w:szCs w:val="20"/>
              </w:rPr>
              <w:t>PE sa smrtnim ishodom/Smrt gdje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 PE ne može isklјučiti</w:t>
            </w:r>
          </w:p>
        </w:tc>
        <w:tc>
          <w:tcPr>
            <w:tcW w:w="2680" w:type="dxa"/>
            <w:tcBorders>
              <w:top w:val="single" w:color="auto" w:sz="4" w:space="0"/>
              <w:left w:val="single" w:color="auto" w:sz="4" w:space="0"/>
              <w:bottom w:val="single" w:color="auto" w:sz="4" w:space="0"/>
              <w:right w:val="single" w:color="auto" w:sz="4" w:space="0"/>
            </w:tcBorders>
            <w:vAlign w:val="center"/>
          </w:tcPr>
          <w:p w14:paraId="36683C9C">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w:t>
            </w:r>
          </w:p>
          <w:p w14:paraId="57E9FBF2">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(0,2%)</w:t>
            </w:r>
          </w:p>
        </w:tc>
        <w:tc>
          <w:tcPr>
            <w:tcW w:w="2820" w:type="dxa"/>
            <w:tcBorders>
              <w:top w:val="single" w:color="auto" w:sz="4" w:space="0"/>
              <w:left w:val="single" w:color="auto" w:sz="4" w:space="0"/>
              <w:bottom w:val="single" w:color="auto" w:sz="4" w:space="0"/>
              <w:right w:val="single" w:color="auto" w:sz="4" w:space="0"/>
            </w:tcBorders>
            <w:vAlign w:val="center"/>
          </w:tcPr>
          <w:p w14:paraId="4673537F">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w:t>
            </w:r>
          </w:p>
          <w:p w14:paraId="51570E25">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(0,2%)</w:t>
            </w:r>
          </w:p>
        </w:tc>
        <w:tc>
          <w:tcPr>
            <w:tcW w:w="30" w:type="dxa"/>
            <w:vMerge w:val="continue"/>
            <w:tcBorders>
              <w:left w:val="single" w:color="auto" w:sz="4" w:space="0"/>
              <w:bottom w:val="nil"/>
            </w:tcBorders>
            <w:vAlign w:val="bottom"/>
          </w:tcPr>
          <w:p w14:paraId="13C68792">
            <w:pPr>
              <w:tabs>
                <w:tab w:val="clear" w:pos="284"/>
              </w:tabs>
              <w:rPr>
                <w:rFonts w:ascii="Microsoft Sans Serif" w:hAnsi="Microsoft Sans Serif" w:cs="Microsoft Sans Serif"/>
                <w:sz w:val="20"/>
                <w:szCs w:val="20"/>
              </w:rPr>
            </w:pPr>
          </w:p>
        </w:tc>
      </w:tr>
      <w:tr w14:paraId="056E438E">
        <w:tblPrEx>
          <w:tblCellMar>
            <w:top w:w="0" w:type="dxa"/>
            <w:left w:w="0" w:type="dxa"/>
            <w:bottom w:w="0" w:type="dxa"/>
            <w:right w:w="0" w:type="dxa"/>
          </w:tblCellMar>
        </w:tblPrEx>
        <w:trPr>
          <w:trHeight w:val="20" w:hRule="atLeast"/>
        </w:trPr>
        <w:tc>
          <w:tcPr>
            <w:tcW w:w="3700" w:type="dxa"/>
            <w:tcBorders>
              <w:top w:val="single" w:color="auto" w:sz="4" w:space="0"/>
              <w:left w:val="single" w:color="auto" w:sz="4" w:space="0"/>
              <w:bottom w:val="single" w:color="auto" w:sz="4" w:space="0"/>
              <w:right w:val="single" w:color="auto" w:sz="4" w:space="0"/>
            </w:tcBorders>
            <w:vAlign w:val="center"/>
          </w:tcPr>
          <w:p w14:paraId="6D835679">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Obilna krvarenja</w:t>
            </w:r>
          </w:p>
        </w:tc>
        <w:tc>
          <w:tcPr>
            <w:tcW w:w="2680" w:type="dxa"/>
            <w:tcBorders>
              <w:top w:val="single" w:color="auto" w:sz="4" w:space="0"/>
              <w:left w:val="single" w:color="auto" w:sz="4" w:space="0"/>
              <w:bottom w:val="single" w:color="auto" w:sz="4" w:space="0"/>
              <w:right w:val="single" w:color="auto" w:sz="4" w:space="0"/>
            </w:tcBorders>
            <w:vAlign w:val="center"/>
          </w:tcPr>
          <w:p w14:paraId="62994542">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4</w:t>
            </w:r>
          </w:p>
          <w:p w14:paraId="2D02E4FF">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(0,7%)</w:t>
            </w:r>
          </w:p>
        </w:tc>
        <w:tc>
          <w:tcPr>
            <w:tcW w:w="2820" w:type="dxa"/>
            <w:tcBorders>
              <w:top w:val="single" w:color="auto" w:sz="4" w:space="0"/>
              <w:left w:val="single" w:color="auto" w:sz="4" w:space="0"/>
              <w:bottom w:val="single" w:color="auto" w:sz="4" w:space="0"/>
              <w:right w:val="single" w:color="auto" w:sz="4" w:space="0"/>
            </w:tcBorders>
            <w:vAlign w:val="center"/>
          </w:tcPr>
          <w:p w14:paraId="6317D351">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p>
          <w:p w14:paraId="2412AB9C">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(0,0%)</w:t>
            </w:r>
          </w:p>
        </w:tc>
        <w:tc>
          <w:tcPr>
            <w:tcW w:w="30" w:type="dxa"/>
            <w:vMerge w:val="continue"/>
            <w:tcBorders>
              <w:left w:val="single" w:color="auto" w:sz="4" w:space="0"/>
              <w:bottom w:val="nil"/>
            </w:tcBorders>
            <w:vAlign w:val="bottom"/>
          </w:tcPr>
          <w:p w14:paraId="7B4E49B3">
            <w:pPr>
              <w:tabs>
                <w:tab w:val="clear" w:pos="284"/>
              </w:tabs>
              <w:rPr>
                <w:rFonts w:ascii="Microsoft Sans Serif" w:hAnsi="Microsoft Sans Serif" w:cs="Microsoft Sans Serif"/>
                <w:sz w:val="20"/>
                <w:szCs w:val="20"/>
              </w:rPr>
            </w:pPr>
          </w:p>
        </w:tc>
      </w:tr>
      <w:tr w14:paraId="089A17AA">
        <w:tblPrEx>
          <w:tblCellMar>
            <w:top w:w="0" w:type="dxa"/>
            <w:left w:w="0" w:type="dxa"/>
            <w:bottom w:w="0" w:type="dxa"/>
            <w:right w:w="0" w:type="dxa"/>
          </w:tblCellMar>
        </w:tblPrEx>
        <w:trPr>
          <w:trHeight w:val="20" w:hRule="atLeast"/>
        </w:trPr>
        <w:tc>
          <w:tcPr>
            <w:tcW w:w="3700" w:type="dxa"/>
            <w:tcBorders>
              <w:top w:val="single" w:color="auto" w:sz="4" w:space="0"/>
              <w:left w:val="single" w:color="auto" w:sz="4" w:space="0"/>
              <w:bottom w:val="single" w:color="auto" w:sz="4" w:space="0"/>
              <w:right w:val="single" w:color="auto" w:sz="4" w:space="0"/>
            </w:tcBorders>
            <w:vAlign w:val="center"/>
          </w:tcPr>
          <w:p w14:paraId="722244DF">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Klinički značajna krvarenja koja nisu obilna</w:t>
            </w:r>
          </w:p>
        </w:tc>
        <w:tc>
          <w:tcPr>
            <w:tcW w:w="2680" w:type="dxa"/>
            <w:tcBorders>
              <w:top w:val="single" w:color="auto" w:sz="4" w:space="0"/>
              <w:left w:val="single" w:color="auto" w:sz="4" w:space="0"/>
              <w:bottom w:val="single" w:color="auto" w:sz="4" w:space="0"/>
              <w:right w:val="single" w:color="auto" w:sz="4" w:space="0"/>
            </w:tcBorders>
            <w:vAlign w:val="center"/>
          </w:tcPr>
          <w:p w14:paraId="27B9183F">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32</w:t>
            </w:r>
          </w:p>
          <w:p w14:paraId="02E3FED5">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(5,4%)</w:t>
            </w:r>
          </w:p>
        </w:tc>
        <w:tc>
          <w:tcPr>
            <w:tcW w:w="2820" w:type="dxa"/>
            <w:tcBorders>
              <w:top w:val="single" w:color="auto" w:sz="4" w:space="0"/>
              <w:left w:val="single" w:color="auto" w:sz="4" w:space="0"/>
              <w:bottom w:val="single" w:color="auto" w:sz="4" w:space="0"/>
              <w:right w:val="single" w:color="auto" w:sz="4" w:space="0"/>
            </w:tcBorders>
            <w:vAlign w:val="center"/>
          </w:tcPr>
          <w:p w14:paraId="7FB3F1F7">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7</w:t>
            </w:r>
          </w:p>
          <w:p w14:paraId="3556809A">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(1,2%)</w:t>
            </w:r>
          </w:p>
        </w:tc>
        <w:tc>
          <w:tcPr>
            <w:tcW w:w="30" w:type="dxa"/>
            <w:vMerge w:val="continue"/>
            <w:tcBorders>
              <w:left w:val="single" w:color="auto" w:sz="4" w:space="0"/>
              <w:bottom w:val="nil"/>
            </w:tcBorders>
            <w:vAlign w:val="bottom"/>
          </w:tcPr>
          <w:p w14:paraId="529065B1">
            <w:pPr>
              <w:tabs>
                <w:tab w:val="clear" w:pos="284"/>
              </w:tabs>
              <w:rPr>
                <w:rFonts w:ascii="Microsoft Sans Serif" w:hAnsi="Microsoft Sans Serif" w:cs="Microsoft Sans Serif"/>
                <w:sz w:val="20"/>
                <w:szCs w:val="20"/>
              </w:rPr>
            </w:pPr>
          </w:p>
        </w:tc>
      </w:tr>
    </w:tbl>
    <w:p w14:paraId="1A8A7880">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vertAlign w:val="superscript"/>
        </w:rPr>
        <w:t>a)</w:t>
      </w:r>
      <w:r>
        <w:rPr>
          <w:rFonts w:ascii="Microsoft Sans Serif" w:hAnsi="Microsoft Sans Serif" w:cs="Microsoft Sans Serif"/>
          <w:sz w:val="20"/>
          <w:szCs w:val="20"/>
        </w:rPr>
        <w:t xml:space="preserve"> Rivaroksaban u dozi od 20 mg jednom dnevno</w:t>
      </w:r>
    </w:p>
    <w:p w14:paraId="4D3D92A0">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p &lt; 0,0001 (superiornost), HR: 0,185 (0,087 – 0,393)</w:t>
      </w:r>
    </w:p>
    <w:p w14:paraId="4E2EF2F2">
      <w:pPr>
        <w:tabs>
          <w:tab w:val="clear" w:pos="284"/>
        </w:tabs>
        <w:rPr>
          <w:rFonts w:ascii="Microsoft Sans Serif" w:hAnsi="Microsoft Sans Serif" w:cs="Microsoft Sans Serif"/>
          <w:sz w:val="20"/>
          <w:szCs w:val="20"/>
        </w:rPr>
      </w:pPr>
    </w:p>
    <w:p w14:paraId="7A2AFA30">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U Einstein Choice studiji (pogledati tabelu 10) terapije rivaroksabanom u dozi od 20 mg i rivaroksabanom u dozi od 10 mg su pokazale superiornost u pogledu primarnog ishoda efikasnosti u odnosu na acetilsalicilnu kiselinu u dozi od 100 mg. Glavni ishod bezbjednosti (obilna krvarenja) kod pacijenata na terapiji rivaroksabanom 20 mg i 10 mg jednom dnevno, je bio sličan onom kod pacijenata koji su bili na terapiji sa 100 mg acetilsalicilne kiseline.</w:t>
      </w:r>
    </w:p>
    <w:p w14:paraId="5DCD0031">
      <w:pPr>
        <w:tabs>
          <w:tab w:val="clear" w:pos="284"/>
        </w:tabs>
        <w:rPr>
          <w:rFonts w:ascii="Microsoft Sans Serif" w:hAnsi="Microsoft Sans Serif" w:cs="Microsoft Sans Serif"/>
          <w:sz w:val="20"/>
          <w:szCs w:val="20"/>
        </w:rPr>
      </w:pPr>
    </w:p>
    <w:p w14:paraId="1C8D4247">
      <w:pPr>
        <w:tabs>
          <w:tab w:val="clear" w:pos="284"/>
        </w:tabs>
        <w:rPr>
          <w:rFonts w:ascii="Microsoft Sans Serif" w:hAnsi="Microsoft Sans Serif" w:cs="Microsoft Sans Serif"/>
          <w:b/>
          <w:bCs/>
          <w:sz w:val="20"/>
          <w:szCs w:val="20"/>
        </w:rPr>
      </w:pPr>
      <w:r>
        <w:rPr>
          <w:rFonts w:ascii="Microsoft Sans Serif" w:hAnsi="Microsoft Sans Serif" w:cs="Microsoft Sans Serif"/>
          <w:b/>
          <w:bCs/>
          <w:sz w:val="20"/>
          <w:szCs w:val="20"/>
        </w:rPr>
        <w:t>Tabela 10: Rezultati efikasnosti i bezbjednosti iz Einstein Choice studije faze III</w:t>
      </w:r>
    </w:p>
    <w:tbl>
      <w:tblPr>
        <w:tblStyle w:val="7"/>
        <w:tblW w:w="9339" w:type="dxa"/>
        <w:tblInd w:w="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776"/>
        <w:gridCol w:w="2160"/>
        <w:gridCol w:w="2124"/>
        <w:gridCol w:w="2139"/>
        <w:gridCol w:w="140"/>
      </w:tblGrid>
      <w:tr w14:paraId="64907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2776" w:type="dxa"/>
            <w:vAlign w:val="center"/>
          </w:tcPr>
          <w:p w14:paraId="72345589">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Populacija u studiji</w:t>
            </w:r>
          </w:p>
        </w:tc>
        <w:tc>
          <w:tcPr>
            <w:tcW w:w="6423" w:type="dxa"/>
            <w:gridSpan w:val="3"/>
            <w:tcBorders>
              <w:right w:val="single" w:color="auto" w:sz="4" w:space="0"/>
            </w:tcBorders>
            <w:vAlign w:val="center"/>
          </w:tcPr>
          <w:p w14:paraId="5CC26E5E">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3,396 pacijenata koji su nastavili prevenciju rekurentne venske tromboembolije</w:t>
            </w:r>
          </w:p>
        </w:tc>
        <w:tc>
          <w:tcPr>
            <w:tcW w:w="140" w:type="dxa"/>
            <w:vMerge w:val="restart"/>
            <w:tcBorders>
              <w:top w:val="nil"/>
              <w:left w:val="single" w:color="auto" w:sz="4" w:space="0"/>
              <w:right w:val="nil"/>
            </w:tcBorders>
          </w:tcPr>
          <w:p w14:paraId="2A10E0E5">
            <w:pPr>
              <w:tabs>
                <w:tab w:val="clear" w:pos="284"/>
              </w:tabs>
              <w:rPr>
                <w:rFonts w:ascii="Microsoft Sans Serif" w:hAnsi="Microsoft Sans Serif" w:cs="Microsoft Sans Serif"/>
                <w:sz w:val="20"/>
                <w:szCs w:val="20"/>
              </w:rPr>
            </w:pPr>
          </w:p>
        </w:tc>
      </w:tr>
      <w:tr w14:paraId="359B5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2776" w:type="dxa"/>
            <w:vAlign w:val="center"/>
          </w:tcPr>
          <w:p w14:paraId="14F3C8F5">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Terapijska doza</w:t>
            </w:r>
          </w:p>
        </w:tc>
        <w:tc>
          <w:tcPr>
            <w:tcW w:w="2160" w:type="dxa"/>
            <w:vAlign w:val="center"/>
          </w:tcPr>
          <w:p w14:paraId="677113C0">
            <w:pPr>
              <w:tabs>
                <w:tab w:val="clear" w:pos="284"/>
              </w:tabs>
              <w:jc w:val="left"/>
              <w:rPr>
                <w:rFonts w:ascii="Microsoft Sans Serif" w:hAnsi="Microsoft Sans Serif" w:cs="Microsoft Sans Serif"/>
                <w:b/>
                <w:bCs/>
                <w:sz w:val="20"/>
                <w:szCs w:val="20"/>
              </w:rPr>
            </w:pPr>
            <w:r>
              <w:rPr>
                <w:rFonts w:ascii="Microsoft Sans Serif" w:hAnsi="Microsoft Sans Serif" w:cs="Microsoft Sans Serif"/>
                <w:b/>
                <w:bCs/>
                <w:sz w:val="20"/>
                <w:szCs w:val="20"/>
                <w:lang w:val="sr-Cyrl-RS"/>
              </w:rPr>
              <w:t>Rivaroksaban</w:t>
            </w:r>
            <w:r>
              <w:rPr>
                <w:rFonts w:ascii="Microsoft Sans Serif" w:hAnsi="Microsoft Sans Serif" w:cs="Microsoft Sans Serif"/>
                <w:b/>
                <w:bCs/>
                <w:sz w:val="20"/>
                <w:szCs w:val="20"/>
              </w:rPr>
              <w:t xml:space="preserve"> </w:t>
            </w:r>
          </w:p>
          <w:p w14:paraId="780FA827">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20 mg jednom dnevno</w:t>
            </w:r>
          </w:p>
          <w:p w14:paraId="0BB2E698">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N=1,107</w:t>
            </w:r>
          </w:p>
        </w:tc>
        <w:tc>
          <w:tcPr>
            <w:tcW w:w="2124" w:type="dxa"/>
            <w:vAlign w:val="center"/>
          </w:tcPr>
          <w:p w14:paraId="69450399">
            <w:pPr>
              <w:tabs>
                <w:tab w:val="clear" w:pos="284"/>
              </w:tabs>
              <w:jc w:val="left"/>
              <w:rPr>
                <w:rFonts w:ascii="Microsoft Sans Serif" w:hAnsi="Microsoft Sans Serif" w:cs="Microsoft Sans Serif"/>
                <w:b/>
                <w:bCs/>
                <w:sz w:val="20"/>
                <w:szCs w:val="20"/>
              </w:rPr>
            </w:pPr>
            <w:r>
              <w:rPr>
                <w:rFonts w:ascii="Microsoft Sans Serif" w:hAnsi="Microsoft Sans Serif" w:cs="Microsoft Sans Serif"/>
                <w:b/>
                <w:bCs/>
                <w:sz w:val="20"/>
                <w:szCs w:val="20"/>
                <w:lang w:val="sr-Cyrl-RS"/>
              </w:rPr>
              <w:t>Rivaroksaban</w:t>
            </w:r>
            <w:r>
              <w:rPr>
                <w:rFonts w:ascii="Microsoft Sans Serif" w:hAnsi="Microsoft Sans Serif" w:cs="Microsoft Sans Serif"/>
                <w:b/>
                <w:bCs/>
                <w:sz w:val="20"/>
                <w:szCs w:val="20"/>
              </w:rPr>
              <w:t xml:space="preserve"> </w:t>
            </w:r>
          </w:p>
          <w:p w14:paraId="17A7EF22">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10 mg jednom dnevno</w:t>
            </w:r>
          </w:p>
          <w:p w14:paraId="208DAA12">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N=1,127</w:t>
            </w:r>
          </w:p>
        </w:tc>
        <w:tc>
          <w:tcPr>
            <w:tcW w:w="2139" w:type="dxa"/>
            <w:tcBorders>
              <w:right w:val="single" w:color="auto" w:sz="4" w:space="0"/>
            </w:tcBorders>
            <w:vAlign w:val="center"/>
          </w:tcPr>
          <w:p w14:paraId="75C22949">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A</w:t>
            </w:r>
            <w:r>
              <w:rPr>
                <w:rFonts w:ascii="Microsoft Sans Serif" w:hAnsi="Microsoft Sans Serif" w:cs="Microsoft Sans Serif"/>
                <w:b/>
                <w:bCs/>
                <w:sz w:val="20"/>
                <w:szCs w:val="20"/>
                <w:lang w:val="sr-Cyrl-RS"/>
              </w:rPr>
              <w:t>SK</w:t>
            </w:r>
            <w:r>
              <w:rPr>
                <w:rFonts w:ascii="Microsoft Sans Serif" w:hAnsi="Microsoft Sans Serif" w:cs="Microsoft Sans Serif"/>
                <w:b/>
                <w:bCs/>
                <w:sz w:val="20"/>
                <w:szCs w:val="20"/>
              </w:rPr>
              <w:t xml:space="preserve"> 100 mg jednom dnevno</w:t>
            </w:r>
          </w:p>
          <w:p w14:paraId="34B6D0ED">
            <w:pPr>
              <w:tabs>
                <w:tab w:val="clear" w:pos="284"/>
              </w:tabs>
              <w:jc w:val="left"/>
              <w:rPr>
                <w:rFonts w:ascii="Microsoft Sans Serif" w:hAnsi="Microsoft Sans Serif" w:cs="Microsoft Sans Serif"/>
                <w:sz w:val="20"/>
                <w:szCs w:val="20"/>
              </w:rPr>
            </w:pPr>
            <w:r>
              <w:rPr>
                <w:rFonts w:ascii="Microsoft Sans Serif" w:hAnsi="Microsoft Sans Serif" w:cs="Microsoft Sans Serif"/>
                <w:b/>
                <w:bCs/>
                <w:sz w:val="20"/>
                <w:szCs w:val="20"/>
              </w:rPr>
              <w:t>N=1,131</w:t>
            </w:r>
          </w:p>
        </w:tc>
        <w:tc>
          <w:tcPr>
            <w:tcW w:w="140" w:type="dxa"/>
            <w:vMerge w:val="continue"/>
            <w:tcBorders>
              <w:left w:val="single" w:color="auto" w:sz="4" w:space="0"/>
              <w:right w:val="nil"/>
            </w:tcBorders>
          </w:tcPr>
          <w:p w14:paraId="6479F43B">
            <w:pPr>
              <w:tabs>
                <w:tab w:val="clear" w:pos="284"/>
              </w:tabs>
              <w:rPr>
                <w:rFonts w:ascii="Microsoft Sans Serif" w:hAnsi="Microsoft Sans Serif" w:cs="Microsoft Sans Serif"/>
                <w:sz w:val="20"/>
                <w:szCs w:val="20"/>
              </w:rPr>
            </w:pPr>
          </w:p>
        </w:tc>
      </w:tr>
      <w:tr w14:paraId="5FA5D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2776" w:type="dxa"/>
            <w:vAlign w:val="center"/>
          </w:tcPr>
          <w:p w14:paraId="23654D21">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Medijana dužine terapije</w:t>
            </w:r>
          </w:p>
          <w:p w14:paraId="004CB253">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[interkvartilni raspon]</w:t>
            </w:r>
          </w:p>
        </w:tc>
        <w:tc>
          <w:tcPr>
            <w:tcW w:w="2160" w:type="dxa"/>
            <w:vAlign w:val="center"/>
          </w:tcPr>
          <w:p w14:paraId="1961CAA2">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349 [189-362] dana</w:t>
            </w:r>
          </w:p>
        </w:tc>
        <w:tc>
          <w:tcPr>
            <w:tcW w:w="2124" w:type="dxa"/>
            <w:vAlign w:val="center"/>
          </w:tcPr>
          <w:p w14:paraId="57A77055">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353 [190-362] dana</w:t>
            </w:r>
          </w:p>
        </w:tc>
        <w:tc>
          <w:tcPr>
            <w:tcW w:w="2139" w:type="dxa"/>
            <w:tcBorders>
              <w:right w:val="single" w:color="auto" w:sz="4" w:space="0"/>
            </w:tcBorders>
            <w:vAlign w:val="center"/>
          </w:tcPr>
          <w:p w14:paraId="4D8D6006">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350 [186-362] dana</w:t>
            </w:r>
          </w:p>
        </w:tc>
        <w:tc>
          <w:tcPr>
            <w:tcW w:w="140" w:type="dxa"/>
            <w:vMerge w:val="continue"/>
            <w:tcBorders>
              <w:left w:val="single" w:color="auto" w:sz="4" w:space="0"/>
              <w:right w:val="nil"/>
            </w:tcBorders>
          </w:tcPr>
          <w:p w14:paraId="43A9AEDB">
            <w:pPr>
              <w:tabs>
                <w:tab w:val="clear" w:pos="284"/>
              </w:tabs>
              <w:rPr>
                <w:rFonts w:ascii="Microsoft Sans Serif" w:hAnsi="Microsoft Sans Serif" w:cs="Microsoft Sans Serif"/>
                <w:sz w:val="20"/>
                <w:szCs w:val="20"/>
              </w:rPr>
            </w:pPr>
          </w:p>
        </w:tc>
      </w:tr>
      <w:tr w14:paraId="7DF30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2776" w:type="dxa"/>
            <w:vAlign w:val="center"/>
          </w:tcPr>
          <w:p w14:paraId="7857C826">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Simptomatska rekurentna</w:t>
            </w:r>
            <w:r>
              <w:rPr>
                <w:rFonts w:ascii="Microsoft Sans Serif" w:hAnsi="Microsoft Sans Serif" w:cs="Microsoft Sans Serif"/>
                <w:sz w:val="20"/>
                <w:szCs w:val="20"/>
              </w:rPr>
              <w:t xml:space="preserve"> </w:t>
            </w:r>
            <w:r>
              <w:rPr>
                <w:rFonts w:ascii="Microsoft Sans Serif" w:hAnsi="Microsoft Sans Serif" w:cs="Microsoft Sans Serif"/>
                <w:sz w:val="20"/>
                <w:szCs w:val="20"/>
                <w:lang w:val="sr-Cyrl-RS"/>
              </w:rPr>
              <w:t>V</w:t>
            </w:r>
            <w:r>
              <w:rPr>
                <w:rFonts w:ascii="Microsoft Sans Serif" w:hAnsi="Microsoft Sans Serif" w:cs="Microsoft Sans Serif"/>
                <w:sz w:val="20"/>
                <w:szCs w:val="20"/>
              </w:rPr>
              <w:t>TE</w:t>
            </w:r>
          </w:p>
        </w:tc>
        <w:tc>
          <w:tcPr>
            <w:tcW w:w="2160" w:type="dxa"/>
            <w:vAlign w:val="center"/>
          </w:tcPr>
          <w:p w14:paraId="5AA64BD8">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17</w:t>
            </w:r>
          </w:p>
          <w:p w14:paraId="38B888FE">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(1,5%)*</w:t>
            </w:r>
          </w:p>
        </w:tc>
        <w:tc>
          <w:tcPr>
            <w:tcW w:w="2124" w:type="dxa"/>
            <w:vAlign w:val="center"/>
          </w:tcPr>
          <w:p w14:paraId="1A6C44DA">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13</w:t>
            </w:r>
          </w:p>
          <w:p w14:paraId="469A2B19">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(1,2%)**</w:t>
            </w:r>
          </w:p>
        </w:tc>
        <w:tc>
          <w:tcPr>
            <w:tcW w:w="2139" w:type="dxa"/>
            <w:tcBorders>
              <w:right w:val="single" w:color="auto" w:sz="4" w:space="0"/>
            </w:tcBorders>
            <w:vAlign w:val="center"/>
          </w:tcPr>
          <w:p w14:paraId="23743800">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50</w:t>
            </w:r>
          </w:p>
          <w:p w14:paraId="3C950A47">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(4,4%)</w:t>
            </w:r>
          </w:p>
        </w:tc>
        <w:tc>
          <w:tcPr>
            <w:tcW w:w="140" w:type="dxa"/>
            <w:vMerge w:val="continue"/>
            <w:tcBorders>
              <w:left w:val="single" w:color="auto" w:sz="4" w:space="0"/>
              <w:right w:val="nil"/>
            </w:tcBorders>
          </w:tcPr>
          <w:p w14:paraId="3CB81B10">
            <w:pPr>
              <w:tabs>
                <w:tab w:val="clear" w:pos="284"/>
              </w:tabs>
              <w:rPr>
                <w:rFonts w:ascii="Microsoft Sans Serif" w:hAnsi="Microsoft Sans Serif" w:cs="Microsoft Sans Serif"/>
                <w:sz w:val="20"/>
                <w:szCs w:val="20"/>
              </w:rPr>
            </w:pPr>
          </w:p>
        </w:tc>
      </w:tr>
      <w:tr w14:paraId="44379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2776" w:type="dxa"/>
            <w:vAlign w:val="center"/>
          </w:tcPr>
          <w:p w14:paraId="6ED6C1BC">
            <w:pPr>
              <w:tabs>
                <w:tab w:val="clear" w:pos="284"/>
              </w:tabs>
              <w:ind w:left="426"/>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Simptomatska rekurentna P</w:t>
            </w:r>
            <w:r>
              <w:rPr>
                <w:rFonts w:ascii="Microsoft Sans Serif" w:hAnsi="Microsoft Sans Serif" w:cs="Microsoft Sans Serif"/>
                <w:sz w:val="20"/>
                <w:szCs w:val="20"/>
              </w:rPr>
              <w:t>E</w:t>
            </w:r>
          </w:p>
        </w:tc>
        <w:tc>
          <w:tcPr>
            <w:tcW w:w="2160" w:type="dxa"/>
            <w:vAlign w:val="center"/>
          </w:tcPr>
          <w:p w14:paraId="3FD34D65">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6</w:t>
            </w:r>
          </w:p>
          <w:p w14:paraId="284CFE86">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(0,5%)</w:t>
            </w:r>
          </w:p>
        </w:tc>
        <w:tc>
          <w:tcPr>
            <w:tcW w:w="2124" w:type="dxa"/>
            <w:vAlign w:val="center"/>
          </w:tcPr>
          <w:p w14:paraId="2CCD248F">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6</w:t>
            </w:r>
          </w:p>
          <w:p w14:paraId="55005F89">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(0,5%)</w:t>
            </w:r>
          </w:p>
        </w:tc>
        <w:tc>
          <w:tcPr>
            <w:tcW w:w="2139" w:type="dxa"/>
            <w:tcBorders>
              <w:right w:val="single" w:color="auto" w:sz="4" w:space="0"/>
            </w:tcBorders>
            <w:vAlign w:val="center"/>
          </w:tcPr>
          <w:p w14:paraId="0A5DDF98">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19</w:t>
            </w:r>
          </w:p>
          <w:p w14:paraId="4E576F02">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(1,7%)</w:t>
            </w:r>
          </w:p>
        </w:tc>
        <w:tc>
          <w:tcPr>
            <w:tcW w:w="140" w:type="dxa"/>
            <w:vMerge w:val="continue"/>
            <w:tcBorders>
              <w:left w:val="single" w:color="auto" w:sz="4" w:space="0"/>
              <w:right w:val="nil"/>
            </w:tcBorders>
          </w:tcPr>
          <w:p w14:paraId="0B4A80B0">
            <w:pPr>
              <w:tabs>
                <w:tab w:val="clear" w:pos="284"/>
              </w:tabs>
              <w:rPr>
                <w:rFonts w:ascii="Microsoft Sans Serif" w:hAnsi="Microsoft Sans Serif" w:cs="Microsoft Sans Serif"/>
                <w:sz w:val="20"/>
                <w:szCs w:val="20"/>
              </w:rPr>
            </w:pPr>
          </w:p>
        </w:tc>
      </w:tr>
      <w:tr w14:paraId="21865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2776" w:type="dxa"/>
            <w:vAlign w:val="center"/>
          </w:tcPr>
          <w:p w14:paraId="235E5856">
            <w:pPr>
              <w:tabs>
                <w:tab w:val="clear" w:pos="284"/>
              </w:tabs>
              <w:ind w:left="426"/>
              <w:jc w:val="left"/>
              <w:rPr>
                <w:rFonts w:ascii="Microsoft Sans Serif" w:hAnsi="Microsoft Sans Serif" w:cs="Microsoft Sans Serif"/>
                <w:sz w:val="20"/>
                <w:szCs w:val="20"/>
                <w:lang w:val="hr-BA"/>
              </w:rPr>
            </w:pPr>
            <w:r>
              <w:rPr>
                <w:rFonts w:ascii="Microsoft Sans Serif" w:hAnsi="Microsoft Sans Serif" w:cs="Microsoft Sans Serif"/>
                <w:sz w:val="20"/>
                <w:szCs w:val="20"/>
                <w:lang w:val="sr-Cyrl-RS"/>
              </w:rPr>
              <w:t>Simptomatska rekurentna DV</w:t>
            </w:r>
            <w:r>
              <w:rPr>
                <w:rFonts w:ascii="Microsoft Sans Serif" w:hAnsi="Microsoft Sans Serif" w:cs="Microsoft Sans Serif"/>
                <w:sz w:val="20"/>
                <w:szCs w:val="20"/>
                <w:lang w:val="hr-BA"/>
              </w:rPr>
              <w:t>T</w:t>
            </w:r>
          </w:p>
        </w:tc>
        <w:tc>
          <w:tcPr>
            <w:tcW w:w="2160" w:type="dxa"/>
            <w:vAlign w:val="center"/>
          </w:tcPr>
          <w:p w14:paraId="756FA6B1">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9</w:t>
            </w:r>
          </w:p>
          <w:p w14:paraId="575AD121">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(0,8%)</w:t>
            </w:r>
          </w:p>
        </w:tc>
        <w:tc>
          <w:tcPr>
            <w:tcW w:w="2124" w:type="dxa"/>
            <w:vAlign w:val="center"/>
          </w:tcPr>
          <w:p w14:paraId="5215D081">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8</w:t>
            </w:r>
          </w:p>
          <w:p w14:paraId="29ECC5D2">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(0,7%)</w:t>
            </w:r>
          </w:p>
        </w:tc>
        <w:tc>
          <w:tcPr>
            <w:tcW w:w="2139" w:type="dxa"/>
            <w:tcBorders>
              <w:right w:val="single" w:color="auto" w:sz="4" w:space="0"/>
            </w:tcBorders>
            <w:vAlign w:val="center"/>
          </w:tcPr>
          <w:p w14:paraId="7B6DE4C6">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30</w:t>
            </w:r>
          </w:p>
          <w:p w14:paraId="41EE77D1">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(2,7%)</w:t>
            </w:r>
          </w:p>
        </w:tc>
        <w:tc>
          <w:tcPr>
            <w:tcW w:w="140" w:type="dxa"/>
            <w:vMerge w:val="continue"/>
            <w:tcBorders>
              <w:left w:val="single" w:color="auto" w:sz="4" w:space="0"/>
              <w:right w:val="nil"/>
            </w:tcBorders>
          </w:tcPr>
          <w:p w14:paraId="74775860">
            <w:pPr>
              <w:tabs>
                <w:tab w:val="clear" w:pos="284"/>
              </w:tabs>
              <w:rPr>
                <w:rFonts w:ascii="Microsoft Sans Serif" w:hAnsi="Microsoft Sans Serif" w:cs="Microsoft Sans Serif"/>
                <w:sz w:val="20"/>
                <w:szCs w:val="20"/>
              </w:rPr>
            </w:pPr>
          </w:p>
        </w:tc>
      </w:tr>
      <w:tr w14:paraId="62BF8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2776" w:type="dxa"/>
            <w:vAlign w:val="center"/>
          </w:tcPr>
          <w:p w14:paraId="39DF85E8">
            <w:pPr>
              <w:tabs>
                <w:tab w:val="clear" w:pos="284"/>
              </w:tabs>
              <w:ind w:left="426"/>
              <w:jc w:val="left"/>
              <w:rPr>
                <w:rFonts w:ascii="Microsoft Sans Serif" w:hAnsi="Microsoft Sans Serif" w:cs="Microsoft Sans Serif"/>
                <w:sz w:val="20"/>
                <w:szCs w:val="20"/>
              </w:rPr>
            </w:pPr>
            <w:r>
              <w:rPr>
                <w:rFonts w:ascii="Microsoft Sans Serif" w:hAnsi="Microsoft Sans Serif" w:cs="Microsoft Sans Serif"/>
                <w:sz w:val="20"/>
                <w:szCs w:val="20"/>
              </w:rPr>
              <w:t>PE sa smrtnim ishodom/Smrt gde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 PE ne može isklјučiti</w:t>
            </w:r>
          </w:p>
        </w:tc>
        <w:tc>
          <w:tcPr>
            <w:tcW w:w="2160" w:type="dxa"/>
            <w:vAlign w:val="center"/>
          </w:tcPr>
          <w:p w14:paraId="4F20F63D">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w:t>
            </w:r>
          </w:p>
          <w:p w14:paraId="3E935DA6">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(0,2%)</w:t>
            </w:r>
          </w:p>
        </w:tc>
        <w:tc>
          <w:tcPr>
            <w:tcW w:w="2124" w:type="dxa"/>
            <w:vAlign w:val="center"/>
          </w:tcPr>
          <w:p w14:paraId="367C7AD4">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w:t>
            </w:r>
          </w:p>
          <w:p w14:paraId="6080E277">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rPr>
              <w:t>(0,0%)</w:t>
            </w:r>
          </w:p>
        </w:tc>
        <w:tc>
          <w:tcPr>
            <w:tcW w:w="2139" w:type="dxa"/>
            <w:tcBorders>
              <w:right w:val="single" w:color="auto" w:sz="4" w:space="0"/>
            </w:tcBorders>
            <w:vAlign w:val="center"/>
          </w:tcPr>
          <w:p w14:paraId="4B7CEC10">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w:t>
            </w:r>
          </w:p>
          <w:p w14:paraId="1278ECD2">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(0,2%)</w:t>
            </w:r>
          </w:p>
        </w:tc>
        <w:tc>
          <w:tcPr>
            <w:tcW w:w="140" w:type="dxa"/>
            <w:vMerge w:val="continue"/>
            <w:tcBorders>
              <w:left w:val="single" w:color="auto" w:sz="4" w:space="0"/>
              <w:right w:val="nil"/>
            </w:tcBorders>
          </w:tcPr>
          <w:p w14:paraId="4421E0F2">
            <w:pPr>
              <w:tabs>
                <w:tab w:val="clear" w:pos="284"/>
              </w:tabs>
              <w:rPr>
                <w:rFonts w:ascii="Microsoft Sans Serif" w:hAnsi="Microsoft Sans Serif" w:cs="Microsoft Sans Serif"/>
                <w:sz w:val="20"/>
                <w:szCs w:val="20"/>
              </w:rPr>
            </w:pPr>
          </w:p>
        </w:tc>
      </w:tr>
      <w:tr w14:paraId="799DF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2776" w:type="dxa"/>
            <w:vAlign w:val="center"/>
          </w:tcPr>
          <w:p w14:paraId="68C395B6">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Simptomatska rekurentna</w:t>
            </w:r>
          </w:p>
          <w:p w14:paraId="32535FFA">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V</w:t>
            </w:r>
            <w:r>
              <w:rPr>
                <w:rFonts w:ascii="Microsoft Sans Serif" w:hAnsi="Microsoft Sans Serif" w:cs="Microsoft Sans Serif"/>
                <w:sz w:val="20"/>
                <w:szCs w:val="20"/>
              </w:rPr>
              <w:t xml:space="preserve">TE, </w:t>
            </w:r>
            <w:r>
              <w:rPr>
                <w:rFonts w:ascii="Microsoft Sans Serif" w:hAnsi="Microsoft Sans Serif" w:cs="Microsoft Sans Serif"/>
                <w:sz w:val="20"/>
                <w:szCs w:val="20"/>
                <w:lang w:val="sr-Cyrl-RS"/>
              </w:rPr>
              <w:t>IM</w:t>
            </w:r>
            <w:r>
              <w:rPr>
                <w:rFonts w:ascii="Microsoft Sans Serif" w:hAnsi="Microsoft Sans Serif" w:cs="Microsoft Sans Serif"/>
                <w:sz w:val="20"/>
                <w:szCs w:val="20"/>
              </w:rPr>
              <w:t xml:space="preserve">, moždani udar, ili sistemska embolija koja ne obuhvata </w:t>
            </w:r>
            <w:r>
              <w:rPr>
                <w:rFonts w:ascii="Microsoft Sans Serif" w:hAnsi="Microsoft Sans Serif" w:cs="Microsoft Sans Serif"/>
                <w:sz w:val="20"/>
                <w:szCs w:val="20"/>
                <w:lang w:val="sr-Cyrl-RS"/>
              </w:rPr>
              <w:t>CNS</w:t>
            </w:r>
          </w:p>
        </w:tc>
        <w:tc>
          <w:tcPr>
            <w:tcW w:w="2160" w:type="dxa"/>
            <w:vAlign w:val="center"/>
          </w:tcPr>
          <w:p w14:paraId="4395D323">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19</w:t>
            </w:r>
          </w:p>
          <w:p w14:paraId="65D1ACF8">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(1,7%)</w:t>
            </w:r>
          </w:p>
        </w:tc>
        <w:tc>
          <w:tcPr>
            <w:tcW w:w="2124" w:type="dxa"/>
            <w:vAlign w:val="center"/>
          </w:tcPr>
          <w:p w14:paraId="37E59C55">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18</w:t>
            </w:r>
          </w:p>
          <w:p w14:paraId="7EAB347A">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(1,6%)</w:t>
            </w:r>
          </w:p>
        </w:tc>
        <w:tc>
          <w:tcPr>
            <w:tcW w:w="2139" w:type="dxa"/>
            <w:tcBorders>
              <w:right w:val="single" w:color="auto" w:sz="4" w:space="0"/>
            </w:tcBorders>
            <w:vAlign w:val="center"/>
          </w:tcPr>
          <w:p w14:paraId="09093717">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56</w:t>
            </w:r>
          </w:p>
          <w:p w14:paraId="4193301E">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(5,0%)</w:t>
            </w:r>
          </w:p>
        </w:tc>
        <w:tc>
          <w:tcPr>
            <w:tcW w:w="140" w:type="dxa"/>
            <w:vMerge w:val="continue"/>
            <w:tcBorders>
              <w:left w:val="single" w:color="auto" w:sz="4" w:space="0"/>
              <w:right w:val="nil"/>
            </w:tcBorders>
          </w:tcPr>
          <w:p w14:paraId="46A9C2AB">
            <w:pPr>
              <w:tabs>
                <w:tab w:val="clear" w:pos="284"/>
              </w:tabs>
              <w:rPr>
                <w:rFonts w:ascii="Microsoft Sans Serif" w:hAnsi="Microsoft Sans Serif" w:cs="Microsoft Sans Serif"/>
                <w:sz w:val="20"/>
                <w:szCs w:val="20"/>
              </w:rPr>
            </w:pPr>
          </w:p>
        </w:tc>
      </w:tr>
      <w:tr w14:paraId="54142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2776" w:type="dxa"/>
            <w:vAlign w:val="center"/>
          </w:tcPr>
          <w:p w14:paraId="3C123120">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Obilno krvarenje</w:t>
            </w:r>
          </w:p>
        </w:tc>
        <w:tc>
          <w:tcPr>
            <w:tcW w:w="2160" w:type="dxa"/>
            <w:vAlign w:val="center"/>
          </w:tcPr>
          <w:p w14:paraId="20F36EDF">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6</w:t>
            </w:r>
          </w:p>
          <w:p w14:paraId="35F1171C">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(0,5%)</w:t>
            </w:r>
          </w:p>
        </w:tc>
        <w:tc>
          <w:tcPr>
            <w:tcW w:w="2124" w:type="dxa"/>
            <w:vAlign w:val="center"/>
          </w:tcPr>
          <w:p w14:paraId="7D106C8D">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5</w:t>
            </w:r>
          </w:p>
          <w:p w14:paraId="7A216630">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(0,4%)</w:t>
            </w:r>
          </w:p>
        </w:tc>
        <w:tc>
          <w:tcPr>
            <w:tcW w:w="2139" w:type="dxa"/>
            <w:tcBorders>
              <w:right w:val="single" w:color="auto" w:sz="4" w:space="0"/>
            </w:tcBorders>
            <w:vAlign w:val="center"/>
          </w:tcPr>
          <w:p w14:paraId="6E5A4123">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3</w:t>
            </w:r>
          </w:p>
          <w:p w14:paraId="1781C5BE">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(0,3%)</w:t>
            </w:r>
          </w:p>
        </w:tc>
        <w:tc>
          <w:tcPr>
            <w:tcW w:w="140" w:type="dxa"/>
            <w:vMerge w:val="continue"/>
            <w:tcBorders>
              <w:left w:val="single" w:color="auto" w:sz="4" w:space="0"/>
              <w:right w:val="nil"/>
            </w:tcBorders>
          </w:tcPr>
          <w:p w14:paraId="688BBE65">
            <w:pPr>
              <w:tabs>
                <w:tab w:val="clear" w:pos="284"/>
              </w:tabs>
              <w:rPr>
                <w:rFonts w:ascii="Microsoft Sans Serif" w:hAnsi="Microsoft Sans Serif" w:cs="Microsoft Sans Serif"/>
                <w:sz w:val="20"/>
                <w:szCs w:val="20"/>
              </w:rPr>
            </w:pPr>
          </w:p>
        </w:tc>
      </w:tr>
      <w:tr w14:paraId="4DCAA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2776" w:type="dxa"/>
            <w:vAlign w:val="center"/>
          </w:tcPr>
          <w:p w14:paraId="2440CD10">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Klinički značajno krvarenje koje nije obilno</w:t>
            </w:r>
          </w:p>
        </w:tc>
        <w:tc>
          <w:tcPr>
            <w:tcW w:w="2160" w:type="dxa"/>
            <w:vAlign w:val="center"/>
          </w:tcPr>
          <w:p w14:paraId="6507B188">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30</w:t>
            </w:r>
          </w:p>
          <w:p w14:paraId="73329C9F">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(2,7)</w:t>
            </w:r>
          </w:p>
        </w:tc>
        <w:tc>
          <w:tcPr>
            <w:tcW w:w="2124" w:type="dxa"/>
            <w:vAlign w:val="center"/>
          </w:tcPr>
          <w:p w14:paraId="77AF8761">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22</w:t>
            </w:r>
          </w:p>
          <w:p w14:paraId="23E98BC0">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(2,0)</w:t>
            </w:r>
          </w:p>
        </w:tc>
        <w:tc>
          <w:tcPr>
            <w:tcW w:w="2139" w:type="dxa"/>
            <w:tcBorders>
              <w:right w:val="single" w:color="auto" w:sz="4" w:space="0"/>
            </w:tcBorders>
            <w:vAlign w:val="center"/>
          </w:tcPr>
          <w:p w14:paraId="51A313CC">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20</w:t>
            </w:r>
          </w:p>
          <w:p w14:paraId="783B6B26">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(1,8)</w:t>
            </w:r>
          </w:p>
        </w:tc>
        <w:tc>
          <w:tcPr>
            <w:tcW w:w="140" w:type="dxa"/>
            <w:vMerge w:val="continue"/>
            <w:tcBorders>
              <w:left w:val="single" w:color="auto" w:sz="4" w:space="0"/>
              <w:right w:val="nil"/>
            </w:tcBorders>
          </w:tcPr>
          <w:p w14:paraId="1A8A7C2E">
            <w:pPr>
              <w:tabs>
                <w:tab w:val="clear" w:pos="284"/>
              </w:tabs>
              <w:rPr>
                <w:rFonts w:ascii="Microsoft Sans Serif" w:hAnsi="Microsoft Sans Serif" w:cs="Microsoft Sans Serif"/>
                <w:sz w:val="20"/>
                <w:szCs w:val="20"/>
              </w:rPr>
            </w:pPr>
          </w:p>
        </w:tc>
      </w:tr>
      <w:tr w14:paraId="5B7B8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2776" w:type="dxa"/>
            <w:vAlign w:val="center"/>
          </w:tcPr>
          <w:p w14:paraId="73B8C3B5">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lang w:val="sr-Cyrl-RS"/>
              </w:rPr>
              <w:t>Simptomatska rekurentna</w:t>
            </w:r>
            <w:r>
              <w:rPr>
                <w:rFonts w:ascii="Microsoft Sans Serif" w:hAnsi="Microsoft Sans Serif" w:cs="Microsoft Sans Serif"/>
                <w:sz w:val="20"/>
                <w:szCs w:val="20"/>
              </w:rPr>
              <w:t xml:space="preserve"> </w:t>
            </w:r>
            <w:r>
              <w:rPr>
                <w:rFonts w:ascii="Microsoft Sans Serif" w:hAnsi="Microsoft Sans Serif" w:cs="Microsoft Sans Serif"/>
                <w:sz w:val="20"/>
                <w:szCs w:val="20"/>
                <w:lang w:val="sr-Cyrl-RS"/>
              </w:rPr>
              <w:t>V</w:t>
            </w:r>
            <w:r>
              <w:rPr>
                <w:rFonts w:ascii="Microsoft Sans Serif" w:hAnsi="Microsoft Sans Serif" w:cs="Microsoft Sans Serif"/>
                <w:sz w:val="20"/>
                <w:szCs w:val="20"/>
              </w:rPr>
              <w:t>TE</w:t>
            </w:r>
            <w:r>
              <w:rPr>
                <w:rFonts w:ascii="Microsoft Sans Serif" w:hAnsi="Microsoft Sans Serif" w:cs="Microsoft Sans Serif"/>
                <w:sz w:val="20"/>
                <w:szCs w:val="20"/>
                <w:lang w:val="sr-Cyrl-RS"/>
              </w:rPr>
              <w:t xml:space="preserve"> ili obilna krvarenja </w:t>
            </w:r>
            <w:r>
              <w:rPr>
                <w:rFonts w:ascii="Microsoft Sans Serif" w:hAnsi="Microsoft Sans Serif" w:cs="Microsoft Sans Serif"/>
                <w:sz w:val="20"/>
                <w:szCs w:val="20"/>
              </w:rPr>
              <w:t>(ukupna klinička korist)</w:t>
            </w:r>
          </w:p>
        </w:tc>
        <w:tc>
          <w:tcPr>
            <w:tcW w:w="2160" w:type="dxa"/>
            <w:vAlign w:val="center"/>
          </w:tcPr>
          <w:p w14:paraId="1238F22A">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23</w:t>
            </w:r>
          </w:p>
          <w:p w14:paraId="2DAEEF07">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(2,1%)</w:t>
            </w:r>
            <w:r>
              <w:rPr>
                <w:rFonts w:ascii="Microsoft Sans Serif" w:hAnsi="Microsoft Sans Serif" w:cs="Microsoft Sans Serif"/>
                <w:sz w:val="20"/>
                <w:szCs w:val="20"/>
                <w:vertAlign w:val="superscript"/>
              </w:rPr>
              <w:t>+</w:t>
            </w:r>
          </w:p>
        </w:tc>
        <w:tc>
          <w:tcPr>
            <w:tcW w:w="2124" w:type="dxa"/>
            <w:vAlign w:val="center"/>
          </w:tcPr>
          <w:p w14:paraId="2B14BB1B">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17</w:t>
            </w:r>
          </w:p>
          <w:p w14:paraId="555AD34C">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(1,5%)</w:t>
            </w:r>
            <w:r>
              <w:rPr>
                <w:rFonts w:ascii="Microsoft Sans Serif" w:hAnsi="Microsoft Sans Serif" w:cs="Microsoft Sans Serif"/>
                <w:sz w:val="20"/>
                <w:szCs w:val="20"/>
                <w:vertAlign w:val="superscript"/>
              </w:rPr>
              <w:t>++</w:t>
            </w:r>
          </w:p>
        </w:tc>
        <w:tc>
          <w:tcPr>
            <w:tcW w:w="2139" w:type="dxa"/>
            <w:tcBorders>
              <w:right w:val="single" w:color="auto" w:sz="4" w:space="0"/>
            </w:tcBorders>
            <w:vAlign w:val="center"/>
          </w:tcPr>
          <w:p w14:paraId="1868F84F">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53</w:t>
            </w:r>
          </w:p>
          <w:p w14:paraId="0E0A9F2E">
            <w:pPr>
              <w:tabs>
                <w:tab w:val="clear" w:pos="284"/>
              </w:tabs>
              <w:jc w:val="left"/>
              <w:rPr>
                <w:rFonts w:ascii="Microsoft Sans Serif" w:hAnsi="Microsoft Sans Serif" w:cs="Microsoft Sans Serif"/>
                <w:sz w:val="20"/>
                <w:szCs w:val="20"/>
              </w:rPr>
            </w:pPr>
            <w:r>
              <w:rPr>
                <w:rFonts w:ascii="Microsoft Sans Serif" w:hAnsi="Microsoft Sans Serif" w:cs="Microsoft Sans Serif"/>
                <w:sz w:val="20"/>
                <w:szCs w:val="20"/>
              </w:rPr>
              <w:t>(4,7%)</w:t>
            </w:r>
          </w:p>
        </w:tc>
        <w:tc>
          <w:tcPr>
            <w:tcW w:w="140" w:type="dxa"/>
            <w:vMerge w:val="continue"/>
            <w:tcBorders>
              <w:left w:val="single" w:color="auto" w:sz="4" w:space="0"/>
              <w:bottom w:val="nil"/>
              <w:right w:val="nil"/>
            </w:tcBorders>
          </w:tcPr>
          <w:p w14:paraId="48896F31">
            <w:pPr>
              <w:tabs>
                <w:tab w:val="clear" w:pos="284"/>
              </w:tabs>
              <w:rPr>
                <w:rFonts w:ascii="Microsoft Sans Serif" w:hAnsi="Microsoft Sans Serif" w:cs="Microsoft Sans Serif"/>
                <w:sz w:val="20"/>
                <w:szCs w:val="20"/>
              </w:rPr>
            </w:pPr>
          </w:p>
        </w:tc>
      </w:tr>
    </w:tbl>
    <w:p w14:paraId="2E40065F">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w:t>
      </w:r>
      <w:r>
        <w:rPr>
          <w:rFonts w:ascii="Microsoft Sans Serif" w:hAnsi="Microsoft Sans Serif" w:cs="Microsoft Sans Serif"/>
          <w:bCs/>
          <w:sz w:val="20"/>
          <w:szCs w:val="20"/>
          <w:lang w:val="sr-Latn-RS"/>
        </w:rPr>
        <w:t>p</w:t>
      </w:r>
      <w:r>
        <w:rPr>
          <w:rFonts w:ascii="Microsoft Sans Serif" w:hAnsi="Microsoft Sans Serif" w:cs="Microsoft Sans Serif"/>
          <w:bCs/>
          <w:sz w:val="20"/>
          <w:szCs w:val="20"/>
        </w:rPr>
        <w:t>&lt;0,001 (superiornost) rivaroksaban u dozi od 20 mg jednom dnevno u odnosu ASK u dozi od 100 mg</w:t>
      </w:r>
    </w:p>
    <w:p w14:paraId="694129AD">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jednom dnevno; HR=0,34 (0,20-0,59)</w:t>
      </w:r>
    </w:p>
    <w:p w14:paraId="03E8B069">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rPr>
        <w:t>** p&lt;0,001 (superiornost) rivaroksaban u dozi od 10 mg jednom dnevno u odnosu ASK u dozi od 100 mg jednom dnevno; HR=0,26 (0,14-0,47)</w:t>
      </w:r>
    </w:p>
    <w:p w14:paraId="10C46877">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vertAlign w:val="superscript"/>
        </w:rPr>
        <w:t>+</w:t>
      </w:r>
      <w:r>
        <w:rPr>
          <w:rFonts w:ascii="Microsoft Sans Serif" w:hAnsi="Microsoft Sans Serif" w:cs="Microsoft Sans Serif"/>
          <w:bCs/>
          <w:sz w:val="20"/>
          <w:szCs w:val="20"/>
        </w:rPr>
        <w:t xml:space="preserve"> rivaroksaban u dozi od 20 mg jednom dnevno u odnosu ASK u dozi od 100 mg jednom dnevno; HR=0,44 (0,27-0,71), p=0,0009 (nominalno)</w:t>
      </w:r>
    </w:p>
    <w:p w14:paraId="59E8592C">
      <w:pPr>
        <w:tabs>
          <w:tab w:val="clear" w:pos="284"/>
        </w:tabs>
        <w:rPr>
          <w:rFonts w:ascii="Microsoft Sans Serif" w:hAnsi="Microsoft Sans Serif" w:cs="Microsoft Sans Serif"/>
          <w:bCs/>
          <w:sz w:val="20"/>
          <w:szCs w:val="20"/>
        </w:rPr>
      </w:pPr>
      <w:r>
        <w:rPr>
          <w:rFonts w:ascii="Microsoft Sans Serif" w:hAnsi="Microsoft Sans Serif" w:cs="Microsoft Sans Serif"/>
          <w:bCs/>
          <w:sz w:val="20"/>
          <w:szCs w:val="20"/>
          <w:vertAlign w:val="superscript"/>
        </w:rPr>
        <w:t>++</w:t>
      </w:r>
      <w:r>
        <w:rPr>
          <w:rFonts w:ascii="Microsoft Sans Serif" w:hAnsi="Microsoft Sans Serif" w:cs="Microsoft Sans Serif"/>
          <w:bCs/>
          <w:sz w:val="20"/>
          <w:szCs w:val="20"/>
        </w:rPr>
        <w:t xml:space="preserve"> rivaroksaban u dozi od 10 mg jednom dnevno u odnosu ASK u dozi od 100 mg jednom dnevno; HR=0,32 (0,18-0,55), p=0,0001 (nominalno)</w:t>
      </w:r>
    </w:p>
    <w:p w14:paraId="41B1D2D0">
      <w:pPr>
        <w:tabs>
          <w:tab w:val="clear" w:pos="284"/>
        </w:tabs>
        <w:rPr>
          <w:rFonts w:ascii="Microsoft Sans Serif" w:hAnsi="Microsoft Sans Serif" w:cs="Microsoft Sans Serif"/>
          <w:sz w:val="20"/>
          <w:szCs w:val="20"/>
        </w:rPr>
      </w:pPr>
    </w:p>
    <w:p w14:paraId="5DF149A1">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Dodatno uz studije faze III - EINSTEIN program, sprovedeno je i prospektivno, neintervencijsko, otvoreno ispitivanje kohorti (XALIA), sa centralnom ocjenom ishoda koji su uklјučivali rekurentne VTE, obilna krvarenja i smrt. Bilo je uklјučeno 5142 pacijenta sa akutnom DVT kako bi se ispitala bezbjednost dugotrajne primjene rivaroksabana u odnosu na standardnu antikoagulantnu terapiju u kliničkoj praksi. Za rivaroksaban, stopa obilnih krvarenja je bila 0,7%, rekurentne VTE 1,4%, a smrtnost usljed svih uzroka 0.5%. Bilo je razlika u početnim karakteristikama pacijenata, uklјučujući godine starosti, kancer i poremećaj funkcije bubrega. Korišćena je unaprijed određena propensity score stratifikovana analiza u cilјu uparivanja pacijenata prema sličnim početnim karakteristikama, ali rezidualni ometajući činioci (engl. </w:t>
      </w:r>
      <w:r>
        <w:rPr>
          <w:rFonts w:ascii="Microsoft Sans Serif" w:hAnsi="Microsoft Sans Serif" w:cs="Microsoft Sans Serif"/>
          <w:i/>
          <w:sz w:val="20"/>
          <w:szCs w:val="20"/>
        </w:rPr>
        <w:t>residual confounding</w:t>
      </w:r>
      <w:r>
        <w:rPr>
          <w:rFonts w:ascii="Microsoft Sans Serif" w:hAnsi="Microsoft Sans Serif" w:cs="Microsoft Sans Serif"/>
          <w:sz w:val="20"/>
          <w:szCs w:val="20"/>
        </w:rPr>
        <w:t>) mogu, uprkos tome, uticati na rezultate. Prilagođene vrijednosti hazard ratio za rivaroksaban i standardnu terapiju, bile su za obilna krvarenja 0,77 (95% CI 0,40-1,50), za rekurentne VTE 0,91 (95% CI 0,54-1,54), a za smrtnost zbog svih uzroka 0,51 (95% CI 0,24-1,07). Ovi rezultati u kliničkoj praksi su u skladu sa ustanovlјenim bezbjednosnim profilom za ovu indikaciju.</w:t>
      </w:r>
    </w:p>
    <w:p w14:paraId="0CA29E0D">
      <w:pPr>
        <w:tabs>
          <w:tab w:val="clear" w:pos="284"/>
        </w:tabs>
        <w:rPr>
          <w:rFonts w:ascii="Microsoft Sans Serif" w:hAnsi="Microsoft Sans Serif" w:cs="Microsoft Sans Serif"/>
          <w:sz w:val="20"/>
          <w:szCs w:val="20"/>
        </w:rPr>
      </w:pPr>
    </w:p>
    <w:p w14:paraId="7DB54BCC">
      <w:pPr>
        <w:rPr>
          <w:rFonts w:ascii="Microsoft Sans Serif" w:hAnsi="Microsoft Sans Serif" w:cs="Microsoft Sans Serif"/>
          <w:sz w:val="20"/>
          <w:szCs w:val="20"/>
          <w:u w:val="single"/>
        </w:rPr>
      </w:pPr>
      <w:r>
        <w:rPr>
          <w:rFonts w:ascii="Microsoft Sans Serif" w:hAnsi="Microsoft Sans Serif" w:cs="Microsoft Sans Serif"/>
          <w:sz w:val="20"/>
          <w:szCs w:val="20"/>
          <w:u w:val="single"/>
        </w:rPr>
        <w:t>Pedijatrijska populacija</w:t>
      </w:r>
    </w:p>
    <w:p w14:paraId="2F29BEBB">
      <w:pPr>
        <w:rPr>
          <w:rFonts w:ascii="Microsoft Sans Serif" w:hAnsi="Microsoft Sans Serif" w:cs="Microsoft Sans Serif"/>
          <w:sz w:val="20"/>
          <w:szCs w:val="20"/>
        </w:rPr>
      </w:pPr>
      <w:r>
        <w:rPr>
          <w:rFonts w:ascii="Microsoft Sans Serif" w:hAnsi="Microsoft Sans Serif" w:cs="Microsoft Sans Serif"/>
          <w:sz w:val="20"/>
          <w:szCs w:val="20"/>
        </w:rPr>
        <w:t>Liječenje VTE i prevencija recidiva VTE kod pedijatrijskih pacijenata</w:t>
      </w:r>
    </w:p>
    <w:p w14:paraId="6F86DBE1">
      <w:pPr>
        <w:rPr>
          <w:rFonts w:ascii="Microsoft Sans Serif" w:hAnsi="Microsoft Sans Serif" w:cs="Microsoft Sans Serif"/>
          <w:sz w:val="20"/>
          <w:szCs w:val="20"/>
        </w:rPr>
      </w:pPr>
      <w:r>
        <w:rPr>
          <w:rFonts w:ascii="Microsoft Sans Serif" w:hAnsi="Microsoft Sans Serif" w:cs="Microsoft Sans Serif"/>
          <w:sz w:val="20"/>
          <w:szCs w:val="20"/>
        </w:rPr>
        <w:t>U 6 otvorenih multicentričnih pedijatrijskih studija ukupno je analizirano 727 djece sa potvrđenim akutnim VTE, od kojih je 528 dobilo rivaroksaban.. Doziranje prilagođeno tjelesnoj težini kod pacijenata od rođenja do manje od 18 godina</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lang w:val="hr-BA"/>
        </w:rPr>
        <w:t>starosti</w:t>
      </w:r>
      <w:r>
        <w:rPr>
          <w:rFonts w:ascii="Microsoft Sans Serif" w:hAnsi="Microsoft Sans Serif" w:cs="Microsoft Sans Serif"/>
          <w:sz w:val="20"/>
          <w:szCs w:val="20"/>
        </w:rPr>
        <w:t xml:space="preserve"> rezultiralo je izloženošću rivaroksabanu sličnom onoj primjećenoj kod odraslih pacijenata sa DVT liječenih rivaroksabanom 20 mg jednom dnevno, što je potvrđeno u studiji faze III (pogledati dio 5.2).</w:t>
      </w:r>
    </w:p>
    <w:p w14:paraId="23AE3FAD">
      <w:pPr>
        <w:rPr>
          <w:rFonts w:ascii="Microsoft Sans Serif" w:hAnsi="Microsoft Sans Serif" w:cs="Microsoft Sans Serif"/>
          <w:sz w:val="20"/>
          <w:szCs w:val="20"/>
        </w:rPr>
      </w:pPr>
      <w:r>
        <w:rPr>
          <w:rFonts w:ascii="Microsoft Sans Serif" w:hAnsi="Microsoft Sans Serif" w:cs="Microsoft Sans Serif"/>
          <w:sz w:val="20"/>
          <w:szCs w:val="20"/>
        </w:rPr>
        <w:t>Studija EINSTEIN Junior faze III bila je randomizovana, aktivno kontrolisana, otvorena multicentrična klinička studija na 500 pedijatrijskih pacijenata (uzrasta od rođenja do &lt;18 godina) sa potvrđenim akutnim VTE.</w:t>
      </w:r>
    </w:p>
    <w:p w14:paraId="01924A90">
      <w:r>
        <w:rPr>
          <w:rFonts w:ascii="Microsoft Sans Serif" w:hAnsi="Microsoft Sans Serif" w:cs="Microsoft Sans Serif"/>
          <w:sz w:val="20"/>
          <w:szCs w:val="20"/>
        </w:rPr>
        <w:t>Bilo 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uklju</w:t>
      </w:r>
      <w:r>
        <w:rPr>
          <w:rFonts w:ascii="Microsoft Sans Serif" w:hAnsi="Microsoft Sans Serif" w:cs="Microsoft Sans Serif"/>
          <w:sz w:val="20"/>
          <w:szCs w:val="20"/>
          <w:lang w:val="hr-BA"/>
        </w:rPr>
        <w:t>čeno</w:t>
      </w:r>
      <w:r>
        <w:rPr>
          <w:rFonts w:ascii="Microsoft Sans Serif" w:hAnsi="Microsoft Sans Serif" w:cs="Microsoft Sans Serif"/>
          <w:sz w:val="20"/>
          <w:szCs w:val="20"/>
        </w:rPr>
        <w:t xml:space="preserve"> 276 djece uzrasta od 12 do manje od 18 godina, 101 dijete uzrasta od 6 do manje od 12 godina, 69 djece uzrasta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2 do manje od 6 godina i 54 djece uzratsa od manje od 2 godine.</w:t>
      </w:r>
    </w:p>
    <w:p w14:paraId="64431E2C"/>
    <w:p w14:paraId="09ED1D6C">
      <w:pPr>
        <w:rPr>
          <w:rFonts w:ascii="Microsoft Sans Serif" w:hAnsi="Microsoft Sans Serif" w:cs="Microsoft Sans Serif"/>
          <w:sz w:val="20"/>
          <w:szCs w:val="20"/>
        </w:rPr>
      </w:pPr>
      <w:r>
        <w:rPr>
          <w:rFonts w:ascii="Microsoft Sans Serif" w:hAnsi="Microsoft Sans Serif" w:cs="Microsoft Sans Serif"/>
          <w:sz w:val="20"/>
          <w:szCs w:val="20"/>
        </w:rPr>
        <w:t xml:space="preserve">Indeks VTE klasifikovan je ili kao VTE povezan sa centralnim venskim kateterom (CVC-VTE; 90/335 pacijenata u grupi rivaroksabana, 37/165 pacijenata u uporednoj grupi), sa trombozom cerebralnih vena i sinusna (CVST; 74/335 pacijenata u grupi za rivaroksaban, 43/165 pacijenata u uporednoj grupi) i svi ostali, uključujući DVT i PE (ne-CVC-VTE; 171/335 pacijenata u grupi za rivaroksaban, 84/165 pacijenata u </w:t>
      </w:r>
      <w:r>
        <w:rPr>
          <w:rFonts w:ascii="Microsoft Sans Serif" w:hAnsi="Microsoft Sans Serif" w:cs="Microsoft Sans Serif"/>
          <w:sz w:val="20"/>
          <w:szCs w:val="20"/>
          <w:lang w:val="hr-BA"/>
        </w:rPr>
        <w:t>uporednoj grupi</w:t>
      </w:r>
      <w:r>
        <w:rPr>
          <w:rFonts w:ascii="Microsoft Sans Serif" w:hAnsi="Microsoft Sans Serif" w:cs="Microsoft Sans Serif"/>
          <w:sz w:val="20"/>
          <w:szCs w:val="20"/>
        </w:rPr>
        <w:t xml:space="preserve">). Najčešća prezentacija indeksa tromboze kod djece uzrasta od 12 do manje od 18 godina bila je ne-CVC-VTE kod 211 (76,4%); kod djece uzrasta od 6 do manje od 12 godina i uzrasta od 2 do manje od 6 godina bio je CVST kod 48 (47,5%), odnosno 35 (50,7%); i kod djece uzrasta manje od 2 godine bio </w:t>
      </w:r>
      <w:r>
        <w:rPr>
          <w:rFonts w:ascii="Microsoft Sans Serif" w:hAnsi="Microsoft Sans Serif" w:cs="Microsoft Sans Serif"/>
          <w:sz w:val="20"/>
          <w:szCs w:val="20"/>
          <w:lang w:val="sr-Cyrl-RS"/>
        </w:rPr>
        <w:t xml:space="preserve">је </w:t>
      </w:r>
      <w:r>
        <w:rPr>
          <w:rFonts w:ascii="Microsoft Sans Serif" w:hAnsi="Microsoft Sans Serif" w:cs="Microsoft Sans Serif"/>
          <w:sz w:val="20"/>
          <w:szCs w:val="20"/>
        </w:rPr>
        <w:t>CVC-VTE kod 37 (68,5%). U grupi koja je primala rivaroksaban nije bilo djece mlađe od 6 mjeseci sa CVST. 22 pacijenta sa CVST imali su infekciju CNS-a (13 pacijenata u grupi sa rivaroksabanom i 9 pacijenata u uporednoj grupi).</w:t>
      </w:r>
    </w:p>
    <w:p w14:paraId="688E7ED1"/>
    <w:p w14:paraId="3DA3F5D0">
      <w:pPr>
        <w:rPr>
          <w:rFonts w:ascii="Microsoft Sans Serif" w:hAnsi="Microsoft Sans Serif" w:cs="Microsoft Sans Serif"/>
          <w:sz w:val="20"/>
          <w:szCs w:val="20"/>
        </w:rPr>
      </w:pPr>
      <w:r>
        <w:rPr>
          <w:rFonts w:ascii="Microsoft Sans Serif" w:hAnsi="Microsoft Sans Serif" w:cs="Microsoft Sans Serif"/>
          <w:sz w:val="20"/>
          <w:szCs w:val="20"/>
        </w:rPr>
        <w:t>VTE je izazvana trajnim, prolazni ili i trajnim i prolaznim faktori rizika kod 438 (87,6%) djece.</w:t>
      </w:r>
    </w:p>
    <w:p w14:paraId="5619F6E4"/>
    <w:p w14:paraId="3D2169DC">
      <w:pPr>
        <w:rPr>
          <w:rFonts w:ascii="Microsoft Sans Serif" w:hAnsi="Microsoft Sans Serif" w:cs="Microsoft Sans Serif"/>
          <w:sz w:val="20"/>
          <w:szCs w:val="20"/>
        </w:rPr>
      </w:pPr>
      <w:r>
        <w:rPr>
          <w:rFonts w:ascii="Microsoft Sans Serif" w:hAnsi="Microsoft Sans Serif" w:cs="Microsoft Sans Serif"/>
          <w:sz w:val="20"/>
          <w:szCs w:val="20"/>
        </w:rPr>
        <w:t>Pacijenti su prvo liječeni terapijskim dozama nefrakcionisanog heparina (engl. unfractionated heparin, UFH), niskomolekularnog heparina (engl. low-molecular-weight heparin, LMWH) ili fondaparinuksa tokom najmanje 5 dana i bili su randomizovani 2:1 da bi primali ili doze rivaroksabana prilagođene tjelesnoj težini ili uporednu grupu (heparini, VKA) za glavni period liječenja u studiji od 3 mjeseca (1 mjesec za djecu mlađu od 2 godine sa CVC-VTE). Na kraju glavnog perioda ispitivanog liječenja, ponovljen je dijagnostički slikovni test, sproveden na početku ispitivanja, ako je to bilo klinički izvodljivo. Studija se mogla zaustaviti u ovom trenutku, ili se prema nahođenju istražitelja nastaviti do 12 mjeseci (za djecu mlađu od 2 godine sa CVC-VTE do 3 mjeseca).</w:t>
      </w:r>
    </w:p>
    <w:p w14:paraId="5DBEEF50"/>
    <w:p w14:paraId="49DFF9A4">
      <w:pPr>
        <w:rPr>
          <w:rFonts w:ascii="Microsoft Sans Serif" w:hAnsi="Microsoft Sans Serif" w:cs="Microsoft Sans Serif"/>
          <w:sz w:val="20"/>
          <w:szCs w:val="20"/>
        </w:rPr>
      </w:pPr>
      <w:r>
        <w:rPr>
          <w:rFonts w:ascii="Microsoft Sans Serif" w:hAnsi="Microsoft Sans Serif" w:cs="Microsoft Sans Serif"/>
          <w:sz w:val="20"/>
          <w:szCs w:val="20"/>
        </w:rPr>
        <w:t>Primarni ishod efikasnosti bio je simptomatski ponovljeni VTE. Primarni ishod bezbjednosti primjene bio je skup obilnog krvarenja i klinički značajnog krvarenja koje nije obilno (engl. clinically relevant non-major bleeding, CRNMB). O svim ishodima efikasnosti i bezbjednosti centralno je odlučivao je nezavisni odbor bez pretodnih saznanja o raspodjeli lije</w:t>
      </w:r>
      <w:r>
        <w:rPr>
          <w:rFonts w:ascii="Microsoft Sans Serif" w:hAnsi="Microsoft Sans Serif" w:cs="Microsoft Sans Serif"/>
          <w:sz w:val="20"/>
          <w:szCs w:val="20"/>
          <w:lang w:val="hr-BA"/>
        </w:rPr>
        <w:t>čenja</w:t>
      </w:r>
      <w:r>
        <w:rPr>
          <w:rFonts w:ascii="Microsoft Sans Serif" w:hAnsi="Microsoft Sans Serif" w:cs="Microsoft Sans Serif"/>
          <w:sz w:val="20"/>
          <w:szCs w:val="20"/>
        </w:rPr>
        <w:t>. Rezultati efikasnosti i sigurnosti prikazani su u tabelama 11 i 12 u nastavku teksta.</w:t>
      </w:r>
    </w:p>
    <w:p w14:paraId="3078D468">
      <w:pPr>
        <w:rPr>
          <w:rFonts w:ascii="Microsoft Sans Serif" w:hAnsi="Microsoft Sans Serif" w:cs="Microsoft Sans Serif"/>
          <w:sz w:val="20"/>
          <w:szCs w:val="20"/>
        </w:rPr>
      </w:pPr>
    </w:p>
    <w:p w14:paraId="72DFA9C5">
      <w:pPr>
        <w:rPr>
          <w:rFonts w:ascii="Microsoft Sans Serif" w:hAnsi="Microsoft Sans Serif" w:cs="Microsoft Sans Serif"/>
          <w:sz w:val="20"/>
          <w:szCs w:val="20"/>
        </w:rPr>
      </w:pPr>
      <w:r>
        <w:rPr>
          <w:rFonts w:ascii="Microsoft Sans Serif" w:hAnsi="Microsoft Sans Serif" w:cs="Microsoft Sans Serif"/>
          <w:sz w:val="20"/>
          <w:szCs w:val="20"/>
        </w:rPr>
        <w:t>Ponovljeni VTE su se javili u grupi sa rivaroksabanom kod 4 od 335 pacijenata i u uporednoj grupi kod 5 od 165 pacijenata. Skup obilnog krvarenja i CRNMB prijavljen je kod 10 od 329 pacijenata (3%) liječenih rivaroksabanom i kod 3 od 162 pacijenta (1,9%) liječenih komparatorom. Neto klinička korist (simptomatski ponovljeni VTE plus obilna krvarenja) zabilježena je u grupi sa rivaroksabanom kod 4 od 335 pacijenata i u uporednoj grupi kod 7 od 165 pacijenata. Normalizacija opterećenja tromba na ponovljenom snimanju dogodila se kod 128 od 335 pacijenata koji su liječeni rivaroksabanom i kod 43 od 165 pacijenata u uporednoj grupi. Ovi nalazi su uglavnom bili slični među starosnim grupama.</w:t>
      </w:r>
    </w:p>
    <w:p w14:paraId="3B0D67CA">
      <w:pPr>
        <w:rPr>
          <w:rFonts w:ascii="Microsoft Sans Serif" w:hAnsi="Microsoft Sans Serif" w:cs="Microsoft Sans Serif"/>
          <w:sz w:val="20"/>
          <w:szCs w:val="20"/>
        </w:rPr>
      </w:pPr>
      <w:r>
        <w:rPr>
          <w:rFonts w:ascii="Microsoft Sans Serif" w:hAnsi="Microsoft Sans Serif" w:cs="Microsoft Sans Serif"/>
          <w:sz w:val="20"/>
          <w:szCs w:val="20"/>
        </w:rPr>
        <w:t xml:space="preserve">U grupi koja je uzimala rivaroksaban bilo je 119 (36,2%) djece sa bilo kojim krvarenjem koja su se pojavila tokom liječenja, a 45 (27,8%) djece u  uporednoj grupi. </w:t>
      </w:r>
    </w:p>
    <w:p w14:paraId="2721602A"/>
    <w:p w14:paraId="3E7BEE66">
      <w:pPr>
        <w:rPr>
          <w:rFonts w:ascii="Microsoft Sans Serif" w:hAnsi="Microsoft Sans Serif" w:cs="Microsoft Sans Serif"/>
          <w:sz w:val="20"/>
          <w:szCs w:val="20"/>
          <w:lang w:val="hr-BA"/>
        </w:rPr>
      </w:pPr>
      <w:r>
        <w:rPr>
          <w:rFonts w:ascii="Microsoft Sans Serif" w:hAnsi="Microsoft Sans Serif" w:cs="Microsoft Sans Serif"/>
          <w:b/>
          <w:bCs/>
          <w:sz w:val="20"/>
          <w:szCs w:val="20"/>
        </w:rPr>
        <w:t>Table 11: Rezultati efikasnosti na kraju glavnog perioda lije</w:t>
      </w:r>
      <w:r>
        <w:rPr>
          <w:rFonts w:ascii="Microsoft Sans Serif" w:hAnsi="Microsoft Sans Serif" w:cs="Microsoft Sans Serif"/>
          <w:b/>
          <w:bCs/>
          <w:sz w:val="20"/>
          <w:szCs w:val="20"/>
          <w:lang w:val="hr-BA"/>
        </w:rPr>
        <w:t>čenja</w:t>
      </w:r>
    </w:p>
    <w:tbl>
      <w:tblPr>
        <w:tblStyle w:val="7"/>
        <w:tblW w:w="9464" w:type="dxa"/>
        <w:tblInd w:w="112" w:type="dxa"/>
        <w:tblLayout w:type="fixed"/>
        <w:tblCellMar>
          <w:top w:w="0" w:type="dxa"/>
          <w:left w:w="0" w:type="dxa"/>
          <w:bottom w:w="0" w:type="dxa"/>
          <w:right w:w="0" w:type="dxa"/>
        </w:tblCellMar>
      </w:tblPr>
      <w:tblGrid>
        <w:gridCol w:w="5293"/>
        <w:gridCol w:w="2045"/>
        <w:gridCol w:w="2126"/>
      </w:tblGrid>
      <w:tr w14:paraId="1351C12F">
        <w:tblPrEx>
          <w:tblCellMar>
            <w:top w:w="0" w:type="dxa"/>
            <w:left w:w="0" w:type="dxa"/>
            <w:bottom w:w="0" w:type="dxa"/>
            <w:right w:w="0" w:type="dxa"/>
          </w:tblCellMar>
        </w:tblPrEx>
        <w:trPr>
          <w:trHeight w:val="516" w:hRule="exact"/>
        </w:trPr>
        <w:tc>
          <w:tcPr>
            <w:tcW w:w="5293" w:type="dxa"/>
            <w:tcBorders>
              <w:top w:val="single" w:color="7E7E7E" w:sz="4" w:space="0"/>
              <w:left w:val="single" w:color="7E7E7E" w:sz="4" w:space="0"/>
              <w:bottom w:val="single" w:color="7E7E7E" w:sz="4" w:space="0"/>
              <w:right w:val="single" w:color="7E7E7E" w:sz="4" w:space="0"/>
            </w:tcBorders>
          </w:tcPr>
          <w:p w14:paraId="33759E5D">
            <w:pPr>
              <w:rPr>
                <w:rFonts w:ascii="Microsoft Sans Serif" w:hAnsi="Microsoft Sans Serif" w:cs="Microsoft Sans Serif"/>
                <w:sz w:val="20"/>
                <w:szCs w:val="20"/>
              </w:rPr>
            </w:pPr>
            <w:r>
              <w:rPr>
                <w:rFonts w:ascii="Microsoft Sans Serif" w:hAnsi="Microsoft Sans Serif" w:cs="Microsoft Sans Serif"/>
                <w:b/>
                <w:bCs/>
                <w:sz w:val="20"/>
                <w:szCs w:val="20"/>
              </w:rPr>
              <w:t>Događaj</w:t>
            </w:r>
          </w:p>
        </w:tc>
        <w:tc>
          <w:tcPr>
            <w:tcW w:w="2045" w:type="dxa"/>
            <w:tcBorders>
              <w:top w:val="single" w:color="7E7E7E" w:sz="4" w:space="0"/>
              <w:left w:val="single" w:color="7E7E7E" w:sz="4" w:space="0"/>
              <w:bottom w:val="single" w:color="7E7E7E" w:sz="4" w:space="0"/>
              <w:right w:val="single" w:color="7E7E7E" w:sz="4" w:space="0"/>
            </w:tcBorders>
          </w:tcPr>
          <w:p w14:paraId="4249316C">
            <w:pPr>
              <w:rPr>
                <w:rFonts w:ascii="Microsoft Sans Serif" w:hAnsi="Microsoft Sans Serif" w:cs="Microsoft Sans Serif"/>
                <w:sz w:val="20"/>
                <w:szCs w:val="20"/>
              </w:rPr>
            </w:pPr>
            <w:r>
              <w:rPr>
                <w:rFonts w:ascii="Microsoft Sans Serif" w:hAnsi="Microsoft Sans Serif" w:cs="Microsoft Sans Serif"/>
                <w:b/>
                <w:bCs/>
                <w:sz w:val="20"/>
                <w:szCs w:val="20"/>
              </w:rPr>
              <w:t>Rivaroksaban</w:t>
            </w:r>
          </w:p>
          <w:p w14:paraId="0CF9DBB2">
            <w:pPr>
              <w:rPr>
                <w:rFonts w:ascii="Microsoft Sans Serif" w:hAnsi="Microsoft Sans Serif" w:cs="Microsoft Sans Serif"/>
                <w:sz w:val="20"/>
                <w:szCs w:val="20"/>
              </w:rPr>
            </w:pPr>
            <w:r>
              <w:rPr>
                <w:rFonts w:ascii="Microsoft Sans Serif" w:hAnsi="Microsoft Sans Serif" w:cs="Microsoft Sans Serif"/>
                <w:b/>
                <w:bCs/>
                <w:sz w:val="20"/>
                <w:szCs w:val="20"/>
              </w:rPr>
              <w:t>N=335*</w:t>
            </w:r>
          </w:p>
        </w:tc>
        <w:tc>
          <w:tcPr>
            <w:tcW w:w="2126" w:type="dxa"/>
            <w:tcBorders>
              <w:top w:val="single" w:color="7E7E7E" w:sz="4" w:space="0"/>
              <w:left w:val="single" w:color="7E7E7E" w:sz="4" w:space="0"/>
              <w:bottom w:val="single" w:color="7E7E7E" w:sz="4" w:space="0"/>
              <w:right w:val="single" w:color="7E7E7E" w:sz="4" w:space="0"/>
            </w:tcBorders>
          </w:tcPr>
          <w:p w14:paraId="686DFEDF">
            <w:pPr>
              <w:rPr>
                <w:rFonts w:ascii="Microsoft Sans Serif" w:hAnsi="Microsoft Sans Serif" w:cs="Microsoft Sans Serif"/>
                <w:sz w:val="20"/>
                <w:szCs w:val="20"/>
              </w:rPr>
            </w:pPr>
            <w:r>
              <w:rPr>
                <w:rFonts w:ascii="Microsoft Sans Serif" w:hAnsi="Microsoft Sans Serif" w:cs="Microsoft Sans Serif"/>
                <w:b/>
                <w:bCs/>
                <w:sz w:val="20"/>
                <w:szCs w:val="20"/>
              </w:rPr>
              <w:t>Komparator</w:t>
            </w:r>
          </w:p>
          <w:p w14:paraId="5ED7AE97">
            <w:pPr>
              <w:rPr>
                <w:rFonts w:ascii="Microsoft Sans Serif" w:hAnsi="Microsoft Sans Serif" w:cs="Microsoft Sans Serif"/>
                <w:sz w:val="20"/>
                <w:szCs w:val="20"/>
              </w:rPr>
            </w:pPr>
            <w:r>
              <w:rPr>
                <w:rFonts w:ascii="Microsoft Sans Serif" w:hAnsi="Microsoft Sans Serif" w:cs="Microsoft Sans Serif"/>
                <w:b/>
                <w:bCs/>
                <w:sz w:val="20"/>
                <w:szCs w:val="20"/>
              </w:rPr>
              <w:t>N=165*</w:t>
            </w:r>
          </w:p>
        </w:tc>
      </w:tr>
      <w:tr w14:paraId="6D388FE4">
        <w:tblPrEx>
          <w:tblCellMar>
            <w:top w:w="0" w:type="dxa"/>
            <w:left w:w="0" w:type="dxa"/>
            <w:bottom w:w="0" w:type="dxa"/>
            <w:right w:w="0" w:type="dxa"/>
          </w:tblCellMar>
        </w:tblPrEx>
        <w:trPr>
          <w:trHeight w:val="769" w:hRule="exact"/>
        </w:trPr>
        <w:tc>
          <w:tcPr>
            <w:tcW w:w="5293" w:type="dxa"/>
            <w:tcBorders>
              <w:top w:val="single" w:color="7E7E7E" w:sz="4" w:space="0"/>
              <w:left w:val="single" w:color="7E7E7E" w:sz="4" w:space="0"/>
              <w:bottom w:val="single" w:color="7E7E7E" w:sz="4" w:space="0"/>
              <w:right w:val="single" w:color="7E7E7E" w:sz="4" w:space="0"/>
            </w:tcBorders>
          </w:tcPr>
          <w:p w14:paraId="426CD1E2">
            <w:pPr>
              <w:rPr>
                <w:rFonts w:ascii="Microsoft Sans Serif" w:hAnsi="Microsoft Sans Serif" w:cs="Microsoft Sans Serif"/>
                <w:sz w:val="20"/>
                <w:szCs w:val="20"/>
              </w:rPr>
            </w:pPr>
            <w:r>
              <w:rPr>
                <w:rFonts w:ascii="Microsoft Sans Serif" w:hAnsi="Microsoft Sans Serif" w:cs="Microsoft Sans Serif"/>
                <w:sz w:val="20"/>
                <w:szCs w:val="20"/>
              </w:rPr>
              <w:t>Ponovljena VTE (primarni ishod efikasnosti)</w:t>
            </w:r>
          </w:p>
        </w:tc>
        <w:tc>
          <w:tcPr>
            <w:tcW w:w="2045" w:type="dxa"/>
            <w:tcBorders>
              <w:top w:val="single" w:color="7E7E7E" w:sz="4" w:space="0"/>
              <w:left w:val="single" w:color="7E7E7E" w:sz="4" w:space="0"/>
              <w:bottom w:val="single" w:color="7E7E7E" w:sz="4" w:space="0"/>
              <w:right w:val="single" w:color="7E7E7E" w:sz="4" w:space="0"/>
            </w:tcBorders>
          </w:tcPr>
          <w:p w14:paraId="63BCB293">
            <w:pPr>
              <w:rPr>
                <w:rFonts w:ascii="Microsoft Sans Serif" w:hAnsi="Microsoft Sans Serif" w:cs="Microsoft Sans Serif"/>
                <w:sz w:val="20"/>
                <w:szCs w:val="20"/>
              </w:rPr>
            </w:pPr>
            <w:r>
              <w:rPr>
                <w:rFonts w:ascii="Microsoft Sans Serif" w:hAnsi="Microsoft Sans Serif" w:cs="Microsoft Sans Serif"/>
                <w:sz w:val="20"/>
                <w:szCs w:val="20"/>
              </w:rPr>
              <w:t>4</w:t>
            </w:r>
          </w:p>
          <w:p w14:paraId="591BABAF">
            <w:pPr>
              <w:rPr>
                <w:rFonts w:ascii="Microsoft Sans Serif" w:hAnsi="Microsoft Sans Serif" w:cs="Microsoft Sans Serif"/>
                <w:sz w:val="20"/>
                <w:szCs w:val="20"/>
              </w:rPr>
            </w:pPr>
            <w:r>
              <w:rPr>
                <w:rFonts w:ascii="Microsoft Sans Serif" w:hAnsi="Microsoft Sans Serif" w:cs="Microsoft Sans Serif"/>
                <w:sz w:val="20"/>
                <w:szCs w:val="20"/>
              </w:rPr>
              <w:t>(1.2%, 95% CI</w:t>
            </w:r>
          </w:p>
          <w:p w14:paraId="15964333">
            <w:pPr>
              <w:rPr>
                <w:rFonts w:ascii="Microsoft Sans Serif" w:hAnsi="Microsoft Sans Serif" w:cs="Microsoft Sans Serif"/>
                <w:sz w:val="20"/>
                <w:szCs w:val="20"/>
              </w:rPr>
            </w:pPr>
            <w:r>
              <w:rPr>
                <w:rFonts w:ascii="Microsoft Sans Serif" w:hAnsi="Microsoft Sans Serif" w:cs="Microsoft Sans Serif"/>
                <w:sz w:val="20"/>
                <w:szCs w:val="20"/>
              </w:rPr>
              <w:t>0.4% – 3.0%)</w:t>
            </w:r>
          </w:p>
        </w:tc>
        <w:tc>
          <w:tcPr>
            <w:tcW w:w="2126" w:type="dxa"/>
            <w:tcBorders>
              <w:top w:val="single" w:color="7E7E7E" w:sz="4" w:space="0"/>
              <w:left w:val="single" w:color="7E7E7E" w:sz="4" w:space="0"/>
              <w:bottom w:val="single" w:color="7E7E7E" w:sz="4" w:space="0"/>
              <w:right w:val="single" w:color="7E7E7E" w:sz="4" w:space="0"/>
            </w:tcBorders>
          </w:tcPr>
          <w:p w14:paraId="409CC136">
            <w:pPr>
              <w:rPr>
                <w:rFonts w:ascii="Microsoft Sans Serif" w:hAnsi="Microsoft Sans Serif" w:cs="Microsoft Sans Serif"/>
                <w:sz w:val="20"/>
                <w:szCs w:val="20"/>
              </w:rPr>
            </w:pPr>
            <w:r>
              <w:rPr>
                <w:rFonts w:ascii="Microsoft Sans Serif" w:hAnsi="Microsoft Sans Serif" w:cs="Microsoft Sans Serif"/>
                <w:sz w:val="20"/>
                <w:szCs w:val="20"/>
              </w:rPr>
              <w:t>5</w:t>
            </w:r>
          </w:p>
          <w:p w14:paraId="58AD0B9C">
            <w:pPr>
              <w:rPr>
                <w:rFonts w:ascii="Microsoft Sans Serif" w:hAnsi="Microsoft Sans Serif" w:cs="Microsoft Sans Serif"/>
                <w:sz w:val="20"/>
                <w:szCs w:val="20"/>
              </w:rPr>
            </w:pPr>
            <w:r>
              <w:rPr>
                <w:rFonts w:ascii="Microsoft Sans Serif" w:hAnsi="Microsoft Sans Serif" w:cs="Microsoft Sans Serif"/>
                <w:sz w:val="20"/>
                <w:szCs w:val="20"/>
              </w:rPr>
              <w:t>(3.0%, 95% CI</w:t>
            </w:r>
          </w:p>
          <w:p w14:paraId="01A33518">
            <w:pPr>
              <w:rPr>
                <w:rFonts w:ascii="Microsoft Sans Serif" w:hAnsi="Microsoft Sans Serif" w:cs="Microsoft Sans Serif"/>
                <w:sz w:val="20"/>
                <w:szCs w:val="20"/>
              </w:rPr>
            </w:pPr>
            <w:r>
              <w:rPr>
                <w:rFonts w:ascii="Microsoft Sans Serif" w:hAnsi="Microsoft Sans Serif" w:cs="Microsoft Sans Serif"/>
                <w:sz w:val="20"/>
                <w:szCs w:val="20"/>
              </w:rPr>
              <w:t>1.2% - 6.6%)</w:t>
            </w:r>
          </w:p>
        </w:tc>
      </w:tr>
      <w:tr w14:paraId="618DBD70">
        <w:tblPrEx>
          <w:tblCellMar>
            <w:top w:w="0" w:type="dxa"/>
            <w:left w:w="0" w:type="dxa"/>
            <w:bottom w:w="0" w:type="dxa"/>
            <w:right w:w="0" w:type="dxa"/>
          </w:tblCellMar>
        </w:tblPrEx>
        <w:trPr>
          <w:trHeight w:val="714" w:hRule="exact"/>
        </w:trPr>
        <w:tc>
          <w:tcPr>
            <w:tcW w:w="5293" w:type="dxa"/>
            <w:tcBorders>
              <w:top w:val="single" w:color="7E7E7E" w:sz="4" w:space="0"/>
              <w:left w:val="single" w:color="7E7E7E" w:sz="4" w:space="0"/>
              <w:bottom w:val="single" w:color="7E7E7E" w:sz="4" w:space="0"/>
              <w:right w:val="single" w:color="7E7E7E" w:sz="4" w:space="0"/>
            </w:tcBorders>
          </w:tcPr>
          <w:p w14:paraId="414DD213">
            <w:pPr>
              <w:rPr>
                <w:rFonts w:ascii="Microsoft Sans Serif" w:hAnsi="Microsoft Sans Serif" w:cs="Microsoft Sans Serif"/>
                <w:sz w:val="20"/>
                <w:szCs w:val="20"/>
              </w:rPr>
            </w:pPr>
            <w:r>
              <w:rPr>
                <w:rFonts w:ascii="Microsoft Sans Serif" w:hAnsi="Microsoft Sans Serif" w:cs="Microsoft Sans Serif"/>
                <w:sz w:val="20"/>
                <w:szCs w:val="20"/>
              </w:rPr>
              <w:t>Skup: simptomatski ponovljena VTE + asimptomtasko pogoršanje na ponovljenom snimanju</w:t>
            </w:r>
          </w:p>
          <w:p w14:paraId="2BAE42BC">
            <w:pPr>
              <w:rPr>
                <w:rFonts w:ascii="Microsoft Sans Serif" w:hAnsi="Microsoft Sans Serif" w:cs="Microsoft Sans Serif"/>
                <w:sz w:val="20"/>
                <w:szCs w:val="20"/>
              </w:rPr>
            </w:pPr>
          </w:p>
        </w:tc>
        <w:tc>
          <w:tcPr>
            <w:tcW w:w="2045" w:type="dxa"/>
            <w:tcBorders>
              <w:top w:val="single" w:color="7E7E7E" w:sz="4" w:space="0"/>
              <w:left w:val="single" w:color="7E7E7E" w:sz="4" w:space="0"/>
              <w:bottom w:val="single" w:color="7E7E7E" w:sz="4" w:space="0"/>
              <w:right w:val="single" w:color="7E7E7E" w:sz="4" w:space="0"/>
            </w:tcBorders>
          </w:tcPr>
          <w:p w14:paraId="574300F6">
            <w:pPr>
              <w:rPr>
                <w:rFonts w:ascii="Microsoft Sans Serif" w:hAnsi="Microsoft Sans Serif" w:cs="Microsoft Sans Serif"/>
                <w:sz w:val="20"/>
                <w:szCs w:val="20"/>
              </w:rPr>
            </w:pPr>
            <w:r>
              <w:rPr>
                <w:rFonts w:ascii="Microsoft Sans Serif" w:hAnsi="Microsoft Sans Serif" w:cs="Microsoft Sans Serif"/>
                <w:sz w:val="20"/>
                <w:szCs w:val="20"/>
              </w:rPr>
              <w:t>5</w:t>
            </w:r>
          </w:p>
          <w:p w14:paraId="4088AEF7">
            <w:pPr>
              <w:rPr>
                <w:rFonts w:ascii="Microsoft Sans Serif" w:hAnsi="Microsoft Sans Serif" w:cs="Microsoft Sans Serif"/>
                <w:sz w:val="20"/>
                <w:szCs w:val="20"/>
              </w:rPr>
            </w:pPr>
            <w:r>
              <w:rPr>
                <w:rFonts w:ascii="Microsoft Sans Serif" w:hAnsi="Microsoft Sans Serif" w:cs="Microsoft Sans Serif"/>
                <w:sz w:val="20"/>
                <w:szCs w:val="20"/>
              </w:rPr>
              <w:t>(1.5%, 95% CI</w:t>
            </w:r>
          </w:p>
          <w:p w14:paraId="56AD0C27">
            <w:pPr>
              <w:rPr>
                <w:rFonts w:ascii="Microsoft Sans Serif" w:hAnsi="Microsoft Sans Serif" w:cs="Microsoft Sans Serif"/>
                <w:sz w:val="20"/>
                <w:szCs w:val="20"/>
              </w:rPr>
            </w:pPr>
            <w:r>
              <w:rPr>
                <w:rFonts w:ascii="Microsoft Sans Serif" w:hAnsi="Microsoft Sans Serif" w:cs="Microsoft Sans Serif"/>
                <w:sz w:val="20"/>
                <w:szCs w:val="20"/>
              </w:rPr>
              <w:t>0.6% – 3.4%)</w:t>
            </w:r>
          </w:p>
        </w:tc>
        <w:tc>
          <w:tcPr>
            <w:tcW w:w="2126" w:type="dxa"/>
            <w:tcBorders>
              <w:top w:val="single" w:color="7E7E7E" w:sz="4" w:space="0"/>
              <w:left w:val="single" w:color="7E7E7E" w:sz="4" w:space="0"/>
              <w:bottom w:val="single" w:color="7E7E7E" w:sz="4" w:space="0"/>
              <w:right w:val="single" w:color="7E7E7E" w:sz="4" w:space="0"/>
            </w:tcBorders>
          </w:tcPr>
          <w:p w14:paraId="47B80684">
            <w:pPr>
              <w:rPr>
                <w:rFonts w:ascii="Microsoft Sans Serif" w:hAnsi="Microsoft Sans Serif" w:cs="Microsoft Sans Serif"/>
                <w:sz w:val="20"/>
                <w:szCs w:val="20"/>
              </w:rPr>
            </w:pPr>
            <w:r>
              <w:rPr>
                <w:rFonts w:ascii="Microsoft Sans Serif" w:hAnsi="Microsoft Sans Serif" w:cs="Microsoft Sans Serif"/>
                <w:sz w:val="20"/>
                <w:szCs w:val="20"/>
              </w:rPr>
              <w:t>6</w:t>
            </w:r>
          </w:p>
          <w:p w14:paraId="79DEC154">
            <w:pPr>
              <w:rPr>
                <w:rFonts w:ascii="Microsoft Sans Serif" w:hAnsi="Microsoft Sans Serif" w:cs="Microsoft Sans Serif"/>
                <w:sz w:val="20"/>
                <w:szCs w:val="20"/>
              </w:rPr>
            </w:pPr>
            <w:r>
              <w:rPr>
                <w:rFonts w:ascii="Microsoft Sans Serif" w:hAnsi="Microsoft Sans Serif" w:cs="Microsoft Sans Serif"/>
                <w:sz w:val="20"/>
                <w:szCs w:val="20"/>
              </w:rPr>
              <w:t>(3.6%, 95% CI</w:t>
            </w:r>
          </w:p>
          <w:p w14:paraId="71ABA960">
            <w:pPr>
              <w:rPr>
                <w:rFonts w:ascii="Microsoft Sans Serif" w:hAnsi="Microsoft Sans Serif" w:cs="Microsoft Sans Serif"/>
                <w:sz w:val="20"/>
                <w:szCs w:val="20"/>
              </w:rPr>
            </w:pPr>
            <w:r>
              <w:rPr>
                <w:rFonts w:ascii="Microsoft Sans Serif" w:hAnsi="Microsoft Sans Serif" w:cs="Microsoft Sans Serif"/>
                <w:sz w:val="20"/>
                <w:szCs w:val="20"/>
              </w:rPr>
              <w:t>1.6% – 7.6%)</w:t>
            </w:r>
          </w:p>
        </w:tc>
      </w:tr>
      <w:tr w14:paraId="321B4F0A">
        <w:tblPrEx>
          <w:tblCellMar>
            <w:top w:w="0" w:type="dxa"/>
            <w:left w:w="0" w:type="dxa"/>
            <w:bottom w:w="0" w:type="dxa"/>
            <w:right w:w="0" w:type="dxa"/>
          </w:tblCellMar>
        </w:tblPrEx>
        <w:trPr>
          <w:trHeight w:val="710" w:hRule="exact"/>
        </w:trPr>
        <w:tc>
          <w:tcPr>
            <w:tcW w:w="5293" w:type="dxa"/>
            <w:tcBorders>
              <w:top w:val="single" w:color="7E7E7E" w:sz="4" w:space="0"/>
              <w:left w:val="single" w:color="7E7E7E" w:sz="4" w:space="0"/>
              <w:bottom w:val="single" w:color="7E7E7E" w:sz="4" w:space="0"/>
              <w:right w:val="single" w:color="7E7E7E" w:sz="4" w:space="0"/>
            </w:tcBorders>
          </w:tcPr>
          <w:p w14:paraId="789E58F6">
            <w:pPr>
              <w:rPr>
                <w:rFonts w:ascii="Microsoft Sans Serif" w:hAnsi="Microsoft Sans Serif" w:cs="Microsoft Sans Serif"/>
                <w:sz w:val="20"/>
                <w:szCs w:val="20"/>
              </w:rPr>
            </w:pPr>
            <w:r>
              <w:rPr>
                <w:rFonts w:ascii="Microsoft Sans Serif" w:hAnsi="Microsoft Sans Serif" w:cs="Microsoft Sans Serif"/>
                <w:sz w:val="20"/>
                <w:szCs w:val="20"/>
              </w:rPr>
              <w:t>Skup: simptomatski ponovljena VTE + asimptomtasko pogoršanje + bez promjene na ponovljenom snimanju</w:t>
            </w:r>
          </w:p>
          <w:p w14:paraId="15A94B61">
            <w:pPr>
              <w:rPr>
                <w:rFonts w:ascii="Microsoft Sans Serif" w:hAnsi="Microsoft Sans Serif" w:cs="Microsoft Sans Serif"/>
                <w:sz w:val="20"/>
                <w:szCs w:val="20"/>
              </w:rPr>
            </w:pPr>
          </w:p>
        </w:tc>
        <w:tc>
          <w:tcPr>
            <w:tcW w:w="2045" w:type="dxa"/>
            <w:tcBorders>
              <w:top w:val="single" w:color="7E7E7E" w:sz="4" w:space="0"/>
              <w:left w:val="single" w:color="7E7E7E" w:sz="4" w:space="0"/>
              <w:bottom w:val="single" w:color="7E7E7E" w:sz="4" w:space="0"/>
              <w:right w:val="single" w:color="7E7E7E" w:sz="4" w:space="0"/>
            </w:tcBorders>
          </w:tcPr>
          <w:p w14:paraId="1ABD8BFA">
            <w:pPr>
              <w:rPr>
                <w:rFonts w:ascii="Microsoft Sans Serif" w:hAnsi="Microsoft Sans Serif" w:cs="Microsoft Sans Serif"/>
                <w:sz w:val="20"/>
                <w:szCs w:val="20"/>
              </w:rPr>
            </w:pPr>
            <w:r>
              <w:rPr>
                <w:rFonts w:ascii="Microsoft Sans Serif" w:hAnsi="Microsoft Sans Serif" w:cs="Microsoft Sans Serif"/>
                <w:sz w:val="20"/>
                <w:szCs w:val="20"/>
              </w:rPr>
              <w:t>21</w:t>
            </w:r>
          </w:p>
          <w:p w14:paraId="74AFB116">
            <w:pPr>
              <w:rPr>
                <w:rFonts w:ascii="Microsoft Sans Serif" w:hAnsi="Microsoft Sans Serif" w:cs="Microsoft Sans Serif"/>
                <w:sz w:val="20"/>
                <w:szCs w:val="20"/>
              </w:rPr>
            </w:pPr>
            <w:r>
              <w:rPr>
                <w:rFonts w:ascii="Microsoft Sans Serif" w:hAnsi="Microsoft Sans Serif" w:cs="Microsoft Sans Serif"/>
                <w:sz w:val="20"/>
                <w:szCs w:val="20"/>
              </w:rPr>
              <w:t>(6.3%, 95% CI</w:t>
            </w:r>
          </w:p>
          <w:p w14:paraId="13298CD6">
            <w:pPr>
              <w:rPr>
                <w:rFonts w:ascii="Microsoft Sans Serif" w:hAnsi="Microsoft Sans Serif" w:cs="Microsoft Sans Serif"/>
                <w:sz w:val="20"/>
                <w:szCs w:val="20"/>
              </w:rPr>
            </w:pPr>
            <w:r>
              <w:rPr>
                <w:rFonts w:ascii="Microsoft Sans Serif" w:hAnsi="Microsoft Sans Serif" w:cs="Microsoft Sans Serif"/>
                <w:sz w:val="20"/>
                <w:szCs w:val="20"/>
              </w:rPr>
              <w:t>4.0% – 9.2%)</w:t>
            </w:r>
          </w:p>
        </w:tc>
        <w:tc>
          <w:tcPr>
            <w:tcW w:w="2126" w:type="dxa"/>
            <w:tcBorders>
              <w:top w:val="single" w:color="7E7E7E" w:sz="4" w:space="0"/>
              <w:left w:val="single" w:color="7E7E7E" w:sz="4" w:space="0"/>
              <w:bottom w:val="single" w:color="7E7E7E" w:sz="4" w:space="0"/>
              <w:right w:val="single" w:color="7E7E7E" w:sz="4" w:space="0"/>
            </w:tcBorders>
          </w:tcPr>
          <w:p w14:paraId="3C0C9A53">
            <w:pPr>
              <w:rPr>
                <w:rFonts w:ascii="Microsoft Sans Serif" w:hAnsi="Microsoft Sans Serif" w:cs="Microsoft Sans Serif"/>
                <w:sz w:val="20"/>
                <w:szCs w:val="20"/>
              </w:rPr>
            </w:pPr>
            <w:r>
              <w:rPr>
                <w:rFonts w:ascii="Microsoft Sans Serif" w:hAnsi="Microsoft Sans Serif" w:cs="Microsoft Sans Serif"/>
                <w:sz w:val="20"/>
                <w:szCs w:val="20"/>
              </w:rPr>
              <w:t>19</w:t>
            </w:r>
          </w:p>
          <w:p w14:paraId="4A893EEA">
            <w:pPr>
              <w:rPr>
                <w:rFonts w:ascii="Microsoft Sans Serif" w:hAnsi="Microsoft Sans Serif" w:cs="Microsoft Sans Serif"/>
                <w:sz w:val="20"/>
                <w:szCs w:val="20"/>
              </w:rPr>
            </w:pPr>
            <w:r>
              <w:rPr>
                <w:rFonts w:ascii="Microsoft Sans Serif" w:hAnsi="Microsoft Sans Serif" w:cs="Microsoft Sans Serif"/>
                <w:sz w:val="20"/>
                <w:szCs w:val="20"/>
              </w:rPr>
              <w:t>(11.5%, 95% CI</w:t>
            </w:r>
          </w:p>
          <w:p w14:paraId="0E3F6BE8">
            <w:pPr>
              <w:rPr>
                <w:rFonts w:ascii="Microsoft Sans Serif" w:hAnsi="Microsoft Sans Serif" w:cs="Microsoft Sans Serif"/>
                <w:sz w:val="20"/>
                <w:szCs w:val="20"/>
              </w:rPr>
            </w:pPr>
            <w:r>
              <w:rPr>
                <w:rFonts w:ascii="Microsoft Sans Serif" w:hAnsi="Microsoft Sans Serif" w:cs="Microsoft Sans Serif"/>
                <w:sz w:val="20"/>
                <w:szCs w:val="20"/>
              </w:rPr>
              <w:t>7.3% – 17.4%)</w:t>
            </w:r>
          </w:p>
        </w:tc>
      </w:tr>
      <w:tr w14:paraId="5457CD86">
        <w:tblPrEx>
          <w:tblCellMar>
            <w:top w:w="0" w:type="dxa"/>
            <w:left w:w="0" w:type="dxa"/>
            <w:bottom w:w="0" w:type="dxa"/>
            <w:right w:w="0" w:type="dxa"/>
          </w:tblCellMar>
        </w:tblPrEx>
        <w:trPr>
          <w:trHeight w:val="857" w:hRule="exact"/>
        </w:trPr>
        <w:tc>
          <w:tcPr>
            <w:tcW w:w="5293" w:type="dxa"/>
            <w:tcBorders>
              <w:top w:val="single" w:color="7E7E7E" w:sz="4" w:space="0"/>
              <w:left w:val="single" w:color="7E7E7E" w:sz="4" w:space="0"/>
              <w:bottom w:val="single" w:color="7E7E7E" w:sz="4" w:space="0"/>
              <w:right w:val="single" w:color="7E7E7E" w:sz="4" w:space="0"/>
            </w:tcBorders>
          </w:tcPr>
          <w:p w14:paraId="5CB40F78">
            <w:pPr>
              <w:rPr>
                <w:rFonts w:ascii="Microsoft Sans Serif" w:hAnsi="Microsoft Sans Serif" w:cs="Microsoft Sans Serif"/>
                <w:sz w:val="20"/>
                <w:szCs w:val="20"/>
              </w:rPr>
            </w:pPr>
            <w:r>
              <w:rPr>
                <w:rFonts w:ascii="Microsoft Sans Serif" w:hAnsi="Microsoft Sans Serif" w:cs="Microsoft Sans Serif"/>
                <w:sz w:val="20"/>
                <w:szCs w:val="20"/>
              </w:rPr>
              <w:t>Normalizacija na ponovljenom snimanju</w:t>
            </w:r>
          </w:p>
        </w:tc>
        <w:tc>
          <w:tcPr>
            <w:tcW w:w="2045" w:type="dxa"/>
            <w:tcBorders>
              <w:top w:val="single" w:color="7E7E7E" w:sz="4" w:space="0"/>
              <w:left w:val="single" w:color="7E7E7E" w:sz="4" w:space="0"/>
              <w:bottom w:val="single" w:color="7E7E7E" w:sz="4" w:space="0"/>
              <w:right w:val="single" w:color="7E7E7E" w:sz="4" w:space="0"/>
            </w:tcBorders>
          </w:tcPr>
          <w:p w14:paraId="02C24A76">
            <w:pPr>
              <w:rPr>
                <w:rFonts w:ascii="Microsoft Sans Serif" w:hAnsi="Microsoft Sans Serif" w:cs="Microsoft Sans Serif"/>
                <w:sz w:val="20"/>
                <w:szCs w:val="20"/>
              </w:rPr>
            </w:pPr>
            <w:r>
              <w:rPr>
                <w:rFonts w:ascii="Microsoft Sans Serif" w:hAnsi="Microsoft Sans Serif" w:cs="Microsoft Sans Serif"/>
                <w:sz w:val="20"/>
                <w:szCs w:val="20"/>
              </w:rPr>
              <w:t>128</w:t>
            </w:r>
          </w:p>
          <w:p w14:paraId="72AF3880">
            <w:pPr>
              <w:rPr>
                <w:rFonts w:ascii="Microsoft Sans Serif" w:hAnsi="Microsoft Sans Serif" w:cs="Microsoft Sans Serif"/>
                <w:sz w:val="20"/>
                <w:szCs w:val="20"/>
              </w:rPr>
            </w:pPr>
            <w:r>
              <w:rPr>
                <w:rFonts w:ascii="Microsoft Sans Serif" w:hAnsi="Microsoft Sans Serif" w:cs="Microsoft Sans Serif"/>
                <w:sz w:val="20"/>
                <w:szCs w:val="20"/>
              </w:rPr>
              <w:t>(38.2%, 95% CI</w:t>
            </w:r>
          </w:p>
          <w:p w14:paraId="47178A14">
            <w:pPr>
              <w:rPr>
                <w:rFonts w:ascii="Microsoft Sans Serif" w:hAnsi="Microsoft Sans Serif" w:cs="Microsoft Sans Serif"/>
                <w:sz w:val="20"/>
                <w:szCs w:val="20"/>
              </w:rPr>
            </w:pPr>
            <w:r>
              <w:rPr>
                <w:rFonts w:ascii="Microsoft Sans Serif" w:hAnsi="Microsoft Sans Serif" w:cs="Microsoft Sans Serif"/>
                <w:sz w:val="20"/>
                <w:szCs w:val="20"/>
              </w:rPr>
              <w:t>33.0% - 43.5%)</w:t>
            </w:r>
          </w:p>
        </w:tc>
        <w:tc>
          <w:tcPr>
            <w:tcW w:w="2126" w:type="dxa"/>
            <w:tcBorders>
              <w:top w:val="single" w:color="7E7E7E" w:sz="4" w:space="0"/>
              <w:left w:val="single" w:color="7E7E7E" w:sz="4" w:space="0"/>
              <w:bottom w:val="single" w:color="7E7E7E" w:sz="4" w:space="0"/>
              <w:right w:val="single" w:color="7E7E7E" w:sz="4" w:space="0"/>
            </w:tcBorders>
          </w:tcPr>
          <w:p w14:paraId="6D18EA51">
            <w:pPr>
              <w:rPr>
                <w:rFonts w:ascii="Microsoft Sans Serif" w:hAnsi="Microsoft Sans Serif" w:cs="Microsoft Sans Serif"/>
                <w:sz w:val="20"/>
                <w:szCs w:val="20"/>
              </w:rPr>
            </w:pPr>
            <w:r>
              <w:rPr>
                <w:rFonts w:ascii="Microsoft Sans Serif" w:hAnsi="Microsoft Sans Serif" w:cs="Microsoft Sans Serif"/>
                <w:sz w:val="20"/>
                <w:szCs w:val="20"/>
              </w:rPr>
              <w:t>43</w:t>
            </w:r>
          </w:p>
          <w:p w14:paraId="6FE22972">
            <w:pPr>
              <w:rPr>
                <w:rFonts w:ascii="Microsoft Sans Serif" w:hAnsi="Microsoft Sans Serif" w:cs="Microsoft Sans Serif"/>
                <w:sz w:val="20"/>
                <w:szCs w:val="20"/>
              </w:rPr>
            </w:pPr>
            <w:r>
              <w:rPr>
                <w:rFonts w:ascii="Microsoft Sans Serif" w:hAnsi="Microsoft Sans Serif" w:cs="Microsoft Sans Serif"/>
                <w:sz w:val="20"/>
                <w:szCs w:val="20"/>
              </w:rPr>
              <w:t>(26.1%, 95% CI</w:t>
            </w:r>
          </w:p>
          <w:p w14:paraId="525CFCB7">
            <w:pPr>
              <w:rPr>
                <w:rFonts w:ascii="Microsoft Sans Serif" w:hAnsi="Microsoft Sans Serif" w:cs="Microsoft Sans Serif"/>
                <w:sz w:val="20"/>
                <w:szCs w:val="20"/>
              </w:rPr>
            </w:pPr>
            <w:r>
              <w:rPr>
                <w:rFonts w:ascii="Microsoft Sans Serif" w:hAnsi="Microsoft Sans Serif" w:cs="Microsoft Sans Serif"/>
                <w:sz w:val="20"/>
                <w:szCs w:val="20"/>
              </w:rPr>
              <w:t>19.8% - 33.0%)</w:t>
            </w:r>
          </w:p>
        </w:tc>
      </w:tr>
      <w:tr w14:paraId="0B501724">
        <w:tblPrEx>
          <w:tblCellMar>
            <w:top w:w="0" w:type="dxa"/>
            <w:left w:w="0" w:type="dxa"/>
            <w:bottom w:w="0" w:type="dxa"/>
            <w:right w:w="0" w:type="dxa"/>
          </w:tblCellMar>
        </w:tblPrEx>
        <w:trPr>
          <w:trHeight w:val="704" w:hRule="exact"/>
        </w:trPr>
        <w:tc>
          <w:tcPr>
            <w:tcW w:w="5293" w:type="dxa"/>
            <w:tcBorders>
              <w:top w:val="single" w:color="7E7E7E" w:sz="4" w:space="0"/>
              <w:left w:val="single" w:color="7E7E7E" w:sz="4" w:space="0"/>
              <w:bottom w:val="single" w:color="7E7E7E" w:sz="4" w:space="0"/>
              <w:right w:val="single" w:color="7E7E7E" w:sz="4" w:space="0"/>
            </w:tcBorders>
          </w:tcPr>
          <w:p w14:paraId="47746DBD">
            <w:pPr>
              <w:rPr>
                <w:rFonts w:ascii="Microsoft Sans Serif" w:hAnsi="Microsoft Sans Serif" w:cs="Microsoft Sans Serif"/>
                <w:sz w:val="20"/>
                <w:szCs w:val="20"/>
              </w:rPr>
            </w:pPr>
            <w:r>
              <w:rPr>
                <w:rFonts w:ascii="Microsoft Sans Serif" w:hAnsi="Microsoft Sans Serif" w:cs="Microsoft Sans Serif"/>
                <w:sz w:val="20"/>
                <w:szCs w:val="20"/>
              </w:rPr>
              <w:t xml:space="preserve">Skup: simptomatski ponovljena VTE + obilno krvarenje (neto kliničke koristi) </w:t>
            </w:r>
          </w:p>
        </w:tc>
        <w:tc>
          <w:tcPr>
            <w:tcW w:w="2045" w:type="dxa"/>
            <w:tcBorders>
              <w:top w:val="single" w:color="7E7E7E" w:sz="4" w:space="0"/>
              <w:left w:val="single" w:color="7E7E7E" w:sz="4" w:space="0"/>
              <w:bottom w:val="single" w:color="7E7E7E" w:sz="4" w:space="0"/>
              <w:right w:val="single" w:color="7E7E7E" w:sz="4" w:space="0"/>
            </w:tcBorders>
          </w:tcPr>
          <w:p w14:paraId="58A2C041">
            <w:pPr>
              <w:rPr>
                <w:rFonts w:ascii="Microsoft Sans Serif" w:hAnsi="Microsoft Sans Serif" w:cs="Microsoft Sans Serif"/>
                <w:sz w:val="20"/>
                <w:szCs w:val="20"/>
              </w:rPr>
            </w:pPr>
            <w:r>
              <w:rPr>
                <w:rFonts w:ascii="Microsoft Sans Serif" w:hAnsi="Microsoft Sans Serif" w:cs="Microsoft Sans Serif"/>
                <w:sz w:val="20"/>
                <w:szCs w:val="20"/>
              </w:rPr>
              <w:t>4</w:t>
            </w:r>
          </w:p>
          <w:p w14:paraId="76B65A39">
            <w:pPr>
              <w:rPr>
                <w:rFonts w:ascii="Microsoft Sans Serif" w:hAnsi="Microsoft Sans Serif" w:cs="Microsoft Sans Serif"/>
                <w:sz w:val="20"/>
                <w:szCs w:val="20"/>
              </w:rPr>
            </w:pPr>
            <w:r>
              <w:rPr>
                <w:rFonts w:ascii="Microsoft Sans Serif" w:hAnsi="Microsoft Sans Serif" w:cs="Microsoft Sans Serif"/>
                <w:sz w:val="20"/>
                <w:szCs w:val="20"/>
              </w:rPr>
              <w:t>(1.2%, 95% CI</w:t>
            </w:r>
          </w:p>
          <w:p w14:paraId="4CB02A07">
            <w:pPr>
              <w:rPr>
                <w:rFonts w:ascii="Microsoft Sans Serif" w:hAnsi="Microsoft Sans Serif" w:cs="Microsoft Sans Serif"/>
                <w:sz w:val="20"/>
                <w:szCs w:val="20"/>
              </w:rPr>
            </w:pPr>
            <w:r>
              <w:rPr>
                <w:rFonts w:ascii="Microsoft Sans Serif" w:hAnsi="Microsoft Sans Serif" w:cs="Microsoft Sans Serif"/>
                <w:sz w:val="20"/>
                <w:szCs w:val="20"/>
              </w:rPr>
              <w:t>0.4% - 3.0%)</w:t>
            </w:r>
          </w:p>
        </w:tc>
        <w:tc>
          <w:tcPr>
            <w:tcW w:w="2126" w:type="dxa"/>
            <w:tcBorders>
              <w:top w:val="single" w:color="7E7E7E" w:sz="4" w:space="0"/>
              <w:left w:val="single" w:color="7E7E7E" w:sz="4" w:space="0"/>
              <w:bottom w:val="single" w:color="7E7E7E" w:sz="4" w:space="0"/>
              <w:right w:val="single" w:color="7E7E7E" w:sz="4" w:space="0"/>
            </w:tcBorders>
          </w:tcPr>
          <w:p w14:paraId="1D4928FC">
            <w:pPr>
              <w:rPr>
                <w:rFonts w:ascii="Microsoft Sans Serif" w:hAnsi="Microsoft Sans Serif" w:cs="Microsoft Sans Serif"/>
                <w:sz w:val="20"/>
                <w:szCs w:val="20"/>
              </w:rPr>
            </w:pPr>
            <w:r>
              <w:rPr>
                <w:rFonts w:ascii="Microsoft Sans Serif" w:hAnsi="Microsoft Sans Serif" w:cs="Microsoft Sans Serif"/>
                <w:sz w:val="20"/>
                <w:szCs w:val="20"/>
              </w:rPr>
              <w:t>7</w:t>
            </w:r>
          </w:p>
          <w:p w14:paraId="1AB6083E">
            <w:pPr>
              <w:rPr>
                <w:rFonts w:ascii="Microsoft Sans Serif" w:hAnsi="Microsoft Sans Serif" w:cs="Microsoft Sans Serif"/>
                <w:sz w:val="20"/>
                <w:szCs w:val="20"/>
              </w:rPr>
            </w:pPr>
            <w:r>
              <w:rPr>
                <w:rFonts w:ascii="Microsoft Sans Serif" w:hAnsi="Microsoft Sans Serif" w:cs="Microsoft Sans Serif"/>
                <w:sz w:val="20"/>
                <w:szCs w:val="20"/>
              </w:rPr>
              <w:t>(4.2%, 95% CI</w:t>
            </w:r>
          </w:p>
          <w:p w14:paraId="5466EAF2">
            <w:pPr>
              <w:rPr>
                <w:rFonts w:ascii="Microsoft Sans Serif" w:hAnsi="Microsoft Sans Serif" w:cs="Microsoft Sans Serif"/>
                <w:sz w:val="20"/>
                <w:szCs w:val="20"/>
              </w:rPr>
            </w:pPr>
            <w:r>
              <w:rPr>
                <w:rFonts w:ascii="Microsoft Sans Serif" w:hAnsi="Microsoft Sans Serif" w:cs="Microsoft Sans Serif"/>
                <w:sz w:val="20"/>
                <w:szCs w:val="20"/>
              </w:rPr>
              <w:t>2.0% - 8.4%)</w:t>
            </w:r>
          </w:p>
        </w:tc>
      </w:tr>
      <w:tr w14:paraId="1D975A0E">
        <w:tblPrEx>
          <w:tblCellMar>
            <w:top w:w="0" w:type="dxa"/>
            <w:left w:w="0" w:type="dxa"/>
            <w:bottom w:w="0" w:type="dxa"/>
            <w:right w:w="0" w:type="dxa"/>
          </w:tblCellMar>
        </w:tblPrEx>
        <w:trPr>
          <w:trHeight w:val="854" w:hRule="exact"/>
        </w:trPr>
        <w:tc>
          <w:tcPr>
            <w:tcW w:w="5293" w:type="dxa"/>
            <w:tcBorders>
              <w:top w:val="single" w:color="7E7E7E" w:sz="4" w:space="0"/>
              <w:left w:val="single" w:color="7E7E7E" w:sz="4" w:space="0"/>
              <w:bottom w:val="single" w:color="000000" w:sz="4" w:space="0"/>
              <w:right w:val="single" w:color="7E7E7E" w:sz="4" w:space="0"/>
            </w:tcBorders>
          </w:tcPr>
          <w:p w14:paraId="1A946FA9">
            <w:pPr>
              <w:rPr>
                <w:rFonts w:ascii="Microsoft Sans Serif" w:hAnsi="Microsoft Sans Serif" w:cs="Microsoft Sans Serif"/>
                <w:sz w:val="20"/>
                <w:szCs w:val="20"/>
              </w:rPr>
            </w:pPr>
            <w:r>
              <w:rPr>
                <w:rFonts w:ascii="Microsoft Sans Serif" w:hAnsi="Microsoft Sans Serif" w:cs="Microsoft Sans Serif"/>
                <w:sz w:val="20"/>
                <w:szCs w:val="20"/>
              </w:rPr>
              <w:t>Plućna embolija sa ili bez smrtnog ishoda</w:t>
            </w:r>
          </w:p>
        </w:tc>
        <w:tc>
          <w:tcPr>
            <w:tcW w:w="2045" w:type="dxa"/>
            <w:tcBorders>
              <w:top w:val="single" w:color="7E7E7E" w:sz="4" w:space="0"/>
              <w:left w:val="single" w:color="7E7E7E" w:sz="4" w:space="0"/>
              <w:bottom w:val="single" w:color="000000" w:sz="4" w:space="0"/>
              <w:right w:val="single" w:color="7E7E7E" w:sz="4" w:space="0"/>
            </w:tcBorders>
          </w:tcPr>
          <w:p w14:paraId="4B8C66FB">
            <w:pPr>
              <w:rPr>
                <w:rFonts w:ascii="Microsoft Sans Serif" w:hAnsi="Microsoft Sans Serif" w:cs="Microsoft Sans Serif"/>
                <w:sz w:val="20"/>
                <w:szCs w:val="20"/>
              </w:rPr>
            </w:pPr>
            <w:r>
              <w:rPr>
                <w:rFonts w:ascii="Microsoft Sans Serif" w:hAnsi="Microsoft Sans Serif" w:cs="Microsoft Sans Serif"/>
                <w:sz w:val="20"/>
                <w:szCs w:val="20"/>
              </w:rPr>
              <w:t>1</w:t>
            </w:r>
          </w:p>
          <w:p w14:paraId="64579B0D">
            <w:pPr>
              <w:rPr>
                <w:rFonts w:ascii="Microsoft Sans Serif" w:hAnsi="Microsoft Sans Serif" w:cs="Microsoft Sans Serif"/>
                <w:sz w:val="20"/>
                <w:szCs w:val="20"/>
              </w:rPr>
            </w:pPr>
            <w:r>
              <w:rPr>
                <w:rFonts w:ascii="Microsoft Sans Serif" w:hAnsi="Microsoft Sans Serif" w:cs="Microsoft Sans Serif"/>
                <w:sz w:val="20"/>
                <w:szCs w:val="20"/>
              </w:rPr>
              <w:t>(0.3%, 95% CI</w:t>
            </w:r>
          </w:p>
          <w:p w14:paraId="0FE422D5">
            <w:pPr>
              <w:rPr>
                <w:rFonts w:ascii="Microsoft Sans Serif" w:hAnsi="Microsoft Sans Serif" w:cs="Microsoft Sans Serif"/>
                <w:sz w:val="20"/>
                <w:szCs w:val="20"/>
              </w:rPr>
            </w:pPr>
            <w:r>
              <w:rPr>
                <w:rFonts w:ascii="Microsoft Sans Serif" w:hAnsi="Microsoft Sans Serif" w:cs="Microsoft Sans Serif"/>
                <w:sz w:val="20"/>
                <w:szCs w:val="20"/>
              </w:rPr>
              <w:t>0.0% – 1.6%)</w:t>
            </w:r>
          </w:p>
        </w:tc>
        <w:tc>
          <w:tcPr>
            <w:tcW w:w="2126" w:type="dxa"/>
            <w:tcBorders>
              <w:top w:val="single" w:color="7E7E7E" w:sz="4" w:space="0"/>
              <w:left w:val="single" w:color="7E7E7E" w:sz="4" w:space="0"/>
              <w:bottom w:val="single" w:color="000000" w:sz="4" w:space="0"/>
              <w:right w:val="single" w:color="7E7E7E" w:sz="4" w:space="0"/>
            </w:tcBorders>
          </w:tcPr>
          <w:p w14:paraId="3E190871">
            <w:pPr>
              <w:rPr>
                <w:rFonts w:ascii="Microsoft Sans Serif" w:hAnsi="Microsoft Sans Serif" w:cs="Microsoft Sans Serif"/>
                <w:sz w:val="20"/>
                <w:szCs w:val="20"/>
              </w:rPr>
            </w:pPr>
            <w:r>
              <w:rPr>
                <w:rFonts w:ascii="Microsoft Sans Serif" w:hAnsi="Microsoft Sans Serif" w:cs="Microsoft Sans Serif"/>
                <w:sz w:val="20"/>
                <w:szCs w:val="20"/>
              </w:rPr>
              <w:t>1</w:t>
            </w:r>
          </w:p>
          <w:p w14:paraId="6165A054">
            <w:pPr>
              <w:rPr>
                <w:rFonts w:ascii="Microsoft Sans Serif" w:hAnsi="Microsoft Sans Serif" w:cs="Microsoft Sans Serif"/>
                <w:sz w:val="20"/>
                <w:szCs w:val="20"/>
              </w:rPr>
            </w:pPr>
            <w:r>
              <w:rPr>
                <w:rFonts w:ascii="Microsoft Sans Serif" w:hAnsi="Microsoft Sans Serif" w:cs="Microsoft Sans Serif"/>
                <w:sz w:val="20"/>
                <w:szCs w:val="20"/>
              </w:rPr>
              <w:t>(0.6%, 95% CI</w:t>
            </w:r>
          </w:p>
          <w:p w14:paraId="12C4A916">
            <w:pPr>
              <w:rPr>
                <w:rFonts w:ascii="Microsoft Sans Serif" w:hAnsi="Microsoft Sans Serif" w:cs="Microsoft Sans Serif"/>
                <w:sz w:val="20"/>
                <w:szCs w:val="20"/>
              </w:rPr>
            </w:pPr>
            <w:r>
              <w:rPr>
                <w:rFonts w:ascii="Microsoft Sans Serif" w:hAnsi="Microsoft Sans Serif" w:cs="Microsoft Sans Serif"/>
                <w:sz w:val="20"/>
                <w:szCs w:val="20"/>
              </w:rPr>
              <w:t>0.0% – 3.1%)</w:t>
            </w:r>
          </w:p>
        </w:tc>
      </w:tr>
    </w:tbl>
    <w:p w14:paraId="442B884A">
      <w:r>
        <w:rPr>
          <w:rFonts w:ascii="Microsoft Sans Serif" w:hAnsi="Microsoft Sans Serif" w:cs="Microsoft Sans Serif"/>
          <w:sz w:val="20"/>
          <w:szCs w:val="20"/>
        </w:rPr>
        <w:t>*FAS (engl. full analysis set) = potpuni skup podataka za analizu, sva djeca koja su bila randomiz</w:t>
      </w:r>
      <w:r>
        <w:rPr>
          <w:rFonts w:ascii="Microsoft Sans Serif" w:hAnsi="Microsoft Sans Serif" w:cs="Microsoft Sans Serif"/>
          <w:sz w:val="20"/>
          <w:szCs w:val="20"/>
          <w:lang w:val="sr-Cyrl-RS"/>
        </w:rPr>
        <w:t>о</w:t>
      </w:r>
      <w:r>
        <w:rPr>
          <w:rFonts w:ascii="Microsoft Sans Serif" w:hAnsi="Microsoft Sans Serif" w:cs="Microsoft Sans Serif"/>
          <w:sz w:val="20"/>
          <w:szCs w:val="20"/>
        </w:rPr>
        <w:t>vana</w:t>
      </w:r>
    </w:p>
    <w:p w14:paraId="551865C2"/>
    <w:p w14:paraId="2404AC61">
      <w:pPr>
        <w:rPr>
          <w:rFonts w:ascii="Microsoft Sans Serif" w:hAnsi="Microsoft Sans Serif" w:cs="Microsoft Sans Serif"/>
          <w:sz w:val="20"/>
          <w:szCs w:val="20"/>
        </w:rPr>
      </w:pPr>
      <w:r>
        <w:rPr>
          <w:rFonts w:ascii="Microsoft Sans Serif" w:hAnsi="Microsoft Sans Serif" w:cs="Microsoft Sans Serif"/>
          <w:b/>
          <w:bCs/>
          <w:sz w:val="20"/>
          <w:szCs w:val="20"/>
        </w:rPr>
        <w:t xml:space="preserve">Tabela 12: </w:t>
      </w:r>
      <w:r>
        <w:rPr>
          <w:rFonts w:ascii="Microsoft Sans Serif" w:hAnsi="Microsoft Sans Serif" w:cs="Microsoft Sans Serif"/>
          <w:b/>
          <w:sz w:val="20"/>
          <w:szCs w:val="20"/>
        </w:rPr>
        <w:t>Rezultati bezbjednosti primjene na kraju glavnog perioda liječenja</w:t>
      </w:r>
    </w:p>
    <w:tbl>
      <w:tblPr>
        <w:tblStyle w:val="7"/>
        <w:tblW w:w="9464" w:type="dxa"/>
        <w:tblInd w:w="112" w:type="dxa"/>
        <w:tblLayout w:type="fixed"/>
        <w:tblCellMar>
          <w:top w:w="0" w:type="dxa"/>
          <w:left w:w="0" w:type="dxa"/>
          <w:bottom w:w="0" w:type="dxa"/>
          <w:right w:w="0" w:type="dxa"/>
        </w:tblCellMar>
      </w:tblPr>
      <w:tblGrid>
        <w:gridCol w:w="5212"/>
        <w:gridCol w:w="2126"/>
        <w:gridCol w:w="2126"/>
      </w:tblGrid>
      <w:tr w14:paraId="5A781434">
        <w:tblPrEx>
          <w:tblCellMar>
            <w:top w:w="0" w:type="dxa"/>
            <w:left w:w="0" w:type="dxa"/>
            <w:bottom w:w="0" w:type="dxa"/>
            <w:right w:w="0" w:type="dxa"/>
          </w:tblCellMar>
        </w:tblPrEx>
        <w:trPr>
          <w:trHeight w:val="516" w:hRule="exact"/>
        </w:trPr>
        <w:tc>
          <w:tcPr>
            <w:tcW w:w="5212" w:type="dxa"/>
            <w:tcBorders>
              <w:top w:val="single" w:color="7E7E7E" w:sz="4" w:space="0"/>
              <w:left w:val="single" w:color="7E7E7E" w:sz="4" w:space="0"/>
              <w:bottom w:val="single" w:color="7E7E7E" w:sz="4" w:space="0"/>
              <w:right w:val="single" w:color="7E7E7E" w:sz="4" w:space="0"/>
            </w:tcBorders>
          </w:tcPr>
          <w:p w14:paraId="6255C41A">
            <w:pPr>
              <w:rPr>
                <w:rFonts w:ascii="Microsoft Sans Serif" w:hAnsi="Microsoft Sans Serif" w:cs="Microsoft Sans Serif"/>
                <w:sz w:val="20"/>
                <w:szCs w:val="20"/>
              </w:rPr>
            </w:pPr>
          </w:p>
        </w:tc>
        <w:tc>
          <w:tcPr>
            <w:tcW w:w="2126" w:type="dxa"/>
            <w:tcBorders>
              <w:top w:val="single" w:color="7E7E7E" w:sz="4" w:space="0"/>
              <w:left w:val="single" w:color="7E7E7E" w:sz="4" w:space="0"/>
              <w:bottom w:val="single" w:color="7E7E7E" w:sz="4" w:space="0"/>
              <w:right w:val="single" w:color="7E7E7E" w:sz="4" w:space="0"/>
            </w:tcBorders>
          </w:tcPr>
          <w:p w14:paraId="0F510280">
            <w:pPr>
              <w:rPr>
                <w:rFonts w:ascii="Microsoft Sans Serif" w:hAnsi="Microsoft Sans Serif" w:cs="Microsoft Sans Serif"/>
                <w:sz w:val="20"/>
                <w:szCs w:val="20"/>
              </w:rPr>
            </w:pPr>
            <w:r>
              <w:rPr>
                <w:rFonts w:ascii="Microsoft Sans Serif" w:hAnsi="Microsoft Sans Serif" w:cs="Microsoft Sans Serif"/>
                <w:b/>
                <w:bCs/>
                <w:sz w:val="20"/>
                <w:szCs w:val="20"/>
              </w:rPr>
              <w:t>Rivaroksaban</w:t>
            </w:r>
          </w:p>
          <w:p w14:paraId="31D98EF0">
            <w:pPr>
              <w:rPr>
                <w:rFonts w:ascii="Microsoft Sans Serif" w:hAnsi="Microsoft Sans Serif" w:cs="Microsoft Sans Serif"/>
                <w:sz w:val="20"/>
                <w:szCs w:val="20"/>
              </w:rPr>
            </w:pPr>
            <w:r>
              <w:rPr>
                <w:rFonts w:ascii="Microsoft Sans Serif" w:hAnsi="Microsoft Sans Serif" w:cs="Microsoft Sans Serif"/>
                <w:b/>
                <w:bCs/>
                <w:sz w:val="20"/>
                <w:szCs w:val="20"/>
              </w:rPr>
              <w:t>N=329*</w:t>
            </w:r>
          </w:p>
        </w:tc>
        <w:tc>
          <w:tcPr>
            <w:tcW w:w="2126" w:type="dxa"/>
            <w:tcBorders>
              <w:top w:val="single" w:color="7E7E7E" w:sz="4" w:space="0"/>
              <w:left w:val="single" w:color="7E7E7E" w:sz="4" w:space="0"/>
              <w:bottom w:val="single" w:color="7E7E7E" w:sz="4" w:space="0"/>
              <w:right w:val="single" w:color="7E7E7E" w:sz="4" w:space="0"/>
            </w:tcBorders>
          </w:tcPr>
          <w:p w14:paraId="024D6E00">
            <w:pPr>
              <w:rPr>
                <w:rFonts w:ascii="Microsoft Sans Serif" w:hAnsi="Microsoft Sans Serif" w:cs="Microsoft Sans Serif"/>
                <w:sz w:val="20"/>
                <w:szCs w:val="20"/>
              </w:rPr>
            </w:pPr>
            <w:r>
              <w:rPr>
                <w:rFonts w:ascii="Microsoft Sans Serif" w:hAnsi="Microsoft Sans Serif" w:cs="Microsoft Sans Serif"/>
                <w:b/>
                <w:bCs/>
                <w:sz w:val="20"/>
                <w:szCs w:val="20"/>
              </w:rPr>
              <w:t>Komparator</w:t>
            </w:r>
          </w:p>
          <w:p w14:paraId="6F819D2F">
            <w:pPr>
              <w:rPr>
                <w:rFonts w:ascii="Microsoft Sans Serif" w:hAnsi="Microsoft Sans Serif" w:cs="Microsoft Sans Serif"/>
                <w:sz w:val="20"/>
                <w:szCs w:val="20"/>
              </w:rPr>
            </w:pPr>
            <w:r>
              <w:rPr>
                <w:rFonts w:ascii="Microsoft Sans Serif" w:hAnsi="Microsoft Sans Serif" w:cs="Microsoft Sans Serif"/>
                <w:b/>
                <w:bCs/>
                <w:sz w:val="20"/>
                <w:szCs w:val="20"/>
              </w:rPr>
              <w:t>N=162*</w:t>
            </w:r>
          </w:p>
        </w:tc>
      </w:tr>
      <w:tr w14:paraId="00D99399">
        <w:tblPrEx>
          <w:tblCellMar>
            <w:top w:w="0" w:type="dxa"/>
            <w:left w:w="0" w:type="dxa"/>
            <w:bottom w:w="0" w:type="dxa"/>
            <w:right w:w="0" w:type="dxa"/>
          </w:tblCellMar>
        </w:tblPrEx>
        <w:trPr>
          <w:trHeight w:val="768" w:hRule="exact"/>
        </w:trPr>
        <w:tc>
          <w:tcPr>
            <w:tcW w:w="5212" w:type="dxa"/>
            <w:tcBorders>
              <w:top w:val="single" w:color="7E7E7E" w:sz="4" w:space="0"/>
              <w:left w:val="single" w:color="7E7E7E" w:sz="4" w:space="0"/>
              <w:bottom w:val="single" w:color="7E7E7E" w:sz="4" w:space="0"/>
              <w:right w:val="single" w:color="7E7E7E" w:sz="4" w:space="0"/>
            </w:tcBorders>
          </w:tcPr>
          <w:p w14:paraId="4BABF0AC">
            <w:pPr>
              <w:rPr>
                <w:rFonts w:ascii="Microsoft Sans Serif" w:hAnsi="Microsoft Sans Serif" w:cs="Microsoft Sans Serif"/>
                <w:sz w:val="20"/>
                <w:szCs w:val="20"/>
              </w:rPr>
            </w:pPr>
            <w:r>
              <w:rPr>
                <w:rFonts w:ascii="Microsoft Sans Serif" w:hAnsi="Microsoft Sans Serif" w:cs="Microsoft Sans Serif"/>
                <w:sz w:val="20"/>
                <w:szCs w:val="20"/>
              </w:rPr>
              <w:t>Skup: Obilno krvarenje + CRNBM ( primarni bezbjednosni ishod)</w:t>
            </w:r>
          </w:p>
        </w:tc>
        <w:tc>
          <w:tcPr>
            <w:tcW w:w="2126" w:type="dxa"/>
            <w:tcBorders>
              <w:top w:val="single" w:color="7E7E7E" w:sz="4" w:space="0"/>
              <w:left w:val="single" w:color="7E7E7E" w:sz="4" w:space="0"/>
              <w:bottom w:val="single" w:color="7E7E7E" w:sz="4" w:space="0"/>
              <w:right w:val="single" w:color="7E7E7E" w:sz="4" w:space="0"/>
            </w:tcBorders>
          </w:tcPr>
          <w:p w14:paraId="1E3CD1E6">
            <w:pPr>
              <w:rPr>
                <w:rFonts w:ascii="Microsoft Sans Serif" w:hAnsi="Microsoft Sans Serif" w:cs="Microsoft Sans Serif"/>
                <w:sz w:val="20"/>
                <w:szCs w:val="20"/>
              </w:rPr>
            </w:pPr>
            <w:r>
              <w:rPr>
                <w:rFonts w:ascii="Microsoft Sans Serif" w:hAnsi="Microsoft Sans Serif" w:cs="Microsoft Sans Serif"/>
                <w:sz w:val="20"/>
                <w:szCs w:val="20"/>
              </w:rPr>
              <w:t>10</w:t>
            </w:r>
          </w:p>
          <w:p w14:paraId="1E4D2F1C">
            <w:pPr>
              <w:rPr>
                <w:rFonts w:ascii="Microsoft Sans Serif" w:hAnsi="Microsoft Sans Serif" w:cs="Microsoft Sans Serif"/>
                <w:sz w:val="20"/>
                <w:szCs w:val="20"/>
              </w:rPr>
            </w:pPr>
            <w:r>
              <w:rPr>
                <w:rFonts w:ascii="Microsoft Sans Serif" w:hAnsi="Microsoft Sans Serif" w:cs="Microsoft Sans Serif"/>
                <w:sz w:val="20"/>
                <w:szCs w:val="20"/>
              </w:rPr>
              <w:t>(3.0%, 95% CI</w:t>
            </w:r>
          </w:p>
          <w:p w14:paraId="121514C0">
            <w:pPr>
              <w:rPr>
                <w:rFonts w:ascii="Microsoft Sans Serif" w:hAnsi="Microsoft Sans Serif" w:cs="Microsoft Sans Serif"/>
                <w:sz w:val="20"/>
                <w:szCs w:val="20"/>
              </w:rPr>
            </w:pPr>
            <w:r>
              <w:rPr>
                <w:rFonts w:ascii="Microsoft Sans Serif" w:hAnsi="Microsoft Sans Serif" w:cs="Microsoft Sans Serif"/>
                <w:sz w:val="20"/>
                <w:szCs w:val="20"/>
              </w:rPr>
              <w:t>1.6% - 5.5%)</w:t>
            </w:r>
          </w:p>
        </w:tc>
        <w:tc>
          <w:tcPr>
            <w:tcW w:w="2126" w:type="dxa"/>
            <w:tcBorders>
              <w:top w:val="single" w:color="7E7E7E" w:sz="4" w:space="0"/>
              <w:left w:val="single" w:color="7E7E7E" w:sz="4" w:space="0"/>
              <w:bottom w:val="single" w:color="7E7E7E" w:sz="4" w:space="0"/>
              <w:right w:val="single" w:color="7E7E7E" w:sz="4" w:space="0"/>
            </w:tcBorders>
          </w:tcPr>
          <w:p w14:paraId="4DC9B97B">
            <w:pPr>
              <w:rPr>
                <w:rFonts w:ascii="Microsoft Sans Serif" w:hAnsi="Microsoft Sans Serif" w:cs="Microsoft Sans Serif"/>
                <w:sz w:val="20"/>
                <w:szCs w:val="20"/>
              </w:rPr>
            </w:pPr>
            <w:r>
              <w:rPr>
                <w:rFonts w:ascii="Microsoft Sans Serif" w:hAnsi="Microsoft Sans Serif" w:cs="Microsoft Sans Serif"/>
                <w:sz w:val="20"/>
                <w:szCs w:val="20"/>
              </w:rPr>
              <w:t>3</w:t>
            </w:r>
          </w:p>
          <w:p w14:paraId="4EDD7235">
            <w:pPr>
              <w:rPr>
                <w:rFonts w:ascii="Microsoft Sans Serif" w:hAnsi="Microsoft Sans Serif" w:cs="Microsoft Sans Serif"/>
                <w:sz w:val="20"/>
                <w:szCs w:val="20"/>
              </w:rPr>
            </w:pPr>
            <w:r>
              <w:rPr>
                <w:rFonts w:ascii="Microsoft Sans Serif" w:hAnsi="Microsoft Sans Serif" w:cs="Microsoft Sans Serif"/>
                <w:sz w:val="20"/>
                <w:szCs w:val="20"/>
              </w:rPr>
              <w:t>(1.9%, 95% CI</w:t>
            </w:r>
          </w:p>
          <w:p w14:paraId="207342E2">
            <w:pPr>
              <w:rPr>
                <w:rFonts w:ascii="Microsoft Sans Serif" w:hAnsi="Microsoft Sans Serif" w:cs="Microsoft Sans Serif"/>
                <w:sz w:val="20"/>
                <w:szCs w:val="20"/>
              </w:rPr>
            </w:pPr>
            <w:r>
              <w:rPr>
                <w:rFonts w:ascii="Microsoft Sans Serif" w:hAnsi="Microsoft Sans Serif" w:cs="Microsoft Sans Serif"/>
                <w:sz w:val="20"/>
                <w:szCs w:val="20"/>
              </w:rPr>
              <w:t>0.5% - 5.3%)</w:t>
            </w:r>
          </w:p>
        </w:tc>
      </w:tr>
      <w:tr w14:paraId="6B06758E">
        <w:tblPrEx>
          <w:tblCellMar>
            <w:top w:w="0" w:type="dxa"/>
            <w:left w:w="0" w:type="dxa"/>
            <w:bottom w:w="0" w:type="dxa"/>
            <w:right w:w="0" w:type="dxa"/>
          </w:tblCellMar>
        </w:tblPrEx>
        <w:trPr>
          <w:trHeight w:val="769" w:hRule="exact"/>
        </w:trPr>
        <w:tc>
          <w:tcPr>
            <w:tcW w:w="5212" w:type="dxa"/>
            <w:tcBorders>
              <w:top w:val="single" w:color="7E7E7E" w:sz="4" w:space="0"/>
              <w:left w:val="single" w:color="7E7E7E" w:sz="4" w:space="0"/>
              <w:bottom w:val="single" w:color="7E7E7E" w:sz="4" w:space="0"/>
              <w:right w:val="single" w:color="7E7E7E" w:sz="4" w:space="0"/>
            </w:tcBorders>
          </w:tcPr>
          <w:p w14:paraId="3600109A">
            <w:pPr>
              <w:rPr>
                <w:rFonts w:ascii="Microsoft Sans Serif" w:hAnsi="Microsoft Sans Serif" w:cs="Microsoft Sans Serif"/>
                <w:sz w:val="20"/>
                <w:szCs w:val="20"/>
              </w:rPr>
            </w:pPr>
            <w:r>
              <w:rPr>
                <w:rFonts w:ascii="Microsoft Sans Serif" w:hAnsi="Microsoft Sans Serif" w:cs="Microsoft Sans Serif"/>
                <w:sz w:val="20"/>
                <w:szCs w:val="20"/>
              </w:rPr>
              <w:t>Obilno krvarenje</w:t>
            </w:r>
          </w:p>
        </w:tc>
        <w:tc>
          <w:tcPr>
            <w:tcW w:w="2126" w:type="dxa"/>
            <w:tcBorders>
              <w:top w:val="single" w:color="7E7E7E" w:sz="4" w:space="0"/>
              <w:left w:val="single" w:color="7E7E7E" w:sz="4" w:space="0"/>
              <w:bottom w:val="single" w:color="7E7E7E" w:sz="4" w:space="0"/>
              <w:right w:val="single" w:color="7E7E7E" w:sz="4" w:space="0"/>
            </w:tcBorders>
          </w:tcPr>
          <w:p w14:paraId="3B89AA61">
            <w:pPr>
              <w:rPr>
                <w:rFonts w:ascii="Microsoft Sans Serif" w:hAnsi="Microsoft Sans Serif" w:cs="Microsoft Sans Serif"/>
                <w:sz w:val="20"/>
                <w:szCs w:val="20"/>
              </w:rPr>
            </w:pPr>
            <w:r>
              <w:rPr>
                <w:rFonts w:ascii="Microsoft Sans Serif" w:hAnsi="Microsoft Sans Serif" w:cs="Microsoft Sans Serif"/>
                <w:sz w:val="20"/>
                <w:szCs w:val="20"/>
              </w:rPr>
              <w:t>0</w:t>
            </w:r>
          </w:p>
          <w:p w14:paraId="2B5A26A7">
            <w:pPr>
              <w:rPr>
                <w:rFonts w:ascii="Microsoft Sans Serif" w:hAnsi="Microsoft Sans Serif" w:cs="Microsoft Sans Serif"/>
                <w:sz w:val="20"/>
                <w:szCs w:val="20"/>
              </w:rPr>
            </w:pPr>
            <w:r>
              <w:rPr>
                <w:rFonts w:ascii="Microsoft Sans Serif" w:hAnsi="Microsoft Sans Serif" w:cs="Microsoft Sans Serif"/>
                <w:sz w:val="20"/>
                <w:szCs w:val="20"/>
              </w:rPr>
              <w:t>(0.0%, 95% CI</w:t>
            </w:r>
          </w:p>
          <w:p w14:paraId="3C899F39">
            <w:pPr>
              <w:rPr>
                <w:rFonts w:ascii="Microsoft Sans Serif" w:hAnsi="Microsoft Sans Serif" w:cs="Microsoft Sans Serif"/>
                <w:sz w:val="20"/>
                <w:szCs w:val="20"/>
              </w:rPr>
            </w:pPr>
            <w:r>
              <w:rPr>
                <w:rFonts w:ascii="Microsoft Sans Serif" w:hAnsi="Microsoft Sans Serif" w:cs="Microsoft Sans Serif"/>
                <w:sz w:val="20"/>
                <w:szCs w:val="20"/>
              </w:rPr>
              <w:t>0.0% - 1.1%)</w:t>
            </w:r>
          </w:p>
        </w:tc>
        <w:tc>
          <w:tcPr>
            <w:tcW w:w="2126" w:type="dxa"/>
            <w:tcBorders>
              <w:top w:val="single" w:color="7E7E7E" w:sz="4" w:space="0"/>
              <w:left w:val="single" w:color="7E7E7E" w:sz="4" w:space="0"/>
              <w:bottom w:val="single" w:color="7E7E7E" w:sz="4" w:space="0"/>
              <w:right w:val="single" w:color="7E7E7E" w:sz="4" w:space="0"/>
            </w:tcBorders>
          </w:tcPr>
          <w:p w14:paraId="06AE1D49">
            <w:pPr>
              <w:rPr>
                <w:rFonts w:ascii="Microsoft Sans Serif" w:hAnsi="Microsoft Sans Serif" w:cs="Microsoft Sans Serif"/>
                <w:sz w:val="20"/>
                <w:szCs w:val="20"/>
              </w:rPr>
            </w:pPr>
            <w:r>
              <w:rPr>
                <w:rFonts w:ascii="Microsoft Sans Serif" w:hAnsi="Microsoft Sans Serif" w:cs="Microsoft Sans Serif"/>
                <w:sz w:val="20"/>
                <w:szCs w:val="20"/>
              </w:rPr>
              <w:t>2</w:t>
            </w:r>
          </w:p>
          <w:p w14:paraId="60A6293F">
            <w:pPr>
              <w:rPr>
                <w:rFonts w:ascii="Microsoft Sans Serif" w:hAnsi="Microsoft Sans Serif" w:cs="Microsoft Sans Serif"/>
                <w:sz w:val="20"/>
                <w:szCs w:val="20"/>
              </w:rPr>
            </w:pPr>
            <w:r>
              <w:rPr>
                <w:rFonts w:ascii="Microsoft Sans Serif" w:hAnsi="Microsoft Sans Serif" w:cs="Microsoft Sans Serif"/>
                <w:sz w:val="20"/>
                <w:szCs w:val="20"/>
              </w:rPr>
              <w:t>(1.2%, 95% CI</w:t>
            </w:r>
          </w:p>
          <w:p w14:paraId="61894AC6">
            <w:pPr>
              <w:rPr>
                <w:rFonts w:ascii="Microsoft Sans Serif" w:hAnsi="Microsoft Sans Serif" w:cs="Microsoft Sans Serif"/>
                <w:sz w:val="20"/>
                <w:szCs w:val="20"/>
              </w:rPr>
            </w:pPr>
            <w:r>
              <w:rPr>
                <w:rFonts w:ascii="Microsoft Sans Serif" w:hAnsi="Microsoft Sans Serif" w:cs="Microsoft Sans Serif"/>
                <w:sz w:val="20"/>
                <w:szCs w:val="20"/>
              </w:rPr>
              <w:t>0.2% - 4.3%)</w:t>
            </w:r>
          </w:p>
        </w:tc>
      </w:tr>
      <w:tr w14:paraId="0799C915">
        <w:tblPrEx>
          <w:tblCellMar>
            <w:top w:w="0" w:type="dxa"/>
            <w:left w:w="0" w:type="dxa"/>
            <w:bottom w:w="0" w:type="dxa"/>
            <w:right w:w="0" w:type="dxa"/>
          </w:tblCellMar>
        </w:tblPrEx>
        <w:trPr>
          <w:trHeight w:val="263" w:hRule="exact"/>
        </w:trPr>
        <w:tc>
          <w:tcPr>
            <w:tcW w:w="5212" w:type="dxa"/>
            <w:tcBorders>
              <w:top w:val="single" w:color="7E7E7E" w:sz="4" w:space="0"/>
              <w:left w:val="single" w:color="7E7E7E" w:sz="4" w:space="0"/>
              <w:bottom w:val="single" w:color="000000" w:sz="4" w:space="0"/>
              <w:right w:val="single" w:color="7E7E7E" w:sz="4" w:space="0"/>
            </w:tcBorders>
          </w:tcPr>
          <w:p w14:paraId="71D8AA71">
            <w:pPr>
              <w:rPr>
                <w:rFonts w:ascii="Microsoft Sans Serif" w:hAnsi="Microsoft Sans Serif" w:cs="Microsoft Sans Serif"/>
                <w:sz w:val="20"/>
                <w:szCs w:val="20"/>
              </w:rPr>
            </w:pPr>
            <w:r>
              <w:rPr>
                <w:rFonts w:ascii="Microsoft Sans Serif" w:hAnsi="Microsoft Sans Serif" w:cs="Microsoft Sans Serif"/>
                <w:sz w:val="20"/>
                <w:szCs w:val="20"/>
                <w:lang w:val="hr-BA"/>
              </w:rPr>
              <w:t>Bilo koja krvarenja koja se mogu javiti tokom liječenja</w:t>
            </w:r>
          </w:p>
        </w:tc>
        <w:tc>
          <w:tcPr>
            <w:tcW w:w="2126" w:type="dxa"/>
            <w:tcBorders>
              <w:top w:val="single" w:color="7E7E7E" w:sz="4" w:space="0"/>
              <w:left w:val="single" w:color="7E7E7E" w:sz="4" w:space="0"/>
              <w:bottom w:val="single" w:color="000000" w:sz="4" w:space="0"/>
              <w:right w:val="single" w:color="7E7E7E" w:sz="4" w:space="0"/>
            </w:tcBorders>
          </w:tcPr>
          <w:p w14:paraId="200F9395">
            <w:pPr>
              <w:rPr>
                <w:rFonts w:ascii="Microsoft Sans Serif" w:hAnsi="Microsoft Sans Serif" w:cs="Microsoft Sans Serif"/>
                <w:sz w:val="20"/>
                <w:szCs w:val="20"/>
              </w:rPr>
            </w:pPr>
            <w:r>
              <w:rPr>
                <w:rFonts w:ascii="Microsoft Sans Serif" w:hAnsi="Microsoft Sans Serif" w:cs="Microsoft Sans Serif"/>
                <w:sz w:val="20"/>
                <w:szCs w:val="20"/>
              </w:rPr>
              <w:t>119 (36.2%)</w:t>
            </w:r>
          </w:p>
        </w:tc>
        <w:tc>
          <w:tcPr>
            <w:tcW w:w="2126" w:type="dxa"/>
            <w:tcBorders>
              <w:top w:val="single" w:color="7E7E7E" w:sz="4" w:space="0"/>
              <w:left w:val="single" w:color="7E7E7E" w:sz="4" w:space="0"/>
              <w:bottom w:val="single" w:color="000000" w:sz="4" w:space="0"/>
              <w:right w:val="single" w:color="7E7E7E" w:sz="4" w:space="0"/>
            </w:tcBorders>
          </w:tcPr>
          <w:p w14:paraId="109D8F94">
            <w:pPr>
              <w:rPr>
                <w:rFonts w:ascii="Microsoft Sans Serif" w:hAnsi="Microsoft Sans Serif" w:cs="Microsoft Sans Serif"/>
                <w:sz w:val="20"/>
                <w:szCs w:val="20"/>
              </w:rPr>
            </w:pPr>
            <w:r>
              <w:rPr>
                <w:rFonts w:ascii="Microsoft Sans Serif" w:hAnsi="Microsoft Sans Serif" w:cs="Microsoft Sans Serif"/>
                <w:sz w:val="20"/>
                <w:szCs w:val="20"/>
              </w:rPr>
              <w:t>45 (27.8%)</w:t>
            </w:r>
          </w:p>
        </w:tc>
      </w:tr>
    </w:tbl>
    <w:p w14:paraId="57404768">
      <w:pPr>
        <w:rPr>
          <w:rFonts w:ascii="Microsoft Sans Serif" w:hAnsi="Microsoft Sans Serif" w:cs="Microsoft Sans Serif"/>
          <w:sz w:val="20"/>
          <w:szCs w:val="20"/>
        </w:rPr>
      </w:pPr>
      <w:r>
        <w:rPr>
          <w:rFonts w:ascii="Microsoft Sans Serif" w:hAnsi="Microsoft Sans Serif" w:cs="Microsoft Sans Serif"/>
          <w:sz w:val="20"/>
          <w:szCs w:val="20"/>
        </w:rPr>
        <w:t xml:space="preserve">*SAF (engl. Safety Analysis Set)= skup podataka za analizu </w:t>
      </w:r>
      <w:r>
        <w:rPr>
          <w:rFonts w:ascii="Microsoft Sans Serif" w:hAnsi="Microsoft Sans Serif" w:cs="Microsoft Sans Serif"/>
          <w:sz w:val="20"/>
          <w:szCs w:val="20"/>
          <w:lang w:val="hr-BA"/>
        </w:rPr>
        <w:t>bezbjednosti</w:t>
      </w:r>
      <w:r>
        <w:rPr>
          <w:rFonts w:ascii="Microsoft Sans Serif" w:hAnsi="Microsoft Sans Serif" w:cs="Microsoft Sans Serif"/>
          <w:sz w:val="20"/>
          <w:szCs w:val="20"/>
        </w:rPr>
        <w:t xml:space="preserve"> primjene, sva djeca koja su bila randomizovana i primila najmanje 1 dozu ispitivanog lijeka </w:t>
      </w:r>
    </w:p>
    <w:p w14:paraId="05DCA2C5">
      <w:pPr>
        <w:rPr>
          <w:rFonts w:ascii="Microsoft Sans Serif" w:hAnsi="Microsoft Sans Serif" w:cs="Microsoft Sans Serif"/>
          <w:sz w:val="20"/>
          <w:szCs w:val="20"/>
        </w:rPr>
      </w:pPr>
    </w:p>
    <w:p w14:paraId="2331B97B">
      <w:pPr>
        <w:rPr>
          <w:rFonts w:ascii="Microsoft Sans Serif" w:hAnsi="Microsoft Sans Serif" w:cs="Microsoft Sans Serif"/>
          <w:sz w:val="20"/>
          <w:szCs w:val="20"/>
        </w:rPr>
      </w:pPr>
      <w:r>
        <w:rPr>
          <w:rFonts w:ascii="Microsoft Sans Serif" w:hAnsi="Microsoft Sans Serif" w:cs="Microsoft Sans Serif"/>
          <w:sz w:val="20"/>
          <w:szCs w:val="20"/>
        </w:rPr>
        <w:t>Profil efikasnosti bezbjednosti primjene rivaroksabana kod pedijatrijskoj populaciji sa VTE bio je 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veliko</w:t>
      </w:r>
      <w:r>
        <w:rPr>
          <w:rFonts w:ascii="Microsoft Sans Serif" w:hAnsi="Microsoft Sans Serif" w:cs="Microsoft Sans Serif"/>
          <w:sz w:val="20"/>
          <w:szCs w:val="20"/>
          <w:lang w:val="sr-Cyrl-RS"/>
        </w:rPr>
        <w:t xml:space="preserve">ј </w:t>
      </w:r>
      <w:r>
        <w:rPr>
          <w:rFonts w:ascii="Microsoft Sans Serif" w:hAnsi="Microsoft Sans Serif" w:cs="Microsoft Sans Serif"/>
          <w:sz w:val="20"/>
          <w:szCs w:val="20"/>
        </w:rPr>
        <w:t xml:space="preserve">mjeri sličan onome kod odrasle populacije sa DVT/PE, međutim, omjer ispitanika sa bilo kojim krvarenjem bio je veći u pedijatrijskoj populaciji sa VTE u poređenju sa odraslom populacijom sa DVT/PE. </w:t>
      </w:r>
    </w:p>
    <w:p w14:paraId="54722D55">
      <w:pPr>
        <w:tabs>
          <w:tab w:val="clear" w:pos="284"/>
        </w:tabs>
        <w:rPr>
          <w:rFonts w:ascii="Microsoft Sans Serif" w:hAnsi="Microsoft Sans Serif" w:cs="Microsoft Sans Serif"/>
          <w:sz w:val="20"/>
          <w:szCs w:val="20"/>
          <w:u w:val="single"/>
        </w:rPr>
      </w:pPr>
    </w:p>
    <w:p w14:paraId="3B420958">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Pacijenti sa visokorizičnim trostruko pozitivnim antifosfolipidnim sindromom</w:t>
      </w:r>
    </w:p>
    <w:p w14:paraId="6F6D4B49">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U randomizovanom, multicentričnom otvorenom ispitivanju sponzorisanom od strane ispitivača, sa slijepom procjenom mera ishoda, rivaroksaban je bio upoređivan sa varfarinom kod pacijenata sa anamnezom tromboze kojima je dijagnostikovan antifosfolipidni sindrom i imaju visok rizik od tromboembolijskih događaja (pozitivni na sva tri testa za antifosfolipidni sindrom: lupus antikoagulans, antikardiolipinska antitijela i anti-beta 2-glikoprotein-I antitijela). Ispitivanje je nakon uklјučivanja 120 pacijenata završeno prevremeno zbog velikog broja događaja u grupi koja je primala rivaroksaban. Srednja vrijednost perioda praćenja iznosila je 569 dana. U grupu koja je primala 20 mg rivaroksabana randomizovano je 59 ispitanika (15 mg kod pacijenata sa klirensom kreatinina &lt;50 ml/min), a u grupu koja je primala varfarin 61 pacijent (INR 2,0 - 3,0). Tromboembolijski događaji pojavili su se kod 12% pacijenata randomizovanih u grupu koja je primala rivaroksaban (4 ishemijska moždana udara i 3 infarkta miokarda). Kod pacijenata randomizovanih u grupu koja je primala varfarin nije bilo prijavlјenih događaja. Kod 4 pacijenta (7%) iz grupe koja je primala rivaroksaban i 2 pacijenta (3 %) iz grupe koja je primala varfarin došlo je do obilnog krvarenja.</w:t>
      </w:r>
    </w:p>
    <w:p w14:paraId="4EEE12F3">
      <w:pPr>
        <w:tabs>
          <w:tab w:val="clear" w:pos="284"/>
        </w:tabs>
        <w:rPr>
          <w:rFonts w:ascii="Microsoft Sans Serif" w:hAnsi="Microsoft Sans Serif" w:cs="Microsoft Sans Serif"/>
          <w:sz w:val="20"/>
          <w:szCs w:val="20"/>
        </w:rPr>
      </w:pPr>
    </w:p>
    <w:p w14:paraId="1E59CF9E">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Pedijatrijska populacija</w:t>
      </w:r>
    </w:p>
    <w:p w14:paraId="767EA3FB">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Evropska agencija za lijekove je izuzela od obaveze podnošenja rezultata ispitivanja sa rivaroksabanom u svim podgrupama pedijatrijske populacije u prevenciji tromboembolijskih događaja (pogledat dio 4.2 za informacije o pedijatrijskoj primjeni).</w:t>
      </w:r>
      <w:bookmarkStart w:id="5" w:name="page72"/>
      <w:bookmarkEnd w:id="5"/>
    </w:p>
    <w:p w14:paraId="7365CE3D">
      <w:pPr>
        <w:rPr>
          <w:rFonts w:ascii="Microsoft Sans Serif" w:hAnsi="Microsoft Sans Serif" w:cs="Microsoft Sans Serif"/>
          <w:sz w:val="20"/>
          <w:szCs w:val="20"/>
        </w:rPr>
      </w:pPr>
    </w:p>
    <w:p w14:paraId="23A5F652">
      <w:pPr>
        <w:rPr>
          <w:rFonts w:ascii="Microsoft Sans Serif" w:hAnsi="Microsoft Sans Serif" w:cs="Microsoft Sans Serif"/>
          <w:b/>
          <w:bCs/>
          <w:sz w:val="20"/>
          <w:szCs w:val="20"/>
        </w:rPr>
      </w:pPr>
      <w:r>
        <w:rPr>
          <w:rFonts w:ascii="Microsoft Sans Serif" w:hAnsi="Microsoft Sans Serif" w:cs="Microsoft Sans Serif"/>
          <w:b/>
          <w:bCs/>
          <w:sz w:val="20"/>
          <w:szCs w:val="20"/>
        </w:rPr>
        <w:t>5.2. Farmakokinetički podaci</w:t>
      </w:r>
    </w:p>
    <w:p w14:paraId="30E75A84">
      <w:pPr>
        <w:rPr>
          <w:rFonts w:ascii="Microsoft Sans Serif" w:hAnsi="Microsoft Sans Serif" w:cs="Microsoft Sans Serif"/>
          <w:b/>
          <w:bCs/>
          <w:sz w:val="20"/>
          <w:szCs w:val="20"/>
        </w:rPr>
      </w:pPr>
    </w:p>
    <w:p w14:paraId="368852AB">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Resorpcija</w:t>
      </w:r>
    </w:p>
    <w:p w14:paraId="26D8465C">
      <w:pPr>
        <w:ind w:right="620"/>
        <w:rPr>
          <w:rFonts w:ascii="Microsoft Sans Serif" w:hAnsi="Microsoft Sans Serif" w:cs="Microsoft Sans Serif"/>
          <w:sz w:val="20"/>
          <w:szCs w:val="20"/>
        </w:rPr>
      </w:pPr>
      <w:r>
        <w:rPr>
          <w:rFonts w:ascii="Microsoft Sans Serif" w:hAnsi="Microsoft Sans Serif" w:cs="Microsoft Sans Serif"/>
          <w:sz w:val="20"/>
          <w:szCs w:val="20"/>
        </w:rPr>
        <w:t xml:space="preserve">Sljedeće informacije su zasnovane na podacima dobijenim kod odraslih. </w:t>
      </w:r>
    </w:p>
    <w:p w14:paraId="521001E6">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Rivaroksaban se brzo resorbuje sa maksimalnom koncentracijom (C</w:t>
      </w:r>
      <w:r>
        <w:rPr>
          <w:rFonts w:ascii="Microsoft Sans Serif" w:hAnsi="Microsoft Sans Serif" w:cs="Microsoft Sans Serif"/>
          <w:sz w:val="20"/>
          <w:szCs w:val="20"/>
          <w:vertAlign w:val="subscript"/>
        </w:rPr>
        <w:t>max</w:t>
      </w:r>
      <w:r>
        <w:rPr>
          <w:rFonts w:ascii="Microsoft Sans Serif" w:hAnsi="Microsoft Sans Serif" w:cs="Microsoft Sans Serif"/>
          <w:sz w:val="20"/>
          <w:szCs w:val="20"/>
        </w:rPr>
        <w:t>) koja se postiže 2-4 sata poslije uzimanja tablete. Oralna resorpcija rivaroksabana je skoro potpuna i oralna bioraspoloživost je velika (80-100%) za dozu od 2,5 mg i 10 mg, bez obzira na uslove – uzimanje natašte/poslije jela. Unošenje lijeka sa hranom ne remeti PIK ili C</w:t>
      </w:r>
      <w:r>
        <w:rPr>
          <w:rFonts w:ascii="Microsoft Sans Serif" w:hAnsi="Microsoft Sans Serif" w:cs="Microsoft Sans Serif"/>
          <w:sz w:val="20"/>
          <w:szCs w:val="20"/>
          <w:vertAlign w:val="subscript"/>
        </w:rPr>
        <w:t>max</w:t>
      </w:r>
      <w:r>
        <w:rPr>
          <w:rFonts w:ascii="Microsoft Sans Serif" w:hAnsi="Microsoft Sans Serif" w:cs="Microsoft Sans Serif"/>
          <w:sz w:val="20"/>
          <w:szCs w:val="20"/>
        </w:rPr>
        <w:t xml:space="preserve"> rivaroksabana u dozi od 2,5 i 10 mg. Usljed smanjenog obima resorpcije ustanovlјena je oralna bioraspoloživost od 66% za tabletu od 20 mg u uslovima uzimanja tablete natašte. Kada se rivaroksaban 20 mg tablete uzimaju zajedno sa hranom uočeno je povećanje prosječne vrijednosti za PIK od 39% u poređenju sa uzimanjem tableta natašte, ukazujući na gotovo potpunu resorpciju i visoku oralnu bioraspoloživost. Lijek Rufixalo 15 mg i 20 mg se treba uzimati sa hranom (pogledati dio 4.2).</w:t>
      </w:r>
    </w:p>
    <w:p w14:paraId="4B25C386">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Farmakokinetika rivaroksabana je približno linearna do oko 15 mg jednom dnevno u uslovima uzimanja natašte. Kod uzimanja uz obrok rivaroksaban 10 mg, 15 mg i 20 mg tablete su pokazale proporcionalnost doze. U većim dozama, resorpcija rivaroksabana je ograničena brzinom rastvaranja tablete, smanjenom bioraspoloživošću i smanjenjem brzine resorpcije kako doza raste. Varijabilnost farmakokinetike rivaroksabana je umjerena sa interindividualnom varijabilnošću između pojedinaca (CV%) u rasponu od 30% do 40%. Resorpcija rivaroksabana zavisi od mjesta njegovog oslobađanja u gastrointestinalnom traktu. Smanjenje 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29% i 56% u srednjoj PIK vrijednosti, odnosno C</w:t>
      </w:r>
      <w:r>
        <w:rPr>
          <w:rFonts w:ascii="Microsoft Sans Serif" w:hAnsi="Microsoft Sans Serif" w:cs="Microsoft Sans Serif"/>
          <w:sz w:val="20"/>
          <w:szCs w:val="20"/>
          <w:vertAlign w:val="subscript"/>
        </w:rPr>
        <w:t>max</w:t>
      </w:r>
      <w:r>
        <w:rPr>
          <w:rFonts w:ascii="Microsoft Sans Serif" w:hAnsi="Microsoft Sans Serif" w:cs="Microsoft Sans Serif"/>
          <w:sz w:val="20"/>
          <w:szCs w:val="20"/>
        </w:rPr>
        <w:t xml:space="preserve"> vrijednosti je uočeno u poređenju tablete </w:t>
      </w:r>
      <w:r>
        <w:rPr>
          <w:rFonts w:ascii="Microsoft Sans Serif" w:hAnsi="Microsoft Sans Serif" w:cs="Microsoft Sans Serif"/>
          <w:sz w:val="20"/>
          <w:szCs w:val="20"/>
          <w:lang w:val="sr-Cyrl-RS"/>
        </w:rPr>
        <w:t>sa</w:t>
      </w:r>
      <w:r>
        <w:rPr>
          <w:rFonts w:ascii="Microsoft Sans Serif" w:hAnsi="Microsoft Sans Serif" w:cs="Microsoft Sans Serif"/>
          <w:sz w:val="20"/>
          <w:szCs w:val="20"/>
        </w:rPr>
        <w:t xml:space="preserve"> rivaroksaban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granula</w:t>
      </w:r>
      <w:r>
        <w:rPr>
          <w:rFonts w:ascii="Microsoft Sans Serif" w:hAnsi="Microsoft Sans Serif" w:cs="Microsoft Sans Serif"/>
          <w:sz w:val="20"/>
          <w:szCs w:val="20"/>
          <w:lang w:val="sr-Cyrl-RS"/>
        </w:rPr>
        <w:t>ma</w:t>
      </w:r>
      <w:r>
        <w:rPr>
          <w:rFonts w:ascii="Microsoft Sans Serif" w:hAnsi="Microsoft Sans Serif" w:cs="Microsoft Sans Serif"/>
          <w:sz w:val="20"/>
          <w:szCs w:val="20"/>
        </w:rPr>
        <w:t xml:space="preserve"> koje se oslobađaju u proksimalnom dijelu tankog creva. Izloženost je dalјe smanjena kada 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rivaroksaban oslobađa u distalnom dijelu tankog creva ili u početnom dijelu kolona. Zbog toga, primjenu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rivaroksabana distalno od želuca, treba izbjegavati, jer to vodi smanjenoj resorpciji i izloženosti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rivaroksabanu.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Bioraspoloživost (preko vrijednosti PIK i C</w:t>
      </w:r>
      <w:r>
        <w:rPr>
          <w:rFonts w:ascii="Microsoft Sans Serif" w:hAnsi="Microsoft Sans Serif" w:cs="Microsoft Sans Serif"/>
          <w:sz w:val="20"/>
          <w:szCs w:val="20"/>
          <w:vertAlign w:val="subscript"/>
        </w:rPr>
        <w:t>max</w:t>
      </w:r>
      <w:r>
        <w:rPr>
          <w:rFonts w:ascii="Microsoft Sans Serif" w:hAnsi="Microsoft Sans Serif" w:cs="Microsoft Sans Serif"/>
          <w:sz w:val="20"/>
          <w:szCs w:val="20"/>
        </w:rPr>
        <w:t>) je uporediva za 20 mg rivaroksabana uzetog oralno kao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usitnjena tableta pomješana sa kašom od jabuke, ili suspendovanog u vodi i uzetog pomoću gastrične sonde,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 xml:space="preserve">nakon čega je unijet tečni obrok, u odnosu na primjenu cijele tablete. Oslanjajući se na </w:t>
      </w:r>
      <w:r>
        <w:rPr>
          <w:rFonts w:ascii="Microsoft Sans Serif" w:hAnsi="Microsoft Sans Serif" w:cs="Microsoft Sans Serif"/>
          <w:sz w:val="20"/>
          <w:szCs w:val="20"/>
          <w:lang w:val="sr-Cyrl-RS"/>
        </w:rPr>
        <w:t xml:space="preserve">predvidivi </w:t>
      </w:r>
      <w:r>
        <w:rPr>
          <w:rFonts w:ascii="Microsoft Sans Serif" w:hAnsi="Microsoft Sans Serif" w:cs="Microsoft Sans Serif"/>
          <w:sz w:val="20"/>
          <w:szCs w:val="20"/>
        </w:rPr>
        <w:t>dozno-proporcionalni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farmakokinetički profil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rivaroksabana, rezultati bioraspoloživosti iz ove studije se mogu primijeniti i na manje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doze rivaroksabana.</w:t>
      </w:r>
    </w:p>
    <w:p w14:paraId="02CAC5E6">
      <w:pPr>
        <w:rPr>
          <w:i/>
        </w:rPr>
      </w:pPr>
    </w:p>
    <w:p w14:paraId="0023E4C4">
      <w:pPr>
        <w:rPr>
          <w:rFonts w:ascii="Microsoft Sans Serif" w:hAnsi="Microsoft Sans Serif" w:cs="Microsoft Sans Serif"/>
          <w:i/>
          <w:sz w:val="20"/>
          <w:szCs w:val="20"/>
        </w:rPr>
      </w:pPr>
      <w:r>
        <w:rPr>
          <w:rFonts w:ascii="Microsoft Sans Serif" w:hAnsi="Microsoft Sans Serif" w:cs="Microsoft Sans Serif"/>
          <w:i/>
          <w:sz w:val="20"/>
          <w:szCs w:val="20"/>
        </w:rPr>
        <w:t>Pedijatrijska populacija</w:t>
      </w:r>
    </w:p>
    <w:p w14:paraId="7C0BEA32">
      <w:pPr>
        <w:rPr>
          <w:rFonts w:ascii="Microsoft Sans Serif" w:hAnsi="Microsoft Sans Serif" w:cs="Microsoft Sans Serif"/>
          <w:sz w:val="20"/>
          <w:szCs w:val="20"/>
        </w:rPr>
      </w:pPr>
      <w:r>
        <w:rPr>
          <w:rFonts w:ascii="Microsoft Sans Serif" w:hAnsi="Microsoft Sans Serif" w:cs="Microsoft Sans Serif"/>
          <w:sz w:val="20"/>
          <w:szCs w:val="20"/>
        </w:rPr>
        <w:t>Djeca su primala rivaroksaban tablete ili oralnu suspenziju tokom ili neposredno nakon hranjenja ili unosa hrane i uz odgovarajuću količinu tečnosti kako bi se obezbjedilo pouzdano doziranje. Kao i kod odraslih, rivaroksaban se kod djece lako apsorbuje nakon oralne primjene u obliku tableta. Nije primjećena razlika u brzini apsorpcije niti u obimu apsorpcije između tablete i granula za oralnu suspenziju. Nema dostupnih podataka o farmakokinetici nakon intravenske primjene kod djece, tako da apsolutna bioraspoloživost rivaroksabana kod djece nije poznata. Utvrđeno je smanjenje relativne bioraspoloživosti za povećane doze (u mg/kg tjelesne težine), što ukazuje na ograničenja apsorpcije za veće doze, čak i kada se uzimaju zajedno sa hranom.</w:t>
      </w:r>
    </w:p>
    <w:p w14:paraId="453AA0D0">
      <w:pPr>
        <w:rPr>
          <w:rFonts w:ascii="Microsoft Sans Serif" w:hAnsi="Microsoft Sans Serif" w:cs="Microsoft Sans Serif"/>
          <w:sz w:val="20"/>
          <w:szCs w:val="20"/>
        </w:rPr>
      </w:pPr>
      <w:r>
        <w:rPr>
          <w:rFonts w:ascii="Microsoft Sans Serif" w:hAnsi="Microsoft Sans Serif" w:cs="Microsoft Sans Serif"/>
          <w:sz w:val="20"/>
          <w:szCs w:val="20"/>
        </w:rPr>
        <w:t>Rivaroksaban 15 mg tablete treba uzimati sa dohranom ili hranom (pogledati dio 4.2).</w:t>
      </w:r>
    </w:p>
    <w:p w14:paraId="0D0EC06D">
      <w:pPr>
        <w:tabs>
          <w:tab w:val="clear" w:pos="284"/>
        </w:tabs>
        <w:rPr>
          <w:rFonts w:ascii="Microsoft Sans Serif" w:hAnsi="Microsoft Sans Serif" w:cs="Microsoft Sans Serif"/>
          <w:sz w:val="20"/>
          <w:szCs w:val="20"/>
          <w:u w:val="single"/>
        </w:rPr>
      </w:pPr>
    </w:p>
    <w:p w14:paraId="09F8C81A">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Distribucija</w:t>
      </w:r>
    </w:p>
    <w:p w14:paraId="28215142">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Stepen vezivanja rivaroksabana za proteine plazme kod lјudi je veliki i dostiže približno 92-95%, pri čemu je serumski albumin glavni prenosilac. Volumen distribucije je srednje veličine, sa Vss od približno 50 litara.</w:t>
      </w:r>
    </w:p>
    <w:p w14:paraId="21371337">
      <w:pPr>
        <w:ind w:right="-1"/>
        <w:rPr>
          <w:i/>
        </w:rPr>
      </w:pPr>
    </w:p>
    <w:p w14:paraId="315F1295">
      <w:pPr>
        <w:ind w:right="-1"/>
        <w:rPr>
          <w:rFonts w:ascii="Microsoft Sans Serif" w:hAnsi="Microsoft Sans Serif" w:cs="Microsoft Sans Serif"/>
          <w:i/>
          <w:sz w:val="20"/>
          <w:szCs w:val="20"/>
        </w:rPr>
      </w:pPr>
      <w:r>
        <w:rPr>
          <w:rFonts w:ascii="Microsoft Sans Serif" w:hAnsi="Microsoft Sans Serif" w:cs="Microsoft Sans Serif"/>
          <w:i/>
          <w:sz w:val="20"/>
          <w:szCs w:val="20"/>
        </w:rPr>
        <w:t>Pedijatrijska populacija</w:t>
      </w:r>
    </w:p>
    <w:p w14:paraId="0E12BF3F">
      <w:pPr>
        <w:ind w:right="-1"/>
        <w:rPr>
          <w:rFonts w:ascii="Microsoft Sans Serif" w:hAnsi="Microsoft Sans Serif" w:cs="Microsoft Sans Serif"/>
          <w:sz w:val="20"/>
          <w:szCs w:val="20"/>
        </w:rPr>
      </w:pPr>
      <w:r>
        <w:rPr>
          <w:rFonts w:ascii="Microsoft Sans Serif" w:hAnsi="Microsoft Sans Serif" w:cs="Microsoft Sans Serif"/>
          <w:sz w:val="20"/>
          <w:szCs w:val="20"/>
        </w:rPr>
        <w:t>Nisu dostupni podaci o vezivanju rivaroksabana za proteine plazme specifično za djecu. Nisu dostupni podaci o farmakokinetici nakon intravenske primjene rivaroksabana kod djece. VRssR procjenjen putem populacionog farmakokinetičkog modela kod djece (uzrast od 0 do manje od 18 godina) nakon oralne primjene rivaroksabana zavisi od tjelesne težine i može se opisati alometrijskom funkcijom, sa prosjekom od 113 l za ispitanika sa tjelesnom težinom od 82,8 kg.</w:t>
      </w:r>
    </w:p>
    <w:p w14:paraId="1D10A9D0">
      <w:pPr>
        <w:tabs>
          <w:tab w:val="clear" w:pos="284"/>
        </w:tabs>
        <w:rPr>
          <w:rFonts w:ascii="Microsoft Sans Serif" w:hAnsi="Microsoft Sans Serif" w:cs="Microsoft Sans Serif"/>
          <w:sz w:val="20"/>
          <w:szCs w:val="20"/>
        </w:rPr>
      </w:pPr>
    </w:p>
    <w:p w14:paraId="234F592C">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Biotransformacija i eliminacija</w:t>
      </w:r>
    </w:p>
    <w:p w14:paraId="361CA0D6">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Kod odraslih približno 2/3 unijete doze rivaroksabana podleže metaboličkoj razgradnji, a zatim se polovina nastalih metabolita eliminiše putem bubrega, a polovina fecesom. Preostala 1/3 unijete doze lijeka izlučuje se direktno putem bubrega, u neizmenjenom aktivnom obliku koji se može naći u urinu, pretežno kao posljedica aktivne renalne sekrecije.</w:t>
      </w:r>
    </w:p>
    <w:p w14:paraId="0352FFE5">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Rivaroksaban se metaboliše preko CYP3A4, CYP2J2 i CYP-nezavisnih mehanizama. Oksidativna razgradnja morfolinonskog dela molekula i hidroliza amidnih veza predstavlјaju glavne puteve biotransformacije. Prema rezultatima </w:t>
      </w:r>
      <w:r>
        <w:rPr>
          <w:rFonts w:ascii="Microsoft Sans Serif" w:hAnsi="Microsoft Sans Serif" w:cs="Microsoft Sans Serif"/>
          <w:i/>
          <w:sz w:val="20"/>
          <w:szCs w:val="20"/>
        </w:rPr>
        <w:t>in vitro</w:t>
      </w:r>
      <w:r>
        <w:rPr>
          <w:rFonts w:ascii="Microsoft Sans Serif" w:hAnsi="Microsoft Sans Serif" w:cs="Microsoft Sans Serif"/>
          <w:sz w:val="20"/>
          <w:szCs w:val="20"/>
        </w:rPr>
        <w:t xml:space="preserve"> studija, rivaroksaban je supstrat za transportne proteine P-gp (P-glycoprotein) i Bcrp (engl. </w:t>
      </w:r>
      <w:r>
        <w:rPr>
          <w:rFonts w:ascii="Microsoft Sans Serif" w:hAnsi="Microsoft Sans Serif" w:cs="Microsoft Sans Serif"/>
          <w:i/>
          <w:sz w:val="20"/>
          <w:szCs w:val="20"/>
        </w:rPr>
        <w:t>Breast cancer resistance protein</w:t>
      </w:r>
      <w:r>
        <w:rPr>
          <w:rFonts w:ascii="Microsoft Sans Serif" w:hAnsi="Microsoft Sans Serif" w:cs="Microsoft Sans Serif"/>
          <w:sz w:val="20"/>
          <w:szCs w:val="20"/>
        </w:rPr>
        <w:t>).</w:t>
      </w:r>
    </w:p>
    <w:p w14:paraId="222FB8FA">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Neizmenjeni rivaroksaban je najznačajnije jedinjenje u humanoj plazmi, bez drugih glavnih ili aktivnih </w:t>
      </w:r>
      <w:r>
        <w:rPr>
          <w:rFonts w:ascii="Microsoft Sans Serif" w:hAnsi="Microsoft Sans Serif" w:cs="Microsoft Sans Serif"/>
          <w:sz w:val="20"/>
          <w:szCs w:val="20"/>
          <w:lang w:val="sr-Cyrl-RS"/>
        </w:rPr>
        <w:t xml:space="preserve">cirkulišućih </w:t>
      </w:r>
      <w:r>
        <w:rPr>
          <w:rFonts w:ascii="Microsoft Sans Serif" w:hAnsi="Microsoft Sans Serif" w:cs="Microsoft Sans Serif"/>
          <w:sz w:val="20"/>
          <w:szCs w:val="20"/>
        </w:rPr>
        <w:t>metabolita. Sa sistemskim (ukupnim) klirensom od približno 10 l/h, rivaroksaban se može svrstati u lijekove sa malim klirensom. Poslije intravenske primjene doze od 1 mg, poluvrijeme eliminacije iznosi 4,5 sata. Nakon oralne primjene eliminacija zavisi od brzine resorpcije lijeka. Eliminacija rivaroksabana iz plazme se odvija sa terminalnim poluvremenom eliminacije od 5 do 9 sati kod mlađih osoba i sa terminalnim poluvremenom eliminacije od 11 do 13 sati kod starijih.</w:t>
      </w:r>
    </w:p>
    <w:p w14:paraId="1BD81EEC">
      <w:pPr>
        <w:rPr>
          <w:i/>
        </w:rPr>
      </w:pPr>
    </w:p>
    <w:p w14:paraId="56E327C6">
      <w:pPr>
        <w:rPr>
          <w:rFonts w:ascii="Microsoft Sans Serif" w:hAnsi="Microsoft Sans Serif" w:cs="Microsoft Sans Serif"/>
          <w:i/>
          <w:sz w:val="20"/>
          <w:szCs w:val="20"/>
        </w:rPr>
      </w:pPr>
      <w:r>
        <w:rPr>
          <w:rFonts w:ascii="Microsoft Sans Serif" w:hAnsi="Microsoft Sans Serif" w:cs="Microsoft Sans Serif"/>
          <w:i/>
          <w:sz w:val="20"/>
          <w:szCs w:val="20"/>
        </w:rPr>
        <w:t>Pedijatrijska populacija</w:t>
      </w:r>
    </w:p>
    <w:p w14:paraId="51E91FEC">
      <w:pPr>
        <w:rPr>
          <w:rFonts w:ascii="Microsoft Sans Serif" w:hAnsi="Microsoft Sans Serif" w:cs="Microsoft Sans Serif"/>
          <w:sz w:val="20"/>
          <w:szCs w:val="20"/>
        </w:rPr>
      </w:pPr>
      <w:r>
        <w:rPr>
          <w:rFonts w:ascii="Microsoft Sans Serif" w:hAnsi="Microsoft Sans Serif" w:cs="Microsoft Sans Serif"/>
          <w:sz w:val="20"/>
          <w:szCs w:val="20"/>
        </w:rPr>
        <w:t xml:space="preserve">Nisu dostupni podaci o metabolizmu specifični za djecu. Nisu dostupni podaci o farmakokinetici nakon intravenske primjene rivaroksabana kod djece. Klirens procijenjen putem </w:t>
      </w:r>
      <w:r>
        <w:rPr>
          <w:rFonts w:ascii="Microsoft Sans Serif" w:hAnsi="Microsoft Sans Serif" w:cs="Microsoft Sans Serif"/>
          <w:sz w:val="20"/>
          <w:szCs w:val="20"/>
          <w:lang w:val="hr-BA"/>
        </w:rPr>
        <w:t xml:space="preserve">populacionog </w:t>
      </w:r>
      <w:r>
        <w:rPr>
          <w:rFonts w:ascii="Microsoft Sans Serif" w:hAnsi="Microsoft Sans Serif" w:cs="Microsoft Sans Serif"/>
          <w:sz w:val="20"/>
          <w:szCs w:val="20"/>
        </w:rPr>
        <w:t>farmakokinetičkog modela kod djece (uzrast od 0 do manje od 18 godina) nakon oralne primjene rivaroksabana zavisi od tjelesne težine i može se opisati alometrijskom funkcijom, sa prosjekom od 8 l/h za ispitanika sa tjelesnom težinom od 82,8 kg. Srednje geometrijske vrijednosti poluvremena raspodjele (tR1/2R) procijenjene putem populacionog farmakokinetičkog modela opadaju sa smanjenjem starosti i kretale su se od 4,2 sata kod adolescenata do približno 3 sata kod djece uzrasta od 2 do 12 godina, do 1,9 i 1,6 sati kod djece uzrasta od 6 mjeseci do manje od 2 godine</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lang w:val="hr-BA"/>
        </w:rPr>
        <w:t xml:space="preserve">odnosno </w:t>
      </w:r>
      <w:r>
        <w:rPr>
          <w:rFonts w:ascii="Microsoft Sans Serif" w:hAnsi="Microsoft Sans Serif" w:cs="Microsoft Sans Serif"/>
          <w:sz w:val="20"/>
          <w:szCs w:val="20"/>
        </w:rPr>
        <w:t>manje od 6 mjeseci.</w:t>
      </w:r>
    </w:p>
    <w:p w14:paraId="422550FA">
      <w:pPr>
        <w:tabs>
          <w:tab w:val="clear" w:pos="284"/>
        </w:tabs>
        <w:rPr>
          <w:rFonts w:ascii="Microsoft Sans Serif" w:hAnsi="Microsoft Sans Serif" w:cs="Microsoft Sans Serif"/>
          <w:sz w:val="20"/>
          <w:szCs w:val="20"/>
        </w:rPr>
      </w:pPr>
    </w:p>
    <w:p w14:paraId="2CA05007">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Posebne grupe pacijenata</w:t>
      </w:r>
    </w:p>
    <w:p w14:paraId="1D2AE1C7">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Pol</w:t>
      </w:r>
    </w:p>
    <w:p w14:paraId="112462D7">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Kod odraslih, nema klinički značajnih razlika u farmakokinetici i farmakodinamici između pacijenata muškog i ženskog pola. Istraživačka analiza nije otkrila značajne razlike u izloženosti rivaroksabanu između muške i ženske djece.</w:t>
      </w:r>
    </w:p>
    <w:p w14:paraId="3BF099E3">
      <w:pPr>
        <w:tabs>
          <w:tab w:val="clear" w:pos="284"/>
        </w:tabs>
        <w:rPr>
          <w:rFonts w:ascii="Microsoft Sans Serif" w:hAnsi="Microsoft Sans Serif" w:cs="Microsoft Sans Serif"/>
          <w:sz w:val="20"/>
          <w:szCs w:val="20"/>
        </w:rPr>
      </w:pPr>
    </w:p>
    <w:p w14:paraId="184C73C2">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Stariji pacijenti</w:t>
      </w:r>
    </w:p>
    <w:p w14:paraId="4801883B">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Kod starijih pacijenata, koncentracije u plazmi su veće nego kod mlađih, sa prosječnim PIK vrijednostima koje su povećane približno 1,5 puta, prije svega zbog smanjenja (prividnog) ukupnog i renalnog klirensa. Nije potrebno bilo kakvo prilagođavanje doze.</w:t>
      </w:r>
    </w:p>
    <w:p w14:paraId="7DD42675">
      <w:pPr>
        <w:tabs>
          <w:tab w:val="clear" w:pos="284"/>
        </w:tabs>
        <w:rPr>
          <w:rFonts w:ascii="Microsoft Sans Serif" w:hAnsi="Microsoft Sans Serif" w:cs="Microsoft Sans Serif"/>
          <w:sz w:val="20"/>
          <w:szCs w:val="20"/>
        </w:rPr>
      </w:pPr>
    </w:p>
    <w:p w14:paraId="4ED44D57">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Različite kategorije prema tjelesnoj masi</w:t>
      </w:r>
    </w:p>
    <w:p w14:paraId="41A7DFBE">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Kod odraslih, ekstremne tjelesne mase (&lt;50 kg ili &gt;120 kg) imaju mali uticaj na koncentracije rivaroksabana u plazmi (manje od 25%). Nije potrebno prilagođavanje doze.</w:t>
      </w:r>
    </w:p>
    <w:p w14:paraId="603F4D65">
      <w:pPr>
        <w:ind w:right="-1"/>
        <w:rPr>
          <w:rFonts w:ascii="Microsoft Sans Serif" w:hAnsi="Microsoft Sans Serif" w:cs="Microsoft Sans Serif"/>
          <w:sz w:val="20"/>
          <w:szCs w:val="20"/>
        </w:rPr>
      </w:pPr>
      <w:r>
        <w:rPr>
          <w:rFonts w:ascii="Microsoft Sans Serif" w:hAnsi="Microsoft Sans Serif" w:cs="Microsoft Sans Serif"/>
          <w:sz w:val="20"/>
          <w:szCs w:val="20"/>
        </w:rPr>
        <w:t>Kod djece, rivaroksaban se dozira na osnovu tjelesne težine. Istraživačka analiza nije otkrila relevantan uticaj pothranjenosti ili gojaznosti na izloženost rivaroksabanu kod djece.</w:t>
      </w:r>
    </w:p>
    <w:p w14:paraId="7788FF91">
      <w:pPr>
        <w:tabs>
          <w:tab w:val="clear" w:pos="284"/>
        </w:tabs>
        <w:rPr>
          <w:rFonts w:ascii="Microsoft Sans Serif" w:hAnsi="Microsoft Sans Serif" w:cs="Microsoft Sans Serif"/>
          <w:sz w:val="20"/>
          <w:szCs w:val="20"/>
        </w:rPr>
      </w:pPr>
    </w:p>
    <w:p w14:paraId="5DC162BF">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Etničke razlike</w:t>
      </w:r>
    </w:p>
    <w:p w14:paraId="5EF62A01">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Kod odraslih, nema klinički značajnih inter-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etničkih razlika između pacijenata belaca, osoba crne rase (Afroamerikanci), Hispanoamerikanaca, Japanaca ili Kineza u pogledu farmakokinetike ili farmakodinamike rivaroksabana.</w:t>
      </w:r>
    </w:p>
    <w:p w14:paraId="24B6426E">
      <w:pPr>
        <w:ind w:right="-1"/>
        <w:rPr>
          <w:rFonts w:ascii="Microsoft Sans Serif" w:hAnsi="Microsoft Sans Serif" w:cs="Microsoft Sans Serif"/>
          <w:sz w:val="20"/>
          <w:szCs w:val="20"/>
        </w:rPr>
      </w:pPr>
      <w:r>
        <w:rPr>
          <w:rFonts w:ascii="Microsoft Sans Serif" w:hAnsi="Microsoft Sans Serif" w:cs="Microsoft Sans Serif"/>
          <w:sz w:val="20"/>
          <w:szCs w:val="20"/>
        </w:rPr>
        <w:t>Istraživačka analiza nije otkrila relevantne međurasne razlike u izloženosti rivaroksabanu između japanske, kineske ili azijske djecom izvan Japana i Kine u poređenju sa odgovarajućom ukupnom pedijatrijskom populacijom.</w:t>
      </w:r>
    </w:p>
    <w:p w14:paraId="7F1F362C">
      <w:pPr>
        <w:tabs>
          <w:tab w:val="clear" w:pos="284"/>
        </w:tabs>
        <w:rPr>
          <w:rFonts w:ascii="Microsoft Sans Serif" w:hAnsi="Microsoft Sans Serif" w:cs="Microsoft Sans Serif"/>
          <w:sz w:val="20"/>
          <w:szCs w:val="20"/>
          <w:u w:val="single"/>
        </w:rPr>
      </w:pPr>
    </w:p>
    <w:p w14:paraId="6B6E295F">
      <w:pPr>
        <w:tabs>
          <w:tab w:val="clear" w:pos="284"/>
        </w:tabs>
        <w:rPr>
          <w:rFonts w:ascii="Microsoft Sans Serif" w:hAnsi="Microsoft Sans Serif" w:cs="Microsoft Sans Serif"/>
          <w:i/>
          <w:iCs/>
          <w:sz w:val="20"/>
          <w:szCs w:val="20"/>
        </w:rPr>
      </w:pPr>
      <w:r>
        <w:rPr>
          <w:rFonts w:ascii="Microsoft Sans Serif" w:hAnsi="Microsoft Sans Serif" w:cs="Microsoft Sans Serif"/>
          <w:i/>
          <w:iCs/>
          <w:sz w:val="20"/>
          <w:szCs w:val="20"/>
        </w:rPr>
        <w:t>Oštećenje funkcije jetre</w:t>
      </w:r>
    </w:p>
    <w:p w14:paraId="7C361739">
      <w:pPr>
        <w:tabs>
          <w:tab w:val="clear" w:pos="284"/>
        </w:tabs>
        <w:rPr>
          <w:rFonts w:ascii="Microsoft Sans Serif" w:hAnsi="Microsoft Sans Serif" w:cs="Microsoft Sans Serif"/>
          <w:iCs/>
          <w:sz w:val="20"/>
          <w:szCs w:val="20"/>
        </w:rPr>
      </w:pPr>
      <w:r>
        <w:rPr>
          <w:rFonts w:ascii="Microsoft Sans Serif" w:hAnsi="Microsoft Sans Serif" w:cs="Microsoft Sans Serif"/>
          <w:iCs/>
          <w:sz w:val="20"/>
          <w:szCs w:val="20"/>
        </w:rPr>
        <w:t xml:space="preserve">Odrasli pacijenti sa cirozom i blagim oštećenjem funkcije jetre (klasifikovana kao Child Pugh A) ispolјavaju male razlike u farmakokinetici rivaroksabana (u prosjeku, porast vrijednosti PIK rivaroksabana 1,2 puta), što je skoro uporedivo sa vrijednostima za odgovarajuće zdrave ispitanike u kontrolnoj grupi. Kod pacijenata sa cirozom sa umjerenim oštećenjem funkcije jetre (klasifikovana kao Child Pugh B), srednja vrijednost PIK-a rivaroksabana značajno je bila povećana, 2,3 puta u poređenju sa vrijednostima kod zdravih ispitanika. PIK slobodne frakcije lijeka bio je veći 2,6 puta. Kod ovih pacijenata, bila je </w:t>
      </w:r>
      <w:r>
        <w:rPr>
          <w:rFonts w:ascii="Microsoft Sans Serif" w:hAnsi="Microsoft Sans Serif" w:cs="Microsoft Sans Serif"/>
          <w:iCs/>
          <w:sz w:val="20"/>
          <w:szCs w:val="20"/>
          <w:lang w:val="sr-Cyrl-RS"/>
        </w:rPr>
        <w:t>s</w:t>
      </w:r>
      <w:r>
        <w:rPr>
          <w:rFonts w:ascii="Microsoft Sans Serif" w:hAnsi="Microsoft Sans Serif" w:cs="Microsoft Sans Serif"/>
          <w:iCs/>
          <w:sz w:val="20"/>
          <w:szCs w:val="20"/>
        </w:rPr>
        <w:t>manj</w:t>
      </w:r>
      <w:r>
        <w:rPr>
          <w:rFonts w:ascii="Microsoft Sans Serif" w:hAnsi="Microsoft Sans Serif" w:cs="Microsoft Sans Serif"/>
          <w:iCs/>
          <w:sz w:val="20"/>
          <w:szCs w:val="20"/>
          <w:lang w:val="sr-Cyrl-RS"/>
        </w:rPr>
        <w:t>en</w:t>
      </w:r>
      <w:r>
        <w:rPr>
          <w:rFonts w:ascii="Microsoft Sans Serif" w:hAnsi="Microsoft Sans Serif" w:cs="Microsoft Sans Serif"/>
          <w:iCs/>
          <w:sz w:val="20"/>
          <w:szCs w:val="20"/>
        </w:rPr>
        <w:t>a i renalna eliminacija rivaroksabana, slično kao kod pacijenata sa umjerenim oštećenjem funkcije bubrega. Nema podataka za pacijente sa teškim oštećenjem funkcije jetre.</w:t>
      </w:r>
    </w:p>
    <w:p w14:paraId="4225CD55">
      <w:pPr>
        <w:tabs>
          <w:tab w:val="clear" w:pos="284"/>
        </w:tabs>
        <w:rPr>
          <w:rFonts w:ascii="Microsoft Sans Serif" w:hAnsi="Microsoft Sans Serif" w:cs="Microsoft Sans Serif"/>
          <w:iCs/>
          <w:sz w:val="20"/>
          <w:szCs w:val="20"/>
        </w:rPr>
      </w:pPr>
      <w:r>
        <w:rPr>
          <w:rFonts w:ascii="Microsoft Sans Serif" w:hAnsi="Microsoft Sans Serif" w:cs="Microsoft Sans Serif"/>
          <w:iCs/>
          <w:sz w:val="20"/>
          <w:szCs w:val="20"/>
        </w:rPr>
        <w:t xml:space="preserve">Inhibicija aktivnosti faktora Xa bila je povećana za faktor 2,6 kod pacijenata sa umjerenim oštećenjem funkcije jetre u poređenju sa zdravim ispitanicima; </w:t>
      </w:r>
      <w:r>
        <w:rPr>
          <w:rFonts w:ascii="Microsoft Sans Serif" w:hAnsi="Microsoft Sans Serif" w:cs="Microsoft Sans Serif"/>
          <w:iCs/>
          <w:sz w:val="20"/>
          <w:szCs w:val="20"/>
          <w:lang w:val="sr-Cyrl-RS"/>
        </w:rPr>
        <w:t xml:space="preserve">produženje </w:t>
      </w:r>
      <w:r>
        <w:rPr>
          <w:rFonts w:ascii="Microsoft Sans Serif" w:hAnsi="Microsoft Sans Serif" w:cs="Microsoft Sans Serif"/>
          <w:iCs/>
          <w:sz w:val="20"/>
          <w:szCs w:val="20"/>
        </w:rPr>
        <w:t>PT je slično povećan</w:t>
      </w:r>
      <w:r>
        <w:rPr>
          <w:rFonts w:ascii="Microsoft Sans Serif" w:hAnsi="Microsoft Sans Serif" w:cs="Microsoft Sans Serif"/>
          <w:iCs/>
          <w:sz w:val="20"/>
          <w:szCs w:val="20"/>
          <w:lang w:val="sr-Cyrl-RS"/>
        </w:rPr>
        <w:t>o</w:t>
      </w:r>
      <w:r>
        <w:rPr>
          <w:rFonts w:ascii="Microsoft Sans Serif" w:hAnsi="Microsoft Sans Serif" w:cs="Microsoft Sans Serif"/>
          <w:iCs/>
          <w:sz w:val="20"/>
          <w:szCs w:val="20"/>
        </w:rPr>
        <w:t xml:space="preserve"> za faktor 2,1. Pacijenti sa umjerenim oštećenjem funkcije jetre bili su osjetlјiviji na dejstvo rivaroksabana, što je imalo za posljedicu strmiji PK/PD odnos između koncentracije i PT.</w:t>
      </w:r>
    </w:p>
    <w:p w14:paraId="3F4317D0">
      <w:pPr>
        <w:tabs>
          <w:tab w:val="clear" w:pos="284"/>
        </w:tabs>
        <w:rPr>
          <w:rFonts w:ascii="Microsoft Sans Serif" w:hAnsi="Microsoft Sans Serif" w:cs="Microsoft Sans Serif"/>
          <w:iCs/>
          <w:sz w:val="20"/>
          <w:szCs w:val="20"/>
        </w:rPr>
      </w:pPr>
      <w:r>
        <w:rPr>
          <w:rFonts w:ascii="Microsoft Sans Serif" w:hAnsi="Microsoft Sans Serif" w:cs="Microsoft Sans Serif"/>
          <w:iCs/>
          <w:sz w:val="20"/>
          <w:szCs w:val="20"/>
        </w:rPr>
        <w:t>Rivaroksaban je kontraindikovan kod pacijenata sa obolјenjem jetre koje je udruženo sa koagulopatijom i klinički značajnim rizikom od krvarenja, uklјučujući pacijente sa cirozom sa Child Pugh skorom B i C (pogledati dio 4.3).</w:t>
      </w:r>
    </w:p>
    <w:p w14:paraId="0BF5498D">
      <w:pPr>
        <w:ind w:right="68"/>
      </w:pPr>
      <w:r>
        <w:rPr>
          <w:rFonts w:ascii="Microsoft Sans Serif" w:hAnsi="Microsoft Sans Serif" w:cs="Microsoft Sans Serif"/>
          <w:sz w:val="20"/>
          <w:szCs w:val="20"/>
        </w:rPr>
        <w:t>Nema dostupnih kliničkih podataka za djecu sa oštećenjem funkcije jetre.</w:t>
      </w:r>
    </w:p>
    <w:p w14:paraId="5C136888">
      <w:pPr>
        <w:tabs>
          <w:tab w:val="clear" w:pos="284"/>
        </w:tabs>
        <w:rPr>
          <w:rFonts w:ascii="Microsoft Sans Serif" w:hAnsi="Microsoft Sans Serif" w:cs="Microsoft Sans Serif"/>
          <w:sz w:val="20"/>
          <w:szCs w:val="20"/>
        </w:rPr>
      </w:pPr>
    </w:p>
    <w:p w14:paraId="6F9E2017">
      <w:pPr>
        <w:tabs>
          <w:tab w:val="clear" w:pos="284"/>
        </w:tabs>
        <w:rPr>
          <w:rFonts w:ascii="Microsoft Sans Serif" w:hAnsi="Microsoft Sans Serif" w:cs="Microsoft Sans Serif"/>
          <w:i/>
          <w:sz w:val="20"/>
          <w:szCs w:val="20"/>
        </w:rPr>
      </w:pPr>
      <w:r>
        <w:rPr>
          <w:rFonts w:ascii="Microsoft Sans Serif" w:hAnsi="Microsoft Sans Serif" w:cs="Microsoft Sans Serif"/>
          <w:i/>
          <w:sz w:val="20"/>
          <w:szCs w:val="20"/>
        </w:rPr>
        <w:t>Oštećenje funkcije bubrega</w:t>
      </w:r>
    </w:p>
    <w:p w14:paraId="204207C5">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Izloženost rivaroksabanu kod odraslih rasla je u korelaciji sa smanjenjem funkcije bubrega, koja je procjenjena na osnovu klirensa kreatinina. Kod osoba sa blagim (klirens kreatinina 50-80 ml/min), umjerenim (klirens kreatinina 30-49 ml/min) i teškim (klirens kreatinina 15-29 ml/min) oštećenjem funkcije bubrega, koncentracije rivaroksabana u plazmi (PIK) bile su povećane 1,4; 1,5 i 1,6 puta, redom. Odgovarajući porast farmakodinamskog odgovora bio je više izražen. Kod osoba sa blagim, umjerenim i teškim oštećenjem funkcije bubrega, ukupna inhibicija aktivnosti faktora Xa bila je povećana za faktor 1,5; 1,9 i 2,0, redom, u poređenju sa zdravim ispitanicima; produžavanje PT bilo je povećano u sličnoj meri, za faktor 1,3; 2,2 i 2,4. Nema podataka za pacijente sa klirensom kreatinina &lt; 15 ml/min.</w:t>
      </w:r>
    </w:p>
    <w:p w14:paraId="2030DC52">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Ne očekuje se da se rivaroksaban gubi pri dijalizi zbog toga što se u velikoj mjeri vezuje za proteine plazme.</w:t>
      </w:r>
    </w:p>
    <w:p w14:paraId="0D8101C5">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Ne preporučuje se primjena ovog lijeka kod pacijenata čiji je klirens kreatinina &lt; 15 ml/min. Rivaroksaban se primjenjuje uz mjere opreza kod pacijenata sa klirensom kreatinina od 15 do 29 ml/min (pogledati dio 4.4).</w:t>
      </w:r>
    </w:p>
    <w:p w14:paraId="292D9D16">
      <w:pPr>
        <w:ind w:right="28" w:firstLine="1"/>
        <w:rPr>
          <w:rFonts w:ascii="Microsoft Sans Serif" w:hAnsi="Microsoft Sans Serif" w:cs="Microsoft Sans Serif"/>
          <w:sz w:val="20"/>
          <w:szCs w:val="20"/>
        </w:rPr>
      </w:pPr>
      <w:r>
        <w:rPr>
          <w:rFonts w:ascii="Microsoft Sans Serif" w:hAnsi="Microsoft Sans Serif" w:cs="Microsoft Sans Serif"/>
          <w:sz w:val="20"/>
          <w:szCs w:val="20"/>
        </w:rPr>
        <w:t>Nisu dostupni klinički podaci za djecu uzrast</w:t>
      </w:r>
      <w:r>
        <w:rPr>
          <w:rFonts w:ascii="Microsoft Sans Serif" w:hAnsi="Microsoft Sans Serif" w:cs="Microsoft Sans Serif"/>
          <w:sz w:val="20"/>
          <w:szCs w:val="20"/>
          <w:lang w:val="mk-MK"/>
        </w:rPr>
        <w:t xml:space="preserve">а </w:t>
      </w:r>
      <w:r>
        <w:rPr>
          <w:rFonts w:ascii="Microsoft Sans Serif" w:hAnsi="Microsoft Sans Serif" w:cs="Microsoft Sans Serif"/>
          <w:sz w:val="20"/>
          <w:szCs w:val="20"/>
          <w:lang w:val="hr-BA"/>
        </w:rPr>
        <w:t>od</w:t>
      </w:r>
      <w:r>
        <w:rPr>
          <w:rFonts w:ascii="Microsoft Sans Serif" w:hAnsi="Microsoft Sans Serif" w:cs="Microsoft Sans Serif"/>
          <w:sz w:val="20"/>
          <w:szCs w:val="20"/>
        </w:rPr>
        <w:t xml:space="preserve"> godinu dana ili starije sa umjerenim ili teškim oštećenjem funkcije jetre (stopa glomerularne filtracije &lt; 50 ml/min/1.73 m</w:t>
      </w:r>
      <w:r>
        <w:rPr>
          <w:rFonts w:ascii="Microsoft Sans Serif" w:hAnsi="Microsoft Sans Serif" w:cs="Microsoft Sans Serif"/>
          <w:sz w:val="20"/>
          <w:szCs w:val="20"/>
          <w:vertAlign w:val="superscript"/>
        </w:rPr>
        <w:t>2</w:t>
      </w:r>
      <w:r>
        <w:rPr>
          <w:rFonts w:ascii="Microsoft Sans Serif" w:hAnsi="Microsoft Sans Serif" w:cs="Microsoft Sans Serif"/>
          <w:sz w:val="20"/>
          <w:szCs w:val="20"/>
        </w:rPr>
        <w:t>).</w:t>
      </w:r>
    </w:p>
    <w:p w14:paraId="55F02983">
      <w:pPr>
        <w:tabs>
          <w:tab w:val="clear" w:pos="284"/>
        </w:tabs>
        <w:rPr>
          <w:rFonts w:ascii="Microsoft Sans Serif" w:hAnsi="Microsoft Sans Serif" w:cs="Microsoft Sans Serif"/>
          <w:sz w:val="20"/>
          <w:szCs w:val="20"/>
        </w:rPr>
      </w:pPr>
    </w:p>
    <w:p w14:paraId="79755C3B">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Farmakokinetički podaci kod pacijenata</w:t>
      </w:r>
    </w:p>
    <w:p w14:paraId="266034E0">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Kod pacijenata koji primaju rivaroksaban u dozi od 20 mg jednom dnevno za </w:t>
      </w:r>
      <w:r>
        <w:rPr>
          <w:rFonts w:ascii="Microsoft Sans Serif" w:hAnsi="Microsoft Sans Serif" w:cs="Microsoft Sans Serif"/>
          <w:sz w:val="20"/>
          <w:szCs w:val="20"/>
          <w:lang w:val="sr-Cyrl-RS"/>
        </w:rPr>
        <w:t>terapiju</w:t>
      </w:r>
      <w:r>
        <w:rPr>
          <w:rFonts w:ascii="Microsoft Sans Serif" w:hAnsi="Microsoft Sans Serif" w:cs="Microsoft Sans Serif"/>
          <w:sz w:val="20"/>
          <w:szCs w:val="20"/>
        </w:rPr>
        <w:t xml:space="preserve"> </w:t>
      </w:r>
      <w:r>
        <w:rPr>
          <w:rFonts w:ascii="Microsoft Sans Serif" w:hAnsi="Microsoft Sans Serif" w:cs="Microsoft Sans Serif"/>
          <w:sz w:val="20"/>
          <w:szCs w:val="20"/>
          <w:lang w:val="sr-Cyrl-RS"/>
        </w:rPr>
        <w:t xml:space="preserve">akutne </w:t>
      </w:r>
      <w:r>
        <w:rPr>
          <w:rFonts w:ascii="Microsoft Sans Serif" w:hAnsi="Microsoft Sans Serif" w:cs="Microsoft Sans Serif"/>
          <w:sz w:val="20"/>
          <w:szCs w:val="20"/>
        </w:rPr>
        <w:t>duboke venske tromboze geometrijska srednja vrijednost koncentracije (90% interval predviđanja) 2-4 sata i oko 24 sata nakon primjene doze (grubo predstavlјajući maksimalnu i minimalnu koncentraciju tokom intervala doziranja) bila je 215 (22-535), odnosno 32 (6-239) mikrograma/l.</w:t>
      </w:r>
    </w:p>
    <w:p w14:paraId="53D94F83">
      <w:pPr>
        <w:ind w:right="-1"/>
      </w:pPr>
    </w:p>
    <w:p w14:paraId="01A22285">
      <w:pPr>
        <w:ind w:right="-1"/>
        <w:rPr>
          <w:rFonts w:ascii="Microsoft Sans Serif" w:hAnsi="Microsoft Sans Serif" w:cs="Microsoft Sans Serif"/>
          <w:sz w:val="20"/>
          <w:szCs w:val="20"/>
        </w:rPr>
      </w:pPr>
      <w:r>
        <w:rPr>
          <w:rFonts w:ascii="Microsoft Sans Serif" w:hAnsi="Microsoft Sans Serif" w:cs="Microsoft Sans Serif"/>
          <w:sz w:val="20"/>
          <w:szCs w:val="20"/>
        </w:rPr>
        <w:t>Kod pedijatrijskih pacijenata sa akutnim VTE koji primaju rivaroksaban prilagođen tjelesnoj težini, što dovodi do izloženosti slične onoj kod odraslih pacijenata sa DVT koji primaju dozu od 20 mg jednom dnevno, geometrijske srednje vrijednosti koncentracije (interval od 90%) u intervalima uzorkovanja približno predstavljaju maksimalne i minimalne vrijednosti koncentracije tokom intervala doziranja sumirani su u tabeli 13.</w:t>
      </w:r>
    </w:p>
    <w:p w14:paraId="52CC4222">
      <w:pPr>
        <w:ind w:right="-1"/>
      </w:pPr>
    </w:p>
    <w:p w14:paraId="2AD5007D">
      <w:pPr>
        <w:ind w:right="-1"/>
      </w:pPr>
      <w:r>
        <w:rPr>
          <w:rFonts w:ascii="Microsoft Sans Serif" w:hAnsi="Microsoft Sans Serif" w:cs="Microsoft Sans Serif"/>
          <w:b/>
          <w:bCs/>
          <w:sz w:val="20"/>
          <w:szCs w:val="20"/>
        </w:rPr>
        <w:t xml:space="preserve">Tabela 13: </w:t>
      </w:r>
      <w:r>
        <w:rPr>
          <w:rFonts w:ascii="Microsoft Sans Serif" w:hAnsi="Microsoft Sans Serif" w:cs="Microsoft Sans Serif"/>
          <w:b/>
          <w:sz w:val="20"/>
          <w:szCs w:val="20"/>
        </w:rPr>
        <w:t>Sažetak statisti</w:t>
      </w:r>
      <w:r>
        <w:rPr>
          <w:rFonts w:ascii="Microsoft Sans Serif" w:hAnsi="Microsoft Sans Serif" w:cs="Microsoft Sans Serif"/>
          <w:b/>
          <w:sz w:val="20"/>
          <w:szCs w:val="20"/>
          <w:lang w:val="hr-BA"/>
        </w:rPr>
        <w:t>č</w:t>
      </w:r>
      <w:r>
        <w:rPr>
          <w:rFonts w:ascii="Microsoft Sans Serif" w:hAnsi="Microsoft Sans Serif" w:cs="Microsoft Sans Serif"/>
          <w:b/>
          <w:sz w:val="20"/>
          <w:szCs w:val="20"/>
        </w:rPr>
        <w:t>kih podataka (geometrijska srednja vrijednost (90% interval)) koncentracija (μg/l) rivaroksabana u plazmi u stanju dinamičke ravnoteže prema režimu doziranja i uzrasta</w:t>
      </w:r>
    </w:p>
    <w:tbl>
      <w:tblPr>
        <w:tblStyle w:val="7"/>
        <w:tblW w:w="9494" w:type="dxa"/>
        <w:tblInd w:w="112" w:type="dxa"/>
        <w:tblLayout w:type="fixed"/>
        <w:tblCellMar>
          <w:top w:w="0" w:type="dxa"/>
          <w:left w:w="0" w:type="dxa"/>
          <w:bottom w:w="0" w:type="dxa"/>
          <w:right w:w="0" w:type="dxa"/>
        </w:tblCellMar>
      </w:tblPr>
      <w:tblGrid>
        <w:gridCol w:w="1337"/>
        <w:gridCol w:w="565"/>
        <w:gridCol w:w="1488"/>
        <w:gridCol w:w="463"/>
        <w:gridCol w:w="1559"/>
        <w:gridCol w:w="443"/>
        <w:gridCol w:w="1494"/>
        <w:gridCol w:w="437"/>
        <w:gridCol w:w="1708"/>
      </w:tblGrid>
      <w:tr w14:paraId="0BD8FC9C">
        <w:tblPrEx>
          <w:tblCellMar>
            <w:top w:w="0" w:type="dxa"/>
            <w:left w:w="0" w:type="dxa"/>
            <w:bottom w:w="0" w:type="dxa"/>
            <w:right w:w="0" w:type="dxa"/>
          </w:tblCellMar>
        </w:tblPrEx>
        <w:trPr>
          <w:trHeight w:val="887" w:hRule="exact"/>
        </w:trPr>
        <w:tc>
          <w:tcPr>
            <w:tcW w:w="1337" w:type="dxa"/>
            <w:tcBorders>
              <w:top w:val="single" w:color="000000" w:sz="4" w:space="0"/>
              <w:left w:val="single" w:color="000000" w:sz="4" w:space="0"/>
              <w:bottom w:val="single" w:color="000000" w:sz="4" w:space="0"/>
              <w:right w:val="single" w:color="000000" w:sz="4" w:space="0"/>
            </w:tcBorders>
          </w:tcPr>
          <w:p w14:paraId="48807914">
            <w:pPr>
              <w:ind w:right="-1"/>
              <w:rPr>
                <w:rFonts w:ascii="Microsoft Sans Serif" w:hAnsi="Microsoft Sans Serif" w:cs="Microsoft Sans Serif"/>
                <w:sz w:val="20"/>
                <w:szCs w:val="20"/>
              </w:rPr>
            </w:pPr>
            <w:r>
              <w:rPr>
                <w:rFonts w:ascii="Microsoft Sans Serif" w:hAnsi="Microsoft Sans Serif" w:cs="Microsoft Sans Serif"/>
                <w:b/>
                <w:bCs/>
                <w:sz w:val="20"/>
                <w:szCs w:val="20"/>
              </w:rPr>
              <w:t>Vremenski interval</w:t>
            </w:r>
          </w:p>
        </w:tc>
        <w:tc>
          <w:tcPr>
            <w:tcW w:w="565" w:type="dxa"/>
            <w:tcBorders>
              <w:top w:val="single" w:color="000000" w:sz="4" w:space="0"/>
              <w:left w:val="single" w:color="000000" w:sz="4" w:space="0"/>
              <w:bottom w:val="single" w:color="000000" w:sz="4" w:space="0"/>
              <w:right w:val="single" w:color="000000" w:sz="4" w:space="0"/>
            </w:tcBorders>
          </w:tcPr>
          <w:p w14:paraId="03B1C60E">
            <w:pPr>
              <w:ind w:right="-1"/>
              <w:rPr>
                <w:rFonts w:ascii="Microsoft Sans Serif" w:hAnsi="Microsoft Sans Serif" w:cs="Microsoft Sans Serif"/>
                <w:sz w:val="20"/>
                <w:szCs w:val="20"/>
              </w:rPr>
            </w:pPr>
          </w:p>
        </w:tc>
        <w:tc>
          <w:tcPr>
            <w:tcW w:w="1488" w:type="dxa"/>
            <w:tcBorders>
              <w:top w:val="single" w:color="000000" w:sz="4" w:space="0"/>
              <w:left w:val="single" w:color="000000" w:sz="4" w:space="0"/>
              <w:bottom w:val="single" w:color="000000" w:sz="4" w:space="0"/>
              <w:right w:val="single" w:color="000000" w:sz="4" w:space="0"/>
            </w:tcBorders>
          </w:tcPr>
          <w:p w14:paraId="5607B158">
            <w:pPr>
              <w:ind w:right="-1"/>
              <w:rPr>
                <w:rFonts w:ascii="Microsoft Sans Serif" w:hAnsi="Microsoft Sans Serif" w:cs="Microsoft Sans Serif"/>
                <w:sz w:val="20"/>
                <w:szCs w:val="20"/>
              </w:rPr>
            </w:pPr>
          </w:p>
        </w:tc>
        <w:tc>
          <w:tcPr>
            <w:tcW w:w="463" w:type="dxa"/>
            <w:tcBorders>
              <w:top w:val="single" w:color="000000" w:sz="4" w:space="0"/>
              <w:left w:val="single" w:color="000000" w:sz="4" w:space="0"/>
              <w:bottom w:val="single" w:color="000000" w:sz="4" w:space="0"/>
              <w:right w:val="single" w:color="000000" w:sz="4" w:space="0"/>
            </w:tcBorders>
          </w:tcPr>
          <w:p w14:paraId="002B67E5">
            <w:pPr>
              <w:ind w:right="-1"/>
              <w:rPr>
                <w:rFonts w:ascii="Microsoft Sans Serif" w:hAnsi="Microsoft Sans Serif" w:cs="Microsoft Sans Serif"/>
                <w:sz w:val="20"/>
                <w:szCs w:val="20"/>
              </w:rPr>
            </w:pPr>
          </w:p>
        </w:tc>
        <w:tc>
          <w:tcPr>
            <w:tcW w:w="1559" w:type="dxa"/>
            <w:tcBorders>
              <w:top w:val="single" w:color="000000" w:sz="4" w:space="0"/>
              <w:left w:val="single" w:color="000000" w:sz="4" w:space="0"/>
              <w:bottom w:val="single" w:color="000000" w:sz="4" w:space="0"/>
              <w:right w:val="single" w:color="000000" w:sz="4" w:space="0"/>
            </w:tcBorders>
          </w:tcPr>
          <w:p w14:paraId="1C3D7763">
            <w:pPr>
              <w:ind w:right="-1"/>
              <w:rPr>
                <w:rFonts w:ascii="Microsoft Sans Serif" w:hAnsi="Microsoft Sans Serif" w:cs="Microsoft Sans Serif"/>
                <w:sz w:val="20"/>
                <w:szCs w:val="20"/>
              </w:rPr>
            </w:pPr>
          </w:p>
        </w:tc>
        <w:tc>
          <w:tcPr>
            <w:tcW w:w="443" w:type="dxa"/>
            <w:tcBorders>
              <w:top w:val="single" w:color="000000" w:sz="4" w:space="0"/>
              <w:left w:val="single" w:color="000000" w:sz="4" w:space="0"/>
              <w:bottom w:val="single" w:color="000000" w:sz="4" w:space="0"/>
              <w:right w:val="single" w:color="000000" w:sz="4" w:space="0"/>
            </w:tcBorders>
          </w:tcPr>
          <w:p w14:paraId="7D19D778">
            <w:pPr>
              <w:ind w:right="-1"/>
              <w:rPr>
                <w:rFonts w:ascii="Microsoft Sans Serif" w:hAnsi="Microsoft Sans Serif" w:cs="Microsoft Sans Serif"/>
                <w:sz w:val="20"/>
                <w:szCs w:val="20"/>
              </w:rPr>
            </w:pPr>
          </w:p>
        </w:tc>
        <w:tc>
          <w:tcPr>
            <w:tcW w:w="1494" w:type="dxa"/>
            <w:tcBorders>
              <w:top w:val="single" w:color="000000" w:sz="4" w:space="0"/>
              <w:left w:val="single" w:color="000000" w:sz="4" w:space="0"/>
              <w:bottom w:val="single" w:color="000000" w:sz="4" w:space="0"/>
              <w:right w:val="single" w:color="000000" w:sz="4" w:space="0"/>
            </w:tcBorders>
          </w:tcPr>
          <w:p w14:paraId="636C2242">
            <w:pPr>
              <w:ind w:right="-1"/>
              <w:rPr>
                <w:rFonts w:ascii="Microsoft Sans Serif" w:hAnsi="Microsoft Sans Serif" w:cs="Microsoft Sans Serif"/>
                <w:sz w:val="20"/>
                <w:szCs w:val="20"/>
              </w:rPr>
            </w:pPr>
          </w:p>
        </w:tc>
        <w:tc>
          <w:tcPr>
            <w:tcW w:w="437" w:type="dxa"/>
            <w:tcBorders>
              <w:top w:val="single" w:color="000000" w:sz="4" w:space="0"/>
              <w:left w:val="single" w:color="000000" w:sz="4" w:space="0"/>
              <w:bottom w:val="single" w:color="000000" w:sz="4" w:space="0"/>
              <w:right w:val="single" w:color="000000" w:sz="4" w:space="0"/>
            </w:tcBorders>
          </w:tcPr>
          <w:p w14:paraId="466B2DFF">
            <w:pPr>
              <w:ind w:right="-1"/>
              <w:rPr>
                <w:rFonts w:ascii="Microsoft Sans Serif" w:hAnsi="Microsoft Sans Serif" w:cs="Microsoft Sans Serif"/>
                <w:sz w:val="20"/>
                <w:szCs w:val="20"/>
              </w:rPr>
            </w:pPr>
          </w:p>
        </w:tc>
        <w:tc>
          <w:tcPr>
            <w:tcW w:w="1708" w:type="dxa"/>
            <w:tcBorders>
              <w:top w:val="single" w:color="000000" w:sz="4" w:space="0"/>
              <w:left w:val="single" w:color="000000" w:sz="4" w:space="0"/>
              <w:bottom w:val="single" w:color="000000" w:sz="4" w:space="0"/>
              <w:right w:val="single" w:color="000000" w:sz="4" w:space="0"/>
            </w:tcBorders>
          </w:tcPr>
          <w:p w14:paraId="18D05852">
            <w:pPr>
              <w:ind w:right="-1"/>
              <w:rPr>
                <w:rFonts w:ascii="Microsoft Sans Serif" w:hAnsi="Microsoft Sans Serif" w:cs="Microsoft Sans Serif"/>
                <w:sz w:val="20"/>
                <w:szCs w:val="20"/>
              </w:rPr>
            </w:pPr>
          </w:p>
        </w:tc>
      </w:tr>
      <w:tr w14:paraId="6ECFB345">
        <w:tblPrEx>
          <w:tblCellMar>
            <w:top w:w="0" w:type="dxa"/>
            <w:left w:w="0" w:type="dxa"/>
            <w:bottom w:w="0" w:type="dxa"/>
            <w:right w:w="0" w:type="dxa"/>
          </w:tblCellMar>
        </w:tblPrEx>
        <w:trPr>
          <w:trHeight w:val="1166" w:hRule="exact"/>
        </w:trPr>
        <w:tc>
          <w:tcPr>
            <w:tcW w:w="1337" w:type="dxa"/>
            <w:tcBorders>
              <w:top w:val="single" w:color="000000" w:sz="4" w:space="0"/>
              <w:left w:val="single" w:color="000000" w:sz="4" w:space="0"/>
              <w:bottom w:val="single" w:color="000000" w:sz="4" w:space="0"/>
              <w:right w:val="single" w:color="000000" w:sz="4" w:space="0"/>
            </w:tcBorders>
          </w:tcPr>
          <w:p w14:paraId="1E5FB6B4">
            <w:pPr>
              <w:ind w:right="-1"/>
              <w:rPr>
                <w:rFonts w:ascii="Microsoft Sans Serif" w:hAnsi="Microsoft Sans Serif" w:cs="Microsoft Sans Serif"/>
                <w:sz w:val="20"/>
                <w:szCs w:val="20"/>
              </w:rPr>
            </w:pPr>
            <w:r>
              <w:rPr>
                <w:rFonts w:ascii="Microsoft Sans Serif" w:hAnsi="Microsoft Sans Serif" w:cs="Microsoft Sans Serif"/>
                <w:b/>
                <w:bCs/>
                <w:sz w:val="20"/>
                <w:szCs w:val="20"/>
              </w:rPr>
              <w:t>Jednom dnevno</w:t>
            </w:r>
          </w:p>
        </w:tc>
        <w:tc>
          <w:tcPr>
            <w:tcW w:w="565" w:type="dxa"/>
            <w:tcBorders>
              <w:top w:val="single" w:color="000000" w:sz="4" w:space="0"/>
              <w:left w:val="single" w:color="000000" w:sz="4" w:space="0"/>
              <w:bottom w:val="single" w:color="000000" w:sz="4" w:space="0"/>
              <w:right w:val="single" w:color="000000" w:sz="4" w:space="0"/>
            </w:tcBorders>
          </w:tcPr>
          <w:p w14:paraId="58F0DC8C">
            <w:pPr>
              <w:ind w:right="-1"/>
              <w:rPr>
                <w:rFonts w:ascii="Microsoft Sans Serif" w:hAnsi="Microsoft Sans Serif" w:cs="Microsoft Sans Serif"/>
                <w:sz w:val="20"/>
                <w:szCs w:val="20"/>
              </w:rPr>
            </w:pPr>
            <w:r>
              <w:rPr>
                <w:rFonts w:ascii="Microsoft Sans Serif" w:hAnsi="Microsoft Sans Serif" w:cs="Microsoft Sans Serif"/>
                <w:b/>
                <w:bCs/>
                <w:sz w:val="20"/>
                <w:szCs w:val="20"/>
              </w:rPr>
              <w:t>N</w:t>
            </w:r>
          </w:p>
        </w:tc>
        <w:tc>
          <w:tcPr>
            <w:tcW w:w="1488" w:type="dxa"/>
            <w:tcBorders>
              <w:top w:val="single" w:color="000000" w:sz="4" w:space="0"/>
              <w:left w:val="single" w:color="000000" w:sz="4" w:space="0"/>
              <w:bottom w:val="single" w:color="000000" w:sz="4" w:space="0"/>
              <w:right w:val="single" w:color="000000" w:sz="4" w:space="0"/>
            </w:tcBorders>
          </w:tcPr>
          <w:p w14:paraId="2B49D9CD">
            <w:pPr>
              <w:ind w:right="-1"/>
              <w:rPr>
                <w:rFonts w:ascii="Microsoft Sans Serif" w:hAnsi="Microsoft Sans Serif" w:cs="Microsoft Sans Serif"/>
                <w:sz w:val="20"/>
                <w:szCs w:val="20"/>
              </w:rPr>
            </w:pPr>
            <w:r>
              <w:rPr>
                <w:rFonts w:ascii="Microsoft Sans Serif" w:hAnsi="Microsoft Sans Serif" w:cs="Microsoft Sans Serif"/>
                <w:b/>
                <w:bCs/>
                <w:sz w:val="20"/>
                <w:szCs w:val="20"/>
              </w:rPr>
              <w:t>12 -</w:t>
            </w:r>
          </w:p>
          <w:p w14:paraId="4B355960">
            <w:pPr>
              <w:ind w:right="-1"/>
              <w:rPr>
                <w:rFonts w:ascii="Microsoft Sans Serif" w:hAnsi="Microsoft Sans Serif" w:cs="Microsoft Sans Serif"/>
                <w:sz w:val="20"/>
                <w:szCs w:val="20"/>
              </w:rPr>
            </w:pPr>
            <w:r>
              <w:rPr>
                <w:rFonts w:ascii="Microsoft Sans Serif" w:hAnsi="Microsoft Sans Serif" w:cs="Microsoft Sans Serif"/>
                <w:b/>
                <w:bCs/>
                <w:sz w:val="20"/>
                <w:szCs w:val="20"/>
              </w:rPr>
              <w:t>&lt; 18  godina</w:t>
            </w:r>
          </w:p>
        </w:tc>
        <w:tc>
          <w:tcPr>
            <w:tcW w:w="463" w:type="dxa"/>
            <w:tcBorders>
              <w:top w:val="single" w:color="000000" w:sz="4" w:space="0"/>
              <w:left w:val="single" w:color="000000" w:sz="4" w:space="0"/>
              <w:bottom w:val="single" w:color="000000" w:sz="4" w:space="0"/>
              <w:right w:val="single" w:color="000000" w:sz="4" w:space="0"/>
            </w:tcBorders>
          </w:tcPr>
          <w:p w14:paraId="58B291CA">
            <w:pPr>
              <w:ind w:right="-1"/>
              <w:rPr>
                <w:rFonts w:ascii="Microsoft Sans Serif" w:hAnsi="Microsoft Sans Serif" w:cs="Microsoft Sans Serif"/>
                <w:sz w:val="20"/>
                <w:szCs w:val="20"/>
              </w:rPr>
            </w:pPr>
            <w:r>
              <w:rPr>
                <w:rFonts w:ascii="Microsoft Sans Serif" w:hAnsi="Microsoft Sans Serif" w:cs="Microsoft Sans Serif"/>
                <w:b/>
                <w:bCs/>
                <w:sz w:val="20"/>
                <w:szCs w:val="20"/>
              </w:rPr>
              <w:t>N</w:t>
            </w:r>
          </w:p>
        </w:tc>
        <w:tc>
          <w:tcPr>
            <w:tcW w:w="1559" w:type="dxa"/>
            <w:tcBorders>
              <w:top w:val="single" w:color="000000" w:sz="4" w:space="0"/>
              <w:left w:val="single" w:color="000000" w:sz="4" w:space="0"/>
              <w:bottom w:val="single" w:color="000000" w:sz="4" w:space="0"/>
              <w:right w:val="single" w:color="000000" w:sz="4" w:space="0"/>
            </w:tcBorders>
          </w:tcPr>
          <w:p w14:paraId="558FCB06">
            <w:pPr>
              <w:ind w:right="-1"/>
              <w:rPr>
                <w:rFonts w:ascii="Microsoft Sans Serif" w:hAnsi="Microsoft Sans Serif" w:cs="Microsoft Sans Serif"/>
                <w:sz w:val="20"/>
                <w:szCs w:val="20"/>
              </w:rPr>
            </w:pPr>
            <w:r>
              <w:rPr>
                <w:rFonts w:ascii="Microsoft Sans Serif" w:hAnsi="Microsoft Sans Serif" w:cs="Microsoft Sans Serif"/>
                <w:b/>
                <w:bCs/>
                <w:sz w:val="20"/>
                <w:szCs w:val="20"/>
              </w:rPr>
              <w:t>6 -&lt; 12 godina</w:t>
            </w:r>
          </w:p>
        </w:tc>
        <w:tc>
          <w:tcPr>
            <w:tcW w:w="443" w:type="dxa"/>
            <w:tcBorders>
              <w:top w:val="single" w:color="000000" w:sz="4" w:space="0"/>
              <w:left w:val="single" w:color="000000" w:sz="4" w:space="0"/>
              <w:bottom w:val="single" w:color="000000" w:sz="4" w:space="0"/>
              <w:right w:val="single" w:color="000000" w:sz="4" w:space="0"/>
            </w:tcBorders>
          </w:tcPr>
          <w:p w14:paraId="086C7A74">
            <w:pPr>
              <w:ind w:right="-1"/>
              <w:rPr>
                <w:rFonts w:ascii="Microsoft Sans Serif" w:hAnsi="Microsoft Sans Serif" w:cs="Microsoft Sans Serif"/>
                <w:sz w:val="20"/>
                <w:szCs w:val="20"/>
              </w:rPr>
            </w:pPr>
          </w:p>
        </w:tc>
        <w:tc>
          <w:tcPr>
            <w:tcW w:w="1494" w:type="dxa"/>
            <w:tcBorders>
              <w:top w:val="single" w:color="000000" w:sz="4" w:space="0"/>
              <w:left w:val="single" w:color="000000" w:sz="4" w:space="0"/>
              <w:bottom w:val="single" w:color="000000" w:sz="4" w:space="0"/>
              <w:right w:val="single" w:color="000000" w:sz="4" w:space="0"/>
            </w:tcBorders>
          </w:tcPr>
          <w:p w14:paraId="44A25C61">
            <w:pPr>
              <w:ind w:right="-1"/>
              <w:rPr>
                <w:rFonts w:ascii="Microsoft Sans Serif" w:hAnsi="Microsoft Sans Serif" w:cs="Microsoft Sans Serif"/>
                <w:sz w:val="20"/>
                <w:szCs w:val="20"/>
              </w:rPr>
            </w:pPr>
          </w:p>
        </w:tc>
        <w:tc>
          <w:tcPr>
            <w:tcW w:w="437" w:type="dxa"/>
            <w:tcBorders>
              <w:top w:val="single" w:color="000000" w:sz="4" w:space="0"/>
              <w:left w:val="single" w:color="000000" w:sz="4" w:space="0"/>
              <w:bottom w:val="single" w:color="000000" w:sz="4" w:space="0"/>
              <w:right w:val="single" w:color="000000" w:sz="4" w:space="0"/>
            </w:tcBorders>
          </w:tcPr>
          <w:p w14:paraId="23BEBD79">
            <w:pPr>
              <w:ind w:right="-1"/>
              <w:rPr>
                <w:rFonts w:ascii="Microsoft Sans Serif" w:hAnsi="Microsoft Sans Serif" w:cs="Microsoft Sans Serif"/>
                <w:sz w:val="20"/>
                <w:szCs w:val="20"/>
              </w:rPr>
            </w:pPr>
          </w:p>
        </w:tc>
        <w:tc>
          <w:tcPr>
            <w:tcW w:w="1708" w:type="dxa"/>
            <w:tcBorders>
              <w:top w:val="single" w:color="000000" w:sz="4" w:space="0"/>
              <w:left w:val="single" w:color="000000" w:sz="4" w:space="0"/>
              <w:bottom w:val="single" w:color="000000" w:sz="4" w:space="0"/>
              <w:right w:val="single" w:color="000000" w:sz="4" w:space="0"/>
            </w:tcBorders>
          </w:tcPr>
          <w:p w14:paraId="67778254">
            <w:pPr>
              <w:ind w:right="-1"/>
              <w:rPr>
                <w:rFonts w:ascii="Microsoft Sans Serif" w:hAnsi="Microsoft Sans Serif" w:cs="Microsoft Sans Serif"/>
                <w:sz w:val="20"/>
                <w:szCs w:val="20"/>
              </w:rPr>
            </w:pPr>
          </w:p>
        </w:tc>
      </w:tr>
      <w:tr w14:paraId="72DD4C68">
        <w:tblPrEx>
          <w:tblCellMar>
            <w:top w:w="0" w:type="dxa"/>
            <w:left w:w="0" w:type="dxa"/>
            <w:bottom w:w="0" w:type="dxa"/>
            <w:right w:w="0" w:type="dxa"/>
          </w:tblCellMar>
        </w:tblPrEx>
        <w:trPr>
          <w:trHeight w:val="516" w:hRule="exact"/>
        </w:trPr>
        <w:tc>
          <w:tcPr>
            <w:tcW w:w="1337" w:type="dxa"/>
            <w:tcBorders>
              <w:top w:val="single" w:color="000000" w:sz="4" w:space="0"/>
              <w:left w:val="single" w:color="000000" w:sz="4" w:space="0"/>
              <w:bottom w:val="single" w:color="000000" w:sz="4" w:space="0"/>
              <w:right w:val="single" w:color="000000" w:sz="4" w:space="0"/>
            </w:tcBorders>
          </w:tcPr>
          <w:p w14:paraId="311D4758">
            <w:pPr>
              <w:ind w:right="-1"/>
              <w:rPr>
                <w:rFonts w:ascii="Microsoft Sans Serif" w:hAnsi="Microsoft Sans Serif" w:cs="Microsoft Sans Serif"/>
                <w:sz w:val="20"/>
                <w:szCs w:val="20"/>
              </w:rPr>
            </w:pPr>
            <w:r>
              <w:rPr>
                <w:rFonts w:ascii="Microsoft Sans Serif" w:hAnsi="Microsoft Sans Serif" w:cs="Microsoft Sans Serif"/>
                <w:sz w:val="20"/>
                <w:szCs w:val="20"/>
              </w:rPr>
              <w:t>2.5-4h nakon doziranja</w:t>
            </w:r>
          </w:p>
        </w:tc>
        <w:tc>
          <w:tcPr>
            <w:tcW w:w="565" w:type="dxa"/>
            <w:tcBorders>
              <w:top w:val="single" w:color="000000" w:sz="4" w:space="0"/>
              <w:left w:val="single" w:color="000000" w:sz="4" w:space="0"/>
              <w:bottom w:val="single" w:color="000000" w:sz="4" w:space="0"/>
              <w:right w:val="single" w:color="000000" w:sz="4" w:space="0"/>
            </w:tcBorders>
          </w:tcPr>
          <w:p w14:paraId="4B46B663">
            <w:pPr>
              <w:ind w:right="-1"/>
              <w:rPr>
                <w:rFonts w:ascii="Microsoft Sans Serif" w:hAnsi="Microsoft Sans Serif" w:cs="Microsoft Sans Serif"/>
                <w:sz w:val="20"/>
                <w:szCs w:val="20"/>
              </w:rPr>
            </w:pPr>
            <w:r>
              <w:rPr>
                <w:rFonts w:ascii="Microsoft Sans Serif" w:hAnsi="Microsoft Sans Serif" w:cs="Microsoft Sans Serif"/>
                <w:sz w:val="20"/>
                <w:szCs w:val="20"/>
              </w:rPr>
              <w:t>171</w:t>
            </w:r>
          </w:p>
        </w:tc>
        <w:tc>
          <w:tcPr>
            <w:tcW w:w="1488" w:type="dxa"/>
            <w:tcBorders>
              <w:top w:val="single" w:color="000000" w:sz="4" w:space="0"/>
              <w:left w:val="single" w:color="000000" w:sz="4" w:space="0"/>
              <w:bottom w:val="single" w:color="000000" w:sz="4" w:space="0"/>
              <w:right w:val="single" w:color="000000" w:sz="4" w:space="0"/>
            </w:tcBorders>
          </w:tcPr>
          <w:p w14:paraId="72CFCF60">
            <w:pPr>
              <w:ind w:right="-1"/>
              <w:rPr>
                <w:rFonts w:ascii="Microsoft Sans Serif" w:hAnsi="Microsoft Sans Serif" w:cs="Microsoft Sans Serif"/>
                <w:sz w:val="20"/>
                <w:szCs w:val="20"/>
              </w:rPr>
            </w:pPr>
            <w:r>
              <w:rPr>
                <w:rFonts w:ascii="Microsoft Sans Serif" w:hAnsi="Microsoft Sans Serif" w:cs="Microsoft Sans Serif"/>
                <w:sz w:val="20"/>
                <w:szCs w:val="20"/>
              </w:rPr>
              <w:t>241.5</w:t>
            </w:r>
          </w:p>
          <w:p w14:paraId="295386CB">
            <w:pPr>
              <w:ind w:right="-1"/>
              <w:rPr>
                <w:rFonts w:ascii="Microsoft Sans Serif" w:hAnsi="Microsoft Sans Serif" w:cs="Microsoft Sans Serif"/>
                <w:sz w:val="20"/>
                <w:szCs w:val="20"/>
              </w:rPr>
            </w:pPr>
            <w:r>
              <w:rPr>
                <w:rFonts w:ascii="Microsoft Sans Serif" w:hAnsi="Microsoft Sans Serif" w:cs="Microsoft Sans Serif"/>
                <w:sz w:val="20"/>
                <w:szCs w:val="20"/>
              </w:rPr>
              <w:t>(105-484)</w:t>
            </w:r>
          </w:p>
        </w:tc>
        <w:tc>
          <w:tcPr>
            <w:tcW w:w="463" w:type="dxa"/>
            <w:tcBorders>
              <w:top w:val="single" w:color="000000" w:sz="4" w:space="0"/>
              <w:left w:val="single" w:color="000000" w:sz="4" w:space="0"/>
              <w:bottom w:val="single" w:color="000000" w:sz="4" w:space="0"/>
              <w:right w:val="single" w:color="000000" w:sz="4" w:space="0"/>
            </w:tcBorders>
          </w:tcPr>
          <w:p w14:paraId="0466E966">
            <w:pPr>
              <w:ind w:right="-1"/>
              <w:rPr>
                <w:rFonts w:ascii="Microsoft Sans Serif" w:hAnsi="Microsoft Sans Serif" w:cs="Microsoft Sans Serif"/>
                <w:sz w:val="20"/>
                <w:szCs w:val="20"/>
              </w:rPr>
            </w:pPr>
            <w:r>
              <w:rPr>
                <w:rFonts w:ascii="Microsoft Sans Serif" w:hAnsi="Microsoft Sans Serif" w:cs="Microsoft Sans Serif"/>
                <w:sz w:val="20"/>
                <w:szCs w:val="20"/>
              </w:rPr>
              <w:t>24</w:t>
            </w:r>
          </w:p>
        </w:tc>
        <w:tc>
          <w:tcPr>
            <w:tcW w:w="1559" w:type="dxa"/>
            <w:tcBorders>
              <w:top w:val="single" w:color="000000" w:sz="4" w:space="0"/>
              <w:left w:val="single" w:color="000000" w:sz="4" w:space="0"/>
              <w:bottom w:val="single" w:color="000000" w:sz="4" w:space="0"/>
              <w:right w:val="single" w:color="000000" w:sz="4" w:space="0"/>
            </w:tcBorders>
          </w:tcPr>
          <w:p w14:paraId="7B14A4C0">
            <w:pPr>
              <w:ind w:right="-1"/>
              <w:rPr>
                <w:rFonts w:ascii="Microsoft Sans Serif" w:hAnsi="Microsoft Sans Serif" w:cs="Microsoft Sans Serif"/>
                <w:sz w:val="20"/>
                <w:szCs w:val="20"/>
              </w:rPr>
            </w:pPr>
            <w:r>
              <w:rPr>
                <w:rFonts w:ascii="Microsoft Sans Serif" w:hAnsi="Microsoft Sans Serif" w:cs="Microsoft Sans Serif"/>
                <w:sz w:val="20"/>
                <w:szCs w:val="20"/>
              </w:rPr>
              <w:t>229.7</w:t>
            </w:r>
          </w:p>
          <w:p w14:paraId="62014A84">
            <w:pPr>
              <w:ind w:right="-1"/>
              <w:rPr>
                <w:rFonts w:ascii="Microsoft Sans Serif" w:hAnsi="Microsoft Sans Serif" w:cs="Microsoft Sans Serif"/>
                <w:sz w:val="20"/>
                <w:szCs w:val="20"/>
              </w:rPr>
            </w:pPr>
            <w:r>
              <w:rPr>
                <w:rFonts w:ascii="Microsoft Sans Serif" w:hAnsi="Microsoft Sans Serif" w:cs="Microsoft Sans Serif"/>
                <w:sz w:val="20"/>
                <w:szCs w:val="20"/>
              </w:rPr>
              <w:t>(91.5-777)</w:t>
            </w:r>
          </w:p>
        </w:tc>
        <w:tc>
          <w:tcPr>
            <w:tcW w:w="443" w:type="dxa"/>
            <w:tcBorders>
              <w:top w:val="single" w:color="000000" w:sz="4" w:space="0"/>
              <w:left w:val="single" w:color="000000" w:sz="4" w:space="0"/>
              <w:bottom w:val="single" w:color="000000" w:sz="4" w:space="0"/>
              <w:right w:val="single" w:color="000000" w:sz="4" w:space="0"/>
            </w:tcBorders>
          </w:tcPr>
          <w:p w14:paraId="66949207">
            <w:pPr>
              <w:ind w:right="-1"/>
              <w:rPr>
                <w:rFonts w:ascii="Microsoft Sans Serif" w:hAnsi="Microsoft Sans Serif" w:cs="Microsoft Sans Serif"/>
                <w:sz w:val="20"/>
                <w:szCs w:val="20"/>
              </w:rPr>
            </w:pPr>
          </w:p>
        </w:tc>
        <w:tc>
          <w:tcPr>
            <w:tcW w:w="1494" w:type="dxa"/>
            <w:tcBorders>
              <w:top w:val="single" w:color="000000" w:sz="4" w:space="0"/>
              <w:left w:val="single" w:color="000000" w:sz="4" w:space="0"/>
              <w:bottom w:val="single" w:color="000000" w:sz="4" w:space="0"/>
              <w:right w:val="single" w:color="000000" w:sz="4" w:space="0"/>
            </w:tcBorders>
          </w:tcPr>
          <w:p w14:paraId="6CB2FBD8">
            <w:pPr>
              <w:ind w:right="-1"/>
              <w:rPr>
                <w:rFonts w:ascii="Microsoft Sans Serif" w:hAnsi="Microsoft Sans Serif" w:cs="Microsoft Sans Serif"/>
                <w:sz w:val="20"/>
                <w:szCs w:val="20"/>
              </w:rPr>
            </w:pPr>
          </w:p>
        </w:tc>
        <w:tc>
          <w:tcPr>
            <w:tcW w:w="437" w:type="dxa"/>
            <w:tcBorders>
              <w:top w:val="single" w:color="000000" w:sz="4" w:space="0"/>
              <w:left w:val="single" w:color="000000" w:sz="4" w:space="0"/>
              <w:bottom w:val="single" w:color="000000" w:sz="4" w:space="0"/>
              <w:right w:val="single" w:color="000000" w:sz="4" w:space="0"/>
            </w:tcBorders>
          </w:tcPr>
          <w:p w14:paraId="29747D7D">
            <w:pPr>
              <w:ind w:right="-1"/>
              <w:rPr>
                <w:rFonts w:ascii="Microsoft Sans Serif" w:hAnsi="Microsoft Sans Serif" w:cs="Microsoft Sans Serif"/>
                <w:sz w:val="20"/>
                <w:szCs w:val="20"/>
              </w:rPr>
            </w:pPr>
          </w:p>
        </w:tc>
        <w:tc>
          <w:tcPr>
            <w:tcW w:w="1708" w:type="dxa"/>
            <w:tcBorders>
              <w:top w:val="single" w:color="000000" w:sz="4" w:space="0"/>
              <w:left w:val="single" w:color="000000" w:sz="4" w:space="0"/>
              <w:bottom w:val="single" w:color="000000" w:sz="4" w:space="0"/>
              <w:right w:val="single" w:color="000000" w:sz="4" w:space="0"/>
            </w:tcBorders>
          </w:tcPr>
          <w:p w14:paraId="74FEED2A">
            <w:pPr>
              <w:ind w:right="-1"/>
              <w:rPr>
                <w:rFonts w:ascii="Microsoft Sans Serif" w:hAnsi="Microsoft Sans Serif" w:cs="Microsoft Sans Serif"/>
                <w:sz w:val="20"/>
                <w:szCs w:val="20"/>
              </w:rPr>
            </w:pPr>
          </w:p>
        </w:tc>
      </w:tr>
      <w:tr w14:paraId="50F5C9EC">
        <w:tblPrEx>
          <w:tblCellMar>
            <w:top w:w="0" w:type="dxa"/>
            <w:left w:w="0" w:type="dxa"/>
            <w:bottom w:w="0" w:type="dxa"/>
            <w:right w:w="0" w:type="dxa"/>
          </w:tblCellMar>
        </w:tblPrEx>
        <w:trPr>
          <w:trHeight w:val="515" w:hRule="exact"/>
        </w:trPr>
        <w:tc>
          <w:tcPr>
            <w:tcW w:w="1337" w:type="dxa"/>
            <w:tcBorders>
              <w:top w:val="single" w:color="000000" w:sz="4" w:space="0"/>
              <w:left w:val="single" w:color="000000" w:sz="4" w:space="0"/>
              <w:bottom w:val="single" w:color="000000" w:sz="4" w:space="0"/>
              <w:right w:val="single" w:color="000000" w:sz="4" w:space="0"/>
            </w:tcBorders>
          </w:tcPr>
          <w:p w14:paraId="2EC91E34">
            <w:pPr>
              <w:ind w:right="-1"/>
              <w:rPr>
                <w:rFonts w:ascii="Microsoft Sans Serif" w:hAnsi="Microsoft Sans Serif" w:cs="Microsoft Sans Serif"/>
                <w:sz w:val="20"/>
                <w:szCs w:val="20"/>
              </w:rPr>
            </w:pPr>
            <w:r>
              <w:rPr>
                <w:rFonts w:ascii="Microsoft Sans Serif" w:hAnsi="Microsoft Sans Serif" w:cs="Microsoft Sans Serif"/>
                <w:sz w:val="20"/>
                <w:szCs w:val="20"/>
              </w:rPr>
              <w:t>20-24h nakon doziranje</w:t>
            </w:r>
          </w:p>
        </w:tc>
        <w:tc>
          <w:tcPr>
            <w:tcW w:w="565" w:type="dxa"/>
            <w:tcBorders>
              <w:top w:val="single" w:color="000000" w:sz="4" w:space="0"/>
              <w:left w:val="single" w:color="000000" w:sz="4" w:space="0"/>
              <w:bottom w:val="single" w:color="000000" w:sz="4" w:space="0"/>
              <w:right w:val="single" w:color="000000" w:sz="4" w:space="0"/>
            </w:tcBorders>
          </w:tcPr>
          <w:p w14:paraId="7498846F">
            <w:pPr>
              <w:ind w:right="-1"/>
              <w:rPr>
                <w:rFonts w:ascii="Microsoft Sans Serif" w:hAnsi="Microsoft Sans Serif" w:cs="Microsoft Sans Serif"/>
                <w:sz w:val="20"/>
                <w:szCs w:val="20"/>
              </w:rPr>
            </w:pPr>
            <w:r>
              <w:rPr>
                <w:rFonts w:ascii="Microsoft Sans Serif" w:hAnsi="Microsoft Sans Serif" w:cs="Microsoft Sans Serif"/>
                <w:sz w:val="20"/>
                <w:szCs w:val="20"/>
              </w:rPr>
              <w:t>151</w:t>
            </w:r>
          </w:p>
        </w:tc>
        <w:tc>
          <w:tcPr>
            <w:tcW w:w="1488" w:type="dxa"/>
            <w:tcBorders>
              <w:top w:val="single" w:color="000000" w:sz="4" w:space="0"/>
              <w:left w:val="single" w:color="000000" w:sz="4" w:space="0"/>
              <w:bottom w:val="single" w:color="000000" w:sz="4" w:space="0"/>
              <w:right w:val="single" w:color="000000" w:sz="4" w:space="0"/>
            </w:tcBorders>
          </w:tcPr>
          <w:p w14:paraId="1A1D8479">
            <w:pPr>
              <w:ind w:right="-1"/>
              <w:rPr>
                <w:rFonts w:ascii="Microsoft Sans Serif" w:hAnsi="Microsoft Sans Serif" w:cs="Microsoft Sans Serif"/>
                <w:sz w:val="20"/>
                <w:szCs w:val="20"/>
              </w:rPr>
            </w:pPr>
            <w:r>
              <w:rPr>
                <w:rFonts w:ascii="Microsoft Sans Serif" w:hAnsi="Microsoft Sans Serif" w:cs="Microsoft Sans Serif"/>
                <w:sz w:val="20"/>
                <w:szCs w:val="20"/>
              </w:rPr>
              <w:t>20.6</w:t>
            </w:r>
          </w:p>
          <w:p w14:paraId="796FCA07">
            <w:pPr>
              <w:ind w:right="-1"/>
              <w:rPr>
                <w:rFonts w:ascii="Microsoft Sans Serif" w:hAnsi="Microsoft Sans Serif" w:cs="Microsoft Sans Serif"/>
                <w:sz w:val="20"/>
                <w:szCs w:val="20"/>
              </w:rPr>
            </w:pPr>
            <w:r>
              <w:rPr>
                <w:rFonts w:ascii="Microsoft Sans Serif" w:hAnsi="Microsoft Sans Serif" w:cs="Microsoft Sans Serif"/>
                <w:sz w:val="20"/>
                <w:szCs w:val="20"/>
              </w:rPr>
              <w:t>(5.69-66.5)</w:t>
            </w:r>
          </w:p>
        </w:tc>
        <w:tc>
          <w:tcPr>
            <w:tcW w:w="463" w:type="dxa"/>
            <w:tcBorders>
              <w:top w:val="single" w:color="000000" w:sz="4" w:space="0"/>
              <w:left w:val="single" w:color="000000" w:sz="4" w:space="0"/>
              <w:bottom w:val="single" w:color="000000" w:sz="4" w:space="0"/>
              <w:right w:val="single" w:color="000000" w:sz="4" w:space="0"/>
            </w:tcBorders>
          </w:tcPr>
          <w:p w14:paraId="50A677F6">
            <w:pPr>
              <w:ind w:right="-1"/>
              <w:rPr>
                <w:rFonts w:ascii="Microsoft Sans Serif" w:hAnsi="Microsoft Sans Serif" w:cs="Microsoft Sans Serif"/>
                <w:sz w:val="20"/>
                <w:szCs w:val="20"/>
              </w:rPr>
            </w:pPr>
            <w:r>
              <w:rPr>
                <w:rFonts w:ascii="Microsoft Sans Serif" w:hAnsi="Microsoft Sans Serif" w:cs="Microsoft Sans Serif"/>
                <w:sz w:val="20"/>
                <w:szCs w:val="20"/>
              </w:rPr>
              <w:t>24</w:t>
            </w:r>
          </w:p>
        </w:tc>
        <w:tc>
          <w:tcPr>
            <w:tcW w:w="1559" w:type="dxa"/>
            <w:tcBorders>
              <w:top w:val="single" w:color="000000" w:sz="4" w:space="0"/>
              <w:left w:val="single" w:color="000000" w:sz="4" w:space="0"/>
              <w:bottom w:val="single" w:color="000000" w:sz="4" w:space="0"/>
              <w:right w:val="single" w:color="000000" w:sz="4" w:space="0"/>
            </w:tcBorders>
          </w:tcPr>
          <w:p w14:paraId="1D54F74E">
            <w:pPr>
              <w:ind w:right="-1"/>
              <w:rPr>
                <w:rFonts w:ascii="Microsoft Sans Serif" w:hAnsi="Microsoft Sans Serif" w:cs="Microsoft Sans Serif"/>
                <w:sz w:val="20"/>
                <w:szCs w:val="20"/>
              </w:rPr>
            </w:pPr>
            <w:r>
              <w:rPr>
                <w:rFonts w:ascii="Microsoft Sans Serif" w:hAnsi="Microsoft Sans Serif" w:cs="Microsoft Sans Serif"/>
                <w:sz w:val="20"/>
                <w:szCs w:val="20"/>
              </w:rPr>
              <w:t>15.9</w:t>
            </w:r>
          </w:p>
          <w:p w14:paraId="5FA02421">
            <w:pPr>
              <w:ind w:right="-1"/>
              <w:rPr>
                <w:rFonts w:ascii="Microsoft Sans Serif" w:hAnsi="Microsoft Sans Serif" w:cs="Microsoft Sans Serif"/>
                <w:sz w:val="20"/>
                <w:szCs w:val="20"/>
              </w:rPr>
            </w:pPr>
            <w:r>
              <w:rPr>
                <w:rFonts w:ascii="Microsoft Sans Serif" w:hAnsi="Microsoft Sans Serif" w:cs="Microsoft Sans Serif"/>
                <w:sz w:val="20"/>
                <w:szCs w:val="20"/>
              </w:rPr>
              <w:t>(3.42-45.5)</w:t>
            </w:r>
          </w:p>
        </w:tc>
        <w:tc>
          <w:tcPr>
            <w:tcW w:w="443" w:type="dxa"/>
            <w:tcBorders>
              <w:top w:val="single" w:color="000000" w:sz="4" w:space="0"/>
              <w:left w:val="single" w:color="000000" w:sz="4" w:space="0"/>
              <w:bottom w:val="single" w:color="000000" w:sz="4" w:space="0"/>
              <w:right w:val="single" w:color="000000" w:sz="4" w:space="0"/>
            </w:tcBorders>
          </w:tcPr>
          <w:p w14:paraId="1D96FA0E">
            <w:pPr>
              <w:ind w:right="-1"/>
              <w:rPr>
                <w:rFonts w:ascii="Microsoft Sans Serif" w:hAnsi="Microsoft Sans Serif" w:cs="Microsoft Sans Serif"/>
                <w:sz w:val="20"/>
                <w:szCs w:val="20"/>
              </w:rPr>
            </w:pPr>
          </w:p>
        </w:tc>
        <w:tc>
          <w:tcPr>
            <w:tcW w:w="1494" w:type="dxa"/>
            <w:tcBorders>
              <w:top w:val="single" w:color="000000" w:sz="4" w:space="0"/>
              <w:left w:val="single" w:color="000000" w:sz="4" w:space="0"/>
              <w:bottom w:val="single" w:color="000000" w:sz="4" w:space="0"/>
              <w:right w:val="single" w:color="000000" w:sz="4" w:space="0"/>
            </w:tcBorders>
          </w:tcPr>
          <w:p w14:paraId="4403AC6C">
            <w:pPr>
              <w:ind w:right="-1"/>
              <w:rPr>
                <w:rFonts w:ascii="Microsoft Sans Serif" w:hAnsi="Microsoft Sans Serif" w:cs="Microsoft Sans Serif"/>
                <w:sz w:val="20"/>
                <w:szCs w:val="20"/>
              </w:rPr>
            </w:pPr>
          </w:p>
        </w:tc>
        <w:tc>
          <w:tcPr>
            <w:tcW w:w="437" w:type="dxa"/>
            <w:tcBorders>
              <w:top w:val="single" w:color="000000" w:sz="4" w:space="0"/>
              <w:left w:val="single" w:color="000000" w:sz="4" w:space="0"/>
              <w:bottom w:val="single" w:color="000000" w:sz="4" w:space="0"/>
              <w:right w:val="single" w:color="000000" w:sz="4" w:space="0"/>
            </w:tcBorders>
          </w:tcPr>
          <w:p w14:paraId="5BFA940F">
            <w:pPr>
              <w:ind w:right="-1"/>
              <w:rPr>
                <w:rFonts w:ascii="Microsoft Sans Serif" w:hAnsi="Microsoft Sans Serif" w:cs="Microsoft Sans Serif"/>
                <w:sz w:val="20"/>
                <w:szCs w:val="20"/>
              </w:rPr>
            </w:pPr>
          </w:p>
        </w:tc>
        <w:tc>
          <w:tcPr>
            <w:tcW w:w="1708" w:type="dxa"/>
            <w:tcBorders>
              <w:top w:val="single" w:color="000000" w:sz="4" w:space="0"/>
              <w:left w:val="single" w:color="000000" w:sz="4" w:space="0"/>
              <w:bottom w:val="single" w:color="000000" w:sz="4" w:space="0"/>
              <w:right w:val="single" w:color="000000" w:sz="4" w:space="0"/>
            </w:tcBorders>
          </w:tcPr>
          <w:p w14:paraId="370EE1B6">
            <w:pPr>
              <w:ind w:right="-1"/>
              <w:rPr>
                <w:rFonts w:ascii="Microsoft Sans Serif" w:hAnsi="Microsoft Sans Serif" w:cs="Microsoft Sans Serif"/>
                <w:sz w:val="20"/>
                <w:szCs w:val="20"/>
              </w:rPr>
            </w:pPr>
          </w:p>
        </w:tc>
      </w:tr>
      <w:tr w14:paraId="22E00284">
        <w:tblPrEx>
          <w:tblCellMar>
            <w:top w:w="0" w:type="dxa"/>
            <w:left w:w="0" w:type="dxa"/>
            <w:bottom w:w="0" w:type="dxa"/>
            <w:right w:w="0" w:type="dxa"/>
          </w:tblCellMar>
        </w:tblPrEx>
        <w:trPr>
          <w:trHeight w:val="581" w:hRule="exact"/>
        </w:trPr>
        <w:tc>
          <w:tcPr>
            <w:tcW w:w="1337" w:type="dxa"/>
            <w:tcBorders>
              <w:top w:val="single" w:color="000000" w:sz="4" w:space="0"/>
              <w:left w:val="single" w:color="000000" w:sz="4" w:space="0"/>
              <w:bottom w:val="single" w:color="000000" w:sz="4" w:space="0"/>
              <w:right w:val="single" w:color="000000" w:sz="4" w:space="0"/>
            </w:tcBorders>
          </w:tcPr>
          <w:p w14:paraId="00505587">
            <w:pPr>
              <w:ind w:right="-1"/>
              <w:rPr>
                <w:rFonts w:ascii="Microsoft Sans Serif" w:hAnsi="Microsoft Sans Serif" w:cs="Microsoft Sans Serif"/>
                <w:sz w:val="20"/>
                <w:szCs w:val="20"/>
              </w:rPr>
            </w:pPr>
            <w:r>
              <w:rPr>
                <w:rFonts w:ascii="Microsoft Sans Serif" w:hAnsi="Microsoft Sans Serif" w:cs="Microsoft Sans Serif"/>
                <w:b/>
                <w:bCs/>
                <w:sz w:val="20"/>
                <w:szCs w:val="20"/>
              </w:rPr>
              <w:t>Dva puta dnevno</w:t>
            </w:r>
          </w:p>
        </w:tc>
        <w:tc>
          <w:tcPr>
            <w:tcW w:w="565" w:type="dxa"/>
            <w:tcBorders>
              <w:top w:val="single" w:color="000000" w:sz="4" w:space="0"/>
              <w:left w:val="single" w:color="000000" w:sz="4" w:space="0"/>
              <w:bottom w:val="single" w:color="000000" w:sz="4" w:space="0"/>
              <w:right w:val="single" w:color="000000" w:sz="4" w:space="0"/>
            </w:tcBorders>
          </w:tcPr>
          <w:p w14:paraId="24EDDA03">
            <w:pPr>
              <w:ind w:right="-1"/>
              <w:rPr>
                <w:rFonts w:ascii="Microsoft Sans Serif" w:hAnsi="Microsoft Sans Serif" w:cs="Microsoft Sans Serif"/>
                <w:sz w:val="20"/>
                <w:szCs w:val="20"/>
              </w:rPr>
            </w:pPr>
            <w:r>
              <w:rPr>
                <w:rFonts w:ascii="Microsoft Sans Serif" w:hAnsi="Microsoft Sans Serif" w:cs="Microsoft Sans Serif"/>
                <w:b/>
                <w:bCs/>
                <w:sz w:val="20"/>
                <w:szCs w:val="20"/>
              </w:rPr>
              <w:t>N</w:t>
            </w:r>
          </w:p>
        </w:tc>
        <w:tc>
          <w:tcPr>
            <w:tcW w:w="1488" w:type="dxa"/>
            <w:tcBorders>
              <w:top w:val="single" w:color="000000" w:sz="4" w:space="0"/>
              <w:left w:val="single" w:color="000000" w:sz="4" w:space="0"/>
              <w:bottom w:val="single" w:color="000000" w:sz="4" w:space="0"/>
              <w:right w:val="single" w:color="000000" w:sz="4" w:space="0"/>
            </w:tcBorders>
          </w:tcPr>
          <w:p w14:paraId="53D160E2">
            <w:pPr>
              <w:ind w:right="-1"/>
              <w:rPr>
                <w:rFonts w:ascii="Microsoft Sans Serif" w:hAnsi="Microsoft Sans Serif" w:cs="Microsoft Sans Serif"/>
                <w:sz w:val="20"/>
                <w:szCs w:val="20"/>
              </w:rPr>
            </w:pPr>
            <w:r>
              <w:rPr>
                <w:rFonts w:ascii="Microsoft Sans Serif" w:hAnsi="Microsoft Sans Serif" w:cs="Microsoft Sans Serif"/>
                <w:b/>
                <w:bCs/>
                <w:sz w:val="20"/>
                <w:szCs w:val="20"/>
              </w:rPr>
              <w:t>6 -&lt; 12 godina</w:t>
            </w:r>
          </w:p>
        </w:tc>
        <w:tc>
          <w:tcPr>
            <w:tcW w:w="463" w:type="dxa"/>
            <w:tcBorders>
              <w:top w:val="single" w:color="000000" w:sz="4" w:space="0"/>
              <w:left w:val="single" w:color="000000" w:sz="4" w:space="0"/>
              <w:bottom w:val="single" w:color="000000" w:sz="4" w:space="0"/>
              <w:right w:val="single" w:color="000000" w:sz="4" w:space="0"/>
            </w:tcBorders>
          </w:tcPr>
          <w:p w14:paraId="227EA461">
            <w:pPr>
              <w:ind w:right="-1"/>
              <w:rPr>
                <w:rFonts w:ascii="Microsoft Sans Serif" w:hAnsi="Microsoft Sans Serif" w:cs="Microsoft Sans Serif"/>
                <w:sz w:val="20"/>
                <w:szCs w:val="20"/>
              </w:rPr>
            </w:pPr>
            <w:r>
              <w:rPr>
                <w:rFonts w:ascii="Microsoft Sans Serif" w:hAnsi="Microsoft Sans Serif" w:cs="Microsoft Sans Serif"/>
                <w:b/>
                <w:bCs/>
                <w:sz w:val="20"/>
                <w:szCs w:val="20"/>
              </w:rPr>
              <w:t>N</w:t>
            </w:r>
          </w:p>
        </w:tc>
        <w:tc>
          <w:tcPr>
            <w:tcW w:w="1559" w:type="dxa"/>
            <w:tcBorders>
              <w:top w:val="single" w:color="000000" w:sz="4" w:space="0"/>
              <w:left w:val="single" w:color="000000" w:sz="4" w:space="0"/>
              <w:bottom w:val="single" w:color="000000" w:sz="4" w:space="0"/>
              <w:right w:val="single" w:color="000000" w:sz="4" w:space="0"/>
            </w:tcBorders>
          </w:tcPr>
          <w:p w14:paraId="6F74F4C1">
            <w:pPr>
              <w:ind w:right="-1"/>
              <w:rPr>
                <w:rFonts w:ascii="Microsoft Sans Serif" w:hAnsi="Microsoft Sans Serif" w:cs="Microsoft Sans Serif"/>
                <w:sz w:val="20"/>
                <w:szCs w:val="20"/>
              </w:rPr>
            </w:pPr>
            <w:r>
              <w:rPr>
                <w:rFonts w:ascii="Microsoft Sans Serif" w:hAnsi="Microsoft Sans Serif" w:cs="Microsoft Sans Serif"/>
                <w:b/>
                <w:bCs/>
                <w:sz w:val="20"/>
                <w:szCs w:val="20"/>
              </w:rPr>
              <w:t>2 -&lt; 6 godina</w:t>
            </w:r>
          </w:p>
        </w:tc>
        <w:tc>
          <w:tcPr>
            <w:tcW w:w="443" w:type="dxa"/>
            <w:tcBorders>
              <w:top w:val="single" w:color="000000" w:sz="4" w:space="0"/>
              <w:left w:val="single" w:color="000000" w:sz="4" w:space="0"/>
              <w:bottom w:val="single" w:color="000000" w:sz="4" w:space="0"/>
              <w:right w:val="single" w:color="000000" w:sz="4" w:space="0"/>
            </w:tcBorders>
          </w:tcPr>
          <w:p w14:paraId="74DE6FF2">
            <w:pPr>
              <w:ind w:right="-1"/>
              <w:rPr>
                <w:rFonts w:ascii="Microsoft Sans Serif" w:hAnsi="Microsoft Sans Serif" w:cs="Microsoft Sans Serif"/>
                <w:sz w:val="20"/>
                <w:szCs w:val="20"/>
              </w:rPr>
            </w:pPr>
            <w:r>
              <w:rPr>
                <w:rFonts w:ascii="Microsoft Sans Serif" w:hAnsi="Microsoft Sans Serif" w:cs="Microsoft Sans Serif"/>
                <w:b/>
                <w:bCs/>
                <w:sz w:val="20"/>
                <w:szCs w:val="20"/>
              </w:rPr>
              <w:t>N</w:t>
            </w:r>
          </w:p>
        </w:tc>
        <w:tc>
          <w:tcPr>
            <w:tcW w:w="1494" w:type="dxa"/>
            <w:tcBorders>
              <w:top w:val="single" w:color="000000" w:sz="4" w:space="0"/>
              <w:left w:val="single" w:color="000000" w:sz="4" w:space="0"/>
              <w:bottom w:val="single" w:color="000000" w:sz="4" w:space="0"/>
              <w:right w:val="single" w:color="000000" w:sz="4" w:space="0"/>
            </w:tcBorders>
          </w:tcPr>
          <w:p w14:paraId="14797D0B">
            <w:pPr>
              <w:ind w:right="-1"/>
              <w:rPr>
                <w:rFonts w:ascii="Microsoft Sans Serif" w:hAnsi="Microsoft Sans Serif" w:cs="Microsoft Sans Serif"/>
                <w:sz w:val="20"/>
                <w:szCs w:val="20"/>
              </w:rPr>
            </w:pPr>
            <w:r>
              <w:rPr>
                <w:rFonts w:ascii="Microsoft Sans Serif" w:hAnsi="Microsoft Sans Serif" w:cs="Microsoft Sans Serif"/>
                <w:b/>
                <w:bCs/>
                <w:sz w:val="20"/>
                <w:szCs w:val="20"/>
              </w:rPr>
              <w:t>0.5 -&lt; 2 godina</w:t>
            </w:r>
          </w:p>
        </w:tc>
        <w:tc>
          <w:tcPr>
            <w:tcW w:w="437" w:type="dxa"/>
            <w:tcBorders>
              <w:top w:val="single" w:color="000000" w:sz="4" w:space="0"/>
              <w:left w:val="single" w:color="000000" w:sz="4" w:space="0"/>
              <w:bottom w:val="single" w:color="000000" w:sz="4" w:space="0"/>
              <w:right w:val="single" w:color="000000" w:sz="4" w:space="0"/>
            </w:tcBorders>
          </w:tcPr>
          <w:p w14:paraId="13BED8A7">
            <w:pPr>
              <w:ind w:right="-1"/>
              <w:rPr>
                <w:rFonts w:ascii="Microsoft Sans Serif" w:hAnsi="Microsoft Sans Serif" w:cs="Microsoft Sans Serif"/>
                <w:sz w:val="20"/>
                <w:szCs w:val="20"/>
              </w:rPr>
            </w:pPr>
          </w:p>
        </w:tc>
        <w:tc>
          <w:tcPr>
            <w:tcW w:w="1708" w:type="dxa"/>
            <w:tcBorders>
              <w:top w:val="single" w:color="000000" w:sz="4" w:space="0"/>
              <w:left w:val="single" w:color="000000" w:sz="4" w:space="0"/>
              <w:bottom w:val="single" w:color="000000" w:sz="4" w:space="0"/>
              <w:right w:val="single" w:color="000000" w:sz="4" w:space="0"/>
            </w:tcBorders>
          </w:tcPr>
          <w:p w14:paraId="1B8A475A">
            <w:pPr>
              <w:ind w:right="-1"/>
              <w:rPr>
                <w:rFonts w:ascii="Microsoft Sans Serif" w:hAnsi="Microsoft Sans Serif" w:cs="Microsoft Sans Serif"/>
                <w:sz w:val="20"/>
                <w:szCs w:val="20"/>
              </w:rPr>
            </w:pPr>
          </w:p>
        </w:tc>
      </w:tr>
      <w:tr w14:paraId="0DC3B2C0">
        <w:tblPrEx>
          <w:tblCellMar>
            <w:top w:w="0" w:type="dxa"/>
            <w:left w:w="0" w:type="dxa"/>
            <w:bottom w:w="0" w:type="dxa"/>
            <w:right w:w="0" w:type="dxa"/>
          </w:tblCellMar>
        </w:tblPrEx>
        <w:trPr>
          <w:trHeight w:val="516" w:hRule="exact"/>
        </w:trPr>
        <w:tc>
          <w:tcPr>
            <w:tcW w:w="1337" w:type="dxa"/>
            <w:tcBorders>
              <w:top w:val="single" w:color="000000" w:sz="4" w:space="0"/>
              <w:left w:val="single" w:color="000000" w:sz="4" w:space="0"/>
              <w:bottom w:val="single" w:color="000000" w:sz="4" w:space="0"/>
              <w:right w:val="single" w:color="000000" w:sz="4" w:space="0"/>
            </w:tcBorders>
          </w:tcPr>
          <w:p w14:paraId="06CD4BFC">
            <w:pPr>
              <w:ind w:right="-1"/>
              <w:rPr>
                <w:rFonts w:ascii="Microsoft Sans Serif" w:hAnsi="Microsoft Sans Serif" w:cs="Microsoft Sans Serif"/>
                <w:sz w:val="20"/>
                <w:szCs w:val="20"/>
              </w:rPr>
            </w:pPr>
            <w:r>
              <w:rPr>
                <w:rFonts w:ascii="Microsoft Sans Serif" w:hAnsi="Microsoft Sans Serif" w:cs="Microsoft Sans Serif"/>
                <w:sz w:val="20"/>
                <w:szCs w:val="20"/>
              </w:rPr>
              <w:t>2.5-4h nakon doziranje</w:t>
            </w:r>
          </w:p>
        </w:tc>
        <w:tc>
          <w:tcPr>
            <w:tcW w:w="565" w:type="dxa"/>
            <w:tcBorders>
              <w:top w:val="single" w:color="000000" w:sz="4" w:space="0"/>
              <w:left w:val="single" w:color="000000" w:sz="4" w:space="0"/>
              <w:bottom w:val="single" w:color="000000" w:sz="4" w:space="0"/>
              <w:right w:val="single" w:color="000000" w:sz="4" w:space="0"/>
            </w:tcBorders>
          </w:tcPr>
          <w:p w14:paraId="0CE8C7B6">
            <w:pPr>
              <w:ind w:right="-1"/>
              <w:rPr>
                <w:rFonts w:ascii="Microsoft Sans Serif" w:hAnsi="Microsoft Sans Serif" w:cs="Microsoft Sans Serif"/>
                <w:sz w:val="20"/>
                <w:szCs w:val="20"/>
              </w:rPr>
            </w:pPr>
            <w:r>
              <w:rPr>
                <w:rFonts w:ascii="Microsoft Sans Serif" w:hAnsi="Microsoft Sans Serif" w:cs="Microsoft Sans Serif"/>
                <w:sz w:val="20"/>
                <w:szCs w:val="20"/>
              </w:rPr>
              <w:t>36</w:t>
            </w:r>
          </w:p>
        </w:tc>
        <w:tc>
          <w:tcPr>
            <w:tcW w:w="1488" w:type="dxa"/>
            <w:tcBorders>
              <w:top w:val="single" w:color="000000" w:sz="4" w:space="0"/>
              <w:left w:val="single" w:color="000000" w:sz="4" w:space="0"/>
              <w:bottom w:val="single" w:color="000000" w:sz="4" w:space="0"/>
              <w:right w:val="single" w:color="000000" w:sz="4" w:space="0"/>
            </w:tcBorders>
          </w:tcPr>
          <w:p w14:paraId="59423754">
            <w:pPr>
              <w:ind w:right="-1"/>
              <w:rPr>
                <w:rFonts w:ascii="Microsoft Sans Serif" w:hAnsi="Microsoft Sans Serif" w:cs="Microsoft Sans Serif"/>
                <w:sz w:val="20"/>
                <w:szCs w:val="20"/>
              </w:rPr>
            </w:pPr>
            <w:r>
              <w:rPr>
                <w:rFonts w:ascii="Microsoft Sans Serif" w:hAnsi="Microsoft Sans Serif" w:cs="Microsoft Sans Serif"/>
                <w:sz w:val="20"/>
                <w:szCs w:val="20"/>
              </w:rPr>
              <w:t>145.4</w:t>
            </w:r>
          </w:p>
          <w:p w14:paraId="5C5183C8">
            <w:pPr>
              <w:ind w:right="-1"/>
              <w:rPr>
                <w:rFonts w:ascii="Microsoft Sans Serif" w:hAnsi="Microsoft Sans Serif" w:cs="Microsoft Sans Serif"/>
                <w:sz w:val="20"/>
                <w:szCs w:val="20"/>
              </w:rPr>
            </w:pPr>
            <w:r>
              <w:rPr>
                <w:rFonts w:ascii="Microsoft Sans Serif" w:hAnsi="Microsoft Sans Serif" w:cs="Microsoft Sans Serif"/>
                <w:sz w:val="20"/>
                <w:szCs w:val="20"/>
              </w:rPr>
              <w:t>(46.0-343)</w:t>
            </w:r>
          </w:p>
        </w:tc>
        <w:tc>
          <w:tcPr>
            <w:tcW w:w="463" w:type="dxa"/>
            <w:tcBorders>
              <w:top w:val="single" w:color="000000" w:sz="4" w:space="0"/>
              <w:left w:val="single" w:color="000000" w:sz="4" w:space="0"/>
              <w:bottom w:val="single" w:color="000000" w:sz="4" w:space="0"/>
              <w:right w:val="single" w:color="000000" w:sz="4" w:space="0"/>
            </w:tcBorders>
          </w:tcPr>
          <w:p w14:paraId="3E396992">
            <w:pPr>
              <w:ind w:right="-1"/>
              <w:rPr>
                <w:rFonts w:ascii="Microsoft Sans Serif" w:hAnsi="Microsoft Sans Serif" w:cs="Microsoft Sans Serif"/>
                <w:sz w:val="20"/>
                <w:szCs w:val="20"/>
              </w:rPr>
            </w:pPr>
            <w:r>
              <w:rPr>
                <w:rFonts w:ascii="Microsoft Sans Serif" w:hAnsi="Microsoft Sans Serif" w:cs="Microsoft Sans Serif"/>
                <w:sz w:val="20"/>
                <w:szCs w:val="20"/>
              </w:rPr>
              <w:t>38</w:t>
            </w:r>
          </w:p>
        </w:tc>
        <w:tc>
          <w:tcPr>
            <w:tcW w:w="1559" w:type="dxa"/>
            <w:tcBorders>
              <w:top w:val="single" w:color="000000" w:sz="4" w:space="0"/>
              <w:left w:val="single" w:color="000000" w:sz="4" w:space="0"/>
              <w:bottom w:val="single" w:color="000000" w:sz="4" w:space="0"/>
              <w:right w:val="single" w:color="000000" w:sz="4" w:space="0"/>
            </w:tcBorders>
          </w:tcPr>
          <w:p w14:paraId="3B93DEAE">
            <w:pPr>
              <w:ind w:right="-1"/>
              <w:rPr>
                <w:rFonts w:ascii="Microsoft Sans Serif" w:hAnsi="Microsoft Sans Serif" w:cs="Microsoft Sans Serif"/>
                <w:sz w:val="20"/>
                <w:szCs w:val="20"/>
              </w:rPr>
            </w:pPr>
            <w:r>
              <w:rPr>
                <w:rFonts w:ascii="Microsoft Sans Serif" w:hAnsi="Microsoft Sans Serif" w:cs="Microsoft Sans Serif"/>
                <w:sz w:val="20"/>
                <w:szCs w:val="20"/>
              </w:rPr>
              <w:t>171.8</w:t>
            </w:r>
          </w:p>
          <w:p w14:paraId="32D28E7B">
            <w:pPr>
              <w:ind w:right="-1"/>
              <w:rPr>
                <w:rFonts w:ascii="Microsoft Sans Serif" w:hAnsi="Microsoft Sans Serif" w:cs="Microsoft Sans Serif"/>
                <w:sz w:val="20"/>
                <w:szCs w:val="20"/>
              </w:rPr>
            </w:pPr>
            <w:r>
              <w:rPr>
                <w:rFonts w:ascii="Microsoft Sans Serif" w:hAnsi="Microsoft Sans Serif" w:cs="Microsoft Sans Serif"/>
                <w:sz w:val="20"/>
                <w:szCs w:val="20"/>
              </w:rPr>
              <w:t>(70.7-438)</w:t>
            </w:r>
          </w:p>
        </w:tc>
        <w:tc>
          <w:tcPr>
            <w:tcW w:w="443" w:type="dxa"/>
            <w:tcBorders>
              <w:top w:val="single" w:color="000000" w:sz="4" w:space="0"/>
              <w:left w:val="single" w:color="000000" w:sz="4" w:space="0"/>
              <w:bottom w:val="single" w:color="000000" w:sz="4" w:space="0"/>
              <w:right w:val="single" w:color="000000" w:sz="4" w:space="0"/>
            </w:tcBorders>
          </w:tcPr>
          <w:p w14:paraId="52B0D348">
            <w:pPr>
              <w:ind w:right="-1"/>
              <w:rPr>
                <w:rFonts w:ascii="Microsoft Sans Serif" w:hAnsi="Microsoft Sans Serif" w:cs="Microsoft Sans Serif"/>
                <w:sz w:val="20"/>
                <w:szCs w:val="20"/>
              </w:rPr>
            </w:pPr>
            <w:r>
              <w:rPr>
                <w:rFonts w:ascii="Microsoft Sans Serif" w:hAnsi="Microsoft Sans Serif" w:cs="Microsoft Sans Serif"/>
                <w:sz w:val="20"/>
                <w:szCs w:val="20"/>
              </w:rPr>
              <w:t>2</w:t>
            </w:r>
          </w:p>
        </w:tc>
        <w:tc>
          <w:tcPr>
            <w:tcW w:w="1494" w:type="dxa"/>
            <w:tcBorders>
              <w:top w:val="single" w:color="000000" w:sz="4" w:space="0"/>
              <w:left w:val="single" w:color="000000" w:sz="4" w:space="0"/>
              <w:bottom w:val="single" w:color="000000" w:sz="4" w:space="0"/>
              <w:right w:val="single" w:color="000000" w:sz="4" w:space="0"/>
            </w:tcBorders>
          </w:tcPr>
          <w:p w14:paraId="64A65FC0">
            <w:pPr>
              <w:ind w:right="-1"/>
              <w:rPr>
                <w:rFonts w:ascii="Microsoft Sans Serif" w:hAnsi="Microsoft Sans Serif" w:cs="Microsoft Sans Serif"/>
                <w:sz w:val="20"/>
                <w:szCs w:val="20"/>
                <w:lang w:val="hr-BA"/>
              </w:rPr>
            </w:pPr>
            <w:r>
              <w:rPr>
                <w:rFonts w:ascii="Microsoft Sans Serif" w:hAnsi="Microsoft Sans Serif" w:cs="Microsoft Sans Serif"/>
                <w:sz w:val="20"/>
                <w:szCs w:val="20"/>
              </w:rPr>
              <w:t>Nije pror</w:t>
            </w:r>
            <w:r>
              <w:rPr>
                <w:rFonts w:ascii="Microsoft Sans Serif" w:hAnsi="Microsoft Sans Serif" w:cs="Microsoft Sans Serif"/>
                <w:sz w:val="20"/>
                <w:szCs w:val="20"/>
                <w:lang w:val="hr-BA"/>
              </w:rPr>
              <w:t>ačunato</w:t>
            </w:r>
          </w:p>
        </w:tc>
        <w:tc>
          <w:tcPr>
            <w:tcW w:w="437" w:type="dxa"/>
            <w:tcBorders>
              <w:top w:val="single" w:color="000000" w:sz="4" w:space="0"/>
              <w:left w:val="single" w:color="000000" w:sz="4" w:space="0"/>
              <w:bottom w:val="single" w:color="000000" w:sz="4" w:space="0"/>
              <w:right w:val="single" w:color="000000" w:sz="4" w:space="0"/>
            </w:tcBorders>
          </w:tcPr>
          <w:p w14:paraId="5DB4267C">
            <w:pPr>
              <w:ind w:right="-1"/>
              <w:rPr>
                <w:rFonts w:ascii="Microsoft Sans Serif" w:hAnsi="Microsoft Sans Serif" w:cs="Microsoft Sans Serif"/>
                <w:sz w:val="20"/>
                <w:szCs w:val="20"/>
              </w:rPr>
            </w:pPr>
          </w:p>
        </w:tc>
        <w:tc>
          <w:tcPr>
            <w:tcW w:w="1708" w:type="dxa"/>
            <w:tcBorders>
              <w:top w:val="single" w:color="000000" w:sz="4" w:space="0"/>
              <w:left w:val="single" w:color="000000" w:sz="4" w:space="0"/>
              <w:bottom w:val="single" w:color="000000" w:sz="4" w:space="0"/>
              <w:right w:val="single" w:color="000000" w:sz="4" w:space="0"/>
            </w:tcBorders>
          </w:tcPr>
          <w:p w14:paraId="633545CD">
            <w:pPr>
              <w:ind w:right="-1"/>
              <w:rPr>
                <w:rFonts w:ascii="Microsoft Sans Serif" w:hAnsi="Microsoft Sans Serif" w:cs="Microsoft Sans Serif"/>
                <w:sz w:val="20"/>
                <w:szCs w:val="20"/>
              </w:rPr>
            </w:pPr>
          </w:p>
        </w:tc>
      </w:tr>
      <w:tr w14:paraId="4F62BDE5">
        <w:tblPrEx>
          <w:tblCellMar>
            <w:top w:w="0" w:type="dxa"/>
            <w:left w:w="0" w:type="dxa"/>
            <w:bottom w:w="0" w:type="dxa"/>
            <w:right w:w="0" w:type="dxa"/>
          </w:tblCellMar>
        </w:tblPrEx>
        <w:trPr>
          <w:trHeight w:val="946" w:hRule="exact"/>
        </w:trPr>
        <w:tc>
          <w:tcPr>
            <w:tcW w:w="1337" w:type="dxa"/>
            <w:tcBorders>
              <w:top w:val="single" w:color="000000" w:sz="4" w:space="0"/>
              <w:left w:val="single" w:color="000000" w:sz="4" w:space="0"/>
              <w:bottom w:val="single" w:color="000000" w:sz="4" w:space="0"/>
              <w:right w:val="single" w:color="000000" w:sz="4" w:space="0"/>
            </w:tcBorders>
          </w:tcPr>
          <w:p w14:paraId="27AD2B18">
            <w:pPr>
              <w:ind w:right="-1"/>
              <w:rPr>
                <w:rFonts w:ascii="Microsoft Sans Serif" w:hAnsi="Microsoft Sans Serif" w:cs="Microsoft Sans Serif"/>
                <w:sz w:val="20"/>
                <w:szCs w:val="20"/>
              </w:rPr>
            </w:pPr>
            <w:r>
              <w:rPr>
                <w:rFonts w:ascii="Microsoft Sans Serif" w:hAnsi="Microsoft Sans Serif" w:cs="Microsoft Sans Serif"/>
                <w:sz w:val="20"/>
                <w:szCs w:val="20"/>
              </w:rPr>
              <w:t>10-16h nakon doziranje</w:t>
            </w:r>
          </w:p>
        </w:tc>
        <w:tc>
          <w:tcPr>
            <w:tcW w:w="565" w:type="dxa"/>
            <w:tcBorders>
              <w:top w:val="single" w:color="000000" w:sz="4" w:space="0"/>
              <w:left w:val="single" w:color="000000" w:sz="4" w:space="0"/>
              <w:bottom w:val="single" w:color="000000" w:sz="4" w:space="0"/>
              <w:right w:val="single" w:color="000000" w:sz="4" w:space="0"/>
            </w:tcBorders>
          </w:tcPr>
          <w:p w14:paraId="395B0C2A">
            <w:pPr>
              <w:ind w:right="-1"/>
              <w:rPr>
                <w:rFonts w:ascii="Microsoft Sans Serif" w:hAnsi="Microsoft Sans Serif" w:cs="Microsoft Sans Serif"/>
                <w:sz w:val="20"/>
                <w:szCs w:val="20"/>
              </w:rPr>
            </w:pPr>
            <w:r>
              <w:rPr>
                <w:rFonts w:ascii="Microsoft Sans Serif" w:hAnsi="Microsoft Sans Serif" w:cs="Microsoft Sans Serif"/>
                <w:sz w:val="20"/>
                <w:szCs w:val="20"/>
              </w:rPr>
              <w:t>33</w:t>
            </w:r>
          </w:p>
        </w:tc>
        <w:tc>
          <w:tcPr>
            <w:tcW w:w="1488" w:type="dxa"/>
            <w:tcBorders>
              <w:top w:val="single" w:color="000000" w:sz="4" w:space="0"/>
              <w:left w:val="single" w:color="000000" w:sz="4" w:space="0"/>
              <w:bottom w:val="single" w:color="000000" w:sz="4" w:space="0"/>
              <w:right w:val="single" w:color="000000" w:sz="4" w:space="0"/>
            </w:tcBorders>
          </w:tcPr>
          <w:p w14:paraId="74EE75EE">
            <w:pPr>
              <w:ind w:right="-1"/>
              <w:rPr>
                <w:rFonts w:ascii="Microsoft Sans Serif" w:hAnsi="Microsoft Sans Serif" w:cs="Microsoft Sans Serif"/>
                <w:sz w:val="20"/>
                <w:szCs w:val="20"/>
              </w:rPr>
            </w:pPr>
            <w:r>
              <w:rPr>
                <w:rFonts w:ascii="Microsoft Sans Serif" w:hAnsi="Microsoft Sans Serif" w:cs="Microsoft Sans Serif"/>
                <w:sz w:val="20"/>
                <w:szCs w:val="20"/>
              </w:rPr>
              <w:t>26.0</w:t>
            </w:r>
          </w:p>
          <w:p w14:paraId="7B2F2105">
            <w:pPr>
              <w:ind w:right="-1"/>
              <w:rPr>
                <w:rFonts w:ascii="Microsoft Sans Serif" w:hAnsi="Microsoft Sans Serif" w:cs="Microsoft Sans Serif"/>
                <w:sz w:val="20"/>
                <w:szCs w:val="20"/>
              </w:rPr>
            </w:pPr>
            <w:r>
              <w:rPr>
                <w:rFonts w:ascii="Microsoft Sans Serif" w:hAnsi="Microsoft Sans Serif" w:cs="Microsoft Sans Serif"/>
                <w:sz w:val="20"/>
                <w:szCs w:val="20"/>
              </w:rPr>
              <w:t>(7.99-94.9)</w:t>
            </w:r>
          </w:p>
        </w:tc>
        <w:tc>
          <w:tcPr>
            <w:tcW w:w="463" w:type="dxa"/>
            <w:tcBorders>
              <w:top w:val="single" w:color="000000" w:sz="4" w:space="0"/>
              <w:left w:val="single" w:color="000000" w:sz="4" w:space="0"/>
              <w:bottom w:val="single" w:color="000000" w:sz="4" w:space="0"/>
              <w:right w:val="single" w:color="000000" w:sz="4" w:space="0"/>
            </w:tcBorders>
          </w:tcPr>
          <w:p w14:paraId="5A12BCDE">
            <w:pPr>
              <w:ind w:right="-1"/>
              <w:rPr>
                <w:rFonts w:ascii="Microsoft Sans Serif" w:hAnsi="Microsoft Sans Serif" w:cs="Microsoft Sans Serif"/>
                <w:sz w:val="20"/>
                <w:szCs w:val="20"/>
              </w:rPr>
            </w:pPr>
            <w:r>
              <w:rPr>
                <w:rFonts w:ascii="Microsoft Sans Serif" w:hAnsi="Microsoft Sans Serif" w:cs="Microsoft Sans Serif"/>
                <w:sz w:val="20"/>
                <w:szCs w:val="20"/>
              </w:rPr>
              <w:t>37</w:t>
            </w:r>
          </w:p>
        </w:tc>
        <w:tc>
          <w:tcPr>
            <w:tcW w:w="1559" w:type="dxa"/>
            <w:tcBorders>
              <w:top w:val="single" w:color="000000" w:sz="4" w:space="0"/>
              <w:left w:val="single" w:color="000000" w:sz="4" w:space="0"/>
              <w:bottom w:val="single" w:color="000000" w:sz="4" w:space="0"/>
              <w:right w:val="single" w:color="000000" w:sz="4" w:space="0"/>
            </w:tcBorders>
          </w:tcPr>
          <w:p w14:paraId="1BE47AD3">
            <w:pPr>
              <w:ind w:right="-1"/>
              <w:rPr>
                <w:rFonts w:ascii="Microsoft Sans Serif" w:hAnsi="Microsoft Sans Serif" w:cs="Microsoft Sans Serif"/>
                <w:sz w:val="20"/>
                <w:szCs w:val="20"/>
              </w:rPr>
            </w:pPr>
            <w:r>
              <w:rPr>
                <w:rFonts w:ascii="Microsoft Sans Serif" w:hAnsi="Microsoft Sans Serif" w:cs="Microsoft Sans Serif"/>
                <w:sz w:val="20"/>
                <w:szCs w:val="20"/>
              </w:rPr>
              <w:t>22.2</w:t>
            </w:r>
          </w:p>
          <w:p w14:paraId="2748B2E4">
            <w:pPr>
              <w:ind w:right="-1"/>
              <w:rPr>
                <w:rFonts w:ascii="Microsoft Sans Serif" w:hAnsi="Microsoft Sans Serif" w:cs="Microsoft Sans Serif"/>
                <w:sz w:val="20"/>
                <w:szCs w:val="20"/>
              </w:rPr>
            </w:pPr>
            <w:r>
              <w:rPr>
                <w:rFonts w:ascii="Microsoft Sans Serif" w:hAnsi="Microsoft Sans Serif" w:cs="Microsoft Sans Serif"/>
                <w:sz w:val="20"/>
                <w:szCs w:val="20"/>
              </w:rPr>
              <w:t>(0.25-127)</w:t>
            </w:r>
          </w:p>
        </w:tc>
        <w:tc>
          <w:tcPr>
            <w:tcW w:w="443" w:type="dxa"/>
            <w:tcBorders>
              <w:top w:val="single" w:color="000000" w:sz="4" w:space="0"/>
              <w:left w:val="single" w:color="000000" w:sz="4" w:space="0"/>
              <w:bottom w:val="single" w:color="000000" w:sz="4" w:space="0"/>
              <w:right w:val="single" w:color="000000" w:sz="4" w:space="0"/>
            </w:tcBorders>
          </w:tcPr>
          <w:p w14:paraId="2B039E2F">
            <w:pPr>
              <w:ind w:right="-1"/>
              <w:rPr>
                <w:rFonts w:ascii="Microsoft Sans Serif" w:hAnsi="Microsoft Sans Serif" w:cs="Microsoft Sans Serif"/>
                <w:sz w:val="20"/>
                <w:szCs w:val="20"/>
              </w:rPr>
            </w:pPr>
            <w:r>
              <w:rPr>
                <w:rFonts w:ascii="Microsoft Sans Serif" w:hAnsi="Microsoft Sans Serif" w:cs="Microsoft Sans Serif"/>
                <w:sz w:val="20"/>
                <w:szCs w:val="20"/>
              </w:rPr>
              <w:t>3</w:t>
            </w:r>
          </w:p>
        </w:tc>
        <w:tc>
          <w:tcPr>
            <w:tcW w:w="1494" w:type="dxa"/>
            <w:tcBorders>
              <w:top w:val="single" w:color="000000" w:sz="4" w:space="0"/>
              <w:left w:val="single" w:color="000000" w:sz="4" w:space="0"/>
              <w:bottom w:val="single" w:color="000000" w:sz="4" w:space="0"/>
              <w:right w:val="single" w:color="000000" w:sz="4" w:space="0"/>
            </w:tcBorders>
          </w:tcPr>
          <w:p w14:paraId="44D8443F">
            <w:pPr>
              <w:ind w:right="-1"/>
              <w:rPr>
                <w:rFonts w:ascii="Microsoft Sans Serif" w:hAnsi="Microsoft Sans Serif" w:cs="Microsoft Sans Serif"/>
                <w:sz w:val="20"/>
                <w:szCs w:val="20"/>
              </w:rPr>
            </w:pPr>
            <w:r>
              <w:rPr>
                <w:rFonts w:ascii="Microsoft Sans Serif" w:hAnsi="Microsoft Sans Serif" w:cs="Microsoft Sans Serif"/>
                <w:sz w:val="20"/>
                <w:szCs w:val="20"/>
              </w:rPr>
              <w:t>10.7</w:t>
            </w:r>
          </w:p>
          <w:p w14:paraId="37BEF031">
            <w:pPr>
              <w:ind w:right="-1"/>
              <w:rPr>
                <w:rFonts w:ascii="Microsoft Sans Serif" w:hAnsi="Microsoft Sans Serif" w:cs="Microsoft Sans Serif"/>
                <w:sz w:val="20"/>
                <w:szCs w:val="20"/>
              </w:rPr>
            </w:pPr>
            <w:r>
              <w:rPr>
                <w:rFonts w:ascii="Microsoft Sans Serif" w:hAnsi="Microsoft Sans Serif" w:cs="Microsoft Sans Serif"/>
                <w:sz w:val="20"/>
                <w:szCs w:val="20"/>
              </w:rPr>
              <w:t>(Nije pror</w:t>
            </w:r>
            <w:r>
              <w:rPr>
                <w:rFonts w:ascii="Microsoft Sans Serif" w:hAnsi="Microsoft Sans Serif" w:cs="Microsoft Sans Serif"/>
                <w:sz w:val="20"/>
                <w:szCs w:val="20"/>
                <w:lang w:val="hr-BA"/>
              </w:rPr>
              <w:t>ačunato</w:t>
            </w:r>
            <w:r>
              <w:rPr>
                <w:rFonts w:ascii="Microsoft Sans Serif" w:hAnsi="Microsoft Sans Serif" w:cs="Microsoft Sans Serif"/>
                <w:sz w:val="20"/>
                <w:szCs w:val="20"/>
              </w:rPr>
              <w:t>- Nije pror</w:t>
            </w:r>
            <w:r>
              <w:rPr>
                <w:rFonts w:ascii="Microsoft Sans Serif" w:hAnsi="Microsoft Sans Serif" w:cs="Microsoft Sans Serif"/>
                <w:sz w:val="20"/>
                <w:szCs w:val="20"/>
                <w:lang w:val="hr-BA"/>
              </w:rPr>
              <w:t>ačunato</w:t>
            </w:r>
            <w:r>
              <w:rPr>
                <w:rFonts w:ascii="Microsoft Sans Serif" w:hAnsi="Microsoft Sans Serif" w:cs="Microsoft Sans Serif"/>
                <w:sz w:val="20"/>
                <w:szCs w:val="20"/>
              </w:rPr>
              <w:t>.)</w:t>
            </w:r>
          </w:p>
        </w:tc>
        <w:tc>
          <w:tcPr>
            <w:tcW w:w="437" w:type="dxa"/>
            <w:tcBorders>
              <w:top w:val="single" w:color="000000" w:sz="4" w:space="0"/>
              <w:left w:val="single" w:color="000000" w:sz="4" w:space="0"/>
              <w:bottom w:val="single" w:color="000000" w:sz="4" w:space="0"/>
              <w:right w:val="single" w:color="000000" w:sz="4" w:space="0"/>
            </w:tcBorders>
          </w:tcPr>
          <w:p w14:paraId="33115055">
            <w:pPr>
              <w:ind w:right="-1"/>
              <w:rPr>
                <w:rFonts w:ascii="Microsoft Sans Serif" w:hAnsi="Microsoft Sans Serif" w:cs="Microsoft Sans Serif"/>
                <w:sz w:val="20"/>
                <w:szCs w:val="20"/>
              </w:rPr>
            </w:pPr>
          </w:p>
        </w:tc>
        <w:tc>
          <w:tcPr>
            <w:tcW w:w="1708" w:type="dxa"/>
            <w:tcBorders>
              <w:top w:val="single" w:color="000000" w:sz="4" w:space="0"/>
              <w:left w:val="single" w:color="000000" w:sz="4" w:space="0"/>
              <w:bottom w:val="single" w:color="000000" w:sz="4" w:space="0"/>
              <w:right w:val="single" w:color="000000" w:sz="4" w:space="0"/>
            </w:tcBorders>
          </w:tcPr>
          <w:p w14:paraId="3A43A020">
            <w:pPr>
              <w:ind w:right="-1"/>
              <w:rPr>
                <w:rFonts w:ascii="Microsoft Sans Serif" w:hAnsi="Microsoft Sans Serif" w:cs="Microsoft Sans Serif"/>
                <w:sz w:val="20"/>
                <w:szCs w:val="20"/>
              </w:rPr>
            </w:pPr>
          </w:p>
        </w:tc>
      </w:tr>
      <w:tr w14:paraId="3226DA36">
        <w:tblPrEx>
          <w:tblCellMar>
            <w:top w:w="0" w:type="dxa"/>
            <w:left w:w="0" w:type="dxa"/>
            <w:bottom w:w="0" w:type="dxa"/>
            <w:right w:w="0" w:type="dxa"/>
          </w:tblCellMar>
        </w:tblPrEx>
        <w:trPr>
          <w:trHeight w:val="770" w:hRule="exact"/>
        </w:trPr>
        <w:tc>
          <w:tcPr>
            <w:tcW w:w="1337" w:type="dxa"/>
            <w:tcBorders>
              <w:top w:val="single" w:color="000000" w:sz="4" w:space="0"/>
              <w:left w:val="single" w:color="000000" w:sz="4" w:space="0"/>
              <w:bottom w:val="single" w:color="000000" w:sz="4" w:space="0"/>
              <w:right w:val="single" w:color="000000" w:sz="4" w:space="0"/>
            </w:tcBorders>
          </w:tcPr>
          <w:p w14:paraId="1A1BE4F8">
            <w:pPr>
              <w:ind w:right="-1"/>
              <w:rPr>
                <w:rFonts w:ascii="Microsoft Sans Serif" w:hAnsi="Microsoft Sans Serif" w:cs="Microsoft Sans Serif"/>
                <w:sz w:val="20"/>
                <w:szCs w:val="20"/>
              </w:rPr>
            </w:pPr>
            <w:r>
              <w:rPr>
                <w:rFonts w:ascii="Microsoft Sans Serif" w:hAnsi="Microsoft Sans Serif" w:cs="Microsoft Sans Serif"/>
                <w:b/>
                <w:bCs/>
                <w:sz w:val="20"/>
                <w:szCs w:val="20"/>
              </w:rPr>
              <w:t>Tru puta dnevno</w:t>
            </w:r>
          </w:p>
        </w:tc>
        <w:tc>
          <w:tcPr>
            <w:tcW w:w="565" w:type="dxa"/>
            <w:tcBorders>
              <w:top w:val="single" w:color="000000" w:sz="4" w:space="0"/>
              <w:left w:val="single" w:color="000000" w:sz="4" w:space="0"/>
              <w:bottom w:val="single" w:color="000000" w:sz="4" w:space="0"/>
              <w:right w:val="single" w:color="000000" w:sz="4" w:space="0"/>
            </w:tcBorders>
          </w:tcPr>
          <w:p w14:paraId="3B2BAB5A">
            <w:pPr>
              <w:ind w:right="-1"/>
              <w:rPr>
                <w:rFonts w:ascii="Microsoft Sans Serif" w:hAnsi="Microsoft Sans Serif" w:cs="Microsoft Sans Serif"/>
                <w:sz w:val="20"/>
                <w:szCs w:val="20"/>
              </w:rPr>
            </w:pPr>
            <w:r>
              <w:rPr>
                <w:rFonts w:ascii="Microsoft Sans Serif" w:hAnsi="Microsoft Sans Serif" w:cs="Microsoft Sans Serif"/>
                <w:b/>
                <w:bCs/>
                <w:sz w:val="20"/>
                <w:szCs w:val="20"/>
              </w:rPr>
              <w:t>N</w:t>
            </w:r>
          </w:p>
        </w:tc>
        <w:tc>
          <w:tcPr>
            <w:tcW w:w="1488" w:type="dxa"/>
            <w:tcBorders>
              <w:top w:val="single" w:color="000000" w:sz="4" w:space="0"/>
              <w:left w:val="single" w:color="000000" w:sz="4" w:space="0"/>
              <w:bottom w:val="single" w:color="000000" w:sz="4" w:space="0"/>
              <w:right w:val="single" w:color="000000" w:sz="4" w:space="0"/>
            </w:tcBorders>
          </w:tcPr>
          <w:p w14:paraId="15596A73">
            <w:pPr>
              <w:ind w:right="-1"/>
              <w:rPr>
                <w:rFonts w:ascii="Microsoft Sans Serif" w:hAnsi="Microsoft Sans Serif" w:cs="Microsoft Sans Serif"/>
                <w:sz w:val="20"/>
                <w:szCs w:val="20"/>
              </w:rPr>
            </w:pPr>
            <w:r>
              <w:rPr>
                <w:rFonts w:ascii="Microsoft Sans Serif" w:hAnsi="Microsoft Sans Serif" w:cs="Microsoft Sans Serif"/>
                <w:b/>
                <w:bCs/>
                <w:sz w:val="20"/>
                <w:szCs w:val="20"/>
              </w:rPr>
              <w:t>2 -&lt; 6 godina</w:t>
            </w:r>
          </w:p>
        </w:tc>
        <w:tc>
          <w:tcPr>
            <w:tcW w:w="463" w:type="dxa"/>
            <w:tcBorders>
              <w:top w:val="single" w:color="000000" w:sz="4" w:space="0"/>
              <w:left w:val="single" w:color="000000" w:sz="4" w:space="0"/>
              <w:bottom w:val="single" w:color="000000" w:sz="4" w:space="0"/>
              <w:right w:val="single" w:color="000000" w:sz="4" w:space="0"/>
            </w:tcBorders>
          </w:tcPr>
          <w:p w14:paraId="22556D95">
            <w:pPr>
              <w:ind w:right="-1"/>
              <w:rPr>
                <w:rFonts w:ascii="Microsoft Sans Serif" w:hAnsi="Microsoft Sans Serif" w:cs="Microsoft Sans Serif"/>
                <w:sz w:val="20"/>
                <w:szCs w:val="20"/>
              </w:rPr>
            </w:pPr>
            <w:r>
              <w:rPr>
                <w:rFonts w:ascii="Microsoft Sans Serif" w:hAnsi="Microsoft Sans Serif" w:cs="Microsoft Sans Serif"/>
                <w:b/>
                <w:bCs/>
                <w:sz w:val="20"/>
                <w:szCs w:val="20"/>
              </w:rPr>
              <w:t>N</w:t>
            </w:r>
          </w:p>
        </w:tc>
        <w:tc>
          <w:tcPr>
            <w:tcW w:w="1559" w:type="dxa"/>
            <w:tcBorders>
              <w:top w:val="single" w:color="000000" w:sz="4" w:space="0"/>
              <w:left w:val="single" w:color="000000" w:sz="4" w:space="0"/>
              <w:bottom w:val="single" w:color="000000" w:sz="4" w:space="0"/>
              <w:right w:val="single" w:color="000000" w:sz="4" w:space="0"/>
            </w:tcBorders>
          </w:tcPr>
          <w:p w14:paraId="4259C29F">
            <w:pPr>
              <w:ind w:right="-1"/>
              <w:rPr>
                <w:rFonts w:ascii="Microsoft Sans Serif" w:hAnsi="Microsoft Sans Serif" w:cs="Microsoft Sans Serif"/>
                <w:sz w:val="20"/>
                <w:szCs w:val="20"/>
              </w:rPr>
            </w:pPr>
            <w:r>
              <w:rPr>
                <w:rFonts w:ascii="Microsoft Sans Serif" w:hAnsi="Microsoft Sans Serif" w:cs="Microsoft Sans Serif"/>
                <w:b/>
                <w:bCs/>
                <w:sz w:val="20"/>
                <w:szCs w:val="20"/>
              </w:rPr>
              <w:t>Rođenje -</w:t>
            </w:r>
          </w:p>
          <w:p w14:paraId="088C3145">
            <w:pPr>
              <w:ind w:right="-1"/>
              <w:rPr>
                <w:rFonts w:ascii="Microsoft Sans Serif" w:hAnsi="Microsoft Sans Serif" w:cs="Microsoft Sans Serif"/>
                <w:sz w:val="20"/>
                <w:szCs w:val="20"/>
              </w:rPr>
            </w:pPr>
            <w:r>
              <w:rPr>
                <w:rFonts w:ascii="Microsoft Sans Serif" w:hAnsi="Microsoft Sans Serif" w:cs="Microsoft Sans Serif"/>
                <w:b/>
                <w:bCs/>
                <w:sz w:val="20"/>
                <w:szCs w:val="20"/>
              </w:rPr>
              <w:t>&lt; 2 godine</w:t>
            </w:r>
          </w:p>
        </w:tc>
        <w:tc>
          <w:tcPr>
            <w:tcW w:w="443" w:type="dxa"/>
            <w:tcBorders>
              <w:top w:val="single" w:color="000000" w:sz="4" w:space="0"/>
              <w:left w:val="single" w:color="000000" w:sz="4" w:space="0"/>
              <w:bottom w:val="single" w:color="000000" w:sz="4" w:space="0"/>
              <w:right w:val="single" w:color="000000" w:sz="4" w:space="0"/>
            </w:tcBorders>
          </w:tcPr>
          <w:p w14:paraId="054ADFF0">
            <w:pPr>
              <w:ind w:right="-1"/>
              <w:rPr>
                <w:rFonts w:ascii="Microsoft Sans Serif" w:hAnsi="Microsoft Sans Serif" w:cs="Microsoft Sans Serif"/>
                <w:sz w:val="20"/>
                <w:szCs w:val="20"/>
              </w:rPr>
            </w:pPr>
            <w:r>
              <w:rPr>
                <w:rFonts w:ascii="Microsoft Sans Serif" w:hAnsi="Microsoft Sans Serif" w:cs="Microsoft Sans Serif"/>
                <w:b/>
                <w:bCs/>
                <w:sz w:val="20"/>
                <w:szCs w:val="20"/>
              </w:rPr>
              <w:t>N</w:t>
            </w:r>
          </w:p>
        </w:tc>
        <w:tc>
          <w:tcPr>
            <w:tcW w:w="1494" w:type="dxa"/>
            <w:tcBorders>
              <w:top w:val="single" w:color="000000" w:sz="4" w:space="0"/>
              <w:left w:val="single" w:color="000000" w:sz="4" w:space="0"/>
              <w:bottom w:val="single" w:color="000000" w:sz="4" w:space="0"/>
              <w:right w:val="single" w:color="000000" w:sz="4" w:space="0"/>
            </w:tcBorders>
          </w:tcPr>
          <w:p w14:paraId="247DB2AF">
            <w:pPr>
              <w:ind w:right="-1"/>
              <w:rPr>
                <w:rFonts w:ascii="Microsoft Sans Serif" w:hAnsi="Microsoft Sans Serif" w:cs="Microsoft Sans Serif"/>
                <w:sz w:val="20"/>
                <w:szCs w:val="20"/>
              </w:rPr>
            </w:pPr>
            <w:r>
              <w:rPr>
                <w:rFonts w:ascii="Microsoft Sans Serif" w:hAnsi="Microsoft Sans Serif" w:cs="Microsoft Sans Serif"/>
                <w:b/>
                <w:bCs/>
                <w:sz w:val="20"/>
                <w:szCs w:val="20"/>
              </w:rPr>
              <w:t>0.5 -&lt; 2 years</w:t>
            </w:r>
          </w:p>
        </w:tc>
        <w:tc>
          <w:tcPr>
            <w:tcW w:w="437" w:type="dxa"/>
            <w:tcBorders>
              <w:top w:val="single" w:color="000000" w:sz="4" w:space="0"/>
              <w:left w:val="single" w:color="000000" w:sz="4" w:space="0"/>
              <w:bottom w:val="single" w:color="000000" w:sz="4" w:space="0"/>
              <w:right w:val="single" w:color="000000" w:sz="4" w:space="0"/>
            </w:tcBorders>
          </w:tcPr>
          <w:p w14:paraId="053CBBC5">
            <w:pPr>
              <w:ind w:right="-1"/>
              <w:rPr>
                <w:rFonts w:ascii="Microsoft Sans Serif" w:hAnsi="Microsoft Sans Serif" w:cs="Microsoft Sans Serif"/>
                <w:sz w:val="20"/>
                <w:szCs w:val="20"/>
              </w:rPr>
            </w:pPr>
            <w:r>
              <w:rPr>
                <w:rFonts w:ascii="Microsoft Sans Serif" w:hAnsi="Microsoft Sans Serif" w:cs="Microsoft Sans Serif"/>
                <w:b/>
                <w:bCs/>
                <w:sz w:val="20"/>
                <w:szCs w:val="20"/>
              </w:rPr>
              <w:t>N</w:t>
            </w:r>
          </w:p>
        </w:tc>
        <w:tc>
          <w:tcPr>
            <w:tcW w:w="1708" w:type="dxa"/>
            <w:tcBorders>
              <w:top w:val="single" w:color="000000" w:sz="4" w:space="0"/>
              <w:left w:val="single" w:color="000000" w:sz="4" w:space="0"/>
              <w:bottom w:val="single" w:color="000000" w:sz="4" w:space="0"/>
              <w:right w:val="single" w:color="000000" w:sz="4" w:space="0"/>
            </w:tcBorders>
          </w:tcPr>
          <w:p w14:paraId="05FC2007">
            <w:pPr>
              <w:ind w:right="-1"/>
              <w:rPr>
                <w:rFonts w:ascii="Microsoft Sans Serif" w:hAnsi="Microsoft Sans Serif" w:cs="Microsoft Sans Serif"/>
                <w:sz w:val="20"/>
                <w:szCs w:val="20"/>
              </w:rPr>
            </w:pPr>
            <w:r>
              <w:rPr>
                <w:rFonts w:ascii="Microsoft Sans Serif" w:hAnsi="Microsoft Sans Serif" w:cs="Microsoft Sans Serif"/>
                <w:b/>
                <w:bCs/>
                <w:sz w:val="20"/>
                <w:szCs w:val="20"/>
              </w:rPr>
              <w:t>Rođenje -</w:t>
            </w:r>
          </w:p>
          <w:p w14:paraId="34656D82">
            <w:pPr>
              <w:ind w:right="-1"/>
              <w:rPr>
                <w:rFonts w:ascii="Microsoft Sans Serif" w:hAnsi="Microsoft Sans Serif" w:cs="Microsoft Sans Serif"/>
                <w:sz w:val="20"/>
                <w:szCs w:val="20"/>
              </w:rPr>
            </w:pPr>
            <w:r>
              <w:rPr>
                <w:rFonts w:ascii="Microsoft Sans Serif" w:hAnsi="Microsoft Sans Serif" w:cs="Microsoft Sans Serif"/>
                <w:b/>
                <w:bCs/>
                <w:sz w:val="20"/>
                <w:szCs w:val="20"/>
              </w:rPr>
              <w:t>&lt; 6 mjeseci</w:t>
            </w:r>
          </w:p>
        </w:tc>
      </w:tr>
      <w:tr w14:paraId="177F17A2">
        <w:tblPrEx>
          <w:tblCellMar>
            <w:top w:w="0" w:type="dxa"/>
            <w:left w:w="0" w:type="dxa"/>
            <w:bottom w:w="0" w:type="dxa"/>
            <w:right w:w="0" w:type="dxa"/>
          </w:tblCellMar>
        </w:tblPrEx>
        <w:trPr>
          <w:trHeight w:val="515" w:hRule="exact"/>
        </w:trPr>
        <w:tc>
          <w:tcPr>
            <w:tcW w:w="1337" w:type="dxa"/>
            <w:tcBorders>
              <w:top w:val="single" w:color="000000" w:sz="4" w:space="0"/>
              <w:left w:val="single" w:color="000000" w:sz="4" w:space="0"/>
              <w:bottom w:val="single" w:color="000000" w:sz="4" w:space="0"/>
              <w:right w:val="single" w:color="000000" w:sz="4" w:space="0"/>
            </w:tcBorders>
          </w:tcPr>
          <w:p w14:paraId="178E161F">
            <w:pPr>
              <w:ind w:right="-1"/>
              <w:rPr>
                <w:rFonts w:ascii="Microsoft Sans Serif" w:hAnsi="Microsoft Sans Serif" w:cs="Microsoft Sans Serif"/>
                <w:sz w:val="20"/>
                <w:szCs w:val="20"/>
              </w:rPr>
            </w:pPr>
            <w:r>
              <w:rPr>
                <w:rFonts w:ascii="Microsoft Sans Serif" w:hAnsi="Microsoft Sans Serif" w:cs="Microsoft Sans Serif"/>
                <w:sz w:val="20"/>
                <w:szCs w:val="20"/>
              </w:rPr>
              <w:t>0.5-3h nakon doziranje</w:t>
            </w:r>
          </w:p>
        </w:tc>
        <w:tc>
          <w:tcPr>
            <w:tcW w:w="565" w:type="dxa"/>
            <w:tcBorders>
              <w:top w:val="single" w:color="000000" w:sz="4" w:space="0"/>
              <w:left w:val="single" w:color="000000" w:sz="4" w:space="0"/>
              <w:bottom w:val="single" w:color="000000" w:sz="4" w:space="0"/>
              <w:right w:val="single" w:color="000000" w:sz="4" w:space="0"/>
            </w:tcBorders>
          </w:tcPr>
          <w:p w14:paraId="40F36832">
            <w:pPr>
              <w:ind w:right="-1"/>
              <w:rPr>
                <w:rFonts w:ascii="Microsoft Sans Serif" w:hAnsi="Microsoft Sans Serif" w:cs="Microsoft Sans Serif"/>
                <w:sz w:val="20"/>
                <w:szCs w:val="20"/>
              </w:rPr>
            </w:pPr>
            <w:r>
              <w:rPr>
                <w:rFonts w:ascii="Microsoft Sans Serif" w:hAnsi="Microsoft Sans Serif" w:cs="Microsoft Sans Serif"/>
                <w:sz w:val="20"/>
                <w:szCs w:val="20"/>
              </w:rPr>
              <w:t>5</w:t>
            </w:r>
          </w:p>
        </w:tc>
        <w:tc>
          <w:tcPr>
            <w:tcW w:w="1488" w:type="dxa"/>
            <w:tcBorders>
              <w:top w:val="single" w:color="000000" w:sz="4" w:space="0"/>
              <w:left w:val="single" w:color="000000" w:sz="4" w:space="0"/>
              <w:bottom w:val="single" w:color="000000" w:sz="4" w:space="0"/>
              <w:right w:val="single" w:color="000000" w:sz="4" w:space="0"/>
            </w:tcBorders>
          </w:tcPr>
          <w:p w14:paraId="54F12433">
            <w:pPr>
              <w:ind w:right="-1"/>
              <w:rPr>
                <w:rFonts w:ascii="Microsoft Sans Serif" w:hAnsi="Microsoft Sans Serif" w:cs="Microsoft Sans Serif"/>
                <w:sz w:val="20"/>
                <w:szCs w:val="20"/>
              </w:rPr>
            </w:pPr>
            <w:r>
              <w:rPr>
                <w:rFonts w:ascii="Microsoft Sans Serif" w:hAnsi="Microsoft Sans Serif" w:cs="Microsoft Sans Serif"/>
                <w:sz w:val="20"/>
                <w:szCs w:val="20"/>
              </w:rPr>
              <w:t>164.7</w:t>
            </w:r>
          </w:p>
          <w:p w14:paraId="420690CB">
            <w:pPr>
              <w:ind w:right="-1"/>
              <w:rPr>
                <w:rFonts w:ascii="Microsoft Sans Serif" w:hAnsi="Microsoft Sans Serif" w:cs="Microsoft Sans Serif"/>
                <w:sz w:val="20"/>
                <w:szCs w:val="20"/>
              </w:rPr>
            </w:pPr>
            <w:r>
              <w:rPr>
                <w:rFonts w:ascii="Microsoft Sans Serif" w:hAnsi="Microsoft Sans Serif" w:cs="Microsoft Sans Serif"/>
                <w:sz w:val="20"/>
                <w:szCs w:val="20"/>
              </w:rPr>
              <w:t>(108-283)</w:t>
            </w:r>
          </w:p>
        </w:tc>
        <w:tc>
          <w:tcPr>
            <w:tcW w:w="463" w:type="dxa"/>
            <w:tcBorders>
              <w:top w:val="single" w:color="000000" w:sz="4" w:space="0"/>
              <w:left w:val="single" w:color="000000" w:sz="4" w:space="0"/>
              <w:bottom w:val="single" w:color="000000" w:sz="4" w:space="0"/>
              <w:right w:val="single" w:color="000000" w:sz="4" w:space="0"/>
            </w:tcBorders>
          </w:tcPr>
          <w:p w14:paraId="10ED948A">
            <w:pPr>
              <w:ind w:right="-1"/>
              <w:rPr>
                <w:rFonts w:ascii="Microsoft Sans Serif" w:hAnsi="Microsoft Sans Serif" w:cs="Microsoft Sans Serif"/>
                <w:sz w:val="20"/>
                <w:szCs w:val="20"/>
              </w:rPr>
            </w:pPr>
            <w:r>
              <w:rPr>
                <w:rFonts w:ascii="Microsoft Sans Serif" w:hAnsi="Microsoft Sans Serif" w:cs="Microsoft Sans Serif"/>
                <w:sz w:val="20"/>
                <w:szCs w:val="20"/>
              </w:rPr>
              <w:t>25</w:t>
            </w:r>
          </w:p>
        </w:tc>
        <w:tc>
          <w:tcPr>
            <w:tcW w:w="1559" w:type="dxa"/>
            <w:tcBorders>
              <w:top w:val="single" w:color="000000" w:sz="4" w:space="0"/>
              <w:left w:val="single" w:color="000000" w:sz="4" w:space="0"/>
              <w:bottom w:val="single" w:color="000000" w:sz="4" w:space="0"/>
              <w:right w:val="single" w:color="000000" w:sz="4" w:space="0"/>
            </w:tcBorders>
          </w:tcPr>
          <w:p w14:paraId="05682EFA">
            <w:pPr>
              <w:ind w:right="-1"/>
              <w:rPr>
                <w:rFonts w:ascii="Microsoft Sans Serif" w:hAnsi="Microsoft Sans Serif" w:cs="Microsoft Sans Serif"/>
                <w:sz w:val="20"/>
                <w:szCs w:val="20"/>
              </w:rPr>
            </w:pPr>
            <w:r>
              <w:rPr>
                <w:rFonts w:ascii="Microsoft Sans Serif" w:hAnsi="Microsoft Sans Serif" w:cs="Microsoft Sans Serif"/>
                <w:sz w:val="20"/>
                <w:szCs w:val="20"/>
              </w:rPr>
              <w:t>111.2</w:t>
            </w:r>
          </w:p>
          <w:p w14:paraId="08DEF32F">
            <w:pPr>
              <w:ind w:right="-1"/>
              <w:rPr>
                <w:rFonts w:ascii="Microsoft Sans Serif" w:hAnsi="Microsoft Sans Serif" w:cs="Microsoft Sans Serif"/>
                <w:sz w:val="20"/>
                <w:szCs w:val="20"/>
              </w:rPr>
            </w:pPr>
            <w:r>
              <w:rPr>
                <w:rFonts w:ascii="Microsoft Sans Serif" w:hAnsi="Microsoft Sans Serif" w:cs="Microsoft Sans Serif"/>
                <w:sz w:val="20"/>
                <w:szCs w:val="20"/>
              </w:rPr>
              <w:t>(22.9-320)</w:t>
            </w:r>
          </w:p>
        </w:tc>
        <w:tc>
          <w:tcPr>
            <w:tcW w:w="443" w:type="dxa"/>
            <w:tcBorders>
              <w:top w:val="single" w:color="000000" w:sz="4" w:space="0"/>
              <w:left w:val="single" w:color="000000" w:sz="4" w:space="0"/>
              <w:bottom w:val="single" w:color="000000" w:sz="4" w:space="0"/>
              <w:right w:val="single" w:color="000000" w:sz="4" w:space="0"/>
            </w:tcBorders>
          </w:tcPr>
          <w:p w14:paraId="6C23F4B0">
            <w:pPr>
              <w:ind w:right="-1"/>
              <w:rPr>
                <w:rFonts w:ascii="Microsoft Sans Serif" w:hAnsi="Microsoft Sans Serif" w:cs="Microsoft Sans Serif"/>
                <w:sz w:val="20"/>
                <w:szCs w:val="20"/>
              </w:rPr>
            </w:pPr>
            <w:r>
              <w:rPr>
                <w:rFonts w:ascii="Microsoft Sans Serif" w:hAnsi="Microsoft Sans Serif" w:cs="Microsoft Sans Serif"/>
                <w:sz w:val="20"/>
                <w:szCs w:val="20"/>
              </w:rPr>
              <w:t>13</w:t>
            </w:r>
          </w:p>
        </w:tc>
        <w:tc>
          <w:tcPr>
            <w:tcW w:w="1494" w:type="dxa"/>
            <w:tcBorders>
              <w:top w:val="single" w:color="000000" w:sz="4" w:space="0"/>
              <w:left w:val="single" w:color="000000" w:sz="4" w:space="0"/>
              <w:bottom w:val="single" w:color="000000" w:sz="4" w:space="0"/>
              <w:right w:val="single" w:color="000000" w:sz="4" w:space="0"/>
            </w:tcBorders>
          </w:tcPr>
          <w:p w14:paraId="3A6F00FE">
            <w:pPr>
              <w:ind w:right="-1"/>
              <w:rPr>
                <w:rFonts w:ascii="Microsoft Sans Serif" w:hAnsi="Microsoft Sans Serif" w:cs="Microsoft Sans Serif"/>
                <w:sz w:val="20"/>
                <w:szCs w:val="20"/>
              </w:rPr>
            </w:pPr>
            <w:r>
              <w:rPr>
                <w:rFonts w:ascii="Microsoft Sans Serif" w:hAnsi="Microsoft Sans Serif" w:cs="Microsoft Sans Serif"/>
                <w:sz w:val="20"/>
                <w:szCs w:val="20"/>
              </w:rPr>
              <w:t>114.3</w:t>
            </w:r>
          </w:p>
          <w:p w14:paraId="4F85F042">
            <w:pPr>
              <w:ind w:right="-1"/>
              <w:rPr>
                <w:rFonts w:ascii="Microsoft Sans Serif" w:hAnsi="Microsoft Sans Serif" w:cs="Microsoft Sans Serif"/>
                <w:sz w:val="20"/>
                <w:szCs w:val="20"/>
              </w:rPr>
            </w:pPr>
            <w:r>
              <w:rPr>
                <w:rFonts w:ascii="Microsoft Sans Serif" w:hAnsi="Microsoft Sans Serif" w:cs="Microsoft Sans Serif"/>
                <w:sz w:val="20"/>
                <w:szCs w:val="20"/>
              </w:rPr>
              <w:t>(22.9-346)</w:t>
            </w:r>
          </w:p>
        </w:tc>
        <w:tc>
          <w:tcPr>
            <w:tcW w:w="437" w:type="dxa"/>
            <w:tcBorders>
              <w:top w:val="single" w:color="000000" w:sz="4" w:space="0"/>
              <w:left w:val="single" w:color="000000" w:sz="4" w:space="0"/>
              <w:bottom w:val="single" w:color="000000" w:sz="4" w:space="0"/>
              <w:right w:val="single" w:color="000000" w:sz="4" w:space="0"/>
            </w:tcBorders>
          </w:tcPr>
          <w:p w14:paraId="605EE19A">
            <w:pPr>
              <w:ind w:right="-1"/>
              <w:rPr>
                <w:rFonts w:ascii="Microsoft Sans Serif" w:hAnsi="Microsoft Sans Serif" w:cs="Microsoft Sans Serif"/>
                <w:sz w:val="20"/>
                <w:szCs w:val="20"/>
              </w:rPr>
            </w:pPr>
            <w:r>
              <w:rPr>
                <w:rFonts w:ascii="Microsoft Sans Serif" w:hAnsi="Microsoft Sans Serif" w:cs="Microsoft Sans Serif"/>
                <w:sz w:val="20"/>
                <w:szCs w:val="20"/>
              </w:rPr>
              <w:t>12</w:t>
            </w:r>
          </w:p>
        </w:tc>
        <w:tc>
          <w:tcPr>
            <w:tcW w:w="1708" w:type="dxa"/>
            <w:tcBorders>
              <w:top w:val="single" w:color="000000" w:sz="4" w:space="0"/>
              <w:left w:val="single" w:color="000000" w:sz="4" w:space="0"/>
              <w:bottom w:val="single" w:color="000000" w:sz="4" w:space="0"/>
              <w:right w:val="single" w:color="000000" w:sz="4" w:space="0"/>
            </w:tcBorders>
          </w:tcPr>
          <w:p w14:paraId="3301B1AE">
            <w:pPr>
              <w:ind w:right="-1"/>
              <w:rPr>
                <w:rFonts w:ascii="Microsoft Sans Serif" w:hAnsi="Microsoft Sans Serif" w:cs="Microsoft Sans Serif"/>
                <w:sz w:val="20"/>
                <w:szCs w:val="20"/>
              </w:rPr>
            </w:pPr>
            <w:r>
              <w:rPr>
                <w:rFonts w:ascii="Microsoft Sans Serif" w:hAnsi="Microsoft Sans Serif" w:cs="Microsoft Sans Serif"/>
                <w:sz w:val="20"/>
                <w:szCs w:val="20"/>
              </w:rPr>
              <w:t>108.0</w:t>
            </w:r>
          </w:p>
          <w:p w14:paraId="630A26CB">
            <w:pPr>
              <w:ind w:right="-1"/>
              <w:rPr>
                <w:rFonts w:ascii="Microsoft Sans Serif" w:hAnsi="Microsoft Sans Serif" w:cs="Microsoft Sans Serif"/>
                <w:sz w:val="20"/>
                <w:szCs w:val="20"/>
              </w:rPr>
            </w:pPr>
            <w:r>
              <w:rPr>
                <w:rFonts w:ascii="Microsoft Sans Serif" w:hAnsi="Microsoft Sans Serif" w:cs="Microsoft Sans Serif"/>
                <w:sz w:val="20"/>
                <w:szCs w:val="20"/>
              </w:rPr>
              <w:t>(19.2-320)</w:t>
            </w:r>
          </w:p>
        </w:tc>
      </w:tr>
      <w:tr w14:paraId="19C7013D">
        <w:tblPrEx>
          <w:tblCellMar>
            <w:top w:w="0" w:type="dxa"/>
            <w:left w:w="0" w:type="dxa"/>
            <w:bottom w:w="0" w:type="dxa"/>
            <w:right w:w="0" w:type="dxa"/>
          </w:tblCellMar>
        </w:tblPrEx>
        <w:trPr>
          <w:trHeight w:val="516" w:hRule="exact"/>
        </w:trPr>
        <w:tc>
          <w:tcPr>
            <w:tcW w:w="1337" w:type="dxa"/>
            <w:tcBorders>
              <w:top w:val="single" w:color="000000" w:sz="4" w:space="0"/>
              <w:left w:val="single" w:color="000000" w:sz="4" w:space="0"/>
              <w:bottom w:val="single" w:color="000000" w:sz="4" w:space="0"/>
              <w:right w:val="single" w:color="000000" w:sz="4" w:space="0"/>
            </w:tcBorders>
          </w:tcPr>
          <w:p w14:paraId="01BA6C2F">
            <w:pPr>
              <w:ind w:right="-1"/>
              <w:rPr>
                <w:rFonts w:ascii="Microsoft Sans Serif" w:hAnsi="Microsoft Sans Serif" w:cs="Microsoft Sans Serif"/>
                <w:sz w:val="20"/>
                <w:szCs w:val="20"/>
              </w:rPr>
            </w:pPr>
            <w:r>
              <w:rPr>
                <w:rFonts w:ascii="Microsoft Sans Serif" w:hAnsi="Microsoft Sans Serif" w:cs="Microsoft Sans Serif"/>
                <w:sz w:val="20"/>
                <w:szCs w:val="20"/>
              </w:rPr>
              <w:t>7-8h post</w:t>
            </w:r>
          </w:p>
        </w:tc>
        <w:tc>
          <w:tcPr>
            <w:tcW w:w="565" w:type="dxa"/>
            <w:tcBorders>
              <w:top w:val="single" w:color="000000" w:sz="4" w:space="0"/>
              <w:left w:val="single" w:color="000000" w:sz="4" w:space="0"/>
              <w:bottom w:val="single" w:color="000000" w:sz="4" w:space="0"/>
              <w:right w:val="single" w:color="000000" w:sz="4" w:space="0"/>
            </w:tcBorders>
          </w:tcPr>
          <w:p w14:paraId="67D501BE">
            <w:pPr>
              <w:ind w:right="-1"/>
              <w:rPr>
                <w:rFonts w:ascii="Microsoft Sans Serif" w:hAnsi="Microsoft Sans Serif" w:cs="Microsoft Sans Serif"/>
                <w:sz w:val="20"/>
                <w:szCs w:val="20"/>
              </w:rPr>
            </w:pPr>
            <w:r>
              <w:rPr>
                <w:rFonts w:ascii="Microsoft Sans Serif" w:hAnsi="Microsoft Sans Serif" w:cs="Microsoft Sans Serif"/>
                <w:sz w:val="20"/>
                <w:szCs w:val="20"/>
              </w:rPr>
              <w:t>3</w:t>
            </w:r>
          </w:p>
        </w:tc>
        <w:tc>
          <w:tcPr>
            <w:tcW w:w="1488" w:type="dxa"/>
            <w:tcBorders>
              <w:top w:val="single" w:color="000000" w:sz="4" w:space="0"/>
              <w:left w:val="single" w:color="000000" w:sz="4" w:space="0"/>
              <w:bottom w:val="single" w:color="000000" w:sz="4" w:space="0"/>
              <w:right w:val="single" w:color="000000" w:sz="4" w:space="0"/>
            </w:tcBorders>
          </w:tcPr>
          <w:p w14:paraId="71B0B87B">
            <w:pPr>
              <w:ind w:right="-1"/>
              <w:rPr>
                <w:rFonts w:ascii="Microsoft Sans Serif" w:hAnsi="Microsoft Sans Serif" w:cs="Microsoft Sans Serif"/>
                <w:sz w:val="20"/>
                <w:szCs w:val="20"/>
              </w:rPr>
            </w:pPr>
            <w:r>
              <w:rPr>
                <w:rFonts w:ascii="Microsoft Sans Serif" w:hAnsi="Microsoft Sans Serif" w:cs="Microsoft Sans Serif"/>
                <w:sz w:val="20"/>
                <w:szCs w:val="20"/>
              </w:rPr>
              <w:t>33.2</w:t>
            </w:r>
          </w:p>
          <w:p w14:paraId="23A22B17">
            <w:pPr>
              <w:ind w:right="-1"/>
              <w:rPr>
                <w:rFonts w:ascii="Microsoft Sans Serif" w:hAnsi="Microsoft Sans Serif" w:cs="Microsoft Sans Serif"/>
                <w:sz w:val="20"/>
                <w:szCs w:val="20"/>
              </w:rPr>
            </w:pPr>
            <w:r>
              <w:rPr>
                <w:rFonts w:ascii="Microsoft Sans Serif" w:hAnsi="Microsoft Sans Serif" w:cs="Microsoft Sans Serif"/>
                <w:sz w:val="20"/>
                <w:szCs w:val="20"/>
              </w:rPr>
              <w:t>(18.7-99.7)</w:t>
            </w:r>
          </w:p>
        </w:tc>
        <w:tc>
          <w:tcPr>
            <w:tcW w:w="463" w:type="dxa"/>
            <w:tcBorders>
              <w:top w:val="single" w:color="000000" w:sz="4" w:space="0"/>
              <w:left w:val="single" w:color="000000" w:sz="4" w:space="0"/>
              <w:bottom w:val="single" w:color="000000" w:sz="4" w:space="0"/>
              <w:right w:val="single" w:color="000000" w:sz="4" w:space="0"/>
            </w:tcBorders>
          </w:tcPr>
          <w:p w14:paraId="1F5BD41E">
            <w:pPr>
              <w:ind w:right="-1"/>
              <w:rPr>
                <w:rFonts w:ascii="Microsoft Sans Serif" w:hAnsi="Microsoft Sans Serif" w:cs="Microsoft Sans Serif"/>
                <w:sz w:val="20"/>
                <w:szCs w:val="20"/>
              </w:rPr>
            </w:pPr>
            <w:r>
              <w:rPr>
                <w:rFonts w:ascii="Microsoft Sans Serif" w:hAnsi="Microsoft Sans Serif" w:cs="Microsoft Sans Serif"/>
                <w:sz w:val="20"/>
                <w:szCs w:val="20"/>
              </w:rPr>
              <w:t>23</w:t>
            </w:r>
          </w:p>
        </w:tc>
        <w:tc>
          <w:tcPr>
            <w:tcW w:w="1559" w:type="dxa"/>
            <w:tcBorders>
              <w:top w:val="single" w:color="000000" w:sz="4" w:space="0"/>
              <w:left w:val="single" w:color="000000" w:sz="4" w:space="0"/>
              <w:bottom w:val="single" w:color="000000" w:sz="4" w:space="0"/>
              <w:right w:val="single" w:color="000000" w:sz="4" w:space="0"/>
            </w:tcBorders>
          </w:tcPr>
          <w:p w14:paraId="20E556AC">
            <w:pPr>
              <w:ind w:right="-1"/>
              <w:rPr>
                <w:rFonts w:ascii="Microsoft Sans Serif" w:hAnsi="Microsoft Sans Serif" w:cs="Microsoft Sans Serif"/>
                <w:sz w:val="20"/>
                <w:szCs w:val="20"/>
              </w:rPr>
            </w:pPr>
            <w:r>
              <w:rPr>
                <w:rFonts w:ascii="Microsoft Sans Serif" w:hAnsi="Microsoft Sans Serif" w:cs="Microsoft Sans Serif"/>
                <w:sz w:val="20"/>
                <w:szCs w:val="20"/>
              </w:rPr>
              <w:t>18.7</w:t>
            </w:r>
          </w:p>
          <w:p w14:paraId="193ABACF">
            <w:pPr>
              <w:ind w:right="-1"/>
              <w:rPr>
                <w:rFonts w:ascii="Microsoft Sans Serif" w:hAnsi="Microsoft Sans Serif" w:cs="Microsoft Sans Serif"/>
                <w:sz w:val="20"/>
                <w:szCs w:val="20"/>
              </w:rPr>
            </w:pPr>
            <w:r>
              <w:rPr>
                <w:rFonts w:ascii="Microsoft Sans Serif" w:hAnsi="Microsoft Sans Serif" w:cs="Microsoft Sans Serif"/>
                <w:sz w:val="20"/>
                <w:szCs w:val="20"/>
              </w:rPr>
              <w:t>(10.1-36.5)</w:t>
            </w:r>
          </w:p>
        </w:tc>
        <w:tc>
          <w:tcPr>
            <w:tcW w:w="443" w:type="dxa"/>
            <w:tcBorders>
              <w:top w:val="single" w:color="000000" w:sz="4" w:space="0"/>
              <w:left w:val="single" w:color="000000" w:sz="4" w:space="0"/>
              <w:bottom w:val="single" w:color="000000" w:sz="4" w:space="0"/>
              <w:right w:val="single" w:color="000000" w:sz="4" w:space="0"/>
            </w:tcBorders>
          </w:tcPr>
          <w:p w14:paraId="7D1D651F">
            <w:pPr>
              <w:ind w:right="-1"/>
              <w:rPr>
                <w:rFonts w:ascii="Microsoft Sans Serif" w:hAnsi="Microsoft Sans Serif" w:cs="Microsoft Sans Serif"/>
                <w:sz w:val="20"/>
                <w:szCs w:val="20"/>
              </w:rPr>
            </w:pPr>
            <w:r>
              <w:rPr>
                <w:rFonts w:ascii="Microsoft Sans Serif" w:hAnsi="Microsoft Sans Serif" w:cs="Microsoft Sans Serif"/>
                <w:sz w:val="20"/>
                <w:szCs w:val="20"/>
              </w:rPr>
              <w:t>12</w:t>
            </w:r>
          </w:p>
        </w:tc>
        <w:tc>
          <w:tcPr>
            <w:tcW w:w="1494" w:type="dxa"/>
            <w:tcBorders>
              <w:top w:val="single" w:color="000000" w:sz="4" w:space="0"/>
              <w:left w:val="single" w:color="000000" w:sz="4" w:space="0"/>
              <w:bottom w:val="single" w:color="000000" w:sz="4" w:space="0"/>
              <w:right w:val="single" w:color="000000" w:sz="4" w:space="0"/>
            </w:tcBorders>
          </w:tcPr>
          <w:p w14:paraId="6BBD52DD">
            <w:pPr>
              <w:ind w:right="-1"/>
              <w:rPr>
                <w:rFonts w:ascii="Microsoft Sans Serif" w:hAnsi="Microsoft Sans Serif" w:cs="Microsoft Sans Serif"/>
                <w:sz w:val="20"/>
                <w:szCs w:val="20"/>
              </w:rPr>
            </w:pPr>
            <w:r>
              <w:rPr>
                <w:rFonts w:ascii="Microsoft Sans Serif" w:hAnsi="Microsoft Sans Serif" w:cs="Microsoft Sans Serif"/>
                <w:sz w:val="20"/>
                <w:szCs w:val="20"/>
              </w:rPr>
              <w:t>21.4</w:t>
            </w:r>
          </w:p>
          <w:p w14:paraId="5920EB2F">
            <w:pPr>
              <w:ind w:right="-1"/>
              <w:rPr>
                <w:rFonts w:ascii="Microsoft Sans Serif" w:hAnsi="Microsoft Sans Serif" w:cs="Microsoft Sans Serif"/>
                <w:sz w:val="20"/>
                <w:szCs w:val="20"/>
              </w:rPr>
            </w:pPr>
            <w:r>
              <w:rPr>
                <w:rFonts w:ascii="Microsoft Sans Serif" w:hAnsi="Microsoft Sans Serif" w:cs="Microsoft Sans Serif"/>
                <w:sz w:val="20"/>
                <w:szCs w:val="20"/>
              </w:rPr>
              <w:t>(10.5-65.6)</w:t>
            </w:r>
          </w:p>
        </w:tc>
        <w:tc>
          <w:tcPr>
            <w:tcW w:w="437" w:type="dxa"/>
            <w:tcBorders>
              <w:top w:val="single" w:color="000000" w:sz="4" w:space="0"/>
              <w:left w:val="single" w:color="000000" w:sz="4" w:space="0"/>
              <w:bottom w:val="single" w:color="000000" w:sz="4" w:space="0"/>
              <w:right w:val="single" w:color="000000" w:sz="4" w:space="0"/>
            </w:tcBorders>
          </w:tcPr>
          <w:p w14:paraId="5EEB5080">
            <w:pPr>
              <w:ind w:right="-1"/>
              <w:rPr>
                <w:rFonts w:ascii="Microsoft Sans Serif" w:hAnsi="Microsoft Sans Serif" w:cs="Microsoft Sans Serif"/>
                <w:sz w:val="20"/>
                <w:szCs w:val="20"/>
              </w:rPr>
            </w:pPr>
            <w:r>
              <w:rPr>
                <w:rFonts w:ascii="Microsoft Sans Serif" w:hAnsi="Microsoft Sans Serif" w:cs="Microsoft Sans Serif"/>
                <w:sz w:val="20"/>
                <w:szCs w:val="20"/>
              </w:rPr>
              <w:t>11</w:t>
            </w:r>
          </w:p>
        </w:tc>
        <w:tc>
          <w:tcPr>
            <w:tcW w:w="1708" w:type="dxa"/>
            <w:tcBorders>
              <w:top w:val="single" w:color="000000" w:sz="4" w:space="0"/>
              <w:left w:val="single" w:color="000000" w:sz="4" w:space="0"/>
              <w:bottom w:val="single" w:color="000000" w:sz="4" w:space="0"/>
              <w:right w:val="single" w:color="000000" w:sz="4" w:space="0"/>
            </w:tcBorders>
          </w:tcPr>
          <w:p w14:paraId="047C23F5">
            <w:pPr>
              <w:ind w:right="-1"/>
              <w:rPr>
                <w:rFonts w:ascii="Microsoft Sans Serif" w:hAnsi="Microsoft Sans Serif" w:cs="Microsoft Sans Serif"/>
                <w:sz w:val="20"/>
                <w:szCs w:val="20"/>
              </w:rPr>
            </w:pPr>
            <w:r>
              <w:rPr>
                <w:rFonts w:ascii="Microsoft Sans Serif" w:hAnsi="Microsoft Sans Serif" w:cs="Microsoft Sans Serif"/>
                <w:sz w:val="20"/>
                <w:szCs w:val="20"/>
              </w:rPr>
              <w:t>16.1</w:t>
            </w:r>
          </w:p>
          <w:p w14:paraId="297C1F3C">
            <w:pPr>
              <w:ind w:right="-1"/>
              <w:rPr>
                <w:rFonts w:ascii="Microsoft Sans Serif" w:hAnsi="Microsoft Sans Serif" w:cs="Microsoft Sans Serif"/>
                <w:sz w:val="20"/>
                <w:szCs w:val="20"/>
              </w:rPr>
            </w:pPr>
            <w:r>
              <w:rPr>
                <w:rFonts w:ascii="Microsoft Sans Serif" w:hAnsi="Microsoft Sans Serif" w:cs="Microsoft Sans Serif"/>
                <w:sz w:val="20"/>
                <w:szCs w:val="20"/>
              </w:rPr>
              <w:t>(1.03-33.6)</w:t>
            </w:r>
          </w:p>
        </w:tc>
      </w:tr>
    </w:tbl>
    <w:p w14:paraId="71244026">
      <w:pPr>
        <w:ind w:right="-1"/>
      </w:pPr>
    </w:p>
    <w:p w14:paraId="193194EC">
      <w:pPr>
        <w:ind w:right="-1"/>
      </w:pPr>
      <w:r>
        <w:rPr>
          <w:rFonts w:ascii="Microsoft Sans Serif" w:hAnsi="Microsoft Sans Serif" w:cs="Microsoft Sans Serif"/>
          <w:sz w:val="20"/>
          <w:szCs w:val="20"/>
        </w:rPr>
        <w:t>Vrijednosti ispod donje granice kvantifikacije (engl., lower limit of quantification, LLOQ) zamijenjene su vrijednostima 1/2 LLOQ za izračunavanje statističkih podataka (LLOQ = 0,5 μg/l).</w:t>
      </w:r>
    </w:p>
    <w:p w14:paraId="1E2AE40D">
      <w:pPr>
        <w:tabs>
          <w:tab w:val="clear" w:pos="284"/>
        </w:tabs>
        <w:rPr>
          <w:rFonts w:ascii="Microsoft Sans Serif" w:hAnsi="Microsoft Sans Serif" w:cs="Microsoft Sans Serif"/>
          <w:sz w:val="20"/>
          <w:szCs w:val="20"/>
        </w:rPr>
      </w:pPr>
    </w:p>
    <w:p w14:paraId="6E7B87AF">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Odnos farmakokinetike i farmakodinamike lijeka</w:t>
      </w:r>
    </w:p>
    <w:p w14:paraId="141130EC">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 xml:space="preserve">Ispitivan je odnos farmakokinetike i farmakodinamike lijeka (PK/PD) između koncentracija rivaroksabana u plazmi i nekih cilјnih farmakodinamskih parametara (inhibicija faktora Xa, PT, aPTT, Heptest) poslije primjene širokog raspona doza (5-30 mg dva puta dnevno). Odnos između koncentracija rivaroksabana i aktivnosti faktora Xa najbolјe se opisuje Emax modelom. U principu, za PT, vrijednosti bolјe opisuje linearni model (engl. </w:t>
      </w:r>
      <w:r>
        <w:rPr>
          <w:rFonts w:ascii="Microsoft Sans Serif" w:hAnsi="Microsoft Sans Serif" w:cs="Microsoft Sans Serif"/>
          <w:i/>
          <w:sz w:val="20"/>
          <w:szCs w:val="20"/>
        </w:rPr>
        <w:t>linear intercept model</w:t>
      </w:r>
      <w:r>
        <w:rPr>
          <w:rFonts w:ascii="Microsoft Sans Serif" w:hAnsi="Microsoft Sans Serif" w:cs="Microsoft Sans Serif"/>
          <w:sz w:val="20"/>
          <w:szCs w:val="20"/>
        </w:rPr>
        <w:t xml:space="preserve">). Nagib značajno varira u zavisnosti od toga koji je PT reagens u pitanju. Kada je korišćen Neoplastin PT, početna PT vrijednost bila je oko 13 s, a nagib je bio oko 3-4 s/(100 mikrogram/l). Rezultati PK/PD analize u studijama II i III faze bili su u skladu sa podacima dobijenim na zdravim ispitanicima. </w:t>
      </w:r>
    </w:p>
    <w:p w14:paraId="728E9A62">
      <w:pPr>
        <w:tabs>
          <w:tab w:val="clear" w:pos="284"/>
        </w:tabs>
        <w:rPr>
          <w:rFonts w:ascii="Microsoft Sans Serif" w:hAnsi="Microsoft Sans Serif" w:cs="Microsoft Sans Serif"/>
          <w:sz w:val="20"/>
          <w:szCs w:val="20"/>
        </w:rPr>
      </w:pPr>
    </w:p>
    <w:p w14:paraId="63C59AD5">
      <w:pPr>
        <w:tabs>
          <w:tab w:val="clear" w:pos="284"/>
        </w:tabs>
        <w:rPr>
          <w:rFonts w:ascii="Microsoft Sans Serif" w:hAnsi="Microsoft Sans Serif" w:cs="Microsoft Sans Serif"/>
          <w:sz w:val="20"/>
          <w:szCs w:val="20"/>
          <w:u w:val="single"/>
        </w:rPr>
      </w:pPr>
      <w:r>
        <w:rPr>
          <w:rFonts w:ascii="Microsoft Sans Serif" w:hAnsi="Microsoft Sans Serif" w:cs="Microsoft Sans Serif"/>
          <w:sz w:val="20"/>
          <w:szCs w:val="20"/>
          <w:u w:val="single"/>
        </w:rPr>
        <w:t>Pedijatrijska populacija</w:t>
      </w:r>
    </w:p>
    <w:p w14:paraId="4398F587">
      <w:pPr>
        <w:rPr>
          <w:rFonts w:ascii="Microsoft Sans Serif" w:hAnsi="Microsoft Sans Serif" w:cs="Microsoft Sans Serif"/>
          <w:sz w:val="20"/>
          <w:szCs w:val="20"/>
        </w:rPr>
      </w:pPr>
      <w:r>
        <w:rPr>
          <w:rFonts w:ascii="Microsoft Sans Serif" w:hAnsi="Microsoft Sans Serif" w:cs="Microsoft Sans Serif"/>
          <w:sz w:val="20"/>
          <w:szCs w:val="20"/>
        </w:rPr>
        <w:t>Bezbjednost i efikasnost nisu ustanovlјene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 indikaciji prevencije moždanog udara i sistemskih embolija kod pacijenata sa nevalvularnom atrijalnom fibrilacijom</w:t>
      </w:r>
      <w:r>
        <w:t xml:space="preserve"> </w:t>
      </w:r>
      <w:r>
        <w:rPr>
          <w:rFonts w:ascii="Microsoft Sans Serif" w:hAnsi="Microsoft Sans Serif" w:cs="Microsoft Sans Serif"/>
          <w:sz w:val="20"/>
          <w:szCs w:val="20"/>
          <w:lang w:val="sr-Cyrl-RS"/>
        </w:rPr>
        <w:t>kod</w:t>
      </w:r>
      <w:r>
        <w:rPr>
          <w:rFonts w:ascii="Microsoft Sans Serif" w:hAnsi="Microsoft Sans Serif" w:cs="Microsoft Sans Serif"/>
          <w:sz w:val="20"/>
          <w:szCs w:val="20"/>
        </w:rPr>
        <w:t xml:space="preserve"> djece i adolescenata uzrasta do 18 godina.</w:t>
      </w:r>
    </w:p>
    <w:p w14:paraId="5E10058C">
      <w:pPr>
        <w:rPr>
          <w:rFonts w:ascii="Microsoft Sans Serif" w:hAnsi="Microsoft Sans Serif" w:cs="Microsoft Sans Serif"/>
          <w:sz w:val="20"/>
          <w:szCs w:val="20"/>
        </w:rPr>
      </w:pPr>
    </w:p>
    <w:p w14:paraId="27B1ACF8">
      <w:pPr>
        <w:rPr>
          <w:rFonts w:ascii="Microsoft Sans Serif" w:hAnsi="Microsoft Sans Serif" w:cs="Microsoft Sans Serif"/>
          <w:b/>
          <w:bCs/>
          <w:sz w:val="20"/>
          <w:szCs w:val="20"/>
          <w:lang w:val="sr-Latn-RS"/>
        </w:rPr>
      </w:pPr>
      <w:r>
        <w:rPr>
          <w:rFonts w:ascii="Microsoft Sans Serif" w:hAnsi="Microsoft Sans Serif" w:cs="Microsoft Sans Serif"/>
          <w:b/>
          <w:bCs/>
          <w:sz w:val="20"/>
          <w:szCs w:val="20"/>
          <w:lang w:val="ru-RU"/>
        </w:rPr>
        <w:t>5.3. Pretklinički podaci o bezbjednosti lijeka</w:t>
      </w:r>
    </w:p>
    <w:p w14:paraId="66456927">
      <w:pPr>
        <w:rPr>
          <w:rFonts w:ascii="Microsoft Sans Serif" w:hAnsi="Microsoft Sans Serif" w:cs="Microsoft Sans Serif"/>
          <w:b/>
          <w:bCs/>
          <w:sz w:val="20"/>
          <w:szCs w:val="20"/>
          <w:lang w:val="sr-Latn-RS"/>
        </w:rPr>
      </w:pPr>
    </w:p>
    <w:p w14:paraId="0FDFECD0">
      <w:pPr>
        <w:tabs>
          <w:tab w:val="clear" w:pos="284"/>
        </w:tabs>
        <w:rPr>
          <w:rFonts w:ascii="Microsoft Sans Serif" w:hAnsi="Microsoft Sans Serif" w:cs="Microsoft Sans Serif"/>
          <w:bCs/>
          <w:sz w:val="20"/>
          <w:szCs w:val="20"/>
          <w:lang w:val="ru-RU"/>
        </w:rPr>
      </w:pPr>
      <w:r>
        <w:rPr>
          <w:rFonts w:ascii="Microsoft Sans Serif" w:hAnsi="Microsoft Sans Serif" w:cs="Microsoft Sans Serif"/>
          <w:bCs/>
          <w:sz w:val="20"/>
          <w:szCs w:val="20"/>
          <w:lang w:val="ru-RU"/>
        </w:rPr>
        <w:t>Pretklinički podaci dobijeni na osnovu konvencionalnih studija bezbednosne farmakologije, toksičnosti</w:t>
      </w:r>
      <w:r>
        <w:rPr>
          <w:rFonts w:ascii="Microsoft Sans Serif" w:hAnsi="Microsoft Sans Serif" w:cs="Microsoft Sans Serif"/>
          <w:bCs/>
          <w:sz w:val="20"/>
          <w:szCs w:val="20"/>
          <w:lang w:val="sr-Latn-RS"/>
        </w:rPr>
        <w:t xml:space="preserve"> </w:t>
      </w:r>
      <w:r>
        <w:rPr>
          <w:rFonts w:ascii="Microsoft Sans Serif" w:hAnsi="Microsoft Sans Serif" w:cs="Microsoft Sans Serif"/>
          <w:bCs/>
          <w:sz w:val="20"/>
          <w:szCs w:val="20"/>
          <w:lang w:val="ru-RU"/>
        </w:rPr>
        <w:t>pojedinačne doze, fototoksičnosti, genotoksičnosti, ka</w:t>
      </w:r>
      <w:r>
        <w:rPr>
          <w:rFonts w:ascii="Microsoft Sans Serif" w:hAnsi="Microsoft Sans Serif" w:cs="Microsoft Sans Serif"/>
          <w:bCs/>
          <w:sz w:val="20"/>
          <w:szCs w:val="20"/>
          <w:lang w:val="sr-Latn-RS"/>
        </w:rPr>
        <w:t>ncer</w:t>
      </w:r>
      <w:r>
        <w:rPr>
          <w:rFonts w:ascii="Microsoft Sans Serif" w:hAnsi="Microsoft Sans Serif" w:cs="Microsoft Sans Serif"/>
          <w:bCs/>
          <w:sz w:val="20"/>
          <w:szCs w:val="20"/>
          <w:lang w:val="ru-RU"/>
        </w:rPr>
        <w:t>ogenog potencijala i juvenilne toksičnosti, ne</w:t>
      </w:r>
      <w:r>
        <w:rPr>
          <w:rFonts w:ascii="Microsoft Sans Serif" w:hAnsi="Microsoft Sans Serif" w:cs="Microsoft Sans Serif"/>
          <w:bCs/>
          <w:sz w:val="20"/>
          <w:szCs w:val="20"/>
          <w:lang w:val="sr-Latn-RS"/>
        </w:rPr>
        <w:t xml:space="preserve"> </w:t>
      </w:r>
      <w:r>
        <w:rPr>
          <w:rFonts w:ascii="Microsoft Sans Serif" w:hAnsi="Microsoft Sans Serif" w:cs="Microsoft Sans Serif"/>
          <w:bCs/>
          <w:sz w:val="20"/>
          <w:szCs w:val="20"/>
          <w:lang w:val="ru-RU"/>
        </w:rPr>
        <w:t>ukazuju na posebne rizike pri primjeni lijeka kod lјudi.</w:t>
      </w:r>
    </w:p>
    <w:p w14:paraId="1C8CB3C4">
      <w:pPr>
        <w:tabs>
          <w:tab w:val="clear" w:pos="284"/>
        </w:tabs>
        <w:rPr>
          <w:rFonts w:ascii="Microsoft Sans Serif" w:hAnsi="Microsoft Sans Serif" w:cs="Microsoft Sans Serif"/>
          <w:bCs/>
          <w:sz w:val="20"/>
          <w:szCs w:val="20"/>
          <w:lang w:val="ru-RU"/>
        </w:rPr>
      </w:pPr>
      <w:r>
        <w:rPr>
          <w:rFonts w:ascii="Microsoft Sans Serif" w:hAnsi="Microsoft Sans Serif" w:cs="Microsoft Sans Serif"/>
          <w:bCs/>
          <w:sz w:val="20"/>
          <w:szCs w:val="20"/>
          <w:lang w:val="ru-RU"/>
        </w:rPr>
        <w:t>Efekti dobijeni u studijama toksičnosti ponovlјenih doza uglavnom su rezultat povećane farmakodinamske</w:t>
      </w:r>
      <w:r>
        <w:rPr>
          <w:rFonts w:ascii="Microsoft Sans Serif" w:hAnsi="Microsoft Sans Serif" w:cs="Microsoft Sans Serif"/>
          <w:bCs/>
          <w:sz w:val="20"/>
          <w:szCs w:val="20"/>
          <w:lang w:val="sr-Latn-RS"/>
        </w:rPr>
        <w:t xml:space="preserve"> </w:t>
      </w:r>
      <w:r>
        <w:rPr>
          <w:rFonts w:ascii="Microsoft Sans Serif" w:hAnsi="Microsoft Sans Serif" w:cs="Microsoft Sans Serif"/>
          <w:bCs/>
          <w:sz w:val="20"/>
          <w:szCs w:val="20"/>
          <w:lang w:val="ru-RU"/>
        </w:rPr>
        <w:t xml:space="preserve">aktivnosti rivaroksabana. Kod pacova, primjećeno je povećanje koncentracije </w:t>
      </w:r>
      <w:r>
        <w:rPr>
          <w:rFonts w:ascii="Microsoft Sans Serif" w:hAnsi="Microsoft Sans Serif" w:cs="Microsoft Sans Serif"/>
          <w:bCs/>
          <w:sz w:val="20"/>
          <w:szCs w:val="20"/>
          <w:lang w:val="sr-Latn-RS"/>
        </w:rPr>
        <w:t>IgG</w:t>
      </w:r>
      <w:r>
        <w:rPr>
          <w:rFonts w:ascii="Microsoft Sans Serif" w:hAnsi="Microsoft Sans Serif" w:cs="Microsoft Sans Serif"/>
          <w:bCs/>
          <w:sz w:val="20"/>
          <w:szCs w:val="20"/>
          <w:lang w:val="ru-RU"/>
        </w:rPr>
        <w:t xml:space="preserve"> i </w:t>
      </w:r>
      <w:r>
        <w:rPr>
          <w:rFonts w:ascii="Microsoft Sans Serif" w:hAnsi="Microsoft Sans Serif" w:cs="Microsoft Sans Serif"/>
          <w:bCs/>
          <w:sz w:val="20"/>
          <w:szCs w:val="20"/>
          <w:lang w:val="sr-Latn-RS"/>
        </w:rPr>
        <w:t>Ig</w:t>
      </w:r>
      <w:r>
        <w:rPr>
          <w:rFonts w:ascii="Microsoft Sans Serif" w:hAnsi="Microsoft Sans Serif" w:cs="Microsoft Sans Serif"/>
          <w:bCs/>
          <w:sz w:val="20"/>
          <w:szCs w:val="20"/>
          <w:lang w:val="ru-RU"/>
        </w:rPr>
        <w:t>A u plazmi sa klinički</w:t>
      </w:r>
      <w:r>
        <w:rPr>
          <w:rFonts w:ascii="Microsoft Sans Serif" w:hAnsi="Microsoft Sans Serif" w:cs="Microsoft Sans Serif"/>
          <w:bCs/>
          <w:sz w:val="20"/>
          <w:szCs w:val="20"/>
          <w:lang w:val="sr-Latn-RS"/>
        </w:rPr>
        <w:t xml:space="preserve"> </w:t>
      </w:r>
      <w:r>
        <w:rPr>
          <w:rFonts w:ascii="Microsoft Sans Serif" w:hAnsi="Microsoft Sans Serif" w:cs="Microsoft Sans Serif"/>
          <w:bCs/>
          <w:sz w:val="20"/>
          <w:szCs w:val="20"/>
          <w:lang w:val="ru-RU"/>
        </w:rPr>
        <w:t>značajnim vrijednostima ekspozicije.</w:t>
      </w:r>
    </w:p>
    <w:p w14:paraId="5CD935A0">
      <w:pPr>
        <w:tabs>
          <w:tab w:val="clear" w:pos="284"/>
        </w:tabs>
        <w:rPr>
          <w:rFonts w:ascii="Microsoft Sans Serif" w:hAnsi="Microsoft Sans Serif" w:cs="Microsoft Sans Serif"/>
          <w:bCs/>
          <w:sz w:val="20"/>
          <w:szCs w:val="20"/>
          <w:lang w:val="ru-RU"/>
        </w:rPr>
      </w:pPr>
      <w:r>
        <w:rPr>
          <w:rFonts w:ascii="Microsoft Sans Serif" w:hAnsi="Microsoft Sans Serif" w:cs="Microsoft Sans Serif"/>
          <w:bCs/>
          <w:sz w:val="20"/>
          <w:szCs w:val="20"/>
          <w:lang w:val="ru-RU"/>
        </w:rPr>
        <w:t>Kod pacova nije prim</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ru-RU"/>
        </w:rPr>
        <w:t>ećen uticaj na plodnost ni kod mužjaka ni kod ženki. Studije na životinjama pokazuju</w:t>
      </w:r>
      <w:r>
        <w:rPr>
          <w:rFonts w:ascii="Microsoft Sans Serif" w:hAnsi="Microsoft Sans Serif" w:cs="Microsoft Sans Serif"/>
          <w:bCs/>
          <w:sz w:val="20"/>
          <w:szCs w:val="20"/>
          <w:lang w:val="sr-Latn-RS"/>
        </w:rPr>
        <w:t xml:space="preserve"> </w:t>
      </w:r>
      <w:r>
        <w:rPr>
          <w:rFonts w:ascii="Microsoft Sans Serif" w:hAnsi="Microsoft Sans Serif" w:cs="Microsoft Sans Serif"/>
          <w:bCs/>
          <w:sz w:val="20"/>
          <w:szCs w:val="20"/>
          <w:lang w:val="ru-RU"/>
        </w:rPr>
        <w:t>reproduktivnu toksičnost koja je rezultat farmakološkog mehanizma dejstva rivaroksabana (npr.</w:t>
      </w:r>
      <w:r>
        <w:rPr>
          <w:rFonts w:ascii="Microsoft Sans Serif" w:hAnsi="Microsoft Sans Serif" w:cs="Microsoft Sans Serif"/>
          <w:bCs/>
          <w:sz w:val="20"/>
          <w:szCs w:val="20"/>
          <w:lang w:val="sr-Latn-RS"/>
        </w:rPr>
        <w:t xml:space="preserve"> </w:t>
      </w:r>
      <w:r>
        <w:rPr>
          <w:rFonts w:ascii="Microsoft Sans Serif" w:hAnsi="Microsoft Sans Serif" w:cs="Microsoft Sans Serif"/>
          <w:bCs/>
          <w:sz w:val="20"/>
          <w:szCs w:val="20"/>
          <w:lang w:val="ru-RU"/>
        </w:rPr>
        <w:t>hemoragijske komplikacije). Embrio-fetalna toksičnost (gubitak poslije implantacije, usporena/uznapredovala</w:t>
      </w:r>
      <w:r>
        <w:rPr>
          <w:rFonts w:ascii="Microsoft Sans Serif" w:hAnsi="Microsoft Sans Serif" w:cs="Microsoft Sans Serif"/>
          <w:bCs/>
          <w:sz w:val="20"/>
          <w:szCs w:val="20"/>
          <w:lang w:val="sr-Latn-RS"/>
        </w:rPr>
        <w:t xml:space="preserve"> </w:t>
      </w:r>
      <w:r>
        <w:rPr>
          <w:rFonts w:ascii="Microsoft Sans Serif" w:hAnsi="Microsoft Sans Serif" w:cs="Microsoft Sans Serif"/>
          <w:bCs/>
          <w:sz w:val="20"/>
          <w:szCs w:val="20"/>
          <w:lang w:val="ru-RU"/>
        </w:rPr>
        <w:t>osifikacija, multiple svetle mrlјe na jetri) i povećana učestalost uobičajenih malformacija, kao i promjene na</w:t>
      </w:r>
      <w:r>
        <w:rPr>
          <w:rFonts w:ascii="Microsoft Sans Serif" w:hAnsi="Microsoft Sans Serif" w:cs="Microsoft Sans Serif"/>
          <w:bCs/>
          <w:sz w:val="20"/>
          <w:szCs w:val="20"/>
          <w:lang w:val="sr-Latn-RS"/>
        </w:rPr>
        <w:t xml:space="preserve"> </w:t>
      </w:r>
      <w:r>
        <w:rPr>
          <w:rFonts w:ascii="Microsoft Sans Serif" w:hAnsi="Microsoft Sans Serif" w:cs="Microsoft Sans Serif"/>
          <w:bCs/>
          <w:sz w:val="20"/>
          <w:szCs w:val="20"/>
          <w:lang w:val="ru-RU"/>
        </w:rPr>
        <w:t>placenti, zapažene su pri klinički značajnim koncentracijama lijeka u plazmi. U studijama pre- i postnatalnog</w:t>
      </w:r>
      <w:r>
        <w:rPr>
          <w:rFonts w:ascii="Microsoft Sans Serif" w:hAnsi="Microsoft Sans Serif" w:cs="Microsoft Sans Serif"/>
          <w:bCs/>
          <w:sz w:val="20"/>
          <w:szCs w:val="20"/>
          <w:lang w:val="sr-Latn-RS"/>
        </w:rPr>
        <w:t xml:space="preserve"> </w:t>
      </w:r>
      <w:r>
        <w:rPr>
          <w:rFonts w:ascii="Microsoft Sans Serif" w:hAnsi="Microsoft Sans Serif" w:cs="Microsoft Sans Serif"/>
          <w:bCs/>
          <w:sz w:val="20"/>
          <w:szCs w:val="20"/>
          <w:lang w:val="ru-RU"/>
        </w:rPr>
        <w:t>razvoja na pacovima, prim</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ru-RU"/>
        </w:rPr>
        <w:t>ećena je smanjena sposobnost preživlјavanja okota u dozama koje su bile toksične za majke.</w:t>
      </w:r>
    </w:p>
    <w:p w14:paraId="13EB29A6"/>
    <w:p w14:paraId="3FA975B5">
      <w:pPr>
        <w:rPr>
          <w:rFonts w:ascii="Microsoft Sans Serif" w:hAnsi="Microsoft Sans Serif" w:cs="Microsoft Sans Serif"/>
          <w:sz w:val="20"/>
          <w:szCs w:val="20"/>
        </w:rPr>
      </w:pPr>
      <w:r>
        <w:rPr>
          <w:rFonts w:ascii="Microsoft Sans Serif" w:hAnsi="Microsoft Sans Serif" w:cs="Microsoft Sans Serif"/>
          <w:sz w:val="20"/>
          <w:szCs w:val="20"/>
        </w:rPr>
        <w:t>Rivaroksaban je testiran na mladim pacovima u trajanju od 3 mjeseca, po</w:t>
      </w:r>
      <w:r>
        <w:rPr>
          <w:rFonts w:ascii="Microsoft Sans Serif" w:hAnsi="Microsoft Sans Serif" w:cs="Microsoft Sans Serif"/>
          <w:sz w:val="20"/>
          <w:szCs w:val="20"/>
          <w:lang w:val="hr-BA"/>
        </w:rPr>
        <w:t>čev</w:t>
      </w:r>
      <w:r>
        <w:rPr>
          <w:rFonts w:ascii="Microsoft Sans Serif" w:hAnsi="Microsoft Sans Serif" w:cs="Microsoft Sans Serif"/>
          <w:sz w:val="20"/>
          <w:szCs w:val="20"/>
        </w:rPr>
        <w:t xml:space="preserve"> od postnatalnog 4. dana pokazujući porast periinsularnog krvarenja koji nije povezan sa dozom. Nisu primjećeni dokazi o toksičnosti</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 xml:space="preserve"> specifičnim za ciljni organ.</w:t>
      </w:r>
    </w:p>
    <w:p w14:paraId="631587A1">
      <w:pPr>
        <w:tabs>
          <w:tab w:val="clear" w:pos="284"/>
        </w:tabs>
        <w:rPr>
          <w:rFonts w:ascii="Microsoft Sans Serif" w:hAnsi="Microsoft Sans Serif" w:cs="Microsoft Sans Serif"/>
          <w:sz w:val="20"/>
          <w:szCs w:val="20"/>
        </w:rPr>
      </w:pPr>
    </w:p>
    <w:p w14:paraId="4C011463">
      <w:pPr>
        <w:tabs>
          <w:tab w:val="clear" w:pos="284"/>
        </w:tabs>
        <w:rPr>
          <w:rFonts w:ascii="Microsoft Sans Serif" w:hAnsi="Microsoft Sans Serif" w:cs="Microsoft Sans Serif"/>
          <w:sz w:val="20"/>
          <w:szCs w:val="20"/>
        </w:rPr>
      </w:pPr>
    </w:p>
    <w:p w14:paraId="6077FF31">
      <w:pPr>
        <w:pStyle w:val="17"/>
        <w:spacing w:before="0" w:after="0"/>
        <w:jc w:val="both"/>
        <w:rPr>
          <w:rFonts w:ascii="Microsoft Sans Serif" w:hAnsi="Microsoft Sans Serif" w:cs="Microsoft Sans Serif"/>
          <w:sz w:val="20"/>
          <w:szCs w:val="20"/>
        </w:rPr>
      </w:pPr>
      <w:r>
        <w:rPr>
          <w:rFonts w:ascii="Microsoft Sans Serif" w:hAnsi="Microsoft Sans Serif" w:cs="Microsoft Sans Serif"/>
          <w:sz w:val="20"/>
          <w:szCs w:val="20"/>
        </w:rPr>
        <w:t>6. FARMACEUTSKI PODACI</w:t>
      </w:r>
    </w:p>
    <w:p w14:paraId="7685E3D9">
      <w:pPr>
        <w:pStyle w:val="17"/>
        <w:spacing w:before="0" w:after="0"/>
        <w:jc w:val="both"/>
        <w:rPr>
          <w:rFonts w:ascii="Microsoft Sans Serif" w:hAnsi="Microsoft Sans Serif" w:cs="Microsoft Sans Serif"/>
          <w:sz w:val="20"/>
          <w:szCs w:val="20"/>
        </w:rPr>
      </w:pPr>
    </w:p>
    <w:p w14:paraId="0982EF00">
      <w:pPr>
        <w:rPr>
          <w:rFonts w:ascii="Microsoft Sans Serif" w:hAnsi="Microsoft Sans Serif" w:cs="Microsoft Sans Serif"/>
          <w:b/>
          <w:bCs/>
          <w:sz w:val="20"/>
          <w:szCs w:val="20"/>
          <w:lang w:val="sr-Latn-CS"/>
        </w:rPr>
      </w:pPr>
      <w:r>
        <w:rPr>
          <w:rFonts w:ascii="Microsoft Sans Serif" w:hAnsi="Microsoft Sans Serif" w:cs="Microsoft Sans Serif"/>
          <w:b/>
          <w:bCs/>
          <w:sz w:val="20"/>
          <w:szCs w:val="20"/>
        </w:rPr>
        <w:t>6.1. Lista pomo</w:t>
      </w:r>
      <w:r>
        <w:rPr>
          <w:rFonts w:ascii="Microsoft Sans Serif" w:hAnsi="Microsoft Sans Serif" w:cs="Microsoft Sans Serif"/>
          <w:b/>
          <w:bCs/>
          <w:sz w:val="20"/>
          <w:szCs w:val="20"/>
          <w:lang w:val="sr-Latn-CS"/>
        </w:rPr>
        <w:t>ćnih supstanci</w:t>
      </w:r>
    </w:p>
    <w:p w14:paraId="7F178D84">
      <w:pPr>
        <w:rPr>
          <w:rFonts w:ascii="Microsoft Sans Serif" w:hAnsi="Microsoft Sans Serif" w:cs="Microsoft Sans Serif"/>
          <w:sz w:val="20"/>
          <w:szCs w:val="20"/>
        </w:rPr>
      </w:pPr>
    </w:p>
    <w:p w14:paraId="459CFBD6">
      <w:pPr>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Jezgro tablete</w:t>
      </w:r>
    </w:p>
    <w:p w14:paraId="32761663">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Natrijum–laurilsulfat;</w:t>
      </w:r>
    </w:p>
    <w:p w14:paraId="77459F0A">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Laktoza;</w:t>
      </w:r>
    </w:p>
    <w:p w14:paraId="44F342FC">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Poloksamer 188;</w:t>
      </w:r>
    </w:p>
    <w:p w14:paraId="435D9D3B">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Celuloza</w:t>
      </w:r>
      <w:r>
        <w:rPr>
          <w:rFonts w:ascii="Microsoft Sans Serif" w:hAnsi="Microsoft Sans Serif" w:cs="Microsoft Sans Serif"/>
          <w:sz w:val="20"/>
          <w:szCs w:val="20"/>
        </w:rPr>
        <w:t>,</w:t>
      </w:r>
      <w:r>
        <w:rPr>
          <w:rFonts w:ascii="Microsoft Sans Serif" w:hAnsi="Microsoft Sans Serif" w:cs="Microsoft Sans Serif"/>
          <w:sz w:val="20"/>
          <w:szCs w:val="20"/>
          <w:lang w:val="sr-Cyrl-RS"/>
        </w:rPr>
        <w:t xml:space="preserve"> mikrokristalna;</w:t>
      </w:r>
    </w:p>
    <w:p w14:paraId="7965B88C">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Kroskarmeloza-natrijum;</w:t>
      </w:r>
    </w:p>
    <w:p w14:paraId="4E65C413">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Magnezijum-stearat;</w:t>
      </w:r>
    </w:p>
    <w:p w14:paraId="311FF86D">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Silicijum-dioksid, koloidni, bezvodni.</w:t>
      </w:r>
    </w:p>
    <w:p w14:paraId="328A3A2D">
      <w:pPr>
        <w:rPr>
          <w:rFonts w:ascii="Microsoft Sans Serif" w:hAnsi="Microsoft Sans Serif" w:cs="Microsoft Sans Serif"/>
          <w:sz w:val="20"/>
          <w:szCs w:val="20"/>
          <w:lang w:val="sr-Cyrl-RS"/>
        </w:rPr>
      </w:pPr>
    </w:p>
    <w:p w14:paraId="7BE69C3F">
      <w:pPr>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Film obloga tablete</w:t>
      </w:r>
    </w:p>
    <w:p w14:paraId="59051D2A">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Hipromeloza;</w:t>
      </w:r>
    </w:p>
    <w:p w14:paraId="343CACE6">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Titan dioksid (E171);</w:t>
      </w:r>
    </w:p>
    <w:p w14:paraId="16C1C8D3">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Makrogol 3350;</w:t>
      </w:r>
    </w:p>
    <w:p w14:paraId="23421541">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Gvožđe(</w:t>
      </w:r>
      <w:r>
        <w:rPr>
          <w:rFonts w:ascii="Microsoft Sans Serif" w:hAnsi="Microsoft Sans Serif" w:cs="Microsoft Sans Serif"/>
          <w:sz w:val="20"/>
          <w:szCs w:val="20"/>
          <w:lang w:val="sr-Latn-RS"/>
        </w:rPr>
        <w:t>III</w:t>
      </w:r>
      <w:r>
        <w:rPr>
          <w:rFonts w:ascii="Microsoft Sans Serif" w:hAnsi="Microsoft Sans Serif" w:cs="Microsoft Sans Serif"/>
          <w:sz w:val="20"/>
          <w:szCs w:val="20"/>
          <w:lang w:val="sr-Cyrl-RS"/>
        </w:rPr>
        <w:t>)-oksid, crveni (E172).</w:t>
      </w:r>
    </w:p>
    <w:p w14:paraId="393626D8">
      <w:pPr>
        <w:rPr>
          <w:rFonts w:ascii="Microsoft Sans Serif" w:hAnsi="Microsoft Sans Serif" w:cs="Microsoft Sans Serif"/>
          <w:sz w:val="20"/>
          <w:szCs w:val="20"/>
        </w:rPr>
      </w:pPr>
    </w:p>
    <w:p w14:paraId="6D7D0A34">
      <w:pPr>
        <w:rPr>
          <w:rFonts w:ascii="Microsoft Sans Serif" w:hAnsi="Microsoft Sans Serif" w:cs="Microsoft Sans Serif"/>
          <w:b/>
          <w:bCs/>
          <w:sz w:val="20"/>
          <w:szCs w:val="20"/>
        </w:rPr>
      </w:pPr>
      <w:r>
        <w:rPr>
          <w:rFonts w:ascii="Microsoft Sans Serif" w:hAnsi="Microsoft Sans Serif" w:cs="Microsoft Sans Serif"/>
          <w:b/>
          <w:bCs/>
          <w:sz w:val="20"/>
          <w:szCs w:val="20"/>
        </w:rPr>
        <w:t>6.2. Inkompatibilnost</w:t>
      </w:r>
    </w:p>
    <w:p w14:paraId="70FD4FA5">
      <w:pPr>
        <w:rPr>
          <w:rFonts w:ascii="Microsoft Sans Serif" w:hAnsi="Microsoft Sans Serif" w:cs="Microsoft Sans Serif"/>
          <w:sz w:val="20"/>
          <w:szCs w:val="20"/>
        </w:rPr>
      </w:pPr>
    </w:p>
    <w:p w14:paraId="40E5565E">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Nije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enlјivo.</w:t>
      </w:r>
    </w:p>
    <w:p w14:paraId="392F1D81">
      <w:pPr>
        <w:rPr>
          <w:rFonts w:ascii="Microsoft Sans Serif" w:hAnsi="Microsoft Sans Serif" w:cs="Microsoft Sans Serif"/>
          <w:sz w:val="20"/>
          <w:szCs w:val="20"/>
        </w:rPr>
      </w:pPr>
    </w:p>
    <w:p w14:paraId="5F8BB108">
      <w:pPr>
        <w:rPr>
          <w:rFonts w:ascii="Microsoft Sans Serif" w:hAnsi="Microsoft Sans Serif" w:cs="Microsoft Sans Serif"/>
          <w:b/>
          <w:bCs/>
          <w:sz w:val="20"/>
          <w:szCs w:val="20"/>
        </w:rPr>
      </w:pPr>
      <w:r>
        <w:rPr>
          <w:rFonts w:ascii="Microsoft Sans Serif" w:hAnsi="Microsoft Sans Serif" w:cs="Microsoft Sans Serif"/>
          <w:b/>
          <w:bCs/>
          <w:sz w:val="20"/>
          <w:szCs w:val="20"/>
        </w:rPr>
        <w:t>6.3. Rok upotrebe</w:t>
      </w:r>
    </w:p>
    <w:p w14:paraId="0D137193">
      <w:pPr>
        <w:tabs>
          <w:tab w:val="clear" w:pos="284"/>
        </w:tabs>
        <w:rPr>
          <w:rFonts w:ascii="Microsoft Sans Serif" w:hAnsi="Microsoft Sans Serif" w:cs="Microsoft Sans Serif"/>
          <w:sz w:val="20"/>
          <w:szCs w:val="20"/>
        </w:rPr>
      </w:pPr>
    </w:p>
    <w:p w14:paraId="3DF8DCEF">
      <w:pPr>
        <w:tabs>
          <w:tab w:val="clear" w:pos="284"/>
        </w:tabs>
        <w:rPr>
          <w:rFonts w:ascii="Microsoft Sans Serif" w:hAnsi="Microsoft Sans Serif" w:cs="Microsoft Sans Serif"/>
          <w:sz w:val="20"/>
          <w:szCs w:val="20"/>
          <w:lang w:val="mk-MK"/>
        </w:rPr>
      </w:pPr>
      <w:r>
        <w:rPr>
          <w:rFonts w:ascii="Microsoft Sans Serif" w:hAnsi="Microsoft Sans Serif" w:cs="Microsoft Sans Serif"/>
          <w:sz w:val="20"/>
          <w:szCs w:val="20"/>
        </w:rPr>
        <w:t>3 godine</w:t>
      </w:r>
      <w:r>
        <w:rPr>
          <w:rFonts w:ascii="Microsoft Sans Serif" w:hAnsi="Microsoft Sans Serif" w:cs="Microsoft Sans Serif"/>
          <w:sz w:val="20"/>
          <w:szCs w:val="20"/>
          <w:lang w:val="mk-MK"/>
        </w:rPr>
        <w:t>.</w:t>
      </w:r>
    </w:p>
    <w:p w14:paraId="0F409013">
      <w:pPr>
        <w:rPr>
          <w:rFonts w:ascii="Microsoft Sans Serif" w:hAnsi="Microsoft Sans Serif" w:cs="Microsoft Sans Serif"/>
          <w:sz w:val="20"/>
          <w:szCs w:val="20"/>
        </w:rPr>
      </w:pPr>
    </w:p>
    <w:p w14:paraId="3AE3D4D0">
      <w:pPr>
        <w:rPr>
          <w:rFonts w:ascii="Microsoft Sans Serif" w:hAnsi="Microsoft Sans Serif" w:cs="Microsoft Sans Serif"/>
          <w:b/>
          <w:bCs/>
          <w:sz w:val="20"/>
          <w:szCs w:val="20"/>
          <w:lang w:val="ru-RU"/>
        </w:rPr>
      </w:pPr>
      <w:r>
        <w:rPr>
          <w:rFonts w:ascii="Microsoft Sans Serif" w:hAnsi="Microsoft Sans Serif" w:cs="Microsoft Sans Serif"/>
          <w:b/>
          <w:bCs/>
          <w:sz w:val="20"/>
          <w:szCs w:val="20"/>
          <w:lang w:val="ru-RU"/>
        </w:rPr>
        <w:t xml:space="preserve">6.4. Posebne mjere </w:t>
      </w:r>
      <w:r>
        <w:rPr>
          <w:rFonts w:ascii="Microsoft Sans Serif" w:hAnsi="Microsoft Sans Serif" w:cs="Microsoft Sans Serif"/>
          <w:b/>
          <w:bCs/>
          <w:sz w:val="20"/>
          <w:szCs w:val="20"/>
        </w:rPr>
        <w:t xml:space="preserve">opreza </w:t>
      </w:r>
      <w:r>
        <w:rPr>
          <w:rFonts w:ascii="Microsoft Sans Serif" w:hAnsi="Microsoft Sans Serif" w:cs="Microsoft Sans Serif"/>
          <w:b/>
          <w:bCs/>
          <w:sz w:val="20"/>
          <w:szCs w:val="20"/>
          <w:lang w:val="ru-RU"/>
        </w:rPr>
        <w:t>pri čuvanju</w:t>
      </w:r>
    </w:p>
    <w:p w14:paraId="5167F3F9">
      <w:pPr>
        <w:tabs>
          <w:tab w:val="clear" w:pos="284"/>
        </w:tabs>
        <w:rPr>
          <w:rFonts w:ascii="Microsoft Sans Serif" w:hAnsi="Microsoft Sans Serif" w:cs="Microsoft Sans Serif"/>
          <w:sz w:val="20"/>
          <w:szCs w:val="20"/>
        </w:rPr>
      </w:pPr>
    </w:p>
    <w:p w14:paraId="63A3AD03">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Lijek treba čuvati na temperaturi do 30⁰.</w:t>
      </w:r>
    </w:p>
    <w:p w14:paraId="45EA906B">
      <w:pPr>
        <w:rPr>
          <w:rFonts w:ascii="Microsoft Sans Serif" w:hAnsi="Microsoft Sans Serif" w:cs="Microsoft Sans Serif"/>
          <w:sz w:val="20"/>
          <w:szCs w:val="20"/>
        </w:rPr>
      </w:pPr>
    </w:p>
    <w:p w14:paraId="193148A0">
      <w:pPr>
        <w:rPr>
          <w:rFonts w:ascii="Microsoft Sans Serif" w:hAnsi="Microsoft Sans Serif" w:cs="Microsoft Sans Serif"/>
          <w:b/>
          <w:bCs/>
          <w:sz w:val="20"/>
          <w:szCs w:val="20"/>
          <w:lang w:val="ru-RU"/>
        </w:rPr>
      </w:pPr>
      <w:r>
        <w:rPr>
          <w:rFonts w:ascii="Microsoft Sans Serif" w:hAnsi="Microsoft Sans Serif" w:cs="Microsoft Sans Serif"/>
          <w:b/>
          <w:bCs/>
          <w:sz w:val="20"/>
          <w:szCs w:val="20"/>
          <w:lang w:val="sr-Latn-CS"/>
        </w:rPr>
        <w:t>6.5. Priroda i sadržaj pakovanja</w:t>
      </w:r>
    </w:p>
    <w:p w14:paraId="12BBD142">
      <w:pPr>
        <w:tabs>
          <w:tab w:val="clear" w:pos="284"/>
        </w:tabs>
        <w:rPr>
          <w:rFonts w:ascii="Microsoft Sans Serif" w:hAnsi="Microsoft Sans Serif" w:cs="Microsoft Sans Serif"/>
          <w:i/>
          <w:sz w:val="20"/>
          <w:szCs w:val="20"/>
        </w:rPr>
      </w:pPr>
    </w:p>
    <w:p w14:paraId="4A578E1E">
      <w:pPr>
        <w:tabs>
          <w:tab w:val="clear" w:pos="284"/>
        </w:tabs>
        <w:rPr>
          <w:rFonts w:ascii="Microsoft Sans Serif" w:hAnsi="Microsoft Sans Serif" w:cs="Microsoft Sans Serif"/>
          <w:sz w:val="20"/>
          <w:szCs w:val="20"/>
        </w:rPr>
      </w:pPr>
      <w:r>
        <w:rPr>
          <w:rFonts w:ascii="Microsoft Sans Serif" w:hAnsi="Microsoft Sans Serif" w:cs="Microsoft Sans Serif"/>
          <w:i/>
          <w:sz w:val="20"/>
          <w:szCs w:val="20"/>
        </w:rPr>
        <w:t>Rufixalo 15 mg film tablete:</w:t>
      </w:r>
    </w:p>
    <w:p w14:paraId="1BF3F722">
      <w:pPr>
        <w:tabs>
          <w:tab w:val="clear" w:pos="284"/>
        </w:tabs>
        <w:rPr>
          <w:rFonts w:ascii="Microsoft Sans Serif" w:hAnsi="Microsoft Sans Serif" w:cs="Microsoft Sans Serif"/>
          <w:sz w:val="20"/>
          <w:szCs w:val="20"/>
          <w:highlight w:val="yellow"/>
          <w:lang w:val="mk-MK"/>
        </w:rPr>
      </w:pPr>
      <w:r>
        <w:rPr>
          <w:rFonts w:ascii="Microsoft Sans Serif" w:hAnsi="Microsoft Sans Serif" w:cs="Microsoft Sans Serif"/>
          <w:sz w:val="20"/>
          <w:szCs w:val="20"/>
        </w:rPr>
        <w:t>Unutrašnje pakovanje</w:t>
      </w:r>
      <w:r>
        <w:rPr>
          <w:rFonts w:ascii="Microsoft Sans Serif" w:hAnsi="Microsoft Sans Serif" w:cs="Microsoft Sans Serif"/>
          <w:sz w:val="20"/>
          <w:szCs w:val="20"/>
          <w:lang w:val="mk-MK"/>
        </w:rPr>
        <w:t xml:space="preserve"> lijeka je</w:t>
      </w:r>
      <w:r>
        <w:rPr>
          <w:rFonts w:ascii="Microsoft Sans Serif" w:hAnsi="Microsoft Sans Serif" w:cs="Microsoft Sans Serif"/>
          <w:sz w:val="20"/>
          <w:szCs w:val="20"/>
        </w:rPr>
        <w:t xml:space="preserve"> Al-PVC/PE/PVdC </w:t>
      </w:r>
      <w:r>
        <w:rPr>
          <w:rFonts w:ascii="Microsoft Sans Serif" w:hAnsi="Microsoft Sans Serif" w:cs="Microsoft Sans Serif"/>
          <w:sz w:val="20"/>
          <w:szCs w:val="20"/>
          <w:lang w:val="mk-MK"/>
        </w:rPr>
        <w:t>blister koji sadrži 1</w:t>
      </w:r>
      <w:r>
        <w:rPr>
          <w:rFonts w:ascii="Microsoft Sans Serif" w:hAnsi="Microsoft Sans Serif" w:cs="Microsoft Sans Serif"/>
          <w:sz w:val="20"/>
          <w:szCs w:val="20"/>
        </w:rPr>
        <w:t>4</w:t>
      </w:r>
      <w:r>
        <w:rPr>
          <w:rFonts w:ascii="Microsoft Sans Serif" w:hAnsi="Microsoft Sans Serif" w:cs="Microsoft Sans Serif"/>
          <w:sz w:val="20"/>
          <w:szCs w:val="20"/>
          <w:lang w:val="mk-MK"/>
        </w:rPr>
        <w:t xml:space="preserve"> film tableta.</w:t>
      </w:r>
    </w:p>
    <w:p w14:paraId="795C8BD8">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Spolјašnje pakovanje</w:t>
      </w:r>
      <w:r>
        <w:rPr>
          <w:rFonts w:ascii="Microsoft Sans Serif" w:hAnsi="Microsoft Sans Serif" w:cs="Microsoft Sans Serif"/>
          <w:sz w:val="20"/>
          <w:szCs w:val="20"/>
          <w:lang w:val="mk-MK"/>
        </w:rPr>
        <w:t xml:space="preserve"> lijeka je</w:t>
      </w:r>
      <w:r>
        <w:rPr>
          <w:rFonts w:ascii="Microsoft Sans Serif" w:hAnsi="Microsoft Sans Serif" w:cs="Microsoft Sans Serif"/>
          <w:sz w:val="20"/>
          <w:szCs w:val="20"/>
        </w:rPr>
        <w:t xml:space="preserve"> kartonska kutija koja sadrži </w:t>
      </w:r>
      <w:r>
        <w:rPr>
          <w:rFonts w:ascii="Microsoft Sans Serif" w:hAnsi="Microsoft Sans Serif" w:cs="Microsoft Sans Serif"/>
          <w:sz w:val="20"/>
          <w:szCs w:val="20"/>
          <w:lang w:val="mk-MK"/>
        </w:rPr>
        <w:t>2</w:t>
      </w:r>
      <w:r>
        <w:rPr>
          <w:rFonts w:ascii="Microsoft Sans Serif" w:hAnsi="Microsoft Sans Serif" w:cs="Microsoft Sans Serif"/>
          <w:sz w:val="20"/>
          <w:szCs w:val="20"/>
        </w:rPr>
        <w:t xml:space="preserve"> </w:t>
      </w:r>
      <w:r>
        <w:rPr>
          <w:rFonts w:ascii="Microsoft Sans Serif" w:hAnsi="Microsoft Sans Serif" w:cs="Microsoft Sans Serif"/>
          <w:sz w:val="20"/>
          <w:szCs w:val="20"/>
          <w:lang w:val="mk-MK"/>
        </w:rPr>
        <w:t>blistera (ukupno 28 film tableta) ili 3</w:t>
      </w:r>
      <w:r>
        <w:rPr>
          <w:rFonts w:ascii="Microsoft Sans Serif" w:hAnsi="Microsoft Sans Serif" w:cs="Microsoft Sans Serif"/>
          <w:sz w:val="20"/>
          <w:szCs w:val="20"/>
        </w:rPr>
        <w:t xml:space="preserve"> blistera (ukupno </w:t>
      </w:r>
      <w:r>
        <w:rPr>
          <w:rFonts w:ascii="Microsoft Sans Serif" w:hAnsi="Microsoft Sans Serif" w:cs="Microsoft Sans Serif"/>
          <w:sz w:val="20"/>
          <w:szCs w:val="20"/>
          <w:lang w:val="mk-MK"/>
        </w:rPr>
        <w:t xml:space="preserve">42 </w:t>
      </w:r>
      <w:r>
        <w:rPr>
          <w:rFonts w:ascii="Microsoft Sans Serif" w:hAnsi="Microsoft Sans Serif" w:cs="Microsoft Sans Serif"/>
          <w:sz w:val="20"/>
          <w:szCs w:val="20"/>
        </w:rPr>
        <w:t>film tableta) i Uputstvo za pacijenta.</w:t>
      </w:r>
    </w:p>
    <w:p w14:paraId="6E6DDC05">
      <w:pPr>
        <w:tabs>
          <w:tab w:val="clear" w:pos="284"/>
        </w:tabs>
        <w:rPr>
          <w:rFonts w:ascii="Microsoft Sans Serif" w:hAnsi="Microsoft Sans Serif" w:cs="Microsoft Sans Serif"/>
          <w:sz w:val="20"/>
          <w:szCs w:val="20"/>
        </w:rPr>
      </w:pPr>
    </w:p>
    <w:p w14:paraId="079EA415">
      <w:pPr>
        <w:tabs>
          <w:tab w:val="clear" w:pos="284"/>
        </w:tabs>
        <w:rPr>
          <w:rFonts w:ascii="Microsoft Sans Serif" w:hAnsi="Microsoft Sans Serif" w:cs="Microsoft Sans Serif"/>
          <w:sz w:val="20"/>
          <w:szCs w:val="20"/>
        </w:rPr>
      </w:pPr>
      <w:r>
        <w:rPr>
          <w:rFonts w:ascii="Microsoft Sans Serif" w:hAnsi="Microsoft Sans Serif" w:cs="Microsoft Sans Serif"/>
          <w:i/>
          <w:sz w:val="20"/>
          <w:szCs w:val="20"/>
        </w:rPr>
        <w:t xml:space="preserve">Rufixalo </w:t>
      </w:r>
      <w:r>
        <w:rPr>
          <w:rFonts w:ascii="Microsoft Sans Serif" w:hAnsi="Microsoft Sans Serif" w:cs="Microsoft Sans Serif"/>
          <w:i/>
          <w:sz w:val="20"/>
          <w:szCs w:val="20"/>
          <w:lang w:val="mk-MK"/>
        </w:rPr>
        <w:t>20</w:t>
      </w:r>
      <w:r>
        <w:rPr>
          <w:rFonts w:ascii="Microsoft Sans Serif" w:hAnsi="Microsoft Sans Serif" w:cs="Microsoft Sans Serif"/>
          <w:i/>
          <w:sz w:val="20"/>
          <w:szCs w:val="20"/>
        </w:rPr>
        <w:t xml:space="preserve"> mg film tablete:</w:t>
      </w:r>
    </w:p>
    <w:p w14:paraId="6C095B45">
      <w:pPr>
        <w:tabs>
          <w:tab w:val="clear" w:pos="284"/>
        </w:tabs>
        <w:rPr>
          <w:rFonts w:ascii="Microsoft Sans Serif" w:hAnsi="Microsoft Sans Serif" w:cs="Microsoft Sans Serif"/>
          <w:sz w:val="20"/>
          <w:szCs w:val="20"/>
          <w:highlight w:val="yellow"/>
          <w:lang w:val="mk-MK"/>
        </w:rPr>
      </w:pPr>
      <w:r>
        <w:rPr>
          <w:rFonts w:ascii="Microsoft Sans Serif" w:hAnsi="Microsoft Sans Serif" w:cs="Microsoft Sans Serif"/>
          <w:sz w:val="20"/>
          <w:szCs w:val="20"/>
        </w:rPr>
        <w:t>Unutrašnje pakovanje</w:t>
      </w:r>
      <w:r>
        <w:rPr>
          <w:rFonts w:ascii="Microsoft Sans Serif" w:hAnsi="Microsoft Sans Serif" w:cs="Microsoft Sans Serif"/>
          <w:sz w:val="20"/>
          <w:szCs w:val="20"/>
          <w:lang w:val="mk-MK"/>
        </w:rPr>
        <w:t xml:space="preserve"> lijeka je</w:t>
      </w:r>
      <w:r>
        <w:rPr>
          <w:rFonts w:ascii="Microsoft Sans Serif" w:hAnsi="Microsoft Sans Serif" w:cs="Microsoft Sans Serif"/>
          <w:sz w:val="20"/>
          <w:szCs w:val="20"/>
        </w:rPr>
        <w:t xml:space="preserve"> Al-PVC/PE/PVdC </w:t>
      </w:r>
      <w:r>
        <w:rPr>
          <w:rFonts w:ascii="Microsoft Sans Serif" w:hAnsi="Microsoft Sans Serif" w:cs="Microsoft Sans Serif"/>
          <w:sz w:val="20"/>
          <w:szCs w:val="20"/>
          <w:lang w:val="mk-MK"/>
        </w:rPr>
        <w:t>blister koji sadrži 1</w:t>
      </w:r>
      <w:r>
        <w:rPr>
          <w:rFonts w:ascii="Microsoft Sans Serif" w:hAnsi="Microsoft Sans Serif" w:cs="Microsoft Sans Serif"/>
          <w:sz w:val="20"/>
          <w:szCs w:val="20"/>
        </w:rPr>
        <w:t>4</w:t>
      </w:r>
      <w:r>
        <w:rPr>
          <w:rFonts w:ascii="Microsoft Sans Serif" w:hAnsi="Microsoft Sans Serif" w:cs="Microsoft Sans Serif"/>
          <w:sz w:val="20"/>
          <w:szCs w:val="20"/>
          <w:lang w:val="mk-MK"/>
        </w:rPr>
        <w:t xml:space="preserve"> film tableta.</w:t>
      </w:r>
    </w:p>
    <w:p w14:paraId="3DFF5543">
      <w:pPr>
        <w:tabs>
          <w:tab w:val="clear" w:pos="284"/>
        </w:tabs>
        <w:rPr>
          <w:rFonts w:ascii="Microsoft Sans Serif" w:hAnsi="Microsoft Sans Serif" w:cs="Microsoft Sans Serif"/>
          <w:sz w:val="20"/>
          <w:szCs w:val="20"/>
        </w:rPr>
      </w:pPr>
      <w:r>
        <w:rPr>
          <w:rFonts w:ascii="Microsoft Sans Serif" w:hAnsi="Microsoft Sans Serif" w:cs="Microsoft Sans Serif"/>
          <w:sz w:val="20"/>
          <w:szCs w:val="20"/>
        </w:rPr>
        <w:t>Spolјašnje pakovanje</w:t>
      </w:r>
      <w:r>
        <w:rPr>
          <w:rFonts w:ascii="Microsoft Sans Serif" w:hAnsi="Microsoft Sans Serif" w:cs="Microsoft Sans Serif"/>
          <w:sz w:val="20"/>
          <w:szCs w:val="20"/>
          <w:lang w:val="mk-MK"/>
        </w:rPr>
        <w:t xml:space="preserve"> lijeka je</w:t>
      </w:r>
      <w:r>
        <w:rPr>
          <w:rFonts w:ascii="Microsoft Sans Serif" w:hAnsi="Microsoft Sans Serif" w:cs="Microsoft Sans Serif"/>
          <w:sz w:val="20"/>
          <w:szCs w:val="20"/>
        </w:rPr>
        <w:t xml:space="preserve"> kartonska kutija koja sadrži </w:t>
      </w:r>
      <w:r>
        <w:rPr>
          <w:rFonts w:ascii="Microsoft Sans Serif" w:hAnsi="Microsoft Sans Serif" w:cs="Microsoft Sans Serif"/>
          <w:sz w:val="20"/>
          <w:szCs w:val="20"/>
          <w:lang w:val="mk-MK"/>
        </w:rPr>
        <w:t>2</w:t>
      </w:r>
      <w:r>
        <w:rPr>
          <w:rFonts w:ascii="Microsoft Sans Serif" w:hAnsi="Microsoft Sans Serif" w:cs="Microsoft Sans Serif"/>
          <w:sz w:val="20"/>
          <w:szCs w:val="20"/>
        </w:rPr>
        <w:t xml:space="preserve"> </w:t>
      </w:r>
      <w:r>
        <w:rPr>
          <w:rFonts w:ascii="Microsoft Sans Serif" w:hAnsi="Microsoft Sans Serif" w:cs="Microsoft Sans Serif"/>
          <w:sz w:val="20"/>
          <w:szCs w:val="20"/>
          <w:lang w:val="mk-MK"/>
        </w:rPr>
        <w:t xml:space="preserve">blistera (ukupno 28 film tableta) </w:t>
      </w:r>
      <w:r>
        <w:rPr>
          <w:rFonts w:ascii="Microsoft Sans Serif" w:hAnsi="Microsoft Sans Serif" w:cs="Microsoft Sans Serif"/>
          <w:sz w:val="20"/>
          <w:szCs w:val="20"/>
        </w:rPr>
        <w:t>i Uputstvo za pacijenta.</w:t>
      </w:r>
    </w:p>
    <w:p w14:paraId="0776B419">
      <w:pPr>
        <w:rPr>
          <w:rFonts w:ascii="Microsoft Sans Serif" w:hAnsi="Microsoft Sans Serif" w:cs="Microsoft Sans Serif"/>
          <w:sz w:val="20"/>
          <w:szCs w:val="20"/>
        </w:rPr>
      </w:pPr>
    </w:p>
    <w:p w14:paraId="6FE7E4DE">
      <w:pPr>
        <w:rPr>
          <w:rFonts w:ascii="Microsoft Sans Serif" w:hAnsi="Microsoft Sans Serif" w:cs="Microsoft Sans Serif"/>
          <w:b/>
          <w:bCs/>
          <w:sz w:val="20"/>
          <w:szCs w:val="20"/>
          <w:lang w:val="sr-Latn-CS"/>
        </w:rPr>
      </w:pPr>
      <w:r>
        <w:rPr>
          <w:rFonts w:ascii="Microsoft Sans Serif" w:hAnsi="Microsoft Sans Serif" w:cs="Microsoft Sans Serif"/>
          <w:b/>
          <w:bCs/>
          <w:sz w:val="20"/>
          <w:szCs w:val="20"/>
          <w:lang w:val="ru-RU"/>
        </w:rPr>
        <w:t xml:space="preserve">6.6. Posebne mjere opreza pri odlaganju materijala koji treba odbaciti nakon primjene lijeka </w:t>
      </w:r>
      <w:r>
        <w:rPr>
          <w:rFonts w:ascii="Microsoft Sans Serif" w:hAnsi="Microsoft Sans Serif" w:cs="Microsoft Sans Serif"/>
          <w:b/>
          <w:bCs/>
          <w:sz w:val="20"/>
          <w:szCs w:val="20"/>
          <w:lang w:val="sr-Latn-CS"/>
        </w:rPr>
        <w:t>(i druga uputstva za rukovanje lijekom)</w:t>
      </w:r>
    </w:p>
    <w:p w14:paraId="2E4404EC">
      <w:pPr>
        <w:rPr>
          <w:rFonts w:ascii="Microsoft Sans Serif" w:hAnsi="Microsoft Sans Serif" w:cs="Microsoft Sans Serif"/>
          <w:sz w:val="20"/>
          <w:szCs w:val="20"/>
        </w:rPr>
      </w:pPr>
    </w:p>
    <w:p w14:paraId="027D9759">
      <w:pPr>
        <w:rPr>
          <w:rFonts w:ascii="Microsoft Sans Serif" w:hAnsi="Microsoft Sans Serif" w:cs="Microsoft Sans Serif"/>
          <w:sz w:val="20"/>
          <w:szCs w:val="20"/>
        </w:rPr>
      </w:pPr>
      <w:r>
        <w:rPr>
          <w:rFonts w:ascii="Microsoft Sans Serif" w:hAnsi="Microsoft Sans Serif" w:cs="Microsoft Sans Serif"/>
          <w:sz w:val="20"/>
          <w:szCs w:val="20"/>
        </w:rPr>
        <w:t>Svu neiskorištenu količinu lijeka ili otpadnog materijala nakon njegove upotrebe treba ukloniti, u skladu 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važećim propisima.</w:t>
      </w:r>
    </w:p>
    <w:p w14:paraId="2723DAFE">
      <w:pPr>
        <w:ind w:left="2" w:right="608"/>
        <w:rPr>
          <w:u w:val="single"/>
        </w:rPr>
      </w:pPr>
    </w:p>
    <w:p w14:paraId="46EB31B2">
      <w:pPr>
        <w:ind w:left="2" w:right="620"/>
        <w:rPr>
          <w:rFonts w:ascii="Microsoft Sans Serif" w:hAnsi="Microsoft Sans Serif" w:cs="Microsoft Sans Serif"/>
          <w:sz w:val="20"/>
          <w:szCs w:val="20"/>
          <w:u w:val="single"/>
        </w:rPr>
      </w:pPr>
      <w:r>
        <w:rPr>
          <w:rFonts w:ascii="Microsoft Sans Serif" w:hAnsi="Microsoft Sans Serif" w:cs="Microsoft Sans Serif"/>
          <w:sz w:val="20"/>
          <w:szCs w:val="20"/>
          <w:u w:val="single"/>
        </w:rPr>
        <w:t>Lomljenje tableta</w:t>
      </w:r>
    </w:p>
    <w:p w14:paraId="42A4D961">
      <w:pPr>
        <w:rPr>
          <w:rFonts w:ascii="Microsoft Sans Serif" w:hAnsi="Microsoft Sans Serif" w:cs="Microsoft Sans Serif"/>
          <w:sz w:val="20"/>
          <w:szCs w:val="20"/>
          <w:u w:val="single"/>
        </w:rPr>
      </w:pPr>
      <w:r>
        <w:rPr>
          <w:rFonts w:ascii="Microsoft Sans Serif" w:hAnsi="Microsoft Sans Serif" w:cs="Microsoft Sans Serif"/>
          <w:sz w:val="20"/>
          <w:szCs w:val="20"/>
        </w:rPr>
        <w:t>Rivaroksaban tablete se mogu slomiti i suspendovati u 50 ml vode i primjeniti putem nazogastrične sonde ili gastrične sonde za hranjenje nakon što se gastrična sonda postavi sa sigurnošću. Poslije aplikacije</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 xml:space="preserve"> sondu treba isprati vodom. Budući da apsorpcija rivaroksabana zavisi od mjesta oslobađanja aktivne supstance, treba izbjegavati davanje rivaroksabana distalno od želuca, jer to može rezultirati smanjenom apsorpcijom, a time i smanjenoj izloženosti aktivne supstance. Enteralno hranjenje je potrebno odmah nakon primjene rivaroksaban tablete od 15 mg ili 20 mg.</w:t>
      </w:r>
      <w:r>
        <w:rPr>
          <w:rFonts w:ascii="Microsoft Sans Serif" w:hAnsi="Microsoft Sans Serif" w:cs="Microsoft Sans Serif"/>
          <w:sz w:val="20"/>
          <w:szCs w:val="20"/>
          <w:u w:val="single"/>
        </w:rPr>
        <w:t xml:space="preserve"> </w:t>
      </w:r>
    </w:p>
    <w:p w14:paraId="0384CC5E">
      <w:pPr>
        <w:rPr>
          <w:rFonts w:ascii="Microsoft Sans Serif" w:hAnsi="Microsoft Sans Serif" w:cs="Microsoft Sans Serif"/>
          <w:sz w:val="20"/>
          <w:szCs w:val="20"/>
          <w:u w:val="single"/>
        </w:rPr>
      </w:pPr>
    </w:p>
    <w:p w14:paraId="3E040E32">
      <w:pPr>
        <w:rPr>
          <w:rFonts w:ascii="Microsoft Sans Serif" w:hAnsi="Microsoft Sans Serif" w:cs="Microsoft Sans Serif"/>
          <w:sz w:val="20"/>
          <w:szCs w:val="20"/>
          <w:u w:val="single"/>
        </w:rPr>
      </w:pPr>
    </w:p>
    <w:p w14:paraId="16F4DA53">
      <w:pPr>
        <w:rPr>
          <w:rFonts w:ascii="Microsoft Sans Serif" w:hAnsi="Microsoft Sans Serif" w:cs="Microsoft Sans Serif"/>
          <w:sz w:val="20"/>
          <w:szCs w:val="20"/>
          <w:u w:val="single"/>
        </w:rPr>
      </w:pPr>
    </w:p>
    <w:p w14:paraId="6CBB81A9">
      <w:pPr>
        <w:numPr>
          <w:ilvl w:val="1"/>
          <w:numId w:val="3"/>
        </w:numPr>
        <w:tabs>
          <w:tab w:val="clear" w:pos="284"/>
        </w:tabs>
        <w:rPr>
          <w:rFonts w:ascii="Microsoft Sans Serif" w:hAnsi="Microsoft Sans Serif" w:cs="Microsoft Sans Serif"/>
          <w:b/>
          <w:sz w:val="20"/>
          <w:lang w:val="sr-Latn-BA"/>
        </w:rPr>
      </w:pPr>
      <w:r>
        <w:rPr>
          <w:rFonts w:ascii="Microsoft Sans Serif" w:hAnsi="Microsoft Sans Serif" w:cs="Microsoft Sans Serif"/>
          <w:b/>
          <w:sz w:val="20"/>
          <w:lang w:val="sr-Latn-BA"/>
        </w:rPr>
        <w:t>Režim izdavanja</w:t>
      </w:r>
    </w:p>
    <w:p w14:paraId="706A1A0A">
      <w:pPr>
        <w:tabs>
          <w:tab w:val="left" w:pos="567"/>
        </w:tabs>
        <w:rPr>
          <w:rFonts w:ascii="Microsoft Sans Serif" w:hAnsi="Microsoft Sans Serif" w:cs="Microsoft Sans Serif"/>
          <w:sz w:val="20"/>
          <w:lang w:val="sr-Latn-BA"/>
        </w:rPr>
      </w:pPr>
    </w:p>
    <w:p w14:paraId="3175F655">
      <w:pPr>
        <w:rPr>
          <w:rFonts w:ascii="Microsoft Sans Serif" w:hAnsi="Microsoft Sans Serif" w:cs="Microsoft Sans Serif"/>
          <w:sz w:val="20"/>
          <w:lang w:val="fr-FR"/>
        </w:rPr>
      </w:pPr>
      <w:r>
        <w:rPr>
          <w:rFonts w:ascii="Microsoft Sans Serif" w:hAnsi="Microsoft Sans Serif" w:cs="Microsoft Sans Serif"/>
          <w:sz w:val="20"/>
          <w:lang w:val="fr-FR"/>
        </w:rPr>
        <w:t>Lijek se izdaje uz ljekarski recept.</w:t>
      </w:r>
    </w:p>
    <w:p w14:paraId="18A0D296">
      <w:pPr>
        <w:rPr>
          <w:rFonts w:ascii="Microsoft Sans Serif" w:hAnsi="Microsoft Sans Serif" w:cs="Microsoft Sans Serif"/>
          <w:sz w:val="20"/>
          <w:szCs w:val="20"/>
        </w:rPr>
      </w:pPr>
    </w:p>
    <w:p w14:paraId="49342BCA">
      <w:pPr>
        <w:rPr>
          <w:rFonts w:ascii="Microsoft Sans Serif" w:hAnsi="Microsoft Sans Serif" w:cs="Microsoft Sans Serif"/>
          <w:sz w:val="20"/>
          <w:szCs w:val="20"/>
        </w:rPr>
      </w:pPr>
    </w:p>
    <w:p w14:paraId="3CA850F1">
      <w:pPr>
        <w:rPr>
          <w:rFonts w:ascii="Microsoft Sans Serif" w:hAnsi="Microsoft Sans Serif" w:cs="Microsoft Sans Serif"/>
          <w:sz w:val="20"/>
          <w:szCs w:val="20"/>
        </w:rPr>
      </w:pPr>
    </w:p>
    <w:p w14:paraId="7180BE25">
      <w:pPr>
        <w:tabs>
          <w:tab w:val="left" w:pos="709"/>
        </w:tabs>
        <w:rPr>
          <w:rFonts w:ascii="Microsoft Sans Serif" w:hAnsi="Microsoft Sans Serif" w:cs="Microsoft Sans Serif"/>
          <w:b/>
          <w:sz w:val="20"/>
          <w:szCs w:val="20"/>
          <w:lang w:val="sr-Latn-BA"/>
        </w:rPr>
      </w:pPr>
      <w:r>
        <w:rPr>
          <w:rFonts w:ascii="Microsoft Sans Serif" w:hAnsi="Microsoft Sans Serif" w:cs="Microsoft Sans Serif"/>
          <w:b/>
          <w:sz w:val="20"/>
          <w:szCs w:val="20"/>
          <w:lang w:val="sr-Latn-BA"/>
        </w:rPr>
        <w:t>7.</w:t>
      </w:r>
      <w:r>
        <w:rPr>
          <w:rFonts w:ascii="Microsoft Sans Serif" w:hAnsi="Microsoft Sans Serif" w:cs="Microsoft Sans Serif"/>
          <w:b/>
          <w:sz w:val="20"/>
          <w:szCs w:val="20"/>
          <w:lang w:val="sr-Latn-BA"/>
        </w:rPr>
        <w:tab/>
      </w:r>
      <w:r>
        <w:rPr>
          <w:rFonts w:ascii="Microsoft Sans Serif" w:hAnsi="Microsoft Sans Serif" w:cs="Microsoft Sans Serif"/>
          <w:b/>
          <w:sz w:val="20"/>
          <w:szCs w:val="20"/>
          <w:lang w:val="sr-Latn-BA"/>
        </w:rPr>
        <w:tab/>
      </w:r>
      <w:r>
        <w:rPr>
          <w:rFonts w:ascii="Microsoft Sans Serif" w:hAnsi="Microsoft Sans Serif" w:cs="Microsoft Sans Serif"/>
          <w:b/>
          <w:sz w:val="20"/>
          <w:szCs w:val="20"/>
          <w:lang w:val="sr-Latn-BA"/>
        </w:rPr>
        <w:t xml:space="preserve">PROIZVOĐAČ </w:t>
      </w:r>
    </w:p>
    <w:p w14:paraId="730B8281">
      <w:pPr>
        <w:rPr>
          <w:rFonts w:ascii="Microsoft Sans Serif" w:hAnsi="Microsoft Sans Serif" w:cs="Microsoft Sans Serif"/>
          <w:sz w:val="20"/>
          <w:szCs w:val="20"/>
          <w:lang w:val="hr-HR"/>
        </w:rPr>
      </w:pPr>
    </w:p>
    <w:p w14:paraId="1B9A92D1">
      <w:pPr>
        <w:rPr>
          <w:rFonts w:ascii="Microsoft Sans Serif" w:hAnsi="Microsoft Sans Serif" w:cs="Microsoft Sans Serif"/>
          <w:i/>
          <w:sz w:val="20"/>
          <w:szCs w:val="20"/>
          <w:lang w:val="hr-HR"/>
        </w:rPr>
      </w:pPr>
      <w:r>
        <w:rPr>
          <w:rFonts w:ascii="Microsoft Sans Serif" w:hAnsi="Microsoft Sans Serif" w:cs="Microsoft Sans Serif"/>
          <w:sz w:val="20"/>
          <w:szCs w:val="20"/>
          <w:lang w:val="hr-HR"/>
        </w:rPr>
        <w:t>ALKALOID AD Skopje</w:t>
      </w:r>
      <w:r>
        <w:rPr>
          <w:rFonts w:ascii="Microsoft Sans Serif" w:hAnsi="Microsoft Sans Serif" w:cs="Microsoft Sans Serif"/>
          <w:sz w:val="20"/>
          <w:szCs w:val="20"/>
          <w:lang w:val="hr-HR"/>
        </w:rPr>
        <w:tab/>
      </w:r>
    </w:p>
    <w:p w14:paraId="13FF0A76">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Bul. Aleksandar Makedonski br. 12</w:t>
      </w:r>
      <w:r>
        <w:rPr>
          <w:rFonts w:ascii="Microsoft Sans Serif" w:hAnsi="Microsoft Sans Serif" w:cs="Microsoft Sans Serif"/>
          <w:sz w:val="20"/>
          <w:szCs w:val="20"/>
          <w:lang w:val="hr-HR"/>
        </w:rPr>
        <w:tab/>
      </w:r>
      <w:r>
        <w:rPr>
          <w:rFonts w:ascii="Microsoft Sans Serif" w:hAnsi="Microsoft Sans Serif" w:cs="Microsoft Sans Serif"/>
          <w:sz w:val="20"/>
          <w:szCs w:val="20"/>
          <w:lang w:val="hr-HR"/>
        </w:rPr>
        <w:tab/>
      </w:r>
      <w:r>
        <w:rPr>
          <w:rFonts w:ascii="Microsoft Sans Serif" w:hAnsi="Microsoft Sans Serif" w:cs="Microsoft Sans Serif"/>
          <w:sz w:val="20"/>
          <w:szCs w:val="20"/>
          <w:lang w:val="hr-HR"/>
        </w:rPr>
        <w:tab/>
      </w:r>
    </w:p>
    <w:p w14:paraId="3A40FCA0">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1000 Skopje, Republika Severna Makedonija</w:t>
      </w:r>
      <w:r>
        <w:rPr>
          <w:rFonts w:ascii="Microsoft Sans Serif" w:hAnsi="Microsoft Sans Serif" w:cs="Microsoft Sans Serif"/>
          <w:sz w:val="20"/>
          <w:szCs w:val="20"/>
          <w:lang w:val="hr-HR"/>
        </w:rPr>
        <w:tab/>
      </w:r>
    </w:p>
    <w:p w14:paraId="6A2862F5">
      <w:pPr>
        <w:rPr>
          <w:rFonts w:ascii="Microsoft Sans Serif" w:hAnsi="Microsoft Sans Serif" w:cs="Microsoft Sans Serif"/>
          <w:sz w:val="20"/>
          <w:szCs w:val="20"/>
          <w:lang w:val="hr-HR"/>
        </w:rPr>
      </w:pPr>
    </w:p>
    <w:p w14:paraId="2A69533B">
      <w:pPr>
        <w:rPr>
          <w:rFonts w:ascii="Microsoft Sans Serif" w:hAnsi="Microsoft Sans Serif" w:cs="Microsoft Sans Serif"/>
          <w:b/>
          <w:sz w:val="20"/>
          <w:szCs w:val="20"/>
          <w:lang w:val="sr-Latn-BA"/>
        </w:rPr>
      </w:pPr>
      <w:r>
        <w:rPr>
          <w:rFonts w:ascii="Microsoft Sans Serif" w:hAnsi="Microsoft Sans Serif" w:cs="Microsoft Sans Serif"/>
          <w:b/>
          <w:sz w:val="20"/>
          <w:szCs w:val="20"/>
          <w:lang w:val="sr-Latn-BA"/>
        </w:rPr>
        <w:t xml:space="preserve">Proizvođač gotovog lijeka </w:t>
      </w:r>
    </w:p>
    <w:p w14:paraId="25AACC70">
      <w:pPr>
        <w:rPr>
          <w:rFonts w:ascii="Microsoft Sans Serif" w:hAnsi="Microsoft Sans Serif" w:cs="Microsoft Sans Serif"/>
          <w:i/>
          <w:sz w:val="20"/>
          <w:szCs w:val="20"/>
          <w:lang w:val="hr-HR"/>
        </w:rPr>
      </w:pPr>
      <w:r>
        <w:rPr>
          <w:rFonts w:ascii="Microsoft Sans Serif" w:hAnsi="Microsoft Sans Serif" w:cs="Microsoft Sans Serif"/>
          <w:sz w:val="20"/>
          <w:szCs w:val="20"/>
          <w:lang w:val="hr-HR"/>
        </w:rPr>
        <w:t>ALKALOID AD Skopje</w:t>
      </w:r>
      <w:r>
        <w:rPr>
          <w:rFonts w:ascii="Microsoft Sans Serif" w:hAnsi="Microsoft Sans Serif" w:cs="Microsoft Sans Serif"/>
          <w:sz w:val="20"/>
          <w:szCs w:val="20"/>
          <w:lang w:val="hr-HR"/>
        </w:rPr>
        <w:tab/>
      </w:r>
    </w:p>
    <w:p w14:paraId="24719B89">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Bul. Aleksandar Makedonski br. 12</w:t>
      </w:r>
      <w:r>
        <w:rPr>
          <w:rFonts w:ascii="Microsoft Sans Serif" w:hAnsi="Microsoft Sans Serif" w:cs="Microsoft Sans Serif"/>
          <w:sz w:val="20"/>
          <w:szCs w:val="20"/>
          <w:lang w:val="hr-HR"/>
        </w:rPr>
        <w:tab/>
      </w:r>
      <w:r>
        <w:rPr>
          <w:rFonts w:ascii="Microsoft Sans Serif" w:hAnsi="Microsoft Sans Serif" w:cs="Microsoft Sans Serif"/>
          <w:sz w:val="20"/>
          <w:szCs w:val="20"/>
          <w:lang w:val="hr-HR"/>
        </w:rPr>
        <w:tab/>
      </w:r>
      <w:r>
        <w:rPr>
          <w:rFonts w:ascii="Microsoft Sans Serif" w:hAnsi="Microsoft Sans Serif" w:cs="Microsoft Sans Serif"/>
          <w:sz w:val="20"/>
          <w:szCs w:val="20"/>
          <w:lang w:val="hr-HR"/>
        </w:rPr>
        <w:tab/>
      </w:r>
    </w:p>
    <w:p w14:paraId="3568AF1C">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1000 Skopje, Republika Severna Makedonija</w:t>
      </w:r>
      <w:r>
        <w:rPr>
          <w:rFonts w:ascii="Microsoft Sans Serif" w:hAnsi="Microsoft Sans Serif" w:cs="Microsoft Sans Serif"/>
          <w:sz w:val="20"/>
          <w:szCs w:val="20"/>
          <w:lang w:val="hr-HR"/>
        </w:rPr>
        <w:tab/>
      </w:r>
    </w:p>
    <w:p w14:paraId="0C12A4EF">
      <w:pPr>
        <w:rPr>
          <w:rFonts w:ascii="Microsoft Sans Serif" w:hAnsi="Microsoft Sans Serif" w:cs="Microsoft Sans Serif"/>
          <w:sz w:val="20"/>
          <w:szCs w:val="20"/>
          <w:lang w:val="sr-Latn-BA"/>
        </w:rPr>
      </w:pPr>
    </w:p>
    <w:p w14:paraId="424E1D8C">
      <w:pPr>
        <w:rPr>
          <w:rFonts w:ascii="Microsoft Sans Serif" w:hAnsi="Microsoft Sans Serif" w:cs="Microsoft Sans Serif"/>
          <w:b/>
          <w:sz w:val="20"/>
          <w:szCs w:val="20"/>
          <w:lang w:val="sr-Latn-BA"/>
        </w:rPr>
      </w:pPr>
      <w:r>
        <w:rPr>
          <w:rFonts w:ascii="Microsoft Sans Serif" w:hAnsi="Microsoft Sans Serif" w:cs="Microsoft Sans Serif"/>
          <w:b/>
          <w:sz w:val="20"/>
          <w:szCs w:val="20"/>
          <w:lang w:val="sr-Latn-BA"/>
        </w:rPr>
        <w:t xml:space="preserve">Nositelj dozvole za stavljanje gotovog lijeka u promet </w:t>
      </w:r>
    </w:p>
    <w:p w14:paraId="49D04A97">
      <w:pPr>
        <w:pStyle w:val="13"/>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ALKALOID d.o.o. Sarajevo </w:t>
      </w:r>
    </w:p>
    <w:p w14:paraId="56CA6EAD">
      <w:pPr>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Isevića sokak 6, Sarajevo</w:t>
      </w:r>
    </w:p>
    <w:p w14:paraId="2F04CB4D">
      <w:pPr>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Bosna i Hercegovina</w:t>
      </w:r>
    </w:p>
    <w:p w14:paraId="65F80464">
      <w:pPr>
        <w:rPr>
          <w:rFonts w:ascii="Microsoft Sans Serif" w:hAnsi="Microsoft Sans Serif" w:cs="Microsoft Sans Serif"/>
          <w:sz w:val="20"/>
          <w:szCs w:val="20"/>
        </w:rPr>
      </w:pPr>
    </w:p>
    <w:p w14:paraId="76CD4BBD">
      <w:pPr>
        <w:rPr>
          <w:rFonts w:ascii="Microsoft Sans Serif" w:hAnsi="Microsoft Sans Serif" w:cs="Microsoft Sans Serif"/>
          <w:sz w:val="20"/>
          <w:szCs w:val="20"/>
        </w:rPr>
      </w:pPr>
    </w:p>
    <w:p w14:paraId="3CDF8294">
      <w:pPr>
        <w:tabs>
          <w:tab w:val="left" w:pos="360"/>
        </w:tabs>
        <w:rPr>
          <w:rFonts w:ascii="Microsoft Sans Serif" w:hAnsi="Microsoft Sans Serif" w:cs="Microsoft Sans Serif"/>
          <w:b/>
          <w:sz w:val="20"/>
          <w:szCs w:val="20"/>
          <w:lang w:val="sr-Latn-BA"/>
        </w:rPr>
      </w:pPr>
      <w:r>
        <w:rPr>
          <w:rFonts w:ascii="Microsoft Sans Serif" w:hAnsi="Microsoft Sans Serif" w:cs="Microsoft Sans Serif"/>
          <w:b/>
          <w:sz w:val="20"/>
          <w:szCs w:val="20"/>
          <w:lang w:val="sr-Latn-BA"/>
        </w:rPr>
        <w:t>8.</w:t>
      </w:r>
      <w:r>
        <w:rPr>
          <w:rFonts w:ascii="Microsoft Sans Serif" w:hAnsi="Microsoft Sans Serif" w:cs="Microsoft Sans Serif"/>
          <w:b/>
          <w:sz w:val="20"/>
          <w:szCs w:val="20"/>
          <w:lang w:val="sr-Latn-BA"/>
        </w:rPr>
        <w:tab/>
      </w:r>
      <w:r>
        <w:rPr>
          <w:rFonts w:ascii="Microsoft Sans Serif" w:hAnsi="Microsoft Sans Serif" w:cs="Microsoft Sans Serif"/>
          <w:b/>
          <w:sz w:val="20"/>
          <w:szCs w:val="20"/>
          <w:lang w:val="sr-Latn-BA"/>
        </w:rPr>
        <w:tab/>
      </w:r>
      <w:r>
        <w:rPr>
          <w:rFonts w:ascii="Microsoft Sans Serif" w:hAnsi="Microsoft Sans Serif" w:cs="Microsoft Sans Serif"/>
          <w:b/>
          <w:sz w:val="20"/>
          <w:szCs w:val="20"/>
          <w:lang w:val="sr-Latn-BA"/>
        </w:rPr>
        <w:t>BROJ I DATUM RJEŠENJA O DOZVOLI ZA STAVLJANJE GOTOVOG LIJEKA U PROMET</w:t>
      </w:r>
    </w:p>
    <w:p w14:paraId="1F71702B">
      <w:pPr>
        <w:tabs>
          <w:tab w:val="clear" w:pos="284"/>
        </w:tabs>
        <w:autoSpaceDE w:val="0"/>
        <w:autoSpaceDN w:val="0"/>
        <w:adjustRightInd w:val="0"/>
        <w:jc w:val="left"/>
        <w:rPr>
          <w:rFonts w:ascii="MicrosoftSansSerif" w:hAnsi="MicrosoftSansSerif" w:cs="MicrosoftSansSerif"/>
          <w:sz w:val="20"/>
          <w:szCs w:val="20"/>
        </w:rPr>
      </w:pPr>
      <w:r>
        <w:rPr>
          <w:rFonts w:ascii="MicrosoftSansSerif" w:hAnsi="MicrosoftSansSerif" w:cs="MicrosoftSansSerif"/>
          <w:sz w:val="20"/>
          <w:szCs w:val="20"/>
        </w:rPr>
        <w:t>Rufixalo 15 mg film tablete, 28 film tableta: 04-07.3-1-4732/21 od 08.12.2022.</w:t>
      </w:r>
    </w:p>
    <w:p w14:paraId="5DE8D698">
      <w:pPr>
        <w:tabs>
          <w:tab w:val="clear" w:pos="284"/>
        </w:tabs>
        <w:autoSpaceDE w:val="0"/>
        <w:autoSpaceDN w:val="0"/>
        <w:adjustRightInd w:val="0"/>
        <w:jc w:val="left"/>
        <w:rPr>
          <w:rFonts w:ascii="MicrosoftSansSerif" w:hAnsi="MicrosoftSansSerif" w:cs="MicrosoftSansSerif"/>
          <w:sz w:val="20"/>
          <w:szCs w:val="20"/>
        </w:rPr>
      </w:pPr>
      <w:r>
        <w:rPr>
          <w:rFonts w:ascii="MicrosoftSansSerif" w:hAnsi="MicrosoftSansSerif" w:cs="MicrosoftSansSerif"/>
          <w:sz w:val="20"/>
          <w:szCs w:val="20"/>
        </w:rPr>
        <w:t>Rufixalo 15 mg film tablete, 42 film tableta: 04-07.3-1-4734/21 od 08.12.2022.</w:t>
      </w:r>
    </w:p>
    <w:p w14:paraId="65A1376A">
      <w:pPr>
        <w:pStyle w:val="17"/>
        <w:spacing w:before="0" w:after="0"/>
        <w:jc w:val="both"/>
        <w:rPr>
          <w:rFonts w:ascii="Microsoft Sans Serif" w:hAnsi="Microsoft Sans Serif" w:cs="Microsoft Sans Serif"/>
          <w:b w:val="0"/>
          <w:sz w:val="20"/>
          <w:szCs w:val="20"/>
          <w:lang w:val="mk-MK"/>
        </w:rPr>
      </w:pPr>
      <w:r>
        <w:rPr>
          <w:rFonts w:ascii="MicrosoftSansSerif" w:hAnsi="MicrosoftSansSerif" w:cs="MicrosoftSansSerif"/>
          <w:b w:val="0"/>
          <w:sz w:val="20"/>
          <w:szCs w:val="20"/>
        </w:rPr>
        <w:t xml:space="preserve">Rufixalo 20 mg film tablete, 28 film tableta: 04-07.3-1-4733/21 od </w:t>
      </w:r>
      <w:r>
        <w:rPr>
          <w:rFonts w:ascii="MicrosoftSansSerif" w:hAnsi="MicrosoftSansSerif" w:cs="MicrosoftSansSerif"/>
          <w:sz w:val="20"/>
          <w:szCs w:val="20"/>
        </w:rPr>
        <w:t>08.12.2022.</w:t>
      </w:r>
    </w:p>
    <w:p w14:paraId="74D7BA91">
      <w:pPr>
        <w:rPr>
          <w:rFonts w:ascii="Microsoft Sans Serif" w:hAnsi="Microsoft Sans Serif" w:cs="Microsoft Sans Serif"/>
          <w:bCs/>
          <w:sz w:val="20"/>
          <w:szCs w:val="20"/>
          <w:lang w:val="sr-Latn-CS"/>
        </w:rPr>
      </w:pPr>
    </w:p>
    <w:p w14:paraId="131D3D72">
      <w:pPr>
        <w:tabs>
          <w:tab w:val="left" w:pos="360"/>
        </w:tabs>
        <w:rPr>
          <w:rFonts w:ascii="Microsoft Sans Serif" w:hAnsi="Microsoft Sans Serif" w:cs="Microsoft Sans Serif"/>
          <w:sz w:val="20"/>
          <w:szCs w:val="20"/>
          <w:lang w:val="sr-Latn-BA"/>
        </w:rPr>
      </w:pPr>
      <w:r>
        <w:rPr>
          <w:rFonts w:ascii="Microsoft Sans Serif" w:hAnsi="Microsoft Sans Serif" w:cs="Microsoft Sans Serif"/>
          <w:b/>
          <w:sz w:val="20"/>
          <w:szCs w:val="20"/>
          <w:lang w:val="sr-Latn-BA"/>
        </w:rPr>
        <w:t>9.</w:t>
      </w:r>
      <w:r>
        <w:rPr>
          <w:rFonts w:ascii="Microsoft Sans Serif" w:hAnsi="Microsoft Sans Serif" w:cs="Microsoft Sans Serif"/>
          <w:b/>
          <w:sz w:val="20"/>
          <w:szCs w:val="20"/>
          <w:lang w:val="sr-Latn-BA"/>
        </w:rPr>
        <w:tab/>
      </w:r>
      <w:r>
        <w:rPr>
          <w:rFonts w:ascii="Microsoft Sans Serif" w:hAnsi="Microsoft Sans Serif" w:cs="Microsoft Sans Serif"/>
          <w:b/>
          <w:sz w:val="20"/>
          <w:szCs w:val="20"/>
          <w:lang w:val="sr-Latn-BA"/>
        </w:rPr>
        <w:tab/>
      </w:r>
      <w:r>
        <w:rPr>
          <w:rFonts w:ascii="Microsoft Sans Serif" w:hAnsi="Microsoft Sans Serif" w:cs="Microsoft Sans Serif"/>
          <w:b/>
          <w:sz w:val="20"/>
          <w:szCs w:val="20"/>
          <w:lang w:val="sr-Latn-BA"/>
        </w:rPr>
        <w:t xml:space="preserve">DATUM REVIZIJE SAŽETKA KARAKTERISTIKA LIJEKA </w:t>
      </w:r>
    </w:p>
    <w:p w14:paraId="63CB0020">
      <w:pPr>
        <w:pStyle w:val="13"/>
        <w:rPr>
          <w:rFonts w:ascii="Microsoft Sans Serif" w:hAnsi="Microsoft Sans Serif" w:cs="Microsoft Sans Serif"/>
          <w:sz w:val="20"/>
          <w:szCs w:val="20"/>
          <w:lang w:val="sr-Latn-BA"/>
        </w:rPr>
      </w:pPr>
    </w:p>
    <w:p w14:paraId="7DD0B0ED">
      <w:pPr>
        <w:rPr>
          <w:rFonts w:ascii="Microsoft Sans Serif" w:hAnsi="Microsoft Sans Serif" w:cs="Microsoft Sans Serif"/>
          <w:bCs/>
          <w:sz w:val="20"/>
          <w:szCs w:val="20"/>
          <w:lang w:val="sr-Latn-CS"/>
        </w:rPr>
      </w:pPr>
      <w:r>
        <w:rPr>
          <w:rFonts w:ascii="Microsoft Sans Serif" w:hAnsi="Microsoft Sans Serif" w:cs="Microsoft Sans Serif"/>
          <w:sz w:val="20"/>
          <w:szCs w:val="20"/>
          <w:lang w:val="sr-Latn-BA"/>
        </w:rPr>
        <w:t>Decembar, 2022 g</w:t>
      </w:r>
    </w:p>
    <w:p w14:paraId="4A20641D">
      <w:pPr>
        <w:rPr>
          <w:rFonts w:ascii="Microsoft Sans Serif" w:hAnsi="Microsoft Sans Serif" w:cs="Microsoft Sans Serif"/>
          <w:bCs/>
          <w:sz w:val="20"/>
          <w:szCs w:val="20"/>
        </w:rPr>
      </w:pPr>
    </w:p>
    <w:p w14:paraId="57AD9BA7">
      <w:pPr>
        <w:rPr>
          <w:bCs/>
          <w:szCs w:val="22"/>
        </w:rPr>
      </w:pPr>
    </w:p>
    <w:sectPr>
      <w:footerReference r:id="rId3" w:type="default"/>
      <w:footerReference r:id="rId4" w:type="even"/>
      <w:pgSz w:w="11907" w:h="16840"/>
      <w:pgMar w:top="2552" w:right="1134" w:bottom="1134" w:left="1418" w:header="357" w:footer="805"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1)">
    <w:altName w:val="Arial"/>
    <w:panose1 w:val="00000000000000000000"/>
    <w:charset w:val="00"/>
    <w:family w:val="swiss"/>
    <w:pitch w:val="default"/>
    <w:sig w:usb0="00000000" w:usb1="00000000" w:usb2="00000000" w:usb3="00000000" w:csb0="00000001" w:csb1="00000000"/>
  </w:font>
  <w:font w:name="Arial">
    <w:panose1 w:val="020B0604020202020204"/>
    <w:charset w:val="CC"/>
    <w:family w:val="swiss"/>
    <w:pitch w:val="default"/>
    <w:sig w:usb0="E0002EFF" w:usb1="C000785B" w:usb2="00000009" w:usb3="00000000" w:csb0="400001FF" w:csb1="FFFF0000"/>
  </w:font>
  <w:font w:name="Tahoma">
    <w:panose1 w:val="020B0604030504040204"/>
    <w:charset w:val="CC"/>
    <w:family w:val="swiss"/>
    <w:pitch w:val="default"/>
    <w:sig w:usb0="E1002EFF" w:usb1="C000605B" w:usb2="00000029" w:usb3="00000000" w:csb0="200101FF" w:csb1="20280000"/>
  </w:font>
  <w:font w:name="Humanist777">
    <w:altName w:val="Lucida Sans Unicode"/>
    <w:panose1 w:val="00000000000000000000"/>
    <w:charset w:val="00"/>
    <w:family w:val="swiss"/>
    <w:pitch w:val="default"/>
    <w:sig w:usb0="00000000" w:usb1="00000000" w:usb2="00000000" w:usb3="00000000" w:csb0="0000001B" w:csb1="00000000"/>
  </w:font>
  <w:font w:name="Microsoft Sans Serif">
    <w:panose1 w:val="020B0604020202020204"/>
    <w:charset w:val="CC"/>
    <w:family w:val="swiss"/>
    <w:pitch w:val="default"/>
    <w:sig w:usb0="E5002EFF" w:usb1="C000605B" w:usb2="00000029" w:usb3="00000000" w:csb0="200101FF" w:csb1="20280000"/>
  </w:font>
  <w:font w:name="MicrosoftSansSerif">
    <w:altName w:val="Calibri"/>
    <w:panose1 w:val="00000000000000000000"/>
    <w:charset w:val="00"/>
    <w:family w:val="swiss"/>
    <w:pitch w:val="default"/>
    <w:sig w:usb0="00000000" w:usb1="00000000" w:usb2="00000000" w:usb3="00000000" w:csb0="00000001" w:csb1="00000000"/>
  </w:font>
  <w:font w:name="Courier New">
    <w:panose1 w:val="02070309020205020404"/>
    <w:charset w:val="CC"/>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CC"/>
    <w:family w:val="swiss"/>
    <w:pitch w:val="default"/>
    <w:sig w:usb0="E4002EFF" w:usb1="C200247B" w:usb2="00000009" w:usb3="00000000" w:csb0="200001FF" w:csb1="00000000"/>
  </w:font>
  <w:font w:name="MS PGothic">
    <w:panose1 w:val="020B0600070205080204"/>
    <w:charset w:val="80"/>
    <w:family w:val="auto"/>
    <w:pitch w:val="default"/>
    <w:sig w:usb0="E00002FF" w:usb1="6AC7FDFB" w:usb2="08000012" w:usb3="00000000" w:csb0="4002009F" w:csb1="DFD7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05677317"/>
      <w:docPartObj>
        <w:docPartGallery w:val="AutoText"/>
      </w:docPartObj>
    </w:sdtPr>
    <w:sdtContent>
      <w:p w14:paraId="2BD57029">
        <w:pPr>
          <w:pStyle w:val="12"/>
          <w:jc w:val="center"/>
        </w:pPr>
        <w:r>
          <w:fldChar w:fldCharType="begin"/>
        </w:r>
        <w:r>
          <w:instrText xml:space="preserve"> PAGE   \* MERGEFORMAT </w:instrText>
        </w:r>
        <w:r>
          <w:fldChar w:fldCharType="separate"/>
        </w:r>
        <w:r>
          <w:t>32</w:t>
        </w:r>
        <w:r>
          <w:fldChar w:fldCharType="end"/>
        </w:r>
      </w:p>
    </w:sdtContent>
  </w:sdt>
  <w:p w14:paraId="363C96D5">
    <w:pPr>
      <w:pStyle w:val="12"/>
      <w:tabs>
        <w:tab w:val="left" w:pos="5448"/>
      </w:tabs>
      <w:spacing w:before="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63BEA9">
    <w:pPr>
      <w:pStyle w:val="12"/>
      <w:framePr w:wrap="around" w:vAnchor="text" w:hAnchor="margin" w:xAlign="right" w:y="1"/>
      <w:rPr>
        <w:rStyle w:val="15"/>
      </w:rPr>
    </w:pPr>
    <w:r>
      <w:rPr>
        <w:rStyle w:val="15"/>
      </w:rPr>
      <w:fldChar w:fldCharType="begin"/>
    </w:r>
    <w:r>
      <w:rPr>
        <w:rStyle w:val="15"/>
      </w:rPr>
      <w:instrText xml:space="preserve">PAGE  </w:instrText>
    </w:r>
    <w:r>
      <w:rPr>
        <w:rStyle w:val="15"/>
      </w:rPr>
      <w:fldChar w:fldCharType="end"/>
    </w:r>
  </w:p>
  <w:p w14:paraId="2C9619C2">
    <w:pPr>
      <w:pStyle w:val="12"/>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E1F5A18"/>
    <w:multiLevelType w:val="multilevel"/>
    <w:tmpl w:val="3E1F5A18"/>
    <w:lvl w:ilvl="0" w:tentative="0">
      <w:start w:val="0"/>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
    <w:nsid w:val="4EA3116A"/>
    <w:multiLevelType w:val="multilevel"/>
    <w:tmpl w:val="4EA3116A"/>
    <w:lvl w:ilvl="0" w:tentative="0">
      <w:start w:val="6"/>
      <w:numFmt w:val="decimal"/>
      <w:lvlText w:val="%1"/>
      <w:lvlJc w:val="left"/>
      <w:pPr>
        <w:tabs>
          <w:tab w:val="left" w:pos="720"/>
        </w:tabs>
        <w:ind w:left="720" w:hanging="720"/>
      </w:pPr>
      <w:rPr>
        <w:rFonts w:hint="default"/>
      </w:rPr>
    </w:lvl>
    <w:lvl w:ilvl="1" w:tentative="0">
      <w:start w:val="7"/>
      <w:numFmt w:val="decimal"/>
      <w:lvlText w:val="%1.%2"/>
      <w:lvlJc w:val="left"/>
      <w:pPr>
        <w:tabs>
          <w:tab w:val="left" w:pos="720"/>
        </w:tabs>
        <w:ind w:left="720" w:hanging="72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720"/>
        </w:tabs>
        <w:ind w:left="7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440"/>
        </w:tabs>
        <w:ind w:left="1440" w:hanging="1440"/>
      </w:pPr>
      <w:rPr>
        <w:rFonts w:hint="default"/>
      </w:rPr>
    </w:lvl>
  </w:abstractNum>
  <w:abstractNum w:abstractNumId="2">
    <w:nsid w:val="52956E48"/>
    <w:multiLevelType w:val="multilevel"/>
    <w:tmpl w:val="52956E48"/>
    <w:lvl w:ilvl="0" w:tentative="0">
      <w:start w:val="1"/>
      <w:numFmt w:val="bullet"/>
      <w:lvlText w:val="-"/>
      <w:lvlJc w:val="left"/>
      <w:pPr>
        <w:ind w:left="720" w:hanging="360"/>
      </w:p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720"/>
  <w:hyphenationZone w:val="425"/>
  <w:noPunctuationKerning w:val="1"/>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76DA"/>
    <w:rsid w:val="00017801"/>
    <w:rsid w:val="00023B41"/>
    <w:rsid w:val="0004146F"/>
    <w:rsid w:val="00064273"/>
    <w:rsid w:val="0008131E"/>
    <w:rsid w:val="00081BB9"/>
    <w:rsid w:val="00083BE0"/>
    <w:rsid w:val="00090FDB"/>
    <w:rsid w:val="000951B1"/>
    <w:rsid w:val="00095FB6"/>
    <w:rsid w:val="0009758B"/>
    <w:rsid w:val="000A0F4A"/>
    <w:rsid w:val="000A3DD5"/>
    <w:rsid w:val="000A56E6"/>
    <w:rsid w:val="000B2FFB"/>
    <w:rsid w:val="000D5631"/>
    <w:rsid w:val="000E3E02"/>
    <w:rsid w:val="000E75C0"/>
    <w:rsid w:val="000E7998"/>
    <w:rsid w:val="0011019A"/>
    <w:rsid w:val="00112BDD"/>
    <w:rsid w:val="00115375"/>
    <w:rsid w:val="001313E3"/>
    <w:rsid w:val="00141639"/>
    <w:rsid w:val="0014180A"/>
    <w:rsid w:val="0014582F"/>
    <w:rsid w:val="00145D9D"/>
    <w:rsid w:val="0015529C"/>
    <w:rsid w:val="00173D18"/>
    <w:rsid w:val="00175772"/>
    <w:rsid w:val="00175A7E"/>
    <w:rsid w:val="0018512F"/>
    <w:rsid w:val="00186EED"/>
    <w:rsid w:val="00191AE0"/>
    <w:rsid w:val="0019307C"/>
    <w:rsid w:val="001A798E"/>
    <w:rsid w:val="001B706A"/>
    <w:rsid w:val="001C26B3"/>
    <w:rsid w:val="001C53AB"/>
    <w:rsid w:val="001D10C9"/>
    <w:rsid w:val="001D3622"/>
    <w:rsid w:val="001E0A07"/>
    <w:rsid w:val="001E5750"/>
    <w:rsid w:val="001E5B6D"/>
    <w:rsid w:val="001E6145"/>
    <w:rsid w:val="001F0206"/>
    <w:rsid w:val="001F2D4E"/>
    <w:rsid w:val="001F39B6"/>
    <w:rsid w:val="0022218E"/>
    <w:rsid w:val="0022223A"/>
    <w:rsid w:val="00235911"/>
    <w:rsid w:val="0024132F"/>
    <w:rsid w:val="00242DCD"/>
    <w:rsid w:val="00247C5C"/>
    <w:rsid w:val="00273BE0"/>
    <w:rsid w:val="00277DFA"/>
    <w:rsid w:val="00287162"/>
    <w:rsid w:val="00287E8C"/>
    <w:rsid w:val="00295F33"/>
    <w:rsid w:val="002B6F6A"/>
    <w:rsid w:val="002C0FBF"/>
    <w:rsid w:val="002F2539"/>
    <w:rsid w:val="002F5E2F"/>
    <w:rsid w:val="002F67F2"/>
    <w:rsid w:val="00305701"/>
    <w:rsid w:val="00316FC0"/>
    <w:rsid w:val="003452C0"/>
    <w:rsid w:val="0036523C"/>
    <w:rsid w:val="00376AC2"/>
    <w:rsid w:val="00383195"/>
    <w:rsid w:val="00396BF3"/>
    <w:rsid w:val="003A0960"/>
    <w:rsid w:val="003A2DF8"/>
    <w:rsid w:val="003A364E"/>
    <w:rsid w:val="003A467A"/>
    <w:rsid w:val="003B1696"/>
    <w:rsid w:val="003B2082"/>
    <w:rsid w:val="003B24B7"/>
    <w:rsid w:val="003C18A4"/>
    <w:rsid w:val="003C33C0"/>
    <w:rsid w:val="003D6CD9"/>
    <w:rsid w:val="003E3EC7"/>
    <w:rsid w:val="003F30F7"/>
    <w:rsid w:val="004043D9"/>
    <w:rsid w:val="004123CD"/>
    <w:rsid w:val="00416A41"/>
    <w:rsid w:val="004234ED"/>
    <w:rsid w:val="00423D22"/>
    <w:rsid w:val="00427D41"/>
    <w:rsid w:val="00432433"/>
    <w:rsid w:val="00462C33"/>
    <w:rsid w:val="00473443"/>
    <w:rsid w:val="0047350F"/>
    <w:rsid w:val="00473F65"/>
    <w:rsid w:val="004808CB"/>
    <w:rsid w:val="00492248"/>
    <w:rsid w:val="0049589E"/>
    <w:rsid w:val="00497648"/>
    <w:rsid w:val="004B5A11"/>
    <w:rsid w:val="004B7A50"/>
    <w:rsid w:val="004D230F"/>
    <w:rsid w:val="004E6F6F"/>
    <w:rsid w:val="00503974"/>
    <w:rsid w:val="005113A3"/>
    <w:rsid w:val="0052230B"/>
    <w:rsid w:val="00525A8A"/>
    <w:rsid w:val="005276F0"/>
    <w:rsid w:val="00530909"/>
    <w:rsid w:val="0056385E"/>
    <w:rsid w:val="00577728"/>
    <w:rsid w:val="00585353"/>
    <w:rsid w:val="00592F09"/>
    <w:rsid w:val="005941E7"/>
    <w:rsid w:val="005B3388"/>
    <w:rsid w:val="005C3F73"/>
    <w:rsid w:val="005C7891"/>
    <w:rsid w:val="005D1EEE"/>
    <w:rsid w:val="00603302"/>
    <w:rsid w:val="00604E4F"/>
    <w:rsid w:val="006054EE"/>
    <w:rsid w:val="006074D0"/>
    <w:rsid w:val="006118B6"/>
    <w:rsid w:val="0062214D"/>
    <w:rsid w:val="006270C0"/>
    <w:rsid w:val="00630195"/>
    <w:rsid w:val="00644F6C"/>
    <w:rsid w:val="00647587"/>
    <w:rsid w:val="006559AF"/>
    <w:rsid w:val="00657F89"/>
    <w:rsid w:val="00674142"/>
    <w:rsid w:val="00683FF4"/>
    <w:rsid w:val="00691673"/>
    <w:rsid w:val="00693874"/>
    <w:rsid w:val="00693F46"/>
    <w:rsid w:val="006A0E1E"/>
    <w:rsid w:val="006A2AC9"/>
    <w:rsid w:val="006C0B50"/>
    <w:rsid w:val="006C1285"/>
    <w:rsid w:val="006C2A42"/>
    <w:rsid w:val="006C3466"/>
    <w:rsid w:val="006D2727"/>
    <w:rsid w:val="006D5EFA"/>
    <w:rsid w:val="006E6B48"/>
    <w:rsid w:val="006F158F"/>
    <w:rsid w:val="00722450"/>
    <w:rsid w:val="00741953"/>
    <w:rsid w:val="00746429"/>
    <w:rsid w:val="00751E1A"/>
    <w:rsid w:val="0075696E"/>
    <w:rsid w:val="00764648"/>
    <w:rsid w:val="00765B5B"/>
    <w:rsid w:val="007672F3"/>
    <w:rsid w:val="007773C2"/>
    <w:rsid w:val="0079682D"/>
    <w:rsid w:val="007A021E"/>
    <w:rsid w:val="007A217D"/>
    <w:rsid w:val="007A6CBE"/>
    <w:rsid w:val="007B16C4"/>
    <w:rsid w:val="007B30B2"/>
    <w:rsid w:val="007C2D7E"/>
    <w:rsid w:val="007C3269"/>
    <w:rsid w:val="007D17FD"/>
    <w:rsid w:val="007D48C5"/>
    <w:rsid w:val="007E06F0"/>
    <w:rsid w:val="00802DFC"/>
    <w:rsid w:val="008066E5"/>
    <w:rsid w:val="00814781"/>
    <w:rsid w:val="00814A66"/>
    <w:rsid w:val="008207F9"/>
    <w:rsid w:val="008221AA"/>
    <w:rsid w:val="00824E46"/>
    <w:rsid w:val="0083143F"/>
    <w:rsid w:val="00834DBB"/>
    <w:rsid w:val="00842FFB"/>
    <w:rsid w:val="00854D4D"/>
    <w:rsid w:val="0086351A"/>
    <w:rsid w:val="00874B61"/>
    <w:rsid w:val="00894B0F"/>
    <w:rsid w:val="00895559"/>
    <w:rsid w:val="008A1B35"/>
    <w:rsid w:val="008A48B7"/>
    <w:rsid w:val="008B3EB5"/>
    <w:rsid w:val="008C08E1"/>
    <w:rsid w:val="008C5809"/>
    <w:rsid w:val="008D78C9"/>
    <w:rsid w:val="008E0FC9"/>
    <w:rsid w:val="0090772F"/>
    <w:rsid w:val="00913684"/>
    <w:rsid w:val="00923865"/>
    <w:rsid w:val="0093016E"/>
    <w:rsid w:val="00933725"/>
    <w:rsid w:val="00933E81"/>
    <w:rsid w:val="00934B4D"/>
    <w:rsid w:val="0093709C"/>
    <w:rsid w:val="00954449"/>
    <w:rsid w:val="00955C75"/>
    <w:rsid w:val="00961503"/>
    <w:rsid w:val="00964257"/>
    <w:rsid w:val="009677DF"/>
    <w:rsid w:val="009717FA"/>
    <w:rsid w:val="00972F48"/>
    <w:rsid w:val="009733DF"/>
    <w:rsid w:val="009760AE"/>
    <w:rsid w:val="00982904"/>
    <w:rsid w:val="009946F8"/>
    <w:rsid w:val="00996E6B"/>
    <w:rsid w:val="009A1D64"/>
    <w:rsid w:val="009A7E28"/>
    <w:rsid w:val="009B1292"/>
    <w:rsid w:val="009B2430"/>
    <w:rsid w:val="009B2C72"/>
    <w:rsid w:val="009B338B"/>
    <w:rsid w:val="009B58AD"/>
    <w:rsid w:val="009B7935"/>
    <w:rsid w:val="009C7BA2"/>
    <w:rsid w:val="009D1161"/>
    <w:rsid w:val="009D1205"/>
    <w:rsid w:val="009D269D"/>
    <w:rsid w:val="009D667B"/>
    <w:rsid w:val="009E37C5"/>
    <w:rsid w:val="009F2E41"/>
    <w:rsid w:val="009F4449"/>
    <w:rsid w:val="00A02252"/>
    <w:rsid w:val="00A07460"/>
    <w:rsid w:val="00A127F1"/>
    <w:rsid w:val="00A27130"/>
    <w:rsid w:val="00A32E54"/>
    <w:rsid w:val="00A473A0"/>
    <w:rsid w:val="00A52503"/>
    <w:rsid w:val="00A653DA"/>
    <w:rsid w:val="00A670E2"/>
    <w:rsid w:val="00A70893"/>
    <w:rsid w:val="00A7147C"/>
    <w:rsid w:val="00A7660B"/>
    <w:rsid w:val="00A86897"/>
    <w:rsid w:val="00A95733"/>
    <w:rsid w:val="00AA396D"/>
    <w:rsid w:val="00AA61BD"/>
    <w:rsid w:val="00AB5465"/>
    <w:rsid w:val="00AB5D1C"/>
    <w:rsid w:val="00AD5B97"/>
    <w:rsid w:val="00B23E02"/>
    <w:rsid w:val="00B26FAC"/>
    <w:rsid w:val="00B31AA2"/>
    <w:rsid w:val="00B36D1F"/>
    <w:rsid w:val="00B44C5F"/>
    <w:rsid w:val="00B62521"/>
    <w:rsid w:val="00B74C0B"/>
    <w:rsid w:val="00B8400D"/>
    <w:rsid w:val="00B846EF"/>
    <w:rsid w:val="00B84C34"/>
    <w:rsid w:val="00B859CA"/>
    <w:rsid w:val="00B910E5"/>
    <w:rsid w:val="00B93A37"/>
    <w:rsid w:val="00BA1819"/>
    <w:rsid w:val="00BA5A22"/>
    <w:rsid w:val="00BB55E5"/>
    <w:rsid w:val="00BD725A"/>
    <w:rsid w:val="00BE1BA5"/>
    <w:rsid w:val="00BE52E8"/>
    <w:rsid w:val="00BF3750"/>
    <w:rsid w:val="00C058AF"/>
    <w:rsid w:val="00C06244"/>
    <w:rsid w:val="00C0770D"/>
    <w:rsid w:val="00C25EAF"/>
    <w:rsid w:val="00C536C2"/>
    <w:rsid w:val="00C55F47"/>
    <w:rsid w:val="00C56E2E"/>
    <w:rsid w:val="00C57CF3"/>
    <w:rsid w:val="00C64A31"/>
    <w:rsid w:val="00C82E8B"/>
    <w:rsid w:val="00C93339"/>
    <w:rsid w:val="00C93533"/>
    <w:rsid w:val="00CA03CB"/>
    <w:rsid w:val="00CA451F"/>
    <w:rsid w:val="00CC4C88"/>
    <w:rsid w:val="00CC5AF0"/>
    <w:rsid w:val="00CD0B1F"/>
    <w:rsid w:val="00CD3F96"/>
    <w:rsid w:val="00CD66E2"/>
    <w:rsid w:val="00CE09F3"/>
    <w:rsid w:val="00CE76DA"/>
    <w:rsid w:val="00CF5702"/>
    <w:rsid w:val="00D0272D"/>
    <w:rsid w:val="00D0649D"/>
    <w:rsid w:val="00D06A22"/>
    <w:rsid w:val="00D11E94"/>
    <w:rsid w:val="00D26237"/>
    <w:rsid w:val="00D278F2"/>
    <w:rsid w:val="00D30389"/>
    <w:rsid w:val="00D3194E"/>
    <w:rsid w:val="00D337F6"/>
    <w:rsid w:val="00D33E14"/>
    <w:rsid w:val="00D41655"/>
    <w:rsid w:val="00D52CDB"/>
    <w:rsid w:val="00D61710"/>
    <w:rsid w:val="00D6611E"/>
    <w:rsid w:val="00D8025A"/>
    <w:rsid w:val="00D80C46"/>
    <w:rsid w:val="00D80EBA"/>
    <w:rsid w:val="00D83851"/>
    <w:rsid w:val="00D85F37"/>
    <w:rsid w:val="00D86FC7"/>
    <w:rsid w:val="00DB4534"/>
    <w:rsid w:val="00DD2A82"/>
    <w:rsid w:val="00DD65F0"/>
    <w:rsid w:val="00DE0099"/>
    <w:rsid w:val="00DF46E4"/>
    <w:rsid w:val="00E04856"/>
    <w:rsid w:val="00E14BE8"/>
    <w:rsid w:val="00E35825"/>
    <w:rsid w:val="00E504B4"/>
    <w:rsid w:val="00E50CD3"/>
    <w:rsid w:val="00E511DD"/>
    <w:rsid w:val="00E56089"/>
    <w:rsid w:val="00E6175A"/>
    <w:rsid w:val="00E83063"/>
    <w:rsid w:val="00E87BE1"/>
    <w:rsid w:val="00E91C3E"/>
    <w:rsid w:val="00EA020F"/>
    <w:rsid w:val="00EA1F85"/>
    <w:rsid w:val="00EA3A8A"/>
    <w:rsid w:val="00EB5F31"/>
    <w:rsid w:val="00EC7A41"/>
    <w:rsid w:val="00ED6262"/>
    <w:rsid w:val="00ED735F"/>
    <w:rsid w:val="00F1795B"/>
    <w:rsid w:val="00F32D91"/>
    <w:rsid w:val="00F45CD7"/>
    <w:rsid w:val="00F52471"/>
    <w:rsid w:val="00F5775F"/>
    <w:rsid w:val="00F61906"/>
    <w:rsid w:val="00F63F24"/>
    <w:rsid w:val="00F92936"/>
    <w:rsid w:val="00FC1548"/>
    <w:rsid w:val="00FD72D9"/>
    <w:rsid w:val="00FF0D13"/>
    <w:rsid w:val="00FF3026"/>
    <w:rsid w:val="545D17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tabs>
        <w:tab w:val="left" w:pos="284"/>
      </w:tabs>
      <w:jc w:val="both"/>
    </w:pPr>
    <w:rPr>
      <w:rFonts w:ascii="Times New Roman" w:hAnsi="Times New Roman" w:eastAsia="Times New Roman" w:cs="Times New Roman"/>
      <w:sz w:val="22"/>
      <w:szCs w:val="24"/>
      <w:lang w:val="en-US" w:eastAsia="en-US" w:bidi="ar-SA"/>
    </w:rPr>
  </w:style>
  <w:style w:type="paragraph" w:styleId="2">
    <w:name w:val="heading 1"/>
    <w:basedOn w:val="1"/>
    <w:next w:val="1"/>
    <w:qFormat/>
    <w:uiPriority w:val="0"/>
    <w:pPr>
      <w:keepNext/>
      <w:jc w:val="center"/>
      <w:outlineLvl w:val="0"/>
    </w:pPr>
    <w:rPr>
      <w:rFonts w:ascii="Arial (W1)" w:hAnsi="Arial (W1)" w:cs="Arial"/>
      <w:b/>
      <w:bCs/>
      <w:i/>
      <w:iCs/>
      <w:sz w:val="32"/>
      <w:u w:val="single"/>
      <w:lang w:val="sr-Latn-CS"/>
    </w:rPr>
  </w:style>
  <w:style w:type="paragraph" w:styleId="3">
    <w:name w:val="heading 2"/>
    <w:basedOn w:val="1"/>
    <w:next w:val="1"/>
    <w:qFormat/>
    <w:uiPriority w:val="0"/>
    <w:pPr>
      <w:keepNext/>
      <w:jc w:val="center"/>
      <w:outlineLvl w:val="1"/>
    </w:pPr>
    <w:rPr>
      <w:rFonts w:ascii="Arial" w:hAnsi="Arial" w:cs="Arial"/>
      <w:i/>
      <w:iCs/>
      <w:color w:val="999999"/>
      <w:sz w:val="18"/>
    </w:rPr>
  </w:style>
  <w:style w:type="paragraph" w:styleId="4">
    <w:name w:val="heading 3"/>
    <w:basedOn w:val="1"/>
    <w:next w:val="1"/>
    <w:qFormat/>
    <w:uiPriority w:val="0"/>
    <w:pPr>
      <w:keepNext/>
      <w:tabs>
        <w:tab w:val="clear" w:pos="284"/>
      </w:tabs>
      <w:ind w:left="72" w:hanging="72"/>
      <w:jc w:val="left"/>
      <w:outlineLvl w:val="2"/>
    </w:pPr>
    <w:rPr>
      <w:rFonts w:ascii="Arial" w:hAnsi="Arial" w:cs="Arial"/>
      <w:i/>
      <w:iCs/>
      <w:color w:val="999999"/>
      <w:sz w:val="18"/>
    </w:rPr>
  </w:style>
  <w:style w:type="paragraph" w:styleId="5">
    <w:name w:val="heading 4"/>
    <w:basedOn w:val="1"/>
    <w:next w:val="1"/>
    <w:qFormat/>
    <w:uiPriority w:val="0"/>
    <w:pPr>
      <w:keepNext/>
      <w:ind w:right="265"/>
      <w:jc w:val="right"/>
      <w:outlineLvl w:val="3"/>
    </w:pPr>
    <w:rPr>
      <w:rFonts w:ascii="Arial" w:hAnsi="Arial" w:cs="Arial"/>
      <w:i/>
      <w:iCs/>
      <w:color w:val="999999"/>
      <w:sz w:val="16"/>
    </w:rPr>
  </w:style>
  <w:style w:type="character" w:default="1" w:styleId="6">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8">
    <w:name w:val="Balloon Text"/>
    <w:basedOn w:val="1"/>
    <w:semiHidden/>
    <w:qFormat/>
    <w:uiPriority w:val="0"/>
    <w:rPr>
      <w:rFonts w:ascii="Tahoma" w:hAnsi="Tahoma" w:cs="Tahoma"/>
      <w:sz w:val="16"/>
      <w:szCs w:val="16"/>
    </w:rPr>
  </w:style>
  <w:style w:type="character" w:styleId="9">
    <w:name w:val="annotation reference"/>
    <w:qFormat/>
    <w:uiPriority w:val="0"/>
    <w:rPr>
      <w:sz w:val="16"/>
      <w:szCs w:val="16"/>
    </w:rPr>
  </w:style>
  <w:style w:type="paragraph" w:styleId="10">
    <w:name w:val="annotation text"/>
    <w:basedOn w:val="1"/>
    <w:semiHidden/>
    <w:qFormat/>
    <w:uiPriority w:val="0"/>
    <w:rPr>
      <w:sz w:val="20"/>
      <w:szCs w:val="20"/>
    </w:rPr>
  </w:style>
  <w:style w:type="paragraph" w:styleId="11">
    <w:name w:val="annotation subject"/>
    <w:basedOn w:val="10"/>
    <w:next w:val="10"/>
    <w:semiHidden/>
    <w:qFormat/>
    <w:uiPriority w:val="0"/>
    <w:rPr>
      <w:b/>
      <w:bCs/>
    </w:rPr>
  </w:style>
  <w:style w:type="paragraph" w:styleId="12">
    <w:name w:val="footer"/>
    <w:basedOn w:val="1"/>
    <w:link w:val="16"/>
    <w:qFormat/>
    <w:uiPriority w:val="99"/>
    <w:pPr>
      <w:tabs>
        <w:tab w:val="center" w:pos="4536"/>
        <w:tab w:val="right" w:pos="9072"/>
        <w:tab w:val="clear" w:pos="284"/>
      </w:tabs>
    </w:pPr>
  </w:style>
  <w:style w:type="paragraph" w:styleId="13">
    <w:name w:val="header"/>
    <w:basedOn w:val="1"/>
    <w:link w:val="18"/>
    <w:qFormat/>
    <w:uiPriority w:val="0"/>
    <w:pPr>
      <w:tabs>
        <w:tab w:val="center" w:pos="4536"/>
        <w:tab w:val="right" w:pos="9072"/>
        <w:tab w:val="clear" w:pos="284"/>
      </w:tabs>
    </w:pPr>
  </w:style>
  <w:style w:type="character" w:styleId="14">
    <w:name w:val="Hyperlink"/>
    <w:basedOn w:val="6"/>
    <w:qFormat/>
    <w:uiPriority w:val="0"/>
    <w:rPr>
      <w:color w:val="0000FF" w:themeColor="hyperlink"/>
      <w:u w:val="single"/>
      <w14:textFill>
        <w14:solidFill>
          <w14:schemeClr w14:val="hlink"/>
        </w14:solidFill>
      </w14:textFill>
    </w:rPr>
  </w:style>
  <w:style w:type="character" w:styleId="15">
    <w:name w:val="page number"/>
    <w:basedOn w:val="6"/>
    <w:qFormat/>
    <w:uiPriority w:val="0"/>
  </w:style>
  <w:style w:type="character" w:customStyle="1" w:styleId="16">
    <w:name w:val="Footer Char"/>
    <w:basedOn w:val="6"/>
    <w:link w:val="12"/>
    <w:uiPriority w:val="99"/>
    <w:rPr>
      <w:rFonts w:ascii="Humanist777" w:hAnsi="Humanist777"/>
      <w:sz w:val="24"/>
      <w:szCs w:val="24"/>
    </w:rPr>
  </w:style>
  <w:style w:type="paragraph" w:customStyle="1" w:styleId="17">
    <w:name w:val="NASLOV 123"/>
    <w:basedOn w:val="1"/>
    <w:qFormat/>
    <w:uiPriority w:val="0"/>
    <w:pPr>
      <w:spacing w:before="200" w:after="200"/>
      <w:jc w:val="left"/>
    </w:pPr>
    <w:rPr>
      <w:b/>
      <w:szCs w:val="22"/>
    </w:rPr>
  </w:style>
  <w:style w:type="character" w:customStyle="1" w:styleId="18">
    <w:name w:val="Header Char"/>
    <w:basedOn w:val="6"/>
    <w:link w:val="13"/>
    <w:qFormat/>
    <w:uiPriority w:val="0"/>
    <w:rPr>
      <w:sz w:val="22"/>
      <w:szCs w:val="24"/>
    </w:rPr>
  </w:style>
  <w:style w:type="paragraph" w:styleId="19">
    <w:name w:val="List Paragraph"/>
    <w:basedOn w:val="1"/>
    <w:qFormat/>
    <w:uiPriority w:val="34"/>
    <w:pPr>
      <w:tabs>
        <w:tab w:val="clear" w:pos="284"/>
      </w:tabs>
      <w:ind w:left="720"/>
      <w:contextualSpacing/>
      <w:jc w:val="left"/>
    </w:pPr>
    <w:rPr>
      <w:rFonts w:eastAsiaTheme="minorEastAsia"/>
      <w:szCs w:val="22"/>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3.xml"/><Relationship Id="rId8" Type="http://schemas.openxmlformats.org/officeDocument/2006/relationships/customXml" Target="../customXml/item2.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3c8f14d-de17-4729-8cd2-1c2c3f027e5c">
      <Terms xmlns="http://schemas.microsoft.com/office/infopath/2007/PartnerControls"/>
    </lcf76f155ced4ddcb4097134ff3c332f>
    <TaxCatchAll xmlns="b621dfd6-c00f-47c5-b5af-67d3653e830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6FFE6B2463DCD468DDA6340563834B3" ma:contentTypeVersion="15" ma:contentTypeDescription="Create a new document." ma:contentTypeScope="" ma:versionID="ed06de89fb70e16c8f325472add5b96b">
  <xsd:schema xmlns:xsd="http://www.w3.org/2001/XMLSchema" xmlns:xs="http://www.w3.org/2001/XMLSchema" xmlns:p="http://schemas.microsoft.com/office/2006/metadata/properties" xmlns:ns2="c3c8f14d-de17-4729-8cd2-1c2c3f027e5c" xmlns:ns3="b621dfd6-c00f-47c5-b5af-67d3653e8304" targetNamespace="http://schemas.microsoft.com/office/2006/metadata/properties" ma:root="true" ma:fieldsID="2d948f4f0ef2fc55568c69c746b0b4b3" ns2:_="" ns3:_="">
    <xsd:import namespace="c3c8f14d-de17-4729-8cd2-1c2c3f027e5c"/>
    <xsd:import namespace="b621dfd6-c00f-47c5-b5af-67d3653e830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3c8f14d-de17-4729-8cd2-1c2c3f027e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b17e887b-1209-4573-9ff2-b0cecb1881f1" ma:termSetId="09814cd3-568e-fe90-9814-8d621ff8fb84" ma:anchorId="fba54fb3-c3e1-fe81-a776-ca4b69148c4d" ma:open="true" ma:isKeyword="false">
      <xsd:complexType>
        <xsd:sequence>
          <xsd:element ref="pc:Terms" minOccurs="0" maxOccurs="1"/>
        </xsd:sequence>
      </xsd:complexType>
    </xsd:element>
    <xsd:element name="MediaServiceLocation" ma:index="2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621dfd6-c00f-47c5-b5af-67d3653e830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6c1a041-ff7c-4483-8ed2-8551aa9b4c3b}" ma:internalName="TaxCatchAll" ma:showField="CatchAllData" ma:web="b621dfd6-c00f-47c5-b5af-67d3653e830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52F07BC-DB7C-4755-B9F5-D6D2DA284195}">
  <ds:schemaRefs/>
</ds:datastoreItem>
</file>

<file path=customXml/itemProps2.xml><?xml version="1.0" encoding="utf-8"?>
<ds:datastoreItem xmlns:ds="http://schemas.openxmlformats.org/officeDocument/2006/customXml" ds:itemID="{8B28B502-EBF3-4797-A929-7DFCDD39E328}">
  <ds:schemaRefs/>
</ds:datastoreItem>
</file>

<file path=customXml/itemProps3.xml><?xml version="1.0" encoding="utf-8"?>
<ds:datastoreItem xmlns:ds="http://schemas.openxmlformats.org/officeDocument/2006/customXml" ds:itemID="{70511742-4538-402D-A5CB-BD8A0E3438C6}">
  <ds:schemaRefs/>
</ds:datastoreItem>
</file>

<file path=customXml/itemProps4.xml><?xml version="1.0" encoding="utf-8"?>
<ds:datastoreItem xmlns:ds="http://schemas.openxmlformats.org/officeDocument/2006/customXml" ds:itemID="{8648E787-D942-4F77-84BB-8540689BF8C3}">
  <ds:schemaRefs/>
</ds:datastoreItem>
</file>

<file path=docProps/app.xml><?xml version="1.0" encoding="utf-8"?>
<Properties xmlns="http://schemas.openxmlformats.org/officeDocument/2006/extended-properties" xmlns:vt="http://schemas.openxmlformats.org/officeDocument/2006/docPropsVTypes">
  <Template>Normal</Template>
  <Pages>23</Pages>
  <Words>15663</Words>
  <Characters>89284</Characters>
  <Lines>744</Lines>
  <Paragraphs>209</Paragraphs>
  <TotalTime>6</TotalTime>
  <ScaleCrop>false</ScaleCrop>
  <LinksUpToDate>false</LinksUpToDate>
  <CharactersWithSpaces>104738</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2022-12-28T13:35:00Z</dcterms:created>
  <dc:creator>TANJANE</dc:creator>
  <cp:lastModifiedBy>Haris</cp:lastModifiedBy>
  <cp:lastPrinted>2016-07-25T08:52:00Z</cp:lastPrinted>
  <dcterms:modified xsi:type="dcterms:W3CDTF">2025-02-21T15:27:14Z</dcterms:modified>
  <dc:title>SAŽETAK KARAKTERISTIKA LEKA</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0x01010006FFE6B2463DCD468DDA6340563834B3</vt:lpwstr>
  </property>
  <property fmtid="{D5CDD505-2E9C-101B-9397-08002B2CF9AE}" pid="3" name="KSOProductBuildVer">
    <vt:lpwstr>1033-12.2.0.19805</vt:lpwstr>
  </property>
  <property fmtid="{D5CDD505-2E9C-101B-9397-08002B2CF9AE}" pid="4" name="ICV">
    <vt:lpwstr>DCF41B40BA49468A9A50C466D21E851B_13</vt:lpwstr>
  </property>
</Properties>
</file>