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C2BC4">
      <w:pPr>
        <w:rPr>
          <w:szCs w:val="22"/>
        </w:rPr>
      </w:pPr>
      <w:bookmarkStart w:id="1" w:name="_GoBack"/>
      <w:bookmarkEnd w:id="1"/>
    </w:p>
    <w:p w14:paraId="00F7D3DA">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0B19C348">
      <w:pPr>
        <w:jc w:val="center"/>
        <w:rPr>
          <w:rFonts w:ascii="Microsoft Sans Serif" w:hAnsi="Microsoft Sans Serif" w:cs="Microsoft Sans Serif"/>
          <w:b/>
          <w:bCs/>
          <w:iCs/>
          <w:sz w:val="20"/>
          <w:szCs w:val="20"/>
          <w:u w:val="single"/>
          <w:lang w:val="sv-SE"/>
        </w:rPr>
      </w:pPr>
    </w:p>
    <w:p w14:paraId="3E86F6E9">
      <w:pPr>
        <w:rPr>
          <w:rFonts w:ascii="Microsoft Sans Serif" w:hAnsi="Microsoft Sans Serif" w:cs="Microsoft Sans Serif"/>
          <w:b/>
          <w:bCs/>
          <w:sz w:val="20"/>
          <w:szCs w:val="20"/>
          <w:lang w:val="sv-SE"/>
        </w:rPr>
      </w:pPr>
    </w:p>
    <w:p w14:paraId="5ABB22A2">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sr-Latn-BA"/>
        </w:rPr>
        <w:t>NAZIV GOTOVOG LIJEKA</w:t>
      </w:r>
    </w:p>
    <w:p w14:paraId="4BF09F61">
      <w:pPr>
        <w:pStyle w:val="27"/>
        <w:spacing w:before="0" w:after="0"/>
        <w:jc w:val="both"/>
        <w:rPr>
          <w:rFonts w:ascii="Microsoft Sans Serif" w:hAnsi="Microsoft Sans Serif" w:cs="Microsoft Sans Serif"/>
          <w:sz w:val="20"/>
          <w:szCs w:val="20"/>
          <w:lang w:val="sr-Latn-CS"/>
        </w:rPr>
      </w:pPr>
    </w:p>
    <w:p w14:paraId="668D7C4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Fasindor </w:t>
      </w:r>
    </w:p>
    <w:p w14:paraId="315DB76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12,5 mg, 25 mg, 50 mg </w:t>
      </w:r>
    </w:p>
    <w:p w14:paraId="3A6CB49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ka</w:t>
      </w:r>
      <w:r>
        <w:rPr>
          <w:rFonts w:ascii="Microsoft Sans Serif" w:hAnsi="Microsoft Sans Serif" w:cs="Microsoft Sans Serif"/>
          <w:sz w:val="20"/>
          <w:szCs w:val="20"/>
          <w:lang w:val="sr-Cyrl-RS"/>
        </w:rPr>
        <w:t>psul</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tvrd</w:t>
      </w:r>
      <w:r>
        <w:rPr>
          <w:rFonts w:ascii="Microsoft Sans Serif" w:hAnsi="Microsoft Sans Serif" w:cs="Microsoft Sans Serif"/>
          <w:sz w:val="20"/>
          <w:szCs w:val="20"/>
          <w:lang w:val="sr-Latn-RS"/>
        </w:rPr>
        <w:t>e</w:t>
      </w:r>
    </w:p>
    <w:p w14:paraId="3158F7B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v-SE"/>
        </w:rPr>
        <w:t>sunitinib</w:t>
      </w:r>
    </w:p>
    <w:p w14:paraId="09D76318">
      <w:pPr>
        <w:rPr>
          <w:rFonts w:ascii="Microsoft Sans Serif" w:hAnsi="Microsoft Sans Serif" w:cs="Microsoft Sans Serif"/>
          <w:sz w:val="20"/>
          <w:szCs w:val="20"/>
          <w:lang w:val="sr-Latn-RS"/>
        </w:rPr>
      </w:pPr>
    </w:p>
    <w:p w14:paraId="54BFEA55">
      <w:pPr>
        <w:rPr>
          <w:rFonts w:ascii="Microsoft Sans Serif" w:hAnsi="Microsoft Sans Serif" w:cs="Microsoft Sans Serif"/>
          <w:sz w:val="20"/>
          <w:szCs w:val="20"/>
          <w:lang w:val="sr-Latn-RS"/>
        </w:rPr>
      </w:pPr>
    </w:p>
    <w:p w14:paraId="27014AD7">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77A0D9A4">
      <w:pPr>
        <w:pStyle w:val="27"/>
        <w:spacing w:before="0" w:after="0"/>
        <w:jc w:val="both"/>
        <w:rPr>
          <w:rFonts w:ascii="Microsoft Sans Serif" w:hAnsi="Microsoft Sans Serif" w:cs="Microsoft Sans Serif"/>
          <w:sz w:val="20"/>
          <w:szCs w:val="20"/>
          <w:lang w:val="sv-SE"/>
        </w:rPr>
      </w:pPr>
    </w:p>
    <w:p w14:paraId="14B2715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Fasindor, 12,5 mg, kapsula</w:t>
      </w:r>
      <w:r>
        <w:rPr>
          <w:rFonts w:ascii="Microsoft Sans Serif" w:hAnsi="Microsoft Sans Serif" w:cs="Microsoft Sans Serif"/>
          <w:sz w:val="20"/>
          <w:szCs w:val="20"/>
          <w:u w:val="single"/>
          <w:lang w:val="sr-Cyrl-RS"/>
        </w:rPr>
        <w:t>, tvrda:</w:t>
      </w:r>
    </w:p>
    <w:p w14:paraId="5CFDEE79">
      <w:pPr>
        <w:pStyle w:val="27"/>
        <w:spacing w:before="0" w:after="0"/>
        <w:jc w:val="both"/>
        <w:rPr>
          <w:rFonts w:ascii="Microsoft Sans Serif" w:hAnsi="Microsoft Sans Serif" w:cs="Microsoft Sans Serif"/>
          <w:b w:val="0"/>
          <w:bCs/>
          <w:sz w:val="20"/>
          <w:szCs w:val="20"/>
          <w:lang w:val="sr-Latn-RS"/>
        </w:rPr>
      </w:pPr>
      <w:r>
        <w:rPr>
          <w:rFonts w:ascii="Microsoft Sans Serif" w:hAnsi="Microsoft Sans Serif" w:cs="Microsoft Sans Serif"/>
          <w:b w:val="0"/>
          <w:bCs/>
          <w:sz w:val="20"/>
          <w:szCs w:val="20"/>
          <w:lang w:val="sr-Cyrl-RS"/>
        </w:rPr>
        <w:t>Jedna kapsula sadrži 12,5 mg sunitiniba (u obliku sunitinib-malata)</w:t>
      </w:r>
      <w:r>
        <w:rPr>
          <w:rFonts w:ascii="Microsoft Sans Serif" w:hAnsi="Microsoft Sans Serif" w:cs="Microsoft Sans Serif"/>
          <w:b w:val="0"/>
          <w:bCs/>
          <w:sz w:val="20"/>
          <w:szCs w:val="20"/>
          <w:lang w:val="sr-Latn-RS"/>
        </w:rPr>
        <w:t>.</w:t>
      </w:r>
    </w:p>
    <w:p w14:paraId="4807ED54">
      <w:pPr>
        <w:pStyle w:val="27"/>
        <w:spacing w:before="0" w:after="0"/>
        <w:jc w:val="both"/>
        <w:rPr>
          <w:rFonts w:ascii="Microsoft Sans Serif" w:hAnsi="Microsoft Sans Serif" w:cs="Microsoft Sans Serif"/>
          <w:b w:val="0"/>
          <w:bCs/>
          <w:sz w:val="20"/>
          <w:szCs w:val="20"/>
          <w:lang w:val="sr-Latn-RS"/>
        </w:rPr>
      </w:pPr>
    </w:p>
    <w:p w14:paraId="0B129F1A">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Fasindor, 25 mg, kapsula, tvrda:</w:t>
      </w:r>
    </w:p>
    <w:p w14:paraId="18B3378C">
      <w:pPr>
        <w:pStyle w:val="27"/>
        <w:spacing w:before="0" w:after="0"/>
        <w:jc w:val="both"/>
        <w:rPr>
          <w:rFonts w:ascii="Microsoft Sans Serif" w:hAnsi="Microsoft Sans Serif" w:cs="Microsoft Sans Serif"/>
          <w:b w:val="0"/>
          <w:bCs/>
          <w:sz w:val="20"/>
          <w:szCs w:val="20"/>
          <w:lang w:val="sr-Latn-RS"/>
        </w:rPr>
      </w:pPr>
      <w:r>
        <w:rPr>
          <w:rFonts w:ascii="Microsoft Sans Serif" w:hAnsi="Microsoft Sans Serif" w:cs="Microsoft Sans Serif"/>
          <w:b w:val="0"/>
          <w:bCs/>
          <w:sz w:val="20"/>
          <w:szCs w:val="20"/>
          <w:lang w:val="sr-Cyrl-RS"/>
        </w:rPr>
        <w:t>Jedna kapsula sadrži 25 mg sunitiniba (u obliku sunitinib-malata)</w:t>
      </w:r>
      <w:r>
        <w:rPr>
          <w:rFonts w:ascii="Microsoft Sans Serif" w:hAnsi="Microsoft Sans Serif" w:cs="Microsoft Sans Serif"/>
          <w:b w:val="0"/>
          <w:bCs/>
          <w:sz w:val="20"/>
          <w:szCs w:val="20"/>
          <w:lang w:val="sr-Latn-RS"/>
        </w:rPr>
        <w:t>.</w:t>
      </w:r>
    </w:p>
    <w:p w14:paraId="75DF5194">
      <w:pPr>
        <w:pStyle w:val="27"/>
        <w:spacing w:before="0" w:after="0"/>
        <w:jc w:val="both"/>
        <w:rPr>
          <w:rFonts w:ascii="Microsoft Sans Serif" w:hAnsi="Microsoft Sans Serif" w:cs="Microsoft Sans Serif"/>
          <w:b w:val="0"/>
          <w:bCs/>
          <w:sz w:val="20"/>
          <w:szCs w:val="20"/>
          <w:lang w:val="sr-Latn-RS"/>
        </w:rPr>
      </w:pPr>
    </w:p>
    <w:p w14:paraId="5E3373B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Fasindor, 50 mg, ka</w:t>
      </w:r>
      <w:r>
        <w:rPr>
          <w:rFonts w:ascii="Microsoft Sans Serif" w:hAnsi="Microsoft Sans Serif" w:cs="Microsoft Sans Serif"/>
          <w:sz w:val="20"/>
          <w:szCs w:val="20"/>
          <w:u w:val="single"/>
          <w:lang w:val="sr-Cyrl-RS"/>
        </w:rPr>
        <w:t>psula, tvrda</w:t>
      </w:r>
      <w:r>
        <w:rPr>
          <w:rFonts w:ascii="Microsoft Sans Serif" w:hAnsi="Microsoft Sans Serif" w:cs="Microsoft Sans Serif"/>
          <w:sz w:val="20"/>
          <w:szCs w:val="20"/>
          <w:u w:val="single"/>
          <w:lang w:val="sr-Latn-RS"/>
        </w:rPr>
        <w:t>:</w:t>
      </w:r>
    </w:p>
    <w:p w14:paraId="533B1BAA">
      <w:pPr>
        <w:pStyle w:val="27"/>
        <w:spacing w:before="0" w:after="0"/>
        <w:jc w:val="both"/>
        <w:rPr>
          <w:rFonts w:ascii="Microsoft Sans Serif" w:hAnsi="Microsoft Sans Serif" w:cs="Microsoft Sans Serif"/>
          <w:b w:val="0"/>
          <w:bCs/>
          <w:sz w:val="20"/>
          <w:szCs w:val="20"/>
          <w:lang w:val="sr-Latn-RS"/>
        </w:rPr>
      </w:pPr>
      <w:r>
        <w:rPr>
          <w:rFonts w:ascii="Microsoft Sans Serif" w:hAnsi="Microsoft Sans Serif" w:cs="Microsoft Sans Serif"/>
          <w:b w:val="0"/>
          <w:bCs/>
          <w:sz w:val="20"/>
          <w:szCs w:val="20"/>
          <w:lang w:val="sr-Cyrl-RS"/>
        </w:rPr>
        <w:t>Jedna kapsula sadrži 50 mg sunitiniba (u obliku sunitinib-malata)</w:t>
      </w:r>
      <w:r>
        <w:rPr>
          <w:rFonts w:ascii="Microsoft Sans Serif" w:hAnsi="Microsoft Sans Serif" w:cs="Microsoft Sans Serif"/>
          <w:b w:val="0"/>
          <w:bCs/>
          <w:sz w:val="20"/>
          <w:szCs w:val="20"/>
          <w:lang w:val="sr-Latn-RS"/>
        </w:rPr>
        <w:t>.</w:t>
      </w:r>
    </w:p>
    <w:p w14:paraId="7DF32C3B">
      <w:pPr>
        <w:rPr>
          <w:rFonts w:ascii="Microsoft Sans Serif" w:hAnsi="Microsoft Sans Serif" w:cs="Microsoft Sans Serif"/>
          <w:sz w:val="20"/>
          <w:szCs w:val="20"/>
          <w:lang w:val="sr-Latn-RS"/>
        </w:rPr>
      </w:pPr>
    </w:p>
    <w:p w14:paraId="74F4E085">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 xml:space="preserve">Za listu svih pomoćnih supstanci, pogledati dio 6.1. </w:t>
      </w:r>
    </w:p>
    <w:p w14:paraId="71564FB7">
      <w:pPr>
        <w:pStyle w:val="27"/>
        <w:spacing w:before="0" w:after="0"/>
        <w:jc w:val="both"/>
        <w:rPr>
          <w:rFonts w:ascii="Microsoft Sans Serif" w:hAnsi="Microsoft Sans Serif" w:cs="Microsoft Sans Serif"/>
          <w:sz w:val="20"/>
          <w:szCs w:val="20"/>
          <w:lang w:val="sr-Latn-RS"/>
        </w:rPr>
      </w:pPr>
    </w:p>
    <w:p w14:paraId="173D13FF">
      <w:pPr>
        <w:pStyle w:val="27"/>
        <w:spacing w:before="0" w:after="0"/>
        <w:jc w:val="both"/>
        <w:rPr>
          <w:rFonts w:ascii="Microsoft Sans Serif" w:hAnsi="Microsoft Sans Serif" w:cs="Microsoft Sans Serif"/>
          <w:sz w:val="20"/>
          <w:szCs w:val="20"/>
          <w:lang w:val="sr-Latn-RS"/>
        </w:rPr>
      </w:pPr>
    </w:p>
    <w:p w14:paraId="1D34E280">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0E1F935">
      <w:pPr>
        <w:pStyle w:val="27"/>
        <w:spacing w:before="0" w:after="0"/>
        <w:jc w:val="both"/>
        <w:rPr>
          <w:rFonts w:ascii="Microsoft Sans Serif" w:hAnsi="Microsoft Sans Serif" w:cs="Microsoft Sans Serif"/>
          <w:sz w:val="20"/>
          <w:szCs w:val="20"/>
          <w:lang w:val="sv-SE"/>
        </w:rPr>
      </w:pPr>
    </w:p>
    <w:p w14:paraId="48221C47">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Kapsula, tvrda.</w:t>
      </w:r>
    </w:p>
    <w:p w14:paraId="7672E580">
      <w:pPr>
        <w:pStyle w:val="27"/>
        <w:spacing w:before="0" w:after="0"/>
        <w:jc w:val="both"/>
        <w:rPr>
          <w:rFonts w:ascii="Microsoft Sans Serif" w:hAnsi="Microsoft Sans Serif" w:cs="Microsoft Sans Serif"/>
          <w:b w:val="0"/>
          <w:sz w:val="20"/>
          <w:szCs w:val="20"/>
          <w:lang w:val="sr-Cyrl-RS"/>
        </w:rPr>
      </w:pPr>
    </w:p>
    <w:p w14:paraId="0CE515BD">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12,5 mg, kapsula, tvrda</w:t>
      </w:r>
    </w:p>
    <w:p w14:paraId="4B7FB90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narandžastom kapom i narandžastim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„12</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5“. Kapsula je punjena narandžastim praškom. Kapsula je veličine 4.</w:t>
      </w:r>
    </w:p>
    <w:p w14:paraId="7DEABC79">
      <w:pPr>
        <w:tabs>
          <w:tab w:val="clear" w:pos="284"/>
        </w:tabs>
        <w:rPr>
          <w:rFonts w:ascii="Microsoft Sans Serif" w:hAnsi="Microsoft Sans Serif" w:cs="Microsoft Sans Serif"/>
          <w:sz w:val="20"/>
          <w:szCs w:val="20"/>
          <w:lang w:val="sv-SE"/>
        </w:rPr>
      </w:pPr>
    </w:p>
    <w:p w14:paraId="314D7A39">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25 mg, kapsula, tvrda</w:t>
      </w:r>
    </w:p>
    <w:p w14:paraId="0456B7C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narandžastim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„25“. Kapsula je punjena narandžastim praškom. Kapsula je veličine 3.</w:t>
      </w:r>
    </w:p>
    <w:p w14:paraId="0DD3E877">
      <w:pPr>
        <w:tabs>
          <w:tab w:val="clear" w:pos="284"/>
        </w:tabs>
        <w:rPr>
          <w:rFonts w:ascii="Microsoft Sans Serif" w:hAnsi="Microsoft Sans Serif" w:cs="Microsoft Sans Serif"/>
          <w:sz w:val="20"/>
          <w:szCs w:val="20"/>
          <w:lang w:val="sv-SE"/>
        </w:rPr>
      </w:pPr>
    </w:p>
    <w:p w14:paraId="1589DB0D">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50 mg, kapsula, tvrda</w:t>
      </w:r>
    </w:p>
    <w:p w14:paraId="64A52F9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sa odštampanim crnim oznakama na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xml:space="preserve">“ i „50“. Kapsula je punjena narandžastim praškom. Kapsula je veličine 1 </w:t>
      </w:r>
      <w:r>
        <w:rPr>
          <w:rFonts w:ascii="Microsoft Sans Serif" w:hAnsi="Microsoft Sans Serif" w:cs="Microsoft Sans Serif"/>
          <w:sz w:val="20"/>
          <w:szCs w:val="20"/>
          <w:lang w:val="sr-Latn-RS"/>
        </w:rPr>
        <w:t>EL (</w:t>
      </w:r>
      <w:r>
        <w:rPr>
          <w:rFonts w:ascii="Microsoft Sans Serif" w:hAnsi="Microsoft Sans Serif" w:cs="Microsoft Sans Serif"/>
          <w:sz w:val="20"/>
          <w:szCs w:val="20"/>
          <w:lang w:val="sr-Cyrl-RS"/>
        </w:rPr>
        <w:t>izdužena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w:t>
      </w:r>
    </w:p>
    <w:p w14:paraId="301F20E6">
      <w:pPr>
        <w:tabs>
          <w:tab w:val="clear" w:pos="284"/>
        </w:tabs>
        <w:rPr>
          <w:rFonts w:ascii="Microsoft Sans Serif" w:hAnsi="Microsoft Sans Serif" w:cs="Microsoft Sans Serif"/>
          <w:sz w:val="20"/>
          <w:szCs w:val="20"/>
          <w:lang w:val="sv-SE"/>
        </w:rPr>
      </w:pPr>
    </w:p>
    <w:p w14:paraId="4C357B25">
      <w:pPr>
        <w:pStyle w:val="27"/>
        <w:spacing w:before="0" w:after="0"/>
        <w:jc w:val="both"/>
        <w:rPr>
          <w:rFonts w:ascii="Microsoft Sans Serif" w:hAnsi="Microsoft Sans Serif" w:cs="Microsoft Sans Serif"/>
          <w:sz w:val="20"/>
          <w:szCs w:val="20"/>
          <w:lang w:val="sv-SE"/>
        </w:rPr>
      </w:pPr>
    </w:p>
    <w:p w14:paraId="3AC227EA">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4581FDF2">
      <w:pPr>
        <w:rPr>
          <w:rFonts w:ascii="Microsoft Sans Serif" w:hAnsi="Microsoft Sans Serif" w:cs="Microsoft Sans Serif"/>
          <w:b/>
          <w:bCs/>
          <w:sz w:val="20"/>
          <w:szCs w:val="20"/>
          <w:lang w:val="sv-SE"/>
        </w:rPr>
      </w:pPr>
    </w:p>
    <w:p w14:paraId="26F800C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2995532F">
      <w:pPr>
        <w:rPr>
          <w:rFonts w:ascii="Microsoft Sans Serif" w:hAnsi="Microsoft Sans Serif" w:cs="Microsoft Sans Serif"/>
          <w:sz w:val="20"/>
          <w:szCs w:val="20"/>
          <w:u w:val="single"/>
          <w:lang w:val="sv-SE"/>
        </w:rPr>
      </w:pPr>
    </w:p>
    <w:p w14:paraId="04D445B3">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Gastrointestinalni tumori strome, tj. gastrointestinalni stromalni tumori (GIST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i/>
          <w:sz w:val="20"/>
          <w:szCs w:val="20"/>
          <w:u w:val="single"/>
          <w:lang w:val="sr-Cyrl-RS"/>
        </w:rPr>
        <w:t>engl. Gastrointestinal stromal tumour</w:t>
      </w:r>
      <w:r>
        <w:rPr>
          <w:rFonts w:ascii="Microsoft Sans Serif" w:hAnsi="Microsoft Sans Serif" w:cs="Microsoft Sans Serif"/>
          <w:sz w:val="20"/>
          <w:szCs w:val="20"/>
          <w:u w:val="single"/>
          <w:lang w:val="sr-Cyrl-RS"/>
        </w:rPr>
        <w:t>)</w:t>
      </w:r>
    </w:p>
    <w:p w14:paraId="3D23C02F">
      <w:pPr>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neoperabilnih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metastatskih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malignih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gastrointestinalnih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strome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neuspje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zbog </w:t>
      </w:r>
      <w:r>
        <w:rPr>
          <w:rFonts w:ascii="Microsoft Sans Serif" w:hAnsi="Microsoft Sans Serif" w:cs="Microsoft Sans Serif"/>
          <w:sz w:val="20"/>
          <w:szCs w:val="20"/>
        </w:rPr>
        <w:t>rezistencije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intolerancije</w:t>
      </w:r>
      <w:r>
        <w:rPr>
          <w:rFonts w:ascii="Microsoft Sans Serif" w:hAnsi="Microsoft Sans Serif" w:cs="Microsoft Sans Serif"/>
          <w:sz w:val="20"/>
          <w:szCs w:val="20"/>
          <w:lang w:val="sr-Cyrl-RS"/>
        </w:rPr>
        <w:t>.</w:t>
      </w:r>
    </w:p>
    <w:p w14:paraId="527107BE">
      <w:pPr>
        <w:rPr>
          <w:rFonts w:ascii="Microsoft Sans Serif" w:hAnsi="Microsoft Sans Serif" w:cs="Microsoft Sans Serif"/>
          <w:sz w:val="20"/>
          <w:szCs w:val="20"/>
          <w:u w:val="single"/>
          <w:lang w:val="sr-Cyrl-RS"/>
        </w:rPr>
      </w:pPr>
    </w:p>
    <w:p w14:paraId="1F908F0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Metastatski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karcinomi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bubre</w:t>
      </w: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nih</w:t>
      </w:r>
      <w:r>
        <w:rPr>
          <w:rFonts w:ascii="Microsoft Sans Serif" w:hAnsi="Microsoft Sans Serif" w:cs="Microsoft Sans Serif"/>
          <w:sz w:val="20"/>
          <w:szCs w:val="20"/>
          <w:u w:val="single"/>
          <w:lang w:val="sr-Cyrl-RS"/>
        </w:rPr>
        <w:t xml:space="preserve"> ć</w:t>
      </w:r>
      <w:r>
        <w:rPr>
          <w:rFonts w:ascii="Microsoft Sans Serif" w:hAnsi="Microsoft Sans Serif" w:cs="Microsoft Sans Serif"/>
          <w:sz w:val="20"/>
          <w:szCs w:val="20"/>
          <w:u w:val="single"/>
        </w:rPr>
        <w:t>elija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MRCC</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i/>
          <w:sz w:val="20"/>
          <w:szCs w:val="20"/>
          <w:u w:val="single"/>
          <w:lang w:val="sr-Cyrl-RS"/>
        </w:rPr>
        <w:t>engl.</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i/>
          <w:sz w:val="20"/>
          <w:szCs w:val="20"/>
          <w:u w:val="single"/>
          <w:lang w:val="sr-Cyrl-RS"/>
        </w:rPr>
        <w:t>Metastatic renal cell carcinoma</w:t>
      </w:r>
      <w:r>
        <w:rPr>
          <w:rFonts w:ascii="Microsoft Sans Serif" w:hAnsi="Microsoft Sans Serif" w:cs="Microsoft Sans Serif"/>
          <w:sz w:val="20"/>
          <w:szCs w:val="20"/>
          <w:u w:val="single"/>
          <w:lang w:val="sr-Cyrl-RS"/>
        </w:rPr>
        <w:t xml:space="preserve"> )</w:t>
      </w:r>
    </w:p>
    <w:p w14:paraId="0A5E21F8">
      <w:pPr>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metastatskog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w:t>
      </w:r>
    </w:p>
    <w:p w14:paraId="41E6D760">
      <w:pPr>
        <w:rPr>
          <w:rFonts w:ascii="Microsoft Sans Serif" w:hAnsi="Microsoft Sans Serif" w:cs="Microsoft Sans Serif"/>
          <w:sz w:val="20"/>
          <w:szCs w:val="20"/>
          <w:lang w:val="sr-Cyrl-RS"/>
        </w:rPr>
      </w:pPr>
    </w:p>
    <w:p w14:paraId="20DB32DE">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 xml:space="preserve">Neuroendokrini tumori pankreasa ((pNET) </w:t>
      </w:r>
      <w:r>
        <w:rPr>
          <w:rFonts w:ascii="Microsoft Sans Serif" w:hAnsi="Microsoft Sans Serif" w:cs="Microsoft Sans Serif"/>
          <w:i/>
          <w:sz w:val="20"/>
          <w:szCs w:val="20"/>
          <w:u w:val="single"/>
          <w:lang w:val="sr-Cyrl-RS"/>
        </w:rPr>
        <w:t xml:space="preserve">enlg. </w:t>
      </w:r>
      <w:r>
        <w:rPr>
          <w:rFonts w:ascii="Microsoft Sans Serif" w:hAnsi="Microsoft Sans Serif" w:cs="Microsoft Sans Serif"/>
          <w:i/>
          <w:sz w:val="20"/>
          <w:szCs w:val="20"/>
          <w:u w:val="single"/>
        </w:rPr>
        <w:t>Pancreatic</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neuroendocrine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tumours</w:t>
      </w:r>
      <w:r>
        <w:rPr>
          <w:rFonts w:ascii="Microsoft Sans Serif" w:hAnsi="Microsoft Sans Serif" w:cs="Microsoft Sans Serif"/>
          <w:sz w:val="20"/>
          <w:szCs w:val="20"/>
          <w:u w:val="single"/>
          <w:lang w:val="sr-Cyrl-RS"/>
        </w:rPr>
        <w:t>)</w:t>
      </w:r>
    </w:p>
    <w:p w14:paraId="237B4E6A">
      <w:pPr>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neoperabilnih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metastatskih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diferenciranih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neuroendokrinih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pankreasa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progresijom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w:t>
      </w:r>
    </w:p>
    <w:p w14:paraId="021AEF64">
      <w:pPr>
        <w:rPr>
          <w:rFonts w:ascii="Microsoft Sans Serif" w:hAnsi="Microsoft Sans Serif" w:cs="Microsoft Sans Serif"/>
          <w:sz w:val="20"/>
          <w:szCs w:val="20"/>
          <w:lang w:val="sr-Cyrl-RS"/>
        </w:rPr>
      </w:pPr>
    </w:p>
    <w:p w14:paraId="575454AE">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2AAA0469">
      <w:pPr>
        <w:rPr>
          <w:rFonts w:ascii="Microsoft Sans Serif" w:hAnsi="Microsoft Sans Serif" w:cs="Microsoft Sans Serif"/>
          <w:b/>
          <w:bCs/>
          <w:sz w:val="20"/>
          <w:szCs w:val="20"/>
          <w:lang w:val="sr-Cyrl-RS"/>
        </w:rPr>
      </w:pPr>
    </w:p>
    <w:p w14:paraId="12A370DE">
      <w:pPr>
        <w:rPr>
          <w:rFonts w:ascii="Microsoft Sans Serif" w:hAnsi="Microsoft Sans Serif" w:cs="Microsoft Sans Serif"/>
          <w:sz w:val="20"/>
          <w:szCs w:val="20"/>
          <w:lang w:val="sr-Cyrl-RS"/>
        </w:rPr>
      </w:pP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w:t>
      </w:r>
    </w:p>
    <w:p w14:paraId="7980E79B">
      <w:pPr>
        <w:rPr>
          <w:rFonts w:ascii="Microsoft Sans Serif" w:hAnsi="Microsoft Sans Serif" w:cs="Microsoft Sans Serif"/>
          <w:sz w:val="20"/>
          <w:szCs w:val="20"/>
          <w:u w:val="single"/>
          <w:lang w:val="sr-Cyrl-RS"/>
        </w:rPr>
      </w:pPr>
    </w:p>
    <w:p w14:paraId="232DB098">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Doziranje</w:t>
      </w:r>
    </w:p>
    <w:p w14:paraId="3879EB23">
      <w:pPr>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oralna doza od 50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koja se uzima jednom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etiri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uzastopne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dvonedel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4/2),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kompletni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p w14:paraId="50EA5418">
      <w:pPr>
        <w:rPr>
          <w:rFonts w:ascii="Microsoft Sans Serif" w:hAnsi="Microsoft Sans Serif" w:cs="Microsoft Sans Serif"/>
          <w:sz w:val="20"/>
          <w:szCs w:val="20"/>
          <w:lang w:val="sr-Cyrl-RS"/>
        </w:rPr>
      </w:pPr>
    </w:p>
    <w:p w14:paraId="50FBA30F">
      <w:pPr>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oralna doza od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koja se uzima jednom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planiranog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odmora</w:t>
      </w:r>
      <w:r>
        <w:rPr>
          <w:rFonts w:ascii="Microsoft Sans Serif" w:hAnsi="Microsoft Sans Serif" w:cs="Microsoft Sans Serif"/>
          <w:sz w:val="20"/>
          <w:szCs w:val="20"/>
          <w:lang w:val="sr-Cyrl-RS"/>
        </w:rPr>
        <w:t>.</w:t>
      </w:r>
    </w:p>
    <w:p w14:paraId="10A2A26A">
      <w:pPr>
        <w:rPr>
          <w:rFonts w:ascii="Microsoft Sans Serif" w:hAnsi="Microsoft Sans Serif" w:cs="Microsoft Sans Serif"/>
          <w:sz w:val="20"/>
          <w:szCs w:val="20"/>
          <w:lang w:val="sr-Cyrl-RS"/>
        </w:rPr>
      </w:pPr>
    </w:p>
    <w:p w14:paraId="60AB44D3">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Pode</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avanje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doza</w:t>
      </w:r>
    </w:p>
    <w:p w14:paraId="0245D47D">
      <w:pPr>
        <w:rPr>
          <w:rFonts w:ascii="Microsoft Sans Serif" w:hAnsi="Microsoft Sans Serif" w:cs="Microsoft Sans Serif"/>
          <w:i/>
          <w:sz w:val="20"/>
          <w:szCs w:val="20"/>
          <w:lang w:val="sr-Cyrl-RS"/>
        </w:rPr>
      </w:pPr>
    </w:p>
    <w:p w14:paraId="257C2C58">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Bezbjednost</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podno</w:t>
      </w:r>
      <w:r>
        <w:rPr>
          <w:rFonts w:ascii="Microsoft Sans Serif" w:hAnsi="Microsoft Sans Serif" w:cs="Microsoft Sans Serif"/>
          <w:i/>
          <w:sz w:val="20"/>
          <w:szCs w:val="20"/>
          <w:lang w:val="sr-Cyrl-RS"/>
        </w:rPr>
        <w:t>š</w:t>
      </w:r>
      <w:r>
        <w:rPr>
          <w:rFonts w:ascii="Microsoft Sans Serif" w:hAnsi="Microsoft Sans Serif" w:cs="Microsoft Sans Serif"/>
          <w:i/>
          <w:sz w:val="20"/>
          <w:szCs w:val="20"/>
        </w:rPr>
        <w:t>l</w:t>
      </w:r>
      <w:r>
        <w:rPr>
          <w:rFonts w:ascii="Microsoft Sans Serif" w:hAnsi="Microsoft Sans Serif" w:cs="Microsoft Sans Serif"/>
          <w:i/>
          <w:sz w:val="20"/>
          <w:szCs w:val="20"/>
          <w:lang w:val="sr-Cyrl-RS"/>
        </w:rPr>
        <w:t>ј</w:t>
      </w:r>
      <w:r>
        <w:rPr>
          <w:rFonts w:ascii="Microsoft Sans Serif" w:hAnsi="Microsoft Sans Serif" w:cs="Microsoft Sans Serif"/>
          <w:i/>
          <w:sz w:val="20"/>
          <w:szCs w:val="20"/>
        </w:rPr>
        <w:t>ivost</w:t>
      </w:r>
    </w:p>
    <w:p w14:paraId="3CA1AE06">
      <w:pPr>
        <w:rPr>
          <w:rFonts w:ascii="Microsoft Sans Serif" w:hAnsi="Microsoft Sans Serif" w:cs="Microsoft Sans Serif"/>
          <w:sz w:val="20"/>
          <w:szCs w:val="20"/>
          <w:lang w:val="sv-SE"/>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 xml:space="preserve"> 12,5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individualne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bezbjednosti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Dnevna doza ne treba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bude veća od 75 mg, niti manja od 25 mg.</w:t>
      </w:r>
    </w:p>
    <w:p w14:paraId="4F3AA941">
      <w:pPr>
        <w:rPr>
          <w:rFonts w:ascii="Microsoft Sans Serif" w:hAnsi="Microsoft Sans Serif" w:cs="Microsoft Sans Serif"/>
          <w:sz w:val="20"/>
          <w:szCs w:val="20"/>
          <w:lang w:val="sv-SE"/>
        </w:rPr>
      </w:pPr>
    </w:p>
    <w:p w14:paraId="4219A4D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liječenje pNET, prilagođavanje doziranja se može postići dozama od po 12,5 mg na osnovu individualne bezbjednosti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Najveća doza primjenjena u pNET studiji faze 3 iznosila je 50 mg dnevno.</w:t>
      </w:r>
    </w:p>
    <w:p w14:paraId="515FE897">
      <w:pPr>
        <w:rPr>
          <w:rFonts w:ascii="Microsoft Sans Serif" w:hAnsi="Microsoft Sans Serif" w:cs="Microsoft Sans Serif"/>
          <w:sz w:val="20"/>
          <w:szCs w:val="20"/>
          <w:lang w:val="sv-SE"/>
        </w:rPr>
      </w:pPr>
    </w:p>
    <w:p w14:paraId="6CD527D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Uzimajući u obzir individualnu bezbjednost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mogući su prekidi doziranja.</w:t>
      </w:r>
    </w:p>
    <w:p w14:paraId="5FFF07EF">
      <w:pPr>
        <w:rPr>
          <w:rFonts w:ascii="Microsoft Sans Serif" w:hAnsi="Microsoft Sans Serif" w:cs="Microsoft Sans Serif"/>
          <w:sz w:val="20"/>
          <w:szCs w:val="20"/>
          <w:lang w:val="sv-SE"/>
        </w:rPr>
      </w:pPr>
    </w:p>
    <w:p w14:paraId="4866403E">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Inhibitori/induktori CYP3A4</w:t>
      </w:r>
    </w:p>
    <w:p w14:paraId="4C82C2B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sunitiniba sa snažnim induktorima CYP3A4 kao što je rifampicin (pogledati dijelove 4.4 i 4.5). Ukoliko to nije moguće, možda će biti potrebno da se doza sunitiniba povećava postepeno u dozama od po 12,5 mg (do 87,5 mg dnevno za liječenje GIST i MRCC ili 62,5 mg dnevno za liječenje pNET) na osnovu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ivog praćenja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lijeka.</w:t>
      </w:r>
    </w:p>
    <w:p w14:paraId="1D4E6E05">
      <w:pPr>
        <w:rPr>
          <w:rFonts w:ascii="Microsoft Sans Serif" w:hAnsi="Microsoft Sans Serif" w:cs="Microsoft Sans Serif"/>
          <w:sz w:val="20"/>
          <w:szCs w:val="20"/>
          <w:lang w:val="sv-SE"/>
        </w:rPr>
      </w:pPr>
    </w:p>
    <w:p w14:paraId="32EC74A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sunitiniba sa snažnim inhibitorima CYP3A4, kao što je ketokonazol (pogledati dijelove 4.4 i 4.5). Ukoliko to nije moguće, možda će biti potrebno da se doza sunitiniba smanji na minimalnu dozu od 37,5 mg dnevno za liječenje GIST i MRCC ili 25 mg dnevno za liječenje pNET na osnovu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ivog praćenja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lijeka.</w:t>
      </w:r>
    </w:p>
    <w:p w14:paraId="6CDC7120">
      <w:pPr>
        <w:rPr>
          <w:rFonts w:ascii="Microsoft Sans Serif" w:hAnsi="Microsoft Sans Serif" w:cs="Microsoft Sans Serif"/>
          <w:sz w:val="20"/>
          <w:szCs w:val="20"/>
          <w:lang w:val="sv-SE"/>
        </w:rPr>
      </w:pPr>
    </w:p>
    <w:p w14:paraId="28CB18D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razmotriti izbor drugog lijeka za istovremenu primjenu koji je bez ili sa minimalnim potencijalom za indukciju ili inhibiciju CYP3A4.</w:t>
      </w:r>
    </w:p>
    <w:p w14:paraId="62B2E5D8">
      <w:pPr>
        <w:rPr>
          <w:rFonts w:ascii="Microsoft Sans Serif" w:hAnsi="Microsoft Sans Serif" w:cs="Microsoft Sans Serif"/>
          <w:sz w:val="20"/>
          <w:szCs w:val="20"/>
          <w:lang w:val="sv-SE"/>
        </w:rPr>
      </w:pPr>
    </w:p>
    <w:p w14:paraId="1284CB4C">
      <w:pPr>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Posebne populacije</w:t>
      </w:r>
    </w:p>
    <w:p w14:paraId="4331A164">
      <w:pPr>
        <w:rPr>
          <w:rFonts w:ascii="Microsoft Sans Serif" w:hAnsi="Microsoft Sans Serif" w:cs="Microsoft Sans Serif"/>
          <w:i/>
          <w:sz w:val="20"/>
          <w:szCs w:val="20"/>
          <w:lang w:val="sv-SE"/>
        </w:rPr>
      </w:pPr>
    </w:p>
    <w:p w14:paraId="0B77D843">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0FB037E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lijeka Fasindor kod pacijenata </w:t>
      </w:r>
      <w:r>
        <w:rPr>
          <w:rFonts w:ascii="Microsoft Sans Serif" w:hAnsi="Microsoft Sans Serif" w:cs="Microsoft Sans Serif"/>
          <w:sz w:val="20"/>
          <w:szCs w:val="20"/>
          <w:lang w:val="sr-Cyrl-RS"/>
        </w:rPr>
        <w:t>mlađih</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18 godina nije utvrđena.</w:t>
      </w:r>
    </w:p>
    <w:p w14:paraId="3E5D1D2F">
      <w:pPr>
        <w:rPr>
          <w:rFonts w:ascii="Microsoft Sans Serif" w:hAnsi="Microsoft Sans Serif" w:cs="Microsoft Sans Serif"/>
          <w:sz w:val="20"/>
          <w:szCs w:val="20"/>
          <w:lang w:val="sv-SE"/>
        </w:rPr>
      </w:pPr>
    </w:p>
    <w:p w14:paraId="0A8CAFE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Trenutno dostupni podaci su opisani u dijelovima 4.8, 5.1 i 5.2, međutim nije moguće dati preporuku o doziranju.</w:t>
      </w:r>
    </w:p>
    <w:p w14:paraId="33C1C329">
      <w:pPr>
        <w:rPr>
          <w:rFonts w:ascii="Microsoft Sans Serif" w:hAnsi="Microsoft Sans Serif" w:cs="Microsoft Sans Serif"/>
          <w:i/>
          <w:sz w:val="20"/>
          <w:szCs w:val="20"/>
          <w:lang w:val="sv-SE"/>
        </w:rPr>
      </w:pPr>
    </w:p>
    <w:p w14:paraId="5245566F">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Stariji</w:t>
      </w:r>
      <w:r>
        <w:rPr>
          <w:rFonts w:ascii="Microsoft Sans Serif" w:hAnsi="Microsoft Sans Serif" w:cs="Microsoft Sans Serif"/>
          <w:i/>
          <w:sz w:val="20"/>
          <w:szCs w:val="20"/>
          <w:lang w:val="mk-MK"/>
        </w:rPr>
        <w:t xml:space="preserve"> pacijenti</w:t>
      </w:r>
    </w:p>
    <w:p w14:paraId="1521D3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Približno jedna trećina ukupnog broja pacijenata u kliničkim studijama koji su </w:t>
      </w:r>
      <w:r>
        <w:rPr>
          <w:rFonts w:ascii="Microsoft Sans Serif" w:hAnsi="Microsoft Sans Serif" w:cs="Microsoft Sans Serif"/>
          <w:sz w:val="20"/>
          <w:szCs w:val="20"/>
          <w:lang w:val="mk-MK"/>
        </w:rPr>
        <w:t>primali</w:t>
      </w:r>
      <w:r>
        <w:rPr>
          <w:rFonts w:ascii="Microsoft Sans Serif" w:hAnsi="Microsoft Sans Serif" w:cs="Microsoft Sans Serif"/>
          <w:sz w:val="20"/>
          <w:szCs w:val="20"/>
          <w:lang w:val="sv-SE"/>
        </w:rPr>
        <w:t xml:space="preserve"> sunitinib bila je starosti 65 godina ili stariji. Nije zapažena značajna razlika u bezbjednosti i</w:t>
      </w:r>
      <w:r>
        <w:rPr>
          <w:rFonts w:ascii="Microsoft Sans Serif" w:hAnsi="Microsoft Sans Serif" w:cs="Microsoft Sans Serif"/>
          <w:sz w:val="20"/>
          <w:szCs w:val="20"/>
          <w:lang w:val="mk-MK"/>
        </w:rPr>
        <w:t>li</w:t>
      </w:r>
      <w:r>
        <w:rPr>
          <w:rFonts w:ascii="Microsoft Sans Serif" w:hAnsi="Microsoft Sans Serif" w:cs="Microsoft Sans Serif"/>
          <w:sz w:val="20"/>
          <w:szCs w:val="20"/>
          <w:lang w:val="sv-SE"/>
        </w:rPr>
        <w:t xml:space="preserve"> efikasnosti lijeka između mlađih i starijih pacijenata.</w:t>
      </w:r>
    </w:p>
    <w:p w14:paraId="4DB3793A">
      <w:pPr>
        <w:rPr>
          <w:rFonts w:ascii="Microsoft Sans Serif" w:hAnsi="Microsoft Sans Serif" w:cs="Microsoft Sans Serif"/>
          <w:sz w:val="20"/>
          <w:szCs w:val="20"/>
          <w:lang w:val="sv-SE"/>
        </w:rPr>
      </w:pPr>
    </w:p>
    <w:p w14:paraId="7BF7302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09DF481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Ne preporučuje se prilagođavanje početne doze sunitiniba </w:t>
      </w:r>
      <w:r>
        <w:rPr>
          <w:rFonts w:ascii="Microsoft Sans Serif" w:hAnsi="Microsoft Sans Serif" w:cs="Microsoft Sans Serif"/>
          <w:sz w:val="20"/>
          <w:szCs w:val="20"/>
          <w:lang w:val="mk-MK"/>
        </w:rPr>
        <w:t>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 xml:space="preserve">enjuje </w:t>
      </w:r>
      <w:r>
        <w:rPr>
          <w:rFonts w:ascii="Microsoft Sans Serif" w:hAnsi="Microsoft Sans Serif" w:cs="Microsoft Sans Serif"/>
          <w:sz w:val="20"/>
          <w:szCs w:val="20"/>
          <w:lang w:val="sv-SE"/>
        </w:rPr>
        <w:t>kod pacijenata sa blagim ili umjerenim oštećenjem funkcije jetre (</w:t>
      </w:r>
      <w:r>
        <w:rPr>
          <w:rFonts w:ascii="Microsoft Sans Serif" w:hAnsi="Microsoft Sans Serif" w:cs="Microsoft Sans Serif"/>
          <w:i/>
          <w:sz w:val="20"/>
          <w:szCs w:val="20"/>
          <w:lang w:val="sv-SE"/>
        </w:rPr>
        <w:t>Child-Pugh</w:t>
      </w:r>
      <w:r>
        <w:rPr>
          <w:rFonts w:ascii="Microsoft Sans Serif" w:hAnsi="Microsoft Sans Serif" w:cs="Microsoft Sans Serif"/>
          <w:sz w:val="20"/>
          <w:szCs w:val="20"/>
          <w:lang w:val="sv-SE"/>
        </w:rPr>
        <w:t xml:space="preserve"> klasa A i B). Sunitinib nije ispitivan kod osoba sa teškim oštećenjem funkcije jetre (</w:t>
      </w:r>
      <w:r>
        <w:rPr>
          <w:rFonts w:ascii="Microsoft Sans Serif" w:hAnsi="Microsoft Sans Serif" w:cs="Microsoft Sans Serif"/>
          <w:i/>
          <w:sz w:val="20"/>
          <w:szCs w:val="20"/>
          <w:lang w:val="sv-SE"/>
        </w:rPr>
        <w:t>Child-Pugh</w:t>
      </w:r>
      <w:r>
        <w:rPr>
          <w:rFonts w:ascii="Microsoft Sans Serif" w:hAnsi="Microsoft Sans Serif" w:cs="Microsoft Sans Serif"/>
          <w:sz w:val="20"/>
          <w:szCs w:val="20"/>
          <w:lang w:val="sv-SE"/>
        </w:rPr>
        <w:t xml:space="preserve"> klasa C), pa se iz tog razloga njegova primjena kod </w:t>
      </w:r>
      <w:r>
        <w:rPr>
          <w:rFonts w:ascii="Microsoft Sans Serif" w:hAnsi="Microsoft Sans Serif" w:cs="Microsoft Sans Serif"/>
          <w:sz w:val="20"/>
          <w:szCs w:val="20"/>
          <w:lang w:val="mk-MK"/>
        </w:rPr>
        <w:t>ov</w:t>
      </w:r>
      <w:r>
        <w:rPr>
          <w:rFonts w:ascii="Microsoft Sans Serif" w:hAnsi="Microsoft Sans Serif" w:cs="Microsoft Sans Serif"/>
          <w:sz w:val="20"/>
          <w:szCs w:val="20"/>
          <w:lang w:val="sv-SE"/>
        </w:rPr>
        <w:t>ih pacijenata ne preporučuje (pogledati dio 5.2).</w:t>
      </w:r>
    </w:p>
    <w:p w14:paraId="39F1093D">
      <w:pPr>
        <w:rPr>
          <w:rFonts w:ascii="Microsoft Sans Serif" w:hAnsi="Microsoft Sans Serif" w:cs="Microsoft Sans Serif"/>
          <w:i/>
          <w:sz w:val="20"/>
          <w:szCs w:val="20"/>
          <w:lang w:val="sv-SE"/>
        </w:rPr>
      </w:pPr>
    </w:p>
    <w:p w14:paraId="55DD7205">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62E7E3E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Nije potrebno prilagođavanje početne doze sunitiniba </w:t>
      </w:r>
      <w:r>
        <w:rPr>
          <w:rFonts w:ascii="Microsoft Sans Serif" w:hAnsi="Microsoft Sans Serif" w:cs="Microsoft Sans Serif"/>
          <w:sz w:val="20"/>
          <w:szCs w:val="20"/>
          <w:lang w:val="mk-MK"/>
        </w:rPr>
        <w:t xml:space="preserve">kada se primenjuje </w:t>
      </w:r>
      <w:r>
        <w:rPr>
          <w:rFonts w:ascii="Microsoft Sans Serif" w:hAnsi="Microsoft Sans Serif" w:cs="Microsoft Sans Serif"/>
          <w:sz w:val="20"/>
          <w:szCs w:val="20"/>
          <w:lang w:val="sv-SE"/>
        </w:rPr>
        <w:t xml:space="preserve">kod pacijenata sa oštećenjem funkcije bubrega (od blagog do teškog), ili kod pacijenata u terminalnoj fazi bubrežne bolesti (engl. </w:t>
      </w:r>
      <w:r>
        <w:rPr>
          <w:rFonts w:ascii="Microsoft Sans Serif" w:hAnsi="Microsoft Sans Serif" w:cs="Microsoft Sans Serif"/>
          <w:i/>
          <w:sz w:val="20"/>
          <w:szCs w:val="20"/>
          <w:lang w:val="sv-SE"/>
        </w:rPr>
        <w:t>End-Stage Renal Disease</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sv-SE"/>
        </w:rPr>
        <w:t xml:space="preserve"> ESRD) koji su na hemodijalizi.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prilagođavanje doze treba da se bazira na individualnoj bezbjednosti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(pogledati dio 5.2).</w:t>
      </w:r>
    </w:p>
    <w:p w14:paraId="1E5330A5">
      <w:pPr>
        <w:rPr>
          <w:rFonts w:ascii="Microsoft Sans Serif" w:hAnsi="Microsoft Sans Serif" w:cs="Microsoft Sans Serif"/>
          <w:sz w:val="20"/>
          <w:szCs w:val="20"/>
          <w:lang w:val="sv-SE"/>
        </w:rPr>
      </w:pPr>
    </w:p>
    <w:p w14:paraId="751E8AE0">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2FC2A68B">
      <w:pPr>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lang w:val="sv-SE"/>
        </w:rPr>
        <w:t xml:space="preserve">Fasindor je </w:t>
      </w:r>
      <w:r>
        <w:rPr>
          <w:rFonts w:ascii="Microsoft Sans Serif" w:hAnsi="Microsoft Sans Serif" w:cs="Microsoft Sans Serif"/>
          <w:sz w:val="20"/>
          <w:szCs w:val="20"/>
          <w:lang w:val="mk-MK"/>
        </w:rPr>
        <w:t>nam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enjen</w:t>
      </w:r>
      <w:r>
        <w:rPr>
          <w:rFonts w:ascii="Microsoft Sans Serif" w:hAnsi="Microsoft Sans Serif" w:cs="Microsoft Sans Serif"/>
          <w:sz w:val="20"/>
          <w:szCs w:val="20"/>
          <w:lang w:val="sv-SE"/>
        </w:rPr>
        <w:t xml:space="preserve"> za oralnu upotrebu.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ože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uzeti sa hranom ili bez nje.</w:t>
      </w:r>
    </w:p>
    <w:p w14:paraId="65A84A0E">
      <w:pPr>
        <w:rPr>
          <w:rFonts w:ascii="Microsoft Sans Serif" w:hAnsi="Microsoft Sans Serif" w:cs="Microsoft Sans Serif"/>
          <w:sz w:val="20"/>
          <w:szCs w:val="20"/>
          <w:lang w:val="sv-SE"/>
        </w:rPr>
      </w:pPr>
    </w:p>
    <w:p w14:paraId="7FDAB6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se propusti jedna doza, pacijent ne treba da uzme dodatnu dozu lijeka. Pacijent treba da uzme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uobičajenu, propisanu dozu sljedećeg dana.</w:t>
      </w:r>
    </w:p>
    <w:p w14:paraId="708194E9">
      <w:pPr>
        <w:rPr>
          <w:rFonts w:ascii="Microsoft Sans Serif" w:hAnsi="Microsoft Sans Serif" w:cs="Microsoft Sans Serif"/>
          <w:b/>
          <w:sz w:val="20"/>
          <w:szCs w:val="20"/>
          <w:lang w:val="sv-SE"/>
        </w:rPr>
      </w:pPr>
    </w:p>
    <w:p w14:paraId="04AA441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4.3. Kontraindikacije</w:t>
      </w:r>
    </w:p>
    <w:p w14:paraId="79D5A084">
      <w:pPr>
        <w:rPr>
          <w:rFonts w:ascii="Microsoft Sans Serif" w:hAnsi="Microsoft Sans Serif" w:cs="Microsoft Sans Serif"/>
          <w:b/>
          <w:sz w:val="20"/>
          <w:szCs w:val="20"/>
          <w:lang w:val="sv-SE"/>
        </w:rPr>
      </w:pPr>
    </w:p>
    <w:p w14:paraId="1303649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aktivnu supstancu ili na bilo koju od pomoćnih supstanci navedenih u dijelu 6.1.</w:t>
      </w:r>
    </w:p>
    <w:p w14:paraId="00B7D62C">
      <w:pPr>
        <w:rPr>
          <w:rFonts w:ascii="Microsoft Sans Serif" w:hAnsi="Microsoft Sans Serif" w:cs="Microsoft Sans Serif"/>
          <w:sz w:val="20"/>
          <w:szCs w:val="20"/>
          <w:lang w:val="sv-SE"/>
        </w:rPr>
      </w:pPr>
    </w:p>
    <w:p w14:paraId="0437228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4.4. Posebna upozorenja i mjere opreza pri upotrebi lijeka</w:t>
      </w:r>
    </w:p>
    <w:p w14:paraId="76F176FE">
      <w:pPr>
        <w:rPr>
          <w:rFonts w:ascii="Microsoft Sans Serif" w:hAnsi="Microsoft Sans Serif" w:cs="Microsoft Sans Serif"/>
          <w:b/>
          <w:sz w:val="20"/>
          <w:szCs w:val="20"/>
          <w:lang w:val="sv-SE"/>
        </w:rPr>
      </w:pPr>
    </w:p>
    <w:p w14:paraId="520D1C4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sa snažnim induktorima CYP3A4, zato što oni mogu sniziti koncentraciju sunitiniba u plazmi (pogledati dijelove 4.2 i 4.5).</w:t>
      </w:r>
    </w:p>
    <w:p w14:paraId="01733E17">
      <w:pPr>
        <w:rPr>
          <w:rFonts w:ascii="Microsoft Sans Serif" w:hAnsi="Microsoft Sans Serif" w:cs="Microsoft Sans Serif"/>
          <w:sz w:val="20"/>
          <w:szCs w:val="20"/>
          <w:lang w:val="sv-SE"/>
        </w:rPr>
      </w:pPr>
    </w:p>
    <w:p w14:paraId="768A11E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sa snažnim inhibitorima CYP3A4, zato što oni mogu povećati koncentraciju sunitiniba u plazmi (pogledati dijelove 4.2 i 4.5).</w:t>
      </w:r>
    </w:p>
    <w:p w14:paraId="5061DFFC">
      <w:pPr>
        <w:rPr>
          <w:rFonts w:ascii="Microsoft Sans Serif" w:hAnsi="Microsoft Sans Serif" w:cs="Microsoft Sans Serif"/>
          <w:sz w:val="20"/>
          <w:szCs w:val="20"/>
          <w:lang w:val="sv-SE"/>
        </w:rPr>
      </w:pPr>
    </w:p>
    <w:p w14:paraId="29DE7C1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kože i tkiva</w:t>
      </w:r>
    </w:p>
    <w:p w14:paraId="2921D40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treba upozoriti da tokom liječenja sunitinibom</w:t>
      </w:r>
      <w:r>
        <w:rPr>
          <w:rFonts w:ascii="Microsoft Sans Serif" w:hAnsi="Microsoft Sans Serif" w:cs="Microsoft Sans Serif"/>
          <w:sz w:val="20"/>
          <w:szCs w:val="20"/>
          <w:lang w:val="sr-Cyrl-RS"/>
        </w:rPr>
        <w:t xml:space="preserve"> može doći do depigmentacije kose ili kože</w:t>
      </w:r>
      <w:r>
        <w:rPr>
          <w:rFonts w:ascii="Microsoft Sans Serif" w:hAnsi="Microsoft Sans Serif" w:cs="Microsoft Sans Serif"/>
          <w:sz w:val="20"/>
          <w:szCs w:val="20"/>
          <w:lang w:val="sv-SE"/>
        </w:rPr>
        <w:t>. Drugi mogući dermatološki efekti obuhvataju suvoću kože, zadebl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anje ili pucanje kože, plikove ili osip na dlanovima i tabanima.</w:t>
      </w:r>
    </w:p>
    <w:p w14:paraId="35FB08C0">
      <w:pPr>
        <w:rPr>
          <w:rFonts w:ascii="Microsoft Sans Serif" w:hAnsi="Microsoft Sans Serif" w:cs="Microsoft Sans Serif"/>
          <w:sz w:val="20"/>
          <w:szCs w:val="20"/>
          <w:lang w:val="sv-SE"/>
        </w:rPr>
      </w:pPr>
    </w:p>
    <w:p w14:paraId="3243A1B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Gore navedene reakcije nisu kumulativne, obično su reverzibilne i generalno </w:t>
      </w:r>
      <w:r>
        <w:rPr>
          <w:rFonts w:ascii="Microsoft Sans Serif" w:hAnsi="Microsoft Sans Serif" w:cs="Microsoft Sans Serif"/>
          <w:sz w:val="20"/>
          <w:szCs w:val="20"/>
          <w:lang w:val="mk-MK"/>
        </w:rPr>
        <w:t>nisu rezultirale prekidom</w:t>
      </w:r>
      <w:r>
        <w:rPr>
          <w:rFonts w:ascii="Microsoft Sans Serif" w:hAnsi="Microsoft Sans Serif" w:cs="Microsoft Sans Serif"/>
          <w:sz w:val="20"/>
          <w:szCs w:val="20"/>
          <w:lang w:val="sv-SE"/>
        </w:rPr>
        <w:t xml:space="preserve"> liječenja.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ivani su slučajevi gangrenozne piodermije koji su uglavnom reverzibilni nakon prekida terapije sunitinibom.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su i teške kožne reakcije,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slučajeve multiform</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 xml:space="preserve">og eritema </w:t>
      </w:r>
      <w:r>
        <w:rPr>
          <w:rFonts w:ascii="Microsoft Sans Serif" w:hAnsi="Microsoft Sans Serif" w:cs="Microsoft Sans Serif"/>
          <w:sz w:val="20"/>
          <w:szCs w:val="20"/>
          <w:lang w:val="sr-Cyrl-RS"/>
        </w:rPr>
        <w:t>(EM)</w:t>
      </w:r>
      <w:r>
        <w:rPr>
          <w:rFonts w:ascii="Microsoft Sans Serif" w:hAnsi="Microsoft Sans Serif" w:cs="Microsoft Sans Serif"/>
          <w:sz w:val="20"/>
          <w:szCs w:val="20"/>
          <w:lang w:val="sv-SE"/>
        </w:rPr>
        <w:t xml:space="preserve">, slučajeve koji ukazuju na </w:t>
      </w:r>
      <w:r>
        <w:rPr>
          <w:rFonts w:ascii="Microsoft Sans Serif" w:hAnsi="Microsoft Sans Serif" w:cs="Microsoft Sans Serif"/>
          <w:i/>
          <w:sz w:val="20"/>
          <w:szCs w:val="20"/>
          <w:lang w:val="sv-SE"/>
        </w:rPr>
        <w:t>Stevens-Johnson</w:t>
      </w:r>
      <w:r>
        <w:rPr>
          <w:rFonts w:ascii="Microsoft Sans Serif" w:hAnsi="Microsoft Sans Serif" w:cs="Microsoft Sans Serif"/>
          <w:sz w:val="20"/>
          <w:szCs w:val="20"/>
          <w:lang w:val="sv-SE"/>
        </w:rPr>
        <w:t xml:space="preserve">-ov sindrom (SJS) i toksičnu epidermalnu nekrolizu (TEN), od kojih su neke bile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v-SE"/>
        </w:rPr>
        <w:t xml:space="preserve"> ishodom. Ukoliko su prisutni znaci i simptomi SJS, TEN ili EM (kao što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progresivni kožni osip sa plikovima ili lezije mukoze), terapiju sunitinibom treba obustaviti. Ukoliko se potvrdi dijagnoza SJS ili TEN, terapija sunitinibom se ne smije ponovo započinjati. U nekim slučajevima u kojima se sumnjalo na EM, pacijen</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sv-SE"/>
        </w:rPr>
        <w:t>i su podnosili ponov</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o uvođenje sunitiniba u terapiju u nižoj dozi nakon povlačenja reakcije; neki od ovih pacijenata su istovremeno primali terapiju kortikosteroidima ili antihistaminicima (pogledati dio 4.8).</w:t>
      </w:r>
    </w:p>
    <w:p w14:paraId="22264668">
      <w:pPr>
        <w:rPr>
          <w:rFonts w:ascii="Microsoft Sans Serif" w:hAnsi="Microsoft Sans Serif" w:cs="Microsoft Sans Serif"/>
          <w:sz w:val="20"/>
          <w:szCs w:val="20"/>
          <w:lang w:val="sv-SE"/>
        </w:rPr>
      </w:pPr>
    </w:p>
    <w:p w14:paraId="67A0209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Hemoragija i krvarenje tumora</w:t>
      </w:r>
    </w:p>
    <w:p w14:paraId="4D5804C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Hemoragijski događaji, od kojih su neki bili </w:t>
      </w:r>
      <w:r>
        <w:rPr>
          <w:rFonts w:ascii="Microsoft Sans Serif" w:hAnsi="Microsoft Sans Serif" w:cs="Microsoft Sans Serif"/>
          <w:sz w:val="20"/>
          <w:szCs w:val="20"/>
          <w:lang w:val="mk-MK"/>
        </w:rPr>
        <w:t>sa smrtnim ishodom</w:t>
      </w:r>
      <w:r>
        <w:rPr>
          <w:rFonts w:ascii="Microsoft Sans Serif" w:hAnsi="Microsoft Sans Serif" w:cs="Microsoft Sans Serif"/>
          <w:sz w:val="20"/>
          <w:szCs w:val="20"/>
          <w:lang w:val="sv-SE"/>
        </w:rPr>
        <w:t>, zabilježeni u kliničkim studijama i tokom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postmarketinškog praćenja,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učili su hemoragije gastrointestinalnog, respiratornog i urinarnog trakta,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cerebralne hemoragije (pogledati dio 4.8).</w:t>
      </w:r>
    </w:p>
    <w:p w14:paraId="6A5E0437">
      <w:pPr>
        <w:rPr>
          <w:rFonts w:ascii="Microsoft Sans Serif" w:hAnsi="Microsoft Sans Serif" w:cs="Microsoft Sans Serif"/>
          <w:sz w:val="20"/>
          <w:szCs w:val="20"/>
          <w:lang w:val="sv-SE"/>
        </w:rPr>
      </w:pPr>
    </w:p>
    <w:p w14:paraId="7A33842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Rutinska procjena hemoragijskih događaja treba da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 kompletnu krvnu sliku i fizikalni pregled.</w:t>
      </w:r>
    </w:p>
    <w:p w14:paraId="162B3D1D">
      <w:pPr>
        <w:rPr>
          <w:rFonts w:ascii="Microsoft Sans Serif" w:hAnsi="Microsoft Sans Serif" w:cs="Microsoft Sans Serif"/>
          <w:sz w:val="20"/>
          <w:szCs w:val="20"/>
          <w:lang w:val="sv-SE"/>
        </w:rPr>
      </w:pPr>
    </w:p>
    <w:p w14:paraId="618E6A2F">
      <w:pPr>
        <w:rPr>
          <w:rFonts w:ascii="Microsoft Sans Serif" w:hAnsi="Microsoft Sans Serif" w:cs="Microsoft Sans Serif"/>
          <w:sz w:val="20"/>
          <w:szCs w:val="20"/>
        </w:rPr>
      </w:pPr>
      <w:r>
        <w:rPr>
          <w:rFonts w:ascii="Microsoft Sans Serif" w:hAnsi="Microsoft Sans Serif" w:cs="Microsoft Sans Serif"/>
          <w:sz w:val="20"/>
          <w:szCs w:val="20"/>
        </w:rPr>
        <w:t>Epistaksa je najčešća hemoragijska neželјena reakcija usljed primjene lijeka, a opisana je kod otprilike polovine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sa solidnim tumorima koji su imali hemoragijske događaje. Neki od ovih slučajeva su bili teški,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ali veoma rijetko </w:t>
      </w:r>
      <w:r>
        <w:rPr>
          <w:rFonts w:ascii="Microsoft Sans Serif" w:hAnsi="Microsoft Sans Serif" w:cs="Microsoft Sans Serif"/>
          <w:sz w:val="20"/>
          <w:szCs w:val="20"/>
          <w:lang w:val="mk-MK"/>
        </w:rPr>
        <w:t>sa smrtnim ishodom</w:t>
      </w:r>
      <w:r>
        <w:rPr>
          <w:rFonts w:ascii="Microsoft Sans Serif" w:hAnsi="Microsoft Sans Serif" w:cs="Microsoft Sans Serif"/>
          <w:sz w:val="20"/>
          <w:szCs w:val="20"/>
        </w:rPr>
        <w:t>.</w:t>
      </w:r>
    </w:p>
    <w:p w14:paraId="3C5A0262">
      <w:pPr>
        <w:rPr>
          <w:rFonts w:ascii="Microsoft Sans Serif" w:hAnsi="Microsoft Sans Serif" w:cs="Microsoft Sans Serif"/>
          <w:sz w:val="20"/>
          <w:szCs w:val="20"/>
        </w:rPr>
      </w:pPr>
      <w:r>
        <w:rPr>
          <w:rFonts w:ascii="Microsoft Sans Serif" w:hAnsi="Microsoft Sans Serif" w:cs="Microsoft Sans Serif"/>
          <w:sz w:val="20"/>
          <w:szCs w:val="20"/>
        </w:rPr>
        <w:t>Zabilježeni su i slučajevi krvarenja tumora, ponekad povezani sa nekrozom tumora; neki od 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hemoragijskih događaja su bili </w:t>
      </w:r>
      <w:r>
        <w:rPr>
          <w:rFonts w:ascii="Microsoft Sans Serif" w:hAnsi="Microsoft Sans Serif" w:cs="Microsoft Sans Serif"/>
          <w:sz w:val="20"/>
          <w:szCs w:val="20"/>
          <w:lang w:val="mk-MK"/>
        </w:rPr>
        <w:t>sa smrtnim ishodom</w:t>
      </w:r>
      <w:r>
        <w:rPr>
          <w:rFonts w:ascii="Microsoft Sans Serif" w:hAnsi="Microsoft Sans Serif" w:cs="Microsoft Sans Serif"/>
          <w:sz w:val="20"/>
          <w:szCs w:val="20"/>
        </w:rPr>
        <w:t>.</w:t>
      </w:r>
    </w:p>
    <w:p w14:paraId="43F6A1BB">
      <w:pPr>
        <w:rPr>
          <w:rFonts w:ascii="Microsoft Sans Serif" w:hAnsi="Microsoft Sans Serif" w:cs="Microsoft Sans Serif"/>
          <w:sz w:val="20"/>
          <w:szCs w:val="20"/>
        </w:rPr>
      </w:pPr>
    </w:p>
    <w:p w14:paraId="72BDEC64">
      <w:pPr>
        <w:rPr>
          <w:rFonts w:ascii="Microsoft Sans Serif" w:hAnsi="Microsoft Sans Serif" w:cs="Microsoft Sans Serif"/>
          <w:sz w:val="20"/>
          <w:szCs w:val="20"/>
        </w:rPr>
      </w:pPr>
      <w:r>
        <w:rPr>
          <w:rFonts w:ascii="Microsoft Sans Serif" w:hAnsi="Microsoft Sans Serif" w:cs="Microsoft Sans Serif"/>
          <w:sz w:val="20"/>
          <w:szCs w:val="20"/>
        </w:rPr>
        <w:t>Hemoragije tumora mogu nastati iznenada, a kada su u pitanju tumori pluća, mogu se manifestovati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teška i po život ugrožavajuća hemoptizija ili plućna hemoragija. Slučajevi hemoragije pluća, od kojih su neki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imali </w:t>
      </w:r>
      <w:r>
        <w:rPr>
          <w:rFonts w:ascii="Microsoft Sans Serif" w:hAnsi="Microsoft Sans Serif" w:cs="Microsoft Sans Serif"/>
          <w:sz w:val="20"/>
          <w:szCs w:val="20"/>
          <w:lang w:val="mk-MK"/>
        </w:rPr>
        <w:t xml:space="preserve">smrtni </w:t>
      </w:r>
      <w:r>
        <w:rPr>
          <w:rFonts w:ascii="Microsoft Sans Serif" w:hAnsi="Microsoft Sans Serif" w:cs="Microsoft Sans Serif"/>
          <w:sz w:val="20"/>
          <w:szCs w:val="20"/>
        </w:rPr>
        <w:t>ishod, zabilježeni su u kliničkim ispitivanjima i prijavlјeni tokom postmarketinškog praćenja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pacijenata koji su liječeni sunitinibom za MRCC, GIST i karcinom pluća. Lijek Fasindor nije odobren za primjenu kod pacijenata sa karcinomom pluća.</w:t>
      </w:r>
    </w:p>
    <w:p w14:paraId="7E817466">
      <w:pPr>
        <w:rPr>
          <w:rFonts w:ascii="Microsoft Sans Serif" w:hAnsi="Microsoft Sans Serif" w:cs="Microsoft Sans Serif"/>
          <w:sz w:val="20"/>
          <w:szCs w:val="20"/>
        </w:rPr>
      </w:pPr>
    </w:p>
    <w:p w14:paraId="1DBB36F3">
      <w:pPr>
        <w:rPr>
          <w:rFonts w:ascii="Microsoft Sans Serif" w:hAnsi="Microsoft Sans Serif" w:cs="Microsoft Sans Serif"/>
          <w:sz w:val="20"/>
          <w:szCs w:val="20"/>
        </w:rPr>
      </w:pPr>
      <w:r>
        <w:rPr>
          <w:rFonts w:ascii="Microsoft Sans Serif" w:hAnsi="Microsoft Sans Serif" w:cs="Microsoft Sans Serif"/>
          <w:sz w:val="20"/>
          <w:szCs w:val="20"/>
        </w:rPr>
        <w:t>Kod pacijenata koji su istovremeno na terapiji antikoagulansima (npr. varfarin, acenokumarol) treba periodično određivati kompletnu krvnu sliku (trombocite), faktore koagulacije (PT/INR) i izvršiti fizikalni pregled.</w:t>
      </w:r>
    </w:p>
    <w:p w14:paraId="73A2B677">
      <w:pPr>
        <w:rPr>
          <w:rFonts w:ascii="Microsoft Sans Serif" w:hAnsi="Microsoft Sans Serif" w:cs="Microsoft Sans Serif"/>
          <w:sz w:val="20"/>
          <w:szCs w:val="20"/>
        </w:rPr>
      </w:pPr>
    </w:p>
    <w:p w14:paraId="3237CABD">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Gastrointestinalni poremećaji</w:t>
      </w:r>
    </w:p>
    <w:p w14:paraId="6A362E8A">
      <w:pPr>
        <w:rPr>
          <w:rFonts w:ascii="Microsoft Sans Serif" w:hAnsi="Microsoft Sans Serif" w:cs="Microsoft Sans Serif"/>
          <w:sz w:val="20"/>
          <w:szCs w:val="20"/>
        </w:rPr>
      </w:pPr>
      <w:r>
        <w:rPr>
          <w:rFonts w:ascii="Microsoft Sans Serif" w:hAnsi="Microsoft Sans Serif" w:cs="Microsoft Sans Serif"/>
          <w:sz w:val="20"/>
          <w:szCs w:val="20"/>
        </w:rPr>
        <w:t>Dijareja, nauzeja/povraćanje, abdominalni bol, dispepsija i stomatitis/bol u ustima su najčešće prijavlјivane gastrointestinalne neželјene reakcije; takođe je prijavlјena pojava ezofagitisa (pogledati dio 4.8).</w:t>
      </w:r>
    </w:p>
    <w:p w14:paraId="1555A333">
      <w:pPr>
        <w:rPr>
          <w:rFonts w:ascii="Microsoft Sans Serif" w:hAnsi="Microsoft Sans Serif" w:cs="Microsoft Sans Serif"/>
          <w:sz w:val="20"/>
          <w:szCs w:val="20"/>
        </w:rPr>
      </w:pPr>
    </w:p>
    <w:p w14:paraId="2AA78011">
      <w:pPr>
        <w:rPr>
          <w:rFonts w:ascii="Microsoft Sans Serif" w:hAnsi="Microsoft Sans Serif" w:cs="Microsoft Sans Serif"/>
          <w:sz w:val="20"/>
          <w:szCs w:val="20"/>
        </w:rPr>
      </w:pPr>
      <w:r>
        <w:rPr>
          <w:rFonts w:ascii="Microsoft Sans Serif" w:hAnsi="Microsoft Sans Serif" w:cs="Microsoft Sans Serif"/>
          <w:sz w:val="20"/>
          <w:szCs w:val="20"/>
        </w:rPr>
        <w:t>Suportivna terapija gastrointestinalnih neželјenih reakcija koje zahtijevaju liječenje obuhvata primjenu lijekova antiemetičkog dejstva, antidijaroike ili antacide.</w:t>
      </w:r>
    </w:p>
    <w:p w14:paraId="0FAA9E27">
      <w:pPr>
        <w:rPr>
          <w:rFonts w:ascii="Microsoft Sans Serif" w:hAnsi="Microsoft Sans Serif" w:cs="Microsoft Sans Serif"/>
          <w:sz w:val="20"/>
          <w:szCs w:val="20"/>
        </w:rPr>
      </w:pPr>
    </w:p>
    <w:p w14:paraId="5B4C4CFC">
      <w:pPr>
        <w:rPr>
          <w:rFonts w:ascii="Microsoft Sans Serif" w:hAnsi="Microsoft Sans Serif" w:cs="Microsoft Sans Serif"/>
          <w:sz w:val="20"/>
          <w:szCs w:val="20"/>
        </w:rPr>
      </w:pPr>
      <w:r>
        <w:rPr>
          <w:rFonts w:ascii="Microsoft Sans Serif" w:hAnsi="Microsoft Sans Serif" w:cs="Microsoft Sans Serif"/>
          <w:sz w:val="20"/>
          <w:szCs w:val="20"/>
        </w:rPr>
        <w:t xml:space="preserve">Ozbilјne, ponekad gastrointestinalne komplikacije </w:t>
      </w:r>
      <w:r>
        <w:rPr>
          <w:rFonts w:ascii="Microsoft Sans Serif" w:hAnsi="Microsoft Sans Serif" w:cs="Microsoft Sans Serif"/>
          <w:sz w:val="20"/>
          <w:szCs w:val="20"/>
          <w:lang w:val="sr-Cyrl-RS"/>
        </w:rPr>
        <w:t xml:space="preserve">sa smrtnim ishodom, </w:t>
      </w:r>
      <w:r>
        <w:rPr>
          <w:rFonts w:ascii="Microsoft Sans Serif" w:hAnsi="Microsoft Sans Serif" w:cs="Microsoft Sans Serif"/>
          <w:sz w:val="20"/>
          <w:szCs w:val="20"/>
        </w:rPr>
        <w:t>uklјučujući gastrointestinalnu perforaciju zabilježene su kod pacijenata sa intraabdominalnim malignitetima, koji su uzimali sunitinib.</w:t>
      </w:r>
    </w:p>
    <w:p w14:paraId="7979756E">
      <w:pPr>
        <w:rPr>
          <w:rFonts w:ascii="Microsoft Sans Serif" w:hAnsi="Microsoft Sans Serif" w:cs="Microsoft Sans Serif"/>
          <w:sz w:val="20"/>
          <w:szCs w:val="20"/>
        </w:rPr>
      </w:pPr>
    </w:p>
    <w:p w14:paraId="19323BF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Hipertenzija</w:t>
      </w:r>
    </w:p>
    <w:p w14:paraId="54DEAC8D">
      <w:pPr>
        <w:rPr>
          <w:rFonts w:ascii="Microsoft Sans Serif" w:hAnsi="Microsoft Sans Serif" w:cs="Microsoft Sans Serif"/>
          <w:sz w:val="20"/>
          <w:szCs w:val="20"/>
        </w:rPr>
      </w:pPr>
      <w:r>
        <w:rPr>
          <w:rFonts w:ascii="Microsoft Sans Serif" w:hAnsi="Microsoft Sans Serif" w:cs="Microsoft Sans Serif"/>
          <w:sz w:val="20"/>
          <w:szCs w:val="20"/>
        </w:rPr>
        <w:t>Tokom terapije sunitinibom prijavlјena je hipertenzija, uklјučujući tešku hipertenziju (&gt;200 mmHg za sistolni ili 110 mmHg za dijastolni pritisak). Pacijente treba ispitati, a ako se hipertenzija potvrdi, treba ih liječiti na odgovarajući način. Preporučuje se privremeno obustavlјanje lijeka kod pacijenata sa teškom hipertenzijom koja se ne može kontrolisati lijekovima. Liječenje se ponovo započinje onda kada je postignuta odgovarajuća kontrola hipertenzije (pogledati dio 4.8).</w:t>
      </w:r>
    </w:p>
    <w:p w14:paraId="27A20B30">
      <w:pPr>
        <w:rPr>
          <w:rFonts w:ascii="Microsoft Sans Serif" w:hAnsi="Microsoft Sans Serif" w:cs="Microsoft Sans Serif"/>
          <w:sz w:val="20"/>
          <w:szCs w:val="20"/>
          <w:u w:val="single"/>
        </w:rPr>
      </w:pPr>
    </w:p>
    <w:p w14:paraId="7D8E781B">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Hematološki poremećaji</w:t>
      </w:r>
    </w:p>
    <w:p w14:paraId="05EC2AF9">
      <w:pPr>
        <w:rPr>
          <w:rFonts w:ascii="Microsoft Sans Serif" w:hAnsi="Microsoft Sans Serif" w:cs="Microsoft Sans Serif"/>
          <w:sz w:val="20"/>
          <w:szCs w:val="20"/>
        </w:rPr>
      </w:pPr>
      <w:r>
        <w:rPr>
          <w:rFonts w:ascii="Microsoft Sans Serif" w:hAnsi="Microsoft Sans Serif" w:cs="Microsoft Sans Serif"/>
          <w:sz w:val="20"/>
          <w:szCs w:val="20"/>
        </w:rPr>
        <w:t>Prijavlјeno je smanjenje apsolutnog broja neutrofila i smanjenje broja trombocita povezano sa primjenom sunitiniba (pogledati dio 4.8). Gore navedeni događaji nisu bili kumulativni, obično su bili reverzibilni, a generalno nisu doveli do obustavlјanja primjene lijeka. Nijedan od ovih događaja u studijama faze 3 nije bio fatalan, ali rijetki hematološki događaji sa smrtnim ishodom, uklјučujući krvarenje povezano sa trombocitopenijom i infekcije uzrokovane neutropenijom, zabilježeni su tokom postmarketinškog praćenja lijeka.</w:t>
      </w:r>
    </w:p>
    <w:p w14:paraId="29DE9294">
      <w:pPr>
        <w:rPr>
          <w:rFonts w:ascii="Microsoft Sans Serif" w:hAnsi="Microsoft Sans Serif" w:cs="Microsoft Sans Serif"/>
          <w:sz w:val="20"/>
          <w:szCs w:val="20"/>
        </w:rPr>
      </w:pPr>
    </w:p>
    <w:p w14:paraId="503956A4">
      <w:pPr>
        <w:rPr>
          <w:rFonts w:ascii="Microsoft Sans Serif" w:hAnsi="Microsoft Sans Serif" w:cs="Microsoft Sans Serif"/>
          <w:sz w:val="20"/>
          <w:szCs w:val="20"/>
        </w:rPr>
      </w:pPr>
      <w:r>
        <w:rPr>
          <w:rFonts w:ascii="Microsoft Sans Serif" w:hAnsi="Microsoft Sans Serif" w:cs="Microsoft Sans Serif"/>
          <w:sz w:val="20"/>
          <w:szCs w:val="20"/>
        </w:rPr>
        <w:t>Pojava anemije je uočena kako u ranoj tako i u kasnoj fazi liječenja sunitinibom.</w:t>
      </w:r>
    </w:p>
    <w:p w14:paraId="0BD9DA9D">
      <w:pPr>
        <w:rPr>
          <w:rFonts w:ascii="Microsoft Sans Serif" w:hAnsi="Microsoft Sans Serif" w:cs="Microsoft Sans Serif"/>
          <w:sz w:val="20"/>
          <w:szCs w:val="20"/>
        </w:rPr>
      </w:pPr>
    </w:p>
    <w:p w14:paraId="03152626">
      <w:pPr>
        <w:rPr>
          <w:rFonts w:ascii="Microsoft Sans Serif" w:hAnsi="Microsoft Sans Serif" w:cs="Microsoft Sans Serif"/>
          <w:sz w:val="20"/>
          <w:szCs w:val="20"/>
        </w:rPr>
      </w:pPr>
      <w:r>
        <w:rPr>
          <w:rFonts w:ascii="Microsoft Sans Serif" w:hAnsi="Microsoft Sans Serif" w:cs="Microsoft Sans Serif"/>
          <w:sz w:val="20"/>
          <w:szCs w:val="20"/>
        </w:rPr>
        <w:t xml:space="preserve">Kompletna krvna slika treba da se uradi na početku svakog </w:t>
      </w:r>
      <w:r>
        <w:rPr>
          <w:rFonts w:ascii="Microsoft Sans Serif" w:hAnsi="Microsoft Sans Serif" w:cs="Microsoft Sans Serif"/>
          <w:sz w:val="20"/>
          <w:szCs w:val="20"/>
          <w:lang w:val="mk-MK"/>
        </w:rPr>
        <w:t xml:space="preserve">terapijskog </w:t>
      </w:r>
      <w:r>
        <w:rPr>
          <w:rFonts w:ascii="Microsoft Sans Serif" w:hAnsi="Microsoft Sans Serif" w:cs="Microsoft Sans Serif"/>
          <w:sz w:val="20"/>
          <w:szCs w:val="20"/>
        </w:rPr>
        <w:t>ciklusa liječenja kod pacijenata koji primaju sunitinib (pogledati dio 4.8).</w:t>
      </w:r>
    </w:p>
    <w:p w14:paraId="342DDF51">
      <w:pPr>
        <w:rPr>
          <w:rFonts w:ascii="Microsoft Sans Serif" w:hAnsi="Microsoft Sans Serif" w:cs="Microsoft Sans Serif"/>
          <w:sz w:val="20"/>
          <w:szCs w:val="20"/>
          <w:u w:val="single"/>
        </w:rPr>
      </w:pPr>
    </w:p>
    <w:p w14:paraId="5D652E7C">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Kardiološki poremećaji</w:t>
      </w:r>
    </w:p>
    <w:p w14:paraId="239BA2C5">
      <w:pPr>
        <w:rPr>
          <w:rFonts w:ascii="Microsoft Sans Serif" w:hAnsi="Microsoft Sans Serif" w:cs="Microsoft Sans Serif"/>
          <w:sz w:val="20"/>
          <w:szCs w:val="20"/>
        </w:rPr>
      </w:pPr>
      <w:r>
        <w:rPr>
          <w:rFonts w:ascii="Microsoft Sans Serif" w:hAnsi="Microsoft Sans Serif" w:cs="Microsoft Sans Serif"/>
          <w:sz w:val="20"/>
          <w:szCs w:val="20"/>
        </w:rPr>
        <w:t xml:space="preserve">Kardiovaskularni događaji, uklјučujući srčanu insuficijenciju, kardiomiopatiju, smanjenje ejekcione frakcije lijeve komore ispod donje granice normalnih vrijednosti, miokarditis, </w:t>
      </w:r>
      <w:r>
        <w:rPr>
          <w:rFonts w:ascii="Microsoft Sans Serif" w:hAnsi="Microsoft Sans Serif" w:cs="Microsoft Sans Serif"/>
          <w:sz w:val="20"/>
          <w:szCs w:val="20"/>
          <w:lang w:val="mk-MK"/>
        </w:rPr>
        <w:t>miokardi</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 xml:space="preserve">alnu </w:t>
      </w:r>
      <w:r>
        <w:rPr>
          <w:rFonts w:ascii="Microsoft Sans Serif" w:hAnsi="Microsoft Sans Serif" w:cs="Microsoft Sans Serif"/>
          <w:sz w:val="20"/>
          <w:szCs w:val="20"/>
        </w:rPr>
        <w:t xml:space="preserve">ishemiju i infarkt miokarda, od kojih su neki slučajevi imali fatalni ishod, zabilježeni su kod pacijenata na terapiji sunitinibom. Ovi podaci ukazuju da sunitinib povećava rizik od kardiomiopatije. Nisu identifikovani dodatni faktori rizika kardiomiopatije </w:t>
      </w:r>
      <w:r>
        <w:rPr>
          <w:rFonts w:ascii="Microsoft Sans Serif" w:hAnsi="Microsoft Sans Serif" w:cs="Microsoft Sans Serif"/>
          <w:sz w:val="20"/>
          <w:szCs w:val="20"/>
          <w:lang w:val="mk-MK"/>
        </w:rPr>
        <w:t>izazvan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mk-MK"/>
        </w:rPr>
        <w:t xml:space="preserve"> sunitinibom </w:t>
      </w:r>
      <w:r>
        <w:rPr>
          <w:rFonts w:ascii="Microsoft Sans Serif" w:hAnsi="Microsoft Sans Serif" w:cs="Microsoft Sans Serif"/>
          <w:sz w:val="20"/>
          <w:szCs w:val="20"/>
        </w:rPr>
        <w:t>kod pacijenata na terapiji ovim lijekom, osim efekta specifičnog za sam lijek.</w:t>
      </w:r>
    </w:p>
    <w:p w14:paraId="008B34D9">
      <w:pPr>
        <w:rPr>
          <w:rFonts w:ascii="Microsoft Sans Serif" w:hAnsi="Microsoft Sans Serif" w:cs="Microsoft Sans Serif"/>
          <w:sz w:val="20"/>
          <w:szCs w:val="20"/>
        </w:rPr>
      </w:pPr>
      <w:r>
        <w:rPr>
          <w:rFonts w:ascii="Microsoft Sans Serif" w:hAnsi="Microsoft Sans Serif" w:cs="Microsoft Sans Serif"/>
          <w:sz w:val="20"/>
          <w:szCs w:val="20"/>
        </w:rPr>
        <w:t>Sunitinib treba primjenjivati sa oprezom kod pacijenata koji imaju rizik za razvoj ovih događaja ili koji imaju navedene događaje u anamnezi (pogledati dio 4.8).</w:t>
      </w:r>
    </w:p>
    <w:p w14:paraId="2A62D314">
      <w:pPr>
        <w:rPr>
          <w:rFonts w:ascii="Microsoft Sans Serif" w:hAnsi="Microsoft Sans Serif" w:cs="Microsoft Sans Serif"/>
          <w:sz w:val="20"/>
          <w:szCs w:val="20"/>
        </w:rPr>
      </w:pPr>
    </w:p>
    <w:p w14:paraId="0CF0B96D">
      <w:pPr>
        <w:rPr>
          <w:rFonts w:ascii="Microsoft Sans Serif" w:hAnsi="Microsoft Sans Serif" w:cs="Microsoft Sans Serif"/>
          <w:sz w:val="20"/>
          <w:szCs w:val="20"/>
        </w:rPr>
      </w:pPr>
      <w:r>
        <w:rPr>
          <w:rFonts w:ascii="Microsoft Sans Serif" w:hAnsi="Microsoft Sans Serif" w:cs="Microsoft Sans Serif"/>
          <w:sz w:val="20"/>
          <w:szCs w:val="20"/>
        </w:rPr>
        <w:t xml:space="preserve">Pacijenti koji su imali srčane događaje u toku 12 mjeseci prije započinjanja terapije sunitinibom, kao što su infarkt miokarda (uklјučujući tešku/nestabilnu anginu pektoris), bajpas graftove koronarnih arterija/perifernih arterija, simptomatsku kongestivnu srčanu insuficijenciju, cerebrovaskularne događaje ili prolazni ishemijski napad, ili plućnu emboliju, bili su isklјučeni iz svih kliničkih studija sa sunitinibom. Nije poznato da li </w:t>
      </w:r>
      <w:r>
        <w:rPr>
          <w:rFonts w:ascii="Microsoft Sans Serif" w:hAnsi="Microsoft Sans Serif" w:cs="Microsoft Sans Serif"/>
          <w:sz w:val="20"/>
          <w:szCs w:val="20"/>
          <w:lang w:val="sr-Cyrl-RS"/>
        </w:rPr>
        <w:t xml:space="preserve">su </w:t>
      </w:r>
      <w:r>
        <w:rPr>
          <w:rFonts w:ascii="Microsoft Sans Serif" w:hAnsi="Microsoft Sans Serif" w:cs="Microsoft Sans Serif"/>
          <w:sz w:val="20"/>
          <w:szCs w:val="20"/>
        </w:rPr>
        <w:t xml:space="preserve">pacijenti koji imaju neki od ovih </w:t>
      </w:r>
      <w:r>
        <w:rPr>
          <w:rFonts w:ascii="Microsoft Sans Serif" w:hAnsi="Microsoft Sans Serif" w:cs="Microsoft Sans Serif"/>
          <w:sz w:val="20"/>
          <w:szCs w:val="20"/>
          <w:lang w:val="sr-Cyrl-RS"/>
        </w:rPr>
        <w:t xml:space="preserve">propratnih </w:t>
      </w:r>
      <w:r>
        <w:rPr>
          <w:rFonts w:ascii="Microsoft Sans Serif" w:hAnsi="Microsoft Sans Serif" w:cs="Microsoft Sans Serif"/>
          <w:sz w:val="20"/>
          <w:szCs w:val="20"/>
        </w:rPr>
        <w:t xml:space="preserve">poremećaja </w:t>
      </w:r>
      <w:r>
        <w:rPr>
          <w:rFonts w:ascii="Microsoft Sans Serif" w:hAnsi="Microsoft Sans Serif" w:cs="Microsoft Sans Serif"/>
          <w:sz w:val="20"/>
          <w:szCs w:val="20"/>
          <w:lang w:val="sr-Cyrl-RS"/>
        </w:rPr>
        <w:t xml:space="preserve">izloženi većem riziku </w:t>
      </w:r>
      <w:r>
        <w:rPr>
          <w:rFonts w:ascii="Microsoft Sans Serif" w:hAnsi="Microsoft Sans Serif" w:cs="Microsoft Sans Serif"/>
          <w:sz w:val="20"/>
          <w:szCs w:val="20"/>
        </w:rPr>
        <w:t xml:space="preserve">za razvoj disfunkcije lijeve komore povezane sa sunitinibom. </w:t>
      </w:r>
    </w:p>
    <w:p w14:paraId="2CC1ADFD">
      <w:pPr>
        <w:rPr>
          <w:rFonts w:ascii="Microsoft Sans Serif" w:hAnsi="Microsoft Sans Serif" w:cs="Microsoft Sans Serif"/>
          <w:sz w:val="20"/>
          <w:szCs w:val="20"/>
        </w:rPr>
      </w:pPr>
    </w:p>
    <w:p w14:paraId="5FDE48D5">
      <w:pPr>
        <w:rPr>
          <w:rFonts w:ascii="Microsoft Sans Serif" w:hAnsi="Microsoft Sans Serif" w:cs="Microsoft Sans Serif"/>
          <w:sz w:val="20"/>
          <w:szCs w:val="20"/>
        </w:rPr>
      </w:pPr>
      <w:r>
        <w:rPr>
          <w:rFonts w:ascii="Microsoft Sans Serif" w:hAnsi="Microsoft Sans Serif" w:cs="Microsoft Sans Serif"/>
          <w:sz w:val="20"/>
          <w:szCs w:val="20"/>
        </w:rPr>
        <w:t>Ljekarima se preporučuje da procijene rizik u odnosu na potencijalnu korist liječenja sunitinibom. Pacijente treba pažlјivo pratiti da bi se otkrili klinički znaci i simptomi kongestivne srčane insuficijencije tokom terapije sunitinibom, posebno kod pacijenata sa kardiološkim faktorima rizika i/ili pacijentima sa bolešću koronarnih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arterija u anamnezi. Procjena bazalne LVEF, kao i njeno povremeno mjerenje treba uzeti u obzir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koji uzimaju sunitinib. Kod pacijenata bez kardioloških faktora rizika, treba razmotriti mjerenje bazalne ejekcione frakcije.</w:t>
      </w:r>
    </w:p>
    <w:p w14:paraId="702919B7">
      <w:pPr>
        <w:rPr>
          <w:rFonts w:ascii="Microsoft Sans Serif" w:hAnsi="Microsoft Sans Serif" w:cs="Microsoft Sans Serif"/>
          <w:sz w:val="20"/>
          <w:szCs w:val="20"/>
        </w:rPr>
      </w:pPr>
    </w:p>
    <w:p w14:paraId="1E2BE369">
      <w:pPr>
        <w:rPr>
          <w:rFonts w:ascii="Microsoft Sans Serif" w:hAnsi="Microsoft Sans Serif" w:cs="Microsoft Sans Serif"/>
          <w:sz w:val="20"/>
          <w:szCs w:val="20"/>
        </w:rPr>
      </w:pPr>
      <w:r>
        <w:rPr>
          <w:rFonts w:ascii="Microsoft Sans Serif" w:hAnsi="Microsoft Sans Serif" w:cs="Microsoft Sans Serif"/>
          <w:sz w:val="20"/>
          <w:szCs w:val="20"/>
        </w:rPr>
        <w:t xml:space="preserve">Ako postoji klinički manifestna kongestivna srčana insuficijencija, preporučuje se prekid terapije sunitinibom. </w:t>
      </w: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rimjenu lijeka treba obustaviti </w:t>
      </w:r>
      <w:r>
        <w:rPr>
          <w:rFonts w:ascii="Microsoft Sans Serif" w:hAnsi="Microsoft Sans Serif" w:cs="Microsoft Sans Serif"/>
          <w:sz w:val="20"/>
          <w:szCs w:val="20"/>
          <w:lang w:val="mk-MK"/>
        </w:rPr>
        <w:t xml:space="preserve">i/ili smanjiti dozu </w:t>
      </w:r>
      <w:r>
        <w:rPr>
          <w:rFonts w:ascii="Microsoft Sans Serif" w:hAnsi="Microsoft Sans Serif" w:cs="Microsoft Sans Serif"/>
          <w:sz w:val="20"/>
          <w:szCs w:val="20"/>
        </w:rPr>
        <w:t>kod pacijenata bez klinički manifestne kongestivne srčane insuficijencije, ali kod kojih je ejekciona frakcija &lt;50% i &gt;20% u odnosu na bazalne vrijednosti.</w:t>
      </w:r>
    </w:p>
    <w:p w14:paraId="7A5AD8D7">
      <w:pPr>
        <w:rPr>
          <w:rFonts w:ascii="Microsoft Sans Serif" w:hAnsi="Microsoft Sans Serif" w:cs="Microsoft Sans Serif"/>
          <w:sz w:val="20"/>
          <w:szCs w:val="20"/>
          <w:u w:val="single"/>
        </w:rPr>
      </w:pPr>
    </w:p>
    <w:p w14:paraId="14BFFC34">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 xml:space="preserve">Produženje </w:t>
      </w:r>
      <w:r>
        <w:rPr>
          <w:rFonts w:ascii="Microsoft Sans Serif" w:hAnsi="Microsoft Sans Serif" w:cs="Microsoft Sans Serif"/>
          <w:sz w:val="20"/>
          <w:szCs w:val="20"/>
          <w:u w:val="single"/>
          <w:lang w:val="sr-Latn-RS"/>
        </w:rPr>
        <w:t>Q</w:t>
      </w:r>
      <w:r>
        <w:rPr>
          <w:rFonts w:ascii="Microsoft Sans Serif" w:hAnsi="Microsoft Sans Serif" w:cs="Microsoft Sans Serif"/>
          <w:sz w:val="20"/>
          <w:szCs w:val="20"/>
          <w:u w:val="single"/>
        </w:rPr>
        <w:t>T intervala</w:t>
      </w:r>
    </w:p>
    <w:p w14:paraId="69002F1A">
      <w:pPr>
        <w:rPr>
          <w:rFonts w:ascii="Microsoft Sans Serif" w:hAnsi="Microsoft Sans Serif" w:cs="Microsoft Sans Serif"/>
          <w:sz w:val="20"/>
          <w:szCs w:val="20"/>
        </w:rPr>
      </w:pPr>
      <w:r>
        <w:rPr>
          <w:rFonts w:ascii="Microsoft Sans Serif" w:hAnsi="Microsoft Sans Serif" w:cs="Microsoft Sans Serif"/>
          <w:sz w:val="20"/>
          <w:szCs w:val="20"/>
        </w:rPr>
        <w:t xml:space="preserve">Produženje QT intervala i </w:t>
      </w:r>
      <w:r>
        <w:rPr>
          <w:rFonts w:ascii="Microsoft Sans Serif" w:hAnsi="Microsoft Sans Serif" w:cs="Microsoft Sans Serif"/>
          <w:i/>
          <w:sz w:val="20"/>
          <w:szCs w:val="20"/>
        </w:rPr>
        <w:t>Torsades de pointes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zabilježeni su kod pacijenata koji su bili izloženi sunitinibu. Produženje QT intervala može dovesti do povećanog rizika od nastanka ventrikularnih aritmija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Cyrl-RS"/>
        </w:rPr>
        <w:t>Torsades de pointes</w:t>
      </w:r>
      <w:r>
        <w:rPr>
          <w:rFonts w:ascii="Microsoft Sans Serif" w:hAnsi="Microsoft Sans Serif" w:cs="Microsoft Sans Serif"/>
          <w:sz w:val="20"/>
          <w:szCs w:val="20"/>
        </w:rPr>
        <w:t>.</w:t>
      </w:r>
    </w:p>
    <w:p w14:paraId="7A0E7D76">
      <w:pPr>
        <w:rPr>
          <w:rFonts w:ascii="Microsoft Sans Serif" w:hAnsi="Microsoft Sans Serif" w:cs="Microsoft Sans Serif"/>
          <w:sz w:val="20"/>
          <w:szCs w:val="20"/>
        </w:rPr>
      </w:pPr>
    </w:p>
    <w:p w14:paraId="3C1A7C32">
      <w:pPr>
        <w:rPr>
          <w:rFonts w:ascii="Microsoft Sans Serif" w:hAnsi="Microsoft Sans Serif" w:cs="Microsoft Sans Serif"/>
          <w:sz w:val="20"/>
          <w:szCs w:val="20"/>
        </w:rPr>
      </w:pPr>
      <w:r>
        <w:rPr>
          <w:rFonts w:ascii="Microsoft Sans Serif" w:hAnsi="Microsoft Sans Serif" w:cs="Microsoft Sans Serif"/>
          <w:sz w:val="20"/>
          <w:szCs w:val="20"/>
        </w:rPr>
        <w:t xml:space="preserve">Sunitinib treba pažlјivo primjenjivati kod pacijenata sa produženjem QT intervala u anamnezi, kod pacijenata koji se liječe antiaritmicima ili lijekovima koji produžavaju QT interval, ili kod pacijenata sa relevantnim prethodno-postojećim obolјenjima srca, bradikardijom ili disbalansom elektrolita. Istovremenu primjenu sunitiniba sa snažnim inhibitorima CYP3A4 </w:t>
      </w:r>
      <w:r>
        <w:rPr>
          <w:rFonts w:ascii="Microsoft Sans Serif" w:hAnsi="Microsoft Sans Serif" w:cs="Microsoft Sans Serif"/>
          <w:sz w:val="20"/>
          <w:szCs w:val="20"/>
          <w:lang w:val="sr-Cyrl-RS"/>
        </w:rPr>
        <w:t>treba ograničiti zbog mogućeg povećanja koncentracije</w:t>
      </w:r>
      <w:r>
        <w:rPr>
          <w:rFonts w:ascii="Microsoft Sans Serif" w:hAnsi="Microsoft Sans Serif" w:cs="Microsoft Sans Serif"/>
          <w:sz w:val="20"/>
          <w:szCs w:val="20"/>
        </w:rPr>
        <w:t xml:space="preserve"> sunitiniba u plazmi (pogledati dijelove 4.2, 4.5 i 4.8).</w:t>
      </w:r>
    </w:p>
    <w:p w14:paraId="79708518">
      <w:pPr>
        <w:rPr>
          <w:rFonts w:ascii="Microsoft Sans Serif" w:hAnsi="Microsoft Sans Serif" w:cs="Microsoft Sans Serif"/>
          <w:sz w:val="20"/>
          <w:szCs w:val="20"/>
        </w:rPr>
      </w:pPr>
    </w:p>
    <w:p w14:paraId="5F1B614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Venski tromboembolijski događaji</w:t>
      </w:r>
    </w:p>
    <w:p w14:paraId="19EEB053">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Venski tromboembolijski događaji povezani sa terapijom sunitinibom zabilježeni su kod pacijenata koji su primali sunitinib, uklјučujući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i plućnu emboliju (pogledati dio 4.8).</w:t>
      </w:r>
      <w:r>
        <w:rPr>
          <w:rFonts w:ascii="Microsoft Sans Serif" w:hAnsi="Microsoft Sans Serif" w:cs="Microsoft Sans Serif"/>
          <w:sz w:val="20"/>
          <w:szCs w:val="20"/>
          <w:lang w:val="mk-MK"/>
        </w:rPr>
        <w:t xml:space="preserve"> Tokom postmarketinškog praćenja zab</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ež</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mk-MK"/>
        </w:rPr>
        <w:t>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 xml:space="preserve"> su slučajevi plućne embolije sa smrtnim ishodom.</w:t>
      </w:r>
    </w:p>
    <w:p w14:paraId="7CE94858">
      <w:pPr>
        <w:rPr>
          <w:rFonts w:ascii="Microsoft Sans Serif" w:hAnsi="Microsoft Sans Serif" w:cs="Microsoft Sans Serif"/>
          <w:sz w:val="20"/>
          <w:szCs w:val="20"/>
          <w:u w:val="single"/>
          <w:lang w:val="mk-MK"/>
        </w:rPr>
      </w:pPr>
    </w:p>
    <w:p w14:paraId="74EF113A">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Arterijski tromboembolijski događaji</w:t>
      </w:r>
    </w:p>
    <w:p w14:paraId="6359A074">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Slučajevi arterijskih tromboembolijskih događaja (ATD), ponekad sa smrtnim ishodom, prijavlјeni su kod pacijenata liječenih sunitinibom. Događaji koji su se javlјali sa najvećom učestalošću obuhvatali su: cerebrovaskularne događaje, prolazni ishemijski napad i cerebralni infarkt. Faktori rizika povezani sa ATD, uz osnovno maligno obolјenje i starost </w:t>
      </w:r>
      <w:r>
        <w:rPr>
          <w:rFonts w:ascii="Microsoft Sans Serif" w:hAnsi="Microsoft Sans Serif" w:cs="Microsoft Sans Serif"/>
          <w:sz w:val="20"/>
          <w:szCs w:val="20"/>
        </w:rPr>
        <w:sym w:font="Symbol" w:char="F0B3"/>
      </w:r>
      <w:r>
        <w:rPr>
          <w:rFonts w:ascii="Microsoft Sans Serif" w:hAnsi="Microsoft Sans Serif" w:cs="Microsoft Sans Serif"/>
          <w:sz w:val="20"/>
          <w:szCs w:val="20"/>
          <w:lang w:val="mk-MK"/>
        </w:rPr>
        <w:t xml:space="preserve"> 65 godina, uklјučili su hipertenziju, dijabetes melitus i prethodno tromboembolijsko obolјenje.</w:t>
      </w:r>
    </w:p>
    <w:p w14:paraId="696246BE">
      <w:pPr>
        <w:rPr>
          <w:rFonts w:ascii="Microsoft Sans Serif" w:hAnsi="Microsoft Sans Serif" w:cs="Microsoft Sans Serif"/>
          <w:sz w:val="20"/>
          <w:szCs w:val="20"/>
          <w:u w:val="single"/>
          <w:lang w:val="mk-MK"/>
        </w:rPr>
      </w:pPr>
    </w:p>
    <w:p w14:paraId="4C076C1F">
      <w:pPr>
        <w:rPr>
          <w:rFonts w:ascii="Microsoft Sans Serif" w:hAnsi="Microsoft Sans Serif" w:cs="Microsoft Sans Serif"/>
          <w:sz w:val="20"/>
          <w:szCs w:val="20"/>
          <w:u w:val="single"/>
          <w:lang w:val="mk-MK"/>
        </w:rPr>
      </w:pPr>
    </w:p>
    <w:p w14:paraId="7ED0DFE7">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Aneurizme i disekcije arterije</w:t>
      </w:r>
    </w:p>
    <w:p w14:paraId="5FEF3B72">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Primjena 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VEGF</w:t>
      </w:r>
      <w:r>
        <w:rPr>
          <w:rFonts w:ascii="Microsoft Sans Serif" w:hAnsi="Microsoft Sans Serif" w:cs="Microsoft Sans Serif"/>
          <w:sz w:val="20"/>
          <w:szCs w:val="20"/>
          <w:lang w:val="sr-Cyrl-RS"/>
        </w:rPr>
        <w:t xml:space="preserve"> (vaskularni endotelni faktor rasta) puta </w:t>
      </w:r>
      <w:r>
        <w:rPr>
          <w:rFonts w:ascii="Microsoft Sans Serif" w:hAnsi="Microsoft Sans Serif" w:cs="Microsoft Sans Serif"/>
          <w:sz w:val="20"/>
          <w:szCs w:val="20"/>
          <w:lang w:val="mk-MK"/>
        </w:rPr>
        <w:t>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hipertenzijom ili bez nje može po</w:t>
      </w:r>
      <w:r>
        <w:rPr>
          <w:rFonts w:ascii="Microsoft Sans Serif" w:hAnsi="Microsoft Sans Serif" w:cs="Microsoft Sans Serif"/>
          <w:sz w:val="20"/>
          <w:szCs w:val="20"/>
          <w:lang w:val="sr-Cyrl-RS"/>
        </w:rPr>
        <w:t>ds</w:t>
      </w:r>
      <w:r>
        <w:rPr>
          <w:rFonts w:ascii="Microsoft Sans Serif" w:hAnsi="Microsoft Sans Serif" w:cs="Microsoft Sans Serif"/>
          <w:sz w:val="20"/>
          <w:szCs w:val="20"/>
          <w:lang w:val="mk-MK"/>
        </w:rPr>
        <w:t>taknuti 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aneurizama i/ili disekcija arterije. Prije početka terapije sunitinibom, ovaj rizik treba pažlјivo razmotriti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faktorima </w:t>
      </w:r>
      <w:r>
        <w:rPr>
          <w:rFonts w:ascii="Microsoft Sans Serif" w:hAnsi="Microsoft Sans Serif" w:cs="Microsoft Sans Serif"/>
          <w:sz w:val="20"/>
          <w:szCs w:val="20"/>
          <w:lang w:val="mk-MK"/>
        </w:rPr>
        <w:t>rizika kao što su hipertenzija ili aneurizma u anamnezi.</w:t>
      </w:r>
    </w:p>
    <w:p w14:paraId="7B45F46C">
      <w:pPr>
        <w:rPr>
          <w:rFonts w:ascii="Microsoft Sans Serif" w:hAnsi="Microsoft Sans Serif" w:cs="Microsoft Sans Serif"/>
          <w:sz w:val="20"/>
          <w:szCs w:val="20"/>
          <w:u w:val="single"/>
          <w:lang w:val="mk-MK"/>
        </w:rPr>
      </w:pPr>
    </w:p>
    <w:p w14:paraId="006D6CC5">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Trombotička mikroangiopatija (TMA)</w:t>
      </w:r>
    </w:p>
    <w:p w14:paraId="22A2CD9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Ako do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mk-MK"/>
        </w:rPr>
        <w:t>e do pojave hemolitičke anemije, trombocitopenije, zamora, fluktuirajućih neuroloških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manifestacija, oštećenja bubrega i povišene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elesne temperature, potrebno je uzeti u obzir dijagnozu TMA,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trombotičku trombocitopenijsku purpuru (TTP) i hemolitički uremijski sindrom (HUS), </w:t>
      </w:r>
      <w:r>
        <w:rPr>
          <w:rFonts w:ascii="Microsoft Sans Serif" w:hAnsi="Microsoft Sans Serif" w:cs="Microsoft Sans Serif"/>
          <w:sz w:val="20"/>
          <w:szCs w:val="20"/>
          <w:lang w:val="sr-Cyrl-RS"/>
        </w:rPr>
        <w:t>koji ponekad dovodi</w:t>
      </w:r>
      <w:r>
        <w:rPr>
          <w:rFonts w:ascii="Microsoft Sans Serif" w:hAnsi="Microsoft Sans Serif" w:cs="Microsoft Sans Serif"/>
          <w:sz w:val="20"/>
          <w:szCs w:val="20"/>
          <w:lang w:val="mk-MK"/>
        </w:rPr>
        <w:t xml:space="preserve"> do bubrežne insuficijencije ili smrtnog ishoda. Kod pacijenata kod kojih se razvije TMA, primjenu sunitiniba treba obustaviti i hitno započeti terapiju. Nakon obustave primjene sunitiniba zabilježeno je povlačenje simptoma TMA (pogledati dio 4.8).</w:t>
      </w:r>
    </w:p>
    <w:p w14:paraId="7F44356C">
      <w:pPr>
        <w:rPr>
          <w:rFonts w:ascii="Microsoft Sans Serif" w:hAnsi="Microsoft Sans Serif" w:cs="Microsoft Sans Serif"/>
          <w:sz w:val="20"/>
          <w:szCs w:val="20"/>
          <w:lang w:val="mk-MK"/>
        </w:rPr>
      </w:pPr>
    </w:p>
    <w:p w14:paraId="4A61E9F7">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Tireoidna disfunkcija</w:t>
      </w:r>
    </w:p>
    <w:p w14:paraId="2B284D1B">
      <w:pPr>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Laboratorijsko mjerenje bazalnih vrijednosti tireoidne funkcije se preporučuje kod svih pacijenata. Pacijenti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postojećim hipotireoidizmom ili hipertireoidizmom treba da se liječe prema važećim medicinskim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standardima kao i prije započinjanja terapije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 Tokom terapije sunitinibom potrebno je sprovoditi rutinsko praćenje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tireoidne funkcije na svaka 3 mjeseca. Dodatno, pacijente treba pažlјivo pratiti </w:t>
      </w:r>
      <w:r>
        <w:rPr>
          <w:rFonts w:ascii="Microsoft Sans Serif" w:hAnsi="Microsoft Sans Serif" w:cs="Microsoft Sans Serif"/>
          <w:sz w:val="20"/>
          <w:szCs w:val="20"/>
          <w:lang w:val="sr-Cyrl-RS"/>
        </w:rPr>
        <w:t>kako bi se uočili</w:t>
      </w:r>
      <w:r>
        <w:rPr>
          <w:rFonts w:ascii="Microsoft Sans Serif" w:hAnsi="Microsoft Sans Serif" w:cs="Microsoft Sans Serif"/>
          <w:sz w:val="20"/>
          <w:szCs w:val="20"/>
          <w:lang w:val="mk-MK"/>
        </w:rPr>
        <w:t xml:space="preserve"> zna</w:t>
      </w:r>
      <w:r>
        <w:rPr>
          <w:rFonts w:ascii="Microsoft Sans Serif" w:hAnsi="Microsoft Sans Serif" w:cs="Microsoft Sans Serif"/>
          <w:sz w:val="20"/>
          <w:szCs w:val="20"/>
          <w:lang w:val="sr-Cyrl-RS"/>
        </w:rPr>
        <w:t>ci</w:t>
      </w:r>
      <w:r>
        <w:rPr>
          <w:rFonts w:ascii="Microsoft Sans Serif" w:hAnsi="Microsoft Sans Serif" w:cs="Microsoft Sans Serif"/>
          <w:sz w:val="20"/>
          <w:szCs w:val="20"/>
          <w:lang w:val="mk-MK"/>
        </w:rPr>
        <w:t xml:space="preserve"> i simptom</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 xml:space="preserve"> tireoidne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disfunkcije dok su na terapiji sunitinibom, a kod pacijenata kod kojih se jave znaci i/ili simptomi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ukazuju na tireoidnu disfunkciju treba izvršiti laboratorijske analize tireoidne funkcije ukoliko je klinički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indikovano. Pacijente kod kojih se razvije tireoidna disfunkcija treba liječiti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prema važećim medicinskim standardima.</w:t>
      </w:r>
      <w:r>
        <w:rPr>
          <w:rFonts w:ascii="Microsoft Sans Serif" w:hAnsi="Microsoft Sans Serif" w:cs="Microsoft Sans Serif"/>
          <w:sz w:val="20"/>
          <w:szCs w:val="20"/>
          <w:lang w:val="sr-Cyrl-RS"/>
        </w:rPr>
        <w:t xml:space="preserve"> </w:t>
      </w:r>
    </w:p>
    <w:p w14:paraId="22F31E02">
      <w:pPr>
        <w:rPr>
          <w:rFonts w:ascii="Microsoft Sans Serif" w:hAnsi="Microsoft Sans Serif" w:cs="Microsoft Sans Serif"/>
          <w:sz w:val="20"/>
          <w:szCs w:val="20"/>
          <w:lang w:val="mk-MK"/>
        </w:rPr>
      </w:pPr>
    </w:p>
    <w:p w14:paraId="7ADD7BF1">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Zabilježeno je da se hipotireoidizam javlјa kako u ranijoj fazi, tako i kasnije u toku terapije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(pogledati dio 4.8).</w:t>
      </w:r>
    </w:p>
    <w:p w14:paraId="0BE7E5BD">
      <w:pPr>
        <w:rPr>
          <w:rFonts w:ascii="Microsoft Sans Serif" w:hAnsi="Microsoft Sans Serif" w:cs="Microsoft Sans Serif"/>
          <w:sz w:val="20"/>
          <w:szCs w:val="20"/>
          <w:lang w:val="mk-MK"/>
        </w:rPr>
      </w:pPr>
    </w:p>
    <w:p w14:paraId="1DE8C3EA">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Pankreatitis</w:t>
      </w:r>
    </w:p>
    <w:p w14:paraId="03DC755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Povišenje aktivnosti serumskih lipaza i amilaza zapaženo je kod pacijenata sa raznim solidnim tumorima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su bili na terapiji sunitinibom. Povišenje aktivnosti lipaze bilo je prolazno i generalno nije bilo praćeno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znacima ili simptomima pankreatitisa kod osoba sa raznim tipovima solidnih tumora (pogledati dio 4.8).</w:t>
      </w:r>
    </w:p>
    <w:p w14:paraId="72DD4338">
      <w:pPr>
        <w:rPr>
          <w:rFonts w:ascii="Microsoft Sans Serif" w:hAnsi="Microsoft Sans Serif" w:cs="Microsoft Sans Serif"/>
          <w:sz w:val="20"/>
          <w:szCs w:val="20"/>
          <w:lang w:val="mk-MK"/>
        </w:rPr>
      </w:pPr>
    </w:p>
    <w:p w14:paraId="3B8E29E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Zabilježeni su i slučajevi ozbilјnih pankreatičnih događaja, od kojih neki sa fatalnim ishodom.</w:t>
      </w:r>
    </w:p>
    <w:p w14:paraId="770687C5">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Ako su simptomi pankreatitisa prisutni, pacijentima treba obustaviti davanje sunitiniba i pružiti odgovarajuću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suportivnu terapiju.</w:t>
      </w:r>
    </w:p>
    <w:p w14:paraId="1801B2BE">
      <w:pPr>
        <w:rPr>
          <w:rFonts w:ascii="Microsoft Sans Serif" w:hAnsi="Microsoft Sans Serif" w:cs="Microsoft Sans Serif"/>
          <w:sz w:val="20"/>
          <w:szCs w:val="20"/>
          <w:u w:val="single"/>
          <w:lang w:val="mk-MK"/>
        </w:rPr>
      </w:pPr>
    </w:p>
    <w:p w14:paraId="50939377">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Hepatotoksičnost</w:t>
      </w:r>
    </w:p>
    <w:p w14:paraId="398683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Hepatotoksičnost je zabilježena kod pacijenata liječenih sunitinibom. Slučajevi insuficijencije jetre, neki sa</w:t>
      </w:r>
      <w:r>
        <w:rPr>
          <w:rFonts w:ascii="Microsoft Sans Serif" w:hAnsi="Microsoft Sans Serif" w:cs="Microsoft Sans Serif"/>
          <w:sz w:val="20"/>
          <w:szCs w:val="20"/>
          <w:lang w:val="sr-Cyrl-RS"/>
        </w:rPr>
        <w:t xml:space="preserve"> smrtnim</w:t>
      </w:r>
      <w:r>
        <w:rPr>
          <w:rFonts w:ascii="Microsoft Sans Serif" w:hAnsi="Microsoft Sans Serif" w:cs="Microsoft Sans Serif"/>
          <w:sz w:val="20"/>
          <w:szCs w:val="20"/>
          <w:lang w:val="mk-MK"/>
        </w:rPr>
        <w:t xml:space="preserve"> ishodom, zabilježeni su kod &lt;1% pacijenata sa solidnim tumorima koji su liječeni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funkcionalnih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alanin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transaminaza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Latn-RS"/>
        </w:rPr>
        <w:t>LT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aspartat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transaminaza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prisutni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suportivne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24FFF40D">
      <w:pPr>
        <w:rPr>
          <w:rFonts w:ascii="Microsoft Sans Serif" w:hAnsi="Microsoft Sans Serif" w:cs="Microsoft Sans Serif"/>
          <w:sz w:val="20"/>
          <w:szCs w:val="20"/>
          <w:lang w:val="sr-Cyrl-RS"/>
        </w:rPr>
      </w:pPr>
    </w:p>
    <w:p w14:paraId="7880EA1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Bubre</w:t>
      </w: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na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funkcija</w:t>
      </w:r>
    </w:p>
    <w:p w14:paraId="4D2A77B6">
      <w:pPr>
        <w:rPr>
          <w:rFonts w:ascii="Microsoft Sans Serif" w:hAnsi="Microsoft Sans Serif" w:cs="Microsoft Sans Serif"/>
          <w:sz w:val="20"/>
          <w:szCs w:val="20"/>
          <w:lang w:val="sr-Cyrl-RS"/>
        </w:rPr>
      </w:pP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mk-MK"/>
        </w:rPr>
        <w:t xml:space="preserve"> 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165D85C2">
      <w:pPr>
        <w:rPr>
          <w:rFonts w:ascii="Microsoft Sans Serif" w:hAnsi="Microsoft Sans Serif" w:cs="Microsoft Sans Serif"/>
          <w:sz w:val="20"/>
          <w:szCs w:val="20"/>
          <w:lang w:val="sr-Cyrl-RS"/>
        </w:rPr>
      </w:pPr>
    </w:p>
    <w:p w14:paraId="3071BD8C">
      <w:pPr>
        <w:rPr>
          <w:rFonts w:ascii="Microsoft Sans Serif" w:hAnsi="Microsoft Sans Serif" w:cs="Microsoft Sans Serif"/>
          <w:sz w:val="20"/>
          <w:szCs w:val="20"/>
          <w:lang w:val="sr-Cyrl-RS"/>
        </w:rPr>
      </w:pPr>
      <w:r>
        <w:rPr>
          <w:rFonts w:ascii="Microsoft Sans Serif" w:hAnsi="Microsoft Sans Serif" w:cs="Microsoft Sans Serif"/>
          <w:sz w:val="20"/>
          <w:szCs w:val="20"/>
        </w:rPr>
        <w:t>Faktori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funkcijom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starost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w:t>
      </w:r>
      <w:r>
        <w:rPr>
          <w:rFonts w:ascii="Microsoft Sans Serif" w:hAnsi="Microsoft Sans Serif" w:cs="Microsoft Sans Serif"/>
          <w:sz w:val="20"/>
          <w:szCs w:val="20"/>
          <w:lang w:val="sr-Cyrl-RS"/>
        </w:rPr>
        <w:t>j</w:t>
      </w:r>
      <w:r>
        <w:rPr>
          <w:rFonts w:ascii="Microsoft Sans Serif" w:hAnsi="Microsoft Sans Serif" w:cs="Microsoft Sans Serif"/>
          <w:sz w:val="20"/>
          <w:szCs w:val="20"/>
        </w:rPr>
        <w:t>abetes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melitus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hipertenziju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sepsu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dehidrataciju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hipovolemiju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rabdomiolizu</w:t>
      </w:r>
      <w:r>
        <w:rPr>
          <w:rFonts w:ascii="Microsoft Sans Serif" w:hAnsi="Microsoft Sans Serif" w:cs="Microsoft Sans Serif"/>
          <w:sz w:val="20"/>
          <w:szCs w:val="20"/>
          <w:lang w:val="sr-Cyrl-RS"/>
        </w:rPr>
        <w:t>.</w:t>
      </w:r>
    </w:p>
    <w:p w14:paraId="769AC006">
      <w:pPr>
        <w:rPr>
          <w:rFonts w:ascii="Microsoft Sans Serif" w:hAnsi="Microsoft Sans Serif" w:cs="Microsoft Sans Serif"/>
          <w:sz w:val="20"/>
          <w:szCs w:val="20"/>
          <w:lang w:val="sr-Cyrl-RS"/>
        </w:rPr>
      </w:pPr>
    </w:p>
    <w:p w14:paraId="00727132">
      <w:pPr>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kontinuirane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ispitivana</w:t>
      </w:r>
      <w:r>
        <w:rPr>
          <w:rFonts w:ascii="Microsoft Sans Serif" w:hAnsi="Microsoft Sans Serif" w:cs="Microsoft Sans Serif"/>
          <w:sz w:val="20"/>
          <w:szCs w:val="20"/>
          <w:lang w:val="sr-Cyrl-RS"/>
        </w:rPr>
        <w:t>.</w:t>
      </w:r>
    </w:p>
    <w:p w14:paraId="3E884756">
      <w:pPr>
        <w:rPr>
          <w:rFonts w:ascii="Microsoft Sans Serif" w:hAnsi="Microsoft Sans Serif" w:cs="Microsoft Sans Serif"/>
          <w:sz w:val="20"/>
          <w:szCs w:val="20"/>
          <w:lang w:val="sr-Cyrl-RS"/>
        </w:rPr>
      </w:pP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rijetki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nefrotskog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nefrotskim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sindromom</w:t>
      </w:r>
      <w:r>
        <w:rPr>
          <w:rFonts w:ascii="Microsoft Sans Serif" w:hAnsi="Microsoft Sans Serif" w:cs="Microsoft Sans Serif"/>
          <w:sz w:val="20"/>
          <w:szCs w:val="20"/>
          <w:lang w:val="sr-Cyrl-RS"/>
        </w:rPr>
        <w:t>.</w:t>
      </w:r>
    </w:p>
    <w:p w14:paraId="1A07E1BD">
      <w:pPr>
        <w:rPr>
          <w:rFonts w:ascii="Microsoft Sans Serif" w:hAnsi="Microsoft Sans Serif" w:cs="Microsoft Sans Serif"/>
          <w:sz w:val="20"/>
          <w:szCs w:val="20"/>
          <w:lang w:val="sr-Cyrl-RS"/>
        </w:rPr>
      </w:pPr>
    </w:p>
    <w:p w14:paraId="0D25857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Fistula</w:t>
      </w:r>
    </w:p>
    <w:p w14:paraId="3ACE6C31">
      <w:pPr>
        <w:rPr>
          <w:rFonts w:ascii="Microsoft Sans Serif" w:hAnsi="Microsoft Sans Serif" w:cs="Microsoft Sans Serif"/>
          <w:sz w:val="20"/>
          <w:szCs w:val="20"/>
          <w:lang w:val="sr-Cyrl-R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fistule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informacije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fistulama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78CA10FE">
      <w:pPr>
        <w:rPr>
          <w:rFonts w:ascii="Microsoft Sans Serif" w:hAnsi="Microsoft Sans Serif" w:cs="Microsoft Sans Serif"/>
          <w:sz w:val="20"/>
          <w:szCs w:val="20"/>
          <w:u w:val="single"/>
          <w:lang w:val="sr-Cyrl-RS"/>
        </w:rPr>
      </w:pPr>
    </w:p>
    <w:p w14:paraId="1C195511">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Komplikacije pri </w:t>
      </w:r>
      <w:r>
        <w:rPr>
          <w:rFonts w:ascii="Microsoft Sans Serif" w:hAnsi="Microsoft Sans Serif" w:cs="Microsoft Sans Serif"/>
          <w:sz w:val="20"/>
          <w:szCs w:val="20"/>
          <w:u w:val="single"/>
        </w:rPr>
        <w:t>zarastanj</w:t>
      </w:r>
      <w:r>
        <w:rPr>
          <w:rFonts w:ascii="Microsoft Sans Serif" w:hAnsi="Microsoft Sans Serif" w:cs="Microsoft Sans Serif"/>
          <w:sz w:val="20"/>
          <w:szCs w:val="20"/>
          <w:u w:val="single"/>
          <w:lang w:val="sr-Cyrl-RS"/>
        </w:rPr>
        <w:t xml:space="preserve">u </w:t>
      </w:r>
      <w:r>
        <w:rPr>
          <w:rFonts w:ascii="Microsoft Sans Serif" w:hAnsi="Microsoft Sans Serif" w:cs="Microsoft Sans Serif"/>
          <w:sz w:val="20"/>
          <w:szCs w:val="20"/>
          <w:u w:val="single"/>
        </w:rPr>
        <w:t>rana</w:t>
      </w:r>
    </w:p>
    <w:p w14:paraId="12E128AC">
      <w:pPr>
        <w:rPr>
          <w:rFonts w:ascii="Microsoft Sans Serif" w:hAnsi="Microsoft Sans Serif" w:cs="Microsoft Sans Serif"/>
          <w:sz w:val="20"/>
          <w:szCs w:val="20"/>
          <w:lang w:val="sr-Cyrl-RS"/>
        </w:rPr>
      </w:pP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poremeć</w:t>
      </w:r>
      <w:r>
        <w:rPr>
          <w:rFonts w:ascii="Microsoft Sans Serif" w:hAnsi="Microsoft Sans Serif" w:cs="Microsoft Sans Serif"/>
          <w:sz w:val="20"/>
          <w:szCs w:val="20"/>
          <w:lang w:val="sr-Latn-RS"/>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zarastanja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rana</w:t>
      </w:r>
      <w:r>
        <w:rPr>
          <w:rFonts w:ascii="Microsoft Sans Serif" w:hAnsi="Microsoft Sans Serif" w:cs="Microsoft Sans Serif"/>
          <w:sz w:val="20"/>
          <w:szCs w:val="20"/>
          <w:lang w:val="sr-Cyrl-RS"/>
        </w:rPr>
        <w:t>.</w:t>
      </w:r>
    </w:p>
    <w:p w14:paraId="66FB8D54">
      <w:pPr>
        <w:rPr>
          <w:rFonts w:ascii="Microsoft Sans Serif" w:hAnsi="Microsoft Sans Serif" w:cs="Microsoft Sans Serif"/>
          <w:sz w:val="20"/>
          <w:szCs w:val="20"/>
          <w:lang w:val="sr-Cyrl-RS"/>
        </w:rPr>
      </w:pPr>
    </w:p>
    <w:p w14:paraId="5376114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Nisu sprovedena formalna klinička ispitivanja uticaja sunitiniba na zarastanje rana. Privremeni 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terapije sunitinibom preporučuje se kao mjera predostrožnosti kod pacijenata koji se podvrgavaju velikim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hirurškim zahvatima. Postoji ograničeno kliničko iskustvo u pogledu vremena potrebnog za ponovno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uvođenje terapije nakon velikih hirurških intervencija. Zato, odluka o nastavku terapije sunitinibom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velikih hirurških intervencija treba da bude zasnovana na kliničkoj procjeni oporavka nakon operacije.</w:t>
      </w:r>
    </w:p>
    <w:p w14:paraId="45283AD6">
      <w:pPr>
        <w:rPr>
          <w:rFonts w:ascii="Microsoft Sans Serif" w:hAnsi="Microsoft Sans Serif" w:cs="Microsoft Sans Serif"/>
          <w:sz w:val="20"/>
          <w:szCs w:val="20"/>
          <w:lang w:val="sv-SE"/>
        </w:rPr>
      </w:pPr>
    </w:p>
    <w:p w14:paraId="73A8603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Osteonekroza vilice</w:t>
      </w:r>
    </w:p>
    <w:p w14:paraId="5876AAD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Kod pacijenata liječenih l </w:t>
      </w:r>
      <w:bookmarkStart w:id="0" w:name="_Hlk102024068"/>
      <w:r>
        <w:rPr>
          <w:rFonts w:ascii="Microsoft Sans Serif" w:hAnsi="Microsoft Sans Serif" w:cs="Microsoft Sans Serif"/>
          <w:sz w:val="20"/>
          <w:szCs w:val="20"/>
          <w:lang w:val="sv-SE"/>
        </w:rPr>
        <w:t>sunitinib</w:t>
      </w:r>
      <w:bookmarkEnd w:id="0"/>
      <w:r>
        <w:rPr>
          <w:rFonts w:ascii="Microsoft Sans Serif" w:hAnsi="Microsoft Sans Serif" w:cs="Microsoft Sans Serif"/>
          <w:sz w:val="20"/>
          <w:szCs w:val="20"/>
          <w:lang w:val="sv-SE"/>
        </w:rPr>
        <w:t>om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 osteonekroze vilice. Većina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zabilježena je kod pacijenata koji su prethodno ili istovremeno primali terapiju bisfosfonatima intravenskim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putem, za čiju primjenu je osteonekroza poznat rizik. Iz tog razloga, lijek Fasindor i bisfosfonate (intravenski)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treba primjenjivati sa oprezom, bilo da se primjenjuju istovremeno ili jedan za drugim.</w:t>
      </w:r>
    </w:p>
    <w:p w14:paraId="480EFC46">
      <w:pPr>
        <w:rPr>
          <w:rFonts w:ascii="Microsoft Sans Serif" w:hAnsi="Microsoft Sans Serif" w:cs="Microsoft Sans Serif"/>
          <w:sz w:val="20"/>
          <w:szCs w:val="20"/>
          <w:lang w:val="sv-SE"/>
        </w:rPr>
      </w:pPr>
    </w:p>
    <w:p w14:paraId="732DD85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Invazivne stomatološke procedure takođe su identifikovane kao faktor rizika. Prije</w:t>
      </w:r>
      <w:r>
        <w:rPr>
          <w:rFonts w:ascii="Microsoft Sans Serif" w:hAnsi="Microsoft Sans Serif" w:cs="Microsoft Sans Serif"/>
          <w:sz w:val="20"/>
          <w:szCs w:val="20"/>
          <w:lang w:val="sr-Cyrl-RS"/>
        </w:rPr>
        <w:t xml:space="preserve"> započinjanja</w:t>
      </w:r>
      <w:r>
        <w:rPr>
          <w:rFonts w:ascii="Microsoft Sans Serif" w:hAnsi="Microsoft Sans Serif" w:cs="Microsoft Sans Serif"/>
          <w:sz w:val="20"/>
          <w:szCs w:val="20"/>
          <w:lang w:val="sv-SE"/>
        </w:rPr>
        <w:t xml:space="preserve"> terapije lijekom Fasindor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sprovesti stomatološki pregled i odgovarajuće preventivne stomatološke mjere. Ukoliko je moguće,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invanzivne stomatološke procedure treba izbjegavati kod pacijenata koji su nedavno primali ili primaju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bisfosfonate intravenskim putem (pogledati dio 4.8).</w:t>
      </w:r>
    </w:p>
    <w:p w14:paraId="38BE8E4C">
      <w:pPr>
        <w:rPr>
          <w:rFonts w:ascii="Microsoft Sans Serif" w:hAnsi="Microsoft Sans Serif" w:cs="Microsoft Sans Serif"/>
          <w:sz w:val="20"/>
          <w:szCs w:val="20"/>
          <w:lang w:val="sv-SE"/>
        </w:rPr>
      </w:pPr>
    </w:p>
    <w:p w14:paraId="40D180D6">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Preosjetl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ivost/angioedem</w:t>
      </w:r>
    </w:p>
    <w:p w14:paraId="7740158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zbog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dođe do pojave angioedema treba prekinuti terapiju sunitinibom i pružiti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standardnu medicinsku negu (pogledati dio 4.8).</w:t>
      </w:r>
    </w:p>
    <w:p w14:paraId="58EB3939">
      <w:pPr>
        <w:rPr>
          <w:rFonts w:ascii="Microsoft Sans Serif" w:hAnsi="Microsoft Sans Serif" w:cs="Microsoft Sans Serif"/>
          <w:sz w:val="20"/>
          <w:szCs w:val="20"/>
          <w:u w:val="single"/>
          <w:lang w:val="sv-SE"/>
        </w:rPr>
      </w:pPr>
    </w:p>
    <w:p w14:paraId="2AF83DC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Konvulzije</w:t>
      </w:r>
    </w:p>
    <w:p w14:paraId="1E35E80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kliničkim studijama sunitiniba, kao i tokom postmarketinškog praćenja, zabilježena je pojava konvulzija.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konvulzijama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znacima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posteriornom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reverzibilnom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leukoencefalopatije</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Cyrl-RS"/>
        </w:rPr>
        <w:t xml:space="preserve">engl. </w:t>
      </w:r>
      <w:r>
        <w:rPr>
          <w:rFonts w:ascii="Microsoft Sans Serif" w:hAnsi="Microsoft Sans Serif" w:cs="Microsoft Sans Serif"/>
          <w:i/>
          <w:sz w:val="20"/>
          <w:szCs w:val="20"/>
        </w:rPr>
        <w:t>reversible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posterior</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leukoencephalopathy</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sy</w:t>
      </w:r>
      <w:r>
        <w:rPr>
          <w:rFonts w:ascii="Microsoft Sans Serif" w:hAnsi="Microsoft Sans Serif" w:cs="Microsoft Sans Serif"/>
          <w:i/>
          <w:sz w:val="20"/>
          <w:szCs w:val="20"/>
        </w:rPr>
        <w:t>ndrome</w:t>
      </w:r>
      <w:r>
        <w:rPr>
          <w:rFonts w:ascii="Microsoft Sans Serif" w:hAnsi="Microsoft Sans Serif" w:cs="Microsoft Sans Serif"/>
          <w:i/>
          <w:sz w:val="20"/>
          <w:szCs w:val="20"/>
          <w:lang w:val="sr-Cyrl-RS"/>
        </w:rPr>
        <w:t xml:space="preserve">, </w:t>
      </w:r>
      <w:r>
        <w:rPr>
          <w:rFonts w:ascii="Microsoft Sans Serif" w:hAnsi="Microsoft Sans Serif" w:cs="Microsoft Sans Serif"/>
          <w:sz w:val="20"/>
          <w:szCs w:val="20"/>
        </w:rPr>
        <w:t>RPLS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hipertenzija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mentalne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sljepilo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obustavl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sunitinibom; </w:t>
      </w:r>
      <w:r>
        <w:rPr>
          <w:rFonts w:ascii="Microsoft Sans Serif" w:hAnsi="Microsoft Sans Serif" w:cs="Microsoft Sans Serif"/>
          <w:sz w:val="20"/>
          <w:szCs w:val="20"/>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15180ACE">
      <w:pPr>
        <w:rPr>
          <w:rFonts w:ascii="Microsoft Sans Serif" w:hAnsi="Microsoft Sans Serif" w:cs="Microsoft Sans Serif"/>
          <w:sz w:val="20"/>
          <w:szCs w:val="20"/>
          <w:lang w:val="sr-Cyrl-RS"/>
        </w:rPr>
      </w:pPr>
    </w:p>
    <w:p w14:paraId="15138381">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Sindrom lize tumora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(e</w:t>
      </w:r>
      <w:r>
        <w:rPr>
          <w:rFonts w:ascii="Microsoft Sans Serif" w:hAnsi="Microsoft Sans Serif" w:cs="Microsoft Sans Serif"/>
          <w:i/>
          <w:sz w:val="20"/>
          <w:szCs w:val="20"/>
          <w:u w:val="single"/>
          <w:lang w:val="sv-SE"/>
        </w:rPr>
        <w:t>ngl. tumour lysis syndrome</w:t>
      </w:r>
      <w:r>
        <w:rPr>
          <w:rFonts w:ascii="Microsoft Sans Serif" w:hAnsi="Microsoft Sans Serif" w:cs="Microsoft Sans Serif"/>
          <w:sz w:val="20"/>
          <w:szCs w:val="20"/>
          <w:u w:val="single"/>
          <w:lang w:val="sv-SE"/>
        </w:rPr>
        <w:t>, TLS)</w:t>
      </w:r>
    </w:p>
    <w:p w14:paraId="1777E9A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Slučajevi TLS, ponekad sa fatalnim ishodom, rijetko su opisani u kliničkim ispitivanjima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zabilježeni su tokom postmarketinškog praćenja kod pacijenata koji su liječeni sunitinibom. Faktori rizika za TLS obuhvataju velik</w:t>
      </w:r>
      <w:r>
        <w:rPr>
          <w:rFonts w:ascii="Microsoft Sans Serif" w:hAnsi="Microsoft Sans Serif" w:cs="Microsoft Sans Serif"/>
          <w:sz w:val="20"/>
          <w:szCs w:val="20"/>
          <w:lang w:val="sr-Cyrl-RS"/>
        </w:rPr>
        <w:t>o opterećenje</w:t>
      </w:r>
      <w:r>
        <w:rPr>
          <w:rFonts w:ascii="Microsoft Sans Serif" w:hAnsi="Microsoft Sans Serif" w:cs="Microsoft Sans Serif"/>
          <w:sz w:val="20"/>
          <w:szCs w:val="20"/>
          <w:lang w:val="sv-SE"/>
        </w:rPr>
        <w:t xml:space="preserve"> tumor</w:t>
      </w:r>
      <w:r>
        <w:rPr>
          <w:rFonts w:ascii="Microsoft Sans Serif" w:hAnsi="Microsoft Sans Serif" w:cs="Microsoft Sans Serif"/>
          <w:sz w:val="20"/>
          <w:szCs w:val="20"/>
          <w:lang w:val="sr-Cyrl-RS"/>
        </w:rPr>
        <w:t>om</w:t>
      </w:r>
      <w:r>
        <w:rPr>
          <w:rFonts w:ascii="Microsoft Sans Serif" w:hAnsi="Microsoft Sans Serif" w:cs="Microsoft Sans Serif"/>
          <w:sz w:val="20"/>
          <w:szCs w:val="20"/>
          <w:lang w:val="sv-SE"/>
        </w:rPr>
        <w:t>, postojeću hroničnu bubrežnu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insuficijenciju, oliguriju, dehidrataciju, hipotenziju i kisel</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urin. Ove pacijente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pratiti i liječiti ukoliko je klinički indikovano, a treba razmotriti i profilaktičku hidrataciju.</w:t>
      </w:r>
    </w:p>
    <w:p w14:paraId="358B7ED4">
      <w:pPr>
        <w:rPr>
          <w:rFonts w:ascii="Microsoft Sans Serif" w:hAnsi="Microsoft Sans Serif" w:cs="Microsoft Sans Serif"/>
          <w:sz w:val="20"/>
          <w:szCs w:val="20"/>
          <w:lang w:val="sv-SE"/>
        </w:rPr>
      </w:pPr>
    </w:p>
    <w:p w14:paraId="6E4C6551">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Infekcije</w:t>
      </w:r>
    </w:p>
    <w:p w14:paraId="1B8914A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Zabilježene su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ne infekcije, sa ili bez neutropenije,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i slučajeve sa </w:t>
      </w:r>
      <w:r>
        <w:rPr>
          <w:rFonts w:ascii="Microsoft Sans Serif" w:hAnsi="Microsoft Sans Serif" w:cs="Microsoft Sans Serif"/>
          <w:sz w:val="20"/>
          <w:szCs w:val="20"/>
          <w:lang w:val="sr-Cyrl-RS"/>
        </w:rPr>
        <w:t>smrtnim</w:t>
      </w:r>
      <w:r>
        <w:rPr>
          <w:rFonts w:ascii="Microsoft Sans Serif" w:hAnsi="Microsoft Sans Serif" w:cs="Microsoft Sans Serif"/>
          <w:sz w:val="20"/>
          <w:szCs w:val="20"/>
          <w:lang w:val="sv-SE"/>
        </w:rPr>
        <w:t xml:space="preserve"> ishodom. Zabilježeni su povremeni slučajevi nekrotizirajućeg fasciitisa,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perineum, ponekad sa fatalni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ishod</w:t>
      </w:r>
      <w:r>
        <w:rPr>
          <w:rFonts w:ascii="Microsoft Sans Serif" w:hAnsi="Microsoft Sans Serif" w:cs="Microsoft Sans Serif"/>
          <w:sz w:val="20"/>
          <w:szCs w:val="20"/>
          <w:lang w:val="sr-Cyrl-RS"/>
        </w:rPr>
        <w:t>om</w:t>
      </w:r>
      <w:r>
        <w:rPr>
          <w:rFonts w:ascii="Microsoft Sans Serif" w:hAnsi="Microsoft Sans Serif" w:cs="Microsoft Sans Serif"/>
          <w:sz w:val="20"/>
          <w:szCs w:val="20"/>
          <w:lang w:val="sv-SE"/>
        </w:rPr>
        <w:t xml:space="preserve"> (pogledati dio 4.8).</w:t>
      </w:r>
    </w:p>
    <w:p w14:paraId="67337086">
      <w:pPr>
        <w:rPr>
          <w:rFonts w:ascii="Microsoft Sans Serif" w:hAnsi="Microsoft Sans Serif" w:cs="Microsoft Sans Serif"/>
          <w:sz w:val="20"/>
          <w:szCs w:val="20"/>
          <w:lang w:val="sv-SE"/>
        </w:rPr>
      </w:pPr>
    </w:p>
    <w:p w14:paraId="7429001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kod kojih se javi nekrotizirajući fasciitis, treba prekinuti primjenu sunitiniba i primjeniti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odgovarajuću terapiju.</w:t>
      </w:r>
    </w:p>
    <w:p w14:paraId="462EF4BC">
      <w:pPr>
        <w:rPr>
          <w:rFonts w:ascii="Microsoft Sans Serif" w:hAnsi="Microsoft Sans Serif" w:cs="Microsoft Sans Serif"/>
          <w:sz w:val="20"/>
          <w:szCs w:val="20"/>
          <w:u w:val="single"/>
          <w:lang w:val="sv-SE"/>
        </w:rPr>
      </w:pPr>
    </w:p>
    <w:p w14:paraId="63F596D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Hipoglikemija</w:t>
      </w:r>
    </w:p>
    <w:p w14:paraId="3BE15D7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Tokom liječenja sunitinibom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 je sniženje nivoa glukoze u krvi koje je u nekim slučajevima bilo klinički simptomatsko i zahtjevalo hospitalizaciju usljed gubitka svijesti. U slučaju simptomatske hipoglikemije, potrebno je privremeno prekinuti primjenu sunitiniba. Nivoe glukoze u krvi kod pacijenata sa dijabetesom potrebno je redovno provjeravati kako bi se procjenilo da li je potrebno podesiti doziranje lijekova protiv dijabetesa da bi se</w:t>
      </w:r>
      <w:r>
        <w:rPr>
          <w:rFonts w:ascii="Microsoft Sans Serif" w:hAnsi="Microsoft Sans Serif" w:cs="Microsoft Sans Serif"/>
          <w:sz w:val="20"/>
          <w:szCs w:val="20"/>
          <w:lang w:val="sr-Cyrl-RS"/>
        </w:rPr>
        <w:t xml:space="preserve"> minimizirao</w:t>
      </w:r>
      <w:r>
        <w:rPr>
          <w:rFonts w:ascii="Microsoft Sans Serif" w:hAnsi="Microsoft Sans Serif" w:cs="Microsoft Sans Serif"/>
          <w:sz w:val="20"/>
          <w:szCs w:val="20"/>
          <w:lang w:val="sv-SE"/>
        </w:rPr>
        <w:t xml:space="preserve"> rizik od hipoglikemije (pogledati dio 4.8).</w:t>
      </w:r>
    </w:p>
    <w:p w14:paraId="1941F2DE">
      <w:pPr>
        <w:rPr>
          <w:rFonts w:ascii="Microsoft Sans Serif" w:hAnsi="Microsoft Sans Serif" w:cs="Microsoft Sans Serif"/>
          <w:sz w:val="20"/>
          <w:szCs w:val="20"/>
          <w:lang w:val="sv-SE"/>
        </w:rPr>
      </w:pPr>
    </w:p>
    <w:p w14:paraId="4FCBF5E0">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4.5. Interakcije sa drugim lijekovima i druge vrste interakcija</w:t>
      </w:r>
    </w:p>
    <w:p w14:paraId="55CBA323">
      <w:pPr>
        <w:rPr>
          <w:rFonts w:ascii="Microsoft Sans Serif" w:hAnsi="Microsoft Sans Serif" w:cs="Microsoft Sans Serif"/>
          <w:b/>
          <w:sz w:val="20"/>
          <w:szCs w:val="20"/>
          <w:lang w:val="sv-SE"/>
        </w:rPr>
      </w:pPr>
    </w:p>
    <w:p w14:paraId="5EA4631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Studije interakcija sa drugim lijekovima sprovedene su samo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odraslih pacijenata.</w:t>
      </w:r>
    </w:p>
    <w:p w14:paraId="55CC7ACD">
      <w:pPr>
        <w:rPr>
          <w:rFonts w:ascii="Microsoft Sans Serif" w:hAnsi="Microsoft Sans Serif" w:cs="Microsoft Sans Serif"/>
          <w:sz w:val="20"/>
          <w:szCs w:val="20"/>
          <w:u w:val="single"/>
          <w:lang w:val="sv-SE"/>
        </w:rPr>
      </w:pPr>
    </w:p>
    <w:p w14:paraId="316E3303">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Lijekovi koji mogu povećati koncentracij</w:t>
      </w:r>
      <w:r>
        <w:rPr>
          <w:rFonts w:ascii="Microsoft Sans Serif" w:hAnsi="Microsoft Sans Serif" w:cs="Microsoft Sans Serif"/>
          <w:sz w:val="20"/>
          <w:szCs w:val="20"/>
          <w:u w:val="single"/>
          <w:lang w:val="sr-Cyrl-RS"/>
        </w:rPr>
        <w:t>u</w:t>
      </w:r>
      <w:r>
        <w:rPr>
          <w:rFonts w:ascii="Microsoft Sans Serif" w:hAnsi="Microsoft Sans Serif" w:cs="Microsoft Sans Serif"/>
          <w:sz w:val="20"/>
          <w:szCs w:val="20"/>
          <w:u w:val="single"/>
          <w:lang w:val="sv-SE"/>
        </w:rPr>
        <w:t xml:space="preserve"> sunitiniba u plazmi</w:t>
      </w:r>
    </w:p>
    <w:p w14:paraId="4DC04582">
      <w:pPr>
        <w:rPr>
          <w:rFonts w:ascii="Microsoft Sans Serif" w:hAnsi="Microsoft Sans Serif" w:cs="Microsoft Sans Serif"/>
          <w:sz w:val="20"/>
          <w:szCs w:val="20"/>
          <w:u w:val="single"/>
          <w:lang w:val="sv-SE"/>
        </w:rPr>
      </w:pPr>
    </w:p>
    <w:p w14:paraId="21C38F6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Efekti CYP3A4 inhibitora</w:t>
      </w:r>
    </w:p>
    <w:p w14:paraId="60771F7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pojedinačne doze sunitiniba kod zdravih dobrovol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aca, sa snažnim inhibitorom CYP3A4, ketokonazolom, dovodi do povećanja maksimalne koncentracije lijeka u krvi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za kompleks [sunitinib + primarni metabolit] za 49%, dok je vrijednost površine ispod krive (PIK</w:t>
      </w:r>
      <w:r>
        <w:rPr>
          <w:rFonts w:ascii="Microsoft Sans Serif" w:hAnsi="Microsoft Sans Serif" w:cs="Microsoft Sans Serif"/>
          <w:sz w:val="20"/>
          <w:szCs w:val="20"/>
          <w:vertAlign w:val="subscript"/>
          <w:lang w:val="sv-SE"/>
        </w:rPr>
        <w:t>0-∞)</w:t>
      </w:r>
      <w:r>
        <w:rPr>
          <w:rFonts w:ascii="Microsoft Sans Serif" w:hAnsi="Microsoft Sans Serif" w:cs="Microsoft Sans Serif"/>
          <w:sz w:val="20"/>
          <w:szCs w:val="20"/>
          <w:lang w:val="sv-SE"/>
        </w:rPr>
        <w:t xml:space="preserve"> povećana za 51%.</w:t>
      </w:r>
    </w:p>
    <w:p w14:paraId="33BCA702">
      <w:pPr>
        <w:rPr>
          <w:rFonts w:ascii="Microsoft Sans Serif" w:hAnsi="Microsoft Sans Serif" w:cs="Microsoft Sans Serif"/>
          <w:sz w:val="20"/>
          <w:szCs w:val="20"/>
          <w:lang w:val="sv-SE"/>
        </w:rPr>
      </w:pPr>
    </w:p>
    <w:p w14:paraId="4322ED5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Primjena sunitiniba sa snažnim inhibitorima CYP3A4 (npr. ritonavir, itrakonazol, eritromicin, klaritromicin, sok od grejpfruta) može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dovede do povećanja koncentracije sunitiniba u plazmi.</w:t>
      </w:r>
      <w:r>
        <w:rPr>
          <w:rFonts w:ascii="Microsoft Sans Serif" w:hAnsi="Microsoft Sans Serif" w:cs="Microsoft Sans Serif"/>
          <w:sz w:val="20"/>
          <w:szCs w:val="20"/>
          <w:lang w:val="sr-Cyrl-RS"/>
        </w:rPr>
        <w:t xml:space="preserve"> </w:t>
      </w:r>
    </w:p>
    <w:p w14:paraId="25014BA8">
      <w:pPr>
        <w:rPr>
          <w:rFonts w:ascii="Microsoft Sans Serif" w:hAnsi="Microsoft Sans Serif" w:cs="Microsoft Sans Serif"/>
          <w:sz w:val="20"/>
          <w:szCs w:val="20"/>
          <w:lang w:val="sr-Cyrl-RS"/>
        </w:rPr>
      </w:pP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Cyrl-RS"/>
        </w:rPr>
        <w:t>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izbjegavati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minimalnim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Cyrl-RS"/>
        </w:rPr>
        <w:t>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4.</w:t>
      </w:r>
    </w:p>
    <w:p w14:paraId="1B503459">
      <w:pPr>
        <w:rPr>
          <w:rFonts w:ascii="Microsoft Sans Serif" w:hAnsi="Microsoft Sans Serif" w:cs="Microsoft Sans Serif"/>
          <w:sz w:val="20"/>
          <w:szCs w:val="20"/>
          <w:lang w:val="sr-Cyrl-RS"/>
        </w:rPr>
      </w:pPr>
    </w:p>
    <w:p w14:paraId="0F0F89B2">
      <w:pPr>
        <w:rPr>
          <w:rFonts w:ascii="Microsoft Sans Serif" w:hAnsi="Microsoft Sans Serif" w:cs="Microsoft Sans Serif"/>
          <w:sz w:val="20"/>
          <w:szCs w:val="20"/>
          <w:lang w:val="sr-Cyrl-RS"/>
        </w:rPr>
      </w:pP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minimalnu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25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bazirano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4.2).</w:t>
      </w:r>
    </w:p>
    <w:p w14:paraId="5E8D0B66">
      <w:pPr>
        <w:rPr>
          <w:rFonts w:ascii="Microsoft Sans Serif" w:hAnsi="Microsoft Sans Serif" w:cs="Microsoft Sans Serif"/>
          <w:sz w:val="20"/>
          <w:szCs w:val="20"/>
          <w:lang w:val="sr-Cyrl-RS"/>
        </w:rPr>
      </w:pPr>
    </w:p>
    <w:p w14:paraId="62221EB2">
      <w:pPr>
        <w:rPr>
          <w:rFonts w:ascii="Microsoft Sans Serif" w:hAnsi="Microsoft Sans Serif" w:cs="Microsoft Sans Serif"/>
          <w:i/>
          <w:sz w:val="20"/>
          <w:szCs w:val="20"/>
        </w:rPr>
      </w:pPr>
      <w:r>
        <w:rPr>
          <w:rFonts w:ascii="Microsoft Sans Serif" w:hAnsi="Microsoft Sans Serif" w:cs="Microsoft Sans Serif"/>
          <w:i/>
          <w:sz w:val="20"/>
          <w:szCs w:val="20"/>
          <w:lang w:val="sv-SE"/>
        </w:rPr>
        <w:t xml:space="preserve">Efekti inhibitora proteina rezistencije karcinoma dojke (engl. </w:t>
      </w:r>
      <w:r>
        <w:rPr>
          <w:rFonts w:ascii="Microsoft Sans Serif" w:hAnsi="Microsoft Sans Serif" w:cs="Microsoft Sans Serif"/>
          <w:i/>
          <w:sz w:val="20"/>
          <w:szCs w:val="20"/>
        </w:rPr>
        <w:t>Breast Cancer Resistance Protein – BCRP)</w:t>
      </w:r>
    </w:p>
    <w:p w14:paraId="7643B78A">
      <w:pPr>
        <w:rPr>
          <w:rFonts w:ascii="Microsoft Sans Serif" w:hAnsi="Microsoft Sans Serif" w:cs="Microsoft Sans Serif"/>
          <w:sz w:val="20"/>
          <w:szCs w:val="20"/>
        </w:rPr>
      </w:pPr>
      <w:r>
        <w:rPr>
          <w:rFonts w:ascii="Microsoft Sans Serif" w:hAnsi="Microsoft Sans Serif" w:cs="Microsoft Sans Serif"/>
          <w:sz w:val="20"/>
          <w:szCs w:val="20"/>
        </w:rPr>
        <w:t>Klinički podaci o interakciji sunitiniba i inhibitora BCRP su ograničeni i mogućnost ove interakcije se ne može isklјučiti (pogledati dio 5.2).</w:t>
      </w:r>
    </w:p>
    <w:p w14:paraId="18FFA7AC">
      <w:pPr>
        <w:rPr>
          <w:rFonts w:ascii="Microsoft Sans Serif" w:hAnsi="Microsoft Sans Serif" w:cs="Microsoft Sans Serif"/>
          <w:sz w:val="20"/>
          <w:szCs w:val="20"/>
        </w:rPr>
      </w:pPr>
    </w:p>
    <w:p w14:paraId="1EE523D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Lijekovi koji mogu s</w:t>
      </w:r>
      <w:r>
        <w:rPr>
          <w:rFonts w:ascii="Microsoft Sans Serif" w:hAnsi="Microsoft Sans Serif" w:cs="Microsoft Sans Serif"/>
          <w:sz w:val="20"/>
          <w:szCs w:val="20"/>
          <w:u w:val="single"/>
          <w:lang w:val="sr-Cyrl-RS"/>
        </w:rPr>
        <w:t>niziti</w:t>
      </w:r>
      <w:r>
        <w:rPr>
          <w:rFonts w:ascii="Microsoft Sans Serif" w:hAnsi="Microsoft Sans Serif" w:cs="Microsoft Sans Serif"/>
          <w:sz w:val="20"/>
          <w:szCs w:val="20"/>
          <w:u w:val="single"/>
        </w:rPr>
        <w:t xml:space="preserve"> koncentracij</w:t>
      </w:r>
      <w:r>
        <w:rPr>
          <w:rFonts w:ascii="Microsoft Sans Serif" w:hAnsi="Microsoft Sans Serif" w:cs="Microsoft Sans Serif"/>
          <w:sz w:val="20"/>
          <w:szCs w:val="20"/>
          <w:u w:val="single"/>
          <w:lang w:val="sr-Cyrl-RS"/>
        </w:rPr>
        <w:t>u</w:t>
      </w:r>
      <w:r>
        <w:rPr>
          <w:rFonts w:ascii="Microsoft Sans Serif" w:hAnsi="Microsoft Sans Serif" w:cs="Microsoft Sans Serif"/>
          <w:sz w:val="20"/>
          <w:szCs w:val="20"/>
          <w:u w:val="single"/>
        </w:rPr>
        <w:t xml:space="preserve"> sunitiniba u plazmi</w:t>
      </w:r>
    </w:p>
    <w:p w14:paraId="5B7050E5">
      <w:pPr>
        <w:rPr>
          <w:rFonts w:ascii="Microsoft Sans Serif" w:hAnsi="Microsoft Sans Serif" w:cs="Microsoft Sans Serif"/>
          <w:i/>
          <w:sz w:val="20"/>
          <w:szCs w:val="20"/>
          <w:u w:val="single"/>
        </w:rPr>
      </w:pPr>
    </w:p>
    <w:p w14:paraId="579DC381">
      <w:pPr>
        <w:rPr>
          <w:rFonts w:ascii="Microsoft Sans Serif" w:hAnsi="Microsoft Sans Serif" w:cs="Microsoft Sans Serif"/>
          <w:i/>
          <w:sz w:val="20"/>
          <w:szCs w:val="20"/>
        </w:rPr>
      </w:pPr>
      <w:r>
        <w:rPr>
          <w:rFonts w:ascii="Microsoft Sans Serif" w:hAnsi="Microsoft Sans Serif" w:cs="Microsoft Sans Serif"/>
          <w:i/>
          <w:sz w:val="20"/>
          <w:szCs w:val="20"/>
        </w:rPr>
        <w:t>Efekti CYP3A4 induktora</w:t>
      </w:r>
    </w:p>
    <w:p w14:paraId="1587DE61">
      <w:pPr>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primjena </w:t>
      </w:r>
      <w:r>
        <w:rPr>
          <w:rFonts w:ascii="Microsoft Sans Serif" w:hAnsi="Microsoft Sans Serif" w:cs="Microsoft Sans Serif"/>
          <w:sz w:val="20"/>
          <w:szCs w:val="20"/>
          <w:lang w:val="mk-MK"/>
        </w:rPr>
        <w:t>pojedinačne</w:t>
      </w:r>
      <w:r>
        <w:rPr>
          <w:rFonts w:ascii="Microsoft Sans Serif" w:hAnsi="Microsoft Sans Serif" w:cs="Microsoft Sans Serif"/>
          <w:sz w:val="20"/>
          <w:szCs w:val="20"/>
        </w:rPr>
        <w:t xml:space="preserve"> doze sunitiniba kod zdravih dobrovolјaca, sa induktorom CYP3A4,</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rifampicinom, dovodi do smanjenja vrijednosti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za kompleks [sunitinib + primarni metabolit] za 23%, dok je PIK</w:t>
      </w:r>
      <w:r>
        <w:rPr>
          <w:rFonts w:ascii="Microsoft Sans Serif" w:hAnsi="Microsoft Sans Serif" w:cs="Microsoft Sans Serif"/>
          <w:sz w:val="20"/>
          <w:szCs w:val="20"/>
          <w:vertAlign w:val="subscript"/>
        </w:rPr>
        <w:t>0-∞</w:t>
      </w:r>
      <w:r>
        <w:rPr>
          <w:rFonts w:ascii="Microsoft Sans Serif" w:hAnsi="Microsoft Sans Serif" w:cs="Microsoft Sans Serif"/>
          <w:sz w:val="20"/>
          <w:szCs w:val="20"/>
        </w:rPr>
        <w:t xml:space="preserve"> vrijednost smanjena za 46%.</w:t>
      </w:r>
    </w:p>
    <w:p w14:paraId="6C1CDC2B">
      <w:pPr>
        <w:rPr>
          <w:rFonts w:ascii="Microsoft Sans Serif" w:hAnsi="Microsoft Sans Serif" w:cs="Microsoft Sans Serif"/>
          <w:sz w:val="20"/>
          <w:szCs w:val="20"/>
        </w:rPr>
      </w:pPr>
    </w:p>
    <w:p w14:paraId="38CD108F">
      <w:pPr>
        <w:rPr>
          <w:rFonts w:ascii="Microsoft Sans Serif" w:hAnsi="Microsoft Sans Serif" w:cs="Microsoft Sans Serif"/>
          <w:sz w:val="20"/>
          <w:szCs w:val="20"/>
        </w:rPr>
      </w:pPr>
      <w:r>
        <w:rPr>
          <w:rFonts w:ascii="Microsoft Sans Serif" w:hAnsi="Microsoft Sans Serif" w:cs="Microsoft Sans Serif"/>
          <w:sz w:val="20"/>
          <w:szCs w:val="20"/>
        </w:rPr>
        <w:t>Primjena sunitiniba sa snažnim induktorima CYP3A4 (npr. deksametazon, fenitoin, karbamazepin, rifampicin, fenobarbiton, ili bilјni preparati koji sadrže kantarion (</w:t>
      </w:r>
      <w:r>
        <w:rPr>
          <w:rFonts w:ascii="Microsoft Sans Serif" w:hAnsi="Microsoft Sans Serif" w:cs="Microsoft Sans Serif"/>
          <w:i/>
          <w:sz w:val="20"/>
          <w:szCs w:val="20"/>
        </w:rPr>
        <w:t>Hypericum perforatum</w:t>
      </w:r>
      <w:r>
        <w:rPr>
          <w:rFonts w:ascii="Microsoft Sans Serif" w:hAnsi="Microsoft Sans Serif" w:cs="Microsoft Sans Serif"/>
          <w:sz w:val="20"/>
          <w:szCs w:val="20"/>
        </w:rPr>
        <w:t>) može dovesti do sniženja koncentracije sunitiniba u plazmi. Stoga, istovremenu primjenu sa CYP3A4 induktorima treba izbjegavati ili treba razmotriti primjenu drugih lijekova bez ili sa minimalnim potencijalom za indukciju CYP3A4.</w:t>
      </w:r>
    </w:p>
    <w:p w14:paraId="3AA9FEFD">
      <w:pPr>
        <w:rPr>
          <w:rFonts w:ascii="Microsoft Sans Serif" w:hAnsi="Microsoft Sans Serif" w:cs="Microsoft Sans Serif"/>
          <w:sz w:val="20"/>
          <w:szCs w:val="20"/>
        </w:rPr>
      </w:pPr>
      <w:r>
        <w:rPr>
          <w:rFonts w:ascii="Microsoft Sans Serif" w:hAnsi="Microsoft Sans Serif" w:cs="Microsoft Sans Serif"/>
          <w:sz w:val="20"/>
          <w:szCs w:val="20"/>
        </w:rPr>
        <w:t>Ako to nije moguće, dozu lijeka Fasindor trebalo bi povećati u dozama od po 12,5 mg (do 87,5 mg dnevno za liječenje GIST i MRCC ili 62,5 mg dnevno za pNET), bazirano na pažlјivom praćenju podnošlјivosti (pogledati dio 4.2.).</w:t>
      </w:r>
    </w:p>
    <w:p w14:paraId="0560DBAE">
      <w:pPr>
        <w:rPr>
          <w:rFonts w:ascii="Microsoft Sans Serif" w:hAnsi="Microsoft Sans Serif" w:cs="Microsoft Sans Serif"/>
          <w:sz w:val="20"/>
          <w:szCs w:val="20"/>
        </w:rPr>
      </w:pPr>
    </w:p>
    <w:p w14:paraId="4BB89F55">
      <w:pPr>
        <w:rPr>
          <w:rFonts w:ascii="Microsoft Sans Serif" w:hAnsi="Microsoft Sans Serif" w:cs="Microsoft Sans Serif"/>
          <w:b/>
          <w:sz w:val="20"/>
          <w:szCs w:val="20"/>
        </w:rPr>
      </w:pPr>
    </w:p>
    <w:p w14:paraId="73C4C04B">
      <w:pPr>
        <w:rPr>
          <w:rFonts w:ascii="Microsoft Sans Serif" w:hAnsi="Microsoft Sans Serif" w:cs="Microsoft Sans Serif"/>
          <w:b/>
          <w:sz w:val="20"/>
          <w:szCs w:val="20"/>
        </w:rPr>
      </w:pPr>
    </w:p>
    <w:p w14:paraId="3D6DBFF5">
      <w:pPr>
        <w:rPr>
          <w:rFonts w:ascii="Microsoft Sans Serif" w:hAnsi="Microsoft Sans Serif" w:cs="Microsoft Sans Serif"/>
          <w:b/>
          <w:sz w:val="20"/>
          <w:szCs w:val="20"/>
        </w:rPr>
      </w:pPr>
    </w:p>
    <w:p w14:paraId="201A0CE6">
      <w:pPr>
        <w:rPr>
          <w:rFonts w:ascii="Microsoft Sans Serif" w:hAnsi="Microsoft Sans Serif" w:cs="Microsoft Sans Serif"/>
          <w:b/>
          <w:sz w:val="20"/>
          <w:szCs w:val="20"/>
        </w:rPr>
      </w:pPr>
      <w:r>
        <w:rPr>
          <w:rFonts w:ascii="Microsoft Sans Serif" w:hAnsi="Microsoft Sans Serif" w:cs="Microsoft Sans Serif"/>
          <w:b/>
          <w:sz w:val="20"/>
          <w:szCs w:val="20"/>
        </w:rPr>
        <w:t>4.6. Plodnost, trudnoća i dojenje</w:t>
      </w:r>
    </w:p>
    <w:p w14:paraId="46310FD2">
      <w:pPr>
        <w:rPr>
          <w:rFonts w:ascii="Microsoft Sans Serif" w:hAnsi="Microsoft Sans Serif" w:cs="Microsoft Sans Serif"/>
          <w:sz w:val="20"/>
          <w:szCs w:val="20"/>
          <w:u w:val="single"/>
        </w:rPr>
      </w:pPr>
    </w:p>
    <w:p w14:paraId="226D9B5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Kontracepcija za muškarce i žene</w:t>
      </w:r>
    </w:p>
    <w:p w14:paraId="5E069286">
      <w:pPr>
        <w:rPr>
          <w:rFonts w:ascii="Microsoft Sans Serif" w:hAnsi="Microsoft Sans Serif" w:cs="Microsoft Sans Serif"/>
          <w:sz w:val="20"/>
          <w:szCs w:val="20"/>
        </w:rPr>
      </w:pPr>
      <w:r>
        <w:rPr>
          <w:rFonts w:ascii="Microsoft Sans Serif" w:hAnsi="Microsoft Sans Serif" w:cs="Microsoft Sans Serif"/>
          <w:sz w:val="20"/>
          <w:szCs w:val="20"/>
        </w:rPr>
        <w:t xml:space="preserve">Reproduktivno sposobne žene treba savjetovati da koriste efektivne mjere kontracepcije i da ne zatrudne tokom </w:t>
      </w:r>
      <w:r>
        <w:rPr>
          <w:rFonts w:ascii="Microsoft Sans Serif" w:hAnsi="Microsoft Sans Serif" w:cs="Microsoft Sans Serif"/>
          <w:sz w:val="20"/>
          <w:szCs w:val="20"/>
          <w:lang w:val="sr-Cyrl-RS"/>
        </w:rPr>
        <w:t>terapije sunitinibom</w:t>
      </w:r>
      <w:r>
        <w:rPr>
          <w:rFonts w:ascii="Microsoft Sans Serif" w:hAnsi="Microsoft Sans Serif" w:cs="Microsoft Sans Serif"/>
          <w:sz w:val="20"/>
          <w:szCs w:val="20"/>
        </w:rPr>
        <w:t>.</w:t>
      </w:r>
    </w:p>
    <w:p w14:paraId="2ADDE14A">
      <w:pPr>
        <w:rPr>
          <w:rFonts w:ascii="Microsoft Sans Serif" w:hAnsi="Microsoft Sans Serif" w:cs="Microsoft Sans Serif"/>
          <w:sz w:val="20"/>
          <w:szCs w:val="20"/>
          <w:u w:val="single"/>
        </w:rPr>
      </w:pPr>
    </w:p>
    <w:p w14:paraId="3D3005B5">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5A17C89F">
      <w:pPr>
        <w:rPr>
          <w:rFonts w:ascii="Microsoft Sans Serif" w:hAnsi="Microsoft Sans Serif" w:cs="Microsoft Sans Serif"/>
          <w:sz w:val="20"/>
          <w:szCs w:val="20"/>
        </w:rPr>
      </w:pPr>
      <w:r>
        <w:rPr>
          <w:rFonts w:ascii="Microsoft Sans Serif" w:hAnsi="Microsoft Sans Serif" w:cs="Microsoft Sans Serif"/>
          <w:sz w:val="20"/>
          <w:szCs w:val="20"/>
        </w:rPr>
        <w:t>Ne postoje studije o primjeni sunitiniba kod trudnica. Studije na životinjama pokazale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reproduktivnu toksičnost, uklјučujući izazivanje fetalnih malformacija (pogledati dio 5.3). Sunitinib ne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primjenjivati tokom trudnoće, kao ni kod žena koje ne koriste odgovarajuće mjere kontracepcije, 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potencijalna korist od primjene lijeka ne prevazilazi potencijalni rizik za fetus. Ako se sunitinib 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 trudnoće ili ako pacijentkinja zatrudni tokom primjene sunitiniba, treba je upozoriti na potencijalni rizik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fetus.</w:t>
      </w:r>
    </w:p>
    <w:p w14:paraId="15377CD3">
      <w:pPr>
        <w:rPr>
          <w:rFonts w:ascii="Microsoft Sans Serif" w:hAnsi="Microsoft Sans Serif" w:cs="Microsoft Sans Serif"/>
          <w:sz w:val="20"/>
          <w:szCs w:val="20"/>
          <w:u w:val="single"/>
        </w:rPr>
      </w:pPr>
    </w:p>
    <w:p w14:paraId="5D785526">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2280FB15">
      <w:pPr>
        <w:rPr>
          <w:rFonts w:ascii="Microsoft Sans Serif" w:hAnsi="Microsoft Sans Serif" w:cs="Microsoft Sans Serif"/>
          <w:sz w:val="20"/>
          <w:szCs w:val="20"/>
        </w:rPr>
      </w:pPr>
      <w:r>
        <w:rPr>
          <w:rFonts w:ascii="Microsoft Sans Serif" w:hAnsi="Microsoft Sans Serif" w:cs="Microsoft Sans Serif"/>
          <w:sz w:val="20"/>
          <w:szCs w:val="20"/>
        </w:rPr>
        <w:t xml:space="preserve">Sunitinib i/ili njegovi metaboliti izlučuju se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mlijeko ženki pacova. Ne zna se da li se sunitinib ili njegov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aktivni metabolit izlučuju u mlijeko dojilјa. Pošto se lijekovi obično izlučuju u mlijeko dojilјa, kao i 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potencijala lijeka da izazove ozbilјna neželјena djelovanja kod odojčadi, žene koje su na terapiji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 da prekinu dojenje.</w:t>
      </w:r>
    </w:p>
    <w:p w14:paraId="492D2507">
      <w:pPr>
        <w:rPr>
          <w:rFonts w:ascii="Microsoft Sans Serif" w:hAnsi="Microsoft Sans Serif" w:cs="Microsoft Sans Serif"/>
          <w:sz w:val="20"/>
          <w:szCs w:val="20"/>
        </w:rPr>
      </w:pPr>
    </w:p>
    <w:p w14:paraId="63F2538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5DB56A65">
      <w:pPr>
        <w:rPr>
          <w:rFonts w:ascii="Microsoft Sans Serif" w:hAnsi="Microsoft Sans Serif" w:cs="Microsoft Sans Serif"/>
          <w:sz w:val="20"/>
          <w:szCs w:val="20"/>
        </w:rPr>
      </w:pPr>
      <w:r>
        <w:rPr>
          <w:rFonts w:ascii="Microsoft Sans Serif" w:hAnsi="Microsoft Sans Serif" w:cs="Microsoft Sans Serif"/>
          <w:sz w:val="20"/>
          <w:szCs w:val="20"/>
        </w:rPr>
        <w:t>Na osnovu podataka iz pretkliničkih ispitivanja, smatra se da primjena sunitiniba može dovesti do oštećenja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plodnosti kod muškaraca i žena (pogledati dio 5.3).</w:t>
      </w:r>
    </w:p>
    <w:p w14:paraId="7032B769">
      <w:pPr>
        <w:rPr>
          <w:rFonts w:ascii="Microsoft Sans Serif" w:hAnsi="Microsoft Sans Serif" w:cs="Microsoft Sans Serif"/>
          <w:sz w:val="20"/>
          <w:szCs w:val="20"/>
        </w:rPr>
      </w:pPr>
    </w:p>
    <w:p w14:paraId="2A1471E8">
      <w:pPr>
        <w:rPr>
          <w:rFonts w:ascii="Microsoft Sans Serif" w:hAnsi="Microsoft Sans Serif" w:cs="Microsoft Sans Serif"/>
          <w:b/>
          <w:lang w:val="sr-Latn-BA"/>
        </w:rPr>
      </w:pPr>
      <w:r>
        <w:rPr>
          <w:rFonts w:ascii="Microsoft Sans Serif" w:hAnsi="Microsoft Sans Serif" w:cs="Microsoft Sans Serif"/>
          <w:b/>
          <w:sz w:val="20"/>
          <w:szCs w:val="20"/>
          <w:lang w:val="sv-SE"/>
        </w:rPr>
        <w:t xml:space="preserve">4.7. </w:t>
      </w:r>
      <w:r>
        <w:rPr>
          <w:rFonts w:ascii="Microsoft Sans Serif" w:hAnsi="Microsoft Sans Serif" w:cs="Microsoft Sans Serif"/>
          <w:b/>
          <w:sz w:val="20"/>
          <w:szCs w:val="20"/>
          <w:lang w:val="sr-Latn-BA"/>
        </w:rPr>
        <w:t>Uticaj na sposobnost upravljanja vozilima i rada na mašinama</w:t>
      </w:r>
      <w:r>
        <w:rPr>
          <w:rFonts w:ascii="Microsoft Sans Serif" w:hAnsi="Microsoft Sans Serif" w:cs="Microsoft Sans Serif"/>
          <w:b/>
          <w:lang w:val="sr-Latn-BA"/>
        </w:rPr>
        <w:t xml:space="preserve"> </w:t>
      </w:r>
    </w:p>
    <w:p w14:paraId="7B013050">
      <w:pPr>
        <w:rPr>
          <w:rFonts w:ascii="Microsoft Sans Serif" w:hAnsi="Microsoft Sans Serif" w:cs="Microsoft Sans Serif"/>
          <w:b/>
          <w:lang w:val="sr-Latn-BA"/>
        </w:rPr>
      </w:pPr>
    </w:p>
    <w:p w14:paraId="508C85CA">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Fasindor ima neznatan uticaj na sposobnost upravl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anja vozilima i rukovanja mašinama. Pacijente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upozoriti da mogu da imaju vrtoglavicu tokom liječenja sunitinibom.</w:t>
      </w:r>
    </w:p>
    <w:p w14:paraId="57325F50">
      <w:pPr>
        <w:rPr>
          <w:rFonts w:ascii="Microsoft Sans Serif" w:hAnsi="Microsoft Sans Serif" w:cs="Microsoft Sans Serif"/>
          <w:sz w:val="20"/>
          <w:szCs w:val="20"/>
          <w:lang w:val="sr-Latn-BA"/>
        </w:rPr>
      </w:pPr>
    </w:p>
    <w:p w14:paraId="34F80FF4">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4.8.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r-Latn-BA"/>
        </w:rPr>
        <w:t>ena djelovanja</w:t>
      </w:r>
    </w:p>
    <w:p w14:paraId="3DD35BC7">
      <w:pPr>
        <w:rPr>
          <w:rFonts w:ascii="Microsoft Sans Serif" w:hAnsi="Microsoft Sans Serif" w:cs="Microsoft Sans Serif"/>
          <w:sz w:val="20"/>
          <w:szCs w:val="20"/>
          <w:lang w:val="sr-Latn-BA"/>
        </w:rPr>
      </w:pPr>
    </w:p>
    <w:p w14:paraId="49C18C0E">
      <w:pPr>
        <w:rPr>
          <w:rFonts w:ascii="Microsoft Sans Serif" w:hAnsi="Microsoft Sans Serif" w:cs="Microsoft Sans Serif"/>
          <w:sz w:val="20"/>
          <w:szCs w:val="20"/>
          <w:u w:val="single"/>
          <w:lang w:val="sr-Latn-BA"/>
        </w:rPr>
      </w:pPr>
      <w:r>
        <w:rPr>
          <w:rFonts w:ascii="Microsoft Sans Serif" w:hAnsi="Microsoft Sans Serif" w:cs="Microsoft Sans Serif"/>
          <w:sz w:val="20"/>
          <w:szCs w:val="20"/>
          <w:u w:val="single"/>
          <w:lang w:val="sr-Latn-BA"/>
        </w:rPr>
        <w:t>Sažetak bezbjednosnog profila</w:t>
      </w:r>
    </w:p>
    <w:p w14:paraId="13A9B794">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Najozbil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nije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ene reakcije povezane sa primjenom sunitiniba, od kojih </w:t>
      </w:r>
      <w:r>
        <w:rPr>
          <w:rFonts w:ascii="Microsoft Sans Serif" w:hAnsi="Microsoft Sans Serif" w:cs="Microsoft Sans Serif"/>
          <w:sz w:val="20"/>
          <w:szCs w:val="20"/>
          <w:lang w:val="sr-Cyrl-RS"/>
        </w:rPr>
        <w:t xml:space="preserve">su </w:t>
      </w:r>
      <w:r>
        <w:rPr>
          <w:rFonts w:ascii="Microsoft Sans Serif" w:hAnsi="Microsoft Sans Serif" w:cs="Microsoft Sans Serif"/>
          <w:sz w:val="20"/>
          <w:szCs w:val="20"/>
          <w:lang w:val="sr-Latn-BA"/>
        </w:rPr>
        <w:t xml:space="preserve">neke fatalne, su bubrežna insuficijencija, srčana insuficijencija, plućna embolija, </w:t>
      </w:r>
      <w:r>
        <w:rPr>
          <w:rFonts w:ascii="Microsoft Sans Serif" w:hAnsi="Microsoft Sans Serif" w:cs="Microsoft Sans Serif"/>
          <w:sz w:val="20"/>
          <w:szCs w:val="20"/>
          <w:lang w:val="sr-Cyrl-RS"/>
        </w:rPr>
        <w:t xml:space="preserve">gastrointestinalne </w:t>
      </w:r>
      <w:r>
        <w:rPr>
          <w:rFonts w:ascii="Microsoft Sans Serif" w:hAnsi="Microsoft Sans Serif" w:cs="Microsoft Sans Serif"/>
          <w:sz w:val="20"/>
          <w:szCs w:val="20"/>
          <w:lang w:val="sr-Latn-BA"/>
        </w:rPr>
        <w:t xml:space="preserve">perforacije i hemoragije (npr. respiratornog </w:t>
      </w:r>
      <w:r>
        <w:rPr>
          <w:rFonts w:ascii="Microsoft Sans Serif" w:hAnsi="Microsoft Sans Serif" w:cs="Microsoft Sans Serif"/>
          <w:sz w:val="20"/>
          <w:szCs w:val="20"/>
          <w:lang w:val="mk-MK"/>
        </w:rPr>
        <w:t>trakta</w:t>
      </w:r>
      <w:r>
        <w:rPr>
          <w:rFonts w:ascii="Microsoft Sans Serif" w:hAnsi="Microsoft Sans Serif" w:cs="Microsoft Sans Serif"/>
          <w:sz w:val="20"/>
          <w:szCs w:val="20"/>
          <w:lang w:val="sr-Latn-BA"/>
        </w:rPr>
        <w:t xml:space="preserve">, gastrointestinalne </w:t>
      </w:r>
      <w:r>
        <w:rPr>
          <w:rFonts w:ascii="Microsoft Sans Serif" w:hAnsi="Microsoft Sans Serif" w:cs="Microsoft Sans Serif"/>
          <w:sz w:val="20"/>
          <w:szCs w:val="20"/>
          <w:lang w:val="mk-MK"/>
        </w:rPr>
        <w:t>hemoragije</w:t>
      </w:r>
      <w:r>
        <w:rPr>
          <w:rFonts w:ascii="Microsoft Sans Serif" w:hAnsi="Microsoft Sans Serif" w:cs="Microsoft Sans Serif"/>
          <w:sz w:val="20"/>
          <w:szCs w:val="20"/>
          <w:lang w:val="sr-Latn-BA"/>
        </w:rPr>
        <w:t>, hemoragija tumora, urinarnog trakta i mozga). Najčešće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ene reakcije bilo kog </w:t>
      </w:r>
      <w:r>
        <w:rPr>
          <w:rFonts w:ascii="Microsoft Sans Serif" w:hAnsi="Microsoft Sans Serif" w:cs="Microsoft Sans Serif"/>
          <w:sz w:val="20"/>
          <w:szCs w:val="20"/>
          <w:lang w:val="mk-MK"/>
        </w:rPr>
        <w:t>stepena</w:t>
      </w:r>
      <w:r>
        <w:rPr>
          <w:rFonts w:ascii="Microsoft Sans Serif" w:hAnsi="Microsoft Sans Serif" w:cs="Microsoft Sans Serif"/>
          <w:sz w:val="20"/>
          <w:szCs w:val="20"/>
          <w:lang w:val="sr-Latn-BA"/>
        </w:rPr>
        <w:t xml:space="preserve"> (javile su se kod pacijenata u RCC, GIST i pNET registracionim ispitivanjima) ukl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učuju smanjen apetit, poremećaj čula ukusa, hipertenziju, zamor, gastrointestinalne tegobe (npr. proliv, mučnina, stomatitis, dispepsija i povraćanje), promjenu boje kože i sindrom palmarno-plantarne eritrodizestezije. Ovi simptomi se mogu smanjiti sa nastavkom terapije. </w:t>
      </w:r>
    </w:p>
    <w:p w14:paraId="10566CEE">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Tokom liječenja se može razviti hipotireoidizam. Hematološki poremećaji (npr. neutropenija, trombocitopenija i anemija) se ubrajaju među najčešće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ene reakcije.</w:t>
      </w:r>
    </w:p>
    <w:p w14:paraId="0269AA81">
      <w:pPr>
        <w:rPr>
          <w:rFonts w:ascii="Microsoft Sans Serif" w:hAnsi="Microsoft Sans Serif" w:cs="Microsoft Sans Serif"/>
          <w:sz w:val="20"/>
          <w:szCs w:val="20"/>
          <w:lang w:val="sr-Latn-BA"/>
        </w:rPr>
      </w:pPr>
    </w:p>
    <w:p w14:paraId="2B872847">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U  događaje</w:t>
      </w:r>
      <w:r>
        <w:rPr>
          <w:rFonts w:ascii="Microsoft Sans Serif" w:hAnsi="Microsoft Sans Serif" w:cs="Microsoft Sans Serif"/>
          <w:sz w:val="20"/>
          <w:szCs w:val="20"/>
          <w:lang w:val="sr-Cyrl-RS"/>
        </w:rPr>
        <w:t xml:space="preserve"> sa smrtnim ishodom</w:t>
      </w:r>
      <w:r>
        <w:rPr>
          <w:rFonts w:ascii="Microsoft Sans Serif" w:hAnsi="Microsoft Sans Serif" w:cs="Microsoft Sans Serif"/>
          <w:sz w:val="20"/>
          <w:szCs w:val="20"/>
          <w:lang w:val="sr-Latn-BA"/>
        </w:rPr>
        <w:t>, uz one koji su navedeni prethodno u odel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ku 4.4 ili dal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 u odel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ku 4.8, za koje se smatra da mogu biti povezani sa sunitinibom spadaju: multisistemsko otkazivanje organa, diseminovana intravaskularna koagulacija, peritonealna hemoragija, insuficijencija nadbubrega, pneumotoraks, šok i iznenadna smrt.</w:t>
      </w:r>
    </w:p>
    <w:p w14:paraId="2F4A4F36">
      <w:pPr>
        <w:rPr>
          <w:rFonts w:ascii="Microsoft Sans Serif" w:hAnsi="Microsoft Sans Serif" w:cs="Microsoft Sans Serif"/>
          <w:sz w:val="20"/>
          <w:szCs w:val="20"/>
          <w:lang w:val="sr-Latn-BA"/>
        </w:rPr>
      </w:pPr>
    </w:p>
    <w:p w14:paraId="7B20E5DC">
      <w:pPr>
        <w:rPr>
          <w:rFonts w:ascii="Microsoft Sans Serif" w:hAnsi="Microsoft Sans Serif" w:cs="Microsoft Sans Serif"/>
          <w:sz w:val="20"/>
          <w:szCs w:val="20"/>
          <w:u w:val="single"/>
          <w:lang w:val="sr-Latn-BA"/>
        </w:rPr>
      </w:pPr>
      <w:r>
        <w:rPr>
          <w:rFonts w:ascii="Microsoft Sans Serif" w:hAnsi="Microsoft Sans Serif" w:cs="Microsoft Sans Serif"/>
          <w:sz w:val="20"/>
          <w:szCs w:val="20"/>
          <w:u w:val="single"/>
          <w:lang w:val="sr-Latn-BA"/>
        </w:rPr>
        <w:t>Tabelarni prikaz nežel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r-Latn-BA"/>
        </w:rPr>
        <w:t>enih reakcija</w:t>
      </w:r>
    </w:p>
    <w:p w14:paraId="06F6354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ena djelovanja koja su zabilježene u skupnim podacima od 7115 pacijenata sa GIST, MRCC i pNET, navedene su u </w:t>
      </w:r>
      <w:r>
        <w:rPr>
          <w:rFonts w:ascii="Microsoft Sans Serif" w:hAnsi="Microsoft Sans Serif" w:cs="Microsoft Sans Serif"/>
          <w:sz w:val="20"/>
          <w:szCs w:val="20"/>
          <w:lang w:val="mk-MK"/>
        </w:rPr>
        <w:t xml:space="preserve">nastavku </w:t>
      </w:r>
      <w:r>
        <w:rPr>
          <w:rFonts w:ascii="Microsoft Sans Serif" w:hAnsi="Microsoft Sans Serif" w:cs="Microsoft Sans Serif"/>
          <w:sz w:val="20"/>
          <w:szCs w:val="20"/>
          <w:lang w:val="sr-Latn-BA"/>
        </w:rPr>
        <w:t>tekst</w:t>
      </w: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BA"/>
        </w:rPr>
        <w:t xml:space="preserve">, prema klasi organskih sistema, učestalosti i </w:t>
      </w:r>
      <w:r>
        <w:rPr>
          <w:rFonts w:ascii="Microsoft Sans Serif" w:hAnsi="Microsoft Sans Serif" w:cs="Microsoft Sans Serif"/>
          <w:sz w:val="20"/>
          <w:szCs w:val="20"/>
          <w:lang w:val="mk-MK"/>
        </w:rPr>
        <w:t>stepenu ozbilјnosti</w:t>
      </w:r>
      <w:r>
        <w:rPr>
          <w:rFonts w:ascii="Microsoft Sans Serif" w:hAnsi="Microsoft Sans Serif" w:cs="Microsoft Sans Serif"/>
          <w:sz w:val="20"/>
          <w:szCs w:val="20"/>
          <w:lang w:val="sr-Latn-BA"/>
        </w:rPr>
        <w:t xml:space="preserve"> (NCI-CTCAE). Takođe su obuhvaćene i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ena djelovanja koje su zapažene u kliničkim studijama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anja lijeka u promet. U svakoj grupi učestalosti,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ena djelovanja naveden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BA"/>
        </w:rPr>
        <w:t xml:space="preserve"> su prema opadajućoj ozbil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nosti.</w:t>
      </w:r>
    </w:p>
    <w:p w14:paraId="492FB61B">
      <w:pPr>
        <w:rPr>
          <w:rFonts w:ascii="Microsoft Sans Serif" w:hAnsi="Microsoft Sans Serif" w:cs="Microsoft Sans Serif"/>
          <w:sz w:val="20"/>
          <w:szCs w:val="20"/>
          <w:lang w:val="sr-Latn-BA"/>
        </w:rPr>
      </w:pPr>
    </w:p>
    <w:p w14:paraId="2638C01D">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Učestalost ispol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avanja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enih djelovanja definisana je na sljedeći način: veoma često (≥1/10), često (≥1/100 do &lt;1/10), povremeno (≥1/1000 do &lt;1/100), rijetko (≥1/10000 do &lt;1/1000), veoma rijetko (&lt; 1/10000), nepoznato (ne može se procjeniti na osnovu dostupnih podataka).</w:t>
      </w:r>
    </w:p>
    <w:p w14:paraId="3CCB2F4C">
      <w:pPr>
        <w:rPr>
          <w:rFonts w:ascii="Microsoft Sans Serif" w:hAnsi="Microsoft Sans Serif" w:cs="Microsoft Sans Serif"/>
          <w:sz w:val="20"/>
          <w:szCs w:val="20"/>
          <w:lang w:val="sr-Latn-BA"/>
        </w:rPr>
      </w:pPr>
    </w:p>
    <w:p w14:paraId="478F8C4B">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Tabela 1 -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r-Latn-BA"/>
        </w:rPr>
        <w:t>ena djelovanja zabilježene u kliničkim ispitivanjima</w:t>
      </w:r>
    </w:p>
    <w:tbl>
      <w:tblPr>
        <w:tblStyle w:val="7"/>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552"/>
        <w:gridCol w:w="1708"/>
        <w:gridCol w:w="1487"/>
        <w:gridCol w:w="1558"/>
        <w:gridCol w:w="1198"/>
      </w:tblGrid>
      <w:tr w14:paraId="123F8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blHeader/>
        </w:trPr>
        <w:tc>
          <w:tcPr>
            <w:tcW w:w="1995" w:type="dxa"/>
          </w:tcPr>
          <w:p w14:paraId="03FDF860">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Klasa sistema organa</w:t>
            </w:r>
          </w:p>
        </w:tc>
        <w:tc>
          <w:tcPr>
            <w:tcW w:w="1552" w:type="dxa"/>
          </w:tcPr>
          <w:p w14:paraId="412E38D7">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često</w:t>
            </w:r>
          </w:p>
        </w:tc>
        <w:tc>
          <w:tcPr>
            <w:tcW w:w="1708" w:type="dxa"/>
          </w:tcPr>
          <w:p w14:paraId="25477243">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Često</w:t>
            </w:r>
          </w:p>
        </w:tc>
        <w:tc>
          <w:tcPr>
            <w:tcW w:w="1487" w:type="dxa"/>
          </w:tcPr>
          <w:p w14:paraId="40F74C3B">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Povremeno</w:t>
            </w:r>
          </w:p>
        </w:tc>
        <w:tc>
          <w:tcPr>
            <w:tcW w:w="1558" w:type="dxa"/>
          </w:tcPr>
          <w:p w14:paraId="6A344FBE">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Rijetko</w:t>
            </w:r>
          </w:p>
        </w:tc>
        <w:tc>
          <w:tcPr>
            <w:tcW w:w="1198" w:type="dxa"/>
          </w:tcPr>
          <w:p w14:paraId="73E423D5">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Nepoznato</w:t>
            </w:r>
          </w:p>
        </w:tc>
      </w:tr>
      <w:tr w14:paraId="6F15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1" w:hRule="atLeast"/>
        </w:trPr>
        <w:tc>
          <w:tcPr>
            <w:tcW w:w="1995" w:type="dxa"/>
          </w:tcPr>
          <w:p w14:paraId="2B19C4CF">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Infekcije i infestacije</w:t>
            </w:r>
          </w:p>
        </w:tc>
        <w:tc>
          <w:tcPr>
            <w:tcW w:w="1552" w:type="dxa"/>
          </w:tcPr>
          <w:p w14:paraId="16A011C4">
            <w:pPr>
              <w:pStyle w:val="30"/>
              <w:jc w:val="both"/>
              <w:rPr>
                <w:rFonts w:ascii="Microsoft Sans Serif" w:hAnsi="Microsoft Sans Serif" w:cs="Microsoft Sans Serif"/>
                <w:sz w:val="20"/>
                <w:szCs w:val="20"/>
              </w:rPr>
            </w:pPr>
          </w:p>
        </w:tc>
        <w:tc>
          <w:tcPr>
            <w:tcW w:w="1708" w:type="dxa"/>
          </w:tcPr>
          <w:p w14:paraId="00071B54">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Virusne infekcije</w:t>
            </w:r>
            <w:r>
              <w:rPr>
                <w:rFonts w:ascii="Microsoft Sans Serif" w:hAnsi="Microsoft Sans Serif" w:cs="Microsoft Sans Serif"/>
                <w:sz w:val="20"/>
                <w:szCs w:val="20"/>
                <w:vertAlign w:val="superscript"/>
              </w:rPr>
              <w:t>a</w:t>
            </w:r>
          </w:p>
          <w:p w14:paraId="2BB011C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Respiratorne infekcije</w:t>
            </w:r>
            <w:r>
              <w:rPr>
                <w:rFonts w:ascii="Microsoft Sans Serif" w:hAnsi="Microsoft Sans Serif" w:cs="Microsoft Sans Serif"/>
                <w:sz w:val="20"/>
                <w:szCs w:val="20"/>
                <w:vertAlign w:val="superscript"/>
                <w:lang w:val="sr-Latn-RS"/>
              </w:rPr>
              <w:t>b</w:t>
            </w:r>
            <w:r>
              <w:rPr>
                <w:rFonts w:ascii="Microsoft Sans Serif" w:hAnsi="Microsoft Sans Serif" w:cs="Microsoft Sans Serif"/>
                <w:sz w:val="20"/>
                <w:szCs w:val="20"/>
                <w:vertAlign w:val="superscript"/>
              </w:rPr>
              <w:t>*</w:t>
            </w:r>
          </w:p>
          <w:p w14:paraId="1CA7A65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Apsces</w:t>
            </w:r>
            <w:r>
              <w:rPr>
                <w:rFonts w:ascii="Microsoft Sans Serif" w:hAnsi="Microsoft Sans Serif" w:cs="Microsoft Sans Serif"/>
                <w:sz w:val="20"/>
                <w:szCs w:val="20"/>
                <w:vertAlign w:val="superscript"/>
              </w:rPr>
              <w:t>c*</w:t>
            </w:r>
          </w:p>
          <w:p w14:paraId="66A60A6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Glјivične infekcije</w:t>
            </w:r>
            <w:r>
              <w:rPr>
                <w:rFonts w:ascii="Microsoft Sans Serif" w:hAnsi="Microsoft Sans Serif" w:cs="Microsoft Sans Serif"/>
                <w:sz w:val="20"/>
                <w:szCs w:val="20"/>
                <w:vertAlign w:val="superscript"/>
              </w:rPr>
              <w:t>d</w:t>
            </w:r>
          </w:p>
          <w:p w14:paraId="0AEB3D9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Infekcije urinarnog trakta</w:t>
            </w:r>
          </w:p>
          <w:p w14:paraId="7DA56CBD">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Infekcije kože</w:t>
            </w:r>
            <w:r>
              <w:rPr>
                <w:rFonts w:ascii="Microsoft Sans Serif" w:hAnsi="Microsoft Sans Serif" w:cs="Microsoft Sans Serif"/>
                <w:sz w:val="20"/>
                <w:szCs w:val="20"/>
                <w:vertAlign w:val="superscript"/>
                <w:lang w:val="sv-SE"/>
              </w:rPr>
              <w:t>e</w:t>
            </w:r>
          </w:p>
          <w:p w14:paraId="1AF738F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Sepsa</w:t>
            </w:r>
            <w:r>
              <w:rPr>
                <w:rFonts w:ascii="Microsoft Sans Serif" w:hAnsi="Microsoft Sans Serif" w:cs="Microsoft Sans Serif"/>
                <w:sz w:val="20"/>
                <w:szCs w:val="20"/>
                <w:vertAlign w:val="superscript"/>
                <w:lang w:val="sv-SE"/>
              </w:rPr>
              <w:t>f,*</w:t>
            </w:r>
          </w:p>
          <w:p w14:paraId="475A1759">
            <w:pPr>
              <w:pStyle w:val="30"/>
              <w:jc w:val="both"/>
              <w:rPr>
                <w:rFonts w:ascii="Microsoft Sans Serif" w:hAnsi="Microsoft Sans Serif" w:cs="Microsoft Sans Serif"/>
                <w:sz w:val="20"/>
                <w:szCs w:val="20"/>
                <w:lang w:val="sv-SE"/>
              </w:rPr>
            </w:pPr>
          </w:p>
        </w:tc>
        <w:tc>
          <w:tcPr>
            <w:tcW w:w="1487" w:type="dxa"/>
          </w:tcPr>
          <w:p w14:paraId="663E9296">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Nekrotizirajući fasciitis</w:t>
            </w:r>
            <w:r>
              <w:rPr>
                <w:rFonts w:ascii="Microsoft Sans Serif" w:hAnsi="Microsoft Sans Serif" w:cs="Microsoft Sans Serif"/>
                <w:sz w:val="20"/>
                <w:szCs w:val="20"/>
              </w:rPr>
              <w:t>*</w:t>
            </w:r>
          </w:p>
          <w:p w14:paraId="098A7BDB">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Bakterijske infekcije</w:t>
            </w:r>
            <w:r>
              <w:rPr>
                <w:rFonts w:ascii="Microsoft Sans Serif" w:hAnsi="Microsoft Sans Serif" w:cs="Microsoft Sans Serif"/>
                <w:sz w:val="20"/>
                <w:szCs w:val="20"/>
                <w:vertAlign w:val="superscript"/>
              </w:rPr>
              <w:t>g</w:t>
            </w:r>
          </w:p>
        </w:tc>
        <w:tc>
          <w:tcPr>
            <w:tcW w:w="1558" w:type="dxa"/>
          </w:tcPr>
          <w:p w14:paraId="20BE4199">
            <w:pPr>
              <w:pStyle w:val="30"/>
              <w:jc w:val="both"/>
              <w:rPr>
                <w:rFonts w:ascii="Microsoft Sans Serif" w:hAnsi="Microsoft Sans Serif" w:cs="Microsoft Sans Serif"/>
                <w:sz w:val="20"/>
                <w:szCs w:val="20"/>
              </w:rPr>
            </w:pPr>
          </w:p>
        </w:tc>
        <w:tc>
          <w:tcPr>
            <w:tcW w:w="1198" w:type="dxa"/>
          </w:tcPr>
          <w:p w14:paraId="3DE75789">
            <w:pPr>
              <w:pStyle w:val="30"/>
              <w:jc w:val="both"/>
              <w:rPr>
                <w:rFonts w:ascii="Microsoft Sans Serif" w:hAnsi="Microsoft Sans Serif" w:cs="Microsoft Sans Serif"/>
                <w:sz w:val="20"/>
                <w:szCs w:val="20"/>
              </w:rPr>
            </w:pPr>
          </w:p>
        </w:tc>
      </w:tr>
      <w:tr w14:paraId="5CC5D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995" w:type="dxa"/>
          </w:tcPr>
          <w:p w14:paraId="36EAFC7A">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krvi i limfnog sistema</w:t>
            </w:r>
          </w:p>
        </w:tc>
        <w:tc>
          <w:tcPr>
            <w:tcW w:w="1552" w:type="dxa"/>
          </w:tcPr>
          <w:p w14:paraId="6FE4AEE8">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Trombocitopenija</w:t>
            </w:r>
            <w:r>
              <w:rPr>
                <w:rFonts w:ascii="Microsoft Sans Serif" w:hAnsi="Microsoft Sans Serif" w:cs="Microsoft Sans Serif"/>
                <w:sz w:val="20"/>
                <w:szCs w:val="20"/>
              </w:rPr>
              <w:t xml:space="preserve"> Anemija</w:t>
            </w:r>
          </w:p>
          <w:p w14:paraId="3316EB4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Leukopenija</w:t>
            </w:r>
          </w:p>
        </w:tc>
        <w:tc>
          <w:tcPr>
            <w:tcW w:w="1708" w:type="dxa"/>
          </w:tcPr>
          <w:p w14:paraId="114CB2F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Limfopenija</w:t>
            </w:r>
          </w:p>
        </w:tc>
        <w:tc>
          <w:tcPr>
            <w:tcW w:w="1487" w:type="dxa"/>
          </w:tcPr>
          <w:p w14:paraId="467ACC6E">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Pancitopenija</w:t>
            </w:r>
          </w:p>
        </w:tc>
        <w:tc>
          <w:tcPr>
            <w:tcW w:w="1558" w:type="dxa"/>
          </w:tcPr>
          <w:p w14:paraId="700166DC">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Trombotička mikroangiopatija</w:t>
            </w:r>
            <w:r>
              <w:rPr>
                <w:rFonts w:ascii="Microsoft Sans Serif" w:hAnsi="Microsoft Sans Serif" w:cs="Microsoft Sans Serif"/>
                <w:sz w:val="20"/>
                <w:szCs w:val="20"/>
                <w:vertAlign w:val="superscript"/>
              </w:rPr>
              <w:t>h,*</w:t>
            </w:r>
          </w:p>
        </w:tc>
        <w:tc>
          <w:tcPr>
            <w:tcW w:w="1198" w:type="dxa"/>
          </w:tcPr>
          <w:p w14:paraId="00D3EA08">
            <w:pPr>
              <w:pStyle w:val="30"/>
              <w:jc w:val="both"/>
              <w:rPr>
                <w:rFonts w:ascii="Microsoft Sans Serif" w:hAnsi="Microsoft Sans Serif" w:cs="Microsoft Sans Serif"/>
                <w:sz w:val="20"/>
                <w:szCs w:val="20"/>
              </w:rPr>
            </w:pPr>
          </w:p>
        </w:tc>
      </w:tr>
      <w:tr w14:paraId="6EB9D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95" w:type="dxa"/>
          </w:tcPr>
          <w:p w14:paraId="2D8DDF01">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imunog sistema</w:t>
            </w:r>
          </w:p>
        </w:tc>
        <w:tc>
          <w:tcPr>
            <w:tcW w:w="1552" w:type="dxa"/>
          </w:tcPr>
          <w:p w14:paraId="36B0E9A7">
            <w:pPr>
              <w:pStyle w:val="30"/>
              <w:jc w:val="both"/>
              <w:rPr>
                <w:rFonts w:ascii="Microsoft Sans Serif" w:hAnsi="Microsoft Sans Serif" w:cs="Microsoft Sans Serif"/>
                <w:sz w:val="20"/>
                <w:szCs w:val="20"/>
              </w:rPr>
            </w:pPr>
          </w:p>
        </w:tc>
        <w:tc>
          <w:tcPr>
            <w:tcW w:w="1708" w:type="dxa"/>
          </w:tcPr>
          <w:p w14:paraId="3C007FAA">
            <w:pPr>
              <w:pStyle w:val="30"/>
              <w:jc w:val="both"/>
              <w:rPr>
                <w:rFonts w:ascii="Microsoft Sans Serif" w:hAnsi="Microsoft Sans Serif" w:cs="Microsoft Sans Serif"/>
                <w:sz w:val="20"/>
                <w:szCs w:val="20"/>
              </w:rPr>
            </w:pPr>
          </w:p>
        </w:tc>
        <w:tc>
          <w:tcPr>
            <w:tcW w:w="1487" w:type="dxa"/>
          </w:tcPr>
          <w:p w14:paraId="7A2E67F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Preosjetljivost</w:t>
            </w:r>
          </w:p>
        </w:tc>
        <w:tc>
          <w:tcPr>
            <w:tcW w:w="1558" w:type="dxa"/>
          </w:tcPr>
          <w:p w14:paraId="6158167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Angioedem</w:t>
            </w:r>
          </w:p>
        </w:tc>
        <w:tc>
          <w:tcPr>
            <w:tcW w:w="1198" w:type="dxa"/>
          </w:tcPr>
          <w:p w14:paraId="0B62F767">
            <w:pPr>
              <w:pStyle w:val="30"/>
              <w:jc w:val="both"/>
              <w:rPr>
                <w:rFonts w:ascii="Microsoft Sans Serif" w:hAnsi="Microsoft Sans Serif" w:cs="Microsoft Sans Serif"/>
                <w:sz w:val="20"/>
                <w:szCs w:val="20"/>
              </w:rPr>
            </w:pPr>
          </w:p>
        </w:tc>
      </w:tr>
      <w:tr w14:paraId="5129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95" w:type="dxa"/>
          </w:tcPr>
          <w:p w14:paraId="6BDD762B">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Endokrini poremećaji</w:t>
            </w:r>
          </w:p>
        </w:tc>
        <w:tc>
          <w:tcPr>
            <w:tcW w:w="1552" w:type="dxa"/>
          </w:tcPr>
          <w:p w14:paraId="2A0B4662">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Hipotireoidizam</w:t>
            </w:r>
          </w:p>
        </w:tc>
        <w:tc>
          <w:tcPr>
            <w:tcW w:w="1708" w:type="dxa"/>
          </w:tcPr>
          <w:p w14:paraId="0D97F3B3">
            <w:pPr>
              <w:pStyle w:val="30"/>
              <w:jc w:val="both"/>
              <w:rPr>
                <w:rFonts w:ascii="Microsoft Sans Serif" w:hAnsi="Microsoft Sans Serif" w:cs="Microsoft Sans Serif"/>
                <w:sz w:val="20"/>
                <w:szCs w:val="20"/>
              </w:rPr>
            </w:pPr>
          </w:p>
        </w:tc>
        <w:tc>
          <w:tcPr>
            <w:tcW w:w="1487" w:type="dxa"/>
          </w:tcPr>
          <w:p w14:paraId="196CC23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Hipertireoidizam</w:t>
            </w:r>
          </w:p>
        </w:tc>
        <w:tc>
          <w:tcPr>
            <w:tcW w:w="1558" w:type="dxa"/>
          </w:tcPr>
          <w:p w14:paraId="7C62930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Tireo</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ditis</w:t>
            </w:r>
          </w:p>
        </w:tc>
        <w:tc>
          <w:tcPr>
            <w:tcW w:w="1198" w:type="dxa"/>
          </w:tcPr>
          <w:p w14:paraId="6CB0AEAB">
            <w:pPr>
              <w:pStyle w:val="30"/>
              <w:jc w:val="both"/>
              <w:rPr>
                <w:rFonts w:ascii="Microsoft Sans Serif" w:hAnsi="Microsoft Sans Serif" w:cs="Microsoft Sans Serif"/>
                <w:sz w:val="20"/>
                <w:szCs w:val="20"/>
              </w:rPr>
            </w:pPr>
          </w:p>
        </w:tc>
      </w:tr>
      <w:tr w14:paraId="3ED7A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995" w:type="dxa"/>
          </w:tcPr>
          <w:p w14:paraId="489DB31D">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metabolizma i ishrane</w:t>
            </w:r>
          </w:p>
        </w:tc>
        <w:tc>
          <w:tcPr>
            <w:tcW w:w="1552" w:type="dxa"/>
          </w:tcPr>
          <w:p w14:paraId="64ED2E35">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Smanjen apetit</w:t>
            </w:r>
            <w:r>
              <w:rPr>
                <w:rFonts w:ascii="Microsoft Sans Serif" w:hAnsi="Microsoft Sans Serif" w:cs="Microsoft Sans Serif"/>
                <w:sz w:val="20"/>
                <w:szCs w:val="20"/>
                <w:vertAlign w:val="superscript"/>
              </w:rPr>
              <w:t>i</w:t>
            </w:r>
          </w:p>
        </w:tc>
        <w:tc>
          <w:tcPr>
            <w:tcW w:w="1708" w:type="dxa"/>
          </w:tcPr>
          <w:p w14:paraId="1B04692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Dehidratacija</w:t>
            </w:r>
          </w:p>
          <w:p w14:paraId="7A129CD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Hipoglikemija</w:t>
            </w:r>
          </w:p>
        </w:tc>
        <w:tc>
          <w:tcPr>
            <w:tcW w:w="1487" w:type="dxa"/>
          </w:tcPr>
          <w:p w14:paraId="3716D78A">
            <w:pPr>
              <w:pStyle w:val="30"/>
              <w:jc w:val="both"/>
              <w:rPr>
                <w:rFonts w:ascii="Microsoft Sans Serif" w:hAnsi="Microsoft Sans Serif" w:cs="Microsoft Sans Serif"/>
                <w:sz w:val="20"/>
                <w:szCs w:val="20"/>
              </w:rPr>
            </w:pPr>
          </w:p>
        </w:tc>
        <w:tc>
          <w:tcPr>
            <w:tcW w:w="1558" w:type="dxa"/>
          </w:tcPr>
          <w:p w14:paraId="0257AC44">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Sindrom lize tumora</w:t>
            </w:r>
            <w:r>
              <w:rPr>
                <w:rFonts w:ascii="Microsoft Sans Serif" w:hAnsi="Microsoft Sans Serif" w:cs="Microsoft Sans Serif"/>
                <w:sz w:val="20"/>
                <w:szCs w:val="20"/>
              </w:rPr>
              <w:t>*</w:t>
            </w:r>
          </w:p>
        </w:tc>
        <w:tc>
          <w:tcPr>
            <w:tcW w:w="1198" w:type="dxa"/>
          </w:tcPr>
          <w:p w14:paraId="78786C17">
            <w:pPr>
              <w:pStyle w:val="30"/>
              <w:jc w:val="both"/>
              <w:rPr>
                <w:rFonts w:ascii="Microsoft Sans Serif" w:hAnsi="Microsoft Sans Serif" w:cs="Microsoft Sans Serif"/>
                <w:sz w:val="20"/>
                <w:szCs w:val="20"/>
              </w:rPr>
            </w:pPr>
          </w:p>
        </w:tc>
      </w:tr>
      <w:tr w14:paraId="0DBA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95" w:type="dxa"/>
          </w:tcPr>
          <w:p w14:paraId="7167E29B">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Psihijatrijski poremećaji</w:t>
            </w:r>
          </w:p>
        </w:tc>
        <w:tc>
          <w:tcPr>
            <w:tcW w:w="1552" w:type="dxa"/>
          </w:tcPr>
          <w:p w14:paraId="396D550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Nesanica</w:t>
            </w:r>
          </w:p>
        </w:tc>
        <w:tc>
          <w:tcPr>
            <w:tcW w:w="1708" w:type="dxa"/>
          </w:tcPr>
          <w:p w14:paraId="32641682">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1487" w:type="dxa"/>
          </w:tcPr>
          <w:p w14:paraId="44C043B5">
            <w:pPr>
              <w:pStyle w:val="30"/>
              <w:jc w:val="both"/>
              <w:rPr>
                <w:rFonts w:ascii="Microsoft Sans Serif" w:hAnsi="Microsoft Sans Serif" w:cs="Microsoft Sans Serif"/>
                <w:sz w:val="20"/>
                <w:szCs w:val="20"/>
              </w:rPr>
            </w:pPr>
          </w:p>
        </w:tc>
        <w:tc>
          <w:tcPr>
            <w:tcW w:w="1558" w:type="dxa"/>
          </w:tcPr>
          <w:p w14:paraId="1EF23F5D">
            <w:pPr>
              <w:pStyle w:val="30"/>
              <w:jc w:val="both"/>
              <w:rPr>
                <w:rFonts w:ascii="Microsoft Sans Serif" w:hAnsi="Microsoft Sans Serif" w:cs="Microsoft Sans Serif"/>
                <w:sz w:val="20"/>
                <w:szCs w:val="20"/>
              </w:rPr>
            </w:pPr>
          </w:p>
        </w:tc>
        <w:tc>
          <w:tcPr>
            <w:tcW w:w="1198" w:type="dxa"/>
          </w:tcPr>
          <w:p w14:paraId="4E7586A3">
            <w:pPr>
              <w:pStyle w:val="30"/>
              <w:jc w:val="both"/>
              <w:rPr>
                <w:rFonts w:ascii="Microsoft Sans Serif" w:hAnsi="Microsoft Sans Serif" w:cs="Microsoft Sans Serif"/>
                <w:sz w:val="20"/>
                <w:szCs w:val="20"/>
              </w:rPr>
            </w:pPr>
          </w:p>
        </w:tc>
      </w:tr>
      <w:tr w14:paraId="00AA5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1995" w:type="dxa"/>
          </w:tcPr>
          <w:p w14:paraId="56977FEE">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nervnog sistema</w:t>
            </w:r>
          </w:p>
        </w:tc>
        <w:tc>
          <w:tcPr>
            <w:tcW w:w="1552" w:type="dxa"/>
          </w:tcPr>
          <w:p w14:paraId="0D13C3ED">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Glavobolјa</w:t>
            </w:r>
          </w:p>
          <w:p w14:paraId="4A50153E">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čula ukusa</w:t>
            </w:r>
            <w:r>
              <w:rPr>
                <w:rFonts w:ascii="Microsoft Sans Serif" w:hAnsi="Microsoft Sans Serif" w:cs="Microsoft Sans Serif"/>
                <w:sz w:val="20"/>
                <w:szCs w:val="20"/>
                <w:vertAlign w:val="superscript"/>
              </w:rPr>
              <w:t>j</w:t>
            </w:r>
          </w:p>
        </w:tc>
        <w:tc>
          <w:tcPr>
            <w:tcW w:w="1708" w:type="dxa"/>
          </w:tcPr>
          <w:p w14:paraId="09AB145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Periferna neuropatija</w:t>
            </w:r>
          </w:p>
          <w:p w14:paraId="08BEE7A7">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Parestezija</w:t>
            </w:r>
          </w:p>
          <w:p w14:paraId="7D4BC39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Hipoestezija Hiperestezija</w:t>
            </w:r>
          </w:p>
        </w:tc>
        <w:tc>
          <w:tcPr>
            <w:tcW w:w="1487" w:type="dxa"/>
          </w:tcPr>
          <w:p w14:paraId="5E9A558F">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Cerebralna hemoragija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Cerebrovaskularni događaj</w:t>
            </w:r>
            <w:r>
              <w:rPr>
                <w:rFonts w:ascii="Microsoft Sans Serif" w:hAnsi="Microsoft Sans Serif" w:cs="Microsoft Sans Serif"/>
                <w:sz w:val="20"/>
                <w:szCs w:val="20"/>
                <w:vertAlign w:val="superscript"/>
                <w:lang w:val="sr-Cyrl-RS"/>
              </w:rPr>
              <w:t>*</w:t>
            </w:r>
          </w:p>
          <w:p w14:paraId="61D13EA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Prolazni ishemijski napad</w:t>
            </w:r>
          </w:p>
        </w:tc>
        <w:tc>
          <w:tcPr>
            <w:tcW w:w="1558" w:type="dxa"/>
          </w:tcPr>
          <w:p w14:paraId="335DF94B">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Sindrom reverzibilne posteriorne encefalopatije</w:t>
            </w:r>
            <w:r>
              <w:rPr>
                <w:rFonts w:ascii="Microsoft Sans Serif" w:hAnsi="Microsoft Sans Serif" w:cs="Microsoft Sans Serif"/>
                <w:sz w:val="20"/>
                <w:szCs w:val="20"/>
                <w:vertAlign w:val="superscript"/>
              </w:rPr>
              <w:t>*</w:t>
            </w:r>
          </w:p>
        </w:tc>
        <w:tc>
          <w:tcPr>
            <w:tcW w:w="1198" w:type="dxa"/>
          </w:tcPr>
          <w:p w14:paraId="37317D8D">
            <w:pPr>
              <w:pStyle w:val="30"/>
              <w:jc w:val="both"/>
              <w:rPr>
                <w:rFonts w:ascii="Microsoft Sans Serif" w:hAnsi="Microsoft Sans Serif" w:cs="Microsoft Sans Serif"/>
                <w:sz w:val="20"/>
                <w:szCs w:val="20"/>
              </w:rPr>
            </w:pPr>
          </w:p>
        </w:tc>
      </w:tr>
      <w:tr w14:paraId="1BF43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995" w:type="dxa"/>
          </w:tcPr>
          <w:p w14:paraId="2135895C">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oka</w:t>
            </w:r>
          </w:p>
        </w:tc>
        <w:tc>
          <w:tcPr>
            <w:tcW w:w="1552" w:type="dxa"/>
          </w:tcPr>
          <w:p w14:paraId="1DE360B2">
            <w:pPr>
              <w:pStyle w:val="30"/>
              <w:jc w:val="both"/>
              <w:rPr>
                <w:rFonts w:ascii="Microsoft Sans Serif" w:hAnsi="Microsoft Sans Serif" w:cs="Microsoft Sans Serif"/>
                <w:sz w:val="20"/>
                <w:szCs w:val="20"/>
              </w:rPr>
            </w:pPr>
          </w:p>
        </w:tc>
        <w:tc>
          <w:tcPr>
            <w:tcW w:w="1708" w:type="dxa"/>
          </w:tcPr>
          <w:p w14:paraId="52F4D2A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Periorbitalni edem</w:t>
            </w:r>
          </w:p>
          <w:p w14:paraId="1543261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Edem očnih kapaka</w:t>
            </w:r>
          </w:p>
          <w:p w14:paraId="37015C9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Povećana lakrimacija</w:t>
            </w:r>
          </w:p>
        </w:tc>
        <w:tc>
          <w:tcPr>
            <w:tcW w:w="1487" w:type="dxa"/>
          </w:tcPr>
          <w:p w14:paraId="4A4955AC">
            <w:pPr>
              <w:pStyle w:val="30"/>
              <w:jc w:val="both"/>
              <w:rPr>
                <w:rFonts w:ascii="Microsoft Sans Serif" w:hAnsi="Microsoft Sans Serif" w:cs="Microsoft Sans Serif"/>
                <w:sz w:val="20"/>
                <w:szCs w:val="20"/>
              </w:rPr>
            </w:pPr>
          </w:p>
        </w:tc>
        <w:tc>
          <w:tcPr>
            <w:tcW w:w="1558" w:type="dxa"/>
          </w:tcPr>
          <w:p w14:paraId="7A68769B">
            <w:pPr>
              <w:pStyle w:val="30"/>
              <w:jc w:val="both"/>
              <w:rPr>
                <w:rFonts w:ascii="Microsoft Sans Serif" w:hAnsi="Microsoft Sans Serif" w:cs="Microsoft Sans Serif"/>
                <w:sz w:val="20"/>
                <w:szCs w:val="20"/>
              </w:rPr>
            </w:pPr>
          </w:p>
        </w:tc>
        <w:tc>
          <w:tcPr>
            <w:tcW w:w="1198" w:type="dxa"/>
          </w:tcPr>
          <w:p w14:paraId="149B1152">
            <w:pPr>
              <w:pStyle w:val="30"/>
              <w:jc w:val="both"/>
              <w:rPr>
                <w:rFonts w:ascii="Microsoft Sans Serif" w:hAnsi="Microsoft Sans Serif" w:cs="Microsoft Sans Serif"/>
                <w:sz w:val="20"/>
                <w:szCs w:val="20"/>
              </w:rPr>
            </w:pPr>
          </w:p>
        </w:tc>
      </w:tr>
      <w:tr w14:paraId="4057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1995" w:type="dxa"/>
          </w:tcPr>
          <w:p w14:paraId="030BAD1A">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Kardiološki</w:t>
            </w:r>
            <w:r>
              <w:rPr>
                <w:rFonts w:ascii="Microsoft Sans Serif" w:hAnsi="Microsoft Sans Serif" w:cs="Microsoft Sans Serif"/>
                <w:b/>
                <w:sz w:val="20"/>
                <w:szCs w:val="20"/>
              </w:rPr>
              <w:t xml:space="preserve"> </w:t>
            </w:r>
            <w:r>
              <w:rPr>
                <w:rFonts w:ascii="Microsoft Sans Serif" w:hAnsi="Microsoft Sans Serif" w:cs="Microsoft Sans Serif"/>
                <w:b/>
                <w:sz w:val="20"/>
                <w:szCs w:val="20"/>
                <w:lang w:val="sr-Cyrl-RS"/>
              </w:rPr>
              <w:t>poremećaji</w:t>
            </w:r>
          </w:p>
        </w:tc>
        <w:tc>
          <w:tcPr>
            <w:tcW w:w="1552" w:type="dxa"/>
          </w:tcPr>
          <w:p w14:paraId="71FC6495">
            <w:pPr>
              <w:pStyle w:val="30"/>
              <w:jc w:val="both"/>
              <w:rPr>
                <w:rFonts w:ascii="Microsoft Sans Serif" w:hAnsi="Microsoft Sans Serif" w:cs="Microsoft Sans Serif"/>
                <w:sz w:val="20"/>
                <w:szCs w:val="20"/>
              </w:rPr>
            </w:pPr>
          </w:p>
        </w:tc>
        <w:tc>
          <w:tcPr>
            <w:tcW w:w="1708" w:type="dxa"/>
          </w:tcPr>
          <w:p w14:paraId="7AAB936D">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Ishemija miokarda</w:t>
            </w: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rPr>
              <w:t xml:space="preserve"> </w:t>
            </w:r>
          </w:p>
          <w:p w14:paraId="2343B1B6">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Smanjena ejekciona frakcija</w:t>
            </w:r>
            <w:r>
              <w:rPr>
                <w:rFonts w:ascii="Microsoft Sans Serif" w:hAnsi="Microsoft Sans Serif" w:cs="Microsoft Sans Serif"/>
                <w:sz w:val="20"/>
                <w:szCs w:val="20"/>
                <w:vertAlign w:val="superscript"/>
              </w:rPr>
              <w:t>l</w:t>
            </w:r>
          </w:p>
        </w:tc>
        <w:tc>
          <w:tcPr>
            <w:tcW w:w="1487" w:type="dxa"/>
          </w:tcPr>
          <w:p w14:paraId="7705695B">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Kongestivna srčana insuficijencija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Infarkt miokarda</w:t>
            </w:r>
            <w:r>
              <w:rPr>
                <w:rFonts w:ascii="Microsoft Sans Serif" w:hAnsi="Microsoft Sans Serif" w:cs="Microsoft Sans Serif"/>
                <w:sz w:val="20"/>
                <w:szCs w:val="20"/>
                <w:vertAlign w:val="superscript"/>
              </w:rPr>
              <w:t>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Srčana insuficijencija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Kardiomiopatija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p>
          <w:p w14:paraId="0C0E594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Perikardijalna efuzija</w:t>
            </w:r>
          </w:p>
          <w:p w14:paraId="25A7CAE3">
            <w:pPr>
              <w:pStyle w:val="3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Produženje</w:t>
            </w:r>
            <w:r>
              <w:rPr>
                <w:rFonts w:ascii="Microsoft Sans Serif" w:hAnsi="Microsoft Sans Serif" w:cs="Microsoft Sans Serif"/>
                <w:sz w:val="20"/>
                <w:szCs w:val="20"/>
                <w:lang w:val="sv-SE"/>
              </w:rPr>
              <w:t xml:space="preserve"> QT intervala</w:t>
            </w:r>
            <w:r>
              <w:rPr>
                <w:rFonts w:ascii="Microsoft Sans Serif" w:hAnsi="Microsoft Sans Serif" w:cs="Microsoft Sans Serif"/>
                <w:sz w:val="20"/>
                <w:szCs w:val="20"/>
                <w:lang w:val="sr-Cyrl-RS"/>
              </w:rPr>
              <w:t xml:space="preserve"> na EK</w:t>
            </w:r>
            <w:r>
              <w:rPr>
                <w:rFonts w:ascii="Microsoft Sans Serif" w:hAnsi="Microsoft Sans Serif" w:cs="Microsoft Sans Serif"/>
                <w:sz w:val="20"/>
                <w:szCs w:val="20"/>
                <w:lang w:val="sr-Latn-RS"/>
              </w:rPr>
              <w:t>G</w:t>
            </w:r>
            <w:r>
              <w:rPr>
                <w:rFonts w:ascii="Microsoft Sans Serif" w:hAnsi="Microsoft Sans Serif" w:cs="Microsoft Sans Serif"/>
                <w:sz w:val="20"/>
                <w:szCs w:val="20"/>
                <w:lang w:val="sr-Cyrl-RS"/>
              </w:rPr>
              <w:t>-u</w:t>
            </w:r>
          </w:p>
        </w:tc>
        <w:tc>
          <w:tcPr>
            <w:tcW w:w="1558" w:type="dxa"/>
          </w:tcPr>
          <w:p w14:paraId="311F1FA3">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Insuficijencija lijeve komore</w:t>
            </w:r>
            <w:r>
              <w:rPr>
                <w:rFonts w:ascii="Microsoft Sans Serif" w:hAnsi="Microsoft Sans Serif" w:cs="Microsoft Sans Serif"/>
                <w:sz w:val="20"/>
                <w:szCs w:val="20"/>
                <w:vertAlign w:val="superscript"/>
              </w:rPr>
              <w:t>*</w:t>
            </w:r>
          </w:p>
          <w:p w14:paraId="120D7A66">
            <w:pPr>
              <w:pStyle w:val="30"/>
              <w:jc w:val="both"/>
              <w:rPr>
                <w:rFonts w:ascii="Microsoft Sans Serif" w:hAnsi="Microsoft Sans Serif" w:cs="Microsoft Sans Serif"/>
                <w:i/>
                <w:sz w:val="20"/>
                <w:szCs w:val="20"/>
              </w:rPr>
            </w:pPr>
            <w:r>
              <w:rPr>
                <w:rFonts w:ascii="Microsoft Sans Serif" w:hAnsi="Microsoft Sans Serif" w:cs="Microsoft Sans Serif"/>
                <w:i/>
                <w:sz w:val="20"/>
                <w:szCs w:val="20"/>
              </w:rPr>
              <w:t>Torsade de pointes</w:t>
            </w:r>
          </w:p>
        </w:tc>
        <w:tc>
          <w:tcPr>
            <w:tcW w:w="1198" w:type="dxa"/>
          </w:tcPr>
          <w:p w14:paraId="2A1D47CA">
            <w:pPr>
              <w:pStyle w:val="30"/>
              <w:jc w:val="both"/>
              <w:rPr>
                <w:rFonts w:ascii="Microsoft Sans Serif" w:hAnsi="Microsoft Sans Serif" w:cs="Microsoft Sans Serif"/>
                <w:sz w:val="20"/>
                <w:szCs w:val="20"/>
              </w:rPr>
            </w:pPr>
          </w:p>
        </w:tc>
      </w:tr>
      <w:tr w14:paraId="3B95D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995" w:type="dxa"/>
          </w:tcPr>
          <w:p w14:paraId="04886380">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Vaskularni poremećaji</w:t>
            </w:r>
          </w:p>
        </w:tc>
        <w:tc>
          <w:tcPr>
            <w:tcW w:w="1552" w:type="dxa"/>
          </w:tcPr>
          <w:p w14:paraId="7F5DD20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Hipertenzija</w:t>
            </w:r>
          </w:p>
        </w:tc>
        <w:tc>
          <w:tcPr>
            <w:tcW w:w="1708" w:type="dxa"/>
          </w:tcPr>
          <w:p w14:paraId="707679A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Duboka venska tromboza</w:t>
            </w:r>
          </w:p>
          <w:p w14:paraId="4D4E6C8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Naleti vrućine</w:t>
            </w:r>
          </w:p>
          <w:p w14:paraId="54A6036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Crvenilo</w:t>
            </w:r>
          </w:p>
        </w:tc>
        <w:tc>
          <w:tcPr>
            <w:tcW w:w="1487" w:type="dxa"/>
          </w:tcPr>
          <w:p w14:paraId="7FDD857E">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Hemoragija tumora</w:t>
            </w:r>
            <w:r>
              <w:rPr>
                <w:rFonts w:ascii="Microsoft Sans Serif" w:hAnsi="Microsoft Sans Serif" w:cs="Microsoft Sans Serif"/>
                <w:sz w:val="20"/>
                <w:szCs w:val="20"/>
                <w:vertAlign w:val="superscript"/>
              </w:rPr>
              <w:t>*</w:t>
            </w:r>
          </w:p>
        </w:tc>
        <w:tc>
          <w:tcPr>
            <w:tcW w:w="1558" w:type="dxa"/>
          </w:tcPr>
          <w:p w14:paraId="7057355F">
            <w:pPr>
              <w:pStyle w:val="30"/>
              <w:jc w:val="both"/>
              <w:rPr>
                <w:rFonts w:ascii="Microsoft Sans Serif" w:hAnsi="Microsoft Sans Serif" w:cs="Microsoft Sans Serif"/>
                <w:sz w:val="20"/>
                <w:szCs w:val="20"/>
              </w:rPr>
            </w:pPr>
          </w:p>
        </w:tc>
        <w:tc>
          <w:tcPr>
            <w:tcW w:w="1198" w:type="dxa"/>
          </w:tcPr>
          <w:p w14:paraId="1E44419D">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Aneurizme i disekcije arterije</w:t>
            </w:r>
            <w:r>
              <w:rPr>
                <w:rFonts w:ascii="Microsoft Sans Serif" w:hAnsi="Microsoft Sans Serif" w:cs="Microsoft Sans Serif"/>
                <w:sz w:val="20"/>
                <w:szCs w:val="20"/>
                <w:vertAlign w:val="superscript"/>
              </w:rPr>
              <w:t>*</w:t>
            </w:r>
          </w:p>
        </w:tc>
      </w:tr>
      <w:tr w14:paraId="36436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995" w:type="dxa"/>
          </w:tcPr>
          <w:p w14:paraId="0C9C6DD0">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Respiratorni,</w:t>
            </w:r>
          </w:p>
          <w:p w14:paraId="682D7C28">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torakalni i</w:t>
            </w:r>
          </w:p>
          <w:p w14:paraId="34010231">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medijastinalni</w:t>
            </w:r>
          </w:p>
          <w:p w14:paraId="7EF528B2">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poremećaji</w:t>
            </w:r>
          </w:p>
        </w:tc>
        <w:tc>
          <w:tcPr>
            <w:tcW w:w="1552" w:type="dxa"/>
          </w:tcPr>
          <w:p w14:paraId="00995ED8">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Dispnea</w:t>
            </w:r>
          </w:p>
          <w:p w14:paraId="16D83D1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Epistaksa</w:t>
            </w:r>
          </w:p>
          <w:p w14:paraId="0906331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Kašalј</w:t>
            </w:r>
          </w:p>
          <w:p w14:paraId="1E274308">
            <w:pPr>
              <w:pStyle w:val="30"/>
              <w:jc w:val="both"/>
              <w:rPr>
                <w:rFonts w:ascii="Microsoft Sans Serif" w:hAnsi="Microsoft Sans Serif" w:cs="Microsoft Sans Serif"/>
                <w:sz w:val="20"/>
                <w:szCs w:val="20"/>
              </w:rPr>
            </w:pPr>
          </w:p>
        </w:tc>
        <w:tc>
          <w:tcPr>
            <w:tcW w:w="1708" w:type="dxa"/>
          </w:tcPr>
          <w:p w14:paraId="7BBBE120">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Plućna 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Pleuralna efuzija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Hemoptiza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Dispnea u naporu</w:t>
            </w:r>
          </w:p>
          <w:p w14:paraId="634341E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Orofaringealni bol</w:t>
            </w:r>
            <w:r>
              <w:rPr>
                <w:rFonts w:ascii="Microsoft Sans Serif" w:hAnsi="Microsoft Sans Serif" w:cs="Microsoft Sans Serif"/>
                <w:sz w:val="20"/>
                <w:szCs w:val="20"/>
                <w:vertAlign w:val="superscript"/>
                <w:lang w:val="sv-SE"/>
              </w:rPr>
              <w:t>n</w:t>
            </w:r>
            <w:r>
              <w:rPr>
                <w:rFonts w:ascii="Microsoft Sans Serif" w:hAnsi="Microsoft Sans Serif" w:cs="Microsoft Sans Serif"/>
                <w:sz w:val="20"/>
                <w:szCs w:val="20"/>
                <w:lang w:val="sv-SE"/>
              </w:rPr>
              <w:t xml:space="preserve"> </w:t>
            </w:r>
          </w:p>
          <w:p w14:paraId="5B09C63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Nazalna kongestija</w:t>
            </w:r>
          </w:p>
          <w:p w14:paraId="2643228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Suvoća nazalnog predela</w:t>
            </w:r>
          </w:p>
        </w:tc>
        <w:tc>
          <w:tcPr>
            <w:tcW w:w="1487" w:type="dxa"/>
          </w:tcPr>
          <w:p w14:paraId="788FEA41">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Plućna hemoragija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Respiratorna insuficijencija</w:t>
            </w:r>
            <w:r>
              <w:rPr>
                <w:rFonts w:ascii="Microsoft Sans Serif" w:hAnsi="Microsoft Sans Serif" w:cs="Microsoft Sans Serif"/>
                <w:sz w:val="20"/>
                <w:szCs w:val="20"/>
                <w:vertAlign w:val="superscript"/>
              </w:rPr>
              <w:t>*</w:t>
            </w:r>
          </w:p>
        </w:tc>
        <w:tc>
          <w:tcPr>
            <w:tcW w:w="1558" w:type="dxa"/>
          </w:tcPr>
          <w:p w14:paraId="441ACAAE">
            <w:pPr>
              <w:pStyle w:val="30"/>
              <w:jc w:val="both"/>
              <w:rPr>
                <w:rFonts w:ascii="Microsoft Sans Serif" w:hAnsi="Microsoft Sans Serif" w:cs="Microsoft Sans Serif"/>
                <w:sz w:val="20"/>
                <w:szCs w:val="20"/>
              </w:rPr>
            </w:pPr>
          </w:p>
        </w:tc>
        <w:tc>
          <w:tcPr>
            <w:tcW w:w="1198" w:type="dxa"/>
          </w:tcPr>
          <w:p w14:paraId="52DE53D8">
            <w:pPr>
              <w:pStyle w:val="30"/>
              <w:jc w:val="both"/>
              <w:rPr>
                <w:rFonts w:ascii="Microsoft Sans Serif" w:hAnsi="Microsoft Sans Serif" w:cs="Microsoft Sans Serif"/>
                <w:sz w:val="20"/>
                <w:szCs w:val="20"/>
              </w:rPr>
            </w:pPr>
          </w:p>
        </w:tc>
      </w:tr>
      <w:tr w14:paraId="0304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1995" w:type="dxa"/>
          </w:tcPr>
          <w:p w14:paraId="1CBF5416">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Gastrointestinalni</w:t>
            </w:r>
          </w:p>
          <w:p w14:paraId="540AB015">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w:t>
            </w:r>
          </w:p>
        </w:tc>
        <w:tc>
          <w:tcPr>
            <w:tcW w:w="1552" w:type="dxa"/>
          </w:tcPr>
          <w:p w14:paraId="785071F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Stomatitis</w:t>
            </w:r>
            <w:r>
              <w:rPr>
                <w:rFonts w:ascii="Microsoft Sans Serif" w:hAnsi="Microsoft Sans Serif" w:cs="Microsoft Sans Serif"/>
                <w:sz w:val="20"/>
                <w:szCs w:val="20"/>
                <w:vertAlign w:val="superscript"/>
              </w:rPr>
              <w:t>o</w:t>
            </w:r>
          </w:p>
          <w:p w14:paraId="413021D6">
            <w:pPr>
              <w:pStyle w:val="3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Abdominalni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lang w:val="sr-Latn-RS"/>
              </w:rPr>
              <w:t>p</w:t>
            </w:r>
          </w:p>
          <w:p w14:paraId="6E8EEF2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p>
          <w:p w14:paraId="7C7A626B">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p>
          <w:p w14:paraId="7E1E9163">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Dispepsija</w:t>
            </w:r>
          </w:p>
          <w:p w14:paraId="75BC802B">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606F7808">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Konstipacija</w:t>
            </w:r>
          </w:p>
          <w:p w14:paraId="13761F0A">
            <w:pPr>
              <w:pStyle w:val="30"/>
              <w:jc w:val="both"/>
              <w:rPr>
                <w:rFonts w:ascii="Microsoft Sans Serif" w:hAnsi="Microsoft Sans Serif" w:cs="Microsoft Sans Serif"/>
                <w:sz w:val="20"/>
                <w:szCs w:val="20"/>
              </w:rPr>
            </w:pPr>
          </w:p>
          <w:p w14:paraId="2AC2C6F2">
            <w:pPr>
              <w:pStyle w:val="30"/>
              <w:jc w:val="both"/>
              <w:rPr>
                <w:rFonts w:ascii="Microsoft Sans Serif" w:hAnsi="Microsoft Sans Serif" w:cs="Microsoft Sans Serif"/>
                <w:sz w:val="20"/>
                <w:szCs w:val="20"/>
              </w:rPr>
            </w:pPr>
          </w:p>
          <w:p w14:paraId="5D5F9452">
            <w:pPr>
              <w:pStyle w:val="30"/>
              <w:jc w:val="both"/>
              <w:rPr>
                <w:rFonts w:ascii="Microsoft Sans Serif" w:hAnsi="Microsoft Sans Serif" w:cs="Microsoft Sans Serif"/>
                <w:sz w:val="20"/>
                <w:szCs w:val="20"/>
              </w:rPr>
            </w:pPr>
          </w:p>
          <w:p w14:paraId="47BE5EF5">
            <w:pPr>
              <w:pStyle w:val="30"/>
              <w:jc w:val="both"/>
              <w:rPr>
                <w:rFonts w:ascii="Microsoft Sans Serif" w:hAnsi="Microsoft Sans Serif" w:cs="Microsoft Sans Serif"/>
                <w:sz w:val="20"/>
                <w:szCs w:val="20"/>
              </w:rPr>
            </w:pPr>
          </w:p>
        </w:tc>
        <w:tc>
          <w:tcPr>
            <w:tcW w:w="1708" w:type="dxa"/>
          </w:tcPr>
          <w:p w14:paraId="493EA6F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w:t>
            </w:r>
          </w:p>
          <w:p w14:paraId="039800A4">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refluksna bolest</w:t>
            </w:r>
          </w:p>
          <w:p w14:paraId="795D3BD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Disfagija</w:t>
            </w:r>
          </w:p>
          <w:p w14:paraId="29B6A145">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Gastrointestinalna hemoragija*</w:t>
            </w:r>
          </w:p>
          <w:p w14:paraId="5E559075">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Ezofagitis*</w:t>
            </w:r>
          </w:p>
          <w:p w14:paraId="1393C1C8">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Distenzija u stomaku</w:t>
            </w:r>
          </w:p>
          <w:p w14:paraId="267DD10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Nelagodnost u stomaku</w:t>
            </w:r>
          </w:p>
          <w:p w14:paraId="43C7C172">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Hemoragija u rektumu</w:t>
            </w:r>
          </w:p>
          <w:p w14:paraId="6155011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Krvarenje iz desni</w:t>
            </w:r>
          </w:p>
          <w:p w14:paraId="15179E8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Ulceracije u ustima</w:t>
            </w:r>
          </w:p>
          <w:p w14:paraId="462A8733">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Proktalgija</w:t>
            </w:r>
          </w:p>
          <w:p w14:paraId="689192A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Heilitis</w:t>
            </w:r>
          </w:p>
          <w:p w14:paraId="33B41CC9">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Hemoroidi</w:t>
            </w:r>
          </w:p>
          <w:p w14:paraId="1FC1181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Glosodinija</w:t>
            </w:r>
          </w:p>
          <w:p w14:paraId="4DC73394">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ustima</w:t>
            </w:r>
          </w:p>
          <w:p w14:paraId="6E129831">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Suvoća usta</w:t>
            </w:r>
          </w:p>
          <w:p w14:paraId="5A65916D">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Flatulencija</w:t>
            </w:r>
          </w:p>
          <w:p w14:paraId="0588E5BB">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Nelagodnost u ustima</w:t>
            </w:r>
          </w:p>
          <w:p w14:paraId="24EBE07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Podrigivanje</w:t>
            </w:r>
          </w:p>
        </w:tc>
        <w:tc>
          <w:tcPr>
            <w:tcW w:w="1487" w:type="dxa"/>
          </w:tcPr>
          <w:p w14:paraId="6CB27265">
            <w:pPr>
              <w:pStyle w:val="30"/>
              <w:jc w:val="both"/>
              <w:rPr>
                <w:rFonts w:ascii="Microsoft Sans Serif" w:hAnsi="Microsoft Sans Serif" w:cs="Microsoft Sans Serif"/>
                <w:sz w:val="20"/>
                <w:szCs w:val="20"/>
                <w:lang w:val="sv-SE"/>
              </w:rPr>
            </w:pPr>
          </w:p>
          <w:p w14:paraId="558645BA">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Gastrointestinalna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perforacija</w:t>
            </w:r>
            <w:r>
              <w:rPr>
                <w:rFonts w:ascii="Microsoft Sans Serif" w:hAnsi="Microsoft Sans Serif" w:cs="Microsoft Sans Serif"/>
                <w:sz w:val="20"/>
                <w:szCs w:val="20"/>
                <w:vertAlign w:val="superscript"/>
                <w:lang w:val="sv-SE"/>
              </w:rPr>
              <w:t>q,*</w:t>
            </w:r>
          </w:p>
          <w:p w14:paraId="1B2DE57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Pankreatitis</w:t>
            </w:r>
          </w:p>
          <w:p w14:paraId="41944EBC">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Analna fistula</w:t>
            </w:r>
          </w:p>
          <w:p w14:paraId="3CD61D09">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Kolitis</w:t>
            </w:r>
            <w:r>
              <w:rPr>
                <w:rFonts w:ascii="Microsoft Sans Serif" w:hAnsi="Microsoft Sans Serif" w:cs="Microsoft Sans Serif"/>
                <w:sz w:val="20"/>
                <w:szCs w:val="20"/>
                <w:vertAlign w:val="superscript"/>
                <w:lang w:val="sv-SE"/>
              </w:rPr>
              <w:t>r</w:t>
            </w:r>
          </w:p>
          <w:p w14:paraId="0299AF25">
            <w:pPr>
              <w:pStyle w:val="30"/>
              <w:jc w:val="both"/>
              <w:rPr>
                <w:rFonts w:ascii="Microsoft Sans Serif" w:hAnsi="Microsoft Sans Serif" w:cs="Microsoft Sans Serif"/>
                <w:sz w:val="20"/>
                <w:szCs w:val="20"/>
                <w:lang w:val="sv-SE"/>
              </w:rPr>
            </w:pPr>
          </w:p>
          <w:p w14:paraId="37E94B2E">
            <w:pPr>
              <w:pStyle w:val="30"/>
              <w:jc w:val="both"/>
              <w:rPr>
                <w:rFonts w:ascii="Microsoft Sans Serif" w:hAnsi="Microsoft Sans Serif" w:cs="Microsoft Sans Serif"/>
                <w:sz w:val="20"/>
                <w:szCs w:val="20"/>
                <w:lang w:val="sr-Latn-RS"/>
              </w:rPr>
            </w:pPr>
          </w:p>
        </w:tc>
        <w:tc>
          <w:tcPr>
            <w:tcW w:w="1558" w:type="dxa"/>
          </w:tcPr>
          <w:p w14:paraId="0BF5E3DA">
            <w:pPr>
              <w:pStyle w:val="30"/>
              <w:jc w:val="both"/>
              <w:rPr>
                <w:rFonts w:ascii="Microsoft Sans Serif" w:hAnsi="Microsoft Sans Serif" w:cs="Microsoft Sans Serif"/>
                <w:sz w:val="20"/>
                <w:szCs w:val="20"/>
                <w:lang w:val="sv-SE"/>
              </w:rPr>
            </w:pPr>
          </w:p>
        </w:tc>
        <w:tc>
          <w:tcPr>
            <w:tcW w:w="1198" w:type="dxa"/>
          </w:tcPr>
          <w:p w14:paraId="7332E840">
            <w:pPr>
              <w:pStyle w:val="30"/>
              <w:jc w:val="both"/>
              <w:rPr>
                <w:rFonts w:ascii="Microsoft Sans Serif" w:hAnsi="Microsoft Sans Serif" w:cs="Microsoft Sans Serif"/>
                <w:sz w:val="20"/>
                <w:szCs w:val="20"/>
                <w:lang w:val="sv-SE"/>
              </w:rPr>
            </w:pPr>
          </w:p>
        </w:tc>
      </w:tr>
      <w:tr w14:paraId="348F2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95" w:type="dxa"/>
          </w:tcPr>
          <w:p w14:paraId="6228C048">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Hepatobilijarni</w:t>
            </w:r>
          </w:p>
          <w:p w14:paraId="6C08E1F4">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poremećaji</w:t>
            </w:r>
          </w:p>
        </w:tc>
        <w:tc>
          <w:tcPr>
            <w:tcW w:w="1552" w:type="dxa"/>
          </w:tcPr>
          <w:p w14:paraId="2BD139FE">
            <w:pPr>
              <w:pStyle w:val="30"/>
              <w:jc w:val="both"/>
              <w:rPr>
                <w:rFonts w:ascii="Microsoft Sans Serif" w:hAnsi="Microsoft Sans Serif" w:cs="Microsoft Sans Serif"/>
                <w:sz w:val="20"/>
                <w:szCs w:val="20"/>
              </w:rPr>
            </w:pPr>
          </w:p>
        </w:tc>
        <w:tc>
          <w:tcPr>
            <w:tcW w:w="1708" w:type="dxa"/>
          </w:tcPr>
          <w:p w14:paraId="14AA827E">
            <w:pPr>
              <w:pStyle w:val="30"/>
              <w:jc w:val="both"/>
              <w:rPr>
                <w:rFonts w:ascii="Microsoft Sans Serif" w:hAnsi="Microsoft Sans Serif" w:cs="Microsoft Sans Serif"/>
                <w:sz w:val="20"/>
                <w:szCs w:val="20"/>
              </w:rPr>
            </w:pPr>
          </w:p>
        </w:tc>
        <w:tc>
          <w:tcPr>
            <w:tcW w:w="1487" w:type="dxa"/>
          </w:tcPr>
          <w:p w14:paraId="0BBBADE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Insuficijencija jetre*</w:t>
            </w:r>
          </w:p>
          <w:p w14:paraId="3A0C201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Holecistitis</w:t>
            </w:r>
            <w:r>
              <w:rPr>
                <w:rFonts w:ascii="Microsoft Sans Serif" w:hAnsi="Microsoft Sans Serif" w:cs="Microsoft Sans Serif"/>
                <w:sz w:val="20"/>
                <w:szCs w:val="20"/>
                <w:vertAlign w:val="superscript"/>
              </w:rPr>
              <w:t>r</w:t>
            </w:r>
            <w:r>
              <w:rPr>
                <w:rFonts w:ascii="Microsoft Sans Serif" w:hAnsi="Microsoft Sans Serif" w:cs="Microsoft Sans Serif"/>
                <w:sz w:val="20"/>
                <w:szCs w:val="20"/>
              </w:rPr>
              <w:t>,*</w:t>
            </w:r>
          </w:p>
          <w:p w14:paraId="7E37AE4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Poremećaj funkcije</w:t>
            </w:r>
          </w:p>
          <w:p w14:paraId="41D4E16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jetre</w:t>
            </w:r>
          </w:p>
        </w:tc>
        <w:tc>
          <w:tcPr>
            <w:tcW w:w="1558" w:type="dxa"/>
          </w:tcPr>
          <w:p w14:paraId="1ED851C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Hepatitis</w:t>
            </w:r>
          </w:p>
        </w:tc>
        <w:tc>
          <w:tcPr>
            <w:tcW w:w="1198" w:type="dxa"/>
          </w:tcPr>
          <w:p w14:paraId="6BC66149">
            <w:pPr>
              <w:pStyle w:val="30"/>
              <w:jc w:val="both"/>
              <w:rPr>
                <w:rFonts w:ascii="Microsoft Sans Serif" w:hAnsi="Microsoft Sans Serif" w:cs="Microsoft Sans Serif"/>
                <w:sz w:val="20"/>
                <w:szCs w:val="20"/>
              </w:rPr>
            </w:pPr>
          </w:p>
        </w:tc>
      </w:tr>
      <w:tr w14:paraId="1EAD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trPr>
        <w:tc>
          <w:tcPr>
            <w:tcW w:w="1995" w:type="dxa"/>
          </w:tcPr>
          <w:p w14:paraId="69794A27">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Poremećaji kože i</w:t>
            </w:r>
          </w:p>
          <w:p w14:paraId="722AB75A">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potkožnog tkiva</w:t>
            </w:r>
          </w:p>
        </w:tc>
        <w:tc>
          <w:tcPr>
            <w:tcW w:w="1552" w:type="dxa"/>
          </w:tcPr>
          <w:p w14:paraId="47E6226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Promjena boje kože</w:t>
            </w:r>
            <w:r>
              <w:rPr>
                <w:rFonts w:ascii="Microsoft Sans Serif" w:hAnsi="Microsoft Sans Serif" w:cs="Microsoft Sans Serif"/>
                <w:sz w:val="20"/>
                <w:szCs w:val="20"/>
                <w:vertAlign w:val="superscript"/>
                <w:lang w:val="sv-SE"/>
              </w:rPr>
              <w:t>t</w:t>
            </w:r>
            <w:r>
              <w:rPr>
                <w:rFonts w:ascii="Microsoft Sans Serif" w:hAnsi="Microsoft Sans Serif" w:cs="Microsoft Sans Serif"/>
                <w:sz w:val="20"/>
                <w:szCs w:val="20"/>
                <w:lang w:val="sv-SE"/>
              </w:rPr>
              <w:t xml:space="preserve"> </w:t>
            </w:r>
          </w:p>
          <w:p w14:paraId="14B1E098">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w:t>
            </w:r>
          </w:p>
          <w:p w14:paraId="0701EBB5">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almarno</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plantarne</w:t>
            </w:r>
          </w:p>
          <w:p w14:paraId="6BC8DC6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eritrodizestezije </w:t>
            </w:r>
          </w:p>
          <w:p w14:paraId="13BC13B1">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Osip</w:t>
            </w:r>
            <w:r>
              <w:rPr>
                <w:rFonts w:ascii="Microsoft Sans Serif" w:hAnsi="Microsoft Sans Serif" w:cs="Microsoft Sans Serif"/>
                <w:sz w:val="20"/>
                <w:szCs w:val="20"/>
                <w:vertAlign w:val="superscript"/>
                <w:lang w:val="sv-SE"/>
              </w:rPr>
              <w:t>u</w:t>
            </w:r>
          </w:p>
          <w:p w14:paraId="314C30A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Promjena boje kose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Suvoća kože</w:t>
            </w:r>
          </w:p>
        </w:tc>
        <w:tc>
          <w:tcPr>
            <w:tcW w:w="1708" w:type="dxa"/>
          </w:tcPr>
          <w:p w14:paraId="52F3A88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Eksfolijacija kože </w:t>
            </w:r>
          </w:p>
          <w:p w14:paraId="6895E4F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Kožne reakcije</w:t>
            </w:r>
            <w:r>
              <w:rPr>
                <w:rFonts w:ascii="Microsoft Sans Serif" w:hAnsi="Microsoft Sans Serif" w:cs="Microsoft Sans Serif"/>
                <w:sz w:val="20"/>
                <w:szCs w:val="20"/>
                <w:vertAlign w:val="superscript"/>
              </w:rPr>
              <w:t>v</w:t>
            </w:r>
            <w:r>
              <w:rPr>
                <w:rFonts w:ascii="Microsoft Sans Serif" w:hAnsi="Microsoft Sans Serif" w:cs="Microsoft Sans Serif"/>
                <w:sz w:val="20"/>
                <w:szCs w:val="20"/>
                <w:lang w:val="sr-Cyrl-RS"/>
              </w:rPr>
              <w:t xml:space="preserve"> </w:t>
            </w:r>
          </w:p>
          <w:p w14:paraId="4D9E73D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Ekcem</w:t>
            </w:r>
          </w:p>
          <w:p w14:paraId="52CF0DB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Plikovi</w:t>
            </w:r>
          </w:p>
          <w:p w14:paraId="6C4D328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Eritem</w:t>
            </w:r>
          </w:p>
          <w:p w14:paraId="6898BFE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Alopecija</w:t>
            </w:r>
          </w:p>
          <w:p w14:paraId="4707172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Akne</w:t>
            </w:r>
          </w:p>
          <w:p w14:paraId="760FEDE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Pruritus</w:t>
            </w:r>
          </w:p>
          <w:p w14:paraId="5C26ED1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Hiperpigmenatcija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p w14:paraId="5C6194E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lezije</w:t>
            </w:r>
          </w:p>
          <w:p w14:paraId="2699E85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Hiperkeratoze</w:t>
            </w:r>
          </w:p>
          <w:p w14:paraId="2D323B84">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Dermatitis</w:t>
            </w:r>
          </w:p>
          <w:p w14:paraId="7FB83C72">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Obolјenja nokta</w:t>
            </w:r>
            <w:r>
              <w:rPr>
                <w:rFonts w:ascii="Microsoft Sans Serif" w:hAnsi="Microsoft Sans Serif" w:cs="Microsoft Sans Serif"/>
                <w:sz w:val="20"/>
                <w:szCs w:val="20"/>
                <w:vertAlign w:val="superscript"/>
              </w:rPr>
              <w:t>w</w:t>
            </w:r>
          </w:p>
        </w:tc>
        <w:tc>
          <w:tcPr>
            <w:tcW w:w="1487" w:type="dxa"/>
          </w:tcPr>
          <w:p w14:paraId="59F3D7CD">
            <w:pPr>
              <w:pStyle w:val="30"/>
              <w:jc w:val="both"/>
              <w:rPr>
                <w:rFonts w:ascii="Microsoft Sans Serif" w:hAnsi="Microsoft Sans Serif" w:cs="Microsoft Sans Serif"/>
                <w:sz w:val="20"/>
                <w:szCs w:val="20"/>
              </w:rPr>
            </w:pPr>
          </w:p>
        </w:tc>
        <w:tc>
          <w:tcPr>
            <w:tcW w:w="1558" w:type="dxa"/>
          </w:tcPr>
          <w:p w14:paraId="7AAAAD02">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Eritema multiforme</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Stevens-Johnson sindrom</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p>
          <w:p w14:paraId="72A3C7E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Gangrenozna piodermija</w:t>
            </w:r>
          </w:p>
          <w:p w14:paraId="00BC2841">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Toksična epidermalna nekroliza</w:t>
            </w:r>
            <w:r>
              <w:rPr>
                <w:rFonts w:ascii="Microsoft Sans Serif" w:hAnsi="Microsoft Sans Serif" w:cs="Microsoft Sans Serif"/>
                <w:sz w:val="20"/>
                <w:szCs w:val="20"/>
                <w:vertAlign w:val="superscript"/>
                <w:lang w:val="sv-SE"/>
              </w:rPr>
              <w:t>*</w:t>
            </w:r>
          </w:p>
        </w:tc>
        <w:tc>
          <w:tcPr>
            <w:tcW w:w="1198" w:type="dxa"/>
          </w:tcPr>
          <w:p w14:paraId="4D610946">
            <w:pPr>
              <w:pStyle w:val="30"/>
              <w:jc w:val="both"/>
              <w:rPr>
                <w:rFonts w:ascii="Microsoft Sans Serif" w:hAnsi="Microsoft Sans Serif" w:cs="Microsoft Sans Serif"/>
                <w:sz w:val="20"/>
                <w:szCs w:val="20"/>
                <w:lang w:val="sv-SE"/>
              </w:rPr>
            </w:pPr>
          </w:p>
        </w:tc>
      </w:tr>
      <w:tr w14:paraId="76B7E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1995" w:type="dxa"/>
          </w:tcPr>
          <w:p w14:paraId="69FC6065">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Poremećaji</w:t>
            </w:r>
          </w:p>
          <w:p w14:paraId="120AFC87">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mišićno-koštanog</w:t>
            </w:r>
          </w:p>
          <w:p w14:paraId="4A8687DB">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sistema i vezivnog</w:t>
            </w:r>
          </w:p>
          <w:p w14:paraId="05707EC9">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tkiva</w:t>
            </w:r>
          </w:p>
        </w:tc>
        <w:tc>
          <w:tcPr>
            <w:tcW w:w="1552" w:type="dxa"/>
          </w:tcPr>
          <w:p w14:paraId="0182E05C">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w:t>
            </w:r>
          </w:p>
          <w:p w14:paraId="14E5E24C">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ekstremitetima</w:t>
            </w:r>
          </w:p>
          <w:p w14:paraId="52272BEA">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Artralgija</w:t>
            </w:r>
          </w:p>
          <w:p w14:paraId="26E2EC74">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leđima</w:t>
            </w:r>
          </w:p>
        </w:tc>
        <w:tc>
          <w:tcPr>
            <w:tcW w:w="1708" w:type="dxa"/>
          </w:tcPr>
          <w:p w14:paraId="0182DCEA">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Bol u mišićima i kostima</w:t>
            </w:r>
          </w:p>
          <w:p w14:paraId="1461A51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Spazam mišića</w:t>
            </w:r>
          </w:p>
          <w:p w14:paraId="01076A62">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Mi</w:t>
            </w:r>
            <w:r>
              <w:rPr>
                <w:rFonts w:ascii="Microsoft Sans Serif" w:hAnsi="Microsoft Sans Serif" w:cs="Microsoft Sans Serif"/>
                <w:sz w:val="20"/>
                <w:szCs w:val="20"/>
                <w:lang w:val="sr-Cyrl-RS"/>
              </w:rPr>
              <w:t>j</w:t>
            </w:r>
            <w:r>
              <w:rPr>
                <w:rFonts w:ascii="Microsoft Sans Serif" w:hAnsi="Microsoft Sans Serif" w:cs="Microsoft Sans Serif"/>
                <w:sz w:val="20"/>
                <w:szCs w:val="20"/>
              </w:rPr>
              <w:t>algija</w:t>
            </w:r>
          </w:p>
          <w:p w14:paraId="4814B131">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Slabost mišića</w:t>
            </w:r>
          </w:p>
          <w:p w14:paraId="1143E450">
            <w:pPr>
              <w:pStyle w:val="30"/>
              <w:jc w:val="both"/>
              <w:rPr>
                <w:rFonts w:ascii="Microsoft Sans Serif" w:hAnsi="Microsoft Sans Serif" w:cs="Microsoft Sans Serif"/>
                <w:sz w:val="20"/>
                <w:szCs w:val="20"/>
              </w:rPr>
            </w:pPr>
          </w:p>
        </w:tc>
        <w:tc>
          <w:tcPr>
            <w:tcW w:w="1487" w:type="dxa"/>
          </w:tcPr>
          <w:p w14:paraId="749A995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Osteonekroza vilice</w:t>
            </w:r>
          </w:p>
          <w:p w14:paraId="69FA8FDA">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Fistula</w:t>
            </w:r>
            <w:r>
              <w:rPr>
                <w:rFonts w:ascii="Microsoft Sans Serif" w:hAnsi="Microsoft Sans Serif" w:cs="Microsoft Sans Serif"/>
                <w:sz w:val="20"/>
                <w:szCs w:val="20"/>
                <w:vertAlign w:val="superscript"/>
              </w:rPr>
              <w:t>*</w:t>
            </w:r>
          </w:p>
        </w:tc>
        <w:tc>
          <w:tcPr>
            <w:tcW w:w="1558" w:type="dxa"/>
          </w:tcPr>
          <w:p w14:paraId="4C6D7CD4">
            <w:pPr>
              <w:pStyle w:val="30"/>
              <w:jc w:val="both"/>
              <w:rPr>
                <w:rFonts w:ascii="Microsoft Sans Serif" w:hAnsi="Microsoft Sans Serif" w:cs="Microsoft Sans Serif"/>
                <w:sz w:val="20"/>
                <w:szCs w:val="20"/>
              </w:rPr>
            </w:pPr>
            <w:r>
              <w:rPr>
                <w:rFonts w:ascii="Microsoft Sans Serif" w:hAnsi="Microsoft Sans Serif" w:cs="Microsoft Sans Serif"/>
                <w:w w:val="95"/>
                <w:sz w:val="20"/>
                <w:szCs w:val="20"/>
                <w:lang w:val="sr-Cyrl-RS"/>
              </w:rPr>
              <w:t>Rabdomioliza</w:t>
            </w:r>
            <w:r>
              <w:rPr>
                <w:rFonts w:ascii="Microsoft Sans Serif" w:hAnsi="Microsoft Sans Serif" w:cs="Microsoft Sans Serif"/>
                <w:w w:val="95"/>
                <w:sz w:val="20"/>
                <w:szCs w:val="20"/>
                <w:vertAlign w:val="superscript"/>
              </w:rPr>
              <w:t>*</w:t>
            </w:r>
            <w:r>
              <w:rPr>
                <w:rFonts w:ascii="Microsoft Sans Serif" w:hAnsi="Microsoft Sans Serif" w:cs="Microsoft Sans Serif"/>
                <w:w w:val="95"/>
                <w:sz w:val="20"/>
                <w:szCs w:val="20"/>
              </w:rPr>
              <w:t xml:space="preserve"> </w:t>
            </w:r>
            <w:r>
              <w:rPr>
                <w:rFonts w:ascii="Microsoft Sans Serif" w:hAnsi="Microsoft Sans Serif" w:cs="Microsoft Sans Serif"/>
                <w:sz w:val="20"/>
                <w:szCs w:val="20"/>
              </w:rPr>
              <w:t>Miopatija</w:t>
            </w:r>
          </w:p>
        </w:tc>
        <w:tc>
          <w:tcPr>
            <w:tcW w:w="1198" w:type="dxa"/>
          </w:tcPr>
          <w:p w14:paraId="1F5ABAAB">
            <w:pPr>
              <w:pStyle w:val="30"/>
              <w:jc w:val="both"/>
              <w:rPr>
                <w:rFonts w:ascii="Microsoft Sans Serif" w:hAnsi="Microsoft Sans Serif" w:cs="Microsoft Sans Serif"/>
                <w:sz w:val="20"/>
                <w:szCs w:val="20"/>
              </w:rPr>
            </w:pPr>
          </w:p>
        </w:tc>
      </w:tr>
      <w:tr w14:paraId="1DFC7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95" w:type="dxa"/>
          </w:tcPr>
          <w:p w14:paraId="6DE193CE">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Poremećaji</w:t>
            </w:r>
          </w:p>
          <w:p w14:paraId="01F03F86">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bubrega i</w:t>
            </w:r>
          </w:p>
          <w:p w14:paraId="0896A8C2">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urinarnog sistema</w:t>
            </w:r>
          </w:p>
        </w:tc>
        <w:tc>
          <w:tcPr>
            <w:tcW w:w="1552" w:type="dxa"/>
          </w:tcPr>
          <w:p w14:paraId="16D4C4AA">
            <w:pPr>
              <w:pStyle w:val="30"/>
              <w:jc w:val="both"/>
              <w:rPr>
                <w:rFonts w:ascii="Microsoft Sans Serif" w:hAnsi="Microsoft Sans Serif" w:cs="Microsoft Sans Serif"/>
                <w:sz w:val="20"/>
                <w:szCs w:val="20"/>
              </w:rPr>
            </w:pPr>
          </w:p>
        </w:tc>
        <w:tc>
          <w:tcPr>
            <w:tcW w:w="1708" w:type="dxa"/>
          </w:tcPr>
          <w:p w14:paraId="638A3435">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Bubrežna insuficijencija*</w:t>
            </w:r>
          </w:p>
          <w:p w14:paraId="4801C55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Akutna bubrežna</w:t>
            </w:r>
          </w:p>
          <w:p w14:paraId="06FCB6FC">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insuficijencija*</w:t>
            </w:r>
          </w:p>
          <w:p w14:paraId="2804983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Hromaturija</w:t>
            </w:r>
          </w:p>
          <w:p w14:paraId="2061084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Proteinurija</w:t>
            </w:r>
          </w:p>
        </w:tc>
        <w:tc>
          <w:tcPr>
            <w:tcW w:w="1487" w:type="dxa"/>
          </w:tcPr>
          <w:p w14:paraId="45882D0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u urinarnom traktu</w:t>
            </w:r>
          </w:p>
        </w:tc>
        <w:tc>
          <w:tcPr>
            <w:tcW w:w="1558" w:type="dxa"/>
          </w:tcPr>
          <w:p w14:paraId="1433D16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Nefrotski sindrom</w:t>
            </w:r>
          </w:p>
        </w:tc>
        <w:tc>
          <w:tcPr>
            <w:tcW w:w="1198" w:type="dxa"/>
          </w:tcPr>
          <w:p w14:paraId="22F4A220">
            <w:pPr>
              <w:pStyle w:val="30"/>
              <w:jc w:val="both"/>
              <w:rPr>
                <w:rFonts w:ascii="Microsoft Sans Serif" w:hAnsi="Microsoft Sans Serif" w:cs="Microsoft Sans Serif"/>
                <w:sz w:val="20"/>
                <w:szCs w:val="20"/>
              </w:rPr>
            </w:pPr>
          </w:p>
        </w:tc>
      </w:tr>
      <w:tr w14:paraId="7472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95" w:type="dxa"/>
          </w:tcPr>
          <w:p w14:paraId="50E1C22B">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Opšti poremećaji i</w:t>
            </w:r>
          </w:p>
          <w:p w14:paraId="7FE2DB56">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reakcije na mestu</w:t>
            </w:r>
          </w:p>
          <w:p w14:paraId="78E11EDA">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primjene</w:t>
            </w:r>
          </w:p>
        </w:tc>
        <w:tc>
          <w:tcPr>
            <w:tcW w:w="1552" w:type="dxa"/>
          </w:tcPr>
          <w:p w14:paraId="048567D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Inflamacija mukoze</w:t>
            </w:r>
          </w:p>
          <w:p w14:paraId="6F697A04">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Zamor</w:t>
            </w:r>
            <w:r>
              <w:rPr>
                <w:rFonts w:ascii="Microsoft Sans Serif" w:hAnsi="Microsoft Sans Serif" w:cs="Microsoft Sans Serif"/>
                <w:sz w:val="20"/>
                <w:szCs w:val="20"/>
                <w:vertAlign w:val="superscript"/>
              </w:rPr>
              <w:t>x</w:t>
            </w:r>
          </w:p>
          <w:p w14:paraId="3C7AF027">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Edem</w:t>
            </w:r>
            <w:r>
              <w:rPr>
                <w:rFonts w:ascii="Microsoft Sans Serif" w:hAnsi="Microsoft Sans Serif" w:cs="Microsoft Sans Serif"/>
                <w:sz w:val="20"/>
                <w:szCs w:val="20"/>
                <w:vertAlign w:val="superscript"/>
              </w:rPr>
              <w:t>y</w:t>
            </w:r>
            <w:r>
              <w:rPr>
                <w:rFonts w:ascii="Microsoft Sans Serif" w:hAnsi="Microsoft Sans Serif" w:cs="Microsoft Sans Serif"/>
                <w:sz w:val="20"/>
                <w:szCs w:val="20"/>
              </w:rPr>
              <w:t xml:space="preserve"> </w:t>
            </w:r>
          </w:p>
          <w:p w14:paraId="535BD60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1708" w:type="dxa"/>
          </w:tcPr>
          <w:p w14:paraId="052E4D1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grudima</w:t>
            </w:r>
          </w:p>
          <w:p w14:paraId="5C504BF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w:t>
            </w:r>
          </w:p>
          <w:p w14:paraId="1C43418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Bolest slična gripu</w:t>
            </w:r>
          </w:p>
          <w:p w14:paraId="0F7E1533">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Jeza</w:t>
            </w:r>
          </w:p>
        </w:tc>
        <w:tc>
          <w:tcPr>
            <w:tcW w:w="1487" w:type="dxa"/>
          </w:tcPr>
          <w:p w14:paraId="7300054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Usporeno zarastanje</w:t>
            </w:r>
          </w:p>
        </w:tc>
        <w:tc>
          <w:tcPr>
            <w:tcW w:w="1558" w:type="dxa"/>
          </w:tcPr>
          <w:p w14:paraId="62D7D7D3">
            <w:pPr>
              <w:pStyle w:val="30"/>
              <w:jc w:val="both"/>
              <w:rPr>
                <w:rFonts w:ascii="Microsoft Sans Serif" w:hAnsi="Microsoft Sans Serif" w:cs="Microsoft Sans Serif"/>
                <w:sz w:val="20"/>
                <w:szCs w:val="20"/>
              </w:rPr>
            </w:pPr>
          </w:p>
        </w:tc>
        <w:tc>
          <w:tcPr>
            <w:tcW w:w="1198" w:type="dxa"/>
          </w:tcPr>
          <w:p w14:paraId="0D7FA1E2">
            <w:pPr>
              <w:pStyle w:val="30"/>
              <w:jc w:val="both"/>
              <w:rPr>
                <w:rFonts w:ascii="Microsoft Sans Serif" w:hAnsi="Microsoft Sans Serif" w:cs="Microsoft Sans Serif"/>
                <w:sz w:val="20"/>
                <w:szCs w:val="20"/>
              </w:rPr>
            </w:pPr>
          </w:p>
        </w:tc>
      </w:tr>
      <w:tr w14:paraId="29BDC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atLeast"/>
        </w:trPr>
        <w:tc>
          <w:tcPr>
            <w:tcW w:w="1995" w:type="dxa"/>
          </w:tcPr>
          <w:p w14:paraId="54B4CBCF">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Ispitivanja</w:t>
            </w:r>
          </w:p>
        </w:tc>
        <w:tc>
          <w:tcPr>
            <w:tcW w:w="1552" w:type="dxa"/>
          </w:tcPr>
          <w:p w14:paraId="36FBB411">
            <w:pPr>
              <w:pStyle w:val="30"/>
              <w:jc w:val="both"/>
              <w:rPr>
                <w:rFonts w:ascii="Microsoft Sans Serif" w:hAnsi="Microsoft Sans Serif" w:cs="Microsoft Sans Serif"/>
                <w:sz w:val="20"/>
                <w:szCs w:val="20"/>
              </w:rPr>
            </w:pPr>
          </w:p>
        </w:tc>
        <w:tc>
          <w:tcPr>
            <w:tcW w:w="1708" w:type="dxa"/>
          </w:tcPr>
          <w:p w14:paraId="29D1444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Smanjenje tjelesne mase</w:t>
            </w:r>
          </w:p>
          <w:p w14:paraId="5C34ECEC">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Smanjenje broja bijelih</w:t>
            </w:r>
          </w:p>
          <w:p w14:paraId="7571FC1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krvnih zrnaca</w:t>
            </w:r>
          </w:p>
          <w:p w14:paraId="30E1D155">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lipaze</w:t>
            </w:r>
          </w:p>
          <w:p w14:paraId="622879D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Smanjenje </w:t>
            </w:r>
            <w:r>
              <w:rPr>
                <w:rFonts w:ascii="Microsoft Sans Serif" w:hAnsi="Microsoft Sans Serif" w:cs="Microsoft Sans Serif"/>
                <w:sz w:val="20"/>
                <w:szCs w:val="20"/>
                <w:lang w:val="mk-MK"/>
              </w:rPr>
              <w:t xml:space="preserve">broja </w:t>
            </w:r>
            <w:r>
              <w:rPr>
                <w:rFonts w:ascii="Microsoft Sans Serif" w:hAnsi="Microsoft Sans Serif" w:cs="Microsoft Sans Serif"/>
                <w:sz w:val="20"/>
                <w:szCs w:val="20"/>
              </w:rPr>
              <w:t>trombocita</w:t>
            </w:r>
          </w:p>
          <w:p w14:paraId="45D68C9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Smanjenje hemoglobina</w:t>
            </w:r>
          </w:p>
          <w:p w14:paraId="52DC36C6">
            <w:pPr>
              <w:pStyle w:val="3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ednos</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rPr>
              <w:t>amilaze</w:t>
            </w:r>
            <w:r>
              <w:rPr>
                <w:rFonts w:ascii="Microsoft Sans Serif" w:hAnsi="Microsoft Sans Serif" w:cs="Microsoft Sans Serif"/>
                <w:sz w:val="20"/>
                <w:szCs w:val="20"/>
                <w:vertAlign w:val="superscript"/>
                <w:lang w:val="sr-Latn-RS"/>
              </w:rPr>
              <w:t>z</w:t>
            </w:r>
          </w:p>
          <w:p w14:paraId="652E336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aspartat</w:t>
            </w:r>
          </w:p>
          <w:p w14:paraId="3877D33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aminotransferaze</w:t>
            </w:r>
          </w:p>
          <w:p w14:paraId="67EE86B2">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alanin</w:t>
            </w:r>
          </w:p>
          <w:p w14:paraId="44B250D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aminotransferaze</w:t>
            </w:r>
          </w:p>
          <w:p w14:paraId="07D399A7">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kreatinina u</w:t>
            </w:r>
          </w:p>
          <w:p w14:paraId="5BBA5DD4">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krvi</w:t>
            </w:r>
          </w:p>
          <w:p w14:paraId="17AE76C5">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Povećanje krvnog</w:t>
            </w:r>
          </w:p>
          <w:p w14:paraId="1B0F147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pritiska</w:t>
            </w:r>
          </w:p>
          <w:p w14:paraId="2C921711">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Povećanje mokraćne</w:t>
            </w:r>
          </w:p>
          <w:p w14:paraId="5DB3E522">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kiseline u krvi</w:t>
            </w:r>
          </w:p>
        </w:tc>
        <w:tc>
          <w:tcPr>
            <w:tcW w:w="1487" w:type="dxa"/>
          </w:tcPr>
          <w:p w14:paraId="056CCB4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kreatinin</w:t>
            </w:r>
          </w:p>
          <w:p w14:paraId="39BE6E6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fosfokinaze u krvi</w:t>
            </w:r>
          </w:p>
          <w:p w14:paraId="599F486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Povećanje</w:t>
            </w:r>
          </w:p>
          <w:p w14:paraId="4EAA6EF7">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tireostimulirajućeg</w:t>
            </w:r>
          </w:p>
          <w:p w14:paraId="370F17F0">
            <w:pPr>
              <w:pStyle w:val="30"/>
              <w:jc w:val="both"/>
              <w:rPr>
                <w:rFonts w:ascii="Microsoft Sans Serif" w:hAnsi="Microsoft Sans Serif" w:cs="Microsoft Sans Serif"/>
                <w:sz w:val="20"/>
                <w:szCs w:val="20"/>
                <w:lang w:val="mk-MK"/>
              </w:rPr>
            </w:pPr>
            <w:r>
              <w:rPr>
                <w:rFonts w:ascii="Microsoft Sans Serif" w:hAnsi="Microsoft Sans Serif" w:cs="Microsoft Sans Serif"/>
                <w:sz w:val="20"/>
                <w:szCs w:val="20"/>
              </w:rPr>
              <w:t>hormona</w:t>
            </w:r>
            <w:r>
              <w:rPr>
                <w:rFonts w:ascii="Microsoft Sans Serif" w:hAnsi="Microsoft Sans Serif" w:cs="Microsoft Sans Serif"/>
                <w:sz w:val="20"/>
                <w:szCs w:val="20"/>
                <w:lang w:val="mk-MK"/>
              </w:rPr>
              <w:t xml:space="preserve"> u krvi</w:t>
            </w:r>
          </w:p>
          <w:p w14:paraId="3EDE05AB">
            <w:pPr>
              <w:pStyle w:val="30"/>
              <w:jc w:val="both"/>
              <w:rPr>
                <w:rFonts w:ascii="Microsoft Sans Serif" w:hAnsi="Microsoft Sans Serif" w:cs="Microsoft Sans Serif"/>
                <w:sz w:val="20"/>
                <w:szCs w:val="20"/>
              </w:rPr>
            </w:pPr>
          </w:p>
          <w:p w14:paraId="2F9D4B9C">
            <w:pPr>
              <w:pStyle w:val="30"/>
              <w:jc w:val="both"/>
              <w:rPr>
                <w:rFonts w:ascii="Microsoft Sans Serif" w:hAnsi="Microsoft Sans Serif" w:cs="Microsoft Sans Serif"/>
                <w:sz w:val="20"/>
                <w:szCs w:val="20"/>
              </w:rPr>
            </w:pPr>
          </w:p>
          <w:p w14:paraId="2BAD41A5">
            <w:pPr>
              <w:pStyle w:val="30"/>
              <w:jc w:val="both"/>
              <w:rPr>
                <w:rFonts w:ascii="Microsoft Sans Serif" w:hAnsi="Microsoft Sans Serif" w:cs="Microsoft Sans Serif"/>
                <w:sz w:val="20"/>
                <w:szCs w:val="20"/>
              </w:rPr>
            </w:pPr>
          </w:p>
        </w:tc>
        <w:tc>
          <w:tcPr>
            <w:tcW w:w="1558" w:type="dxa"/>
          </w:tcPr>
          <w:p w14:paraId="30BC2851">
            <w:pPr>
              <w:pStyle w:val="30"/>
              <w:jc w:val="both"/>
              <w:rPr>
                <w:rFonts w:ascii="Microsoft Sans Serif" w:hAnsi="Microsoft Sans Serif" w:cs="Microsoft Sans Serif"/>
                <w:sz w:val="20"/>
                <w:szCs w:val="20"/>
              </w:rPr>
            </w:pPr>
          </w:p>
        </w:tc>
        <w:tc>
          <w:tcPr>
            <w:tcW w:w="1198" w:type="dxa"/>
          </w:tcPr>
          <w:p w14:paraId="3D6368F1">
            <w:pPr>
              <w:pStyle w:val="30"/>
              <w:jc w:val="both"/>
              <w:rPr>
                <w:rFonts w:ascii="Microsoft Sans Serif" w:hAnsi="Microsoft Sans Serif" w:cs="Microsoft Sans Serif"/>
                <w:sz w:val="20"/>
                <w:szCs w:val="20"/>
              </w:rPr>
            </w:pPr>
          </w:p>
        </w:tc>
      </w:tr>
    </w:tbl>
    <w:p w14:paraId="70A32EE4">
      <w:pPr>
        <w:rPr>
          <w:rFonts w:ascii="Microsoft Sans Serif" w:hAnsi="Microsoft Sans Serif" w:cs="Microsoft Sans Serif"/>
          <w:sz w:val="20"/>
          <w:szCs w:val="20"/>
          <w:lang w:val="sr-Cyrl-RS"/>
        </w:rPr>
      </w:pPr>
      <w:r>
        <w:rPr>
          <w:rFonts w:ascii="Microsoft Sans Serif" w:hAnsi="Microsoft Sans Serif" w:cs="Microsoft Sans Serif"/>
          <w:b/>
          <w:sz w:val="20"/>
          <w:szCs w:val="20"/>
          <w:lang w:val="sr-Latn-RS"/>
        </w:rPr>
        <w:t>*</w:t>
      </w:r>
      <w:r>
        <w:rPr>
          <w:rFonts w:ascii="Microsoft Sans Serif" w:hAnsi="Microsoft Sans Serif" w:cs="Microsoft Sans Serif"/>
          <w:b/>
          <w:sz w:val="20"/>
          <w:szCs w:val="20"/>
          <w:lang w:val="mk-MK"/>
        </w:rPr>
        <w:t xml:space="preserve"> </w:t>
      </w:r>
      <w:r>
        <w:rPr>
          <w:rFonts w:ascii="Microsoft Sans Serif" w:hAnsi="Microsoft Sans Serif" w:cs="Microsoft Sans Serif"/>
          <w:sz w:val="20"/>
          <w:szCs w:val="20"/>
          <w:lang w:val="sr-Cyrl-RS"/>
        </w:rPr>
        <w:t>Uklјučujući događaje sa smrtnim ishodom</w:t>
      </w:r>
    </w:p>
    <w:p w14:paraId="6480E32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Kombinovani su sljedeći termini:</w:t>
      </w:r>
    </w:p>
    <w:p w14:paraId="02741BCE">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a </w:t>
      </w:r>
      <w:r>
        <w:rPr>
          <w:rFonts w:ascii="Microsoft Sans Serif" w:hAnsi="Microsoft Sans Serif" w:cs="Microsoft Sans Serif"/>
          <w:sz w:val="20"/>
          <w:szCs w:val="20"/>
          <w:lang w:val="sr-Cyrl-RS"/>
        </w:rPr>
        <w:t>Nazofaringitis i oralni herpes.</w:t>
      </w:r>
    </w:p>
    <w:p w14:paraId="3B5B68CE">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b</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Bronhitis, infekcija donjeg respiratornog trakta, pneumonija i infekcija respiratornog trakta.</w:t>
      </w:r>
    </w:p>
    <w:p w14:paraId="259D78C2">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c </w:t>
      </w:r>
      <w:r>
        <w:rPr>
          <w:rFonts w:ascii="Microsoft Sans Serif" w:hAnsi="Microsoft Sans Serif" w:cs="Microsoft Sans Serif"/>
          <w:sz w:val="20"/>
          <w:szCs w:val="20"/>
          <w:lang w:val="sr-Cyrl-RS"/>
        </w:rPr>
        <w:t>Apsces, apsces ekstremiteta, analni apsces, apsces desni, apsces jetre, apsces pankreasa, perinealni apsces,</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perirektalni apsces, rektalni apsces, subkutani apsces i apsces zuba.</w:t>
      </w:r>
    </w:p>
    <w:p w14:paraId="252E6EBD">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d </w:t>
      </w:r>
      <w:r>
        <w:rPr>
          <w:rFonts w:ascii="Microsoft Sans Serif" w:hAnsi="Microsoft Sans Serif" w:cs="Microsoft Sans Serif"/>
          <w:sz w:val="20"/>
          <w:szCs w:val="20"/>
          <w:lang w:val="sr-Cyrl-RS"/>
        </w:rPr>
        <w:t>Ezofagealna i oralna kandidijaza.</w:t>
      </w:r>
    </w:p>
    <w:p w14:paraId="1D421CF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e </w:t>
      </w:r>
      <w:r>
        <w:rPr>
          <w:rFonts w:ascii="Microsoft Sans Serif" w:hAnsi="Microsoft Sans Serif" w:cs="Microsoft Sans Serif"/>
          <w:sz w:val="20"/>
          <w:szCs w:val="20"/>
          <w:lang w:val="sr-Cyrl-RS"/>
        </w:rPr>
        <w:t>Celulitis i infekcije kože.</w:t>
      </w:r>
    </w:p>
    <w:p w14:paraId="0838AD10">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f </w:t>
      </w:r>
      <w:r>
        <w:rPr>
          <w:rFonts w:ascii="Microsoft Sans Serif" w:hAnsi="Microsoft Sans Serif" w:cs="Microsoft Sans Serif"/>
          <w:sz w:val="20"/>
          <w:szCs w:val="20"/>
          <w:lang w:val="sr-Cyrl-RS"/>
        </w:rPr>
        <w:t>Sepsa i septički šok.</w:t>
      </w:r>
    </w:p>
    <w:p w14:paraId="0153E71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g </w:t>
      </w:r>
      <w:r>
        <w:rPr>
          <w:rFonts w:ascii="Microsoft Sans Serif" w:hAnsi="Microsoft Sans Serif" w:cs="Microsoft Sans Serif"/>
          <w:sz w:val="20"/>
          <w:szCs w:val="20"/>
          <w:lang w:val="sr-Cyrl-RS"/>
        </w:rPr>
        <w:t>Abdominalni apsces, abd</w:t>
      </w:r>
      <w:r>
        <w:rPr>
          <w:rFonts w:ascii="Microsoft Sans Serif" w:hAnsi="Microsoft Sans Serif" w:cs="Microsoft Sans Serif"/>
          <w:sz w:val="20"/>
          <w:szCs w:val="20"/>
          <w:lang w:val="sr-Latn-RS"/>
        </w:rPr>
        <w:t>o</w:t>
      </w:r>
      <w:r>
        <w:rPr>
          <w:rFonts w:ascii="Microsoft Sans Serif" w:hAnsi="Microsoft Sans Serif" w:cs="Microsoft Sans Serif"/>
          <w:sz w:val="20"/>
          <w:szCs w:val="20"/>
          <w:lang w:val="sr-Cyrl-RS"/>
        </w:rPr>
        <w:t>minalna sepsa, divertikulitis i osteomijelitis.</w:t>
      </w:r>
    </w:p>
    <w:p w14:paraId="0AD515E4">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h</w:t>
      </w:r>
      <w:r>
        <w:rPr>
          <w:rFonts w:ascii="Microsoft Sans Serif" w:hAnsi="Microsoft Sans Serif" w:cs="Microsoft Sans Serif"/>
          <w:sz w:val="20"/>
          <w:szCs w:val="20"/>
          <w:lang w:val="sr-Cyrl-RS"/>
        </w:rPr>
        <w:t>Trombotička mikroangiopatija, trombotička trombocitopenijska purpura i hemolitički uremijski sindrom.</w:t>
      </w:r>
    </w:p>
    <w:p w14:paraId="2BB59453">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i</w:t>
      </w:r>
      <w:r>
        <w:rPr>
          <w:rFonts w:ascii="Microsoft Sans Serif" w:hAnsi="Microsoft Sans Serif" w:cs="Microsoft Sans Serif"/>
          <w:sz w:val="20"/>
          <w:szCs w:val="20"/>
          <w:lang w:val="sr-Cyrl-RS"/>
        </w:rPr>
        <w:t>Anoreksija i oslablјeni apetit.</w:t>
      </w:r>
    </w:p>
    <w:p w14:paraId="7007FC3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j </w:t>
      </w:r>
      <w:r>
        <w:rPr>
          <w:rFonts w:ascii="Microsoft Sans Serif" w:hAnsi="Microsoft Sans Serif" w:cs="Microsoft Sans Serif"/>
          <w:sz w:val="20"/>
          <w:szCs w:val="20"/>
          <w:lang w:val="sr-Cyrl-RS"/>
        </w:rPr>
        <w:t>Disgeuzija, ageuzija i poremećaj čula ukusa.</w:t>
      </w:r>
    </w:p>
    <w:p w14:paraId="7D645998">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hr-BA"/>
        </w:rPr>
        <w:t>k</w:t>
      </w:r>
      <w:r>
        <w:rPr>
          <w:rFonts w:ascii="Microsoft Sans Serif" w:hAnsi="Microsoft Sans Serif" w:cs="Microsoft Sans Serif"/>
          <w:sz w:val="20"/>
          <w:szCs w:val="20"/>
          <w:lang w:val="sr-Cyrl-RS"/>
        </w:rPr>
        <w:t>Akutni koronarni sindrom, angina pektoris, nestabilna angina, okluzija koronarnih arterija i ishemija miokarda.</w:t>
      </w:r>
    </w:p>
    <w:p w14:paraId="33FA9174">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l</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Smanjena/izmjenjena ejekciona frakcija.</w:t>
      </w:r>
    </w:p>
    <w:p w14:paraId="2EAAD460">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m</w:t>
      </w:r>
      <w:r>
        <w:rPr>
          <w:rFonts w:ascii="Microsoft Sans Serif" w:hAnsi="Microsoft Sans Serif" w:cs="Microsoft Sans Serif"/>
          <w:sz w:val="20"/>
          <w:szCs w:val="20"/>
          <w:lang w:val="sr-Cyrl-RS"/>
        </w:rPr>
        <w:t xml:space="preserve"> Akutni infarkt miokarda, infarkt miokarda i „tihi” infarkt miokarda.</w:t>
      </w:r>
    </w:p>
    <w:p w14:paraId="6AA23A6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n</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Orofaringealni i faringolaringealni bol.</w:t>
      </w:r>
    </w:p>
    <w:p w14:paraId="056EB8BF">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o </w:t>
      </w:r>
      <w:r>
        <w:rPr>
          <w:rFonts w:ascii="Microsoft Sans Serif" w:hAnsi="Microsoft Sans Serif" w:cs="Microsoft Sans Serif"/>
          <w:sz w:val="20"/>
          <w:szCs w:val="20"/>
          <w:lang w:val="sr-Cyrl-RS"/>
        </w:rPr>
        <w:t>Stomatitis i aftozni stomatitis.</w:t>
      </w:r>
    </w:p>
    <w:p w14:paraId="03B22639">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p</w:t>
      </w:r>
      <w:r>
        <w:rPr>
          <w:rFonts w:ascii="Microsoft Sans Serif" w:hAnsi="Microsoft Sans Serif" w:cs="Microsoft Sans Serif"/>
          <w:sz w:val="20"/>
          <w:szCs w:val="20"/>
          <w:lang w:val="sr-Cyrl-RS"/>
        </w:rPr>
        <w:t xml:space="preserve"> Abdominalni bol, bol u donjem dijelu abdomena i bol u gornjem dijelu abdomena.</w:t>
      </w:r>
    </w:p>
    <w:p w14:paraId="6470F9F9">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q</w:t>
      </w:r>
      <w:r>
        <w:rPr>
          <w:rFonts w:ascii="Microsoft Sans Serif" w:hAnsi="Microsoft Sans Serif" w:cs="Microsoft Sans Serif"/>
          <w:sz w:val="20"/>
          <w:szCs w:val="20"/>
          <w:lang w:val="sr-Cyrl-RS"/>
        </w:rPr>
        <w:t xml:space="preserve"> Gastrointestinalna perforacija i intestinalna perforacija.</w:t>
      </w:r>
    </w:p>
    <w:p w14:paraId="3A3897FA">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Latn-RS"/>
        </w:rPr>
        <w:t xml:space="preserve">r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Kolitis i ishemijski kolitis</w:t>
      </w:r>
    </w:p>
    <w:p w14:paraId="5D32B82C">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s </w:t>
      </w:r>
      <w:r>
        <w:rPr>
          <w:rFonts w:ascii="Microsoft Sans Serif" w:hAnsi="Microsoft Sans Serif" w:cs="Microsoft Sans Serif"/>
          <w:sz w:val="20"/>
          <w:szCs w:val="20"/>
          <w:lang w:val="sr-Cyrl-RS"/>
        </w:rPr>
        <w:t>Holecistitis i akalkulozni holecistitis.</w:t>
      </w:r>
    </w:p>
    <w:p w14:paraId="7DD04D5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t</w:t>
      </w:r>
      <w:r>
        <w:rPr>
          <w:rFonts w:ascii="Microsoft Sans Serif" w:hAnsi="Microsoft Sans Serif" w:cs="Microsoft Sans Serif"/>
          <w:sz w:val="20"/>
          <w:szCs w:val="20"/>
          <w:lang w:val="sr-Cyrl-RS"/>
        </w:rPr>
        <w:t xml:space="preserve"> Žuta prebojenost kože, diskoloracija kože i poremećaj pigmenta.</w:t>
      </w:r>
    </w:p>
    <w:p w14:paraId="5CDA1E1F">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u </w:t>
      </w:r>
      <w:r>
        <w:rPr>
          <w:rFonts w:ascii="Microsoft Sans Serif" w:hAnsi="Microsoft Sans Serif" w:cs="Microsoft Sans Serif"/>
          <w:sz w:val="20"/>
          <w:szCs w:val="20"/>
          <w:lang w:val="sr-Cyrl-RS"/>
        </w:rPr>
        <w:t xml:space="preserve"> Dermatitis nalik na psorijazu, eksfolijativni osip, osip, eritematozni osip, folikularni osip, generalizovani osip,</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makularni osip, makulo-papularni osip, papularni osip i osip sa svrabom.</w:t>
      </w:r>
    </w:p>
    <w:p w14:paraId="36C26D32">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v</w:t>
      </w:r>
      <w:r>
        <w:rPr>
          <w:rFonts w:ascii="Microsoft Sans Serif" w:hAnsi="Microsoft Sans Serif" w:cs="Microsoft Sans Serif"/>
          <w:sz w:val="20"/>
          <w:szCs w:val="20"/>
          <w:lang w:val="sr-Cyrl-RS"/>
        </w:rPr>
        <w:t xml:space="preserve"> Kožne reakcije i poremećaji kože.</w:t>
      </w:r>
    </w:p>
    <w:p w14:paraId="5BE3DA2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w</w:t>
      </w:r>
      <w:r>
        <w:rPr>
          <w:rFonts w:ascii="Microsoft Sans Serif" w:hAnsi="Microsoft Sans Serif" w:cs="Microsoft Sans Serif"/>
          <w:sz w:val="20"/>
          <w:szCs w:val="20"/>
          <w:lang w:val="sr-Cyrl-RS"/>
        </w:rPr>
        <w:t xml:space="preserve"> Obolјenje nokta i diskoloracija.</w:t>
      </w:r>
    </w:p>
    <w:p w14:paraId="4F34CC7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x</w:t>
      </w:r>
      <w:r>
        <w:rPr>
          <w:rFonts w:ascii="Microsoft Sans Serif" w:hAnsi="Microsoft Sans Serif" w:cs="Microsoft Sans Serif"/>
          <w:sz w:val="20"/>
          <w:szCs w:val="20"/>
          <w:lang w:val="sr-Cyrl-RS"/>
        </w:rPr>
        <w:t xml:space="preserve"> Zamor i astenija.</w:t>
      </w:r>
    </w:p>
    <w:p w14:paraId="77D12AC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y</w:t>
      </w:r>
      <w:r>
        <w:rPr>
          <w:rFonts w:ascii="Microsoft Sans Serif" w:hAnsi="Microsoft Sans Serif" w:cs="Microsoft Sans Serif"/>
          <w:sz w:val="20"/>
          <w:szCs w:val="20"/>
          <w:vertAlign w:val="superscript"/>
          <w:lang w:val="sr-Latn-RS"/>
        </w:rPr>
        <w:t xml:space="preserve"> </w:t>
      </w:r>
      <w:r>
        <w:rPr>
          <w:rFonts w:ascii="Microsoft Sans Serif" w:hAnsi="Microsoft Sans Serif" w:cs="Microsoft Sans Serif"/>
          <w:sz w:val="20"/>
          <w:szCs w:val="20"/>
          <w:lang w:val="sr-Cyrl-RS"/>
        </w:rPr>
        <w:t>Edem lica, edem i periferni edem.</w:t>
      </w:r>
    </w:p>
    <w:p w14:paraId="2E62DFF9">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z</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Povećane vrijednosti amilaza.</w:t>
      </w:r>
    </w:p>
    <w:p w14:paraId="0626275B">
      <w:pPr>
        <w:rPr>
          <w:rFonts w:ascii="Microsoft Sans Serif" w:hAnsi="Microsoft Sans Serif" w:cs="Microsoft Sans Serif"/>
          <w:sz w:val="20"/>
          <w:szCs w:val="20"/>
          <w:lang w:val="sr-Cyrl-RS"/>
        </w:rPr>
      </w:pPr>
    </w:p>
    <w:p w14:paraId="280BFDA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reakcija</w:t>
      </w:r>
    </w:p>
    <w:p w14:paraId="7A6FC5E8">
      <w:pPr>
        <w:rPr>
          <w:rFonts w:ascii="Microsoft Sans Serif" w:hAnsi="Microsoft Sans Serif" w:cs="Microsoft Sans Serif"/>
          <w:sz w:val="20"/>
          <w:szCs w:val="20"/>
          <w:u w:val="single"/>
        </w:rPr>
      </w:pPr>
    </w:p>
    <w:p w14:paraId="6F0DA9EE">
      <w:pPr>
        <w:rPr>
          <w:rFonts w:ascii="Microsoft Sans Serif" w:hAnsi="Microsoft Sans Serif" w:cs="Microsoft Sans Serif"/>
          <w:i/>
          <w:sz w:val="20"/>
          <w:szCs w:val="20"/>
        </w:rPr>
      </w:pPr>
      <w:r>
        <w:rPr>
          <w:rFonts w:ascii="Microsoft Sans Serif" w:hAnsi="Microsoft Sans Serif" w:cs="Microsoft Sans Serif"/>
          <w:i/>
          <w:sz w:val="20"/>
          <w:szCs w:val="20"/>
        </w:rPr>
        <w:t>Infekcije i infestacije</w:t>
      </w:r>
    </w:p>
    <w:p w14:paraId="4AF050FF">
      <w:pPr>
        <w:rPr>
          <w:rFonts w:ascii="Microsoft Sans Serif" w:hAnsi="Microsoft Sans Serif" w:cs="Microsoft Sans Serif"/>
          <w:sz w:val="20"/>
          <w:szCs w:val="20"/>
        </w:rPr>
      </w:pPr>
      <w:r>
        <w:rPr>
          <w:rFonts w:ascii="Microsoft Sans Serif" w:hAnsi="Microsoft Sans Serif" w:cs="Microsoft Sans Serif"/>
          <w:sz w:val="20"/>
          <w:szCs w:val="20"/>
        </w:rPr>
        <w:t xml:space="preserve">Prijavlјivani su slučajevi ozbilјnih infekcija (sa ili bez neutropenije), uklјučujući slučajeve sa fatalnim ishodom. Slučajevi nekrotizirajućeg fasciitisa (uklјučujući perineum) su takođe zabilježeni, neki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rPr>
        <w:t xml:space="preserve"> ishodom (pogledati takođe dio 4.4).</w:t>
      </w:r>
    </w:p>
    <w:p w14:paraId="412DA946">
      <w:pPr>
        <w:rPr>
          <w:rFonts w:ascii="Microsoft Sans Serif" w:hAnsi="Microsoft Sans Serif" w:cs="Microsoft Sans Serif"/>
          <w:i/>
          <w:sz w:val="20"/>
          <w:szCs w:val="20"/>
        </w:rPr>
      </w:pPr>
    </w:p>
    <w:p w14:paraId="00602580">
      <w:pPr>
        <w:rPr>
          <w:rFonts w:ascii="Microsoft Sans Serif" w:hAnsi="Microsoft Sans Serif" w:cs="Microsoft Sans Serif"/>
          <w:i/>
          <w:sz w:val="20"/>
          <w:szCs w:val="20"/>
        </w:rPr>
      </w:pPr>
      <w:r>
        <w:rPr>
          <w:rFonts w:ascii="Microsoft Sans Serif" w:hAnsi="Microsoft Sans Serif" w:cs="Microsoft Sans Serif"/>
          <w:i/>
          <w:sz w:val="20"/>
          <w:szCs w:val="20"/>
        </w:rPr>
        <w:t>Poremećaji krvi i limfnog sistema</w:t>
      </w:r>
    </w:p>
    <w:p w14:paraId="6E0529E1">
      <w:pPr>
        <w:rPr>
          <w:rFonts w:ascii="Microsoft Sans Serif" w:hAnsi="Microsoft Sans Serif" w:cs="Microsoft Sans Serif"/>
          <w:sz w:val="20"/>
          <w:szCs w:val="20"/>
        </w:rPr>
      </w:pPr>
      <w:r>
        <w:rPr>
          <w:rFonts w:ascii="Microsoft Sans Serif" w:hAnsi="Microsoft Sans Serif" w:cs="Microsoft Sans Serif"/>
          <w:sz w:val="20"/>
          <w:szCs w:val="20"/>
        </w:rPr>
        <w:t xml:space="preserve">Prijavlјeno je smanjenje apsolutnog broja neutrofila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kod 10% odnosno 1,7% pacijenata u GIST studiji faze 3, kod 16% odnosno 1,6% pacijenata u MRCC studiji faze 3 i kod 13% odnosno 2,4% pacijenata u pNET studiji faze 3. Smanjenje broja trombocita</w:t>
      </w:r>
      <w:r>
        <w:rPr>
          <w:rFonts w:ascii="Microsoft Sans Serif" w:hAnsi="Microsoft Sans Serif" w:cs="Microsoft Sans Serif"/>
          <w:sz w:val="20"/>
          <w:szCs w:val="20"/>
          <w:lang w:val="mk-MK"/>
        </w:rPr>
        <w:t>, ozbilјnosti stepena</w:t>
      </w:r>
      <w:r>
        <w:rPr>
          <w:rFonts w:ascii="Microsoft Sans Serif" w:hAnsi="Microsoft Sans Serif" w:cs="Microsoft Sans Serif"/>
          <w:sz w:val="20"/>
          <w:szCs w:val="20"/>
        </w:rPr>
        <w:t xml:space="preserve"> 3 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zabilježeno je kod 3,7% odnosno 0,4% pacijenata u GIST studiji faze 3, kod 8,2% odnosno 1,1% pacijenata u MRCC studiji faze 3, kao i kod 3,7% odnosno 1,2% pacijenata u pNET studiji faze 3 (pogledati dio 4.4).</w:t>
      </w:r>
    </w:p>
    <w:p w14:paraId="34829C47">
      <w:pPr>
        <w:rPr>
          <w:rFonts w:ascii="Microsoft Sans Serif" w:hAnsi="Microsoft Sans Serif" w:cs="Microsoft Sans Serif"/>
          <w:sz w:val="20"/>
          <w:szCs w:val="20"/>
        </w:rPr>
      </w:pPr>
    </w:p>
    <w:p w14:paraId="7F12BC51">
      <w:pPr>
        <w:rPr>
          <w:rFonts w:ascii="Microsoft Sans Serif" w:hAnsi="Microsoft Sans Serif" w:cs="Microsoft Sans Serif"/>
          <w:sz w:val="20"/>
          <w:szCs w:val="20"/>
        </w:rPr>
      </w:pPr>
      <w:r>
        <w:rPr>
          <w:rFonts w:ascii="Microsoft Sans Serif" w:hAnsi="Microsoft Sans Serif" w:cs="Microsoft Sans Serif"/>
          <w:sz w:val="20"/>
          <w:szCs w:val="20"/>
        </w:rPr>
        <w:t xml:space="preserve">Hemoragijski događaji su zabilježeni kod 18% pacijenata koji su primali sunitinib u GIST studiji faze 3, u poređenju sa 17% pacijenata </w:t>
      </w:r>
      <w:r>
        <w:rPr>
          <w:rFonts w:ascii="Microsoft Sans Serif" w:hAnsi="Microsoft Sans Serif" w:cs="Microsoft Sans Serif"/>
          <w:sz w:val="20"/>
          <w:szCs w:val="20"/>
          <w:lang w:val="mk-MK"/>
        </w:rPr>
        <w:t>koji su dobijali</w:t>
      </w:r>
      <w:r>
        <w:rPr>
          <w:rFonts w:ascii="Microsoft Sans Serif" w:hAnsi="Microsoft Sans Serif" w:cs="Microsoft Sans Serif"/>
          <w:sz w:val="20"/>
          <w:szCs w:val="20"/>
        </w:rPr>
        <w:t xml:space="preserve"> placebo. Kod pacijenata koji su primali sunitinib za liječenje do tada neliječenog (tzv. "naive”) MRCC, 39% je imalo krvarenje u poređenju sa 11% pacijenata koji su liječeni interferonom-α (INF-α). Sedamnaest (4,5%) pacijenata koji su bili liječeni sunitinibom prema 5 (1,7%) pacijenata koji su bili na INF-α su imali krvarenja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ili većeg. Od pacijenata koji su primali sunitinib za liječenje MRCC refraktornog na citokine, 26% imalo je krvarenja. Hemoragijski događaji, isklјučujući epistaksu, javili su se kod 21,7% pacijenata koji su primali sunitinib u pNET studiji faze 3, u poređenju sa 9,85% pacijenata koji su primali placebo (pogledati dio 4.4).</w:t>
      </w:r>
    </w:p>
    <w:p w14:paraId="7B2DE842">
      <w:pPr>
        <w:rPr>
          <w:rFonts w:ascii="Microsoft Sans Serif" w:hAnsi="Microsoft Sans Serif" w:cs="Microsoft Sans Serif"/>
          <w:sz w:val="20"/>
          <w:szCs w:val="20"/>
        </w:rPr>
      </w:pPr>
    </w:p>
    <w:p w14:paraId="0CCF67C4">
      <w:pPr>
        <w:rPr>
          <w:rFonts w:ascii="Microsoft Sans Serif" w:hAnsi="Microsoft Sans Serif" w:cs="Microsoft Sans Serif"/>
          <w:sz w:val="20"/>
          <w:szCs w:val="20"/>
        </w:rPr>
      </w:pPr>
      <w:r>
        <w:rPr>
          <w:rFonts w:ascii="Microsoft Sans Serif" w:hAnsi="Microsoft Sans Serif" w:cs="Microsoft Sans Serif"/>
          <w:sz w:val="20"/>
          <w:szCs w:val="20"/>
        </w:rPr>
        <w:t>U kliničkim studijama, hemoragije tumora javlјale su se kod približno 2% pacijenata sa GIST.</w:t>
      </w:r>
    </w:p>
    <w:p w14:paraId="77AC7614">
      <w:pPr>
        <w:rPr>
          <w:rFonts w:ascii="Microsoft Sans Serif" w:hAnsi="Microsoft Sans Serif" w:cs="Microsoft Sans Serif"/>
          <w:sz w:val="20"/>
          <w:szCs w:val="20"/>
        </w:rPr>
      </w:pPr>
    </w:p>
    <w:p w14:paraId="0BCC72E5">
      <w:pPr>
        <w:rPr>
          <w:rFonts w:ascii="Microsoft Sans Serif" w:hAnsi="Microsoft Sans Serif" w:cs="Microsoft Sans Serif"/>
          <w:i/>
          <w:sz w:val="20"/>
          <w:szCs w:val="20"/>
        </w:rPr>
      </w:pPr>
      <w:r>
        <w:rPr>
          <w:rFonts w:ascii="Microsoft Sans Serif" w:hAnsi="Microsoft Sans Serif" w:cs="Microsoft Sans Serif"/>
          <w:i/>
          <w:sz w:val="20"/>
          <w:szCs w:val="20"/>
        </w:rPr>
        <w:t>Poremećaji imunskog sistema</w:t>
      </w:r>
    </w:p>
    <w:p w14:paraId="3D606082">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reakcija preosjetljivosti, uklјučujući angioedem (pogledati dio 4.4).</w:t>
      </w:r>
    </w:p>
    <w:p w14:paraId="3563203D">
      <w:pPr>
        <w:rPr>
          <w:rFonts w:ascii="Microsoft Sans Serif" w:hAnsi="Microsoft Sans Serif" w:cs="Microsoft Sans Serif"/>
          <w:sz w:val="20"/>
          <w:szCs w:val="20"/>
          <w:u w:val="single"/>
        </w:rPr>
      </w:pPr>
    </w:p>
    <w:p w14:paraId="36D882CD">
      <w:pPr>
        <w:rPr>
          <w:rFonts w:ascii="Microsoft Sans Serif" w:hAnsi="Microsoft Sans Serif" w:cs="Microsoft Sans Serif"/>
          <w:i/>
          <w:sz w:val="20"/>
          <w:szCs w:val="20"/>
        </w:rPr>
      </w:pPr>
      <w:r>
        <w:rPr>
          <w:rFonts w:ascii="Microsoft Sans Serif" w:hAnsi="Microsoft Sans Serif" w:cs="Microsoft Sans Serif"/>
          <w:i/>
          <w:sz w:val="20"/>
          <w:szCs w:val="20"/>
        </w:rPr>
        <w:t>Endokrini poremećaji</w:t>
      </w:r>
    </w:p>
    <w:p w14:paraId="30A297FF">
      <w:pPr>
        <w:rPr>
          <w:rFonts w:ascii="Microsoft Sans Serif" w:hAnsi="Microsoft Sans Serif" w:cs="Microsoft Sans Serif"/>
          <w:sz w:val="20"/>
          <w:szCs w:val="20"/>
        </w:rPr>
      </w:pPr>
      <w:r>
        <w:rPr>
          <w:rFonts w:ascii="Microsoft Sans Serif" w:hAnsi="Microsoft Sans Serif" w:cs="Microsoft Sans Serif"/>
          <w:sz w:val="20"/>
          <w:szCs w:val="20"/>
        </w:rPr>
        <w:t>Hipotireoidizam je zabilježen kao neželјena reakcija kod 7 pacijenata (4%) koji su primali sunitinib u dvije studije sa MRCC refraktornim na citokine; kod 61 pacijenta (16%) koji su uzimali sunitinib i kod 3 pacijenta (&lt;1%) liječenih INF-α u studiji do tada neliječenog (tzv. "naive") MRCC.</w:t>
      </w:r>
    </w:p>
    <w:p w14:paraId="13E2098F">
      <w:pPr>
        <w:rPr>
          <w:rFonts w:ascii="Microsoft Sans Serif" w:hAnsi="Microsoft Sans Serif" w:cs="Microsoft Sans Serif"/>
          <w:sz w:val="20"/>
          <w:szCs w:val="20"/>
        </w:rPr>
      </w:pPr>
      <w:r>
        <w:rPr>
          <w:rFonts w:ascii="Microsoft Sans Serif" w:hAnsi="Microsoft Sans Serif" w:cs="Microsoft Sans Serif"/>
          <w:sz w:val="20"/>
          <w:szCs w:val="20"/>
        </w:rPr>
        <w:t xml:space="preserve">Dodatno, elevacija TSH opisana je kod 4 pacijenta sa MRCC refraktornim na citokine (2%). Ukupno, 7% pacijenata u MRCC populaciji imalo je bilo kliničke bilo laboratorijske dokaze o hipotireoidizmu koji </w:t>
      </w:r>
      <w:r>
        <w:rPr>
          <w:rFonts w:ascii="Microsoft Sans Serif" w:hAnsi="Microsoft Sans Serif" w:cs="Microsoft Sans Serif"/>
          <w:sz w:val="20"/>
          <w:szCs w:val="20"/>
          <w:lang w:val="mk-MK"/>
        </w:rPr>
        <w:t>zahtjeva hitno liječenje</w:t>
      </w:r>
      <w:r>
        <w:rPr>
          <w:rFonts w:ascii="Microsoft Sans Serif" w:hAnsi="Microsoft Sans Serif" w:cs="Microsoft Sans Serif"/>
          <w:sz w:val="20"/>
          <w:szCs w:val="20"/>
        </w:rPr>
        <w:t xml:space="preserve">. Stečeni hipotireoidizam je zabilježen kod 6,2% GIST pacijenata koji su liječeni sunitinibom, u poređenju sa 1%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U pNET studiji faze 3 hipotireoidizam je zabilježen kod 6 pacijenata (7,2%) koji su primali sunitinib i kod 1 pacijenta (1,2%) koji je primao placebo.</w:t>
      </w:r>
    </w:p>
    <w:p w14:paraId="78FEE746">
      <w:pPr>
        <w:rPr>
          <w:rFonts w:ascii="Microsoft Sans Serif" w:hAnsi="Microsoft Sans Serif" w:cs="Microsoft Sans Serif"/>
          <w:sz w:val="20"/>
          <w:szCs w:val="20"/>
        </w:rPr>
      </w:pPr>
    </w:p>
    <w:p w14:paraId="544EBDD8">
      <w:pPr>
        <w:rPr>
          <w:rFonts w:ascii="Microsoft Sans Serif" w:hAnsi="Microsoft Sans Serif" w:cs="Microsoft Sans Serif"/>
          <w:sz w:val="20"/>
          <w:szCs w:val="20"/>
        </w:rPr>
      </w:pPr>
      <w:r>
        <w:rPr>
          <w:rFonts w:ascii="Microsoft Sans Serif" w:hAnsi="Microsoft Sans Serif" w:cs="Microsoft Sans Serif"/>
          <w:sz w:val="20"/>
          <w:szCs w:val="20"/>
        </w:rPr>
        <w:t>Tireoidna funkcija prospektivno je praćena u dvije studije kod pacijenata sa karcinomom dojke; lijek Fasindor nije odobren za liječenje karcinoma dojke. U jednoj studiji hipotireoidizam je zabilježen kod 15 (13,6%) pacijenata na terapiji sunitinibom i 3 (2,9%) pacijenta na standardnoj terapiji. Povećanje nivoa TSH u krvi je zabilježeno kod 1 (0,9%) pacijenta na terapiji sunitinibom i ni kod jednog pacijenta na standardnoj terapiji. Hipertireoidizam nije zabilježen kod pacijenata na terapiji sunitinibom, a zabilježen je kod 1 (1,0%) pacijenta na standardnoj terapiji. U drugoj studiji hipotireoidizam je zabilježen kod ukupno 31 (13%) pacijenta na terapiji sunitinibom i 2 (0,8%) ispitanika na terapiji kapecitabinom. Povećanje nivoa TSH u krvi je zabilježeno kod 12 (5,0%) pacijenata na terapiji sunitinibom, a ni kod jednog pacijenta na terapiji kapecitabinom. Hipertireoidizam je zabilježen kod 4 (1,7%) pacijenta na terapiji sunitinibom i ni kod jednog pacijenta na terapiji kapecitabinom. Sniženje nivoa TSH u krvi je zabilježeno kod 3 (1,3%) pacijenta na terapiji sunitinibom, a ni kod jednog pacijenta na terapiji kapecitabinom. Povećanje nivoa T4 je zabilježeno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2 (0,8%) pacijenta na terapiji sunitinibom i kod 1 (0,4%) pacijenta na terapiji kapecitabinom. Povećanje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nivoa T3 je zabilježeno kod 1 (0,8%) pacijenta na terapiji sunitinibom, a ni kod jednog pacijenta na terapiji kapecitabinom. Svi događaji povezani sa tireoideom su bili stepena 1-2 (pogledati dio 4.4).</w:t>
      </w:r>
    </w:p>
    <w:p w14:paraId="735E48E9">
      <w:pPr>
        <w:rPr>
          <w:rFonts w:ascii="Microsoft Sans Serif" w:hAnsi="Microsoft Sans Serif" w:cs="Microsoft Sans Serif"/>
          <w:sz w:val="20"/>
          <w:szCs w:val="20"/>
        </w:rPr>
      </w:pPr>
    </w:p>
    <w:p w14:paraId="22950BBE">
      <w:pPr>
        <w:rPr>
          <w:rFonts w:ascii="Microsoft Sans Serif" w:hAnsi="Microsoft Sans Serif" w:cs="Microsoft Sans Serif"/>
          <w:i/>
          <w:sz w:val="20"/>
          <w:szCs w:val="20"/>
        </w:rPr>
      </w:pPr>
    </w:p>
    <w:p w14:paraId="6BD5FBFB">
      <w:pPr>
        <w:rPr>
          <w:rFonts w:ascii="Microsoft Sans Serif" w:hAnsi="Microsoft Sans Serif" w:cs="Microsoft Sans Serif"/>
          <w:i/>
          <w:sz w:val="20"/>
          <w:szCs w:val="20"/>
        </w:rPr>
      </w:pPr>
      <w:r>
        <w:rPr>
          <w:rFonts w:ascii="Microsoft Sans Serif" w:hAnsi="Microsoft Sans Serif" w:cs="Microsoft Sans Serif"/>
          <w:i/>
          <w:sz w:val="20"/>
          <w:szCs w:val="20"/>
        </w:rPr>
        <w:t>Poremećaji metabolizma i ishrane</w:t>
      </w:r>
    </w:p>
    <w:p w14:paraId="07A2A213">
      <w:pPr>
        <w:rPr>
          <w:rFonts w:ascii="Microsoft Sans Serif" w:hAnsi="Microsoft Sans Serif" w:cs="Microsoft Sans Serif"/>
          <w:sz w:val="20"/>
          <w:szCs w:val="20"/>
        </w:rPr>
      </w:pPr>
      <w:r>
        <w:rPr>
          <w:rFonts w:ascii="Microsoft Sans Serif" w:hAnsi="Microsoft Sans Serif" w:cs="Microsoft Sans Serif"/>
          <w:sz w:val="20"/>
          <w:szCs w:val="20"/>
        </w:rPr>
        <w:t>Prijavlјena je veća stopa incidence hipoglikemijskih događaja kod pacijenata sa pNET u poređenju sa pacijentima sa MRRC i GIST. Uprkos tome, smatra se da većina tih neželјenih događaja u kliničkim studijama nije povezana sa ispitivanim liječenjem (pogledati dio 4.4).</w:t>
      </w:r>
    </w:p>
    <w:p w14:paraId="0E7DB3A3">
      <w:pPr>
        <w:rPr>
          <w:rFonts w:ascii="Microsoft Sans Serif" w:hAnsi="Microsoft Sans Serif" w:cs="Microsoft Sans Serif"/>
          <w:i/>
          <w:sz w:val="20"/>
          <w:szCs w:val="20"/>
          <w:lang w:val="sr-Cyrl-RS"/>
        </w:rPr>
      </w:pPr>
    </w:p>
    <w:p w14:paraId="05305C57">
      <w:pPr>
        <w:rPr>
          <w:rFonts w:ascii="Microsoft Sans Serif" w:hAnsi="Microsoft Sans Serif" w:cs="Microsoft Sans Serif"/>
          <w:i/>
          <w:sz w:val="20"/>
          <w:szCs w:val="20"/>
        </w:rPr>
      </w:pPr>
      <w:r>
        <w:rPr>
          <w:rFonts w:ascii="Microsoft Sans Serif" w:hAnsi="Microsoft Sans Serif" w:cs="Microsoft Sans Serif"/>
          <w:i/>
          <w:sz w:val="20"/>
          <w:szCs w:val="20"/>
        </w:rPr>
        <w:t>Poremećaji nervnog sistema</w:t>
      </w:r>
    </w:p>
    <w:p w14:paraId="72782F71">
      <w:pPr>
        <w:rPr>
          <w:rFonts w:ascii="Microsoft Sans Serif" w:hAnsi="Microsoft Sans Serif" w:cs="Microsoft Sans Serif"/>
          <w:sz w:val="20"/>
          <w:szCs w:val="20"/>
        </w:rPr>
      </w:pPr>
      <w:r>
        <w:rPr>
          <w:rFonts w:ascii="Microsoft Sans Serif" w:hAnsi="Microsoft Sans Serif" w:cs="Microsoft Sans Serif"/>
          <w:sz w:val="20"/>
          <w:szCs w:val="20"/>
        </w:rPr>
        <w:t>U kliničkim studijama sunitiniba, kao i tokom postmarketinškog praćenja, zabilježeno je nekoliko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(&lt; 1%), od kojih su neki bili sa fatalnim ishodom, ispitanika koji su imali konvulzije i radiološke 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sindroma reverzibilne posteriorne encefalopatije (</w:t>
      </w:r>
      <w:r>
        <w:rPr>
          <w:rFonts w:ascii="Microsoft Sans Serif" w:hAnsi="Microsoft Sans Serif" w:cs="Microsoft Sans Serif"/>
          <w:sz w:val="20"/>
          <w:szCs w:val="20"/>
          <w:lang w:val="sr-Latn-RS"/>
        </w:rPr>
        <w:t>RPLS</w:t>
      </w:r>
      <w:r>
        <w:rPr>
          <w:rFonts w:ascii="Microsoft Sans Serif" w:hAnsi="Microsoft Sans Serif" w:cs="Microsoft Sans Serif"/>
          <w:sz w:val="20"/>
          <w:szCs w:val="20"/>
        </w:rPr>
        <w:t>). Konvulzije su zabilježene kod pacijenata sa ili bez radioloških dokaza o metastazama u mozgu (pogledati dio 4.4).</w:t>
      </w:r>
    </w:p>
    <w:p w14:paraId="2105397D">
      <w:pPr>
        <w:rPr>
          <w:rFonts w:ascii="Microsoft Sans Serif" w:hAnsi="Microsoft Sans Serif" w:cs="Microsoft Sans Serif"/>
          <w:sz w:val="20"/>
          <w:szCs w:val="20"/>
          <w:u w:val="single"/>
        </w:rPr>
      </w:pPr>
    </w:p>
    <w:p w14:paraId="07C0F36C">
      <w:pPr>
        <w:rPr>
          <w:rFonts w:ascii="Microsoft Sans Serif" w:hAnsi="Microsoft Sans Serif" w:cs="Microsoft Sans Serif"/>
          <w:i/>
          <w:sz w:val="20"/>
          <w:szCs w:val="20"/>
        </w:rPr>
      </w:pPr>
      <w:r>
        <w:rPr>
          <w:rFonts w:ascii="Microsoft Sans Serif" w:hAnsi="Microsoft Sans Serif" w:cs="Microsoft Sans Serif"/>
          <w:i/>
          <w:sz w:val="20"/>
          <w:szCs w:val="20"/>
        </w:rPr>
        <w:t>Kardiološki poremećaji</w:t>
      </w:r>
    </w:p>
    <w:p w14:paraId="02EC7B82">
      <w:pPr>
        <w:rPr>
          <w:rFonts w:ascii="Microsoft Sans Serif" w:hAnsi="Microsoft Sans Serif" w:cs="Microsoft Sans Serif"/>
          <w:sz w:val="20"/>
          <w:szCs w:val="20"/>
        </w:rPr>
      </w:pPr>
      <w:r>
        <w:rPr>
          <w:rFonts w:ascii="Microsoft Sans Serif" w:hAnsi="Microsoft Sans Serif" w:cs="Microsoft Sans Serif"/>
          <w:sz w:val="20"/>
          <w:szCs w:val="20"/>
        </w:rPr>
        <w:t xml:space="preserve">U kliničkim studijama, smanjenje ejekcione frakcije lijeve komore (LVEF) od ≥20% i ispod donje granice normalnih vrijednosti, zabilježeno je kod približno 2% pacijenata sa GIST koji su primali sunitinib, kod 4% pacijenata sa MRCC refraktornim na citokine i kod 2% pacijenata sa GIST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Ta smanjenja LVEF izgleda da nisu bila progresivna i često se stanje popravlјalo tokom dalјeg liječenja. U studiji kod do tada neliječenog (tzv. "naive") MRCC, 27% pacijenata koji su primali sunitinib i 15% pacijenata koji su liječeni INF-α imalo je vrijednosti LVEF ispod donje granice normalnih vrijednosti tog parametra. Kod dva pacijenta (&lt;1%) koji su primali sunitinib postavlјena je dijagnoza kongestivne srčane insuficijencije.</w:t>
      </w:r>
    </w:p>
    <w:p w14:paraId="10B1A2E7">
      <w:pPr>
        <w:rPr>
          <w:rFonts w:ascii="Microsoft Sans Serif" w:hAnsi="Microsoft Sans Serif" w:cs="Microsoft Sans Serif"/>
          <w:sz w:val="20"/>
          <w:szCs w:val="20"/>
        </w:rPr>
      </w:pPr>
    </w:p>
    <w:p w14:paraId="772DDBF3">
      <w:pPr>
        <w:rPr>
          <w:rFonts w:ascii="Microsoft Sans Serif" w:hAnsi="Microsoft Sans Serif" w:cs="Microsoft Sans Serif"/>
          <w:sz w:val="20"/>
          <w:szCs w:val="20"/>
        </w:rPr>
      </w:pPr>
      <w:r>
        <w:rPr>
          <w:rFonts w:ascii="Microsoft Sans Serif" w:hAnsi="Microsoft Sans Serif" w:cs="Microsoft Sans Serif"/>
          <w:sz w:val="20"/>
          <w:szCs w:val="20"/>
        </w:rPr>
        <w:t xml:space="preserve">Kod pacijenata sa GIST, ‘srčana insuficijencija’, ‘kongenstivna srčana insuficijencija’ ili ‘insuficijencija lijeve komore’, prijavlјene su kod 1,2% pacijenata koji su liječeni sunitinibom i kod 1%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U pivotalnoj GIST studiji faze 3 (N=312) fatalni srčani događaji povezani sa terapijom zabilježeni su kod 1% pacijenata u obje terapijske grupe (sunitinib i placebo grupa). U studiji faze 2 kod pacijenata sa MRCC refraktornim na citokine, kod 0,9% pacijenata došlo je do pojave fatalnog infarkta miokarda kao posljedice liječenja. U studiji faze 3 kod do tada neliječenog (tzv. "naive") MRCC, 0,6% pacijenata koji su liječeni INF-α i 0% pacijenata koji su primali sunitinib su imali fatalne srčane događaje. U pNET studiji faze 3 jedan (1%) pacijent koji je primao sunitinib imao je fatalnu insuficijenciju srca povezanu sa terapijom.</w:t>
      </w:r>
    </w:p>
    <w:p w14:paraId="6EFD6FD7">
      <w:pPr>
        <w:rPr>
          <w:rFonts w:ascii="Microsoft Sans Serif" w:hAnsi="Microsoft Sans Serif" w:cs="Microsoft Sans Serif"/>
          <w:sz w:val="20"/>
          <w:szCs w:val="20"/>
        </w:rPr>
      </w:pPr>
    </w:p>
    <w:p w14:paraId="0B81EEF7">
      <w:pPr>
        <w:rPr>
          <w:rFonts w:ascii="Microsoft Sans Serif" w:hAnsi="Microsoft Sans Serif" w:cs="Microsoft Sans Serif"/>
          <w:i/>
          <w:sz w:val="20"/>
          <w:szCs w:val="20"/>
        </w:rPr>
      </w:pPr>
      <w:r>
        <w:rPr>
          <w:rFonts w:ascii="Microsoft Sans Serif" w:hAnsi="Microsoft Sans Serif" w:cs="Microsoft Sans Serif"/>
          <w:i/>
          <w:sz w:val="20"/>
          <w:szCs w:val="20"/>
        </w:rPr>
        <w:t>Vaskularni poremećaji</w:t>
      </w:r>
    </w:p>
    <w:p w14:paraId="12B93454">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Hipertenzija</w:t>
      </w:r>
    </w:p>
    <w:p w14:paraId="121DCC30">
      <w:pPr>
        <w:rPr>
          <w:rFonts w:ascii="Microsoft Sans Serif" w:hAnsi="Microsoft Sans Serif" w:cs="Microsoft Sans Serif"/>
          <w:sz w:val="20"/>
          <w:szCs w:val="20"/>
        </w:rPr>
      </w:pPr>
      <w:r>
        <w:rPr>
          <w:rFonts w:ascii="Microsoft Sans Serif" w:hAnsi="Microsoft Sans Serif" w:cs="Microsoft Sans Serif"/>
          <w:sz w:val="20"/>
          <w:szCs w:val="20"/>
        </w:rPr>
        <w:t xml:space="preserve">Hipertenzija je bila vrlo česta neželјena reakcija koja je prijavlјena u kliničkim studijama. Doze sunitiniba bile su smanjene ili je uzimanje lijeka bilo privremeno prekinuto kod približno 2,7% pacijenata </w:t>
      </w:r>
      <w:r>
        <w:rPr>
          <w:rFonts w:ascii="Microsoft Sans Serif" w:hAnsi="Microsoft Sans Serif" w:cs="Microsoft Sans Serif"/>
          <w:sz w:val="20"/>
          <w:szCs w:val="20"/>
          <w:lang w:val="mk-MK"/>
        </w:rPr>
        <w:t>kod kojih se pojavila</w:t>
      </w:r>
      <w:r>
        <w:rPr>
          <w:rFonts w:ascii="Microsoft Sans Serif" w:hAnsi="Microsoft Sans Serif" w:cs="Microsoft Sans Serif"/>
          <w:sz w:val="20"/>
          <w:szCs w:val="20"/>
        </w:rPr>
        <w:t xml:space="preserve"> hipertenzij</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 Terapija sunitinibom nije trajno prekinuta ni kod jednog od tih pacijenata. Teška hipertenzija (&gt;200 mmHg za sistolni ili 110 mmHg za dijastolni pritisak) zabilježena je kod 4,7% pacijenata sa solidnim tumorima. Hipertenzija je zabilježena kod približno 33,9% pacijenata koji su uzimali sunitinib za liječenje do tada neliječenog (tzv. "naive") MRCC u poređenju sa 3,6% pacijenata liječenih sa INF-α. Teška hipertenzija zabilježena je kod 12% prethodno neliječenih pacijenata koji su primali sunitinib i kod &lt;1% pacijenata liječenih INF-α. Hipertenzija je prijavlјena kod 26,5% pacijenata koji su primali sunitinib u pNET studiji faze 3, u poređenju sa 4,9%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Teška hipertenzija je zabilježena kod 10% pacijenata sa pNET koji su primali sunitinib i kod 3% pacijenata koji su primali placebo.</w:t>
      </w:r>
    </w:p>
    <w:p w14:paraId="14B37716">
      <w:pPr>
        <w:rPr>
          <w:rFonts w:ascii="Microsoft Sans Serif" w:hAnsi="Microsoft Sans Serif" w:cs="Microsoft Sans Serif"/>
          <w:sz w:val="20"/>
          <w:szCs w:val="20"/>
        </w:rPr>
      </w:pPr>
    </w:p>
    <w:p w14:paraId="1F91370B">
      <w:pPr>
        <w:rPr>
          <w:rFonts w:ascii="Microsoft Sans Serif" w:hAnsi="Microsoft Sans Serif" w:cs="Microsoft Sans Serif"/>
          <w:sz w:val="20"/>
          <w:szCs w:val="20"/>
          <w:u w:val="single"/>
        </w:rPr>
      </w:pPr>
    </w:p>
    <w:p w14:paraId="1C2EFEF8">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Venski tromboembolijski događaji</w:t>
      </w:r>
    </w:p>
    <w:p w14:paraId="0C5C1F38">
      <w:pPr>
        <w:rPr>
          <w:rFonts w:ascii="Microsoft Sans Serif" w:hAnsi="Microsoft Sans Serif" w:cs="Microsoft Sans Serif"/>
          <w:sz w:val="20"/>
          <w:szCs w:val="20"/>
        </w:rPr>
      </w:pPr>
      <w:r>
        <w:rPr>
          <w:rFonts w:ascii="Microsoft Sans Serif" w:hAnsi="Microsoft Sans Serif" w:cs="Microsoft Sans Serif"/>
          <w:sz w:val="20"/>
          <w:szCs w:val="20"/>
        </w:rPr>
        <w:t xml:space="preserve">Venski tromboembolijski događaji povezani sa terapijom sunitinibom zabilježeni su kod približno 1,0% pacijenata sa solidnim tumorima koji su primali sunitinib tokom kliničkih studija, uklјučujući GIST i RCC. </w:t>
      </w:r>
    </w:p>
    <w:p w14:paraId="5E649A66">
      <w:pPr>
        <w:rPr>
          <w:rFonts w:ascii="Microsoft Sans Serif" w:hAnsi="Microsoft Sans Serif" w:cs="Microsoft Sans Serif"/>
          <w:sz w:val="20"/>
          <w:szCs w:val="20"/>
        </w:rPr>
      </w:pPr>
    </w:p>
    <w:p w14:paraId="6140F75B">
      <w:pPr>
        <w:rPr>
          <w:rFonts w:ascii="Microsoft Sans Serif" w:hAnsi="Microsoft Sans Serif" w:cs="Microsoft Sans Serif"/>
          <w:sz w:val="20"/>
          <w:szCs w:val="20"/>
        </w:rPr>
      </w:pPr>
      <w:r>
        <w:rPr>
          <w:rFonts w:ascii="Microsoft Sans Serif" w:hAnsi="Microsoft Sans Serif" w:cs="Microsoft Sans Serif"/>
          <w:sz w:val="20"/>
          <w:szCs w:val="20"/>
        </w:rPr>
        <w:t xml:space="preserve">Sedam pacijenata (3%) koji su primali sunitinib i ni jedan pacijent koji je </w:t>
      </w:r>
      <w:r>
        <w:rPr>
          <w:rFonts w:ascii="Microsoft Sans Serif" w:hAnsi="Microsoft Sans Serif" w:cs="Microsoft Sans Serif"/>
          <w:sz w:val="20"/>
          <w:szCs w:val="20"/>
          <w:lang w:val="mk-MK"/>
        </w:rPr>
        <w:t>dobijao</w:t>
      </w:r>
      <w:r>
        <w:rPr>
          <w:rFonts w:ascii="Microsoft Sans Serif" w:hAnsi="Microsoft Sans Serif" w:cs="Microsoft Sans Serif"/>
          <w:sz w:val="20"/>
          <w:szCs w:val="20"/>
        </w:rPr>
        <w:t xml:space="preserve"> placebo u toku GIST studije faze 3 imalo je venske tromboembolijske događaje; 5 od 7 pacijenata imalo je </w:t>
      </w:r>
      <w:r>
        <w:rPr>
          <w:rFonts w:ascii="Microsoft Sans Serif" w:hAnsi="Microsoft Sans Serif" w:cs="Microsoft Sans Serif"/>
          <w:sz w:val="20"/>
          <w:szCs w:val="20"/>
          <w:lang w:val="mk-MK"/>
        </w:rPr>
        <w:t>duboku vensku tromozu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a 2 su imala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1 ili 2. Četiri od tih 7 GIST pacijenata prekinulo je liječenje poslije prve opservacije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w:t>
      </w:r>
    </w:p>
    <w:p w14:paraId="1F2A8810">
      <w:pPr>
        <w:rPr>
          <w:rFonts w:ascii="Microsoft Sans Serif" w:hAnsi="Microsoft Sans Serif" w:cs="Microsoft Sans Serif"/>
          <w:sz w:val="20"/>
          <w:szCs w:val="20"/>
        </w:rPr>
      </w:pPr>
    </w:p>
    <w:p w14:paraId="01FE25A0">
      <w:pPr>
        <w:rPr>
          <w:rFonts w:ascii="Microsoft Sans Serif" w:hAnsi="Microsoft Sans Serif" w:cs="Microsoft Sans Serif"/>
          <w:sz w:val="20"/>
          <w:szCs w:val="20"/>
        </w:rPr>
      </w:pPr>
      <w:r>
        <w:rPr>
          <w:rFonts w:ascii="Microsoft Sans Serif" w:hAnsi="Microsoft Sans Serif" w:cs="Microsoft Sans Serif"/>
          <w:sz w:val="20"/>
          <w:szCs w:val="20"/>
        </w:rPr>
        <w:t xml:space="preserve">Trinaest pacijenata (3%) koji su primali sunitinib u studiji faze 3 sa do tada neliječenim (tzv. "naive") MRCC i 4 pacijenta (2%) u 2 studije sa MRCC refraktornim na citokine, imalo je venske tromboembolijske događaje. Devet od tih pacijenata imalo je plućnu emboliju, 1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2, a 8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Osam pacijenata je imalo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1 pacijent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1, 2 pacijenta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2, 4 pacijenta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i 1 pacijent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U studiji sa MRCC koji je bio refraktoran na citokine, 1 pacijent koji je imao plućnu emboliju morao je da prekine liječenje.</w:t>
      </w:r>
    </w:p>
    <w:p w14:paraId="3A2F3416">
      <w:pPr>
        <w:rPr>
          <w:rFonts w:ascii="Microsoft Sans Serif" w:hAnsi="Microsoft Sans Serif" w:cs="Microsoft Sans Serif"/>
          <w:sz w:val="20"/>
          <w:szCs w:val="20"/>
        </w:rPr>
      </w:pPr>
      <w:r>
        <w:rPr>
          <w:rFonts w:ascii="Microsoft Sans Serif" w:hAnsi="Microsoft Sans Serif" w:cs="Microsoft Sans Serif"/>
          <w:sz w:val="20"/>
          <w:szCs w:val="20"/>
        </w:rPr>
        <w:t xml:space="preserve">Tokom liječenja do tada neliječenog (tzv. "naive") MRCC, 6 pacijenata (2%) koji su liječeni INF-α imalo je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1 pacijent (&lt; 1%) imao je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a 5 pacijenata (1%) imalo je plućnu emboliju, svi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w:t>
      </w:r>
    </w:p>
    <w:p w14:paraId="1043A5BF">
      <w:pPr>
        <w:rPr>
          <w:rFonts w:ascii="Microsoft Sans Serif" w:hAnsi="Microsoft Sans Serif" w:cs="Microsoft Sans Serif"/>
          <w:sz w:val="20"/>
          <w:szCs w:val="20"/>
        </w:rPr>
      </w:pPr>
    </w:p>
    <w:p w14:paraId="59EB58C7">
      <w:pPr>
        <w:rPr>
          <w:rFonts w:ascii="Microsoft Sans Serif" w:hAnsi="Microsoft Sans Serif" w:cs="Microsoft Sans Serif"/>
          <w:sz w:val="20"/>
          <w:szCs w:val="20"/>
        </w:rPr>
      </w:pPr>
      <w:r>
        <w:rPr>
          <w:rFonts w:ascii="Microsoft Sans Serif" w:hAnsi="Microsoft Sans Serif" w:cs="Microsoft Sans Serif"/>
          <w:sz w:val="20"/>
          <w:szCs w:val="20"/>
        </w:rPr>
        <w:t xml:space="preserve">U pNET studiji faze 3, venski tromboembolijski događaji prijavlјeni su kod 1 pacijenta (1,2%) u grupi koja je primala sunitinib i kod 5 pacijenata (6,1%) u grupi koja je </w:t>
      </w:r>
      <w:r>
        <w:rPr>
          <w:rFonts w:ascii="Microsoft Sans Serif" w:hAnsi="Microsoft Sans Serif" w:cs="Microsoft Sans Serif"/>
          <w:sz w:val="20"/>
          <w:szCs w:val="20"/>
          <w:lang w:val="mk-MK"/>
        </w:rPr>
        <w:t>dobijala</w:t>
      </w:r>
      <w:r>
        <w:rPr>
          <w:rFonts w:ascii="Microsoft Sans Serif" w:hAnsi="Microsoft Sans Serif" w:cs="Microsoft Sans Serif"/>
          <w:sz w:val="20"/>
          <w:szCs w:val="20"/>
        </w:rPr>
        <w:t xml:space="preserve"> placebo. Dva pacijenta u grupi koja je </w:t>
      </w:r>
      <w:r>
        <w:rPr>
          <w:rFonts w:ascii="Microsoft Sans Serif" w:hAnsi="Microsoft Sans Serif" w:cs="Microsoft Sans Serif"/>
          <w:sz w:val="20"/>
          <w:szCs w:val="20"/>
          <w:lang w:val="mk-MK"/>
        </w:rPr>
        <w:t>dobijala</w:t>
      </w:r>
      <w:r>
        <w:rPr>
          <w:rFonts w:ascii="Microsoft Sans Serif" w:hAnsi="Microsoft Sans Serif" w:cs="Microsoft Sans Serif"/>
          <w:sz w:val="20"/>
          <w:szCs w:val="20"/>
        </w:rPr>
        <w:t xml:space="preserve"> placebo imala </w:t>
      </w:r>
      <w:r>
        <w:rPr>
          <w:rFonts w:ascii="Microsoft Sans Serif" w:hAnsi="Microsoft Sans Serif" w:cs="Microsoft Sans Serif"/>
          <w:sz w:val="20"/>
          <w:szCs w:val="20"/>
          <w:lang w:val="sr-Cyrl-RS"/>
        </w:rPr>
        <w:t>su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jedan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2, a drugi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w:t>
      </w:r>
    </w:p>
    <w:p w14:paraId="2835D31B">
      <w:pPr>
        <w:rPr>
          <w:rFonts w:ascii="Microsoft Sans Serif" w:hAnsi="Microsoft Sans Serif" w:cs="Microsoft Sans Serif"/>
          <w:sz w:val="20"/>
          <w:szCs w:val="20"/>
        </w:rPr>
      </w:pPr>
    </w:p>
    <w:p w14:paraId="500007DA">
      <w:pPr>
        <w:rPr>
          <w:rFonts w:ascii="Microsoft Sans Serif" w:hAnsi="Microsoft Sans Serif" w:cs="Microsoft Sans Serif"/>
          <w:sz w:val="20"/>
          <w:szCs w:val="20"/>
        </w:rPr>
      </w:pPr>
      <w:r>
        <w:rPr>
          <w:rFonts w:ascii="Microsoft Sans Serif" w:hAnsi="Microsoft Sans Serif" w:cs="Microsoft Sans Serif"/>
          <w:sz w:val="20"/>
          <w:szCs w:val="20"/>
        </w:rPr>
        <w:t>Nije prijavlјen nijedan slučaj sa smrtnim ishodom u GIST, MRCC i pNET registracionim studijama. Slučajevi sa smrtnim ishodom zabilježeni su tokom postmarketinškog praćenja.</w:t>
      </w:r>
    </w:p>
    <w:p w14:paraId="7DD37F60">
      <w:pPr>
        <w:rPr>
          <w:rFonts w:ascii="Microsoft Sans Serif" w:hAnsi="Microsoft Sans Serif" w:cs="Microsoft Sans Serif"/>
          <w:sz w:val="20"/>
          <w:szCs w:val="20"/>
        </w:rPr>
      </w:pPr>
    </w:p>
    <w:p w14:paraId="34820398">
      <w:pPr>
        <w:rPr>
          <w:rFonts w:ascii="Microsoft Sans Serif" w:hAnsi="Microsoft Sans Serif" w:cs="Microsoft Sans Serif"/>
          <w:sz w:val="20"/>
          <w:szCs w:val="20"/>
        </w:rPr>
      </w:pPr>
      <w:r>
        <w:rPr>
          <w:rFonts w:ascii="Microsoft Sans Serif" w:hAnsi="Microsoft Sans Serif" w:cs="Microsoft Sans Serif"/>
          <w:sz w:val="20"/>
          <w:szCs w:val="20"/>
        </w:rPr>
        <w:t>Slučajevi plućne embolije zabilježeni su kod približno 3,1% pacijenata sa GIST i kod približno 1,2% pacijenata sa MRCC, koji su primali sunitinib u kliničkim studijama faze 3. Kod pacijenata sa pNET koji su primali sunitinib u studiji faze 3, nije zabilježena embolija pluća. Rijetki slučajevi sa fatalnim ishodom zabilježeni su tokom postmarketinškog praćenja.</w:t>
      </w:r>
    </w:p>
    <w:p w14:paraId="0B129F7B">
      <w:pPr>
        <w:rPr>
          <w:rFonts w:ascii="Microsoft Sans Serif" w:hAnsi="Microsoft Sans Serif" w:cs="Microsoft Sans Serif"/>
          <w:sz w:val="20"/>
          <w:szCs w:val="20"/>
        </w:rPr>
      </w:pPr>
    </w:p>
    <w:p w14:paraId="3129CC0A">
      <w:pPr>
        <w:rPr>
          <w:rFonts w:ascii="Microsoft Sans Serif" w:hAnsi="Microsoft Sans Serif" w:cs="Microsoft Sans Serif"/>
          <w:sz w:val="20"/>
          <w:szCs w:val="20"/>
        </w:rPr>
      </w:pPr>
      <w:r>
        <w:rPr>
          <w:rFonts w:ascii="Microsoft Sans Serif" w:hAnsi="Microsoft Sans Serif" w:cs="Microsoft Sans Serif"/>
          <w:sz w:val="20"/>
          <w:szCs w:val="20"/>
        </w:rPr>
        <w:t>Pacijenti koji su imali plućnu emboliju u prethodnih 12 mjeseci bili su isklјučeni iz kliničkih studija sa sunitinibom.</w:t>
      </w:r>
    </w:p>
    <w:p w14:paraId="230D8123">
      <w:pPr>
        <w:rPr>
          <w:rFonts w:ascii="Microsoft Sans Serif" w:hAnsi="Microsoft Sans Serif" w:cs="Microsoft Sans Serif"/>
          <w:sz w:val="20"/>
          <w:szCs w:val="20"/>
        </w:rPr>
      </w:pPr>
    </w:p>
    <w:p w14:paraId="52857650">
      <w:pPr>
        <w:rPr>
          <w:rFonts w:ascii="Microsoft Sans Serif" w:hAnsi="Microsoft Sans Serif" w:cs="Microsoft Sans Serif"/>
          <w:sz w:val="20"/>
          <w:szCs w:val="20"/>
        </w:rPr>
      </w:pPr>
      <w:r>
        <w:rPr>
          <w:rFonts w:ascii="Microsoft Sans Serif" w:hAnsi="Microsoft Sans Serif" w:cs="Microsoft Sans Serif"/>
          <w:sz w:val="20"/>
          <w:szCs w:val="20"/>
        </w:rPr>
        <w:t>Plućni događaji (npr. dispnea, pleuralna efuzija, plućna embolija ili plućni edem) opisani su kod približno 17,8% pacijenata sa GIST, kod približno 26,7% pacijenata sa MRCC i kod 12% pacijenata sa pNET koji su primali sunitinib u toku kliničkih registracionih studija faze 3.</w:t>
      </w:r>
    </w:p>
    <w:p w14:paraId="03A98803">
      <w:pPr>
        <w:rPr>
          <w:rFonts w:ascii="Microsoft Sans Serif" w:hAnsi="Microsoft Sans Serif" w:cs="Microsoft Sans Serif"/>
          <w:sz w:val="20"/>
          <w:szCs w:val="20"/>
        </w:rPr>
      </w:pPr>
      <w:r>
        <w:rPr>
          <w:rFonts w:ascii="Microsoft Sans Serif" w:hAnsi="Microsoft Sans Serif" w:cs="Microsoft Sans Serif"/>
          <w:sz w:val="20"/>
          <w:szCs w:val="20"/>
        </w:rPr>
        <w:t>Plućni događaji opisani su kod približno 22,2% pacijenata sa solidnim tumorima, uklјučujući GIST i MRCC, koji su primali sunitinib u toku kliničkih studija.</w:t>
      </w:r>
    </w:p>
    <w:p w14:paraId="19D38667">
      <w:pPr>
        <w:rPr>
          <w:rFonts w:ascii="Microsoft Sans Serif" w:hAnsi="Microsoft Sans Serif" w:cs="Microsoft Sans Serif"/>
          <w:sz w:val="20"/>
          <w:szCs w:val="20"/>
        </w:rPr>
      </w:pPr>
    </w:p>
    <w:p w14:paraId="62D7D071">
      <w:pPr>
        <w:rPr>
          <w:rFonts w:ascii="Microsoft Sans Serif" w:hAnsi="Microsoft Sans Serif" w:cs="Microsoft Sans Serif"/>
          <w:i/>
          <w:sz w:val="20"/>
          <w:szCs w:val="20"/>
        </w:rPr>
      </w:pPr>
      <w:r>
        <w:rPr>
          <w:rFonts w:ascii="Microsoft Sans Serif" w:hAnsi="Microsoft Sans Serif" w:cs="Microsoft Sans Serif"/>
          <w:i/>
          <w:sz w:val="20"/>
          <w:szCs w:val="20"/>
        </w:rPr>
        <w:t>Gastrointestinalni poremećaji</w:t>
      </w:r>
    </w:p>
    <w:p w14:paraId="0C6473A5">
      <w:pPr>
        <w:rPr>
          <w:rFonts w:ascii="Microsoft Sans Serif" w:hAnsi="Microsoft Sans Serif" w:cs="Microsoft Sans Serif"/>
          <w:sz w:val="20"/>
          <w:szCs w:val="20"/>
        </w:rPr>
      </w:pPr>
      <w:r>
        <w:rPr>
          <w:rFonts w:ascii="Microsoft Sans Serif" w:hAnsi="Microsoft Sans Serif" w:cs="Microsoft Sans Serif"/>
          <w:sz w:val="20"/>
          <w:szCs w:val="20"/>
        </w:rPr>
        <w:t>Pankreatitis je opisan povremeno (&lt;1%) kod pacijenata koji su primali sunitinib za GIST ili MRCC.</w:t>
      </w:r>
    </w:p>
    <w:p w14:paraId="04B52656">
      <w:pPr>
        <w:rPr>
          <w:rFonts w:ascii="Microsoft Sans Serif" w:hAnsi="Microsoft Sans Serif" w:cs="Microsoft Sans Serif"/>
          <w:sz w:val="20"/>
          <w:szCs w:val="20"/>
        </w:rPr>
      </w:pPr>
      <w:r>
        <w:rPr>
          <w:rFonts w:ascii="Microsoft Sans Serif" w:hAnsi="Microsoft Sans Serif" w:cs="Microsoft Sans Serif"/>
          <w:sz w:val="20"/>
          <w:szCs w:val="20"/>
        </w:rPr>
        <w:t>Pankreatitis povezan sa primjenom lijeka nije zabilježen u pNET studiji faze 3 (pogledati dio 4.4).</w:t>
      </w:r>
    </w:p>
    <w:p w14:paraId="48BFCEA8">
      <w:pPr>
        <w:rPr>
          <w:rFonts w:ascii="Microsoft Sans Serif" w:hAnsi="Microsoft Sans Serif" w:cs="Microsoft Sans Serif"/>
          <w:sz w:val="20"/>
          <w:szCs w:val="20"/>
        </w:rPr>
      </w:pPr>
    </w:p>
    <w:p w14:paraId="06ECF072">
      <w:pPr>
        <w:rPr>
          <w:rFonts w:ascii="Microsoft Sans Serif" w:hAnsi="Microsoft Sans Serif" w:cs="Microsoft Sans Serif"/>
          <w:sz w:val="20"/>
          <w:szCs w:val="20"/>
        </w:rPr>
      </w:pPr>
      <w:r>
        <w:rPr>
          <w:rFonts w:ascii="Microsoft Sans Serif" w:hAnsi="Microsoft Sans Serif" w:cs="Microsoft Sans Serif"/>
          <w:sz w:val="20"/>
          <w:szCs w:val="20"/>
        </w:rPr>
        <w:t xml:space="preserve">Fatalno gastrointestinalno krvarenje zabilježeno je kod 0,98%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u GIST studiji 3 faze.</w:t>
      </w:r>
    </w:p>
    <w:p w14:paraId="71767C1F">
      <w:pPr>
        <w:rPr>
          <w:rFonts w:ascii="Microsoft Sans Serif" w:hAnsi="Microsoft Sans Serif" w:cs="Microsoft Sans Serif"/>
          <w:sz w:val="20"/>
          <w:szCs w:val="20"/>
        </w:rPr>
      </w:pPr>
    </w:p>
    <w:p w14:paraId="4AD0F392">
      <w:pPr>
        <w:rPr>
          <w:rFonts w:ascii="Microsoft Sans Serif" w:hAnsi="Microsoft Sans Serif" w:cs="Microsoft Sans Serif"/>
          <w:i/>
          <w:sz w:val="20"/>
          <w:szCs w:val="20"/>
        </w:rPr>
      </w:pPr>
      <w:r>
        <w:rPr>
          <w:rFonts w:ascii="Microsoft Sans Serif" w:hAnsi="Microsoft Sans Serif" w:cs="Microsoft Sans Serif"/>
          <w:i/>
          <w:sz w:val="20"/>
          <w:szCs w:val="20"/>
        </w:rPr>
        <w:t>Hepatobilijarni poremećaji</w:t>
      </w:r>
    </w:p>
    <w:p w14:paraId="6174E0B1">
      <w:pPr>
        <w:rPr>
          <w:rFonts w:ascii="Microsoft Sans Serif" w:hAnsi="Microsoft Sans Serif" w:cs="Microsoft Sans Serif"/>
          <w:sz w:val="20"/>
          <w:szCs w:val="20"/>
        </w:rPr>
      </w:pPr>
      <w:r>
        <w:rPr>
          <w:rFonts w:ascii="Microsoft Sans Serif" w:hAnsi="Microsoft Sans Serif" w:cs="Microsoft Sans Serif"/>
          <w:sz w:val="20"/>
          <w:szCs w:val="20"/>
        </w:rPr>
        <w:t>Prijavlјena je disfunkcija jetre, koja može uklјučivati poremećaj funkcionalnih testova jetre, hepatitis ili insuficijenciju jetre (pogledati dio 4.4).</w:t>
      </w:r>
    </w:p>
    <w:p w14:paraId="0C86C017">
      <w:pPr>
        <w:rPr>
          <w:rFonts w:ascii="Microsoft Sans Serif" w:hAnsi="Microsoft Sans Serif" w:cs="Microsoft Sans Serif"/>
          <w:i/>
          <w:sz w:val="20"/>
          <w:szCs w:val="20"/>
        </w:rPr>
      </w:pPr>
    </w:p>
    <w:p w14:paraId="7875F9A7">
      <w:pPr>
        <w:rPr>
          <w:rFonts w:ascii="Microsoft Sans Serif" w:hAnsi="Microsoft Sans Serif" w:cs="Microsoft Sans Serif"/>
          <w:i/>
          <w:sz w:val="20"/>
          <w:szCs w:val="20"/>
        </w:rPr>
      </w:pPr>
      <w:r>
        <w:rPr>
          <w:rFonts w:ascii="Microsoft Sans Serif" w:hAnsi="Microsoft Sans Serif" w:cs="Microsoft Sans Serif"/>
          <w:i/>
          <w:sz w:val="20"/>
          <w:szCs w:val="20"/>
        </w:rPr>
        <w:t>Poremećaji kože i potkožnog tkiva</w:t>
      </w:r>
    </w:p>
    <w:p w14:paraId="123821AD">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gangrenozne piodermije, koji se obično povlače nakon prekida terapije sunitinibom (pogledati takođe dio 4.4).</w:t>
      </w:r>
    </w:p>
    <w:p w14:paraId="403B548E">
      <w:pPr>
        <w:rPr>
          <w:rFonts w:ascii="Microsoft Sans Serif" w:hAnsi="Microsoft Sans Serif" w:cs="Microsoft Sans Serif"/>
          <w:i/>
          <w:sz w:val="20"/>
          <w:szCs w:val="20"/>
        </w:rPr>
      </w:pPr>
    </w:p>
    <w:p w14:paraId="0E70954F">
      <w:pPr>
        <w:rPr>
          <w:rFonts w:ascii="Microsoft Sans Serif" w:hAnsi="Microsoft Sans Serif" w:cs="Microsoft Sans Serif"/>
          <w:i/>
          <w:sz w:val="20"/>
          <w:szCs w:val="20"/>
        </w:rPr>
      </w:pPr>
      <w:r>
        <w:rPr>
          <w:rFonts w:ascii="Microsoft Sans Serif" w:hAnsi="Microsoft Sans Serif" w:cs="Microsoft Sans Serif"/>
          <w:i/>
          <w:sz w:val="20"/>
          <w:szCs w:val="20"/>
        </w:rPr>
        <w:t>Poremećaji mišićno-koštanog sistema i vezivnog tkiva</w:t>
      </w:r>
    </w:p>
    <w:p w14:paraId="47CCA086">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miopatije i/ili rabdomiolize, ponekad sa akutnom insuficijencijom bubrega. Pacijenti sa znacima i</w:t>
      </w:r>
      <w:r>
        <w:rPr>
          <w:rFonts w:ascii="Microsoft Sans Serif" w:hAnsi="Microsoft Sans Serif" w:cs="Microsoft Sans Serif"/>
          <w:sz w:val="20"/>
          <w:szCs w:val="20"/>
          <w:lang w:val="mk-MK"/>
        </w:rPr>
        <w:t>li</w:t>
      </w:r>
      <w:r>
        <w:rPr>
          <w:rFonts w:ascii="Microsoft Sans Serif" w:hAnsi="Microsoft Sans Serif" w:cs="Microsoft Sans Serif"/>
          <w:sz w:val="20"/>
          <w:szCs w:val="20"/>
        </w:rPr>
        <w:t xml:space="preserve"> simptomima mišićne toksičnosti trebalo bi da budu liječeni standardnom medicinskom terapijom za ovakva stanja (pogledati dio 4.4).</w:t>
      </w:r>
    </w:p>
    <w:p w14:paraId="428AAC6E">
      <w:pPr>
        <w:rPr>
          <w:rFonts w:ascii="Microsoft Sans Serif" w:hAnsi="Microsoft Sans Serif" w:cs="Microsoft Sans Serif"/>
          <w:sz w:val="20"/>
          <w:szCs w:val="20"/>
        </w:rPr>
      </w:pPr>
    </w:p>
    <w:p w14:paraId="2DD297DB">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formiranja fistule, ponekad praćeni nekrozom i regresijom tumora, u nekim slučajevima sa fatalnim ishodom (pogledati dio 4.4).</w:t>
      </w:r>
    </w:p>
    <w:p w14:paraId="5366CF98">
      <w:pPr>
        <w:rPr>
          <w:rFonts w:ascii="Microsoft Sans Serif" w:hAnsi="Microsoft Sans Serif" w:cs="Microsoft Sans Serif"/>
          <w:sz w:val="20"/>
          <w:szCs w:val="20"/>
        </w:rPr>
      </w:pPr>
    </w:p>
    <w:p w14:paraId="57770E56">
      <w:pPr>
        <w:rPr>
          <w:rFonts w:ascii="Microsoft Sans Serif" w:hAnsi="Microsoft Sans Serif" w:cs="Microsoft Sans Serif"/>
          <w:sz w:val="20"/>
          <w:szCs w:val="20"/>
        </w:rPr>
      </w:pPr>
      <w:r>
        <w:rPr>
          <w:rFonts w:ascii="Microsoft Sans Serif" w:hAnsi="Microsoft Sans Serif" w:cs="Microsoft Sans Serif"/>
          <w:sz w:val="20"/>
          <w:szCs w:val="20"/>
        </w:rPr>
        <w:t>Slučajevi osteonekroze vilice prijavlјeni su kod pacijenata liječenih sunitinibom</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većina njih se javila kod pacijenata koji su imali identifikovane faktore rizika za pojavu osteonekroze vilice, naročito izloženost intravenskim bisfosfonatima i/ili stomatološko obolјenje u anamnezi koje je zahtjevalo invazivne stomatološke procedure (takođe pogledati dio 4.4).</w:t>
      </w:r>
    </w:p>
    <w:p w14:paraId="7BE78B9F">
      <w:pPr>
        <w:rPr>
          <w:rFonts w:ascii="Microsoft Sans Serif" w:hAnsi="Microsoft Sans Serif" w:cs="Microsoft Sans Serif"/>
          <w:sz w:val="20"/>
          <w:szCs w:val="20"/>
        </w:rPr>
      </w:pPr>
    </w:p>
    <w:p w14:paraId="0D6DDF86">
      <w:pPr>
        <w:rPr>
          <w:rFonts w:ascii="Microsoft Sans Serif" w:hAnsi="Microsoft Sans Serif" w:cs="Microsoft Sans Serif"/>
          <w:i/>
          <w:sz w:val="20"/>
          <w:szCs w:val="20"/>
        </w:rPr>
      </w:pPr>
      <w:r>
        <w:rPr>
          <w:rFonts w:ascii="Microsoft Sans Serif" w:hAnsi="Microsoft Sans Serif" w:cs="Microsoft Sans Serif"/>
          <w:i/>
          <w:sz w:val="20"/>
          <w:szCs w:val="20"/>
        </w:rPr>
        <w:t>Ispitivanja</w:t>
      </w:r>
    </w:p>
    <w:p w14:paraId="0005C4AC">
      <w:pPr>
        <w:rPr>
          <w:rFonts w:ascii="Microsoft Sans Serif" w:hAnsi="Microsoft Sans Serif" w:cs="Microsoft Sans Serif"/>
          <w:sz w:val="20"/>
          <w:szCs w:val="20"/>
        </w:rPr>
      </w:pPr>
      <w:r>
        <w:rPr>
          <w:rFonts w:ascii="Microsoft Sans Serif" w:hAnsi="Microsoft Sans Serif" w:cs="Microsoft Sans Serif"/>
          <w:sz w:val="20"/>
          <w:szCs w:val="20"/>
        </w:rPr>
        <w:t>Podaci iz pretkliničkih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 </w:t>
      </w:r>
      <w:r>
        <w:rPr>
          <w:rFonts w:ascii="Microsoft Sans Serif" w:hAnsi="Microsoft Sans Serif" w:cs="Microsoft Sans Serif"/>
          <w:i/>
          <w:sz w:val="20"/>
          <w:szCs w:val="20"/>
        </w:rPr>
        <w:t>in vivo</w:t>
      </w:r>
      <w:r>
        <w:rPr>
          <w:rFonts w:ascii="Microsoft Sans Serif" w:hAnsi="Microsoft Sans Serif" w:cs="Microsoft Sans Serif"/>
          <w:sz w:val="20"/>
          <w:szCs w:val="20"/>
        </w:rPr>
        <w:t>) studija, sa dozama većim od preporučenih za humanu upotrebu, ukazuju da sunitinib ima potencijal da inhibira proces repolarizacije srčanog akcionog potencijala (npr. produženje QT intervala).</w:t>
      </w:r>
    </w:p>
    <w:p w14:paraId="6DD6C24E">
      <w:pPr>
        <w:rPr>
          <w:rFonts w:ascii="Microsoft Sans Serif" w:hAnsi="Microsoft Sans Serif" w:cs="Microsoft Sans Serif"/>
          <w:sz w:val="20"/>
          <w:szCs w:val="20"/>
        </w:rPr>
      </w:pPr>
      <w:r>
        <w:rPr>
          <w:rFonts w:ascii="Microsoft Sans Serif" w:hAnsi="Microsoft Sans Serif" w:cs="Microsoft Sans Serif"/>
          <w:sz w:val="20"/>
          <w:szCs w:val="20"/>
        </w:rPr>
        <w:t>Produženje QTc intervala preko 500 msec zabilježeno je kod 0,5% pacijenata, a promjene u odnosu na početne vrijednosti veće od 60 m</w:t>
      </w:r>
      <w:r>
        <w:rPr>
          <w:rFonts w:ascii="Microsoft Sans Serif" w:hAnsi="Microsoft Sans Serif" w:cs="Microsoft Sans Serif"/>
          <w:sz w:val="20"/>
          <w:szCs w:val="20"/>
          <w:lang w:val="hr-BA"/>
        </w:rPr>
        <w:t>s</w:t>
      </w:r>
      <w:r>
        <w:rPr>
          <w:rFonts w:ascii="Microsoft Sans Serif" w:hAnsi="Microsoft Sans Serif" w:cs="Microsoft Sans Serif"/>
          <w:sz w:val="20"/>
          <w:szCs w:val="20"/>
        </w:rPr>
        <w:t>ec zabilježene su kod 1,1% od 450 pacijenata sa solidnim tumorima. Oba ova parametra prepoznata su kao potencijalno značajne promjene. U koncentracijama otprilike dva puta većim od terapijskih pokazano je da sunitinib produžava interval QTcF (Fridericia corrected QT interval).</w:t>
      </w:r>
    </w:p>
    <w:p w14:paraId="0D28B5E2">
      <w:pPr>
        <w:rPr>
          <w:rFonts w:ascii="Microsoft Sans Serif" w:hAnsi="Microsoft Sans Serif" w:cs="Microsoft Sans Serif"/>
          <w:sz w:val="20"/>
          <w:szCs w:val="20"/>
        </w:rPr>
      </w:pPr>
    </w:p>
    <w:p w14:paraId="7DF4A68E">
      <w:pPr>
        <w:rPr>
          <w:rFonts w:ascii="Microsoft Sans Serif" w:hAnsi="Microsoft Sans Serif" w:cs="Microsoft Sans Serif"/>
          <w:sz w:val="20"/>
          <w:szCs w:val="20"/>
        </w:rPr>
      </w:pPr>
      <w:r>
        <w:rPr>
          <w:rFonts w:ascii="Microsoft Sans Serif" w:hAnsi="Microsoft Sans Serif" w:cs="Microsoft Sans Serif"/>
          <w:sz w:val="20"/>
          <w:szCs w:val="20"/>
        </w:rPr>
        <w:t xml:space="preserve">Produženje QTc intervala ispitivano je u kliničkoj studiji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24 pacijenta, starosti 20-87 godina, koji su imali uznapredovalu malignu bolest. Rezultati ovog ispitivanja pokazali su da je sunitinib imao dejstvo na QTc</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interval (definisanog kao srednja promjena podešena za placebo &gt;10 msec sa gornjom granicom 90%</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intervala pouzdanosti [CI] &gt;15 msec) pri terapijskim koncentracijama (3. dana) korišćenjem metode korekcije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osnovne vrijednosti istog dana, i pri koncentracijama većim od terapijskih (9. dana) korišćenjem obje metode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 xml:space="preserve">korekcije osnovnih vrijednosti. Nijedan pacijent nije imao vrijednosti QTc intervala &gt;500 msec. Iako je dejstvo na QTcF interval zabilježeno 3. dana 24 </w:t>
      </w:r>
      <w:r>
        <w:rPr>
          <w:rFonts w:ascii="Microsoft Sans Serif" w:hAnsi="Microsoft Sans Serif" w:cs="Microsoft Sans Serif"/>
          <w:sz w:val="20"/>
          <w:szCs w:val="20"/>
          <w:lang w:val="sr-Cyrl-RS"/>
        </w:rPr>
        <w:t>sata</w:t>
      </w:r>
      <w:r>
        <w:rPr>
          <w:rFonts w:ascii="Microsoft Sans Serif" w:hAnsi="Microsoft Sans Serif" w:cs="Microsoft Sans Serif"/>
          <w:sz w:val="20"/>
          <w:szCs w:val="20"/>
        </w:rPr>
        <w:t xml:space="preserve"> po davanju doze (tj. pri terapijskim koncentracijama u 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 se očekuju poslije preporučene početne doze od 50 mg) sa metodom korekcije osnovne vrijednosti istog dana, klinički značaj ovog nalaza nije jasan.</w:t>
      </w:r>
    </w:p>
    <w:p w14:paraId="1EF99A1B">
      <w:pPr>
        <w:rPr>
          <w:rFonts w:ascii="Microsoft Sans Serif" w:hAnsi="Microsoft Sans Serif" w:cs="Microsoft Sans Serif"/>
          <w:sz w:val="20"/>
          <w:szCs w:val="20"/>
        </w:rPr>
      </w:pPr>
    </w:p>
    <w:p w14:paraId="5BDD04F3">
      <w:pPr>
        <w:rPr>
          <w:rFonts w:ascii="Microsoft Sans Serif" w:hAnsi="Microsoft Sans Serif" w:cs="Microsoft Sans Serif"/>
          <w:sz w:val="20"/>
          <w:szCs w:val="20"/>
        </w:rPr>
      </w:pPr>
      <w:r>
        <w:rPr>
          <w:rFonts w:ascii="Microsoft Sans Serif" w:hAnsi="Microsoft Sans Serif" w:cs="Microsoft Sans Serif"/>
          <w:sz w:val="20"/>
          <w:szCs w:val="20"/>
        </w:rPr>
        <w:t xml:space="preserve">Korišćenjem sveobuhvatnih serijskih EKG procjena u vremenskim momentima koji odgovaraju izloženosti terapijskim dozama ili dozama koje su veće od terapijskih, ni kod jednog od pacijenata u analiziranoj populaciji i populaciji koja je trebalo da se liječi (engl. </w:t>
      </w:r>
      <w:r>
        <w:rPr>
          <w:rFonts w:ascii="Microsoft Sans Serif" w:hAnsi="Microsoft Sans Serif" w:cs="Microsoft Sans Serif"/>
          <w:i/>
          <w:sz w:val="20"/>
          <w:szCs w:val="20"/>
        </w:rPr>
        <w:t>intent to treat</w:t>
      </w:r>
      <w:r>
        <w:rPr>
          <w:rFonts w:ascii="Microsoft Sans Serif" w:hAnsi="Microsoft Sans Serif" w:cs="Microsoft Sans Serif"/>
          <w:sz w:val="20"/>
          <w:szCs w:val="20"/>
        </w:rPr>
        <w:t xml:space="preserve"> – </w:t>
      </w:r>
      <w:r>
        <w:rPr>
          <w:rFonts w:ascii="Microsoft Sans Serif" w:hAnsi="Microsoft Sans Serif" w:cs="Microsoft Sans Serif"/>
          <w:i/>
          <w:sz w:val="20"/>
          <w:szCs w:val="20"/>
        </w:rPr>
        <w:t>ITT</w:t>
      </w:r>
      <w:r>
        <w:rPr>
          <w:rFonts w:ascii="Microsoft Sans Serif" w:hAnsi="Microsoft Sans Serif" w:cs="Microsoft Sans Serif"/>
          <w:sz w:val="20"/>
          <w:szCs w:val="20"/>
        </w:rPr>
        <w:t xml:space="preserve">) nije došlo do produženja QTc intervala koje bi se smatralo „teškim“ (tj.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3 ili veće</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p</w:t>
      </w:r>
      <w:r>
        <w:rPr>
          <w:rFonts w:ascii="Microsoft Sans Serif" w:hAnsi="Microsoft Sans Serif" w:cs="Microsoft Sans Serif"/>
          <w:sz w:val="20"/>
          <w:szCs w:val="20"/>
          <w:lang w:val="sr-Cyrl-RS"/>
        </w:rPr>
        <w:t>rema</w:t>
      </w:r>
      <w:r>
        <w:rPr>
          <w:rFonts w:ascii="Microsoft Sans Serif" w:hAnsi="Microsoft Sans Serif" w:cs="Microsoft Sans Serif"/>
          <w:sz w:val="20"/>
          <w:szCs w:val="20"/>
        </w:rPr>
        <w:t xml:space="preserve"> verziji 3.0 vodiča Zajedničkih kriterijuma za terminologiju neželјenih reakcija (</w:t>
      </w:r>
      <w:r>
        <w:rPr>
          <w:rFonts w:ascii="Microsoft Sans Serif" w:hAnsi="Microsoft Sans Serif" w:cs="Microsoft Sans Serif"/>
          <w:i/>
          <w:sz w:val="20"/>
          <w:szCs w:val="20"/>
        </w:rPr>
        <w:t>engl. Common Terminology Criteria for Advijerse Events, CTCAE</w:t>
      </w:r>
      <w:r>
        <w:rPr>
          <w:rFonts w:ascii="Microsoft Sans Serif" w:hAnsi="Microsoft Sans Serif" w:cs="Microsoft Sans Serif"/>
          <w:sz w:val="20"/>
          <w:szCs w:val="20"/>
        </w:rPr>
        <w:t>).</w:t>
      </w:r>
    </w:p>
    <w:p w14:paraId="6198A835">
      <w:pPr>
        <w:rPr>
          <w:rFonts w:ascii="Microsoft Sans Serif" w:hAnsi="Microsoft Sans Serif" w:cs="Microsoft Sans Serif"/>
          <w:sz w:val="20"/>
          <w:szCs w:val="20"/>
        </w:rPr>
      </w:pPr>
    </w:p>
    <w:p w14:paraId="339E7006">
      <w:pPr>
        <w:rPr>
          <w:rFonts w:ascii="Microsoft Sans Serif" w:hAnsi="Microsoft Sans Serif" w:cs="Microsoft Sans Serif"/>
          <w:sz w:val="20"/>
          <w:szCs w:val="20"/>
        </w:rPr>
      </w:pPr>
      <w:r>
        <w:rPr>
          <w:rFonts w:ascii="Microsoft Sans Serif" w:hAnsi="Microsoft Sans Serif" w:cs="Microsoft Sans Serif"/>
          <w:sz w:val="20"/>
          <w:szCs w:val="20"/>
        </w:rPr>
        <w:t>Pri terapijskim koncentracijama u plazmi, maksimalna srednja promjena QTcF intervala (</w:t>
      </w:r>
      <w:r>
        <w:rPr>
          <w:rFonts w:ascii="Microsoft Sans Serif" w:hAnsi="Microsoft Sans Serif" w:cs="Microsoft Sans Serif"/>
          <w:i/>
          <w:sz w:val="20"/>
          <w:szCs w:val="20"/>
        </w:rPr>
        <w:t>Frederica’s correction</w:t>
      </w:r>
      <w:r>
        <w:rPr>
          <w:rFonts w:ascii="Microsoft Sans Serif" w:hAnsi="Microsoft Sans Serif" w:cs="Microsoft Sans Serif"/>
          <w:sz w:val="20"/>
          <w:szCs w:val="20"/>
        </w:rPr>
        <w:t xml:space="preserve">) u odnosu na početne vrijednosti je bila 9 msec (90% CI: 15,1 msec). Pri koncentracijama otprilike dva puta većim od terapijskih, maksimalna promjena QTcF intervala u odnosu na početne vrijednosti iznosila je 15,4 msec (90% CI: 22,4 msec). Moksifloksacin (400 mg) koji je korišćen kao pozitivna kontrola, pokazao je maksimalnu srednju promenu QTcF intervala od 5,6 msec u odnosu na početne vrijednosti. Nijedan ispitanik nije </w:t>
      </w:r>
      <w:r>
        <w:rPr>
          <w:rFonts w:ascii="Microsoft Sans Serif" w:hAnsi="Microsoft Sans Serif" w:cs="Microsoft Sans Serif"/>
          <w:sz w:val="20"/>
          <w:szCs w:val="20"/>
          <w:lang w:val="sr-Cyrl-RS"/>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etio</w:t>
      </w:r>
      <w:r>
        <w:rPr>
          <w:rFonts w:ascii="Microsoft Sans Serif" w:hAnsi="Microsoft Sans Serif" w:cs="Microsoft Sans Serif"/>
          <w:sz w:val="20"/>
          <w:szCs w:val="20"/>
        </w:rPr>
        <w:t xml:space="preserve"> veći uticaj na QTc interval od definisanog </w:t>
      </w:r>
      <w:r>
        <w:rPr>
          <w:rFonts w:ascii="Microsoft Sans Serif" w:hAnsi="Microsoft Sans Serif" w:cs="Microsoft Sans Serif"/>
          <w:sz w:val="20"/>
          <w:szCs w:val="20"/>
          <w:lang w:val="sr-Cyrl-RS"/>
        </w:rPr>
        <w:t>stepen</w:t>
      </w:r>
      <w:r>
        <w:rPr>
          <w:rFonts w:ascii="Microsoft Sans Serif" w:hAnsi="Microsoft Sans Serif" w:cs="Microsoft Sans Serif"/>
          <w:sz w:val="20"/>
          <w:szCs w:val="20"/>
          <w:lang w:val="sr-Latn-RS"/>
        </w:rPr>
        <w:t>om</w:t>
      </w:r>
      <w:r>
        <w:rPr>
          <w:rFonts w:ascii="Microsoft Sans Serif" w:hAnsi="Microsoft Sans Serif" w:cs="Microsoft Sans Serif"/>
          <w:sz w:val="20"/>
          <w:szCs w:val="20"/>
        </w:rPr>
        <w:t xml:space="preserve"> 2 (verzija 3.0 vodiča CTCAE) (pogledati dio 4.4).</w:t>
      </w:r>
    </w:p>
    <w:p w14:paraId="7373C302">
      <w:pPr>
        <w:rPr>
          <w:rFonts w:ascii="Microsoft Sans Serif" w:hAnsi="Microsoft Sans Serif" w:cs="Microsoft Sans Serif"/>
          <w:sz w:val="20"/>
          <w:szCs w:val="20"/>
        </w:rPr>
      </w:pPr>
    </w:p>
    <w:p w14:paraId="603C6ED1">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Dugoročna bezbjednost kod MRCC</w:t>
      </w:r>
    </w:p>
    <w:p w14:paraId="798012CD">
      <w:pPr>
        <w:rPr>
          <w:rFonts w:ascii="Microsoft Sans Serif" w:hAnsi="Microsoft Sans Serif" w:cs="Microsoft Sans Serif"/>
          <w:sz w:val="20"/>
          <w:szCs w:val="20"/>
        </w:rPr>
      </w:pPr>
      <w:r>
        <w:rPr>
          <w:rFonts w:ascii="Microsoft Sans Serif" w:hAnsi="Microsoft Sans Serif" w:cs="Microsoft Sans Serif"/>
          <w:sz w:val="20"/>
          <w:szCs w:val="20"/>
        </w:rPr>
        <w:t>Dugoročna bezbjednost primjene sunitiniba kod pacijenata sa MRCC analizirana je na osnovu podataka iz 9 završenih kliničkih studija sprovedenih na 5739 pacijenata refraktornih na terapiju bevacizumabom i citokinima gde je sunitinib primjenjivan kao prva linija terapije, od kojih je 807 (14%) liječeno u periodu ≥ 2 godine do 6 godina. Kod 807 pacijenata koji su primali dugoročnu terapiju sunitinibom, većina neželјenih reakcija povezanih sa terapijom (</w:t>
      </w:r>
      <w:r>
        <w:rPr>
          <w:rFonts w:ascii="Microsoft Sans Serif" w:hAnsi="Microsoft Sans Serif" w:cs="Microsoft Sans Serif"/>
          <w:sz w:val="20"/>
          <w:szCs w:val="20"/>
          <w:lang w:val="sr-Cyrl-RS"/>
        </w:rPr>
        <w:t xml:space="preserve">egl. </w:t>
      </w:r>
      <w:r>
        <w:rPr>
          <w:rFonts w:ascii="Microsoft Sans Serif" w:hAnsi="Microsoft Sans Serif" w:cs="Microsoft Sans Serif"/>
          <w:i/>
          <w:sz w:val="20"/>
          <w:szCs w:val="20"/>
        </w:rPr>
        <w:t>treatment-related advijerse events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r-Latn-RS"/>
        </w:rPr>
        <w:t>TRAE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inicijalno se javila tokom prvih 6 mjeseci – godinu dana, a zatim se njihova učestalost održavala ili smanjivala, sa izuzetkom hipotireoidizma koji se postepeno pojačavao tokom vremena, sa novim slučajevima zabilježenim tokom perioda od 6 godina. Produžena primjena sunitiniba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mogla povezati sa novim tipovima neželјenih reakcija prouzrokovanih terapijom.</w:t>
      </w:r>
    </w:p>
    <w:p w14:paraId="3C1EC3C5">
      <w:pPr>
        <w:rPr>
          <w:rFonts w:ascii="Microsoft Sans Serif" w:hAnsi="Microsoft Sans Serif" w:cs="Microsoft Sans Serif"/>
          <w:sz w:val="20"/>
          <w:szCs w:val="20"/>
          <w:u w:val="single"/>
        </w:rPr>
      </w:pPr>
    </w:p>
    <w:p w14:paraId="776EF9AA">
      <w:pPr>
        <w:rPr>
          <w:rFonts w:ascii="Microsoft Sans Serif" w:hAnsi="Microsoft Sans Serif" w:cs="Microsoft Sans Serif"/>
          <w:sz w:val="20"/>
          <w:szCs w:val="20"/>
          <w:u w:val="single"/>
        </w:rPr>
      </w:pPr>
    </w:p>
    <w:p w14:paraId="33F69BF0">
      <w:pPr>
        <w:rPr>
          <w:rFonts w:ascii="Microsoft Sans Serif" w:hAnsi="Microsoft Sans Serif" w:cs="Microsoft Sans Serif"/>
          <w:sz w:val="20"/>
          <w:szCs w:val="20"/>
          <w:u w:val="single"/>
        </w:rPr>
      </w:pPr>
    </w:p>
    <w:p w14:paraId="670DEC35">
      <w:pPr>
        <w:rPr>
          <w:rFonts w:ascii="Microsoft Sans Serif" w:hAnsi="Microsoft Sans Serif" w:cs="Microsoft Sans Serif"/>
          <w:sz w:val="20"/>
          <w:szCs w:val="20"/>
          <w:u w:val="single"/>
        </w:rPr>
      </w:pPr>
    </w:p>
    <w:p w14:paraId="415E3783">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3C15DB96">
      <w:pPr>
        <w:rPr>
          <w:rFonts w:ascii="Microsoft Sans Serif" w:hAnsi="Microsoft Sans Serif" w:cs="Microsoft Sans Serif"/>
          <w:sz w:val="20"/>
          <w:szCs w:val="20"/>
        </w:rPr>
      </w:pPr>
      <w:r>
        <w:rPr>
          <w:rFonts w:ascii="Microsoft Sans Serif" w:hAnsi="Microsoft Sans Serif" w:cs="Microsoft Sans Serif"/>
          <w:sz w:val="20"/>
          <w:szCs w:val="20"/>
        </w:rPr>
        <w:t xml:space="preserve">Sigurnosni profil sunitiniba proizašao je iz ispitivanja faze 1 u kojem se ispitivalo povećanje doze, otvorenog ispitivanja faze 2, ispitivanja faze 1/2 sa jednom </w:t>
      </w:r>
      <w:r>
        <w:rPr>
          <w:rFonts w:ascii="Microsoft Sans Serif" w:hAnsi="Microsoft Sans Serif" w:cs="Microsoft Sans Serif"/>
          <w:sz w:val="20"/>
          <w:szCs w:val="20"/>
          <w:lang w:val="sr-Cyrl-RS"/>
        </w:rPr>
        <w:t>grupom</w:t>
      </w:r>
      <w:r>
        <w:rPr>
          <w:rFonts w:ascii="Microsoft Sans Serif" w:hAnsi="Microsoft Sans Serif" w:cs="Microsoft Sans Serif"/>
          <w:sz w:val="20"/>
          <w:szCs w:val="20"/>
        </w:rPr>
        <w:t xml:space="preserve"> pacijenata i iz publikacija, kako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opisano u nastavku</w:t>
      </w:r>
      <w:r>
        <w:rPr>
          <w:rFonts w:ascii="Microsoft Sans Serif" w:hAnsi="Microsoft Sans Serif" w:cs="Microsoft Sans Serif"/>
          <w:sz w:val="20"/>
          <w:szCs w:val="20"/>
          <w:lang w:val="sr-Cyrl-RS"/>
        </w:rPr>
        <w:t xml:space="preserve"> teksta</w:t>
      </w:r>
      <w:r>
        <w:rPr>
          <w:rFonts w:ascii="Microsoft Sans Serif" w:hAnsi="Microsoft Sans Serif" w:cs="Microsoft Sans Serif"/>
          <w:sz w:val="20"/>
          <w:szCs w:val="20"/>
        </w:rPr>
        <w:t>.</w:t>
      </w:r>
    </w:p>
    <w:p w14:paraId="5B6EFD77">
      <w:pPr>
        <w:rPr>
          <w:rFonts w:ascii="Microsoft Sans Serif" w:hAnsi="Microsoft Sans Serif" w:cs="Microsoft Sans Serif"/>
          <w:sz w:val="20"/>
          <w:szCs w:val="20"/>
        </w:rPr>
      </w:pPr>
    </w:p>
    <w:p w14:paraId="3BF5E347">
      <w:pPr>
        <w:rPr>
          <w:rFonts w:ascii="Microsoft Sans Serif" w:hAnsi="Microsoft Sans Serif" w:cs="Microsoft Sans Serif"/>
          <w:sz w:val="20"/>
          <w:szCs w:val="20"/>
        </w:rPr>
      </w:pPr>
      <w:r>
        <w:rPr>
          <w:rFonts w:ascii="Microsoft Sans Serif" w:hAnsi="Microsoft Sans Serif" w:cs="Microsoft Sans Serif"/>
          <w:sz w:val="20"/>
          <w:szCs w:val="20"/>
        </w:rPr>
        <w:t xml:space="preserve">Ispitivanje povećanja doze faze 1 za oralni oblik sunitiniba sprovedeno 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35 pacijenata koje je obuhvatalo 30 pedijatrijskih pacijenata (starosti od 3 do 17 godina) i 5 mlađih odraslih pacijenata (starosti od 18 do 21 godine), sa refraktornim solidnim tumorima, od kojih je većina imala primarnu dijagnozu tumora na mozgu. Svi učesnici u ispitivanju imali su neželјene reakcije na lijek; većina njih je bila teška (</w:t>
      </w:r>
      <w:r>
        <w:rPr>
          <w:rFonts w:ascii="Microsoft Sans Serif" w:hAnsi="Microsoft Sans Serif" w:cs="Microsoft Sans Serif"/>
          <w:sz w:val="20"/>
          <w:szCs w:val="20"/>
          <w:lang w:val="sr-Cyrl-RS"/>
        </w:rPr>
        <w:t>stepen</w:t>
      </w:r>
      <w:r>
        <w:rPr>
          <w:rFonts w:ascii="Microsoft Sans Serif" w:hAnsi="Microsoft Sans Serif" w:cs="Microsoft Sans Serif"/>
          <w:sz w:val="20"/>
          <w:szCs w:val="20"/>
        </w:rPr>
        <w:t xml:space="preserve"> toksičnosti ≥ 3) i uklјučivala je kardiološku toksičnost. Najčešće neželјene reakcije na lijek bile su </w:t>
      </w:r>
      <w:r>
        <w:rPr>
          <w:rFonts w:ascii="Microsoft Sans Serif" w:hAnsi="Microsoft Sans Serif" w:cs="Microsoft Sans Serif"/>
          <w:sz w:val="20"/>
          <w:szCs w:val="20"/>
          <w:lang w:val="sr-Cyrl-RS"/>
        </w:rPr>
        <w:t>toksični efekat na gastrointestinalni trakt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GI</w:t>
      </w:r>
      <w:r>
        <w:rPr>
          <w:rFonts w:ascii="Microsoft Sans Serif" w:hAnsi="Microsoft Sans Serif" w:cs="Microsoft Sans Serif"/>
          <w:sz w:val="20"/>
          <w:szCs w:val="20"/>
        </w:rPr>
        <w:t xml:space="preserve"> toksičnost</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neutropenija, zamor i povišenje</w:t>
      </w:r>
      <w:r>
        <w:rPr>
          <w:rFonts w:ascii="Microsoft Sans Serif" w:hAnsi="Microsoft Sans Serif" w:cs="Microsoft Sans Serif"/>
          <w:sz w:val="20"/>
          <w:szCs w:val="20"/>
          <w:lang w:val="sr-Cyrl-RS"/>
        </w:rPr>
        <w:t xml:space="preserve"> vrijednosti</w:t>
      </w:r>
      <w:r>
        <w:rPr>
          <w:rFonts w:ascii="Microsoft Sans Serif" w:hAnsi="Microsoft Sans Serif" w:cs="Microsoft Sans Serif"/>
          <w:sz w:val="20"/>
          <w:szCs w:val="20"/>
        </w:rPr>
        <w:t xml:space="preserve"> ALT. </w:t>
      </w:r>
      <w:r>
        <w:rPr>
          <w:rFonts w:ascii="Microsoft Sans Serif" w:hAnsi="Microsoft Sans Serif" w:cs="Microsoft Sans Serif"/>
          <w:sz w:val="20"/>
          <w:szCs w:val="20"/>
          <w:lang w:val="sr-Cyrl-RS"/>
        </w:rPr>
        <w:t xml:space="preserve">Čini se da je </w:t>
      </w:r>
      <w:r>
        <w:rPr>
          <w:rFonts w:ascii="Microsoft Sans Serif" w:hAnsi="Microsoft Sans Serif" w:cs="Microsoft Sans Serif"/>
          <w:sz w:val="20"/>
          <w:szCs w:val="20"/>
        </w:rPr>
        <w:t>rizik od kardioloških neželјenih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reakcija </w:t>
      </w:r>
      <w:r>
        <w:rPr>
          <w:rFonts w:ascii="Microsoft Sans Serif" w:hAnsi="Microsoft Sans Serif" w:cs="Microsoft Sans Serif"/>
          <w:sz w:val="20"/>
          <w:szCs w:val="20"/>
          <w:lang w:val="sr-Cyrl-RS"/>
        </w:rPr>
        <w:t>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rPr>
        <w:t xml:space="preserve"> bio veći kod pedijatrijskih pacijenata koji su prethodno bili izloženi zračenju srca i</w:t>
      </w:r>
      <w:r>
        <w:rPr>
          <w:rFonts w:ascii="Microsoft Sans Serif" w:hAnsi="Microsoft Sans Serif" w:cs="Microsoft Sans Serif"/>
          <w:sz w:val="20"/>
          <w:szCs w:val="20"/>
          <w:lang w:val="sr-Cyrl-RS"/>
        </w:rPr>
        <w:t>li</w:t>
      </w:r>
      <w:r>
        <w:rPr>
          <w:rFonts w:ascii="Microsoft Sans Serif" w:hAnsi="Microsoft Sans Serif" w:cs="Microsoft Sans Serif"/>
          <w:sz w:val="20"/>
          <w:szCs w:val="20"/>
        </w:rPr>
        <w:t xml:space="preserve"> antraciklinima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 poređenju sa onim pedijatrijskim pacijentima bez prethodne izloženosti. Kod ovih pedijatrijskih pacijenata bez prethodne izloženosti antraciklinima ili srčanom zračenju identifikovana je maksimalna tolerisana doza (</w:t>
      </w:r>
      <w:r>
        <w:rPr>
          <w:rFonts w:ascii="Microsoft Sans Serif" w:hAnsi="Microsoft Sans Serif" w:cs="Microsoft Sans Serif"/>
          <w:sz w:val="20"/>
          <w:szCs w:val="20"/>
          <w:lang w:val="sr-Cyrl-RS"/>
        </w:rPr>
        <w:t xml:space="preserve">engl. </w:t>
      </w:r>
      <w:r>
        <w:rPr>
          <w:rFonts w:ascii="Microsoft Sans Serif" w:hAnsi="Microsoft Sans Serif" w:cs="Microsoft Sans Serif"/>
          <w:i/>
          <w:sz w:val="20"/>
          <w:szCs w:val="20"/>
        </w:rPr>
        <w:t>maximum tolerated dose MTD</w:t>
      </w:r>
      <w:r>
        <w:rPr>
          <w:rFonts w:ascii="Microsoft Sans Serif" w:hAnsi="Microsoft Sans Serif" w:cs="Microsoft Sans Serif"/>
          <w:sz w:val="20"/>
          <w:szCs w:val="20"/>
        </w:rPr>
        <w:t>) (pogledati dio 5.1).</w:t>
      </w:r>
    </w:p>
    <w:p w14:paraId="6A90E91F">
      <w:pPr>
        <w:rPr>
          <w:rFonts w:ascii="Microsoft Sans Serif" w:hAnsi="Microsoft Sans Serif" w:cs="Microsoft Sans Serif"/>
          <w:sz w:val="20"/>
          <w:szCs w:val="20"/>
        </w:rPr>
      </w:pPr>
    </w:p>
    <w:p w14:paraId="58647A01">
      <w:pPr>
        <w:rPr>
          <w:rFonts w:ascii="Microsoft Sans Serif" w:hAnsi="Microsoft Sans Serif" w:cs="Microsoft Sans Serif"/>
          <w:sz w:val="20"/>
          <w:szCs w:val="20"/>
        </w:rPr>
      </w:pPr>
      <w:r>
        <w:rPr>
          <w:rFonts w:ascii="Microsoft Sans Serif" w:hAnsi="Microsoft Sans Serif" w:cs="Microsoft Sans Serif"/>
          <w:sz w:val="20"/>
          <w:szCs w:val="20"/>
        </w:rPr>
        <w:t xml:space="preserve">Otvoreno ispitivanje faze 2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provedeno je kod 29 pacijenata koje je obuhvatalo 27 pedijatrijskih pacijenata (starosti od 3 do 16 godina) i 2 mlađa odrasla pacijenta (starosti od 18 do 19 godina)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 xml:space="preserve">rekurentnim/progresivnim/refraktornim gliomom visokog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(HGG)</w:t>
      </w:r>
      <w:r>
        <w:rPr>
          <w:rFonts w:ascii="Microsoft Sans Serif" w:hAnsi="Microsoft Sans Serif" w:cs="Microsoft Sans Serif"/>
          <w:sz w:val="20"/>
          <w:szCs w:val="20"/>
        </w:rPr>
        <w:t xml:space="preserve"> ili ependimomom. U nijednoj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grupa nisu zabilježene neželјene reakcije 5.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Najčešći (≥ 10 %) štetni događaji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liječenjem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 su smanjenje broja neutrofila (6 [20,7 %] pacijenta) i intrakranijalno krvarenje (3 [10,3 %]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cijenta</w:t>
      </w:r>
      <w:r>
        <w:rPr>
          <w:rFonts w:ascii="Microsoft Sans Serif" w:hAnsi="Microsoft Sans Serif" w:cs="Microsoft Sans Serif"/>
          <w:sz w:val="20"/>
          <w:szCs w:val="20"/>
        </w:rPr>
        <w:t>).</w:t>
      </w:r>
    </w:p>
    <w:p w14:paraId="0D7E8706">
      <w:pPr>
        <w:rPr>
          <w:rFonts w:ascii="Microsoft Sans Serif" w:hAnsi="Microsoft Sans Serif" w:cs="Microsoft Sans Serif"/>
          <w:sz w:val="20"/>
          <w:szCs w:val="20"/>
        </w:rPr>
      </w:pPr>
    </w:p>
    <w:p w14:paraId="2CBEAA80">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Ispitivanje faze 1/2 sa jednom grupom pacijenata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provedeno je kod 6 pedijatrijskih pacijenata (starosti od 13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 16 godina)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uznapredovalim neoperabilnim GIST. Najčešće neželјene reakcije prvenstveno 1. ili 2.</w:t>
      </w:r>
      <w:r>
        <w:rPr>
          <w:rFonts w:ascii="Microsoft Sans Serif" w:hAnsi="Microsoft Sans Serif" w:cs="Microsoft Sans Serif"/>
          <w:sz w:val="20"/>
          <w:szCs w:val="20"/>
          <w:lang w:val="sr-Cyrl-RS"/>
        </w:rPr>
        <w:t xml:space="preserve"> stepena</w:t>
      </w:r>
      <w:r>
        <w:rPr>
          <w:rFonts w:ascii="Microsoft Sans Serif" w:hAnsi="Microsoft Sans Serif" w:cs="Microsoft Sans Serif"/>
          <w:sz w:val="20"/>
          <w:szCs w:val="20"/>
        </w:rPr>
        <w:t xml:space="preserve"> težine bile su dijareja, mučnina, smanjenje broja leukocita, neutropenija i glavobolјa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svaka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njih pojavila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 xml:space="preserve">kod 3 (50,0 %) pacijenta. </w:t>
      </w:r>
      <w:r>
        <w:rPr>
          <w:rFonts w:ascii="Microsoft Sans Serif" w:hAnsi="Microsoft Sans Serif" w:cs="Microsoft Sans Serif"/>
          <w:sz w:val="20"/>
          <w:szCs w:val="20"/>
          <w:lang w:val="sr-Cyrl-RS"/>
        </w:rPr>
        <w:t>Neželјeni događaji</w:t>
      </w:r>
      <w:r>
        <w:rPr>
          <w:rFonts w:ascii="Microsoft Sans Serif" w:hAnsi="Microsoft Sans Serif" w:cs="Microsoft Sans Serif"/>
          <w:sz w:val="20"/>
          <w:szCs w:val="20"/>
        </w:rPr>
        <w:t xml:space="preserve"> 3.-4.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liječenjem pojavili su se kod 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od 6 pacijenta (66,7 %) (hipofosfatemija, neutropenija i trombocitopenija 3.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prijavlјene su svaka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kod 1 pacijenta, dok je neutropenija 4.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prijavlјena kod</w:t>
      </w:r>
      <w:r>
        <w:rPr>
          <w:rFonts w:ascii="Microsoft Sans Serif" w:hAnsi="Microsoft Sans Serif" w:cs="Microsoft Sans Serif"/>
          <w:sz w:val="20"/>
          <w:szCs w:val="20"/>
          <w:lang w:val="sr-Cyrl-RS"/>
        </w:rPr>
        <w:t xml:space="preserve"> 1</w:t>
      </w:r>
      <w:r>
        <w:rPr>
          <w:rFonts w:ascii="Microsoft Sans Serif" w:hAnsi="Microsoft Sans Serif" w:cs="Microsoft Sans Serif"/>
          <w:sz w:val="20"/>
          <w:szCs w:val="20"/>
        </w:rPr>
        <w:t xml:space="preserve"> pacijenta). U ovom ispitivanju 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prijavlјeni ozbilјni neželјeni događaji ili neželјene reakcije 5.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U kliničkom ispitivanju i publikacijama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sigurnosni profil je bio u skladu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poznatim sigurnosnim profilom kod odraslih.</w:t>
      </w:r>
    </w:p>
    <w:p w14:paraId="489288F2">
      <w:pPr>
        <w:autoSpaceDE w:val="0"/>
        <w:autoSpaceDN w:val="0"/>
        <w:adjustRightInd w:val="0"/>
        <w:rPr>
          <w:rFonts w:ascii="Microsoft Sans Serif" w:hAnsi="Microsoft Sans Serif" w:cs="Microsoft Sans Serif"/>
          <w:u w:val="single"/>
          <w:lang w:val="pl-PL"/>
        </w:rPr>
      </w:pPr>
    </w:p>
    <w:p w14:paraId="070E56A2">
      <w:pPr>
        <w:autoSpaceDE w:val="0"/>
        <w:autoSpaceDN w:val="0"/>
        <w:adjustRightInd w:val="0"/>
        <w:rPr>
          <w:rFonts w:ascii="Microsoft Sans Serif" w:hAnsi="Microsoft Sans Serif" w:cs="Microsoft Sans Serif"/>
          <w:sz w:val="20"/>
          <w:szCs w:val="20"/>
          <w:u w:val="single"/>
          <w:lang w:val="pl-PL"/>
        </w:rPr>
      </w:pPr>
      <w:r>
        <w:rPr>
          <w:rFonts w:ascii="Microsoft Sans Serif" w:hAnsi="Microsoft Sans Serif" w:cs="Microsoft Sans Serif"/>
          <w:sz w:val="20"/>
          <w:szCs w:val="20"/>
          <w:u w:val="single"/>
          <w:lang w:val="pl-PL"/>
        </w:rPr>
        <w:t xml:space="preserve">Prijavljivanje sumnje na neželjena dejstva lijeka </w:t>
      </w:r>
    </w:p>
    <w:p w14:paraId="4C1E363B">
      <w:pPr>
        <w:autoSpaceDE w:val="0"/>
        <w:autoSpaceDN w:val="0"/>
        <w:adjustRightInd w:val="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Prijavljivanje sumnje na neželjena dejstava lijekova, a nakon stavljanja lijeka u promet, je od velike važnosti za formiranje kompletnije slike o bezbjedonosnom profilu lijeka, odnosno za formiranje što bolje ocjene odnosa korist/rizik pri terapijskoj primjeni lijeka.  </w:t>
      </w:r>
    </w:p>
    <w:p w14:paraId="3E1343CF">
      <w:pPr>
        <w:autoSpaceDE w:val="0"/>
        <w:autoSpaceDN w:val="0"/>
        <w:adjustRightInd w:val="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Proces prijave sumnji na neželjena dejstva lijeka doprinosi kontinuiranom praćenju odnosa koristi/rizik i adekvatnoj ocjeni bezbjedonosnog profila lijeka. Od zdravstvenih stručnjaka se traži da prijave svaku sumnju na neželjeno dejstvo lijeka direktno ALMBIH. Prijava se može dostaviti: </w:t>
      </w:r>
    </w:p>
    <w:p w14:paraId="041D35E4">
      <w:pPr>
        <w:numPr>
          <w:ilvl w:val="0"/>
          <w:numId w:val="1"/>
        </w:numPr>
        <w:tabs>
          <w:tab w:val="clear" w:pos="284"/>
        </w:tabs>
        <w:autoSpaceDE w:val="0"/>
        <w:autoSpaceDN w:val="0"/>
        <w:adjustRightInd w:val="0"/>
        <w:ind w:left="0" w:firstLine="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putem softverske aplikacije za prijavu neželjenih dejstava lijekova za humanu upotrebu (IS Farmakovigilansa) o kojoj više informacija možete dobiti u nasoj Glavnoj kancelariji za farmakovigilansu, ili  </w:t>
      </w:r>
    </w:p>
    <w:p w14:paraId="6FA92F90">
      <w:pPr>
        <w:numPr>
          <w:ilvl w:val="0"/>
          <w:numId w:val="1"/>
        </w:numPr>
        <w:tabs>
          <w:tab w:val="clear" w:pos="284"/>
        </w:tabs>
        <w:autoSpaceDE w:val="0"/>
        <w:autoSpaceDN w:val="0"/>
        <w:adjustRightInd w:val="0"/>
        <w:ind w:left="0" w:firstLine="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putem odgovarajućeg obrasca za prijavljivanje sumnji na neželjena dejstva lijeka, koji se mogu naći na internet adresi Agencije za lijekove: </w:t>
      </w:r>
      <w:r>
        <w:rPr>
          <w:rFonts w:ascii="Microsoft Sans Serif" w:hAnsi="Microsoft Sans Serif" w:cs="Microsoft Sans Serif"/>
          <w:sz w:val="20"/>
          <w:szCs w:val="20"/>
          <w:u w:val="single"/>
          <w:lang w:val="pl-PL"/>
        </w:rPr>
        <w:t>www.almbih.gov.ba</w:t>
      </w:r>
      <w:r>
        <w:rPr>
          <w:rFonts w:ascii="Microsoft Sans Serif" w:hAnsi="Microsoft Sans Serif" w:cs="Microsoft Sans Serif"/>
          <w:sz w:val="20"/>
          <w:szCs w:val="20"/>
          <w:lang w:val="pl-PL"/>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szCs w:val="20"/>
          <w:u w:val="single"/>
          <w:lang w:val="pl-PL"/>
        </w:rPr>
        <w:t>ndl@almbih.gov.ba</w:t>
      </w:r>
      <w:r>
        <w:rPr>
          <w:rFonts w:ascii="Microsoft Sans Serif" w:hAnsi="Microsoft Sans Serif" w:cs="Microsoft Sans Serif"/>
          <w:sz w:val="20"/>
          <w:szCs w:val="20"/>
          <w:lang w:val="pl-PL"/>
        </w:rPr>
        <w:t>).</w:t>
      </w:r>
    </w:p>
    <w:p w14:paraId="05543D8E">
      <w:pPr>
        <w:rPr>
          <w:rFonts w:ascii="Microsoft Sans Serif" w:hAnsi="Microsoft Sans Serif" w:cs="Microsoft Sans Serif"/>
          <w:sz w:val="20"/>
          <w:szCs w:val="20"/>
          <w:lang w:val="sr-Latn-CS"/>
        </w:rPr>
      </w:pPr>
    </w:p>
    <w:p w14:paraId="1941101B">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257A4674">
      <w:pPr>
        <w:rPr>
          <w:rFonts w:ascii="Microsoft Sans Serif" w:hAnsi="Microsoft Sans Serif" w:cs="Microsoft Sans Serif"/>
          <w:bCs/>
          <w:sz w:val="20"/>
          <w:szCs w:val="20"/>
        </w:rPr>
      </w:pPr>
    </w:p>
    <w:p w14:paraId="18914FA0">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Nema specifičnog antidota za liječenje predoziranja lijekom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a </w:t>
      </w:r>
      <w:r>
        <w:rPr>
          <w:rFonts w:ascii="Microsoft Sans Serif" w:hAnsi="Microsoft Sans Serif" w:cs="Microsoft Sans Serif"/>
          <w:bCs/>
          <w:sz w:val="20"/>
          <w:szCs w:val="20"/>
        </w:rPr>
        <w:t xml:space="preserve">liječenje </w:t>
      </w:r>
      <w:r>
        <w:rPr>
          <w:rFonts w:ascii="Microsoft Sans Serif" w:hAnsi="Microsoft Sans Serif" w:cs="Microsoft Sans Serif"/>
          <w:bCs/>
          <w:sz w:val="20"/>
          <w:szCs w:val="20"/>
          <w:lang w:val="sr-Cyrl-RS"/>
        </w:rPr>
        <w:t xml:space="preserve">predoziranja </w:t>
      </w:r>
      <w:r>
        <w:rPr>
          <w:rFonts w:ascii="Microsoft Sans Serif" w:hAnsi="Microsoft Sans Serif" w:cs="Microsoft Sans Serif"/>
          <w:bCs/>
          <w:sz w:val="20"/>
          <w:szCs w:val="20"/>
        </w:rPr>
        <w:t>treba da se sastoji od opštih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suportivnih mjera. Ako je indikovano, eliminacija neresorbovanog lijeka može se postići indukcijom povraćanja ili lavažom želuca. Prijavlјeni su slučajevi predoziranja; neki slučajevi bili su povezani 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neželјenim reakcijama koje su u skladu sa poznatim bezbjednosnim profilom sunitiniba.</w:t>
      </w:r>
    </w:p>
    <w:p w14:paraId="6B554834">
      <w:pPr>
        <w:rPr>
          <w:rFonts w:ascii="Microsoft Sans Serif" w:hAnsi="Microsoft Sans Serif" w:cs="Microsoft Sans Serif"/>
          <w:b/>
          <w:bCs/>
          <w:sz w:val="20"/>
          <w:szCs w:val="20"/>
        </w:rPr>
      </w:pPr>
    </w:p>
    <w:p w14:paraId="3180F2F8">
      <w:pPr>
        <w:rPr>
          <w:rFonts w:ascii="Microsoft Sans Serif" w:hAnsi="Microsoft Sans Serif" w:cs="Microsoft Sans Serif"/>
          <w:sz w:val="20"/>
          <w:szCs w:val="20"/>
          <w:lang w:val="sr-Latn-CS"/>
        </w:rPr>
      </w:pPr>
    </w:p>
    <w:p w14:paraId="00051C38">
      <w:pPr>
        <w:pStyle w:val="2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1D08CC19">
      <w:pPr>
        <w:pStyle w:val="27"/>
        <w:spacing w:before="0" w:after="0"/>
        <w:jc w:val="both"/>
        <w:rPr>
          <w:rFonts w:ascii="Microsoft Sans Serif" w:hAnsi="Microsoft Sans Serif" w:cs="Microsoft Sans Serif"/>
          <w:sz w:val="20"/>
          <w:szCs w:val="20"/>
        </w:rPr>
      </w:pPr>
    </w:p>
    <w:p w14:paraId="5F18362E">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Farmakodinamičke karakteristike</w:t>
      </w:r>
    </w:p>
    <w:p w14:paraId="3EE37880">
      <w:pPr>
        <w:rPr>
          <w:rFonts w:ascii="Microsoft Sans Serif" w:hAnsi="Microsoft Sans Serif" w:cs="Microsoft Sans Serif"/>
          <w:b/>
          <w:bCs/>
          <w:sz w:val="20"/>
          <w:szCs w:val="20"/>
        </w:rPr>
      </w:pPr>
    </w:p>
    <w:p w14:paraId="37929C85">
      <w:pPr>
        <w:rPr>
          <w:rFonts w:ascii="Microsoft Sans Serif" w:hAnsi="Microsoft Sans Serif" w:cs="Microsoft Sans Serif"/>
          <w:bCs/>
          <w:sz w:val="20"/>
          <w:szCs w:val="20"/>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rPr>
        <w:t>: Antineoplastici, inhibitori protein kinaze</w:t>
      </w:r>
    </w:p>
    <w:p w14:paraId="0E8B61E0">
      <w:pPr>
        <w:rPr>
          <w:rFonts w:ascii="Microsoft Sans Serif" w:hAnsi="Microsoft Sans Serif" w:cs="Microsoft Sans Serif"/>
          <w:bCs/>
          <w:sz w:val="20"/>
          <w:szCs w:val="20"/>
        </w:rPr>
      </w:pPr>
    </w:p>
    <w:p w14:paraId="143693C3">
      <w:pPr>
        <w:rPr>
          <w:rFonts w:ascii="Microsoft Sans Serif" w:hAnsi="Microsoft Sans Serif" w:cs="Microsoft Sans Serif"/>
          <w:bCs/>
          <w:sz w:val="20"/>
          <w:szCs w:val="20"/>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rPr>
        <w:t xml:space="preserve"> L01EX01</w:t>
      </w:r>
    </w:p>
    <w:p w14:paraId="0CCF5AF6">
      <w:pPr>
        <w:rPr>
          <w:rFonts w:ascii="Microsoft Sans Serif" w:hAnsi="Microsoft Sans Serif" w:cs="Microsoft Sans Serif"/>
          <w:bCs/>
          <w:sz w:val="20"/>
          <w:szCs w:val="20"/>
        </w:rPr>
      </w:pPr>
    </w:p>
    <w:p w14:paraId="09E14EE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Mehanizam djelovanja</w:t>
      </w:r>
    </w:p>
    <w:p w14:paraId="239CF552">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Sunitinib inhibira multiple receptore tirozin kinaze (RTKs), koji su uklјučeni u rast tumora, </w:t>
      </w:r>
      <w:r>
        <w:rPr>
          <w:rFonts w:ascii="Microsoft Sans Serif" w:hAnsi="Microsoft Sans Serif" w:cs="Microsoft Sans Serif"/>
          <w:bCs/>
          <w:sz w:val="20"/>
          <w:szCs w:val="20"/>
          <w:lang w:val="sr-Cyrl-RS"/>
        </w:rPr>
        <w:t>neo</w:t>
      </w:r>
      <w:r>
        <w:rPr>
          <w:rFonts w:ascii="Microsoft Sans Serif" w:hAnsi="Microsoft Sans Serif" w:cs="Microsoft Sans Serif"/>
          <w:bCs/>
          <w:sz w:val="20"/>
          <w:szCs w:val="20"/>
        </w:rPr>
        <w:t>angiogenezu i metastatsku progresiju karcinoma. Sunitinib je identifikovan kao inhibitor receptora za faktor rasta porijeklom od trombocita (PDGFRα i PDGFRβ), receptora za vaskularni endotelni faktor rasta (VEGFR1, VEGFR2 i VEGFR3), receptora za faktor rasta matičnih ćelija (KIT), Fms-slične tirozinske kinaze-3 (FLT3), receptora za faktor stimulacije kolonija (CSF-1R) i receptora neurotrofnog faktora dobijenog iz glija ćelija (RET). Primarni metabolit ima sličnu potenciju kao i sam sunitinib, što je pokazano biohemijskim i ćelijskim testovima.</w:t>
      </w:r>
    </w:p>
    <w:p w14:paraId="577C18DD">
      <w:pPr>
        <w:rPr>
          <w:rFonts w:ascii="Microsoft Sans Serif" w:hAnsi="Microsoft Sans Serif" w:cs="Microsoft Sans Serif"/>
          <w:bCs/>
          <w:sz w:val="20"/>
          <w:szCs w:val="20"/>
        </w:rPr>
      </w:pPr>
    </w:p>
    <w:p w14:paraId="4ED2BA7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Klinička efikasnost i bezbjednost</w:t>
      </w:r>
    </w:p>
    <w:p w14:paraId="05483B74">
      <w:pPr>
        <w:rPr>
          <w:rFonts w:ascii="Microsoft Sans Serif" w:hAnsi="Microsoft Sans Serif" w:cs="Microsoft Sans Serif"/>
          <w:sz w:val="20"/>
          <w:szCs w:val="20"/>
        </w:rPr>
      </w:pPr>
      <w:r>
        <w:rPr>
          <w:rFonts w:ascii="Microsoft Sans Serif" w:hAnsi="Microsoft Sans Serif" w:cs="Microsoft Sans Serif"/>
          <w:sz w:val="20"/>
          <w:szCs w:val="20"/>
        </w:rPr>
        <w:t>Klinička bezbjednost i efikasnost sunitiniba ispitivana je u liječenju pacijenata sa malignim GIST koji su bili rezistentni na imatinib (tj. koji su imali progresiju bolesti tokom ili nakon liječenja imatinibom) ili koji nisu podnosili imatinib (tj. kod kojih je imatinib ispolјio značajnu toksičnost što je isklјučilo njegovu dalјu primjenu), kod pacijenata sa MRCC i kod pacijenata oboljelih od neoperabilnih pNET.</w:t>
      </w:r>
    </w:p>
    <w:p w14:paraId="0322FB3D">
      <w:pPr>
        <w:rPr>
          <w:rFonts w:ascii="Microsoft Sans Serif" w:hAnsi="Microsoft Sans Serif" w:cs="Microsoft Sans Serif"/>
          <w:sz w:val="20"/>
          <w:szCs w:val="20"/>
        </w:rPr>
      </w:pPr>
    </w:p>
    <w:p w14:paraId="3F1D8AE9">
      <w:pPr>
        <w:rPr>
          <w:rFonts w:ascii="Microsoft Sans Serif" w:hAnsi="Microsoft Sans Serif" w:cs="Microsoft Sans Serif"/>
          <w:sz w:val="20"/>
          <w:szCs w:val="20"/>
        </w:rPr>
      </w:pPr>
      <w:r>
        <w:rPr>
          <w:rFonts w:ascii="Microsoft Sans Serif" w:hAnsi="Microsoft Sans Serif" w:cs="Microsoft Sans Serif"/>
          <w:sz w:val="20"/>
          <w:szCs w:val="20"/>
        </w:rPr>
        <w:t xml:space="preserve">Efikasnost se zasnivala na vremenu do progresije tumora (engl. </w:t>
      </w:r>
      <w:r>
        <w:rPr>
          <w:rFonts w:ascii="Microsoft Sans Serif" w:hAnsi="Microsoft Sans Serif" w:cs="Microsoft Sans Serif"/>
          <w:i/>
          <w:sz w:val="20"/>
          <w:szCs w:val="20"/>
        </w:rPr>
        <w:t>Time To Tumour Progression, TTP</w:t>
      </w:r>
      <w:r>
        <w:rPr>
          <w:rFonts w:ascii="Microsoft Sans Serif" w:hAnsi="Microsoft Sans Serif" w:cs="Microsoft Sans Serif"/>
          <w:sz w:val="20"/>
          <w:szCs w:val="20"/>
        </w:rPr>
        <w:t xml:space="preserve">) i produženju preživlјavanja (engl. </w:t>
      </w:r>
      <w:r>
        <w:rPr>
          <w:rFonts w:ascii="Microsoft Sans Serif" w:hAnsi="Microsoft Sans Serif" w:cs="Microsoft Sans Serif"/>
          <w:i/>
          <w:sz w:val="20"/>
          <w:szCs w:val="20"/>
        </w:rPr>
        <w:t>Increase in Survival</w:t>
      </w:r>
      <w:r>
        <w:rPr>
          <w:rFonts w:ascii="Microsoft Sans Serif" w:hAnsi="Microsoft Sans Serif" w:cs="Microsoft Sans Serif"/>
          <w:sz w:val="20"/>
          <w:szCs w:val="20"/>
        </w:rPr>
        <w:t xml:space="preserve">) kod GIST pacijenata, na preživlјavanju bez progresije bolesti (engl. </w:t>
      </w:r>
      <w:r>
        <w:rPr>
          <w:rFonts w:ascii="Microsoft Sans Serif" w:hAnsi="Microsoft Sans Serif" w:cs="Microsoft Sans Serif"/>
          <w:i/>
          <w:sz w:val="20"/>
          <w:szCs w:val="20"/>
        </w:rPr>
        <w:t>Progression Free Survival, PFS</w:t>
      </w:r>
      <w:r>
        <w:rPr>
          <w:rFonts w:ascii="Microsoft Sans Serif" w:hAnsi="Microsoft Sans Serif" w:cs="Microsoft Sans Serif"/>
          <w:sz w:val="20"/>
          <w:szCs w:val="20"/>
        </w:rPr>
        <w:t xml:space="preserve">) i stopi objektivnog odgovora (engl. </w:t>
      </w:r>
      <w:r>
        <w:rPr>
          <w:rFonts w:ascii="Microsoft Sans Serif" w:hAnsi="Microsoft Sans Serif" w:cs="Microsoft Sans Serif"/>
          <w:i/>
          <w:sz w:val="20"/>
          <w:szCs w:val="20"/>
        </w:rPr>
        <w:t>Objective Response Rate, ORR</w:t>
      </w:r>
      <w:r>
        <w:rPr>
          <w:rFonts w:ascii="Microsoft Sans Serif" w:hAnsi="Microsoft Sans Serif" w:cs="Microsoft Sans Serif"/>
          <w:sz w:val="20"/>
          <w:szCs w:val="20"/>
        </w:rPr>
        <w:t>) kod pacijenata sa do tada neliječenim (tzv. "naive") MRCC i kod pacijenata sa MRCC refraktornim na citokine, kao i na PFS kod pNET.</w:t>
      </w:r>
    </w:p>
    <w:p w14:paraId="6B66E834">
      <w:pPr>
        <w:rPr>
          <w:rFonts w:ascii="Microsoft Sans Serif" w:hAnsi="Microsoft Sans Serif" w:cs="Microsoft Sans Serif"/>
          <w:sz w:val="20"/>
          <w:szCs w:val="20"/>
        </w:rPr>
      </w:pPr>
    </w:p>
    <w:p w14:paraId="65E711BE">
      <w:pPr>
        <w:rPr>
          <w:rFonts w:ascii="Microsoft Sans Serif" w:hAnsi="Microsoft Sans Serif" w:cs="Microsoft Sans Serif"/>
          <w:i/>
          <w:sz w:val="20"/>
          <w:szCs w:val="20"/>
        </w:rPr>
      </w:pPr>
      <w:r>
        <w:rPr>
          <w:rFonts w:ascii="Microsoft Sans Serif" w:hAnsi="Microsoft Sans Serif" w:cs="Microsoft Sans Serif"/>
          <w:i/>
          <w:sz w:val="20"/>
          <w:szCs w:val="20"/>
        </w:rPr>
        <w:t>Gastroinestinalni tumori strome</w:t>
      </w:r>
    </w:p>
    <w:p w14:paraId="6CA093CA">
      <w:pPr>
        <w:rPr>
          <w:rFonts w:ascii="Microsoft Sans Serif" w:hAnsi="Microsoft Sans Serif" w:cs="Microsoft Sans Serif"/>
          <w:sz w:val="20"/>
          <w:szCs w:val="20"/>
        </w:rPr>
      </w:pPr>
      <w:r>
        <w:rPr>
          <w:rFonts w:ascii="Microsoft Sans Serif" w:hAnsi="Microsoft Sans Serif" w:cs="Microsoft Sans Serif"/>
          <w:sz w:val="20"/>
          <w:szCs w:val="20"/>
        </w:rPr>
        <w:t>Inicijalna, otvorena studija, sa eskalacijom doze sprovedena je kod GIST pacijenata poslije neuspeha liječenja imatinibom (medijana maksimalne dnevne doze 800 mg) usljed rezistencije ili netolerancije. Devedest i sedam (97) pacijenata uklјučeno je u studiju sa primjenom raznih doza i režima doziranja; 55 pacijenata primilo je 50 mg tokom preporučenog režima liječenja u trajanju od 4 nedelјe/2 nedelјe pauze bez lijeka (režim 4/2).</w:t>
      </w:r>
    </w:p>
    <w:p w14:paraId="17395888">
      <w:pPr>
        <w:rPr>
          <w:rFonts w:ascii="Microsoft Sans Serif" w:hAnsi="Microsoft Sans Serif" w:cs="Microsoft Sans Serif"/>
          <w:sz w:val="20"/>
          <w:szCs w:val="20"/>
        </w:rPr>
      </w:pPr>
    </w:p>
    <w:p w14:paraId="6752B08E">
      <w:pPr>
        <w:rPr>
          <w:rFonts w:ascii="Microsoft Sans Serif" w:hAnsi="Microsoft Sans Serif" w:cs="Microsoft Sans Serif"/>
          <w:sz w:val="20"/>
          <w:szCs w:val="20"/>
        </w:rPr>
      </w:pPr>
      <w:r>
        <w:rPr>
          <w:rFonts w:ascii="Microsoft Sans Serif" w:hAnsi="Microsoft Sans Serif" w:cs="Microsoft Sans Serif"/>
          <w:sz w:val="20"/>
          <w:szCs w:val="20"/>
        </w:rPr>
        <w:t>U ovoj studiji medijana TTP bilo je 34,0 sedmica (95% CI = 22,0; 46,0).</w:t>
      </w:r>
    </w:p>
    <w:p w14:paraId="671138B9">
      <w:pPr>
        <w:rPr>
          <w:rFonts w:ascii="Microsoft Sans Serif" w:hAnsi="Microsoft Sans Serif" w:cs="Microsoft Sans Serif"/>
          <w:sz w:val="20"/>
          <w:szCs w:val="20"/>
        </w:rPr>
      </w:pPr>
    </w:p>
    <w:p w14:paraId="05A6B8DB">
      <w:pPr>
        <w:rPr>
          <w:rFonts w:ascii="Microsoft Sans Serif" w:hAnsi="Microsoft Sans Serif" w:cs="Microsoft Sans Serif"/>
          <w:sz w:val="20"/>
          <w:szCs w:val="20"/>
          <w:lang w:val="sr-Latn-RS"/>
        </w:rPr>
      </w:pPr>
      <w:r>
        <w:rPr>
          <w:rFonts w:ascii="Microsoft Sans Serif" w:hAnsi="Microsoft Sans Serif" w:cs="Microsoft Sans Serif"/>
          <w:sz w:val="20"/>
          <w:szCs w:val="20"/>
        </w:rPr>
        <w:t>Randomizovana, placebo kontrolisana, dvostruko-slijepa studija faze 3, sprovedena je kod GIST pacijenata koji nisu tolerisali imatinib, ili su imali progresiju bolesti tokom i poslije liječenja imatinibom (medijana maksimalne dnevne doze 800 mg). U ovoj studiji, 312 pacijenata je randomiz</w:t>
      </w:r>
      <w:r>
        <w:rPr>
          <w:rFonts w:ascii="Microsoft Sans Serif" w:hAnsi="Microsoft Sans Serif" w:cs="Microsoft Sans Serif"/>
          <w:sz w:val="20"/>
          <w:szCs w:val="20"/>
          <w:lang w:val="sr-Cyrl-RS"/>
        </w:rPr>
        <w:t>ovano</w:t>
      </w:r>
      <w:r>
        <w:rPr>
          <w:rFonts w:ascii="Microsoft Sans Serif" w:hAnsi="Microsoft Sans Serif" w:cs="Microsoft Sans Serif"/>
          <w:sz w:val="20"/>
          <w:szCs w:val="20"/>
        </w:rPr>
        <w:t xml:space="preserve"> (2:1)</w:t>
      </w:r>
      <w:r>
        <w:rPr>
          <w:rFonts w:ascii="Microsoft Sans Serif" w:hAnsi="Microsoft Sans Serif" w:cs="Microsoft Sans Serif"/>
          <w:sz w:val="20"/>
          <w:szCs w:val="20"/>
          <w:lang w:val="sr-Cyrl-RS"/>
        </w:rPr>
        <w:t xml:space="preserve"> da dobijaju</w:t>
      </w:r>
      <w:r>
        <w:rPr>
          <w:rFonts w:ascii="Microsoft Sans Serif" w:hAnsi="Microsoft Sans Serif" w:cs="Microsoft Sans Serif"/>
          <w:sz w:val="20"/>
          <w:szCs w:val="20"/>
        </w:rPr>
        <w:t xml:space="preserve"> sunitinib 50 mg ili placebo, oralno, jedanput dnevno po režimu 4/2 do progresije bolesti ili isklјučenja iz studije usljed nekog drugog razloga (207 pacijenata bilo je na terapiji sunitinibom, dok je 105 pacijenata </w:t>
      </w:r>
      <w:r>
        <w:rPr>
          <w:rFonts w:ascii="Microsoft Sans Serif" w:hAnsi="Microsoft Sans Serif" w:cs="Microsoft Sans Serif"/>
          <w:sz w:val="20"/>
          <w:szCs w:val="20"/>
          <w:lang w:val="sr-Cyrl-RS"/>
        </w:rPr>
        <w:t>dobijalo</w:t>
      </w:r>
      <w:r>
        <w:rPr>
          <w:rFonts w:ascii="Microsoft Sans Serif" w:hAnsi="Microsoft Sans Serif" w:cs="Microsoft Sans Serif"/>
          <w:sz w:val="20"/>
          <w:szCs w:val="20"/>
        </w:rPr>
        <w:t xml:space="preserve"> placebo). Primarni </w:t>
      </w:r>
      <w:r>
        <w:rPr>
          <w:rFonts w:ascii="Microsoft Sans Serif" w:hAnsi="Microsoft Sans Serif" w:cs="Microsoft Sans Serif"/>
          <w:sz w:val="20"/>
          <w:szCs w:val="20"/>
          <w:lang w:val="mk-MK"/>
        </w:rPr>
        <w:t>parametar pra</w:t>
      </w:r>
      <w:r>
        <w:rPr>
          <w:rFonts w:ascii="Microsoft Sans Serif" w:hAnsi="Microsoft Sans Serif" w:cs="Microsoft Sans Serif"/>
          <w:sz w:val="20"/>
          <w:szCs w:val="20"/>
          <w:lang w:val="sr-Cyrl-RS"/>
        </w:rPr>
        <w:t>ćenja</w:t>
      </w:r>
      <w:r>
        <w:rPr>
          <w:rFonts w:ascii="Microsoft Sans Serif" w:hAnsi="Microsoft Sans Serif" w:cs="Microsoft Sans Serif"/>
          <w:sz w:val="20"/>
          <w:szCs w:val="20"/>
        </w:rPr>
        <w:t xml:space="preserve"> efikasnosti studije bio je TTP, definisan kao vrijeme od randomizacije do prve objektivne potvrde progresije tumora. U vrijeme unaprijed definisane privremene analize medijana TTP kod pacijenata na terapiji sunitinibom iznosila je 28,9 nedelјa (95% CI= 21,3;34,1), kako je procijenjeno od strane istraživača, i 27,3 nedelјa (95% CI= 16,0;32,1), kako je procijenjeno od strane nezavisne recenzije, i bila je statistički značajno duža nego TTP kod pacijenata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i kod kojih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iznosila 5,1 nedelјu (95% CI= 4,4;10,1), procijenjeno od strane istraživača, i 6,4 nedelјe (95% CI= 4,4;10,0), procijenjeno od strane nezavisne recenzije. Razlika u ukupnom preživlјavanju (engl. </w:t>
      </w:r>
      <w:r>
        <w:rPr>
          <w:rFonts w:ascii="Microsoft Sans Serif" w:hAnsi="Microsoft Sans Serif" w:cs="Microsoft Sans Serif"/>
          <w:i/>
          <w:sz w:val="20"/>
          <w:szCs w:val="20"/>
        </w:rPr>
        <w:t>Overall Survival, OS</w:t>
      </w:r>
      <w:r>
        <w:rPr>
          <w:rFonts w:ascii="Microsoft Sans Serif" w:hAnsi="Microsoft Sans Serif" w:cs="Microsoft Sans Serif"/>
          <w:sz w:val="20"/>
          <w:szCs w:val="20"/>
        </w:rPr>
        <w:t xml:space="preserve">) bila je statistički povolјna za sunitinib [hazard ratio (HR): 0,491 (95% CI= 0,290;0,831)]; rizik od smrti je bio dvaput veći kod pacijenata </w:t>
      </w:r>
      <w:r>
        <w:rPr>
          <w:rFonts w:ascii="Microsoft Sans Serif" w:hAnsi="Microsoft Sans Serif" w:cs="Microsoft Sans Serif"/>
          <w:sz w:val="20"/>
          <w:szCs w:val="20"/>
          <w:lang w:val="sr-Cyrl-RS"/>
        </w:rPr>
        <w:t>koji su dobijali</w:t>
      </w:r>
      <w:r>
        <w:rPr>
          <w:rFonts w:ascii="Microsoft Sans Serif" w:hAnsi="Microsoft Sans Serif" w:cs="Microsoft Sans Serif"/>
          <w:sz w:val="20"/>
          <w:szCs w:val="20"/>
        </w:rPr>
        <w:t xml:space="preserve"> placebo u poređenju sa pacijentima na terapiji sunitinibom.</w:t>
      </w:r>
    </w:p>
    <w:p w14:paraId="680E6546">
      <w:pPr>
        <w:rPr>
          <w:rFonts w:ascii="Microsoft Sans Serif" w:hAnsi="Microsoft Sans Serif" w:cs="Microsoft Sans Serif"/>
          <w:sz w:val="20"/>
          <w:szCs w:val="20"/>
        </w:rPr>
      </w:pPr>
    </w:p>
    <w:p w14:paraId="0B5025B8">
      <w:pPr>
        <w:rPr>
          <w:rFonts w:ascii="Microsoft Sans Serif" w:hAnsi="Microsoft Sans Serif" w:cs="Microsoft Sans Serif"/>
          <w:sz w:val="20"/>
          <w:szCs w:val="20"/>
        </w:rPr>
      </w:pPr>
      <w:r>
        <w:rPr>
          <w:rFonts w:ascii="Microsoft Sans Serif" w:hAnsi="Microsoft Sans Serif" w:cs="Microsoft Sans Serif"/>
          <w:sz w:val="20"/>
          <w:szCs w:val="20"/>
        </w:rPr>
        <w:t xml:space="preserve">Nakon izvršene </w:t>
      </w:r>
      <w:r>
        <w:rPr>
          <w:rFonts w:ascii="Microsoft Sans Serif" w:hAnsi="Microsoft Sans Serif" w:cs="Microsoft Sans Serif"/>
          <w:sz w:val="20"/>
          <w:szCs w:val="20"/>
          <w:lang w:val="sr-Cyrl-RS"/>
        </w:rPr>
        <w:t>privremene</w:t>
      </w:r>
      <w:r>
        <w:rPr>
          <w:rFonts w:ascii="Microsoft Sans Serif" w:hAnsi="Microsoft Sans Serif" w:cs="Microsoft Sans Serif"/>
          <w:sz w:val="20"/>
          <w:szCs w:val="20"/>
        </w:rPr>
        <w:t xml:space="preserve"> analize efikasnosti i bezbjednosti, po preporuci nezavisnog komiteta za praćenje bezbjednosti i podataka (engl. </w:t>
      </w:r>
      <w:r>
        <w:rPr>
          <w:rFonts w:ascii="Microsoft Sans Serif" w:hAnsi="Microsoft Sans Serif" w:cs="Microsoft Sans Serif"/>
          <w:i/>
          <w:sz w:val="20"/>
          <w:szCs w:val="20"/>
        </w:rPr>
        <w:t>Independent Data and Safety Monitoring Board</w:t>
      </w:r>
      <w:r>
        <w:rPr>
          <w:rFonts w:ascii="Microsoft Sans Serif" w:hAnsi="Microsoft Sans Serif" w:cs="Microsoft Sans Serif"/>
          <w:sz w:val="20"/>
          <w:szCs w:val="20"/>
        </w:rPr>
        <w:t xml:space="preserve">, DSMB) studija je postala otvorena i pacijentima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w:t>
      </w:r>
      <w:r>
        <w:rPr>
          <w:rFonts w:ascii="Microsoft Sans Serif" w:hAnsi="Microsoft Sans Serif" w:cs="Microsoft Sans Serif"/>
          <w:sz w:val="20"/>
          <w:szCs w:val="20"/>
          <w:lang w:val="mk-MK"/>
        </w:rPr>
        <w:t>o</w:t>
      </w:r>
      <w:r>
        <w:rPr>
          <w:rFonts w:ascii="Microsoft Sans Serif" w:hAnsi="Microsoft Sans Serif" w:cs="Microsoft Sans Serif"/>
          <w:sz w:val="20"/>
          <w:szCs w:val="20"/>
        </w:rPr>
        <w:t xml:space="preserve"> je omogućeno da primaju sunitinib.</w:t>
      </w:r>
    </w:p>
    <w:p w14:paraId="1CC3BDEA">
      <w:pPr>
        <w:rPr>
          <w:rFonts w:ascii="Microsoft Sans Serif" w:hAnsi="Microsoft Sans Serif" w:cs="Microsoft Sans Serif"/>
          <w:sz w:val="20"/>
          <w:szCs w:val="20"/>
        </w:rPr>
      </w:pPr>
    </w:p>
    <w:p w14:paraId="1C598B15">
      <w:pPr>
        <w:rPr>
          <w:rFonts w:ascii="Microsoft Sans Serif" w:hAnsi="Microsoft Sans Serif" w:cs="Microsoft Sans Serif"/>
          <w:sz w:val="20"/>
          <w:szCs w:val="20"/>
        </w:rPr>
      </w:pPr>
      <w:r>
        <w:rPr>
          <w:rFonts w:ascii="Microsoft Sans Serif" w:hAnsi="Microsoft Sans Serif" w:cs="Microsoft Sans Serif"/>
          <w:sz w:val="20"/>
          <w:szCs w:val="20"/>
        </w:rPr>
        <w:t xml:space="preserve">Ukupno 255 pacijenata je primilo sunitinib u otvorenom dijelu studije, uklјučujući 99 pacijenata koji su u početku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w:t>
      </w:r>
    </w:p>
    <w:p w14:paraId="32396CA3">
      <w:pPr>
        <w:rPr>
          <w:rFonts w:ascii="Microsoft Sans Serif" w:hAnsi="Microsoft Sans Serif" w:cs="Microsoft Sans Serif"/>
          <w:sz w:val="20"/>
          <w:szCs w:val="20"/>
        </w:rPr>
      </w:pPr>
    </w:p>
    <w:p w14:paraId="6009720B">
      <w:pPr>
        <w:rPr>
          <w:rFonts w:ascii="Microsoft Sans Serif" w:hAnsi="Microsoft Sans Serif" w:cs="Microsoft Sans Serif"/>
          <w:sz w:val="20"/>
          <w:szCs w:val="20"/>
        </w:rPr>
      </w:pPr>
      <w:r>
        <w:rPr>
          <w:rFonts w:ascii="Microsoft Sans Serif" w:hAnsi="Microsoft Sans Serif" w:cs="Microsoft Sans Serif"/>
          <w:sz w:val="20"/>
          <w:szCs w:val="20"/>
        </w:rPr>
        <w:t>Analiz</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primarnih i sekundarnih </w:t>
      </w:r>
      <w:r>
        <w:rPr>
          <w:rFonts w:ascii="Microsoft Sans Serif" w:hAnsi="Microsoft Sans Serif" w:cs="Microsoft Sans Serif"/>
          <w:sz w:val="20"/>
          <w:szCs w:val="20"/>
          <w:lang w:val="sr-Cyrl-RS"/>
        </w:rPr>
        <w:t>parametara praćenja ishoda</w:t>
      </w:r>
      <w:r>
        <w:rPr>
          <w:rFonts w:ascii="Microsoft Sans Serif" w:hAnsi="Microsoft Sans Serif" w:cs="Microsoft Sans Serif"/>
          <w:sz w:val="20"/>
          <w:szCs w:val="20"/>
        </w:rPr>
        <w:t xml:space="preserve"> u toku otvorene faze studije su potvrdile rezultate dobijene </w:t>
      </w:r>
      <w:r>
        <w:rPr>
          <w:rFonts w:ascii="Microsoft Sans Serif" w:hAnsi="Microsoft Sans Serif" w:cs="Microsoft Sans Serif"/>
          <w:sz w:val="20"/>
          <w:szCs w:val="20"/>
          <w:lang w:val="sr-Cyrl-RS"/>
        </w:rPr>
        <w:t>u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privremene</w:t>
      </w:r>
      <w:r>
        <w:rPr>
          <w:rFonts w:ascii="Microsoft Sans Serif" w:hAnsi="Microsoft Sans Serif" w:cs="Microsoft Sans Serif"/>
          <w:sz w:val="20"/>
          <w:szCs w:val="20"/>
        </w:rPr>
        <w:t xml:space="preserve"> analiz</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kao što je prikazano u tabeli 2:</w:t>
      </w:r>
    </w:p>
    <w:p w14:paraId="6568FF1D">
      <w:pPr>
        <w:rPr>
          <w:rFonts w:ascii="Microsoft Sans Serif" w:hAnsi="Microsoft Sans Serif" w:cs="Microsoft Sans Serif"/>
          <w:sz w:val="20"/>
          <w:szCs w:val="20"/>
        </w:rPr>
      </w:pPr>
    </w:p>
    <w:p w14:paraId="649E9CD8">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2 - Kratak pregled </w:t>
      </w:r>
      <w:r>
        <w:rPr>
          <w:rFonts w:ascii="Microsoft Sans Serif" w:hAnsi="Microsoft Sans Serif" w:cs="Microsoft Sans Serif"/>
          <w:b/>
          <w:sz w:val="20"/>
          <w:szCs w:val="20"/>
          <w:lang w:val="sr-Cyrl-RS"/>
        </w:rPr>
        <w:t>parametara praćenja ishoda</w:t>
      </w:r>
      <w:r>
        <w:rPr>
          <w:rFonts w:ascii="Microsoft Sans Serif" w:hAnsi="Microsoft Sans Serif" w:cs="Microsoft Sans Serif"/>
          <w:b/>
          <w:sz w:val="20"/>
          <w:szCs w:val="20"/>
        </w:rPr>
        <w:t xml:space="preserve"> koj</w:t>
      </w:r>
      <w:r>
        <w:rPr>
          <w:rFonts w:ascii="Microsoft Sans Serif" w:hAnsi="Microsoft Sans Serif" w:cs="Microsoft Sans Serif"/>
          <w:b/>
          <w:sz w:val="20"/>
          <w:szCs w:val="20"/>
          <w:lang w:val="sr-Cyrl-RS"/>
        </w:rPr>
        <w:t>i</w:t>
      </w:r>
      <w:r>
        <w:rPr>
          <w:rFonts w:ascii="Microsoft Sans Serif" w:hAnsi="Microsoft Sans Serif" w:cs="Microsoft Sans Serif"/>
          <w:b/>
          <w:sz w:val="20"/>
          <w:szCs w:val="20"/>
        </w:rPr>
        <w:t xml:space="preserve"> se odnose na efikasnost kod GIST (ITT populacija)</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0"/>
        <w:gridCol w:w="1556"/>
        <w:gridCol w:w="1563"/>
        <w:gridCol w:w="1724"/>
        <w:gridCol w:w="1097"/>
        <w:gridCol w:w="1552"/>
      </w:tblGrid>
      <w:tr w14:paraId="6042E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33F3F65E">
            <w:pPr>
              <w:widowControl w:val="0"/>
              <w:tabs>
                <w:tab w:val="clear" w:pos="284"/>
              </w:tabs>
              <w:autoSpaceDE w:val="0"/>
              <w:autoSpaceDN w:val="0"/>
              <w:rPr>
                <w:rFonts w:ascii="Microsoft Sans Serif" w:hAnsi="Microsoft Sans Serif" w:cs="Microsoft Sans Serif"/>
                <w:sz w:val="20"/>
                <w:szCs w:val="20"/>
              </w:rPr>
            </w:pPr>
          </w:p>
        </w:tc>
        <w:tc>
          <w:tcPr>
            <w:tcW w:w="5940" w:type="dxa"/>
            <w:gridSpan w:val="4"/>
          </w:tcPr>
          <w:p w14:paraId="313F3D3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b/>
                <w:sz w:val="20"/>
                <w:szCs w:val="20"/>
                <w:lang w:val="sr-Cyrl-RS"/>
              </w:rPr>
              <w:t>Dvostruko slijepa terapija</w:t>
            </w:r>
            <w:r>
              <w:rPr>
                <w:rFonts w:ascii="Microsoft Sans Serif" w:hAnsi="Microsoft Sans Serif" w:cs="Microsoft Sans Serif"/>
                <w:sz w:val="20"/>
                <w:szCs w:val="20"/>
                <w:vertAlign w:val="superscript"/>
              </w:rPr>
              <w:t>a</w:t>
            </w:r>
          </w:p>
        </w:tc>
        <w:tc>
          <w:tcPr>
            <w:tcW w:w="1552" w:type="dxa"/>
          </w:tcPr>
          <w:p w14:paraId="621BD18D">
            <w:pPr>
              <w:widowControl w:val="0"/>
              <w:tabs>
                <w:tab w:val="clear" w:pos="284"/>
              </w:tabs>
              <w:autoSpaceDE w:val="0"/>
              <w:autoSpaceDN w:val="0"/>
              <w:rPr>
                <w:rFonts w:ascii="Microsoft Sans Serif" w:hAnsi="Microsoft Sans Serif" w:cs="Microsoft Sans Serif"/>
                <w:sz w:val="20"/>
                <w:szCs w:val="20"/>
              </w:rPr>
            </w:pPr>
          </w:p>
        </w:tc>
      </w:tr>
      <w:tr w14:paraId="4670A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577" w:type="dxa"/>
          </w:tcPr>
          <w:p w14:paraId="02183C20">
            <w:pPr>
              <w:widowControl w:val="0"/>
              <w:tabs>
                <w:tab w:val="clear" w:pos="284"/>
              </w:tabs>
              <w:autoSpaceDE w:val="0"/>
              <w:autoSpaceDN w:val="0"/>
              <w:rPr>
                <w:rFonts w:ascii="Microsoft Sans Serif" w:hAnsi="Microsoft Sans Serif" w:cs="Microsoft Sans Serif"/>
                <w:sz w:val="20"/>
                <w:szCs w:val="20"/>
              </w:rPr>
            </w:pPr>
          </w:p>
        </w:tc>
        <w:tc>
          <w:tcPr>
            <w:tcW w:w="3119" w:type="dxa"/>
            <w:gridSpan w:val="2"/>
          </w:tcPr>
          <w:p w14:paraId="76C75297">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Medijana (95% CI)</w:t>
            </w:r>
          </w:p>
        </w:tc>
        <w:tc>
          <w:tcPr>
            <w:tcW w:w="2821" w:type="dxa"/>
            <w:gridSpan w:val="2"/>
          </w:tcPr>
          <w:p w14:paraId="57B86930">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Hazard ratio</w:t>
            </w:r>
          </w:p>
        </w:tc>
        <w:tc>
          <w:tcPr>
            <w:tcW w:w="1552" w:type="dxa"/>
            <w:vMerge w:val="restart"/>
          </w:tcPr>
          <w:p w14:paraId="58A82A6E">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Terapija u grupi nakon placeba</w:t>
            </w:r>
            <w:r>
              <w:rPr>
                <w:rFonts w:ascii="Microsoft Sans Serif" w:hAnsi="Microsoft Sans Serif" w:cs="Microsoft Sans Serif"/>
                <w:b/>
                <w:spacing w:val="-1"/>
                <w:sz w:val="20"/>
                <w:szCs w:val="20"/>
                <w:vertAlign w:val="superscript"/>
              </w:rPr>
              <w:t>b</w:t>
            </w:r>
          </w:p>
        </w:tc>
      </w:tr>
      <w:tr w14:paraId="487E8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830" w:type="dxa"/>
          </w:tcPr>
          <w:p w14:paraId="6C0B9C25">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Parametri praćenja  ishoda</w:t>
            </w:r>
          </w:p>
        </w:tc>
        <w:tc>
          <w:tcPr>
            <w:tcW w:w="1556" w:type="dxa"/>
          </w:tcPr>
          <w:p w14:paraId="1472352D">
            <w:pPr>
              <w:widowControl w:val="0"/>
              <w:tabs>
                <w:tab w:val="clear" w:pos="284"/>
              </w:tabs>
              <w:autoSpaceDE w:val="0"/>
              <w:autoSpaceDN w:val="0"/>
              <w:rPr>
                <w:rFonts w:ascii="Microsoft Sans Serif" w:hAnsi="Microsoft Sans Serif" w:cs="Microsoft Sans Serif"/>
                <w:b/>
                <w:sz w:val="20"/>
                <w:szCs w:val="20"/>
              </w:rPr>
            </w:pPr>
          </w:p>
          <w:p w14:paraId="7C6EAB07">
            <w:pPr>
              <w:widowControl w:val="0"/>
              <w:tabs>
                <w:tab w:val="clear" w:pos="284"/>
              </w:tabs>
              <w:autoSpaceDE w:val="0"/>
              <w:autoSpaceDN w:val="0"/>
              <w:rPr>
                <w:rFonts w:ascii="Microsoft Sans Serif" w:hAnsi="Microsoft Sans Serif" w:cs="Microsoft Sans Serif"/>
                <w:b/>
                <w:sz w:val="20"/>
                <w:szCs w:val="20"/>
              </w:rPr>
            </w:pPr>
          </w:p>
          <w:p w14:paraId="3CA427C6">
            <w:pPr>
              <w:widowControl w:val="0"/>
              <w:tabs>
                <w:tab w:val="clear" w:pos="284"/>
              </w:tabs>
              <w:autoSpaceDE w:val="0"/>
              <w:autoSpaceDN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Sunitinib </w:t>
            </w:r>
          </w:p>
        </w:tc>
        <w:tc>
          <w:tcPr>
            <w:tcW w:w="1563" w:type="dxa"/>
          </w:tcPr>
          <w:p w14:paraId="0096B711">
            <w:pPr>
              <w:widowControl w:val="0"/>
              <w:tabs>
                <w:tab w:val="clear" w:pos="284"/>
              </w:tabs>
              <w:autoSpaceDE w:val="0"/>
              <w:autoSpaceDN w:val="0"/>
              <w:rPr>
                <w:rFonts w:ascii="Microsoft Sans Serif" w:hAnsi="Microsoft Sans Serif" w:cs="Microsoft Sans Serif"/>
                <w:b/>
                <w:sz w:val="20"/>
                <w:szCs w:val="20"/>
              </w:rPr>
            </w:pPr>
          </w:p>
          <w:p w14:paraId="30F9BC60">
            <w:pPr>
              <w:widowControl w:val="0"/>
              <w:tabs>
                <w:tab w:val="clear" w:pos="284"/>
              </w:tabs>
              <w:autoSpaceDE w:val="0"/>
              <w:autoSpaceDN w:val="0"/>
              <w:rPr>
                <w:rFonts w:ascii="Microsoft Sans Serif" w:hAnsi="Microsoft Sans Serif" w:cs="Microsoft Sans Serif"/>
                <w:b/>
                <w:sz w:val="20"/>
                <w:szCs w:val="20"/>
              </w:rPr>
            </w:pPr>
          </w:p>
          <w:p w14:paraId="77BC875D">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Placebo</w:t>
            </w:r>
          </w:p>
        </w:tc>
        <w:tc>
          <w:tcPr>
            <w:tcW w:w="1724" w:type="dxa"/>
          </w:tcPr>
          <w:p w14:paraId="16A1F3FC">
            <w:pPr>
              <w:widowControl w:val="0"/>
              <w:tabs>
                <w:tab w:val="clear" w:pos="284"/>
              </w:tabs>
              <w:autoSpaceDE w:val="0"/>
              <w:autoSpaceDN w:val="0"/>
              <w:rPr>
                <w:rFonts w:ascii="Microsoft Sans Serif" w:hAnsi="Microsoft Sans Serif" w:cs="Microsoft Sans Serif"/>
                <w:b/>
                <w:sz w:val="20"/>
                <w:szCs w:val="20"/>
              </w:rPr>
            </w:pPr>
          </w:p>
          <w:p w14:paraId="5E19C9B6">
            <w:pPr>
              <w:widowControl w:val="0"/>
              <w:tabs>
                <w:tab w:val="clear" w:pos="284"/>
              </w:tabs>
              <w:autoSpaceDE w:val="0"/>
              <w:autoSpaceDN w:val="0"/>
              <w:rPr>
                <w:rFonts w:ascii="Microsoft Sans Serif" w:hAnsi="Microsoft Sans Serif" w:cs="Microsoft Sans Serif"/>
                <w:b/>
                <w:sz w:val="20"/>
                <w:szCs w:val="20"/>
              </w:rPr>
            </w:pPr>
          </w:p>
          <w:p w14:paraId="1E5C29AE">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097" w:type="dxa"/>
          </w:tcPr>
          <w:p w14:paraId="50B7B487">
            <w:pPr>
              <w:widowControl w:val="0"/>
              <w:tabs>
                <w:tab w:val="clear" w:pos="284"/>
              </w:tabs>
              <w:autoSpaceDE w:val="0"/>
              <w:autoSpaceDN w:val="0"/>
              <w:rPr>
                <w:rFonts w:ascii="Microsoft Sans Serif" w:hAnsi="Microsoft Sans Serif" w:cs="Microsoft Sans Serif"/>
                <w:b/>
                <w:sz w:val="20"/>
                <w:szCs w:val="20"/>
              </w:rPr>
            </w:pPr>
          </w:p>
          <w:p w14:paraId="3295815A">
            <w:pPr>
              <w:widowControl w:val="0"/>
              <w:tabs>
                <w:tab w:val="clear" w:pos="284"/>
              </w:tabs>
              <w:autoSpaceDE w:val="0"/>
              <w:autoSpaceDN w:val="0"/>
              <w:rPr>
                <w:rFonts w:ascii="Microsoft Sans Serif" w:hAnsi="Microsoft Sans Serif" w:cs="Microsoft Sans Serif"/>
                <w:b/>
                <w:sz w:val="20"/>
                <w:szCs w:val="20"/>
              </w:rPr>
            </w:pPr>
          </w:p>
          <w:p w14:paraId="2C90192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p-vrijednost</w:t>
            </w:r>
          </w:p>
        </w:tc>
        <w:tc>
          <w:tcPr>
            <w:tcW w:w="1552" w:type="dxa"/>
            <w:vMerge w:val="continue"/>
            <w:tcBorders>
              <w:top w:val="nil"/>
            </w:tcBorders>
          </w:tcPr>
          <w:p w14:paraId="2F220DF7">
            <w:pPr>
              <w:widowControl w:val="0"/>
              <w:tabs>
                <w:tab w:val="clear" w:pos="284"/>
              </w:tabs>
              <w:autoSpaceDE w:val="0"/>
              <w:autoSpaceDN w:val="0"/>
              <w:rPr>
                <w:rFonts w:ascii="Microsoft Sans Serif" w:hAnsi="Microsoft Sans Serif" w:cs="Microsoft Sans Serif"/>
                <w:sz w:val="20"/>
                <w:szCs w:val="20"/>
              </w:rPr>
            </w:pPr>
          </w:p>
        </w:tc>
      </w:tr>
      <w:tr w14:paraId="4836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3A3DFDE7">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Primarni</w:t>
            </w:r>
          </w:p>
        </w:tc>
        <w:tc>
          <w:tcPr>
            <w:tcW w:w="7492" w:type="dxa"/>
            <w:gridSpan w:val="5"/>
          </w:tcPr>
          <w:p w14:paraId="77425EA8">
            <w:pPr>
              <w:widowControl w:val="0"/>
              <w:tabs>
                <w:tab w:val="clear" w:pos="284"/>
              </w:tabs>
              <w:autoSpaceDE w:val="0"/>
              <w:autoSpaceDN w:val="0"/>
              <w:rPr>
                <w:rFonts w:ascii="Microsoft Sans Serif" w:hAnsi="Microsoft Sans Serif" w:cs="Microsoft Sans Serif"/>
                <w:sz w:val="20"/>
                <w:szCs w:val="20"/>
              </w:rPr>
            </w:pPr>
          </w:p>
        </w:tc>
      </w:tr>
      <w:tr w14:paraId="7EA8A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656C2A6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TTP (nedelјe)</w:t>
            </w:r>
          </w:p>
        </w:tc>
        <w:tc>
          <w:tcPr>
            <w:tcW w:w="7492" w:type="dxa"/>
            <w:gridSpan w:val="5"/>
          </w:tcPr>
          <w:p w14:paraId="01A3A975">
            <w:pPr>
              <w:widowControl w:val="0"/>
              <w:tabs>
                <w:tab w:val="clear" w:pos="284"/>
              </w:tabs>
              <w:autoSpaceDE w:val="0"/>
              <w:autoSpaceDN w:val="0"/>
              <w:rPr>
                <w:rFonts w:ascii="Microsoft Sans Serif" w:hAnsi="Microsoft Sans Serif" w:cs="Microsoft Sans Serif"/>
                <w:sz w:val="20"/>
                <w:szCs w:val="20"/>
              </w:rPr>
            </w:pPr>
          </w:p>
        </w:tc>
      </w:tr>
      <w:tr w14:paraId="315F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26234FA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Privremena analiza</w:t>
            </w:r>
          </w:p>
        </w:tc>
        <w:tc>
          <w:tcPr>
            <w:tcW w:w="1556" w:type="dxa"/>
          </w:tcPr>
          <w:p w14:paraId="33B2D12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0, 32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563" w:type="dxa"/>
          </w:tcPr>
          <w:p w14:paraId="6E0E435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724" w:type="dxa"/>
          </w:tcPr>
          <w:p w14:paraId="343B5F9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329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233, 0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466)</w:t>
            </w:r>
          </w:p>
        </w:tc>
        <w:tc>
          <w:tcPr>
            <w:tcW w:w="1097" w:type="dxa"/>
          </w:tcPr>
          <w:p w14:paraId="64CDFF3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4DC59E8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0AE09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830" w:type="dxa"/>
          </w:tcPr>
          <w:p w14:paraId="35C94F7C">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Finalna </w:t>
            </w:r>
            <w:r>
              <w:rPr>
                <w:rFonts w:ascii="Microsoft Sans Serif" w:hAnsi="Microsoft Sans Serif" w:cs="Microsoft Sans Serif"/>
                <w:sz w:val="20"/>
                <w:szCs w:val="20"/>
                <w:lang w:val="sr-Cyrl-RS"/>
              </w:rPr>
              <w:t>analiza</w:t>
            </w:r>
          </w:p>
        </w:tc>
        <w:tc>
          <w:tcPr>
            <w:tcW w:w="1556" w:type="dxa"/>
          </w:tcPr>
          <w:p w14:paraId="06FB09E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0, 32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563" w:type="dxa"/>
          </w:tcPr>
          <w:p w14:paraId="67B7FC8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724" w:type="dxa"/>
          </w:tcPr>
          <w:p w14:paraId="185F621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339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244, 0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472)</w:t>
            </w:r>
          </w:p>
        </w:tc>
        <w:tc>
          <w:tcPr>
            <w:tcW w:w="1097" w:type="dxa"/>
          </w:tcPr>
          <w:p w14:paraId="1E42FC2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0AD017F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p w14:paraId="6C33661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r>
      <w:tr w14:paraId="38647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64E6DAB5">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Sekundarni</w:t>
            </w:r>
          </w:p>
        </w:tc>
        <w:tc>
          <w:tcPr>
            <w:tcW w:w="7492" w:type="dxa"/>
            <w:gridSpan w:val="5"/>
          </w:tcPr>
          <w:p w14:paraId="07613CC1">
            <w:pPr>
              <w:widowControl w:val="0"/>
              <w:tabs>
                <w:tab w:val="clear" w:pos="284"/>
              </w:tabs>
              <w:autoSpaceDE w:val="0"/>
              <w:autoSpaceDN w:val="0"/>
              <w:rPr>
                <w:rFonts w:ascii="Microsoft Sans Serif" w:hAnsi="Microsoft Sans Serif" w:cs="Microsoft Sans Serif"/>
                <w:sz w:val="20"/>
                <w:szCs w:val="20"/>
              </w:rPr>
            </w:pPr>
          </w:p>
        </w:tc>
      </w:tr>
      <w:tr w14:paraId="2C13B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01B3B82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PFS (nedelјe)</w:t>
            </w:r>
            <w:r>
              <w:rPr>
                <w:rFonts w:ascii="Microsoft Sans Serif" w:hAnsi="Microsoft Sans Serif" w:cs="Microsoft Sans Serif"/>
                <w:sz w:val="20"/>
                <w:szCs w:val="20"/>
                <w:vertAlign w:val="superscript"/>
              </w:rPr>
              <w:t>c</w:t>
            </w:r>
          </w:p>
        </w:tc>
        <w:tc>
          <w:tcPr>
            <w:tcW w:w="7492" w:type="dxa"/>
            <w:gridSpan w:val="5"/>
          </w:tcPr>
          <w:p w14:paraId="66AD9400">
            <w:pPr>
              <w:widowControl w:val="0"/>
              <w:tabs>
                <w:tab w:val="clear" w:pos="284"/>
              </w:tabs>
              <w:autoSpaceDE w:val="0"/>
              <w:autoSpaceDN w:val="0"/>
              <w:rPr>
                <w:rFonts w:ascii="Microsoft Sans Serif" w:hAnsi="Microsoft Sans Serif" w:cs="Microsoft Sans Serif"/>
                <w:sz w:val="20"/>
                <w:szCs w:val="20"/>
              </w:rPr>
            </w:pPr>
          </w:p>
        </w:tc>
      </w:tr>
      <w:tr w14:paraId="2E14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0B1EE14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Privremena analiza</w:t>
            </w:r>
          </w:p>
        </w:tc>
        <w:tc>
          <w:tcPr>
            <w:tcW w:w="1556" w:type="dxa"/>
          </w:tcPr>
          <w:p w14:paraId="3AB625C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1, 28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c>
          <w:tcPr>
            <w:tcW w:w="1563" w:type="dxa"/>
          </w:tcPr>
          <w:p w14:paraId="78D354B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1724" w:type="dxa"/>
          </w:tcPr>
          <w:p w14:paraId="5E652CF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333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238, 0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467)</w:t>
            </w:r>
          </w:p>
        </w:tc>
        <w:tc>
          <w:tcPr>
            <w:tcW w:w="1097" w:type="dxa"/>
          </w:tcPr>
          <w:p w14:paraId="6A7B0D1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0DB32EB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0EB1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6CFB16F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Finalna analiza</w:t>
            </w:r>
          </w:p>
        </w:tc>
        <w:tc>
          <w:tcPr>
            <w:tcW w:w="1556" w:type="dxa"/>
          </w:tcPr>
          <w:p w14:paraId="77AC7AC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9, 28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563" w:type="dxa"/>
          </w:tcPr>
          <w:p w14:paraId="2EEE68E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1724" w:type="dxa"/>
          </w:tcPr>
          <w:p w14:paraId="0B3A31B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347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475)</w:t>
            </w:r>
          </w:p>
        </w:tc>
        <w:tc>
          <w:tcPr>
            <w:tcW w:w="1097" w:type="dxa"/>
          </w:tcPr>
          <w:p w14:paraId="5292193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49DF183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6012B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5B426C3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ORR (%)</w:t>
            </w:r>
            <w:r>
              <w:rPr>
                <w:rFonts w:ascii="Microsoft Sans Serif" w:hAnsi="Microsoft Sans Serif" w:cs="Microsoft Sans Serif"/>
                <w:sz w:val="20"/>
                <w:szCs w:val="20"/>
                <w:vertAlign w:val="superscript"/>
              </w:rPr>
              <w:t>d</w:t>
            </w:r>
          </w:p>
        </w:tc>
        <w:tc>
          <w:tcPr>
            <w:tcW w:w="7492" w:type="dxa"/>
            <w:gridSpan w:val="5"/>
          </w:tcPr>
          <w:p w14:paraId="1E3E88CC">
            <w:pPr>
              <w:widowControl w:val="0"/>
              <w:tabs>
                <w:tab w:val="clear" w:pos="284"/>
              </w:tabs>
              <w:autoSpaceDE w:val="0"/>
              <w:autoSpaceDN w:val="0"/>
              <w:rPr>
                <w:rFonts w:ascii="Microsoft Sans Serif" w:hAnsi="Microsoft Sans Serif" w:cs="Microsoft Sans Serif"/>
                <w:sz w:val="20"/>
                <w:szCs w:val="20"/>
              </w:rPr>
            </w:pPr>
          </w:p>
        </w:tc>
      </w:tr>
      <w:tr w14:paraId="6487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48CAD77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Privremena analiza</w:t>
            </w:r>
          </w:p>
        </w:tc>
        <w:tc>
          <w:tcPr>
            <w:tcW w:w="1556" w:type="dxa"/>
          </w:tcPr>
          <w:p w14:paraId="28B86E0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 (3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563" w:type="dxa"/>
          </w:tcPr>
          <w:p w14:paraId="4663050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 (-)</w:t>
            </w:r>
          </w:p>
        </w:tc>
        <w:tc>
          <w:tcPr>
            <w:tcW w:w="1724" w:type="dxa"/>
          </w:tcPr>
          <w:p w14:paraId="5FC48D4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w:t>
            </w:r>
          </w:p>
        </w:tc>
        <w:tc>
          <w:tcPr>
            <w:tcW w:w="1097" w:type="dxa"/>
          </w:tcPr>
          <w:p w14:paraId="126C84F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006</w:t>
            </w:r>
          </w:p>
        </w:tc>
        <w:tc>
          <w:tcPr>
            <w:tcW w:w="1552" w:type="dxa"/>
          </w:tcPr>
          <w:p w14:paraId="68356C4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54CA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830" w:type="dxa"/>
          </w:tcPr>
          <w:p w14:paraId="35DDA65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Finalna analiza</w:t>
            </w:r>
          </w:p>
        </w:tc>
        <w:tc>
          <w:tcPr>
            <w:tcW w:w="1556" w:type="dxa"/>
          </w:tcPr>
          <w:p w14:paraId="1342D15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w:t>
            </w:r>
          </w:p>
        </w:tc>
        <w:tc>
          <w:tcPr>
            <w:tcW w:w="1563" w:type="dxa"/>
          </w:tcPr>
          <w:p w14:paraId="0564BA0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 (-)</w:t>
            </w:r>
          </w:p>
        </w:tc>
        <w:tc>
          <w:tcPr>
            <w:tcW w:w="1724" w:type="dxa"/>
          </w:tcPr>
          <w:p w14:paraId="0440D7A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w:t>
            </w:r>
          </w:p>
        </w:tc>
        <w:tc>
          <w:tcPr>
            <w:tcW w:w="1097" w:type="dxa"/>
          </w:tcPr>
          <w:p w14:paraId="469E4EA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004</w:t>
            </w:r>
          </w:p>
        </w:tc>
        <w:tc>
          <w:tcPr>
            <w:tcW w:w="1552" w:type="dxa"/>
          </w:tcPr>
          <w:p w14:paraId="423D2C5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p w14:paraId="3FDB229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tc>
      </w:tr>
      <w:tr w14:paraId="5C1D6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7625C56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OS (nedelјe)</w:t>
            </w:r>
            <w:r>
              <w:rPr>
                <w:rFonts w:ascii="Microsoft Sans Serif" w:hAnsi="Microsoft Sans Serif" w:cs="Microsoft Sans Serif"/>
                <w:sz w:val="20"/>
                <w:szCs w:val="20"/>
                <w:vertAlign w:val="superscript"/>
              </w:rPr>
              <w:t>e</w:t>
            </w:r>
          </w:p>
        </w:tc>
        <w:tc>
          <w:tcPr>
            <w:tcW w:w="7492" w:type="dxa"/>
            <w:gridSpan w:val="5"/>
          </w:tcPr>
          <w:p w14:paraId="22135E82">
            <w:pPr>
              <w:widowControl w:val="0"/>
              <w:tabs>
                <w:tab w:val="clear" w:pos="284"/>
              </w:tabs>
              <w:autoSpaceDE w:val="0"/>
              <w:autoSpaceDN w:val="0"/>
              <w:rPr>
                <w:rFonts w:ascii="Microsoft Sans Serif" w:hAnsi="Microsoft Sans Serif" w:cs="Microsoft Sans Serif"/>
                <w:sz w:val="20"/>
                <w:szCs w:val="20"/>
              </w:rPr>
            </w:pPr>
          </w:p>
        </w:tc>
      </w:tr>
      <w:tr w14:paraId="25693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6E7AB5B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Privremena analiza</w:t>
            </w:r>
          </w:p>
        </w:tc>
        <w:tc>
          <w:tcPr>
            <w:tcW w:w="1556" w:type="dxa"/>
          </w:tcPr>
          <w:p w14:paraId="749A04C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1563" w:type="dxa"/>
          </w:tcPr>
          <w:p w14:paraId="53B5EAE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1724" w:type="dxa"/>
          </w:tcPr>
          <w:p w14:paraId="0502A5E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491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290, 0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831)</w:t>
            </w:r>
          </w:p>
        </w:tc>
        <w:tc>
          <w:tcPr>
            <w:tcW w:w="1097" w:type="dxa"/>
          </w:tcPr>
          <w:p w14:paraId="51A4131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007</w:t>
            </w:r>
          </w:p>
        </w:tc>
        <w:tc>
          <w:tcPr>
            <w:tcW w:w="1552" w:type="dxa"/>
          </w:tcPr>
          <w:p w14:paraId="1E7C663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37843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50AFF44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Finalna analiza</w:t>
            </w:r>
          </w:p>
        </w:tc>
        <w:tc>
          <w:tcPr>
            <w:tcW w:w="1556" w:type="dxa"/>
          </w:tcPr>
          <w:p w14:paraId="093B20D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(61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3, 83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563" w:type="dxa"/>
          </w:tcPr>
          <w:p w14:paraId="3C6676F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(45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7, 96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724" w:type="dxa"/>
          </w:tcPr>
          <w:p w14:paraId="41EE024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876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679, 1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129)</w:t>
            </w:r>
          </w:p>
        </w:tc>
        <w:tc>
          <w:tcPr>
            <w:tcW w:w="1097" w:type="dxa"/>
          </w:tcPr>
          <w:p w14:paraId="62DA018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306</w:t>
            </w:r>
          </w:p>
        </w:tc>
        <w:tc>
          <w:tcPr>
            <w:tcW w:w="1552" w:type="dxa"/>
          </w:tcPr>
          <w:p w14:paraId="6079B0E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bl>
    <w:p w14:paraId="647E7F8A">
      <w:pPr>
        <w:rPr>
          <w:rFonts w:ascii="Microsoft Sans Serif" w:hAnsi="Microsoft Sans Serif" w:cs="Microsoft Sans Serif"/>
          <w:sz w:val="20"/>
          <w:szCs w:val="20"/>
        </w:rPr>
      </w:pPr>
      <w:r>
        <w:rPr>
          <w:rFonts w:ascii="Microsoft Sans Serif" w:hAnsi="Microsoft Sans Serif" w:cs="Microsoft Sans Serif"/>
          <w:sz w:val="20"/>
          <w:szCs w:val="20"/>
        </w:rPr>
        <w:t xml:space="preserve">Skraćenice: CI=interval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ITT= planirana populacija koja je trebalo da prima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terapiju (engl. </w:t>
      </w:r>
      <w:r>
        <w:rPr>
          <w:rFonts w:ascii="Microsoft Sans Serif" w:hAnsi="Microsoft Sans Serif" w:cs="Microsoft Sans Serif"/>
          <w:i/>
          <w:sz w:val="20"/>
          <w:szCs w:val="20"/>
        </w:rPr>
        <w:t>intent-to-treat</w:t>
      </w:r>
      <w:r>
        <w:rPr>
          <w:rFonts w:ascii="Microsoft Sans Serif" w:hAnsi="Microsoft Sans Serif" w:cs="Microsoft Sans Serif"/>
          <w:sz w:val="20"/>
          <w:szCs w:val="20"/>
        </w:rPr>
        <w:t xml:space="preserve">); ORR=stopa objektivnog odgovora (engl. </w:t>
      </w:r>
      <w:r>
        <w:rPr>
          <w:rFonts w:ascii="Microsoft Sans Serif" w:hAnsi="Microsoft Sans Serif" w:cs="Microsoft Sans Serif"/>
          <w:i/>
          <w:sz w:val="20"/>
          <w:szCs w:val="20"/>
        </w:rPr>
        <w:t>objective response rate</w:t>
      </w:r>
      <w:r>
        <w:rPr>
          <w:rFonts w:ascii="Microsoft Sans Serif" w:hAnsi="Microsoft Sans Serif" w:cs="Microsoft Sans Serif"/>
          <w:sz w:val="20"/>
          <w:szCs w:val="20"/>
        </w:rPr>
        <w:t>); OS=ukupno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PFS=preživlјavanje bez progresije bolesti (engl. </w:t>
      </w:r>
      <w:r>
        <w:rPr>
          <w:rFonts w:ascii="Microsoft Sans Serif" w:hAnsi="Microsoft Sans Serif" w:cs="Microsoft Sans Serif"/>
          <w:i/>
          <w:sz w:val="20"/>
          <w:szCs w:val="20"/>
        </w:rPr>
        <w:t>progression-free survival</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TTP=vrijeme do progresije tumora (engl. </w:t>
      </w:r>
      <w:r>
        <w:rPr>
          <w:rFonts w:ascii="Microsoft Sans Serif" w:hAnsi="Microsoft Sans Serif" w:cs="Microsoft Sans Serif"/>
          <w:i/>
          <w:sz w:val="20"/>
          <w:szCs w:val="20"/>
        </w:rPr>
        <w:t>time-to-tumour progression</w:t>
      </w:r>
      <w:r>
        <w:rPr>
          <w:rFonts w:ascii="Microsoft Sans Serif" w:hAnsi="Microsoft Sans Serif" w:cs="Microsoft Sans Serif"/>
          <w:sz w:val="20"/>
          <w:szCs w:val="20"/>
        </w:rPr>
        <w:t>).</w:t>
      </w:r>
    </w:p>
    <w:p w14:paraId="63EFBB8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Rezultati dvostruko slijepe terapije su iz ITT populacije i dobijeni su primjenom centralnog radiološkog mjerenja, kako je odgovarajuće.</w:t>
      </w:r>
    </w:p>
    <w:p w14:paraId="7EFA278B">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Rezultati efikasnosti za 99 ispitanika koji su prešli sa terapije placebom na terapiju sunitinibom nakon završetka slijepe faze studije. Tačka prelaska na terapiju lijekom Fasindor je uzeta kao polazna tačka i analize efikasnosti su zasnovane na procjeni istraživača.</w:t>
      </w:r>
    </w:p>
    <w:p w14:paraId="5DCC093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c </w:t>
      </w:r>
      <w:r>
        <w:rPr>
          <w:rFonts w:ascii="Microsoft Sans Serif" w:hAnsi="Microsoft Sans Serif" w:cs="Microsoft Sans Serif"/>
          <w:sz w:val="20"/>
          <w:szCs w:val="20"/>
        </w:rPr>
        <w:t xml:space="preserve">Vrijednosti PFS korišćene u </w:t>
      </w:r>
      <w:r>
        <w:rPr>
          <w:rFonts w:ascii="Microsoft Sans Serif" w:hAnsi="Microsoft Sans Serif" w:cs="Microsoft Sans Serif"/>
          <w:sz w:val="20"/>
          <w:szCs w:val="20"/>
          <w:lang w:val="sr-Cyrl-RS"/>
        </w:rPr>
        <w:t>privremenoj analizi</w:t>
      </w:r>
      <w:r>
        <w:rPr>
          <w:rFonts w:ascii="Microsoft Sans Serif" w:hAnsi="Microsoft Sans Serif" w:cs="Microsoft Sans Serif"/>
          <w:sz w:val="20"/>
          <w:szCs w:val="20"/>
        </w:rPr>
        <w:t xml:space="preserve"> su ažurirane u skadu sa ponovo izračunatim originalnim podacima.</w:t>
      </w:r>
    </w:p>
    <w:p w14:paraId="778A576C">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d</w:t>
      </w:r>
      <w:r>
        <w:rPr>
          <w:rFonts w:ascii="Microsoft Sans Serif" w:hAnsi="Microsoft Sans Serif" w:cs="Microsoft Sans Serif"/>
          <w:sz w:val="20"/>
          <w:szCs w:val="20"/>
        </w:rPr>
        <w:t xml:space="preserve"> Rezultati za ORR su prikazani kao procenat ispitanika sa potvrđenim odgovorom sa 95% intervalom pouzdanosti.</w:t>
      </w:r>
    </w:p>
    <w:p w14:paraId="1148BF4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e</w:t>
      </w:r>
      <w:r>
        <w:rPr>
          <w:rFonts w:ascii="Microsoft Sans Serif" w:hAnsi="Microsoft Sans Serif" w:cs="Microsoft Sans Serif"/>
          <w:sz w:val="20"/>
          <w:szCs w:val="20"/>
        </w:rPr>
        <w:t xml:space="preserve"> Medijana nije postignuta zato što podaci još nisu upotpunjeni.</w:t>
      </w:r>
    </w:p>
    <w:p w14:paraId="2EDEAFC8">
      <w:pPr>
        <w:rPr>
          <w:rFonts w:ascii="Microsoft Sans Serif" w:hAnsi="Microsoft Sans Serif" w:cs="Microsoft Sans Serif"/>
          <w:sz w:val="20"/>
          <w:szCs w:val="20"/>
        </w:rPr>
      </w:pPr>
    </w:p>
    <w:p w14:paraId="300A4CD8">
      <w:pPr>
        <w:rPr>
          <w:rFonts w:ascii="Microsoft Sans Serif" w:hAnsi="Microsoft Sans Serif" w:cs="Microsoft Sans Serif"/>
          <w:sz w:val="20"/>
          <w:szCs w:val="20"/>
        </w:rPr>
      </w:pPr>
      <w:r>
        <w:rPr>
          <w:rFonts w:ascii="Microsoft Sans Serif" w:hAnsi="Microsoft Sans Serif" w:cs="Microsoft Sans Serif"/>
          <w:sz w:val="20"/>
          <w:szCs w:val="20"/>
        </w:rPr>
        <w:t xml:space="preserve">Medijana OS u ITT populaciji je iznosila, redom, 72,7 nedelјa i 64,9 nedelјa (HR 0,876; 95% CI= 0,679; 1,129; p=0,306) za pacijente koji su primali sunitinib i one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U ovoj analizi, grupa koja je primala placebo uklјučivala je i one pacijente koji su randomizovani da </w:t>
      </w:r>
      <w:r>
        <w:rPr>
          <w:rFonts w:ascii="Microsoft Sans Serif" w:hAnsi="Microsoft Sans Serif" w:cs="Microsoft Sans Serif"/>
          <w:sz w:val="20"/>
          <w:szCs w:val="20"/>
          <w:lang w:val="sr-Cyrl-RS"/>
        </w:rPr>
        <w:t>dobijaju</w:t>
      </w:r>
      <w:r>
        <w:rPr>
          <w:rFonts w:ascii="Microsoft Sans Serif" w:hAnsi="Microsoft Sans Serif" w:cs="Microsoft Sans Serif"/>
          <w:sz w:val="20"/>
          <w:szCs w:val="20"/>
        </w:rPr>
        <w:t xml:space="preserve"> placebo, a koji su nakon toga primali terapiju sunitinibom u otvorenom dijelu ispitivanja.</w:t>
      </w:r>
    </w:p>
    <w:p w14:paraId="1632D55C">
      <w:pPr>
        <w:rPr>
          <w:rFonts w:ascii="Microsoft Sans Serif" w:hAnsi="Microsoft Sans Serif" w:cs="Microsoft Sans Serif"/>
          <w:sz w:val="20"/>
          <w:szCs w:val="20"/>
        </w:rPr>
      </w:pPr>
    </w:p>
    <w:p w14:paraId="372FEA90">
      <w:pPr>
        <w:rPr>
          <w:rFonts w:ascii="Microsoft Sans Serif" w:hAnsi="Microsoft Sans Serif" w:cs="Microsoft Sans Serif"/>
          <w:i/>
          <w:sz w:val="20"/>
          <w:szCs w:val="20"/>
        </w:rPr>
      </w:pPr>
      <w:r>
        <w:rPr>
          <w:rFonts w:ascii="Microsoft Sans Serif" w:hAnsi="Microsoft Sans Serif" w:cs="Microsoft Sans Serif"/>
          <w:i/>
          <w:sz w:val="20"/>
          <w:szCs w:val="20"/>
        </w:rPr>
        <w:t xml:space="preserve">Liječenje </w:t>
      </w:r>
      <w:r>
        <w:rPr>
          <w:rFonts w:ascii="Microsoft Sans Serif" w:hAnsi="Microsoft Sans Serif" w:cs="Microsoft Sans Serif"/>
          <w:i/>
          <w:sz w:val="20"/>
          <w:szCs w:val="20"/>
          <w:lang w:val="sr-Cyrl-RS"/>
        </w:rPr>
        <w:t xml:space="preserve">neliječenog </w:t>
      </w:r>
      <w:r>
        <w:rPr>
          <w:rFonts w:ascii="Microsoft Sans Serif" w:hAnsi="Microsoft Sans Serif" w:cs="Microsoft Sans Serif"/>
          <w:i/>
          <w:sz w:val="20"/>
          <w:szCs w:val="20"/>
        </w:rPr>
        <w:t>"naive" metastatskog karcinoma bubrežnih ćelija</w:t>
      </w:r>
    </w:p>
    <w:p w14:paraId="44465C5F">
      <w:pPr>
        <w:rPr>
          <w:rFonts w:ascii="Microsoft Sans Serif" w:hAnsi="Microsoft Sans Serif" w:cs="Microsoft Sans Serif"/>
          <w:sz w:val="20"/>
          <w:szCs w:val="20"/>
        </w:rPr>
      </w:pPr>
      <w:r>
        <w:rPr>
          <w:rFonts w:ascii="Microsoft Sans Serif" w:hAnsi="Microsoft Sans Serif" w:cs="Microsoft Sans Serif"/>
          <w:sz w:val="20"/>
          <w:szCs w:val="20"/>
        </w:rPr>
        <w:t xml:space="preserve">Multicentrična, internacionalna, randomizovana studija faze 3 ispitivala je efikasnost i bezbjednost sunitiniba u poređenju sa terapijom IFN-α kod pacijenata sa do tada neliječenim (tzv. “nnaive”) MRCC. Sedam stotina i pedeset pacijenata randomizovano je u odnosu 1:1; oni su liječeni ili sunitinibom u ponovlјenim ciklusima od 6 nedelјa: ciklus se sastojao od 4 nedelјe terapije sa 50 mg lijeka oralno, jedanput dnevno, a zatim je nastupila pauza od 2 nedelјe (režim 4/2) ili IFN -α, koji je primjenjivan </w:t>
      </w:r>
      <w:r>
        <w:rPr>
          <w:rFonts w:ascii="Microsoft Sans Serif" w:hAnsi="Microsoft Sans Serif" w:cs="Microsoft Sans Serif"/>
          <w:sz w:val="20"/>
          <w:szCs w:val="20"/>
          <w:lang w:val="sr-Cyrl-RS"/>
        </w:rPr>
        <w:t>su</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Cyrl-RS"/>
        </w:rPr>
        <w:t>kutano</w:t>
      </w:r>
      <w:r>
        <w:rPr>
          <w:rFonts w:ascii="Microsoft Sans Serif" w:hAnsi="Microsoft Sans Serif" w:cs="Microsoft Sans Serif"/>
          <w:sz w:val="20"/>
          <w:szCs w:val="20"/>
        </w:rPr>
        <w:t xml:space="preserve"> u dozi od 3 miliona jedinica tokom prve nedelјe, 6 miliona jedinica tokom druge nedelјe i 9 miliona jedinica treće nedelјe i nadalјe, tokom 3 neuzastopna dana svake nedelјe.</w:t>
      </w:r>
    </w:p>
    <w:p w14:paraId="5A527BFB">
      <w:pPr>
        <w:rPr>
          <w:rFonts w:ascii="Microsoft Sans Serif" w:hAnsi="Microsoft Sans Serif" w:cs="Microsoft Sans Serif"/>
          <w:sz w:val="20"/>
          <w:szCs w:val="20"/>
        </w:rPr>
      </w:pPr>
    </w:p>
    <w:p w14:paraId="296B335D">
      <w:pPr>
        <w:rPr>
          <w:rFonts w:ascii="Microsoft Sans Serif" w:hAnsi="Microsoft Sans Serif" w:cs="Microsoft Sans Serif"/>
          <w:sz w:val="20"/>
          <w:szCs w:val="20"/>
        </w:rPr>
      </w:pPr>
      <w:r>
        <w:rPr>
          <w:rFonts w:ascii="Microsoft Sans Serif" w:hAnsi="Microsoft Sans Serif" w:cs="Microsoft Sans Serif"/>
          <w:sz w:val="20"/>
          <w:szCs w:val="20"/>
        </w:rPr>
        <w:t>Medijana trajanja terapije iznosila je 11,1 mjesec (raspon: 0,4; 46,1) za terapiju sunitinibom i 4,1 mjesec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(raspon: 0,1; 45,6) za terapiju sa </w:t>
      </w:r>
      <w:r>
        <w:rPr>
          <w:rFonts w:ascii="Microsoft Sans Serif" w:hAnsi="Microsoft Sans Serif" w:cs="Microsoft Sans Serif"/>
          <w:sz w:val="20"/>
          <w:szCs w:val="20"/>
          <w:lang w:val="sr-Latn-RS"/>
        </w:rPr>
        <w:t>IFN</w:t>
      </w:r>
      <w:r>
        <w:rPr>
          <w:rFonts w:ascii="Microsoft Sans Serif" w:hAnsi="Microsoft Sans Serif" w:cs="Microsoft Sans Serif"/>
          <w:sz w:val="20"/>
          <w:szCs w:val="20"/>
        </w:rPr>
        <w:t>-α. Ozbilјni neželјeni događaji povezani sa terapijom (</w:t>
      </w:r>
      <w:r>
        <w:rPr>
          <w:rFonts w:ascii="Microsoft Sans Serif" w:hAnsi="Microsoft Sans Serif" w:cs="Microsoft Sans Serif"/>
          <w:sz w:val="20"/>
          <w:szCs w:val="20"/>
          <w:lang w:val="mk-MK"/>
        </w:rPr>
        <w:t xml:space="preserve">engl. </w:t>
      </w:r>
      <w:r>
        <w:rPr>
          <w:rFonts w:ascii="Microsoft Sans Serif" w:hAnsi="Microsoft Sans Serif" w:cs="Microsoft Sans Serif"/>
          <w:sz w:val="20"/>
          <w:szCs w:val="20"/>
        </w:rPr>
        <w:t>TRSAEs –</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Latn-RS"/>
        </w:rPr>
        <w:t>Treatment-related serious advijerse events</w:t>
      </w:r>
      <w:r>
        <w:rPr>
          <w:rFonts w:ascii="Microsoft Sans Serif" w:hAnsi="Microsoft Sans Serif" w:cs="Microsoft Sans Serif"/>
          <w:sz w:val="20"/>
          <w:szCs w:val="20"/>
        </w:rPr>
        <w:t>) prijavlјeni su kod 23,7% pacijenata koji su primali sunitinib i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6,9% pacijenata koji su primali IFN-α. Međutim, procenat prekida terapije zbog neželјenih događaja iznosio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20% za sunitinib i 23% za IFN-α. Prekidi doziranja javili su se kod 202 pacijenta (54%) koji su 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 i kod 141 pacijenta (39%) koji su primali IFN-α. Doze su smanjene kod 194 pacijenta (52%)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 sunitinib i kod 98 pacijenata (27%) koji su primali IFN-α. Pacijenti su dobijali terapiju do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bolesti ili do povlačenja iz ispitivanja. Primarni </w:t>
      </w:r>
      <w:r>
        <w:rPr>
          <w:rFonts w:ascii="Microsoft Sans Serif" w:hAnsi="Microsoft Sans Serif" w:cs="Microsoft Sans Serif"/>
          <w:sz w:val="20"/>
          <w:szCs w:val="20"/>
          <w:lang w:val="mk-MK"/>
        </w:rPr>
        <w:t>parametar pra</w:t>
      </w:r>
      <w:r>
        <w:rPr>
          <w:rFonts w:ascii="Microsoft Sans Serif" w:hAnsi="Microsoft Sans Serif" w:cs="Microsoft Sans Serif"/>
          <w:sz w:val="20"/>
          <w:szCs w:val="20"/>
          <w:lang w:val="sr-Cyrl-RS"/>
        </w:rPr>
        <w:t>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rPr>
        <w:t xml:space="preserve"> efikasnosti bilo je preživlјavanje bez progresije 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(PFS). Planirana </w:t>
      </w:r>
      <w:r>
        <w:rPr>
          <w:rFonts w:ascii="Microsoft Sans Serif" w:hAnsi="Microsoft Sans Serif" w:cs="Microsoft Sans Serif"/>
          <w:sz w:val="20"/>
          <w:szCs w:val="20"/>
          <w:lang w:val="sr-Cyrl-RS"/>
        </w:rPr>
        <w:t xml:space="preserve">privremena </w:t>
      </w:r>
      <w:r>
        <w:rPr>
          <w:rFonts w:ascii="Microsoft Sans Serif" w:hAnsi="Microsoft Sans Serif" w:cs="Microsoft Sans Serif"/>
          <w:sz w:val="20"/>
          <w:szCs w:val="20"/>
        </w:rPr>
        <w:t>analiza u toku ispitivanja pokazala je statistički značajnu prednost sunitiniba u 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 IFN-α. U ovoj studiji, medijana PFS za grupu pacijenata liječenih sunitinibom bila je 47,3 nedelјe 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22,0 nedelјe kod pacijenata liječenih IFN-α; hazard ratio bio je 0,415 (95% CI= 0,320-0,539, p &lt;0,001).</w:t>
      </w:r>
    </w:p>
    <w:p w14:paraId="109E2ED6">
      <w:pPr>
        <w:rPr>
          <w:rFonts w:ascii="Microsoft Sans Serif" w:hAnsi="Microsoft Sans Serif" w:cs="Microsoft Sans Serif"/>
          <w:sz w:val="20"/>
          <w:szCs w:val="20"/>
        </w:rPr>
      </w:pPr>
      <w:r>
        <w:rPr>
          <w:rFonts w:ascii="Microsoft Sans Serif" w:hAnsi="Microsoft Sans Serif" w:cs="Microsoft Sans Serif"/>
          <w:sz w:val="20"/>
          <w:szCs w:val="20"/>
        </w:rPr>
        <w:t xml:space="preserve">Drugi </w:t>
      </w:r>
      <w:r>
        <w:rPr>
          <w:rFonts w:ascii="Microsoft Sans Serif" w:hAnsi="Microsoft Sans Serif" w:cs="Microsoft Sans Serif"/>
          <w:sz w:val="20"/>
          <w:szCs w:val="20"/>
          <w:lang w:val="sr-Cyrl-RS"/>
        </w:rPr>
        <w:t>parametri praćenja</w:t>
      </w:r>
      <w:r>
        <w:rPr>
          <w:rFonts w:ascii="Microsoft Sans Serif" w:hAnsi="Microsoft Sans Serif" w:cs="Microsoft Sans Serif"/>
          <w:sz w:val="20"/>
          <w:szCs w:val="20"/>
        </w:rPr>
        <w:t xml:space="preserve"> efikasnosti uklјučivali su stopu objektivnog odgovora (engl. </w:t>
      </w:r>
      <w:r>
        <w:rPr>
          <w:rFonts w:ascii="Microsoft Sans Serif" w:hAnsi="Microsoft Sans Serif" w:cs="Microsoft Sans Serif"/>
          <w:i/>
          <w:sz w:val="20"/>
          <w:szCs w:val="20"/>
        </w:rPr>
        <w:t>Objective Response Rate, ORR</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ukupno preživlјavanje (engl. </w:t>
      </w:r>
      <w:r>
        <w:rPr>
          <w:rFonts w:ascii="Microsoft Sans Serif" w:hAnsi="Microsoft Sans Serif" w:cs="Microsoft Sans Serif"/>
          <w:i/>
          <w:sz w:val="20"/>
          <w:szCs w:val="20"/>
        </w:rPr>
        <w:t>Overall Survival, OS</w:t>
      </w:r>
      <w:r>
        <w:rPr>
          <w:rFonts w:ascii="Microsoft Sans Serif" w:hAnsi="Microsoft Sans Serif" w:cs="Microsoft Sans Serif"/>
          <w:sz w:val="20"/>
          <w:szCs w:val="20"/>
        </w:rPr>
        <w:t xml:space="preserve">) i bezbjednost. Klјučna radiološka procjena (engl. </w:t>
      </w:r>
      <w:r>
        <w:rPr>
          <w:rFonts w:ascii="Microsoft Sans Serif" w:hAnsi="Microsoft Sans Serif" w:cs="Microsoft Sans Serif"/>
          <w:i/>
          <w:sz w:val="20"/>
          <w:szCs w:val="20"/>
        </w:rPr>
        <w:t>core radiology assesment</w:t>
      </w:r>
      <w:r>
        <w:rPr>
          <w:rFonts w:ascii="Microsoft Sans Serif" w:hAnsi="Microsoft Sans Serif" w:cs="Microsoft Sans Serif"/>
          <w:sz w:val="20"/>
          <w:szCs w:val="20"/>
        </w:rPr>
        <w:t xml:space="preserve">) prekinuta je nakon postizanja primarnog </w:t>
      </w:r>
      <w:r>
        <w:rPr>
          <w:rFonts w:ascii="Microsoft Sans Serif" w:hAnsi="Microsoft Sans Serif" w:cs="Microsoft Sans Serif"/>
          <w:sz w:val="20"/>
          <w:szCs w:val="20"/>
          <w:lang w:val="sr-Cyrl-RS"/>
        </w:rPr>
        <w:t>parametra praćenj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ishoda</w:t>
      </w:r>
      <w:r>
        <w:rPr>
          <w:rFonts w:ascii="Microsoft Sans Serif" w:hAnsi="Microsoft Sans Serif" w:cs="Microsoft Sans Serif"/>
          <w:sz w:val="20"/>
          <w:szCs w:val="20"/>
        </w:rPr>
        <w:t>. Prilikom konačne 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ORR utvrđen na osnovu procjene istraživača iznosio je 46% (95% CI: 41%; 51%) za grupu koja je primala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 i 12,0% (95% CI: 9%; 16%) za grupu koja je primala IFN-α (p&lt;0,001)</w:t>
      </w:r>
    </w:p>
    <w:p w14:paraId="1F777620">
      <w:pPr>
        <w:rPr>
          <w:rFonts w:ascii="Microsoft Sans Serif" w:hAnsi="Microsoft Sans Serif" w:cs="Microsoft Sans Serif"/>
          <w:sz w:val="20"/>
          <w:szCs w:val="20"/>
        </w:rPr>
      </w:pPr>
    </w:p>
    <w:p w14:paraId="44FB6DCF">
      <w:pPr>
        <w:rPr>
          <w:rFonts w:ascii="Microsoft Sans Serif" w:hAnsi="Microsoft Sans Serif" w:cs="Microsoft Sans Serif"/>
          <w:sz w:val="20"/>
          <w:szCs w:val="20"/>
        </w:rPr>
      </w:pPr>
      <w:r>
        <w:rPr>
          <w:rFonts w:ascii="Microsoft Sans Serif" w:hAnsi="Microsoft Sans Serif" w:cs="Microsoft Sans Serif"/>
          <w:sz w:val="20"/>
          <w:szCs w:val="20"/>
        </w:rPr>
        <w:t>Terapija sunitinibom povezana je sa dužim preživlјavanjem u poređenju sa IFN-α. Medijana OS iznosila je 114,6 nedelјa za grupu koja je primala sunitinib (95% CI: 100,1 ; 142,9) i 94,9 nedelјa za grupu koja je primala IFN-α (95% CI: 77,7; 117,0), gdje je hazard ratio iznosio 0,821 (95% CI: 0,673 – 1,001; p=0,0510, za nestratifikovani log-rank test).</w:t>
      </w:r>
    </w:p>
    <w:p w14:paraId="7CB08346">
      <w:pPr>
        <w:rPr>
          <w:rFonts w:ascii="Microsoft Sans Serif" w:hAnsi="Microsoft Sans Serif" w:cs="Microsoft Sans Serif"/>
          <w:sz w:val="20"/>
          <w:szCs w:val="20"/>
        </w:rPr>
      </w:pPr>
    </w:p>
    <w:p w14:paraId="1AA915E9">
      <w:pPr>
        <w:rPr>
          <w:rFonts w:ascii="Microsoft Sans Serif" w:hAnsi="Microsoft Sans Serif" w:cs="Microsoft Sans Serif"/>
          <w:sz w:val="20"/>
          <w:szCs w:val="20"/>
        </w:rPr>
      </w:pPr>
      <w:r>
        <w:rPr>
          <w:rFonts w:ascii="Microsoft Sans Serif" w:hAnsi="Microsoft Sans Serif" w:cs="Microsoft Sans Serif"/>
          <w:sz w:val="20"/>
          <w:szCs w:val="20"/>
        </w:rPr>
        <w:t>Ukupni PFS i OS, zabilježeni u ITT populaciji, utvrđeni pomoću klјučne radiološke laboratorijske procjene, su sažeto izloženi u tabeli 3:</w:t>
      </w:r>
    </w:p>
    <w:p w14:paraId="63BA3A53">
      <w:pPr>
        <w:rPr>
          <w:rFonts w:ascii="Microsoft Sans Serif" w:hAnsi="Microsoft Sans Serif" w:cs="Microsoft Sans Serif"/>
          <w:sz w:val="20"/>
          <w:szCs w:val="20"/>
        </w:rPr>
      </w:pPr>
    </w:p>
    <w:p w14:paraId="7983A896">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3 - Pregled </w:t>
      </w:r>
      <w:r>
        <w:rPr>
          <w:rFonts w:ascii="Microsoft Sans Serif" w:hAnsi="Microsoft Sans Serif" w:cs="Microsoft Sans Serif"/>
          <w:b/>
          <w:sz w:val="20"/>
          <w:szCs w:val="20"/>
          <w:lang w:val="sr-Cyrl-RS"/>
        </w:rPr>
        <w:t>paramet</w:t>
      </w:r>
      <w:r>
        <w:rPr>
          <w:rFonts w:ascii="Microsoft Sans Serif" w:hAnsi="Microsoft Sans Serif" w:cs="Microsoft Sans Serif"/>
          <w:b/>
          <w:sz w:val="20"/>
          <w:szCs w:val="20"/>
          <w:lang w:val="sr-Latn-RS"/>
        </w:rPr>
        <w:t>a</w:t>
      </w:r>
      <w:r>
        <w:rPr>
          <w:rFonts w:ascii="Microsoft Sans Serif" w:hAnsi="Microsoft Sans Serif" w:cs="Microsoft Sans Serif"/>
          <w:b/>
          <w:sz w:val="20"/>
          <w:szCs w:val="20"/>
          <w:lang w:val="sr-Cyrl-RS"/>
        </w:rPr>
        <w:t>r</w:t>
      </w:r>
      <w:r>
        <w:rPr>
          <w:rFonts w:ascii="Microsoft Sans Serif" w:hAnsi="Microsoft Sans Serif" w:cs="Microsoft Sans Serif"/>
          <w:b/>
          <w:sz w:val="20"/>
          <w:szCs w:val="20"/>
          <w:lang w:val="sr-Latn-RS"/>
        </w:rPr>
        <w:t>a</w:t>
      </w:r>
      <w:r>
        <w:rPr>
          <w:rFonts w:ascii="Microsoft Sans Serif" w:hAnsi="Microsoft Sans Serif" w:cs="Microsoft Sans Serif"/>
          <w:b/>
          <w:sz w:val="20"/>
          <w:szCs w:val="20"/>
          <w:lang w:val="sr-Cyrl-RS"/>
        </w:rPr>
        <w:t xml:space="preserve"> praćenja ishoda</w:t>
      </w:r>
      <w:r>
        <w:rPr>
          <w:rFonts w:ascii="Microsoft Sans Serif" w:hAnsi="Microsoft Sans Serif" w:cs="Microsoft Sans Serif"/>
          <w:b/>
          <w:sz w:val="20"/>
          <w:szCs w:val="20"/>
        </w:rPr>
        <w:t xml:space="preserve"> efikasnost</w:t>
      </w:r>
      <w:r>
        <w:rPr>
          <w:rFonts w:ascii="Microsoft Sans Serif" w:hAnsi="Microsoft Sans Serif" w:cs="Microsoft Sans Serif"/>
          <w:b/>
          <w:sz w:val="20"/>
          <w:szCs w:val="20"/>
          <w:lang w:val="sr-Cyrl-RS"/>
        </w:rPr>
        <w:t>i</w:t>
      </w:r>
      <w:r>
        <w:rPr>
          <w:rFonts w:ascii="Microsoft Sans Serif" w:hAnsi="Microsoft Sans Serif" w:cs="Microsoft Sans Serif"/>
          <w:b/>
          <w:sz w:val="20"/>
          <w:szCs w:val="20"/>
        </w:rPr>
        <w:t xml:space="preserve"> kod </w:t>
      </w:r>
      <w:r>
        <w:rPr>
          <w:rFonts w:ascii="Microsoft Sans Serif" w:hAnsi="Microsoft Sans Serif" w:cs="Microsoft Sans Serif"/>
          <w:b/>
          <w:sz w:val="20"/>
          <w:szCs w:val="20"/>
          <w:lang w:val="sr-Cyrl-RS"/>
        </w:rPr>
        <w:t xml:space="preserve">neliječenog </w:t>
      </w:r>
      <w:r>
        <w:rPr>
          <w:rFonts w:ascii="Microsoft Sans Serif" w:hAnsi="Microsoft Sans Serif" w:cs="Microsoft Sans Serif"/>
          <w:b/>
          <w:sz w:val="20"/>
          <w:szCs w:val="20"/>
        </w:rPr>
        <w:t>"naive" mRCC (ITT populacija)</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4"/>
        <w:gridCol w:w="2527"/>
        <w:gridCol w:w="2530"/>
      </w:tblGrid>
      <w:tr w14:paraId="39F63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384" w:type="dxa"/>
          </w:tcPr>
          <w:p w14:paraId="4AE7883D">
            <w:pPr>
              <w:widowControl w:val="0"/>
              <w:tabs>
                <w:tab w:val="clear" w:pos="284"/>
              </w:tabs>
              <w:autoSpaceDE w:val="0"/>
              <w:autoSpaceDN w:val="0"/>
              <w:rPr>
                <w:rFonts w:ascii="Microsoft Sans Serif" w:hAnsi="Microsoft Sans Serif" w:cs="Microsoft Sans Serif"/>
                <w:b/>
                <w:sz w:val="20"/>
                <w:szCs w:val="20"/>
              </w:rPr>
            </w:pPr>
          </w:p>
          <w:p w14:paraId="2F626ED8">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Pregled preživlјavanja bez progresije bolesti</w:t>
            </w:r>
          </w:p>
        </w:tc>
        <w:tc>
          <w:tcPr>
            <w:tcW w:w="2527" w:type="dxa"/>
          </w:tcPr>
          <w:p w14:paraId="6E43106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 xml:space="preserve">    Sunitinib</w:t>
            </w:r>
            <w:r>
              <w:rPr>
                <w:rFonts w:ascii="Microsoft Sans Serif" w:hAnsi="Microsoft Sans Serif" w:cs="Microsoft Sans Serif"/>
                <w:b/>
                <w:sz w:val="20"/>
                <w:szCs w:val="20"/>
              </w:rPr>
              <w:t xml:space="preserve"> (N = 375)</w:t>
            </w:r>
          </w:p>
        </w:tc>
        <w:tc>
          <w:tcPr>
            <w:tcW w:w="2530" w:type="dxa"/>
          </w:tcPr>
          <w:p w14:paraId="1DD971F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IFN- (N = 375)</w:t>
            </w:r>
          </w:p>
        </w:tc>
      </w:tr>
      <w:tr w14:paraId="3A571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34D9BA1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Ispitanici kod kojih nije došlo do progresije bolesti ili smrti </w:t>
            </w:r>
            <w:r>
              <w:rPr>
                <w:rFonts w:ascii="Microsoft Sans Serif" w:hAnsi="Microsoft Sans Serif" w:cs="Microsoft Sans Serif"/>
                <w:sz w:val="20"/>
                <w:szCs w:val="20"/>
              </w:rPr>
              <w:t>[n (%)]</w:t>
            </w:r>
          </w:p>
        </w:tc>
        <w:tc>
          <w:tcPr>
            <w:tcW w:w="2527" w:type="dxa"/>
          </w:tcPr>
          <w:p w14:paraId="1FC5A3D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161 (42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2530" w:type="dxa"/>
          </w:tcPr>
          <w:p w14:paraId="7C2BE0A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176 (46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r>
      <w:tr w14:paraId="55AFC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384" w:type="dxa"/>
          </w:tcPr>
          <w:p w14:paraId="3A35198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Ispitanici kod kojih je došlo do progresije bolesti ili smrti</w:t>
            </w:r>
            <w:r>
              <w:rPr>
                <w:rFonts w:ascii="Microsoft Sans Serif" w:hAnsi="Microsoft Sans Serif" w:cs="Microsoft Sans Serif"/>
                <w:sz w:val="20"/>
                <w:szCs w:val="20"/>
              </w:rPr>
              <w:t xml:space="preserve"> [n (%)]</w:t>
            </w:r>
          </w:p>
        </w:tc>
        <w:tc>
          <w:tcPr>
            <w:tcW w:w="2527" w:type="dxa"/>
          </w:tcPr>
          <w:p w14:paraId="222202C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214 (57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2530" w:type="dxa"/>
          </w:tcPr>
          <w:p w14:paraId="0DD23E6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199 (53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r>
      <w:tr w14:paraId="2764F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441" w:type="dxa"/>
            <w:gridSpan w:val="3"/>
          </w:tcPr>
          <w:p w14:paraId="52D0980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PFS (nedelјe)</w:t>
            </w:r>
          </w:p>
        </w:tc>
      </w:tr>
      <w:tr w14:paraId="2D2AB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441" w:type="dxa"/>
            <w:gridSpan w:val="3"/>
          </w:tcPr>
          <w:p w14:paraId="66DC516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Kvartil</w:t>
            </w:r>
            <w:r>
              <w:rPr>
                <w:rFonts w:ascii="Microsoft Sans Serif" w:hAnsi="Microsoft Sans Serif" w:cs="Microsoft Sans Serif"/>
                <w:sz w:val="20"/>
                <w:szCs w:val="20"/>
              </w:rPr>
              <w:t xml:space="preserve"> (95% CI)</w:t>
            </w:r>
          </w:p>
        </w:tc>
      </w:tr>
      <w:tr w14:paraId="10DA8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384" w:type="dxa"/>
          </w:tcPr>
          <w:p w14:paraId="5BD9DF5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2527" w:type="dxa"/>
          </w:tcPr>
          <w:p w14:paraId="50597C4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(18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0, 34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2530" w:type="dxa"/>
          </w:tcPr>
          <w:p w14:paraId="14014C5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r>
      <w:tr w14:paraId="5B358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384" w:type="dxa"/>
          </w:tcPr>
          <w:p w14:paraId="2A85DC8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2527" w:type="dxa"/>
          </w:tcPr>
          <w:p w14:paraId="6C6935E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48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(46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4, 58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c>
          <w:tcPr>
            <w:tcW w:w="2530" w:type="dxa"/>
          </w:tcPr>
          <w:p w14:paraId="1B45AE1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(17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1, 24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r>
      <w:tr w14:paraId="045A3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4384" w:type="dxa"/>
          </w:tcPr>
          <w:p w14:paraId="30ABFA9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2527" w:type="dxa"/>
          </w:tcPr>
          <w:p w14:paraId="50B9547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84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(72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9, 95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2530" w:type="dxa"/>
          </w:tcPr>
          <w:p w14:paraId="70EB0CE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(45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6, 82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r>
      <w:tr w14:paraId="6611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441" w:type="dxa"/>
            <w:gridSpan w:val="3"/>
          </w:tcPr>
          <w:p w14:paraId="136D603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Nestratifikovana analiza</w:t>
            </w:r>
          </w:p>
        </w:tc>
      </w:tr>
      <w:tr w14:paraId="07CD7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58" w:type="dxa"/>
          </w:tcPr>
          <w:p w14:paraId="580845F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Hazard ratio (sunitinib nasuprot IFN-)</w:t>
            </w:r>
          </w:p>
        </w:tc>
        <w:tc>
          <w:tcPr>
            <w:tcW w:w="5057" w:type="dxa"/>
            <w:gridSpan w:val="2"/>
          </w:tcPr>
          <w:p w14:paraId="507085E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5268</w:t>
            </w:r>
          </w:p>
        </w:tc>
      </w:tr>
      <w:tr w14:paraId="5C0C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258" w:type="dxa"/>
          </w:tcPr>
          <w:p w14:paraId="714FCE3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95% CI za hazard ratio</w:t>
            </w:r>
          </w:p>
        </w:tc>
        <w:tc>
          <w:tcPr>
            <w:tcW w:w="5057" w:type="dxa"/>
            <w:gridSpan w:val="2"/>
          </w:tcPr>
          <w:p w14:paraId="1DA8493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4316, 0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6430)</w:t>
            </w:r>
          </w:p>
        </w:tc>
      </w:tr>
      <w:tr w14:paraId="5E94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84" w:type="dxa"/>
          </w:tcPr>
          <w:p w14:paraId="684FCDB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p-vrijednost</w:t>
            </w:r>
            <w:r>
              <w:rPr>
                <w:rFonts w:ascii="Microsoft Sans Serif" w:hAnsi="Microsoft Sans Serif" w:cs="Microsoft Sans Serif"/>
                <w:sz w:val="20"/>
                <w:szCs w:val="20"/>
                <w:vertAlign w:val="superscript"/>
              </w:rPr>
              <w:t>a</w:t>
            </w:r>
          </w:p>
        </w:tc>
        <w:tc>
          <w:tcPr>
            <w:tcW w:w="5057" w:type="dxa"/>
            <w:gridSpan w:val="2"/>
          </w:tcPr>
          <w:p w14:paraId="5894C69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0001</w:t>
            </w:r>
          </w:p>
        </w:tc>
      </w:tr>
      <w:tr w14:paraId="17DA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384" w:type="dxa"/>
          </w:tcPr>
          <w:p w14:paraId="00CCD20D">
            <w:pPr>
              <w:widowControl w:val="0"/>
              <w:tabs>
                <w:tab w:val="clear" w:pos="284"/>
              </w:tabs>
              <w:autoSpaceDE w:val="0"/>
              <w:autoSpaceDN w:val="0"/>
              <w:rPr>
                <w:rFonts w:ascii="Microsoft Sans Serif" w:hAnsi="Microsoft Sans Serif" w:cs="Microsoft Sans Serif"/>
                <w:b/>
                <w:sz w:val="20"/>
                <w:szCs w:val="20"/>
              </w:rPr>
            </w:pPr>
          </w:p>
          <w:p w14:paraId="4CA2F0B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Pregled preživlјavanja bez progresije bolesti</w:t>
            </w:r>
          </w:p>
        </w:tc>
        <w:tc>
          <w:tcPr>
            <w:tcW w:w="2527" w:type="dxa"/>
          </w:tcPr>
          <w:p w14:paraId="21F9C54C">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 xml:space="preserve">   Sunitinib</w:t>
            </w:r>
            <w:r>
              <w:rPr>
                <w:rFonts w:ascii="Microsoft Sans Serif" w:hAnsi="Microsoft Sans Serif" w:cs="Microsoft Sans Serif"/>
                <w:b/>
                <w:sz w:val="20"/>
                <w:szCs w:val="20"/>
              </w:rPr>
              <w:t xml:space="preserve"> (N = 375)</w:t>
            </w:r>
          </w:p>
        </w:tc>
        <w:tc>
          <w:tcPr>
            <w:tcW w:w="2530" w:type="dxa"/>
          </w:tcPr>
          <w:p w14:paraId="0612BC9F">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IFN- (N = 375)</w:t>
            </w:r>
          </w:p>
        </w:tc>
      </w:tr>
      <w:tr w14:paraId="21AB8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441" w:type="dxa"/>
            <w:gridSpan w:val="3"/>
          </w:tcPr>
          <w:p w14:paraId="3E5A1A30">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Pregled ukupnog preživlјavanja</w:t>
            </w:r>
          </w:p>
        </w:tc>
      </w:tr>
      <w:tr w14:paraId="031D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384" w:type="dxa"/>
          </w:tcPr>
          <w:p w14:paraId="4D16E5C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Ispitanici za koje nije poznato da su umrli</w:t>
            </w:r>
            <w:r>
              <w:rPr>
                <w:rFonts w:ascii="Microsoft Sans Serif" w:hAnsi="Microsoft Sans Serif" w:cs="Microsoft Sans Serif"/>
                <w:sz w:val="20"/>
                <w:szCs w:val="20"/>
              </w:rPr>
              <w:t xml:space="preserve"> [n (%)]</w:t>
            </w:r>
          </w:p>
        </w:tc>
        <w:tc>
          <w:tcPr>
            <w:tcW w:w="2527" w:type="dxa"/>
          </w:tcPr>
          <w:p w14:paraId="027955B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185 (49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c>
          <w:tcPr>
            <w:tcW w:w="2530" w:type="dxa"/>
          </w:tcPr>
          <w:p w14:paraId="03DAFCB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175 (46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r>
      <w:tr w14:paraId="4824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2AAD15D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Ispitanici za koje je zabilježeno da su umrli</w:t>
            </w:r>
            <w:r>
              <w:rPr>
                <w:rFonts w:ascii="Microsoft Sans Serif" w:hAnsi="Microsoft Sans Serif" w:cs="Microsoft Sans Serif"/>
                <w:sz w:val="20"/>
                <w:szCs w:val="20"/>
              </w:rPr>
              <w:t xml:space="preserve"> [n (%)]</w:t>
            </w:r>
          </w:p>
        </w:tc>
        <w:tc>
          <w:tcPr>
            <w:tcW w:w="2527" w:type="dxa"/>
          </w:tcPr>
          <w:p w14:paraId="4D2C6DF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190 (50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2530" w:type="dxa"/>
          </w:tcPr>
          <w:p w14:paraId="3C84A7C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200 (53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r>
      <w:tr w14:paraId="44DEA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441" w:type="dxa"/>
            <w:gridSpan w:val="3"/>
          </w:tcPr>
          <w:p w14:paraId="36CF2C2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OS (nedelјe)</w:t>
            </w:r>
          </w:p>
        </w:tc>
      </w:tr>
      <w:tr w14:paraId="7A5E7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441" w:type="dxa"/>
            <w:gridSpan w:val="3"/>
          </w:tcPr>
          <w:p w14:paraId="2C9F67D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Kvartil</w:t>
            </w:r>
            <w:r>
              <w:rPr>
                <w:rFonts w:ascii="Microsoft Sans Serif" w:hAnsi="Microsoft Sans Serif" w:cs="Microsoft Sans Serif"/>
                <w:sz w:val="20"/>
                <w:szCs w:val="20"/>
              </w:rPr>
              <w:t xml:space="preserve"> (95% CI)</w:t>
            </w:r>
          </w:p>
        </w:tc>
      </w:tr>
      <w:tr w14:paraId="3110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84" w:type="dxa"/>
          </w:tcPr>
          <w:p w14:paraId="13FF719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2527" w:type="dxa"/>
          </w:tcPr>
          <w:p w14:paraId="49B6315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(48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7, 68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2530" w:type="dxa"/>
          </w:tcPr>
          <w:p w14:paraId="6D8F648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41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(32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6, 51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r>
      <w:tr w14:paraId="3717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73573D3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2527" w:type="dxa"/>
          </w:tcPr>
          <w:p w14:paraId="74D4404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114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(100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1, 142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2530" w:type="dxa"/>
          </w:tcPr>
          <w:p w14:paraId="0DB36AD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94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(77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7, 117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r>
      <w:tr w14:paraId="3761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84" w:type="dxa"/>
          </w:tcPr>
          <w:p w14:paraId="1EF93E2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2527" w:type="dxa"/>
          </w:tcPr>
          <w:p w14:paraId="5AD23E7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 (NA, NA)</w:t>
            </w:r>
          </w:p>
        </w:tc>
        <w:tc>
          <w:tcPr>
            <w:tcW w:w="2530" w:type="dxa"/>
          </w:tcPr>
          <w:p w14:paraId="4EB2AB4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 (NA, NA)</w:t>
            </w:r>
          </w:p>
        </w:tc>
      </w:tr>
      <w:tr w14:paraId="45C53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441" w:type="dxa"/>
            <w:gridSpan w:val="3"/>
          </w:tcPr>
          <w:p w14:paraId="3552D51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Nestratifikovana analiza</w:t>
            </w:r>
          </w:p>
        </w:tc>
      </w:tr>
      <w:tr w14:paraId="36BB7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58" w:type="dxa"/>
          </w:tcPr>
          <w:p w14:paraId="38D1C0D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Hazard ratio (sunitinib nasuprot IFN-)</w:t>
            </w:r>
          </w:p>
        </w:tc>
        <w:tc>
          <w:tcPr>
            <w:tcW w:w="5057" w:type="dxa"/>
            <w:gridSpan w:val="2"/>
          </w:tcPr>
          <w:p w14:paraId="61DEADB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8209</w:t>
            </w:r>
          </w:p>
        </w:tc>
      </w:tr>
      <w:tr w14:paraId="02761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258" w:type="dxa"/>
          </w:tcPr>
          <w:p w14:paraId="5168E04B">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95% CI za hazard ratio</w:t>
            </w:r>
          </w:p>
        </w:tc>
        <w:tc>
          <w:tcPr>
            <w:tcW w:w="5057" w:type="dxa"/>
            <w:gridSpan w:val="2"/>
          </w:tcPr>
          <w:p w14:paraId="3F718E8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6730, 1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0013)</w:t>
            </w:r>
          </w:p>
        </w:tc>
      </w:tr>
      <w:tr w14:paraId="2B47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0657C2E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p-vrijednost</w:t>
            </w:r>
            <w:r>
              <w:rPr>
                <w:rFonts w:ascii="Microsoft Sans Serif" w:hAnsi="Microsoft Sans Serif" w:cs="Microsoft Sans Serif"/>
                <w:sz w:val="20"/>
                <w:szCs w:val="20"/>
                <w:vertAlign w:val="superscript"/>
              </w:rPr>
              <w:t>a</w:t>
            </w:r>
          </w:p>
        </w:tc>
        <w:tc>
          <w:tcPr>
            <w:tcW w:w="5057" w:type="dxa"/>
            <w:gridSpan w:val="2"/>
          </w:tcPr>
          <w:p w14:paraId="6FDDCE7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0510</w:t>
            </w:r>
          </w:p>
        </w:tc>
      </w:tr>
    </w:tbl>
    <w:p w14:paraId="7C494672">
      <w:pPr>
        <w:rPr>
          <w:rFonts w:ascii="Microsoft Sans Serif" w:hAnsi="Microsoft Sans Serif" w:cs="Microsoft Sans Serif"/>
          <w:sz w:val="20"/>
          <w:szCs w:val="20"/>
        </w:rPr>
      </w:pPr>
      <w:r>
        <w:rPr>
          <w:rFonts w:ascii="Microsoft Sans Serif" w:hAnsi="Microsoft Sans Serif" w:cs="Microsoft Sans Serif"/>
          <w:sz w:val="20"/>
          <w:szCs w:val="20"/>
        </w:rPr>
        <w:t xml:space="preserve">Skraćenice: CI=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IFN-α=interferon-alfa; ITT=populacija koja je trebalo da prima terapiju (engl. </w:t>
      </w:r>
      <w:r>
        <w:rPr>
          <w:rFonts w:ascii="Microsoft Sans Serif" w:hAnsi="Microsoft Sans Serif" w:cs="Microsoft Sans Serif"/>
          <w:i/>
          <w:sz w:val="20"/>
          <w:szCs w:val="20"/>
        </w:rPr>
        <w:t>intent-to-treat</w:t>
      </w:r>
      <w:r>
        <w:rPr>
          <w:rFonts w:ascii="Microsoft Sans Serif" w:hAnsi="Microsoft Sans Serif" w:cs="Microsoft Sans Serif"/>
          <w:sz w:val="20"/>
          <w:szCs w:val="20"/>
        </w:rPr>
        <w:t xml:space="preserve">); N= broj pacijenata; NA= nije primjenjivo (engl. </w:t>
      </w:r>
      <w:r>
        <w:rPr>
          <w:rFonts w:ascii="Microsoft Sans Serif" w:hAnsi="Microsoft Sans Serif" w:cs="Microsoft Sans Serif"/>
          <w:i/>
          <w:sz w:val="20"/>
          <w:szCs w:val="20"/>
        </w:rPr>
        <w:t>not applicable</w:t>
      </w:r>
      <w:r>
        <w:rPr>
          <w:rFonts w:ascii="Microsoft Sans Serif" w:hAnsi="Microsoft Sans Serif" w:cs="Microsoft Sans Serif"/>
          <w:sz w:val="20"/>
          <w:szCs w:val="20"/>
        </w:rPr>
        <w:t xml:space="preserve">); OS= ukupno 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PFS= preživlјavanje bez progresije bolesti (engl. </w:t>
      </w:r>
      <w:r>
        <w:rPr>
          <w:rFonts w:ascii="Microsoft Sans Serif" w:hAnsi="Microsoft Sans Serif" w:cs="Microsoft Sans Serif"/>
          <w:i/>
          <w:sz w:val="20"/>
          <w:szCs w:val="20"/>
        </w:rPr>
        <w:t>progression-free survival</w:t>
      </w:r>
      <w:r>
        <w:rPr>
          <w:rFonts w:ascii="Microsoft Sans Serif" w:hAnsi="Microsoft Sans Serif" w:cs="Microsoft Sans Serif"/>
          <w:sz w:val="20"/>
          <w:szCs w:val="20"/>
        </w:rPr>
        <w:t>).</w:t>
      </w:r>
    </w:p>
    <w:p w14:paraId="222074DC">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Iz dvostranog log-rank testa.</w:t>
      </w:r>
    </w:p>
    <w:p w14:paraId="522FCFB2">
      <w:pPr>
        <w:rPr>
          <w:rFonts w:ascii="Microsoft Sans Serif" w:hAnsi="Microsoft Sans Serif" w:cs="Microsoft Sans Serif"/>
          <w:sz w:val="20"/>
          <w:szCs w:val="20"/>
        </w:rPr>
      </w:pPr>
    </w:p>
    <w:p w14:paraId="0F3FCD36">
      <w:pPr>
        <w:rPr>
          <w:rFonts w:ascii="Microsoft Sans Serif" w:hAnsi="Microsoft Sans Serif" w:cs="Microsoft Sans Serif"/>
          <w:i/>
          <w:sz w:val="20"/>
          <w:szCs w:val="20"/>
        </w:rPr>
      </w:pPr>
      <w:r>
        <w:rPr>
          <w:rFonts w:ascii="Microsoft Sans Serif" w:hAnsi="Microsoft Sans Serif" w:cs="Microsoft Sans Serif"/>
          <w:i/>
          <w:sz w:val="20"/>
          <w:szCs w:val="20"/>
        </w:rPr>
        <w:t>Metastatski karcinom bubrega (MRCC) refraktoran na citokine</w:t>
      </w:r>
    </w:p>
    <w:p w14:paraId="1DB05986">
      <w:pPr>
        <w:rPr>
          <w:rFonts w:ascii="Microsoft Sans Serif" w:hAnsi="Microsoft Sans Serif" w:cs="Microsoft Sans Serif"/>
          <w:sz w:val="20"/>
          <w:szCs w:val="20"/>
        </w:rPr>
      </w:pPr>
      <w:r>
        <w:rPr>
          <w:rFonts w:ascii="Microsoft Sans Serif" w:hAnsi="Microsoft Sans Serif" w:cs="Microsoft Sans Serif"/>
          <w:sz w:val="20"/>
          <w:szCs w:val="20"/>
        </w:rPr>
        <w:t xml:space="preserve">Studija faze 2 sa sunitinibom sprovedena je na pacijentima koji nisu reagovali na prethodnu terapiju citokinima interleukinom-2 ili IFN-α. Šezdeset tri pacijenta primalo je početnu dozu od 50 mg sunitiniba oralno, jednom dnevno tokom 4 uzastopne nedelјe, a zatim je terapija obustavlјena naredne 2 nedelјe da bi se završio ciklus od 6 nedelјa (režim 4/2). Primarni </w:t>
      </w:r>
      <w:r>
        <w:rPr>
          <w:rFonts w:ascii="Microsoft Sans Serif" w:hAnsi="Microsoft Sans Serif" w:cs="Microsoft Sans Serif"/>
          <w:sz w:val="20"/>
          <w:szCs w:val="20"/>
          <w:lang w:val="sr-Cyrl-RS"/>
        </w:rPr>
        <w:t>parametar praćenj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 u ovoj studiji bila je stopa objektivnog odgovora (ORR), zasnovana na RECIST kriterijumima za procjenu odgovora solidnih tumora (</w:t>
      </w:r>
      <w:r>
        <w:rPr>
          <w:rFonts w:ascii="Microsoft Sans Serif" w:hAnsi="Microsoft Sans Serif" w:cs="Microsoft Sans Serif"/>
          <w:sz w:val="20"/>
          <w:szCs w:val="20"/>
          <w:lang w:val="sr-Cyrl-RS"/>
        </w:rPr>
        <w:t xml:space="preserve">engl. </w:t>
      </w:r>
      <w:r>
        <w:rPr>
          <w:rFonts w:ascii="Microsoft Sans Serif" w:hAnsi="Microsoft Sans Serif" w:cs="Microsoft Sans Serif"/>
          <w:sz w:val="20"/>
          <w:szCs w:val="20"/>
        </w:rPr>
        <w:t xml:space="preserve">RECIST– </w:t>
      </w:r>
      <w:r>
        <w:rPr>
          <w:rFonts w:ascii="Microsoft Sans Serif" w:hAnsi="Microsoft Sans Serif" w:cs="Microsoft Sans Serif"/>
          <w:i/>
          <w:sz w:val="20"/>
          <w:szCs w:val="20"/>
        </w:rPr>
        <w:t>Response Evaluation Criteria in Solid Tumors</w:t>
      </w:r>
      <w:r>
        <w:rPr>
          <w:rFonts w:ascii="Microsoft Sans Serif" w:hAnsi="Microsoft Sans Serif" w:cs="Microsoft Sans Serif"/>
          <w:sz w:val="20"/>
          <w:szCs w:val="20"/>
        </w:rPr>
        <w:t>).</w:t>
      </w:r>
    </w:p>
    <w:p w14:paraId="447AEBC7">
      <w:pPr>
        <w:rPr>
          <w:rFonts w:ascii="Microsoft Sans Serif" w:hAnsi="Microsoft Sans Serif" w:cs="Microsoft Sans Serif"/>
          <w:sz w:val="20"/>
          <w:szCs w:val="20"/>
        </w:rPr>
      </w:pPr>
    </w:p>
    <w:p w14:paraId="11673968">
      <w:pPr>
        <w:rPr>
          <w:rFonts w:ascii="Microsoft Sans Serif" w:hAnsi="Microsoft Sans Serif" w:cs="Microsoft Sans Serif"/>
          <w:sz w:val="20"/>
          <w:szCs w:val="20"/>
        </w:rPr>
      </w:pPr>
      <w:r>
        <w:rPr>
          <w:rFonts w:ascii="Microsoft Sans Serif" w:hAnsi="Microsoft Sans Serif" w:cs="Microsoft Sans Serif"/>
          <w:sz w:val="20"/>
          <w:szCs w:val="20"/>
        </w:rPr>
        <w:t>U ovoj studiji stopa objektivnog odgovora (ORR) iznosila je 36,5% (95% CI= 24,7%;49,6%) i medijana TTP iznosila je 37,7 nedelјa (95% CI= 24,0; 46,4).</w:t>
      </w:r>
    </w:p>
    <w:p w14:paraId="40120873">
      <w:pPr>
        <w:rPr>
          <w:rFonts w:ascii="Microsoft Sans Serif" w:hAnsi="Microsoft Sans Serif" w:cs="Microsoft Sans Serif"/>
          <w:sz w:val="20"/>
          <w:szCs w:val="20"/>
        </w:rPr>
      </w:pPr>
    </w:p>
    <w:p w14:paraId="0EDAEA10">
      <w:pPr>
        <w:rPr>
          <w:rFonts w:ascii="Microsoft Sans Serif" w:hAnsi="Microsoft Sans Serif" w:cs="Microsoft Sans Serif"/>
          <w:sz w:val="20"/>
          <w:szCs w:val="20"/>
        </w:rPr>
      </w:pPr>
      <w:r>
        <w:rPr>
          <w:rFonts w:ascii="Microsoft Sans Serif" w:hAnsi="Microsoft Sans Serif" w:cs="Microsoft Sans Serif"/>
          <w:sz w:val="20"/>
          <w:szCs w:val="20"/>
        </w:rPr>
        <w:t xml:space="preserve">Potvrdna, otvorena, multicentrična studija sa ispitanicima u jednoj grupi, koja je ispitivala efikasnost i bezbjednost sunitiniba, sprovedena je kod pacijenata sa MRCC refraktornim na </w:t>
      </w:r>
      <w:r>
        <w:rPr>
          <w:rFonts w:ascii="Microsoft Sans Serif" w:hAnsi="Microsoft Sans Serif" w:cs="Microsoft Sans Serif"/>
          <w:sz w:val="20"/>
          <w:szCs w:val="20"/>
          <w:lang w:val="sr-Cyrl-RS"/>
        </w:rPr>
        <w:t>prethodn</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terapiju </w:t>
      </w:r>
      <w:r>
        <w:rPr>
          <w:rFonts w:ascii="Microsoft Sans Serif" w:hAnsi="Microsoft Sans Serif" w:cs="Microsoft Sans Serif"/>
          <w:sz w:val="20"/>
          <w:szCs w:val="20"/>
        </w:rPr>
        <w:t>citokin</w:t>
      </w:r>
      <w:r>
        <w:rPr>
          <w:rFonts w:ascii="Microsoft Sans Serif" w:hAnsi="Microsoft Sans Serif" w:cs="Microsoft Sans Serif"/>
          <w:sz w:val="20"/>
          <w:szCs w:val="20"/>
          <w:lang w:val="sr-Cyrl-RS"/>
        </w:rPr>
        <w:t>ima</w:t>
      </w:r>
      <w:r>
        <w:rPr>
          <w:rFonts w:ascii="Microsoft Sans Serif" w:hAnsi="Microsoft Sans Serif" w:cs="Microsoft Sans Serif"/>
          <w:sz w:val="20"/>
          <w:szCs w:val="20"/>
        </w:rPr>
        <w:t>. Sto šest (106) pacijenata primalo je najmanje jednu dozu lijeka od 50 mg prema režimu 4/2.</w:t>
      </w:r>
    </w:p>
    <w:p w14:paraId="7F5229D2">
      <w:pPr>
        <w:rPr>
          <w:rFonts w:ascii="Microsoft Sans Serif" w:hAnsi="Microsoft Sans Serif" w:cs="Microsoft Sans Serif"/>
          <w:sz w:val="20"/>
          <w:szCs w:val="20"/>
        </w:rPr>
      </w:pPr>
    </w:p>
    <w:p w14:paraId="0E1B5E78">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w:t>
      </w:r>
      <w:r>
        <w:rPr>
          <w:rFonts w:ascii="Microsoft Sans Serif" w:hAnsi="Microsoft Sans Serif" w:cs="Microsoft Sans Serif"/>
          <w:sz w:val="20"/>
          <w:szCs w:val="20"/>
          <w:lang w:val="sr-Cyrl-RS"/>
        </w:rPr>
        <w:t>parametar praćenja</w:t>
      </w:r>
      <w:r>
        <w:rPr>
          <w:rFonts w:ascii="Microsoft Sans Serif" w:hAnsi="Microsoft Sans Serif" w:cs="Microsoft Sans Serif"/>
          <w:sz w:val="20"/>
          <w:szCs w:val="20"/>
        </w:rPr>
        <w:t xml:space="preserve"> efikasnosti u ovoj studiji bio je ORR. Sekundarni </w:t>
      </w:r>
      <w:r>
        <w:rPr>
          <w:rFonts w:ascii="Microsoft Sans Serif" w:hAnsi="Microsoft Sans Serif" w:cs="Microsoft Sans Serif"/>
          <w:sz w:val="20"/>
          <w:szCs w:val="20"/>
          <w:lang w:val="sr-Cyrl-RS"/>
        </w:rPr>
        <w:t>parametar praćenja ishoda</w:t>
      </w:r>
      <w:r>
        <w:rPr>
          <w:rFonts w:ascii="Microsoft Sans Serif" w:hAnsi="Microsoft Sans Serif" w:cs="Microsoft Sans Serif"/>
          <w:sz w:val="20"/>
          <w:szCs w:val="20"/>
        </w:rPr>
        <w:t xml:space="preserve"> uklјučio je TTP, trajanje odgovora (engl. </w:t>
      </w:r>
      <w:r>
        <w:rPr>
          <w:rFonts w:ascii="Microsoft Sans Serif" w:hAnsi="Microsoft Sans Serif" w:cs="Microsoft Sans Serif"/>
          <w:i/>
          <w:sz w:val="20"/>
          <w:szCs w:val="20"/>
        </w:rPr>
        <w:t>Duration of Response</w:t>
      </w:r>
      <w:r>
        <w:rPr>
          <w:rFonts w:ascii="Microsoft Sans Serif" w:hAnsi="Microsoft Sans Serif" w:cs="Microsoft Sans Serif"/>
          <w:sz w:val="20"/>
          <w:szCs w:val="20"/>
        </w:rPr>
        <w:t>, DR) i OS.</w:t>
      </w:r>
    </w:p>
    <w:p w14:paraId="349E7B2A">
      <w:pPr>
        <w:rPr>
          <w:rFonts w:ascii="Microsoft Sans Serif" w:hAnsi="Microsoft Sans Serif" w:cs="Microsoft Sans Serif"/>
          <w:sz w:val="20"/>
          <w:szCs w:val="20"/>
        </w:rPr>
      </w:pPr>
    </w:p>
    <w:p w14:paraId="4B03DAC4">
      <w:pPr>
        <w:rPr>
          <w:rFonts w:ascii="Microsoft Sans Serif" w:hAnsi="Microsoft Sans Serif" w:cs="Microsoft Sans Serif"/>
          <w:sz w:val="20"/>
          <w:szCs w:val="20"/>
        </w:rPr>
      </w:pPr>
      <w:r>
        <w:rPr>
          <w:rFonts w:ascii="Microsoft Sans Serif" w:hAnsi="Microsoft Sans Serif" w:cs="Microsoft Sans Serif"/>
          <w:sz w:val="20"/>
          <w:szCs w:val="20"/>
        </w:rPr>
        <w:t>U ovoj studiji, ORR je iznosio 35,8% (95% CI= 26,8%; 47,5%). Medijana DR i OS još nije bila postignuta.</w:t>
      </w:r>
    </w:p>
    <w:p w14:paraId="6DEC5B61">
      <w:pPr>
        <w:rPr>
          <w:rFonts w:ascii="Microsoft Sans Serif" w:hAnsi="Microsoft Sans Serif" w:cs="Microsoft Sans Serif"/>
          <w:sz w:val="20"/>
          <w:szCs w:val="20"/>
        </w:rPr>
      </w:pPr>
    </w:p>
    <w:p w14:paraId="1F7A91B3">
      <w:pPr>
        <w:rPr>
          <w:rFonts w:ascii="Microsoft Sans Serif" w:hAnsi="Microsoft Sans Serif" w:cs="Microsoft Sans Serif"/>
          <w:i/>
          <w:sz w:val="20"/>
          <w:szCs w:val="20"/>
        </w:rPr>
      </w:pPr>
      <w:r>
        <w:rPr>
          <w:rFonts w:ascii="Microsoft Sans Serif" w:hAnsi="Microsoft Sans Serif" w:cs="Microsoft Sans Serif"/>
          <w:i/>
          <w:sz w:val="20"/>
          <w:szCs w:val="20"/>
        </w:rPr>
        <w:t>Neuroendokrini tumori pankreasa</w:t>
      </w:r>
    </w:p>
    <w:p w14:paraId="3C344470">
      <w:pPr>
        <w:rPr>
          <w:rFonts w:ascii="Microsoft Sans Serif" w:hAnsi="Microsoft Sans Serif" w:cs="Microsoft Sans Serif"/>
          <w:sz w:val="20"/>
          <w:szCs w:val="20"/>
        </w:rPr>
      </w:pPr>
      <w:r>
        <w:rPr>
          <w:rFonts w:ascii="Microsoft Sans Serif" w:hAnsi="Microsoft Sans Serif" w:cs="Microsoft Sans Serif"/>
          <w:sz w:val="20"/>
          <w:szCs w:val="20"/>
          <w:lang w:val="sr-Cyrl-RS"/>
        </w:rPr>
        <w:t>Podržavajuća, o</w:t>
      </w:r>
      <w:r>
        <w:rPr>
          <w:rFonts w:ascii="Microsoft Sans Serif" w:hAnsi="Microsoft Sans Serif" w:cs="Microsoft Sans Serif"/>
          <w:sz w:val="20"/>
          <w:szCs w:val="20"/>
        </w:rPr>
        <w:t xml:space="preserve">tvorena, multicentrična studija faze 2 procjenjivala je efikasnost i bezbjednost sunitiniba, primjenjenog kao monoterapija u dozi od 50 mg dnevno prema režimu 4/2 kod pacijenata sa neoperabilnim pNET. U kohorti sa 66 pacijenata sa tumorom ostrvskih ćelija pankreasa, stopa primarnog </w:t>
      </w:r>
      <w:r>
        <w:rPr>
          <w:rFonts w:ascii="Microsoft Sans Serif" w:hAnsi="Microsoft Sans Serif" w:cs="Microsoft Sans Serif"/>
          <w:sz w:val="20"/>
          <w:szCs w:val="20"/>
          <w:lang w:val="sr-Cyrl-RS"/>
        </w:rPr>
        <w:t>parametra ishoda</w:t>
      </w:r>
      <w:r>
        <w:rPr>
          <w:rFonts w:ascii="Microsoft Sans Serif" w:hAnsi="Microsoft Sans Serif" w:cs="Microsoft Sans Serif"/>
          <w:sz w:val="20"/>
          <w:szCs w:val="20"/>
        </w:rPr>
        <w:t xml:space="preserve"> iznosila je 17%.</w:t>
      </w:r>
    </w:p>
    <w:p w14:paraId="3C32504F">
      <w:pPr>
        <w:rPr>
          <w:rFonts w:ascii="Microsoft Sans Serif" w:hAnsi="Microsoft Sans Serif" w:cs="Microsoft Sans Serif"/>
          <w:sz w:val="20"/>
          <w:szCs w:val="20"/>
        </w:rPr>
      </w:pPr>
    </w:p>
    <w:p w14:paraId="713FB572">
      <w:pPr>
        <w:rPr>
          <w:rFonts w:ascii="Microsoft Sans Serif" w:hAnsi="Microsoft Sans Serif" w:cs="Microsoft Sans Serif"/>
          <w:sz w:val="20"/>
          <w:szCs w:val="20"/>
        </w:rPr>
      </w:pPr>
      <w:r>
        <w:rPr>
          <w:rFonts w:ascii="Microsoft Sans Serif" w:hAnsi="Microsoft Sans Serif" w:cs="Microsoft Sans Serif"/>
          <w:sz w:val="20"/>
          <w:szCs w:val="20"/>
        </w:rPr>
        <w:t>Pivotalna, multicentrična, internacionalna, randomizovana, dvostruko slijepa, placebo kontrolisana studija faze 3 sprovedena je kod pacijenata sa neoperabilnim pNET primjenom sunitiniba u monoterapiji.</w:t>
      </w:r>
    </w:p>
    <w:p w14:paraId="3420D2F2">
      <w:pPr>
        <w:rPr>
          <w:rFonts w:ascii="Microsoft Sans Serif" w:hAnsi="Microsoft Sans Serif" w:cs="Microsoft Sans Serif"/>
          <w:sz w:val="20"/>
          <w:szCs w:val="20"/>
        </w:rPr>
      </w:pPr>
    </w:p>
    <w:p w14:paraId="6A49638E">
      <w:pPr>
        <w:rPr>
          <w:rFonts w:ascii="Microsoft Sans Serif" w:hAnsi="Microsoft Sans Serif" w:cs="Microsoft Sans Serif"/>
          <w:sz w:val="20"/>
          <w:szCs w:val="20"/>
        </w:rPr>
      </w:pPr>
      <w:r>
        <w:rPr>
          <w:rFonts w:ascii="Microsoft Sans Serif" w:hAnsi="Microsoft Sans Serif" w:cs="Microsoft Sans Serif"/>
          <w:sz w:val="20"/>
          <w:szCs w:val="20"/>
        </w:rPr>
        <w:t xml:space="preserve">Pacijenti su morali da imaju dokumentovane podatke o progresiji bolesti, na osnovu RECIST kriterijuma, u okviru proteklih 12 mjeseci, i randomizovani su (1:1) tako da primaju ili 37,5 mg sunitiniba jednom dnevno bez planiranog perioda odmora (N=86) ili da </w:t>
      </w:r>
      <w:r>
        <w:rPr>
          <w:rFonts w:ascii="Microsoft Sans Serif" w:hAnsi="Microsoft Sans Serif" w:cs="Microsoft Sans Serif"/>
          <w:sz w:val="20"/>
          <w:szCs w:val="20"/>
          <w:lang w:val="sr-Cyrl-RS"/>
        </w:rPr>
        <w:t>dobijaju</w:t>
      </w:r>
      <w:r>
        <w:rPr>
          <w:rFonts w:ascii="Microsoft Sans Serif" w:hAnsi="Microsoft Sans Serif" w:cs="Microsoft Sans Serif"/>
          <w:sz w:val="20"/>
          <w:szCs w:val="20"/>
        </w:rPr>
        <w:t xml:space="preserve"> placebo (N=85).</w:t>
      </w:r>
    </w:p>
    <w:p w14:paraId="1C7D3008">
      <w:pPr>
        <w:rPr>
          <w:rFonts w:ascii="Microsoft Sans Serif" w:hAnsi="Microsoft Sans Serif" w:cs="Microsoft Sans Serif"/>
          <w:sz w:val="20"/>
          <w:szCs w:val="20"/>
        </w:rPr>
      </w:pPr>
    </w:p>
    <w:p w14:paraId="09A85689">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cilј bio je poređenje PFS kod pacijenata koji su primali sunitinib u odnosu na pacijente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Ostali </w:t>
      </w:r>
      <w:r>
        <w:rPr>
          <w:rFonts w:ascii="Microsoft Sans Serif" w:hAnsi="Microsoft Sans Serif" w:cs="Microsoft Sans Serif"/>
          <w:sz w:val="20"/>
          <w:szCs w:val="20"/>
          <w:lang w:val="sr-Cyrl-RS"/>
        </w:rPr>
        <w:t>parametri praćenja ishoda</w:t>
      </w:r>
      <w:r>
        <w:rPr>
          <w:rFonts w:ascii="Microsoft Sans Serif" w:hAnsi="Microsoft Sans Serif" w:cs="Microsoft Sans Serif"/>
          <w:sz w:val="20"/>
          <w:szCs w:val="20"/>
        </w:rPr>
        <w:t xml:space="preserve"> uklјučivali su OS, ORR, ishode prijavlјene od strane pacijenata (engl. </w:t>
      </w:r>
      <w:r>
        <w:rPr>
          <w:rFonts w:ascii="Microsoft Sans Serif" w:hAnsi="Microsoft Sans Serif" w:cs="Microsoft Sans Serif"/>
          <w:i/>
          <w:sz w:val="20"/>
          <w:szCs w:val="20"/>
        </w:rPr>
        <w:t>Patient repored Outcomes</w:t>
      </w:r>
      <w:r>
        <w:rPr>
          <w:rFonts w:ascii="Microsoft Sans Serif" w:hAnsi="Microsoft Sans Serif" w:cs="Microsoft Sans Serif"/>
          <w:sz w:val="20"/>
          <w:szCs w:val="20"/>
        </w:rPr>
        <w:t>, PRO) i bezbjednost.</w:t>
      </w:r>
    </w:p>
    <w:p w14:paraId="1A0C7F04">
      <w:pPr>
        <w:rPr>
          <w:rFonts w:ascii="Microsoft Sans Serif" w:hAnsi="Microsoft Sans Serif" w:cs="Microsoft Sans Serif"/>
          <w:sz w:val="20"/>
          <w:szCs w:val="20"/>
        </w:rPr>
      </w:pPr>
    </w:p>
    <w:p w14:paraId="6C718D99">
      <w:pPr>
        <w:rPr>
          <w:rFonts w:ascii="Microsoft Sans Serif" w:hAnsi="Microsoft Sans Serif" w:cs="Microsoft Sans Serif"/>
          <w:sz w:val="20"/>
          <w:szCs w:val="20"/>
        </w:rPr>
      </w:pPr>
      <w:r>
        <w:rPr>
          <w:rFonts w:ascii="Microsoft Sans Serif" w:hAnsi="Microsoft Sans Serif" w:cs="Microsoft Sans Serif"/>
          <w:sz w:val="20"/>
          <w:szCs w:val="20"/>
        </w:rPr>
        <w:t xml:space="preserve">Demografski podaci između grupa pacijenata koji su primali sunitinib u odnosu na pacijente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bili su slični. Dodatno, 49% pacijenata koji su primali sunitinib imali su nefunkcionalne tumore u odnosu na 52% pacijenata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a 92% pacijenata u obe grupe imalo je metastaze na jetri.</w:t>
      </w:r>
    </w:p>
    <w:p w14:paraId="0A5E921B">
      <w:pPr>
        <w:rPr>
          <w:rFonts w:ascii="Microsoft Sans Serif" w:hAnsi="Microsoft Sans Serif" w:cs="Microsoft Sans Serif"/>
          <w:sz w:val="20"/>
          <w:szCs w:val="20"/>
        </w:rPr>
      </w:pPr>
    </w:p>
    <w:p w14:paraId="5B521BEB">
      <w:pPr>
        <w:rPr>
          <w:rFonts w:ascii="Microsoft Sans Serif" w:hAnsi="Microsoft Sans Serif" w:cs="Microsoft Sans Serif"/>
          <w:sz w:val="20"/>
          <w:szCs w:val="20"/>
        </w:rPr>
      </w:pPr>
      <w:r>
        <w:rPr>
          <w:rFonts w:ascii="Microsoft Sans Serif" w:hAnsi="Microsoft Sans Serif" w:cs="Microsoft Sans Serif"/>
          <w:sz w:val="20"/>
          <w:szCs w:val="20"/>
        </w:rPr>
        <w:t>Tokom ispitivanja bila je dozvolјena primjena analoga somatostatina.</w:t>
      </w:r>
    </w:p>
    <w:p w14:paraId="412BB4B7">
      <w:pPr>
        <w:rPr>
          <w:rFonts w:ascii="Microsoft Sans Serif" w:hAnsi="Microsoft Sans Serif" w:cs="Microsoft Sans Serif"/>
          <w:sz w:val="20"/>
          <w:szCs w:val="20"/>
        </w:rPr>
      </w:pPr>
    </w:p>
    <w:p w14:paraId="7805F197">
      <w:pPr>
        <w:rPr>
          <w:rFonts w:ascii="Microsoft Sans Serif" w:hAnsi="Microsoft Sans Serif" w:cs="Microsoft Sans Serif"/>
          <w:sz w:val="20"/>
          <w:szCs w:val="20"/>
        </w:rPr>
      </w:pPr>
      <w:r>
        <w:rPr>
          <w:rFonts w:ascii="Microsoft Sans Serif" w:hAnsi="Microsoft Sans Serif" w:cs="Microsoft Sans Serif"/>
          <w:sz w:val="20"/>
          <w:szCs w:val="20"/>
        </w:rPr>
        <w:t xml:space="preserve">Ukupno 66% pacijenata koji su primali sunitinib prethodno su primali sistemsku terapiju, u poređenju sa 72% pacijenata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Dodatno, 24% pacijenata koji su primali sunitinib su primali analoge somatostatina, u poređenju sa 22% pacijenata koji su primali placebo.</w:t>
      </w:r>
    </w:p>
    <w:p w14:paraId="7DCD8456">
      <w:pPr>
        <w:rPr>
          <w:rFonts w:ascii="Microsoft Sans Serif" w:hAnsi="Microsoft Sans Serif" w:cs="Microsoft Sans Serif"/>
          <w:sz w:val="20"/>
          <w:szCs w:val="20"/>
        </w:rPr>
      </w:pPr>
    </w:p>
    <w:p w14:paraId="17122B4A">
      <w:pPr>
        <w:rPr>
          <w:rFonts w:ascii="Microsoft Sans Serif" w:hAnsi="Microsoft Sans Serif" w:cs="Microsoft Sans Serif"/>
          <w:sz w:val="20"/>
          <w:szCs w:val="20"/>
        </w:rPr>
      </w:pPr>
      <w:r>
        <w:rPr>
          <w:rFonts w:ascii="Microsoft Sans Serif" w:hAnsi="Microsoft Sans Serif" w:cs="Microsoft Sans Serif"/>
          <w:sz w:val="20"/>
          <w:szCs w:val="20"/>
        </w:rPr>
        <w:t>Zabilježena je klinički značajna prednost sunitiniba u poređenju sa placebom u PFS procijenjenog od strane istraživača. Medijana PFS iznosila je 11,4 mjeseca za grupu koja je primala sunitinib u poređenju sa 5,5 mjeseci za grupu koja je primala placebo [</w:t>
      </w:r>
      <w:r>
        <w:rPr>
          <w:rFonts w:ascii="Microsoft Sans Serif" w:hAnsi="Microsoft Sans Serif" w:cs="Microsoft Sans Serif"/>
          <w:sz w:val="20"/>
          <w:szCs w:val="20"/>
          <w:lang w:val="sr-Cyrl-RS"/>
        </w:rPr>
        <w:t>hazard ratio</w:t>
      </w:r>
      <w:r>
        <w:rPr>
          <w:rFonts w:ascii="Microsoft Sans Serif" w:hAnsi="Microsoft Sans Serif" w:cs="Microsoft Sans Serif"/>
          <w:sz w:val="20"/>
          <w:szCs w:val="20"/>
        </w:rPr>
        <w:t>: 0,418 (95% CI: 0,263; 0,662), p-vrijednost= 0,0001]; slični rezultati su zabilježeni kada su za utvrđivanje progresije bolesti korišćene izvedene procjene odgovora tumora, zasnovane na primjeni RECIST kriterijuma na mjerenja tumora od strane istraživača, kao što je pokazano u Tabeli 4. Hazard ratio u korist sunitiniba zabilježen je u svim podgrupama procjenjivanih osnovnih karakteristika, uklјučujući analizu prema broju prethodnih sistemskih terapija.</w:t>
      </w:r>
    </w:p>
    <w:p w14:paraId="2F136C0F">
      <w:pPr>
        <w:rPr>
          <w:rFonts w:ascii="Microsoft Sans Serif" w:hAnsi="Microsoft Sans Serif" w:cs="Microsoft Sans Serif"/>
          <w:sz w:val="20"/>
          <w:szCs w:val="20"/>
        </w:rPr>
      </w:pPr>
      <w:r>
        <w:rPr>
          <w:rFonts w:ascii="Microsoft Sans Serif" w:hAnsi="Microsoft Sans Serif" w:cs="Microsoft Sans Serif"/>
          <w:sz w:val="20"/>
          <w:szCs w:val="20"/>
        </w:rPr>
        <w:t xml:space="preserve">Ukupno 29 pacijenata u grupi koja je primala sunitinib i 24 pacijenta u grupi koja je </w:t>
      </w:r>
      <w:r>
        <w:rPr>
          <w:rFonts w:ascii="Microsoft Sans Serif" w:hAnsi="Microsoft Sans Serif" w:cs="Microsoft Sans Serif"/>
          <w:sz w:val="20"/>
          <w:szCs w:val="20"/>
          <w:lang w:val="sr-Cyrl-RS"/>
        </w:rPr>
        <w:t>dobijala</w:t>
      </w:r>
      <w:r>
        <w:rPr>
          <w:rFonts w:ascii="Microsoft Sans Serif" w:hAnsi="Microsoft Sans Serif" w:cs="Microsoft Sans Serif"/>
          <w:sz w:val="20"/>
          <w:szCs w:val="20"/>
        </w:rPr>
        <w:t xml:space="preserve"> placebo nije primalo prethodnu sistemsku terapiju; među ovim pacijentima h</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zard ratio za PFS iznosio je 0,365 (95% CI 0,156; 0,857), p= 0,0156. Kod ukupno 57 pacijenata u grupi koja je primala sunitinib (uklјučujući 28 sa jednom prethodnom sistemskom terapijom i 29 sa dvije ili više prethodnih sistemskih terapija), kao i kod 61 pacijenta u grupi koja je </w:t>
      </w:r>
      <w:r>
        <w:rPr>
          <w:rFonts w:ascii="Microsoft Sans Serif" w:hAnsi="Microsoft Sans Serif" w:cs="Microsoft Sans Serif"/>
          <w:sz w:val="20"/>
          <w:szCs w:val="20"/>
          <w:lang w:val="sr-Cyrl-RS"/>
        </w:rPr>
        <w:t xml:space="preserve">dobijala </w:t>
      </w:r>
      <w:r>
        <w:rPr>
          <w:rFonts w:ascii="Microsoft Sans Serif" w:hAnsi="Microsoft Sans Serif" w:cs="Microsoft Sans Serif"/>
          <w:sz w:val="20"/>
          <w:szCs w:val="20"/>
        </w:rPr>
        <w:t>placebo (uklјučujući 25 sa jednom prethodnom sistemskom terapijom i 36 sa dvije ili više prethodnih sistemskih terapija), hazard ratio za PFS iznosio je 0,456 (95% CI: 0,264; 0,787), p= 0,0036.</w:t>
      </w:r>
    </w:p>
    <w:p w14:paraId="17253B71">
      <w:pPr>
        <w:rPr>
          <w:rFonts w:ascii="Microsoft Sans Serif" w:hAnsi="Microsoft Sans Serif" w:cs="Microsoft Sans Serif"/>
          <w:sz w:val="20"/>
          <w:szCs w:val="20"/>
        </w:rPr>
      </w:pPr>
    </w:p>
    <w:p w14:paraId="0A66162D">
      <w:pPr>
        <w:rPr>
          <w:rFonts w:ascii="Microsoft Sans Serif" w:hAnsi="Microsoft Sans Serif" w:cs="Microsoft Sans Serif"/>
          <w:sz w:val="20"/>
          <w:szCs w:val="20"/>
        </w:rPr>
      </w:pPr>
      <w:r>
        <w:rPr>
          <w:rFonts w:ascii="Microsoft Sans Serif" w:hAnsi="Microsoft Sans Serif" w:cs="Microsoft Sans Serif"/>
          <w:sz w:val="20"/>
          <w:szCs w:val="20"/>
        </w:rPr>
        <w:t xml:space="preserve">Analiza osjetlјivosti PFS sprovedena je tamo gde je progresija zasnovana na mjerenjima tumora koja je zabilježio istraživač i gde su svi ispitanici pregledani iz razloga koji nemaju veze sa prekidom ispitivanja tretirani kao PFS događaji. Ova analiza pružila je konzervativnu procjenu terapijskog efekta sunitiniba i podržala je primarnu analizu, pokazujući hazard ratio od 0,507 (95% CI: 0,350; 0,733), p= 0,000193. Pivotalna pNET studija prijevremeno je prekinuta po preporuci nezavisne Komisije za praćenje lijeka, a primarni </w:t>
      </w:r>
      <w:r>
        <w:rPr>
          <w:rFonts w:ascii="Microsoft Sans Serif" w:hAnsi="Microsoft Sans Serif" w:cs="Microsoft Sans Serif"/>
          <w:sz w:val="20"/>
          <w:szCs w:val="20"/>
          <w:lang w:val="sr-Cyrl-RS"/>
        </w:rPr>
        <w:t>parametar praćenj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ishoda</w:t>
      </w:r>
      <w:r>
        <w:rPr>
          <w:rFonts w:ascii="Microsoft Sans Serif" w:hAnsi="Microsoft Sans Serif" w:cs="Microsoft Sans Serif"/>
          <w:sz w:val="20"/>
          <w:szCs w:val="20"/>
        </w:rPr>
        <w:t xml:space="preserve"> je zasnovan na procjeni istraživača i oba su mogla da utiču na procjenu terapijskog efekta.</w:t>
      </w:r>
    </w:p>
    <w:p w14:paraId="18B8F9DA">
      <w:pPr>
        <w:rPr>
          <w:rFonts w:ascii="Microsoft Sans Serif" w:hAnsi="Microsoft Sans Serif" w:cs="Microsoft Sans Serif"/>
          <w:sz w:val="20"/>
          <w:szCs w:val="20"/>
        </w:rPr>
      </w:pPr>
    </w:p>
    <w:p w14:paraId="42E2DFDF">
      <w:pPr>
        <w:rPr>
          <w:rFonts w:ascii="Microsoft Sans Serif" w:hAnsi="Microsoft Sans Serif" w:cs="Microsoft Sans Serif"/>
          <w:sz w:val="20"/>
          <w:szCs w:val="20"/>
        </w:rPr>
      </w:pPr>
      <w:r>
        <w:rPr>
          <w:rFonts w:ascii="Microsoft Sans Serif" w:hAnsi="Microsoft Sans Serif" w:cs="Microsoft Sans Serif"/>
          <w:sz w:val="20"/>
          <w:szCs w:val="20"/>
        </w:rPr>
        <w:t>Da bi se isklјučila pristrasnost u procjeni PFS od strane istraživača, sproveden je slijep, nezavisan, centralni pregled snimaka. Taj pregled je podržao procjene istraživača, kao što je prikazano u Tabeli 4.</w:t>
      </w:r>
    </w:p>
    <w:p w14:paraId="7149CBAA">
      <w:pPr>
        <w:rPr>
          <w:rFonts w:ascii="Microsoft Sans Serif" w:hAnsi="Microsoft Sans Serif" w:cs="Microsoft Sans Serif"/>
          <w:b/>
          <w:sz w:val="20"/>
          <w:szCs w:val="20"/>
        </w:rPr>
      </w:pPr>
    </w:p>
    <w:p w14:paraId="5A9D77CF">
      <w:pPr>
        <w:rPr>
          <w:rFonts w:ascii="Microsoft Sans Serif" w:hAnsi="Microsoft Sans Serif" w:cs="Microsoft Sans Serif"/>
          <w:b/>
          <w:sz w:val="20"/>
          <w:szCs w:val="20"/>
        </w:rPr>
      </w:pPr>
      <w:r>
        <w:rPr>
          <w:rFonts w:ascii="Microsoft Sans Serif" w:hAnsi="Microsoft Sans Serif" w:cs="Microsoft Sans Serif"/>
          <w:b/>
          <w:sz w:val="20"/>
          <w:szCs w:val="20"/>
        </w:rPr>
        <w:t>Tabela 4 - Rezultati u pogledu efikasnosti iz pNET studije faze 3</w:t>
      </w:r>
    </w:p>
    <w:tbl>
      <w:tblPr>
        <w:tblStyle w:val="7"/>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0"/>
        <w:gridCol w:w="1449"/>
        <w:gridCol w:w="1447"/>
        <w:gridCol w:w="1426"/>
        <w:gridCol w:w="1423"/>
      </w:tblGrid>
      <w:tr w14:paraId="00A59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317" w:type="dxa"/>
          </w:tcPr>
          <w:p w14:paraId="660A17CA">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Parametar efikasnosti</w:t>
            </w:r>
          </w:p>
        </w:tc>
        <w:tc>
          <w:tcPr>
            <w:tcW w:w="1449" w:type="dxa"/>
          </w:tcPr>
          <w:p w14:paraId="2C3F8730">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Sunitinib  (N = 86)</w:t>
            </w:r>
          </w:p>
        </w:tc>
        <w:tc>
          <w:tcPr>
            <w:tcW w:w="1447" w:type="dxa"/>
          </w:tcPr>
          <w:p w14:paraId="1C31F802">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Placebo</w:t>
            </w:r>
            <w:r>
              <w:rPr>
                <w:rFonts w:ascii="Microsoft Sans Serif" w:hAnsi="Microsoft Sans Serif" w:cs="Microsoft Sans Serif"/>
                <w:b/>
                <w:sz w:val="20"/>
                <w:szCs w:val="20"/>
              </w:rPr>
              <w:t xml:space="preserve"> (N = 85)</w:t>
            </w:r>
          </w:p>
        </w:tc>
        <w:tc>
          <w:tcPr>
            <w:tcW w:w="1426" w:type="dxa"/>
          </w:tcPr>
          <w:p w14:paraId="440427B6">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Hazard Ratio (95% CI)</w:t>
            </w:r>
          </w:p>
        </w:tc>
        <w:tc>
          <w:tcPr>
            <w:tcW w:w="1423" w:type="dxa"/>
          </w:tcPr>
          <w:p w14:paraId="6E7459CA">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p-vrijednost</w:t>
            </w:r>
          </w:p>
        </w:tc>
      </w:tr>
      <w:tr w14:paraId="1312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3570" w:type="dxa"/>
          </w:tcPr>
          <w:p w14:paraId="6ABB2E9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Preživlјavanje bez progresije</w:t>
            </w:r>
            <w:r>
              <w:rPr>
                <w:rFonts w:ascii="Microsoft Sans Serif" w:hAnsi="Microsoft Sans Serif" w:cs="Microsoft Sans Serif"/>
                <w:sz w:val="20"/>
                <w:szCs w:val="20"/>
              </w:rPr>
              <w:t xml:space="preserve">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mjeseci (95% CI)] </w:t>
            </w:r>
            <w:r>
              <w:rPr>
                <w:rFonts w:ascii="Microsoft Sans Serif" w:hAnsi="Microsoft Sans Serif" w:cs="Microsoft Sans Serif"/>
                <w:sz w:val="20"/>
                <w:szCs w:val="20"/>
                <w:lang w:val="sr-Cyrl-RS"/>
              </w:rPr>
              <w:t>prema procjeni</w:t>
            </w:r>
            <w:r>
              <w:rPr>
                <w:rFonts w:ascii="Microsoft Sans Serif" w:hAnsi="Microsoft Sans Serif" w:cs="Microsoft Sans Serif"/>
                <w:sz w:val="20"/>
                <w:szCs w:val="20"/>
              </w:rPr>
              <w:t xml:space="preserve"> istraživača</w:t>
            </w:r>
          </w:p>
        </w:tc>
        <w:tc>
          <w:tcPr>
            <w:tcW w:w="1449" w:type="dxa"/>
          </w:tcPr>
          <w:p w14:paraId="29F7228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p w14:paraId="08F4B23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tc>
        <w:tc>
          <w:tcPr>
            <w:tcW w:w="1447" w:type="dxa"/>
          </w:tcPr>
          <w:p w14:paraId="2E66D18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w:t>
            </w:r>
          </w:p>
          <w:p w14:paraId="3980520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426" w:type="dxa"/>
          </w:tcPr>
          <w:p w14:paraId="0AD79C4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418</w:t>
            </w:r>
          </w:p>
          <w:p w14:paraId="0C9413F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263, 0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662)</w:t>
            </w:r>
          </w:p>
        </w:tc>
        <w:tc>
          <w:tcPr>
            <w:tcW w:w="1423" w:type="dxa"/>
          </w:tcPr>
          <w:p w14:paraId="27CD892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0001</w:t>
            </w:r>
            <w:r>
              <w:rPr>
                <w:rFonts w:ascii="Microsoft Sans Serif" w:hAnsi="Microsoft Sans Serif" w:cs="Microsoft Sans Serif"/>
                <w:sz w:val="20"/>
                <w:szCs w:val="20"/>
                <w:vertAlign w:val="superscript"/>
              </w:rPr>
              <w:t>a</w:t>
            </w:r>
          </w:p>
        </w:tc>
      </w:tr>
      <w:tr w14:paraId="3BD79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3570" w:type="dxa"/>
          </w:tcPr>
          <w:p w14:paraId="3F4145D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Preživlјavanje bez progresije</w:t>
            </w:r>
            <w:r>
              <w:rPr>
                <w:rFonts w:ascii="Microsoft Sans Serif" w:hAnsi="Microsoft Sans Serif" w:cs="Microsoft Sans Serif"/>
                <w:sz w:val="20"/>
                <w:szCs w:val="20"/>
              </w:rPr>
              <w:t xml:space="preserve">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mjeseci (95% CI)] na 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izvedene procjene odgovora tumora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zasnovane na primjeni RECIST na mjerenja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tumora od strane istraživača</w:t>
            </w:r>
          </w:p>
        </w:tc>
        <w:tc>
          <w:tcPr>
            <w:tcW w:w="1449" w:type="dxa"/>
          </w:tcPr>
          <w:p w14:paraId="46202CC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p w14:paraId="5B63B86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1447" w:type="dxa"/>
          </w:tcPr>
          <w:p w14:paraId="1BA6DC0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p w14:paraId="6B54D03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426" w:type="dxa"/>
          </w:tcPr>
          <w:p w14:paraId="2FC5951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401</w:t>
            </w:r>
          </w:p>
          <w:p w14:paraId="49F67B8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252, 0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640)</w:t>
            </w:r>
          </w:p>
        </w:tc>
        <w:tc>
          <w:tcPr>
            <w:tcW w:w="1423" w:type="dxa"/>
          </w:tcPr>
          <w:p w14:paraId="0FEE163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000066</w:t>
            </w:r>
            <w:r>
              <w:rPr>
                <w:rFonts w:ascii="Microsoft Sans Serif" w:hAnsi="Microsoft Sans Serif" w:cs="Microsoft Sans Serif"/>
                <w:sz w:val="20"/>
                <w:szCs w:val="20"/>
                <w:vertAlign w:val="superscript"/>
              </w:rPr>
              <w:t>a</w:t>
            </w:r>
          </w:p>
        </w:tc>
      </w:tr>
      <w:tr w14:paraId="3BB7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3570" w:type="dxa"/>
          </w:tcPr>
          <w:p w14:paraId="5907C92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Preživlјavanje bez progresije</w:t>
            </w:r>
            <w:r>
              <w:rPr>
                <w:rFonts w:ascii="Microsoft Sans Serif" w:hAnsi="Microsoft Sans Serif" w:cs="Microsoft Sans Serif"/>
                <w:sz w:val="20"/>
                <w:szCs w:val="20"/>
              </w:rPr>
              <w:t xml:space="preserve">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mjeseci (95% CI)] na 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slijepog, nezavisnog, centralnog pregleda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procjene tumora</w:t>
            </w:r>
          </w:p>
        </w:tc>
        <w:tc>
          <w:tcPr>
            <w:tcW w:w="1449" w:type="dxa"/>
          </w:tcPr>
          <w:p w14:paraId="1ABCEDD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p w14:paraId="5CFDBAB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1, 20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1447" w:type="dxa"/>
          </w:tcPr>
          <w:p w14:paraId="0CF17F6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p w14:paraId="27B1B31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8, 7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w:t>
            </w:r>
          </w:p>
        </w:tc>
        <w:tc>
          <w:tcPr>
            <w:tcW w:w="1426" w:type="dxa"/>
          </w:tcPr>
          <w:p w14:paraId="672F576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315</w:t>
            </w:r>
          </w:p>
          <w:p w14:paraId="1E3A296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181, 0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546)</w:t>
            </w:r>
          </w:p>
        </w:tc>
        <w:tc>
          <w:tcPr>
            <w:tcW w:w="1423" w:type="dxa"/>
          </w:tcPr>
          <w:p w14:paraId="3851F88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000015</w:t>
            </w:r>
            <w:r>
              <w:rPr>
                <w:rFonts w:ascii="Microsoft Sans Serif" w:hAnsi="Microsoft Sans Serif" w:cs="Microsoft Sans Serif"/>
                <w:sz w:val="20"/>
                <w:szCs w:val="20"/>
                <w:vertAlign w:val="superscript"/>
              </w:rPr>
              <w:t>a</w:t>
            </w:r>
          </w:p>
        </w:tc>
      </w:tr>
      <w:tr w14:paraId="005D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570" w:type="dxa"/>
          </w:tcPr>
          <w:p w14:paraId="0076A0B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Ukupno preživlјavanje</w:t>
            </w:r>
            <w:r>
              <w:rPr>
                <w:rFonts w:ascii="Microsoft Sans Serif" w:hAnsi="Microsoft Sans Serif" w:cs="Microsoft Sans Serif"/>
                <w:sz w:val="20"/>
                <w:szCs w:val="20"/>
              </w:rPr>
              <w:t xml:space="preserve"> [nakon 5 godina praćenja]</w:t>
            </w:r>
          </w:p>
          <w:p w14:paraId="61FF8CA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[medijana, mjeseci (95% CI)]</w:t>
            </w:r>
          </w:p>
        </w:tc>
        <w:tc>
          <w:tcPr>
            <w:tcW w:w="1449" w:type="dxa"/>
          </w:tcPr>
          <w:p w14:paraId="23C3C12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p w14:paraId="27D5DC5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6, 56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447" w:type="dxa"/>
          </w:tcPr>
          <w:p w14:paraId="5272FA6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p w14:paraId="1FFC2FF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4, 36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tc>
        <w:tc>
          <w:tcPr>
            <w:tcW w:w="1426" w:type="dxa"/>
          </w:tcPr>
          <w:p w14:paraId="28C99AB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730</w:t>
            </w:r>
          </w:p>
          <w:p w14:paraId="5941DD0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504, 1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057)</w:t>
            </w:r>
          </w:p>
        </w:tc>
        <w:tc>
          <w:tcPr>
            <w:tcW w:w="1423" w:type="dxa"/>
          </w:tcPr>
          <w:p w14:paraId="4EC8973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0940</w:t>
            </w:r>
            <w:r>
              <w:rPr>
                <w:rFonts w:ascii="Microsoft Sans Serif" w:hAnsi="Microsoft Sans Serif" w:cs="Microsoft Sans Serif"/>
                <w:sz w:val="20"/>
                <w:szCs w:val="20"/>
                <w:vertAlign w:val="superscript"/>
              </w:rPr>
              <w:t>a</w:t>
            </w:r>
          </w:p>
        </w:tc>
      </w:tr>
      <w:tr w14:paraId="4F199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570" w:type="dxa"/>
          </w:tcPr>
          <w:p w14:paraId="1D4202E2">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Stopa objektivnog odgovora</w:t>
            </w:r>
          </w:p>
          <w:p w14:paraId="08756CB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 (95% CI)]</w:t>
            </w:r>
          </w:p>
        </w:tc>
        <w:tc>
          <w:tcPr>
            <w:tcW w:w="1449" w:type="dxa"/>
          </w:tcPr>
          <w:p w14:paraId="1BD7D3A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p w14:paraId="41DFE2E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2, 15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447" w:type="dxa"/>
          </w:tcPr>
          <w:p w14:paraId="45113A1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p>
        </w:tc>
        <w:tc>
          <w:tcPr>
            <w:tcW w:w="1426" w:type="dxa"/>
          </w:tcPr>
          <w:p w14:paraId="40EF8E8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w:t>
            </w:r>
          </w:p>
        </w:tc>
        <w:tc>
          <w:tcPr>
            <w:tcW w:w="1423" w:type="dxa"/>
          </w:tcPr>
          <w:p w14:paraId="413CA88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0066</w:t>
            </w:r>
            <w:r>
              <w:rPr>
                <w:rFonts w:ascii="Microsoft Sans Serif" w:hAnsi="Microsoft Sans Serif" w:cs="Microsoft Sans Serif"/>
                <w:sz w:val="20"/>
                <w:szCs w:val="20"/>
                <w:vertAlign w:val="superscript"/>
              </w:rPr>
              <w:t>b</w:t>
            </w:r>
          </w:p>
        </w:tc>
      </w:tr>
    </w:tbl>
    <w:p w14:paraId="2482BA37">
      <w:pPr>
        <w:rPr>
          <w:rFonts w:ascii="Microsoft Sans Serif" w:hAnsi="Microsoft Sans Serif" w:cs="Microsoft Sans Serif"/>
          <w:sz w:val="20"/>
          <w:szCs w:val="20"/>
        </w:rPr>
      </w:pPr>
      <w:r>
        <w:rPr>
          <w:rFonts w:ascii="Microsoft Sans Serif" w:hAnsi="Microsoft Sans Serif" w:cs="Microsoft Sans Serif"/>
          <w:sz w:val="20"/>
          <w:szCs w:val="20"/>
        </w:rPr>
        <w:t xml:space="preserve">Skraćenice: CI=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N= broj pacijenata; NA= nije primjenjivo (engl. </w:t>
      </w:r>
      <w:r>
        <w:rPr>
          <w:rFonts w:ascii="Microsoft Sans Serif" w:hAnsi="Microsoft Sans Serif" w:cs="Microsoft Sans Serif"/>
          <w:i/>
          <w:sz w:val="20"/>
          <w:szCs w:val="20"/>
        </w:rPr>
        <w:t>not applicable</w:t>
      </w:r>
      <w:r>
        <w:rPr>
          <w:rFonts w:ascii="Microsoft Sans Serif" w:hAnsi="Microsoft Sans Serif" w:cs="Microsoft Sans Serif"/>
          <w:sz w:val="20"/>
          <w:szCs w:val="20"/>
        </w:rPr>
        <w:t xml:space="preserve">); pNET= neuroendokrini tumori pankreasa (engl. </w:t>
      </w:r>
      <w:r>
        <w:rPr>
          <w:rFonts w:ascii="Microsoft Sans Serif" w:hAnsi="Microsoft Sans Serif" w:cs="Microsoft Sans Serif"/>
          <w:i/>
          <w:sz w:val="20"/>
          <w:szCs w:val="20"/>
        </w:rPr>
        <w:t>pancreatic neuroendocrine tumours</w:t>
      </w:r>
      <w:r>
        <w:rPr>
          <w:rFonts w:ascii="Microsoft Sans Serif" w:hAnsi="Microsoft Sans Serif" w:cs="Microsoft Sans Serif"/>
          <w:sz w:val="20"/>
          <w:szCs w:val="20"/>
        </w:rPr>
        <w:t>); RECIST=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kriterijumima za procenu odgovora solidnih tumora (RECIST – (engl. </w:t>
      </w:r>
      <w:r>
        <w:rPr>
          <w:rFonts w:ascii="Microsoft Sans Serif" w:hAnsi="Microsoft Sans Serif" w:cs="Microsoft Sans Serif"/>
          <w:i/>
          <w:sz w:val="20"/>
          <w:szCs w:val="20"/>
        </w:rPr>
        <w:t>response evaluation criteria in solid tumours</w:t>
      </w:r>
      <w:r>
        <w:rPr>
          <w:rFonts w:ascii="Microsoft Sans Serif" w:hAnsi="Microsoft Sans Serif" w:cs="Microsoft Sans Serif"/>
          <w:sz w:val="20"/>
          <w:szCs w:val="20"/>
        </w:rPr>
        <w:t>).</w:t>
      </w:r>
    </w:p>
    <w:p w14:paraId="462EA061">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dvostrani nestratifikovani log-rank test</w:t>
      </w:r>
    </w:p>
    <w:p w14:paraId="6ADDCE88">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Fišerov</w:t>
      </w:r>
      <w:r>
        <w:rPr>
          <w:rFonts w:ascii="Microsoft Sans Serif" w:hAnsi="Microsoft Sans Serif" w:cs="Microsoft Sans Serif"/>
          <w:sz w:val="20"/>
          <w:szCs w:val="20"/>
          <w:lang w:val="sr-Cyrl-RS"/>
        </w:rPr>
        <w:t xml:space="preserve"> tačan</w:t>
      </w:r>
      <w:r>
        <w:rPr>
          <w:rFonts w:ascii="Microsoft Sans Serif" w:hAnsi="Microsoft Sans Serif" w:cs="Microsoft Sans Serif"/>
          <w:sz w:val="20"/>
          <w:szCs w:val="20"/>
        </w:rPr>
        <w:t xml:space="preserve"> test</w:t>
      </w:r>
    </w:p>
    <w:p w14:paraId="4352C9DC">
      <w:pPr>
        <w:rPr>
          <w:rFonts w:ascii="Microsoft Sans Serif" w:hAnsi="Microsoft Sans Serif" w:cs="Microsoft Sans Serif"/>
          <w:sz w:val="20"/>
          <w:szCs w:val="20"/>
        </w:rPr>
      </w:pPr>
    </w:p>
    <w:p w14:paraId="37F7B6A2">
      <w:pPr>
        <w:rPr>
          <w:rFonts w:ascii="Microsoft Sans Serif" w:hAnsi="Microsoft Sans Serif" w:cs="Microsoft Sans Serif"/>
          <w:b/>
          <w:sz w:val="20"/>
          <w:szCs w:val="20"/>
        </w:rPr>
      </w:pPr>
      <w:r>
        <w:rPr>
          <w:rFonts w:ascii="Microsoft Sans Serif" w:hAnsi="Microsoft Sans Serif" w:cs="Microsoft Sans Serif"/>
          <w:b/>
          <w:sz w:val="20"/>
          <w:szCs w:val="20"/>
        </w:rPr>
        <w:t>Slika 1 - Kaplan-Majerova kriva PFS u pNET studiji faze 3</w:t>
      </w:r>
    </w:p>
    <w:p w14:paraId="5C561212">
      <w:pPr>
        <w:rPr>
          <w:rFonts w:ascii="Microsoft Sans Serif" w:hAnsi="Microsoft Sans Serif" w:cs="Microsoft Sans Serif"/>
          <w:b/>
          <w:sz w:val="20"/>
          <w:szCs w:val="20"/>
        </w:rPr>
      </w:pPr>
    </w:p>
    <w:p w14:paraId="1D767B04">
      <w:pPr>
        <w:tabs>
          <w:tab w:val="left" w:pos="802"/>
          <w:tab w:val="clear" w:pos="284"/>
        </w:tabs>
        <w:rPr>
          <w:rFonts w:ascii="Microsoft Sans Serif" w:hAnsi="Microsoft Sans Serif" w:cs="Microsoft Sans Serif"/>
          <w:sz w:val="20"/>
          <w:szCs w:val="20"/>
        </w:rPr>
      </w:pPr>
      <w:r>
        <mc:AlternateContent>
          <mc:Choice Requires="wpg">
            <w:drawing>
              <wp:anchor distT="0" distB="0" distL="114300" distR="114300" simplePos="0" relativeHeight="251661312" behindDoc="0" locked="0" layoutInCell="1" allowOverlap="1">
                <wp:simplePos x="0" y="0"/>
                <wp:positionH relativeFrom="page">
                  <wp:posOffset>1492250</wp:posOffset>
                </wp:positionH>
                <wp:positionV relativeFrom="paragraph">
                  <wp:posOffset>23495</wp:posOffset>
                </wp:positionV>
                <wp:extent cx="4726305" cy="3079750"/>
                <wp:effectExtent l="0" t="0" r="17145" b="26035"/>
                <wp:wrapNone/>
                <wp:docPr id="4" name="Group 232"/>
                <wp:cNvGraphicFramePr/>
                <a:graphic xmlns:a="http://schemas.openxmlformats.org/drawingml/2006/main">
                  <a:graphicData uri="http://schemas.microsoft.com/office/word/2010/wordprocessingGroup">
                    <wpg:wgp>
                      <wpg:cNvGrpSpPr/>
                      <wpg:grpSpPr>
                        <a:xfrm>
                          <a:off x="0" y="0"/>
                          <a:ext cx="4726497" cy="3079630"/>
                          <a:chOff x="2789" y="31"/>
                          <a:chExt cx="5778" cy="3839"/>
                        </a:xfrm>
                      </wpg:grpSpPr>
                      <wps:wsp>
                        <wps:cNvPr id="5" name="Rectangle 284"/>
                        <wps:cNvSpPr>
                          <a:spLocks noChangeArrowheads="1"/>
                        </wps:cNvSpPr>
                        <wps:spPr bwMode="auto">
                          <a:xfrm>
                            <a:off x="2864" y="3785"/>
                            <a:ext cx="5694" cy="15"/>
                          </a:xfrm>
                          <a:prstGeom prst="rect">
                            <a:avLst/>
                          </a:prstGeom>
                          <a:solidFill>
                            <a:srgbClr val="000000"/>
                          </a:solidFill>
                          <a:ln>
                            <a:noFill/>
                          </a:ln>
                        </wps:spPr>
                        <wps:bodyPr rot="0" vert="horz" wrap="square" lIns="91440" tIns="45720" rIns="91440" bIns="45720" anchor="t" anchorCtr="0" upright="1">
                          <a:noAutofit/>
                        </wps:bodyPr>
                      </wps:wsp>
                      <wps:wsp>
                        <wps:cNvPr id="6" name="Line 283"/>
                        <wps:cNvCnPr>
                          <a:cxnSpLocks noChangeShapeType="1"/>
                        </wps:cNvCnPr>
                        <wps:spPr bwMode="auto">
                          <a:xfrm>
                            <a:off x="8567" y="3800"/>
                            <a:ext cx="0" cy="4"/>
                          </a:xfrm>
                          <a:prstGeom prst="line">
                            <a:avLst/>
                          </a:prstGeom>
                          <a:noFill/>
                          <a:ln w="951">
                            <a:solidFill>
                              <a:srgbClr val="000000"/>
                            </a:solidFill>
                            <a:round/>
                          </a:ln>
                        </wps:spPr>
                        <wps:bodyPr/>
                      </wps:wsp>
                      <wps:wsp>
                        <wps:cNvPr id="7" name="Line 282"/>
                        <wps:cNvCnPr>
                          <a:cxnSpLocks noChangeShapeType="1"/>
                        </wps:cNvCnPr>
                        <wps:spPr bwMode="auto">
                          <a:xfrm>
                            <a:off x="2865" y="3870"/>
                            <a:ext cx="0" cy="0"/>
                          </a:xfrm>
                          <a:prstGeom prst="line">
                            <a:avLst/>
                          </a:prstGeom>
                          <a:noFill/>
                          <a:ln w="2833">
                            <a:solidFill>
                              <a:srgbClr val="000000"/>
                            </a:solidFill>
                            <a:round/>
                          </a:ln>
                        </wps:spPr>
                        <wps:bodyPr/>
                      </wps:wsp>
                      <wps:wsp>
                        <wps:cNvPr id="8" name="Line 281"/>
                        <wps:cNvCnPr>
                          <a:cxnSpLocks noChangeShapeType="1"/>
                        </wps:cNvCnPr>
                        <wps:spPr bwMode="auto">
                          <a:xfrm>
                            <a:off x="2874" y="3800"/>
                            <a:ext cx="0" cy="4"/>
                          </a:xfrm>
                          <a:prstGeom prst="line">
                            <a:avLst/>
                          </a:prstGeom>
                          <a:noFill/>
                          <a:ln w="951">
                            <a:solidFill>
                              <a:srgbClr val="000000"/>
                            </a:solidFill>
                            <a:round/>
                          </a:ln>
                        </wps:spPr>
                        <wps:bodyPr/>
                      </wps:wsp>
                      <wps:wsp>
                        <wps:cNvPr id="9" name="Line 280"/>
                        <wps:cNvCnPr>
                          <a:cxnSpLocks noChangeShapeType="1"/>
                        </wps:cNvCnPr>
                        <wps:spPr bwMode="auto">
                          <a:xfrm>
                            <a:off x="3641" y="3870"/>
                            <a:ext cx="0" cy="0"/>
                          </a:xfrm>
                          <a:prstGeom prst="line">
                            <a:avLst/>
                          </a:prstGeom>
                          <a:noFill/>
                          <a:ln w="2833">
                            <a:solidFill>
                              <a:srgbClr val="000000"/>
                            </a:solidFill>
                            <a:round/>
                          </a:ln>
                        </wps:spPr>
                        <wps:bodyPr/>
                      </wps:wsp>
                      <wps:wsp>
                        <wps:cNvPr id="10" name="Line 279"/>
                        <wps:cNvCnPr>
                          <a:cxnSpLocks noChangeShapeType="1"/>
                        </wps:cNvCnPr>
                        <wps:spPr bwMode="auto">
                          <a:xfrm>
                            <a:off x="3650" y="3800"/>
                            <a:ext cx="0" cy="4"/>
                          </a:xfrm>
                          <a:prstGeom prst="line">
                            <a:avLst/>
                          </a:prstGeom>
                          <a:noFill/>
                          <a:ln w="951">
                            <a:solidFill>
                              <a:srgbClr val="000000"/>
                            </a:solidFill>
                            <a:round/>
                          </a:ln>
                        </wps:spPr>
                        <wps:bodyPr/>
                      </wps:wsp>
                      <wps:wsp>
                        <wps:cNvPr id="11" name="Line 278"/>
                        <wps:cNvCnPr>
                          <a:cxnSpLocks noChangeShapeType="1"/>
                        </wps:cNvCnPr>
                        <wps:spPr bwMode="auto">
                          <a:xfrm>
                            <a:off x="4417" y="3870"/>
                            <a:ext cx="0" cy="0"/>
                          </a:xfrm>
                          <a:prstGeom prst="line">
                            <a:avLst/>
                          </a:prstGeom>
                          <a:noFill/>
                          <a:ln w="2833">
                            <a:solidFill>
                              <a:srgbClr val="000000"/>
                            </a:solidFill>
                            <a:round/>
                          </a:ln>
                        </wps:spPr>
                        <wps:bodyPr/>
                      </wps:wsp>
                      <wps:wsp>
                        <wps:cNvPr id="12" name="Line 277"/>
                        <wps:cNvCnPr>
                          <a:cxnSpLocks noChangeShapeType="1"/>
                        </wps:cNvCnPr>
                        <wps:spPr bwMode="auto">
                          <a:xfrm>
                            <a:off x="4425" y="3802"/>
                            <a:ext cx="3" cy="0"/>
                          </a:xfrm>
                          <a:prstGeom prst="line">
                            <a:avLst/>
                          </a:prstGeom>
                          <a:noFill/>
                          <a:ln w="2655">
                            <a:solidFill>
                              <a:srgbClr val="000000"/>
                            </a:solidFill>
                            <a:round/>
                          </a:ln>
                        </wps:spPr>
                        <wps:bodyPr/>
                      </wps:wsp>
                      <wps:wsp>
                        <wps:cNvPr id="13" name="Line 276"/>
                        <wps:cNvCnPr>
                          <a:cxnSpLocks noChangeShapeType="1"/>
                        </wps:cNvCnPr>
                        <wps:spPr bwMode="auto">
                          <a:xfrm>
                            <a:off x="5194" y="3870"/>
                            <a:ext cx="0" cy="0"/>
                          </a:xfrm>
                          <a:prstGeom prst="line">
                            <a:avLst/>
                          </a:prstGeom>
                          <a:noFill/>
                          <a:ln w="2833">
                            <a:solidFill>
                              <a:srgbClr val="000000"/>
                            </a:solidFill>
                            <a:round/>
                          </a:ln>
                        </wps:spPr>
                        <wps:bodyPr/>
                      </wps:wsp>
                      <wps:wsp>
                        <wps:cNvPr id="14" name="Line 275"/>
                        <wps:cNvCnPr>
                          <a:cxnSpLocks noChangeShapeType="1"/>
                        </wps:cNvCnPr>
                        <wps:spPr bwMode="auto">
                          <a:xfrm>
                            <a:off x="5202" y="3802"/>
                            <a:ext cx="2" cy="0"/>
                          </a:xfrm>
                          <a:prstGeom prst="line">
                            <a:avLst/>
                          </a:prstGeom>
                          <a:noFill/>
                          <a:ln w="2655">
                            <a:solidFill>
                              <a:srgbClr val="000000"/>
                            </a:solidFill>
                            <a:round/>
                          </a:ln>
                        </wps:spPr>
                        <wps:bodyPr/>
                      </wps:wsp>
                      <wps:wsp>
                        <wps:cNvPr id="15" name="Line 274"/>
                        <wps:cNvCnPr>
                          <a:cxnSpLocks noChangeShapeType="1"/>
                        </wps:cNvCnPr>
                        <wps:spPr bwMode="auto">
                          <a:xfrm>
                            <a:off x="5970" y="3870"/>
                            <a:ext cx="0" cy="0"/>
                          </a:xfrm>
                          <a:prstGeom prst="line">
                            <a:avLst/>
                          </a:prstGeom>
                          <a:noFill/>
                          <a:ln w="2833">
                            <a:solidFill>
                              <a:srgbClr val="000000"/>
                            </a:solidFill>
                            <a:round/>
                          </a:ln>
                        </wps:spPr>
                        <wps:bodyPr/>
                      </wps:wsp>
                      <wps:wsp>
                        <wps:cNvPr id="16" name="Line 273"/>
                        <wps:cNvCnPr>
                          <a:cxnSpLocks noChangeShapeType="1"/>
                        </wps:cNvCnPr>
                        <wps:spPr bwMode="auto">
                          <a:xfrm>
                            <a:off x="5979" y="3800"/>
                            <a:ext cx="0" cy="4"/>
                          </a:xfrm>
                          <a:prstGeom prst="line">
                            <a:avLst/>
                          </a:prstGeom>
                          <a:noFill/>
                          <a:ln w="951">
                            <a:solidFill>
                              <a:srgbClr val="000000"/>
                            </a:solidFill>
                            <a:round/>
                          </a:ln>
                        </wps:spPr>
                        <wps:bodyPr/>
                      </wps:wsp>
                      <wps:wsp>
                        <wps:cNvPr id="17" name="Line 272"/>
                        <wps:cNvCnPr>
                          <a:cxnSpLocks noChangeShapeType="1"/>
                        </wps:cNvCnPr>
                        <wps:spPr bwMode="auto">
                          <a:xfrm>
                            <a:off x="6746" y="3870"/>
                            <a:ext cx="0" cy="0"/>
                          </a:xfrm>
                          <a:prstGeom prst="line">
                            <a:avLst/>
                          </a:prstGeom>
                          <a:noFill/>
                          <a:ln w="2833">
                            <a:solidFill>
                              <a:srgbClr val="000000"/>
                            </a:solidFill>
                            <a:round/>
                          </a:ln>
                        </wps:spPr>
                        <wps:bodyPr/>
                      </wps:wsp>
                      <wps:wsp>
                        <wps:cNvPr id="18" name="Line 271"/>
                        <wps:cNvCnPr>
                          <a:cxnSpLocks noChangeShapeType="1"/>
                        </wps:cNvCnPr>
                        <wps:spPr bwMode="auto">
                          <a:xfrm>
                            <a:off x="6755" y="3800"/>
                            <a:ext cx="0" cy="4"/>
                          </a:xfrm>
                          <a:prstGeom prst="line">
                            <a:avLst/>
                          </a:prstGeom>
                          <a:noFill/>
                          <a:ln w="951">
                            <a:solidFill>
                              <a:srgbClr val="000000"/>
                            </a:solidFill>
                            <a:round/>
                          </a:ln>
                        </wps:spPr>
                        <wps:bodyPr/>
                      </wps:wsp>
                      <wps:wsp>
                        <wps:cNvPr id="19" name="Line 270"/>
                        <wps:cNvCnPr>
                          <a:cxnSpLocks noChangeShapeType="1"/>
                        </wps:cNvCnPr>
                        <wps:spPr bwMode="auto">
                          <a:xfrm>
                            <a:off x="7523" y="3870"/>
                            <a:ext cx="0" cy="0"/>
                          </a:xfrm>
                          <a:prstGeom prst="line">
                            <a:avLst/>
                          </a:prstGeom>
                          <a:noFill/>
                          <a:ln w="2833">
                            <a:solidFill>
                              <a:srgbClr val="000000"/>
                            </a:solidFill>
                            <a:round/>
                          </a:ln>
                        </wps:spPr>
                        <wps:bodyPr/>
                      </wps:wsp>
                      <wps:wsp>
                        <wps:cNvPr id="20" name="Line 269"/>
                        <wps:cNvCnPr>
                          <a:cxnSpLocks noChangeShapeType="1"/>
                        </wps:cNvCnPr>
                        <wps:spPr bwMode="auto">
                          <a:xfrm>
                            <a:off x="7532" y="3800"/>
                            <a:ext cx="0" cy="4"/>
                          </a:xfrm>
                          <a:prstGeom prst="line">
                            <a:avLst/>
                          </a:prstGeom>
                          <a:noFill/>
                          <a:ln w="951">
                            <a:solidFill>
                              <a:srgbClr val="000000"/>
                            </a:solidFill>
                            <a:round/>
                          </a:ln>
                        </wps:spPr>
                        <wps:bodyPr/>
                      </wps:wsp>
                      <wps:wsp>
                        <wps:cNvPr id="21" name="Line 268"/>
                        <wps:cNvCnPr>
                          <a:cxnSpLocks noChangeShapeType="1"/>
                        </wps:cNvCnPr>
                        <wps:spPr bwMode="auto">
                          <a:xfrm>
                            <a:off x="8299" y="3870"/>
                            <a:ext cx="0" cy="0"/>
                          </a:xfrm>
                          <a:prstGeom prst="line">
                            <a:avLst/>
                          </a:prstGeom>
                          <a:noFill/>
                          <a:ln w="2833">
                            <a:solidFill>
                              <a:srgbClr val="000000"/>
                            </a:solidFill>
                            <a:round/>
                          </a:ln>
                        </wps:spPr>
                        <wps:bodyPr/>
                      </wps:wsp>
                      <wps:wsp>
                        <wps:cNvPr id="22" name="Line 267"/>
                        <wps:cNvCnPr>
                          <a:cxnSpLocks noChangeShapeType="1"/>
                        </wps:cNvCnPr>
                        <wps:spPr bwMode="auto">
                          <a:xfrm>
                            <a:off x="8308" y="3800"/>
                            <a:ext cx="0" cy="4"/>
                          </a:xfrm>
                          <a:prstGeom prst="line">
                            <a:avLst/>
                          </a:prstGeom>
                          <a:noFill/>
                          <a:ln w="951">
                            <a:solidFill>
                              <a:srgbClr val="000000"/>
                            </a:solidFill>
                            <a:round/>
                          </a:ln>
                        </wps:spPr>
                        <wps:bodyPr/>
                      </wps:wsp>
                      <wps:wsp>
                        <wps:cNvPr id="23" name="Rectangle 266"/>
                        <wps:cNvSpPr>
                          <a:spLocks noChangeArrowheads="1"/>
                        </wps:cNvSpPr>
                        <wps:spPr bwMode="auto">
                          <a:xfrm>
                            <a:off x="2858" y="31"/>
                            <a:ext cx="13" cy="3763"/>
                          </a:xfrm>
                          <a:prstGeom prst="rect">
                            <a:avLst/>
                          </a:prstGeom>
                          <a:solidFill>
                            <a:srgbClr val="000000"/>
                          </a:solidFill>
                          <a:ln>
                            <a:noFill/>
                          </a:ln>
                        </wps:spPr>
                        <wps:bodyPr rot="0" vert="horz" wrap="square" lIns="91440" tIns="45720" rIns="91440" bIns="45720" anchor="t" anchorCtr="0" upright="1">
                          <a:noAutofit/>
                        </wps:bodyPr>
                      </wps:wsp>
                      <wps:wsp>
                        <wps:cNvPr id="24" name="Line 265"/>
                        <wps:cNvCnPr>
                          <a:cxnSpLocks noChangeShapeType="1"/>
                        </wps:cNvCnPr>
                        <wps:spPr bwMode="auto">
                          <a:xfrm>
                            <a:off x="2874" y="37"/>
                            <a:ext cx="0" cy="4"/>
                          </a:xfrm>
                          <a:prstGeom prst="line">
                            <a:avLst/>
                          </a:prstGeom>
                          <a:noFill/>
                          <a:ln w="951">
                            <a:solidFill>
                              <a:srgbClr val="000000"/>
                            </a:solidFill>
                            <a:round/>
                          </a:ln>
                        </wps:spPr>
                        <wps:bodyPr/>
                      </wps:wsp>
                      <wps:wsp>
                        <wps:cNvPr id="25" name="Line 264"/>
                        <wps:cNvCnPr>
                          <a:cxnSpLocks noChangeShapeType="1"/>
                        </wps:cNvCnPr>
                        <wps:spPr bwMode="auto">
                          <a:xfrm>
                            <a:off x="2789" y="3655"/>
                            <a:ext cx="76" cy="0"/>
                          </a:xfrm>
                          <a:prstGeom prst="line">
                            <a:avLst/>
                          </a:prstGeom>
                          <a:noFill/>
                          <a:ln w="2825">
                            <a:solidFill>
                              <a:srgbClr val="000000"/>
                            </a:solidFill>
                            <a:round/>
                          </a:ln>
                        </wps:spPr>
                        <wps:bodyPr/>
                      </wps:wsp>
                      <wps:wsp>
                        <wps:cNvPr id="26" name="Line 263"/>
                        <wps:cNvCnPr>
                          <a:cxnSpLocks noChangeShapeType="1"/>
                        </wps:cNvCnPr>
                        <wps:spPr bwMode="auto">
                          <a:xfrm>
                            <a:off x="2874" y="3661"/>
                            <a:ext cx="0" cy="4"/>
                          </a:xfrm>
                          <a:prstGeom prst="line">
                            <a:avLst/>
                          </a:prstGeom>
                          <a:noFill/>
                          <a:ln w="951">
                            <a:solidFill>
                              <a:srgbClr val="000000"/>
                            </a:solidFill>
                            <a:round/>
                          </a:ln>
                        </wps:spPr>
                        <wps:bodyPr/>
                      </wps:wsp>
                      <wps:wsp>
                        <wps:cNvPr id="27" name="Line 262"/>
                        <wps:cNvCnPr>
                          <a:cxnSpLocks noChangeShapeType="1"/>
                        </wps:cNvCnPr>
                        <wps:spPr bwMode="auto">
                          <a:xfrm>
                            <a:off x="2789" y="3306"/>
                            <a:ext cx="76" cy="0"/>
                          </a:xfrm>
                          <a:prstGeom prst="line">
                            <a:avLst/>
                          </a:prstGeom>
                          <a:noFill/>
                          <a:ln w="2825">
                            <a:solidFill>
                              <a:srgbClr val="000000"/>
                            </a:solidFill>
                            <a:round/>
                          </a:ln>
                        </wps:spPr>
                        <wps:bodyPr/>
                      </wps:wsp>
                      <wps:wsp>
                        <wps:cNvPr id="28" name="Line 261"/>
                        <wps:cNvCnPr>
                          <a:cxnSpLocks noChangeShapeType="1"/>
                        </wps:cNvCnPr>
                        <wps:spPr bwMode="auto">
                          <a:xfrm>
                            <a:off x="2874" y="3312"/>
                            <a:ext cx="0" cy="4"/>
                          </a:xfrm>
                          <a:prstGeom prst="line">
                            <a:avLst/>
                          </a:prstGeom>
                          <a:noFill/>
                          <a:ln w="951">
                            <a:solidFill>
                              <a:srgbClr val="000000"/>
                            </a:solidFill>
                            <a:round/>
                          </a:ln>
                        </wps:spPr>
                        <wps:bodyPr/>
                      </wps:wsp>
                      <wps:wsp>
                        <wps:cNvPr id="29" name="Line 260"/>
                        <wps:cNvCnPr>
                          <a:cxnSpLocks noChangeShapeType="1"/>
                        </wps:cNvCnPr>
                        <wps:spPr bwMode="auto">
                          <a:xfrm>
                            <a:off x="2789" y="2958"/>
                            <a:ext cx="76" cy="0"/>
                          </a:xfrm>
                          <a:prstGeom prst="line">
                            <a:avLst/>
                          </a:prstGeom>
                          <a:noFill/>
                          <a:ln w="2825">
                            <a:solidFill>
                              <a:srgbClr val="000000"/>
                            </a:solidFill>
                            <a:round/>
                          </a:ln>
                        </wps:spPr>
                        <wps:bodyPr/>
                      </wps:wsp>
                      <wps:wsp>
                        <wps:cNvPr id="30" name="Line 259"/>
                        <wps:cNvCnPr>
                          <a:cxnSpLocks noChangeShapeType="1"/>
                        </wps:cNvCnPr>
                        <wps:spPr bwMode="auto">
                          <a:xfrm>
                            <a:off x="2874" y="2964"/>
                            <a:ext cx="0" cy="4"/>
                          </a:xfrm>
                          <a:prstGeom prst="line">
                            <a:avLst/>
                          </a:prstGeom>
                          <a:noFill/>
                          <a:ln w="951">
                            <a:solidFill>
                              <a:srgbClr val="000000"/>
                            </a:solidFill>
                            <a:round/>
                          </a:ln>
                        </wps:spPr>
                        <wps:bodyPr/>
                      </wps:wsp>
                      <wps:wsp>
                        <wps:cNvPr id="31" name="Line 258"/>
                        <wps:cNvCnPr>
                          <a:cxnSpLocks noChangeShapeType="1"/>
                        </wps:cNvCnPr>
                        <wps:spPr bwMode="auto">
                          <a:xfrm>
                            <a:off x="2789" y="2609"/>
                            <a:ext cx="76" cy="0"/>
                          </a:xfrm>
                          <a:prstGeom prst="line">
                            <a:avLst/>
                          </a:prstGeom>
                          <a:noFill/>
                          <a:ln w="2825">
                            <a:solidFill>
                              <a:srgbClr val="000000"/>
                            </a:solidFill>
                            <a:round/>
                          </a:ln>
                        </wps:spPr>
                        <wps:bodyPr/>
                      </wps:wsp>
                      <wps:wsp>
                        <wps:cNvPr id="32" name="Line 257"/>
                        <wps:cNvCnPr>
                          <a:cxnSpLocks noChangeShapeType="1"/>
                        </wps:cNvCnPr>
                        <wps:spPr bwMode="auto">
                          <a:xfrm>
                            <a:off x="2874" y="2615"/>
                            <a:ext cx="0" cy="4"/>
                          </a:xfrm>
                          <a:prstGeom prst="line">
                            <a:avLst/>
                          </a:prstGeom>
                          <a:noFill/>
                          <a:ln w="951">
                            <a:solidFill>
                              <a:srgbClr val="000000"/>
                            </a:solidFill>
                            <a:round/>
                          </a:ln>
                        </wps:spPr>
                        <wps:bodyPr/>
                      </wps:wsp>
                      <wps:wsp>
                        <wps:cNvPr id="33" name="Line 256"/>
                        <wps:cNvCnPr>
                          <a:cxnSpLocks noChangeShapeType="1"/>
                        </wps:cNvCnPr>
                        <wps:spPr bwMode="auto">
                          <a:xfrm>
                            <a:off x="2789" y="2260"/>
                            <a:ext cx="76" cy="0"/>
                          </a:xfrm>
                          <a:prstGeom prst="line">
                            <a:avLst/>
                          </a:prstGeom>
                          <a:noFill/>
                          <a:ln w="2825">
                            <a:solidFill>
                              <a:srgbClr val="000000"/>
                            </a:solidFill>
                            <a:round/>
                          </a:ln>
                        </wps:spPr>
                        <wps:bodyPr/>
                      </wps:wsp>
                      <wps:wsp>
                        <wps:cNvPr id="34" name="Line 255"/>
                        <wps:cNvCnPr>
                          <a:cxnSpLocks noChangeShapeType="1"/>
                        </wps:cNvCnPr>
                        <wps:spPr bwMode="auto">
                          <a:xfrm>
                            <a:off x="2874" y="2266"/>
                            <a:ext cx="0" cy="4"/>
                          </a:xfrm>
                          <a:prstGeom prst="line">
                            <a:avLst/>
                          </a:prstGeom>
                          <a:noFill/>
                          <a:ln w="951">
                            <a:solidFill>
                              <a:srgbClr val="000000"/>
                            </a:solidFill>
                            <a:round/>
                          </a:ln>
                        </wps:spPr>
                        <wps:bodyPr/>
                      </wps:wsp>
                      <wps:wsp>
                        <wps:cNvPr id="35" name="Line 254"/>
                        <wps:cNvCnPr>
                          <a:cxnSpLocks noChangeShapeType="1"/>
                        </wps:cNvCnPr>
                        <wps:spPr bwMode="auto">
                          <a:xfrm>
                            <a:off x="2789" y="1911"/>
                            <a:ext cx="76" cy="0"/>
                          </a:xfrm>
                          <a:prstGeom prst="line">
                            <a:avLst/>
                          </a:prstGeom>
                          <a:noFill/>
                          <a:ln w="2825">
                            <a:solidFill>
                              <a:srgbClr val="000000"/>
                            </a:solidFill>
                            <a:round/>
                          </a:ln>
                        </wps:spPr>
                        <wps:bodyPr/>
                      </wps:wsp>
                      <wps:wsp>
                        <wps:cNvPr id="36" name="Line 253"/>
                        <wps:cNvCnPr>
                          <a:cxnSpLocks noChangeShapeType="1"/>
                        </wps:cNvCnPr>
                        <wps:spPr bwMode="auto">
                          <a:xfrm>
                            <a:off x="2874" y="1918"/>
                            <a:ext cx="0" cy="4"/>
                          </a:xfrm>
                          <a:prstGeom prst="line">
                            <a:avLst/>
                          </a:prstGeom>
                          <a:noFill/>
                          <a:ln w="951">
                            <a:solidFill>
                              <a:srgbClr val="000000"/>
                            </a:solidFill>
                            <a:round/>
                          </a:ln>
                        </wps:spPr>
                        <wps:bodyPr/>
                      </wps:wsp>
                      <wps:wsp>
                        <wps:cNvPr id="37" name="Line 252"/>
                        <wps:cNvCnPr>
                          <a:cxnSpLocks noChangeShapeType="1"/>
                        </wps:cNvCnPr>
                        <wps:spPr bwMode="auto">
                          <a:xfrm>
                            <a:off x="2789" y="1565"/>
                            <a:ext cx="76" cy="0"/>
                          </a:xfrm>
                          <a:prstGeom prst="line">
                            <a:avLst/>
                          </a:prstGeom>
                          <a:noFill/>
                          <a:ln w="2825">
                            <a:solidFill>
                              <a:srgbClr val="000000"/>
                            </a:solidFill>
                            <a:round/>
                          </a:ln>
                        </wps:spPr>
                        <wps:bodyPr/>
                      </wps:wsp>
                      <wps:wsp>
                        <wps:cNvPr id="38" name="Line 251"/>
                        <wps:cNvCnPr>
                          <a:cxnSpLocks noChangeShapeType="1"/>
                        </wps:cNvCnPr>
                        <wps:spPr bwMode="auto">
                          <a:xfrm>
                            <a:off x="2874" y="1571"/>
                            <a:ext cx="0" cy="4"/>
                          </a:xfrm>
                          <a:prstGeom prst="line">
                            <a:avLst/>
                          </a:prstGeom>
                          <a:noFill/>
                          <a:ln w="951">
                            <a:solidFill>
                              <a:srgbClr val="000000"/>
                            </a:solidFill>
                            <a:round/>
                          </a:ln>
                        </wps:spPr>
                        <wps:bodyPr/>
                      </wps:wsp>
                      <wps:wsp>
                        <wps:cNvPr id="39" name="Line 250"/>
                        <wps:cNvCnPr>
                          <a:cxnSpLocks noChangeShapeType="1"/>
                        </wps:cNvCnPr>
                        <wps:spPr bwMode="auto">
                          <a:xfrm>
                            <a:off x="2789" y="1216"/>
                            <a:ext cx="76" cy="0"/>
                          </a:xfrm>
                          <a:prstGeom prst="line">
                            <a:avLst/>
                          </a:prstGeom>
                          <a:noFill/>
                          <a:ln w="2825">
                            <a:solidFill>
                              <a:srgbClr val="000000"/>
                            </a:solidFill>
                            <a:round/>
                          </a:ln>
                        </wps:spPr>
                        <wps:bodyPr/>
                      </wps:wsp>
                      <wps:wsp>
                        <wps:cNvPr id="40" name="Line 249"/>
                        <wps:cNvCnPr>
                          <a:cxnSpLocks noChangeShapeType="1"/>
                        </wps:cNvCnPr>
                        <wps:spPr bwMode="auto">
                          <a:xfrm>
                            <a:off x="2874" y="1222"/>
                            <a:ext cx="0" cy="4"/>
                          </a:xfrm>
                          <a:prstGeom prst="line">
                            <a:avLst/>
                          </a:prstGeom>
                          <a:noFill/>
                          <a:ln w="951">
                            <a:solidFill>
                              <a:srgbClr val="000000"/>
                            </a:solidFill>
                            <a:round/>
                          </a:ln>
                        </wps:spPr>
                        <wps:bodyPr/>
                      </wps:wsp>
                      <wps:wsp>
                        <wps:cNvPr id="41" name="Line 248"/>
                        <wps:cNvCnPr>
                          <a:cxnSpLocks noChangeShapeType="1"/>
                        </wps:cNvCnPr>
                        <wps:spPr bwMode="auto">
                          <a:xfrm>
                            <a:off x="2789" y="867"/>
                            <a:ext cx="76" cy="0"/>
                          </a:xfrm>
                          <a:prstGeom prst="line">
                            <a:avLst/>
                          </a:prstGeom>
                          <a:noFill/>
                          <a:ln w="2825">
                            <a:solidFill>
                              <a:srgbClr val="000000"/>
                            </a:solidFill>
                            <a:round/>
                          </a:ln>
                        </wps:spPr>
                        <wps:bodyPr/>
                      </wps:wsp>
                      <wps:wsp>
                        <wps:cNvPr id="42" name="Line 247"/>
                        <wps:cNvCnPr>
                          <a:cxnSpLocks noChangeShapeType="1"/>
                        </wps:cNvCnPr>
                        <wps:spPr bwMode="auto">
                          <a:xfrm>
                            <a:off x="2874" y="873"/>
                            <a:ext cx="0" cy="4"/>
                          </a:xfrm>
                          <a:prstGeom prst="line">
                            <a:avLst/>
                          </a:prstGeom>
                          <a:noFill/>
                          <a:ln w="951">
                            <a:solidFill>
                              <a:srgbClr val="000000"/>
                            </a:solidFill>
                            <a:round/>
                          </a:ln>
                        </wps:spPr>
                        <wps:bodyPr/>
                      </wps:wsp>
                      <wps:wsp>
                        <wps:cNvPr id="43" name="Line 246"/>
                        <wps:cNvCnPr>
                          <a:cxnSpLocks noChangeShapeType="1"/>
                        </wps:cNvCnPr>
                        <wps:spPr bwMode="auto">
                          <a:xfrm>
                            <a:off x="2789" y="518"/>
                            <a:ext cx="76" cy="0"/>
                          </a:xfrm>
                          <a:prstGeom prst="line">
                            <a:avLst/>
                          </a:prstGeom>
                          <a:noFill/>
                          <a:ln w="2825">
                            <a:solidFill>
                              <a:srgbClr val="000000"/>
                            </a:solidFill>
                            <a:round/>
                          </a:ln>
                        </wps:spPr>
                        <wps:bodyPr/>
                      </wps:wsp>
                      <wps:wsp>
                        <wps:cNvPr id="44" name="Line 245"/>
                        <wps:cNvCnPr>
                          <a:cxnSpLocks noChangeShapeType="1"/>
                        </wps:cNvCnPr>
                        <wps:spPr bwMode="auto">
                          <a:xfrm>
                            <a:off x="2874" y="524"/>
                            <a:ext cx="0" cy="4"/>
                          </a:xfrm>
                          <a:prstGeom prst="line">
                            <a:avLst/>
                          </a:prstGeom>
                          <a:noFill/>
                          <a:ln w="951">
                            <a:solidFill>
                              <a:srgbClr val="000000"/>
                            </a:solidFill>
                            <a:round/>
                          </a:ln>
                        </wps:spPr>
                        <wps:bodyPr/>
                      </wps:wsp>
                      <wps:wsp>
                        <wps:cNvPr id="45" name="Line 244"/>
                        <wps:cNvCnPr>
                          <a:cxnSpLocks noChangeShapeType="1"/>
                        </wps:cNvCnPr>
                        <wps:spPr bwMode="auto">
                          <a:xfrm>
                            <a:off x="2789" y="169"/>
                            <a:ext cx="76" cy="0"/>
                          </a:xfrm>
                          <a:prstGeom prst="line">
                            <a:avLst/>
                          </a:prstGeom>
                          <a:noFill/>
                          <a:ln w="2825">
                            <a:solidFill>
                              <a:srgbClr val="000000"/>
                            </a:solidFill>
                            <a:round/>
                          </a:ln>
                        </wps:spPr>
                        <wps:bodyPr/>
                      </wps:wsp>
                      <wps:wsp>
                        <wps:cNvPr id="46" name="Line 243"/>
                        <wps:cNvCnPr>
                          <a:cxnSpLocks noChangeShapeType="1"/>
                        </wps:cNvCnPr>
                        <wps:spPr bwMode="auto">
                          <a:xfrm>
                            <a:off x="2874" y="176"/>
                            <a:ext cx="0" cy="4"/>
                          </a:xfrm>
                          <a:prstGeom prst="line">
                            <a:avLst/>
                          </a:prstGeom>
                          <a:noFill/>
                          <a:ln w="951">
                            <a:solidFill>
                              <a:srgbClr val="000000"/>
                            </a:solidFill>
                            <a:round/>
                          </a:ln>
                        </wps:spPr>
                        <wps:bodyPr/>
                      </wps:wsp>
                      <wps:wsp>
                        <wps:cNvPr id="47" name="Freeform 242"/>
                        <wps:cNvSpPr/>
                        <wps:spPr bwMode="auto">
                          <a:xfrm>
                            <a:off x="2864" y="169"/>
                            <a:ext cx="5135" cy="3486"/>
                          </a:xfrm>
                          <a:custGeom>
                            <a:avLst/>
                            <a:gdLst>
                              <a:gd name="T0" fmla="+- 0 2865 2865"/>
                              <a:gd name="T1" fmla="*/ T0 w 5135"/>
                              <a:gd name="T2" fmla="+- 0 169 169"/>
                              <a:gd name="T3" fmla="*/ 169 h 3486"/>
                              <a:gd name="T4" fmla="+- 0 3035 2865"/>
                              <a:gd name="T5" fmla="*/ T4 w 5135"/>
                              <a:gd name="T6" fmla="+- 0 169 169"/>
                              <a:gd name="T7" fmla="*/ 169 h 3486"/>
                              <a:gd name="T8" fmla="+- 0 3035 2865"/>
                              <a:gd name="T9" fmla="*/ T8 w 5135"/>
                              <a:gd name="T10" fmla="+- 0 214 169"/>
                              <a:gd name="T11" fmla="*/ 214 h 3486"/>
                              <a:gd name="T12" fmla="+- 0 3103 2865"/>
                              <a:gd name="T13" fmla="*/ T12 w 5135"/>
                              <a:gd name="T14" fmla="+- 0 214 169"/>
                              <a:gd name="T15" fmla="*/ 214 h 3486"/>
                              <a:gd name="T16" fmla="+- 0 3103 2865"/>
                              <a:gd name="T17" fmla="*/ T16 w 5135"/>
                              <a:gd name="T18" fmla="+- 0 258 169"/>
                              <a:gd name="T19" fmla="*/ 258 h 3486"/>
                              <a:gd name="T20" fmla="+- 0 3111 2865"/>
                              <a:gd name="T21" fmla="*/ T20 w 5135"/>
                              <a:gd name="T22" fmla="+- 0 258 169"/>
                              <a:gd name="T23" fmla="*/ 258 h 3486"/>
                              <a:gd name="T24" fmla="+- 0 3111 2865"/>
                              <a:gd name="T25" fmla="*/ T24 w 5135"/>
                              <a:gd name="T26" fmla="+- 0 438 169"/>
                              <a:gd name="T27" fmla="*/ 438 h 3486"/>
                              <a:gd name="T28" fmla="+- 0 3129 2865"/>
                              <a:gd name="T29" fmla="*/ T28 w 5135"/>
                              <a:gd name="T30" fmla="+- 0 438 169"/>
                              <a:gd name="T31" fmla="*/ 438 h 3486"/>
                              <a:gd name="T32" fmla="+- 0 3129 2865"/>
                              <a:gd name="T33" fmla="*/ T32 w 5135"/>
                              <a:gd name="T34" fmla="+- 0 484 169"/>
                              <a:gd name="T35" fmla="*/ 484 h 3486"/>
                              <a:gd name="T36" fmla="+- 0 3137 2865"/>
                              <a:gd name="T37" fmla="*/ T36 w 5135"/>
                              <a:gd name="T38" fmla="+- 0 484 169"/>
                              <a:gd name="T39" fmla="*/ 484 h 3486"/>
                              <a:gd name="T40" fmla="+- 0 3137 2865"/>
                              <a:gd name="T41" fmla="*/ T40 w 5135"/>
                              <a:gd name="T42" fmla="+- 0 529 169"/>
                              <a:gd name="T43" fmla="*/ 529 h 3486"/>
                              <a:gd name="T44" fmla="+- 0 3162 2865"/>
                              <a:gd name="T45" fmla="*/ T44 w 5135"/>
                              <a:gd name="T46" fmla="+- 0 529 169"/>
                              <a:gd name="T47" fmla="*/ 529 h 3486"/>
                              <a:gd name="T48" fmla="+- 0 3162 2865"/>
                              <a:gd name="T49" fmla="*/ T48 w 5135"/>
                              <a:gd name="T50" fmla="+- 0 575 169"/>
                              <a:gd name="T51" fmla="*/ 575 h 3486"/>
                              <a:gd name="T52" fmla="+- 0 3179 2865"/>
                              <a:gd name="T53" fmla="*/ T52 w 5135"/>
                              <a:gd name="T54" fmla="+- 0 575 169"/>
                              <a:gd name="T55" fmla="*/ 575 h 3486"/>
                              <a:gd name="T56" fmla="+- 0 3179 2865"/>
                              <a:gd name="T57" fmla="*/ T56 w 5135"/>
                              <a:gd name="T58" fmla="+- 0 622 169"/>
                              <a:gd name="T59" fmla="*/ 622 h 3486"/>
                              <a:gd name="T60" fmla="+- 0 3350 2865"/>
                              <a:gd name="T61" fmla="*/ T60 w 5135"/>
                              <a:gd name="T62" fmla="+- 0 622 169"/>
                              <a:gd name="T63" fmla="*/ 622 h 3486"/>
                              <a:gd name="T64" fmla="+- 0 3350 2865"/>
                              <a:gd name="T65" fmla="*/ T64 w 5135"/>
                              <a:gd name="T66" fmla="+- 0 728 169"/>
                              <a:gd name="T67" fmla="*/ 728 h 3486"/>
                              <a:gd name="T68" fmla="+- 0 3410 2865"/>
                              <a:gd name="T69" fmla="*/ T68 w 5135"/>
                              <a:gd name="T70" fmla="+- 0 728 169"/>
                              <a:gd name="T71" fmla="*/ 728 h 3486"/>
                              <a:gd name="T72" fmla="+- 0 3410 2865"/>
                              <a:gd name="T73" fmla="*/ T72 w 5135"/>
                              <a:gd name="T74" fmla="+- 0 781 169"/>
                              <a:gd name="T75" fmla="*/ 781 h 3486"/>
                              <a:gd name="T76" fmla="+- 0 3443 2865"/>
                              <a:gd name="T77" fmla="*/ T76 w 5135"/>
                              <a:gd name="T78" fmla="+- 0 781 169"/>
                              <a:gd name="T79" fmla="*/ 781 h 3486"/>
                              <a:gd name="T80" fmla="+- 0 3443 2865"/>
                              <a:gd name="T81" fmla="*/ T80 w 5135"/>
                              <a:gd name="T82" fmla="+- 0 836 169"/>
                              <a:gd name="T83" fmla="*/ 836 h 3486"/>
                              <a:gd name="T84" fmla="+- 0 3836 2865"/>
                              <a:gd name="T85" fmla="*/ T84 w 5135"/>
                              <a:gd name="T86" fmla="+- 0 836 169"/>
                              <a:gd name="T87" fmla="*/ 836 h 3486"/>
                              <a:gd name="T88" fmla="+- 0 3836 2865"/>
                              <a:gd name="T89" fmla="*/ T88 w 5135"/>
                              <a:gd name="T90" fmla="+- 0 898 169"/>
                              <a:gd name="T91" fmla="*/ 898 h 3486"/>
                              <a:gd name="T92" fmla="+- 0 3904 2865"/>
                              <a:gd name="T93" fmla="*/ T92 w 5135"/>
                              <a:gd name="T94" fmla="+- 0 898 169"/>
                              <a:gd name="T95" fmla="*/ 898 h 3486"/>
                              <a:gd name="T96" fmla="+- 0 3904 2865"/>
                              <a:gd name="T97" fmla="*/ T96 w 5135"/>
                              <a:gd name="T98" fmla="+- 0 964 169"/>
                              <a:gd name="T99" fmla="*/ 964 h 3486"/>
                              <a:gd name="T100" fmla="+- 0 3954 2865"/>
                              <a:gd name="T101" fmla="*/ T100 w 5135"/>
                              <a:gd name="T102" fmla="+- 0 964 169"/>
                              <a:gd name="T103" fmla="*/ 964 h 3486"/>
                              <a:gd name="T104" fmla="+- 0 3954 2865"/>
                              <a:gd name="T105" fmla="*/ T104 w 5135"/>
                              <a:gd name="T106" fmla="+- 0 1031 169"/>
                              <a:gd name="T107" fmla="*/ 1031 h 3486"/>
                              <a:gd name="T108" fmla="+- 0 4278 2865"/>
                              <a:gd name="T109" fmla="*/ T108 w 5135"/>
                              <a:gd name="T110" fmla="+- 0 1031 169"/>
                              <a:gd name="T111" fmla="*/ 1031 h 3486"/>
                              <a:gd name="T112" fmla="+- 0 4278 2865"/>
                              <a:gd name="T113" fmla="*/ T112 w 5135"/>
                              <a:gd name="T114" fmla="+- 0 1099 169"/>
                              <a:gd name="T115" fmla="*/ 1099 h 3486"/>
                              <a:gd name="T116" fmla="+- 0 4329 2865"/>
                              <a:gd name="T117" fmla="*/ T116 w 5135"/>
                              <a:gd name="T118" fmla="+- 0 1099 169"/>
                              <a:gd name="T119" fmla="*/ 1099 h 3486"/>
                              <a:gd name="T120" fmla="+- 0 4329 2865"/>
                              <a:gd name="T121" fmla="*/ T120 w 5135"/>
                              <a:gd name="T122" fmla="+- 0 1171 169"/>
                              <a:gd name="T123" fmla="*/ 1171 h 3486"/>
                              <a:gd name="T124" fmla="+- 0 4422 2865"/>
                              <a:gd name="T125" fmla="*/ T124 w 5135"/>
                              <a:gd name="T126" fmla="+- 0 1171 169"/>
                              <a:gd name="T127" fmla="*/ 1171 h 3486"/>
                              <a:gd name="T128" fmla="+- 0 4422 2865"/>
                              <a:gd name="T129" fmla="*/ T128 w 5135"/>
                              <a:gd name="T130" fmla="+- 0 1244 169"/>
                              <a:gd name="T131" fmla="*/ 1244 h 3486"/>
                              <a:gd name="T132" fmla="+- 0 4439 2865"/>
                              <a:gd name="T133" fmla="*/ T132 w 5135"/>
                              <a:gd name="T134" fmla="+- 0 1244 169"/>
                              <a:gd name="T135" fmla="*/ 1244 h 3486"/>
                              <a:gd name="T136" fmla="+- 0 4439 2865"/>
                              <a:gd name="T137" fmla="*/ T136 w 5135"/>
                              <a:gd name="T138" fmla="+- 0 1320 169"/>
                              <a:gd name="T139" fmla="*/ 1320 h 3486"/>
                              <a:gd name="T140" fmla="+- 0 4729 2865"/>
                              <a:gd name="T141" fmla="*/ T140 w 5135"/>
                              <a:gd name="T142" fmla="+- 0 1320 169"/>
                              <a:gd name="T143" fmla="*/ 1320 h 3486"/>
                              <a:gd name="T144" fmla="+- 0 4729 2865"/>
                              <a:gd name="T145" fmla="*/ T144 w 5135"/>
                              <a:gd name="T146" fmla="+- 0 1396 169"/>
                              <a:gd name="T147" fmla="*/ 1396 h 3486"/>
                              <a:gd name="T148" fmla="+- 0 4779 2865"/>
                              <a:gd name="T149" fmla="*/ T148 w 5135"/>
                              <a:gd name="T150" fmla="+- 0 1396 169"/>
                              <a:gd name="T151" fmla="*/ 1396 h 3486"/>
                              <a:gd name="T152" fmla="+- 0 4779 2865"/>
                              <a:gd name="T153" fmla="*/ T152 w 5135"/>
                              <a:gd name="T154" fmla="+- 0 1552 169"/>
                              <a:gd name="T155" fmla="*/ 1552 h 3486"/>
                              <a:gd name="T156" fmla="+- 0 4807 2865"/>
                              <a:gd name="T157" fmla="*/ T156 w 5135"/>
                              <a:gd name="T158" fmla="+- 0 1552 169"/>
                              <a:gd name="T159" fmla="*/ 1552 h 3486"/>
                              <a:gd name="T160" fmla="+- 0 4807 2865"/>
                              <a:gd name="T161" fmla="*/ T160 w 5135"/>
                              <a:gd name="T162" fmla="+- 0 1638 169"/>
                              <a:gd name="T163" fmla="*/ 1638 h 3486"/>
                              <a:gd name="T164" fmla="+- 0 5010 2865"/>
                              <a:gd name="T165" fmla="*/ T164 w 5135"/>
                              <a:gd name="T166" fmla="+- 0 1638 169"/>
                              <a:gd name="T167" fmla="*/ 1638 h 3486"/>
                              <a:gd name="T168" fmla="+- 0 5010 2865"/>
                              <a:gd name="T169" fmla="*/ T168 w 5135"/>
                              <a:gd name="T170" fmla="+- 0 1727 169"/>
                              <a:gd name="T171" fmla="*/ 1727 h 3486"/>
                              <a:gd name="T172" fmla="+- 0 5734 2865"/>
                              <a:gd name="T173" fmla="*/ T172 w 5135"/>
                              <a:gd name="T174" fmla="+- 0 1727 169"/>
                              <a:gd name="T175" fmla="*/ 1727 h 3486"/>
                              <a:gd name="T176" fmla="+- 0 5734 2865"/>
                              <a:gd name="T177" fmla="*/ T176 w 5135"/>
                              <a:gd name="T178" fmla="+- 0 1828 169"/>
                              <a:gd name="T179" fmla="*/ 1828 h 3486"/>
                              <a:gd name="T180" fmla="+- 0 5810 2865"/>
                              <a:gd name="T181" fmla="*/ T180 w 5135"/>
                              <a:gd name="T182" fmla="+- 0 1828 169"/>
                              <a:gd name="T183" fmla="*/ 1828 h 3486"/>
                              <a:gd name="T184" fmla="+- 0 5810 2865"/>
                              <a:gd name="T185" fmla="*/ T184 w 5135"/>
                              <a:gd name="T186" fmla="+- 0 1929 169"/>
                              <a:gd name="T187" fmla="*/ 1929 h 3486"/>
                              <a:gd name="T188" fmla="+- 0 6389 2865"/>
                              <a:gd name="T189" fmla="*/ T188 w 5135"/>
                              <a:gd name="T190" fmla="+- 0 1929 169"/>
                              <a:gd name="T191" fmla="*/ 1929 h 3486"/>
                              <a:gd name="T192" fmla="+- 0 6389 2865"/>
                              <a:gd name="T193" fmla="*/ T192 w 5135"/>
                              <a:gd name="T194" fmla="+- 0 2145 169"/>
                              <a:gd name="T195" fmla="*/ 2145 h 3486"/>
                              <a:gd name="T196" fmla="+- 0 7999 2865"/>
                              <a:gd name="T197" fmla="*/ T196 w 5135"/>
                              <a:gd name="T198" fmla="+- 0 2145 169"/>
                              <a:gd name="T199" fmla="*/ 2145 h 3486"/>
                              <a:gd name="T200" fmla="+- 0 7999 2865"/>
                              <a:gd name="T201" fmla="*/ T200 w 5135"/>
                              <a:gd name="T202" fmla="+- 0 3655 169"/>
                              <a:gd name="T203" fmla="*/ 3655 h 3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135" h="3486">
                                <a:moveTo>
                                  <a:pt x="0" y="0"/>
                                </a:moveTo>
                                <a:lnTo>
                                  <a:pt x="170" y="0"/>
                                </a:lnTo>
                                <a:lnTo>
                                  <a:pt x="170" y="45"/>
                                </a:lnTo>
                                <a:lnTo>
                                  <a:pt x="238" y="45"/>
                                </a:lnTo>
                                <a:lnTo>
                                  <a:pt x="238" y="89"/>
                                </a:lnTo>
                                <a:lnTo>
                                  <a:pt x="246" y="89"/>
                                </a:lnTo>
                                <a:lnTo>
                                  <a:pt x="246" y="269"/>
                                </a:lnTo>
                                <a:lnTo>
                                  <a:pt x="264" y="269"/>
                                </a:lnTo>
                                <a:lnTo>
                                  <a:pt x="264" y="315"/>
                                </a:lnTo>
                                <a:lnTo>
                                  <a:pt x="272" y="315"/>
                                </a:lnTo>
                                <a:lnTo>
                                  <a:pt x="272" y="360"/>
                                </a:lnTo>
                                <a:lnTo>
                                  <a:pt x="297" y="360"/>
                                </a:lnTo>
                                <a:lnTo>
                                  <a:pt x="297" y="406"/>
                                </a:lnTo>
                                <a:lnTo>
                                  <a:pt x="314" y="406"/>
                                </a:lnTo>
                                <a:lnTo>
                                  <a:pt x="314" y="453"/>
                                </a:lnTo>
                                <a:lnTo>
                                  <a:pt x="485" y="453"/>
                                </a:lnTo>
                                <a:lnTo>
                                  <a:pt x="485" y="559"/>
                                </a:lnTo>
                                <a:lnTo>
                                  <a:pt x="545" y="559"/>
                                </a:lnTo>
                                <a:lnTo>
                                  <a:pt x="545" y="612"/>
                                </a:lnTo>
                                <a:lnTo>
                                  <a:pt x="578" y="612"/>
                                </a:lnTo>
                                <a:lnTo>
                                  <a:pt x="578" y="667"/>
                                </a:lnTo>
                                <a:lnTo>
                                  <a:pt x="971" y="667"/>
                                </a:lnTo>
                                <a:lnTo>
                                  <a:pt x="971" y="729"/>
                                </a:lnTo>
                                <a:lnTo>
                                  <a:pt x="1039" y="729"/>
                                </a:lnTo>
                                <a:lnTo>
                                  <a:pt x="1039" y="795"/>
                                </a:lnTo>
                                <a:lnTo>
                                  <a:pt x="1089" y="795"/>
                                </a:lnTo>
                                <a:lnTo>
                                  <a:pt x="1089" y="862"/>
                                </a:lnTo>
                                <a:lnTo>
                                  <a:pt x="1413" y="862"/>
                                </a:lnTo>
                                <a:lnTo>
                                  <a:pt x="1413" y="930"/>
                                </a:lnTo>
                                <a:lnTo>
                                  <a:pt x="1464" y="930"/>
                                </a:lnTo>
                                <a:lnTo>
                                  <a:pt x="1464" y="1002"/>
                                </a:lnTo>
                                <a:lnTo>
                                  <a:pt x="1557" y="1002"/>
                                </a:lnTo>
                                <a:lnTo>
                                  <a:pt x="1557" y="1075"/>
                                </a:lnTo>
                                <a:lnTo>
                                  <a:pt x="1574" y="1075"/>
                                </a:lnTo>
                                <a:lnTo>
                                  <a:pt x="1574" y="1151"/>
                                </a:lnTo>
                                <a:lnTo>
                                  <a:pt x="1864" y="1151"/>
                                </a:lnTo>
                                <a:lnTo>
                                  <a:pt x="1864" y="1227"/>
                                </a:lnTo>
                                <a:lnTo>
                                  <a:pt x="1914" y="1227"/>
                                </a:lnTo>
                                <a:lnTo>
                                  <a:pt x="1914" y="1383"/>
                                </a:lnTo>
                                <a:lnTo>
                                  <a:pt x="1942" y="1383"/>
                                </a:lnTo>
                                <a:lnTo>
                                  <a:pt x="1942" y="1469"/>
                                </a:lnTo>
                                <a:lnTo>
                                  <a:pt x="2145" y="1469"/>
                                </a:lnTo>
                                <a:lnTo>
                                  <a:pt x="2145" y="1558"/>
                                </a:lnTo>
                                <a:lnTo>
                                  <a:pt x="2869" y="1558"/>
                                </a:lnTo>
                                <a:lnTo>
                                  <a:pt x="2869" y="1659"/>
                                </a:lnTo>
                                <a:lnTo>
                                  <a:pt x="2945" y="1659"/>
                                </a:lnTo>
                                <a:lnTo>
                                  <a:pt x="2945" y="1760"/>
                                </a:lnTo>
                                <a:lnTo>
                                  <a:pt x="3524" y="1760"/>
                                </a:lnTo>
                                <a:lnTo>
                                  <a:pt x="3524" y="1976"/>
                                </a:lnTo>
                                <a:lnTo>
                                  <a:pt x="5134" y="1976"/>
                                </a:lnTo>
                                <a:lnTo>
                                  <a:pt x="5134" y="3486"/>
                                </a:lnTo>
                              </a:path>
                            </a:pathLst>
                          </a:custGeom>
                          <a:noFill/>
                          <a:ln w="8977">
                            <a:solidFill>
                              <a:srgbClr val="000000"/>
                            </a:solidFill>
                            <a:round/>
                          </a:ln>
                        </wps:spPr>
                        <wps:bodyPr rot="0" vert="horz" wrap="square" lIns="91440" tIns="45720" rIns="91440" bIns="45720" anchor="t" anchorCtr="0" upright="1">
                          <a:noAutofit/>
                        </wps:bodyPr>
                      </wps:wsp>
                      <wps:wsp>
                        <wps:cNvPr id="48" name="AutoShape 241"/>
                        <wps:cNvSpPr/>
                        <wps:spPr bwMode="auto">
                          <a:xfrm>
                            <a:off x="2864" y="162"/>
                            <a:ext cx="911" cy="1284"/>
                          </a:xfrm>
                          <a:custGeom>
                            <a:avLst/>
                            <a:gdLst>
                              <a:gd name="T0" fmla="+- 0 2991 2865"/>
                              <a:gd name="T1" fmla="*/ T0 w 911"/>
                              <a:gd name="T2" fmla="+- 0 176 162"/>
                              <a:gd name="T3" fmla="*/ 176 h 1284"/>
                              <a:gd name="T4" fmla="+- 0 3078 2865"/>
                              <a:gd name="T5" fmla="*/ T4 w 911"/>
                              <a:gd name="T6" fmla="+- 0 163 162"/>
                              <a:gd name="T7" fmla="*/ 163 h 1284"/>
                              <a:gd name="T8" fmla="+- 0 3072 2865"/>
                              <a:gd name="T9" fmla="*/ T8 w 911"/>
                              <a:gd name="T10" fmla="+- 0 176 162"/>
                              <a:gd name="T11" fmla="*/ 176 h 1284"/>
                              <a:gd name="T12" fmla="+- 0 3119 2865"/>
                              <a:gd name="T13" fmla="*/ T12 w 911"/>
                              <a:gd name="T14" fmla="+- 0 397 162"/>
                              <a:gd name="T15" fmla="*/ 397 h 1284"/>
                              <a:gd name="T16" fmla="+- 0 3119 2865"/>
                              <a:gd name="T17" fmla="*/ T16 w 911"/>
                              <a:gd name="T18" fmla="+- 0 397 162"/>
                              <a:gd name="T19" fmla="*/ 397 h 1284"/>
                              <a:gd name="T20" fmla="+- 0 3111 2865"/>
                              <a:gd name="T21" fmla="*/ T20 w 911"/>
                              <a:gd name="T22" fmla="+- 0 302 162"/>
                              <a:gd name="T23" fmla="*/ 302 h 1284"/>
                              <a:gd name="T24" fmla="+- 0 3100 2865"/>
                              <a:gd name="T25" fmla="*/ T24 w 911"/>
                              <a:gd name="T26" fmla="+- 0 263 162"/>
                              <a:gd name="T27" fmla="*/ 263 h 1284"/>
                              <a:gd name="T28" fmla="+- 0 3088 2865"/>
                              <a:gd name="T29" fmla="*/ T28 w 911"/>
                              <a:gd name="T30" fmla="+- 0 262 162"/>
                              <a:gd name="T31" fmla="*/ 262 h 1284"/>
                              <a:gd name="T32" fmla="+- 0 3088 2865"/>
                              <a:gd name="T33" fmla="*/ T32 w 911"/>
                              <a:gd name="T34" fmla="+- 0 309 162"/>
                              <a:gd name="T35" fmla="*/ 309 h 1284"/>
                              <a:gd name="T36" fmla="+- 0 3105 2865"/>
                              <a:gd name="T37" fmla="*/ T36 w 911"/>
                              <a:gd name="T38" fmla="+- 0 316 162"/>
                              <a:gd name="T39" fmla="*/ 316 h 1284"/>
                              <a:gd name="T40" fmla="+- 0 3155 2865"/>
                              <a:gd name="T41" fmla="*/ T40 w 911"/>
                              <a:gd name="T42" fmla="+- 0 629 162"/>
                              <a:gd name="T43" fmla="*/ 629 h 1284"/>
                              <a:gd name="T44" fmla="+- 0 3152 2865"/>
                              <a:gd name="T45" fmla="*/ T44 w 911"/>
                              <a:gd name="T46" fmla="+- 0 590 162"/>
                              <a:gd name="T47" fmla="*/ 590 h 1284"/>
                              <a:gd name="T48" fmla="+- 0 3144 2865"/>
                              <a:gd name="T49" fmla="*/ T48 w 911"/>
                              <a:gd name="T50" fmla="+- 0 542 162"/>
                              <a:gd name="T51" fmla="*/ 542 h 1284"/>
                              <a:gd name="T52" fmla="+- 0 3137 2865"/>
                              <a:gd name="T53" fmla="*/ T52 w 911"/>
                              <a:gd name="T54" fmla="+- 0 534 162"/>
                              <a:gd name="T55" fmla="*/ 534 h 1284"/>
                              <a:gd name="T56" fmla="+- 0 3130 2865"/>
                              <a:gd name="T57" fmla="*/ T56 w 911"/>
                              <a:gd name="T58" fmla="+- 0 588 162"/>
                              <a:gd name="T59" fmla="*/ 588 h 1284"/>
                              <a:gd name="T60" fmla="+- 0 3140 2865"/>
                              <a:gd name="T61" fmla="*/ T60 w 911"/>
                              <a:gd name="T62" fmla="+- 0 596 162"/>
                              <a:gd name="T63" fmla="*/ 596 h 1284"/>
                              <a:gd name="T64" fmla="+- 0 3147 2865"/>
                              <a:gd name="T65" fmla="*/ T64 w 911"/>
                              <a:gd name="T66" fmla="+- 0 643 162"/>
                              <a:gd name="T67" fmla="*/ 643 h 1284"/>
                              <a:gd name="T68" fmla="+- 0 3220 2865"/>
                              <a:gd name="T69" fmla="*/ T68 w 911"/>
                              <a:gd name="T70" fmla="+- 0 733 162"/>
                              <a:gd name="T71" fmla="*/ 733 h 1284"/>
                              <a:gd name="T72" fmla="+- 0 3205 2865"/>
                              <a:gd name="T73" fmla="*/ T72 w 911"/>
                              <a:gd name="T74" fmla="+- 0 684 162"/>
                              <a:gd name="T75" fmla="*/ 684 h 1284"/>
                              <a:gd name="T76" fmla="+- 0 3196 2865"/>
                              <a:gd name="T77" fmla="*/ T76 w 911"/>
                              <a:gd name="T78" fmla="+- 0 636 162"/>
                              <a:gd name="T79" fmla="*/ 636 h 1284"/>
                              <a:gd name="T80" fmla="+- 0 3187 2865"/>
                              <a:gd name="T81" fmla="*/ T80 w 911"/>
                              <a:gd name="T82" fmla="+- 0 629 162"/>
                              <a:gd name="T83" fmla="*/ 629 h 1284"/>
                              <a:gd name="T84" fmla="+- 0 3182 2865"/>
                              <a:gd name="T85" fmla="*/ T84 w 911"/>
                              <a:gd name="T86" fmla="+- 0 683 162"/>
                              <a:gd name="T87" fmla="*/ 683 h 1284"/>
                              <a:gd name="T88" fmla="+- 0 3190 2865"/>
                              <a:gd name="T89" fmla="*/ T88 w 911"/>
                              <a:gd name="T90" fmla="+- 0 732 162"/>
                              <a:gd name="T91" fmla="*/ 732 h 1284"/>
                              <a:gd name="T92" fmla="+- 0 3213 2865"/>
                              <a:gd name="T93" fmla="*/ T92 w 911"/>
                              <a:gd name="T94" fmla="+- 0 739 162"/>
                              <a:gd name="T95" fmla="*/ 739 h 1284"/>
                              <a:gd name="T96" fmla="+- 0 3222 2865"/>
                              <a:gd name="T97" fmla="*/ T96 w 911"/>
                              <a:gd name="T98" fmla="+- 0 733 162"/>
                              <a:gd name="T99" fmla="*/ 733 h 1284"/>
                              <a:gd name="T100" fmla="+- 0 3290 2865"/>
                              <a:gd name="T101" fmla="*/ T100 w 911"/>
                              <a:gd name="T102" fmla="+- 0 774 162"/>
                              <a:gd name="T103" fmla="*/ 774 h 1284"/>
                              <a:gd name="T104" fmla="+- 0 3208 2865"/>
                              <a:gd name="T105" fmla="*/ T104 w 911"/>
                              <a:gd name="T106" fmla="+- 0 780 162"/>
                              <a:gd name="T107" fmla="*/ 780 h 1284"/>
                              <a:gd name="T108" fmla="+- 0 3284 2865"/>
                              <a:gd name="T109" fmla="*/ T108 w 911"/>
                              <a:gd name="T110" fmla="+- 0 788 162"/>
                              <a:gd name="T111" fmla="*/ 788 h 1284"/>
                              <a:gd name="T112" fmla="+- 0 3340 2865"/>
                              <a:gd name="T113" fmla="*/ T112 w 911"/>
                              <a:gd name="T114" fmla="+- 0 880 162"/>
                              <a:gd name="T115" fmla="*/ 880 h 1284"/>
                              <a:gd name="T116" fmla="+- 0 3307 2865"/>
                              <a:gd name="T117" fmla="*/ T116 w 911"/>
                              <a:gd name="T118" fmla="+- 0 871 162"/>
                              <a:gd name="T119" fmla="*/ 871 h 1284"/>
                              <a:gd name="T120" fmla="+- 0 3292 2865"/>
                              <a:gd name="T121" fmla="*/ T120 w 911"/>
                              <a:gd name="T122" fmla="+- 0 880 162"/>
                              <a:gd name="T123" fmla="*/ 880 h 1284"/>
                              <a:gd name="T124" fmla="+- 0 3326 2865"/>
                              <a:gd name="T125" fmla="*/ T124 w 911"/>
                              <a:gd name="T126" fmla="+- 0 933 162"/>
                              <a:gd name="T127" fmla="*/ 933 h 1284"/>
                              <a:gd name="T128" fmla="+- 0 3364 2865"/>
                              <a:gd name="T129" fmla="*/ T128 w 911"/>
                              <a:gd name="T130" fmla="+- 0 982 162"/>
                              <a:gd name="T131" fmla="*/ 982 h 1284"/>
                              <a:gd name="T132" fmla="+- 0 3340 2865"/>
                              <a:gd name="T133" fmla="*/ T132 w 911"/>
                              <a:gd name="T134" fmla="+- 0 964 162"/>
                              <a:gd name="T135" fmla="*/ 964 h 1284"/>
                              <a:gd name="T136" fmla="+- 0 3333 2865"/>
                              <a:gd name="T137" fmla="*/ T136 w 911"/>
                              <a:gd name="T138" fmla="+- 0 990 162"/>
                              <a:gd name="T139" fmla="*/ 990 h 1284"/>
                              <a:gd name="T140" fmla="+- 0 3366 2865"/>
                              <a:gd name="T141" fmla="*/ T140 w 911"/>
                              <a:gd name="T142" fmla="+- 0 1066 162"/>
                              <a:gd name="T143" fmla="*/ 1066 h 1284"/>
                              <a:gd name="T144" fmla="+- 0 3375 2865"/>
                              <a:gd name="T145" fmla="*/ T144 w 911"/>
                              <a:gd name="T146" fmla="+- 0 1088 162"/>
                              <a:gd name="T147" fmla="*/ 1088 h 1284"/>
                              <a:gd name="T148" fmla="+- 0 3367 2865"/>
                              <a:gd name="T149" fmla="*/ T148 w 911"/>
                              <a:gd name="T150" fmla="+- 0 1148 162"/>
                              <a:gd name="T151" fmla="*/ 1148 h 1284"/>
                              <a:gd name="T152" fmla="+- 0 3491 2865"/>
                              <a:gd name="T153" fmla="*/ T152 w 911"/>
                              <a:gd name="T154" fmla="+- 0 1241 162"/>
                              <a:gd name="T155" fmla="*/ 1241 h 1284"/>
                              <a:gd name="T156" fmla="+- 0 3475 2865"/>
                              <a:gd name="T157" fmla="*/ T156 w 911"/>
                              <a:gd name="T158" fmla="+- 0 1193 162"/>
                              <a:gd name="T159" fmla="*/ 1193 h 1284"/>
                              <a:gd name="T160" fmla="+- 0 3461 2865"/>
                              <a:gd name="T161" fmla="*/ T160 w 911"/>
                              <a:gd name="T162" fmla="+- 0 1161 162"/>
                              <a:gd name="T163" fmla="*/ 1161 h 1284"/>
                              <a:gd name="T164" fmla="+- 0 3453 2865"/>
                              <a:gd name="T165" fmla="*/ T164 w 911"/>
                              <a:gd name="T166" fmla="+- 0 1202 162"/>
                              <a:gd name="T167" fmla="*/ 1202 h 1284"/>
                              <a:gd name="T168" fmla="+- 0 3461 2865"/>
                              <a:gd name="T169" fmla="*/ T168 w 911"/>
                              <a:gd name="T170" fmla="+- 0 1249 162"/>
                              <a:gd name="T171" fmla="*/ 1249 h 1284"/>
                              <a:gd name="T172" fmla="+- 0 3491 2865"/>
                              <a:gd name="T173" fmla="*/ T172 w 911"/>
                              <a:gd name="T174" fmla="+- 0 1241 162"/>
                              <a:gd name="T175" fmla="*/ 1241 h 1284"/>
                              <a:gd name="T176" fmla="+- 0 3639 2865"/>
                              <a:gd name="T177" fmla="*/ T176 w 911"/>
                              <a:gd name="T178" fmla="+- 0 1241 162"/>
                              <a:gd name="T179" fmla="*/ 1241 h 1284"/>
                              <a:gd name="T180" fmla="+- 0 3633 2865"/>
                              <a:gd name="T181" fmla="*/ T180 w 911"/>
                              <a:gd name="T182" fmla="+- 0 1258 162"/>
                              <a:gd name="T183" fmla="*/ 1258 h 1284"/>
                              <a:gd name="T184" fmla="+- 0 3706 2865"/>
                              <a:gd name="T185" fmla="*/ T184 w 911"/>
                              <a:gd name="T186" fmla="+- 0 1304 162"/>
                              <a:gd name="T187" fmla="*/ 1304 h 1284"/>
                              <a:gd name="T188" fmla="+- 0 3647 2865"/>
                              <a:gd name="T189" fmla="*/ T188 w 911"/>
                              <a:gd name="T190" fmla="+- 0 1296 162"/>
                              <a:gd name="T191" fmla="*/ 1296 h 1284"/>
                              <a:gd name="T192" fmla="+- 0 3632 2865"/>
                              <a:gd name="T193" fmla="*/ T192 w 911"/>
                              <a:gd name="T194" fmla="+- 0 1304 162"/>
                              <a:gd name="T195" fmla="*/ 1304 h 1284"/>
                              <a:gd name="T196" fmla="+- 0 3693 2865"/>
                              <a:gd name="T197" fmla="*/ T196 w 911"/>
                              <a:gd name="T198" fmla="+- 0 1356 162"/>
                              <a:gd name="T199" fmla="*/ 1356 h 1284"/>
                              <a:gd name="T200" fmla="+- 0 3767 2865"/>
                              <a:gd name="T201" fmla="*/ T200 w 911"/>
                              <a:gd name="T202" fmla="+- 0 1416 162"/>
                              <a:gd name="T203" fmla="*/ 1416 h 1284"/>
                              <a:gd name="T204" fmla="+- 0 3748 2865"/>
                              <a:gd name="T205" fmla="*/ T204 w 911"/>
                              <a:gd name="T206" fmla="+- 0 1361 162"/>
                              <a:gd name="T207" fmla="*/ 1361 h 1284"/>
                              <a:gd name="T208" fmla="+- 0 3726 2865"/>
                              <a:gd name="T209" fmla="*/ T208 w 911"/>
                              <a:gd name="T210" fmla="+- 0 1367 162"/>
                              <a:gd name="T211" fmla="*/ 1367 h 1284"/>
                              <a:gd name="T212" fmla="+- 0 3742 2865"/>
                              <a:gd name="T213" fmla="*/ T212 w 911"/>
                              <a:gd name="T214" fmla="+- 0 1424 162"/>
                              <a:gd name="T215" fmla="*/ 1424 h 1284"/>
                              <a:gd name="T216" fmla="+- 0 3775 2865"/>
                              <a:gd name="T217" fmla="*/ T216 w 911"/>
                              <a:gd name="T218" fmla="+- 0 1446 162"/>
                              <a:gd name="T219" fmla="*/ 1446 h 1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11" h="1284">
                                <a:moveTo>
                                  <a:pt x="126" y="0"/>
                                </a:moveTo>
                                <a:lnTo>
                                  <a:pt x="0" y="0"/>
                                </a:lnTo>
                                <a:lnTo>
                                  <a:pt x="0" y="14"/>
                                </a:lnTo>
                                <a:lnTo>
                                  <a:pt x="126" y="14"/>
                                </a:lnTo>
                                <a:lnTo>
                                  <a:pt x="126" y="0"/>
                                </a:lnTo>
                                <a:close/>
                                <a:moveTo>
                                  <a:pt x="221" y="7"/>
                                </a:moveTo>
                                <a:lnTo>
                                  <a:pt x="220" y="7"/>
                                </a:lnTo>
                                <a:lnTo>
                                  <a:pt x="213" y="1"/>
                                </a:lnTo>
                                <a:lnTo>
                                  <a:pt x="213" y="0"/>
                                </a:lnTo>
                                <a:lnTo>
                                  <a:pt x="158" y="0"/>
                                </a:lnTo>
                                <a:lnTo>
                                  <a:pt x="158" y="14"/>
                                </a:lnTo>
                                <a:lnTo>
                                  <a:pt x="207" y="14"/>
                                </a:lnTo>
                                <a:lnTo>
                                  <a:pt x="207" y="79"/>
                                </a:lnTo>
                                <a:lnTo>
                                  <a:pt x="221" y="79"/>
                                </a:lnTo>
                                <a:lnTo>
                                  <a:pt x="221" y="7"/>
                                </a:lnTo>
                                <a:close/>
                                <a:moveTo>
                                  <a:pt x="254" y="235"/>
                                </a:moveTo>
                                <a:lnTo>
                                  <a:pt x="240" y="235"/>
                                </a:lnTo>
                                <a:lnTo>
                                  <a:pt x="240" y="361"/>
                                </a:lnTo>
                                <a:lnTo>
                                  <a:pt x="254" y="361"/>
                                </a:lnTo>
                                <a:lnTo>
                                  <a:pt x="254" y="235"/>
                                </a:lnTo>
                                <a:close/>
                                <a:moveTo>
                                  <a:pt x="254" y="148"/>
                                </a:moveTo>
                                <a:lnTo>
                                  <a:pt x="252" y="148"/>
                                </a:lnTo>
                                <a:lnTo>
                                  <a:pt x="246" y="142"/>
                                </a:lnTo>
                                <a:lnTo>
                                  <a:pt x="246" y="140"/>
                                </a:lnTo>
                                <a:lnTo>
                                  <a:pt x="237" y="140"/>
                                </a:lnTo>
                                <a:lnTo>
                                  <a:pt x="237" y="101"/>
                                </a:lnTo>
                                <a:lnTo>
                                  <a:pt x="235" y="101"/>
                                </a:lnTo>
                                <a:lnTo>
                                  <a:pt x="229" y="94"/>
                                </a:lnTo>
                                <a:lnTo>
                                  <a:pt x="229" y="93"/>
                                </a:lnTo>
                                <a:lnTo>
                                  <a:pt x="223" y="93"/>
                                </a:lnTo>
                                <a:lnTo>
                                  <a:pt x="223" y="100"/>
                                </a:lnTo>
                                <a:lnTo>
                                  <a:pt x="221" y="101"/>
                                </a:lnTo>
                                <a:lnTo>
                                  <a:pt x="223" y="103"/>
                                </a:lnTo>
                                <a:lnTo>
                                  <a:pt x="223" y="107"/>
                                </a:lnTo>
                                <a:lnTo>
                                  <a:pt x="223" y="147"/>
                                </a:lnTo>
                                <a:lnTo>
                                  <a:pt x="221" y="148"/>
                                </a:lnTo>
                                <a:lnTo>
                                  <a:pt x="229" y="156"/>
                                </a:lnTo>
                                <a:lnTo>
                                  <a:pt x="230" y="154"/>
                                </a:lnTo>
                                <a:lnTo>
                                  <a:pt x="240" y="154"/>
                                </a:lnTo>
                                <a:lnTo>
                                  <a:pt x="240" y="203"/>
                                </a:lnTo>
                                <a:lnTo>
                                  <a:pt x="254" y="203"/>
                                </a:lnTo>
                                <a:lnTo>
                                  <a:pt x="254" y="148"/>
                                </a:lnTo>
                                <a:close/>
                                <a:moveTo>
                                  <a:pt x="290" y="467"/>
                                </a:moveTo>
                                <a:lnTo>
                                  <a:pt x="289" y="467"/>
                                </a:lnTo>
                                <a:lnTo>
                                  <a:pt x="289" y="428"/>
                                </a:lnTo>
                                <a:lnTo>
                                  <a:pt x="287" y="428"/>
                                </a:lnTo>
                                <a:lnTo>
                                  <a:pt x="281" y="421"/>
                                </a:lnTo>
                                <a:lnTo>
                                  <a:pt x="281" y="420"/>
                                </a:lnTo>
                                <a:lnTo>
                                  <a:pt x="279" y="420"/>
                                </a:lnTo>
                                <a:lnTo>
                                  <a:pt x="279" y="380"/>
                                </a:lnTo>
                                <a:lnTo>
                                  <a:pt x="278" y="380"/>
                                </a:lnTo>
                                <a:lnTo>
                                  <a:pt x="272" y="374"/>
                                </a:lnTo>
                                <a:lnTo>
                                  <a:pt x="272" y="372"/>
                                </a:lnTo>
                                <a:lnTo>
                                  <a:pt x="259" y="372"/>
                                </a:lnTo>
                                <a:lnTo>
                                  <a:pt x="259" y="386"/>
                                </a:lnTo>
                                <a:lnTo>
                                  <a:pt x="265" y="386"/>
                                </a:lnTo>
                                <a:lnTo>
                                  <a:pt x="265" y="426"/>
                                </a:lnTo>
                                <a:lnTo>
                                  <a:pt x="264" y="428"/>
                                </a:lnTo>
                                <a:lnTo>
                                  <a:pt x="272" y="435"/>
                                </a:lnTo>
                                <a:lnTo>
                                  <a:pt x="273" y="434"/>
                                </a:lnTo>
                                <a:lnTo>
                                  <a:pt x="275" y="434"/>
                                </a:lnTo>
                                <a:lnTo>
                                  <a:pt x="275" y="473"/>
                                </a:lnTo>
                                <a:lnTo>
                                  <a:pt x="273" y="475"/>
                                </a:lnTo>
                                <a:lnTo>
                                  <a:pt x="281" y="483"/>
                                </a:lnTo>
                                <a:lnTo>
                                  <a:pt x="282" y="481"/>
                                </a:lnTo>
                                <a:lnTo>
                                  <a:pt x="290" y="481"/>
                                </a:lnTo>
                                <a:lnTo>
                                  <a:pt x="290" y="467"/>
                                </a:lnTo>
                                <a:close/>
                                <a:moveTo>
                                  <a:pt x="357" y="571"/>
                                </a:moveTo>
                                <a:lnTo>
                                  <a:pt x="355" y="571"/>
                                </a:lnTo>
                                <a:lnTo>
                                  <a:pt x="349" y="564"/>
                                </a:lnTo>
                                <a:lnTo>
                                  <a:pt x="349" y="563"/>
                                </a:lnTo>
                                <a:lnTo>
                                  <a:pt x="340" y="563"/>
                                </a:lnTo>
                                <a:lnTo>
                                  <a:pt x="340" y="522"/>
                                </a:lnTo>
                                <a:lnTo>
                                  <a:pt x="338" y="522"/>
                                </a:lnTo>
                                <a:lnTo>
                                  <a:pt x="331" y="515"/>
                                </a:lnTo>
                                <a:lnTo>
                                  <a:pt x="331" y="514"/>
                                </a:lnTo>
                                <a:lnTo>
                                  <a:pt x="331" y="474"/>
                                </a:lnTo>
                                <a:lnTo>
                                  <a:pt x="330" y="474"/>
                                </a:lnTo>
                                <a:lnTo>
                                  <a:pt x="324" y="469"/>
                                </a:lnTo>
                                <a:lnTo>
                                  <a:pt x="324" y="467"/>
                                </a:lnTo>
                                <a:lnTo>
                                  <a:pt x="322" y="467"/>
                                </a:lnTo>
                                <a:lnTo>
                                  <a:pt x="322" y="470"/>
                                </a:lnTo>
                                <a:lnTo>
                                  <a:pt x="316" y="475"/>
                                </a:lnTo>
                                <a:lnTo>
                                  <a:pt x="317" y="476"/>
                                </a:lnTo>
                                <a:lnTo>
                                  <a:pt x="317" y="521"/>
                                </a:lnTo>
                                <a:lnTo>
                                  <a:pt x="316" y="522"/>
                                </a:lnTo>
                                <a:lnTo>
                                  <a:pt x="324" y="530"/>
                                </a:lnTo>
                                <a:lnTo>
                                  <a:pt x="325" y="528"/>
                                </a:lnTo>
                                <a:lnTo>
                                  <a:pt x="325" y="570"/>
                                </a:lnTo>
                                <a:lnTo>
                                  <a:pt x="324" y="571"/>
                                </a:lnTo>
                                <a:lnTo>
                                  <a:pt x="331" y="578"/>
                                </a:lnTo>
                                <a:lnTo>
                                  <a:pt x="333" y="577"/>
                                </a:lnTo>
                                <a:lnTo>
                                  <a:pt x="348" y="577"/>
                                </a:lnTo>
                                <a:lnTo>
                                  <a:pt x="349" y="578"/>
                                </a:lnTo>
                                <a:lnTo>
                                  <a:pt x="353" y="574"/>
                                </a:lnTo>
                                <a:lnTo>
                                  <a:pt x="357" y="574"/>
                                </a:lnTo>
                                <a:lnTo>
                                  <a:pt x="357" y="571"/>
                                </a:lnTo>
                                <a:close/>
                                <a:moveTo>
                                  <a:pt x="433" y="619"/>
                                </a:moveTo>
                                <a:lnTo>
                                  <a:pt x="431" y="619"/>
                                </a:lnTo>
                                <a:lnTo>
                                  <a:pt x="425" y="613"/>
                                </a:lnTo>
                                <a:lnTo>
                                  <a:pt x="425" y="612"/>
                                </a:lnTo>
                                <a:lnTo>
                                  <a:pt x="357" y="612"/>
                                </a:lnTo>
                                <a:lnTo>
                                  <a:pt x="357" y="605"/>
                                </a:lnTo>
                                <a:lnTo>
                                  <a:pt x="343" y="605"/>
                                </a:lnTo>
                                <a:lnTo>
                                  <a:pt x="343" y="618"/>
                                </a:lnTo>
                                <a:lnTo>
                                  <a:pt x="341" y="619"/>
                                </a:lnTo>
                                <a:lnTo>
                                  <a:pt x="349" y="628"/>
                                </a:lnTo>
                                <a:lnTo>
                                  <a:pt x="350" y="626"/>
                                </a:lnTo>
                                <a:lnTo>
                                  <a:pt x="419" y="626"/>
                                </a:lnTo>
                                <a:lnTo>
                                  <a:pt x="419" y="656"/>
                                </a:lnTo>
                                <a:lnTo>
                                  <a:pt x="433" y="656"/>
                                </a:lnTo>
                                <a:lnTo>
                                  <a:pt x="433" y="619"/>
                                </a:lnTo>
                                <a:close/>
                                <a:moveTo>
                                  <a:pt x="475" y="718"/>
                                </a:moveTo>
                                <a:lnTo>
                                  <a:pt x="474" y="718"/>
                                </a:lnTo>
                                <a:lnTo>
                                  <a:pt x="468" y="711"/>
                                </a:lnTo>
                                <a:lnTo>
                                  <a:pt x="468" y="709"/>
                                </a:lnTo>
                                <a:lnTo>
                                  <a:pt x="442" y="709"/>
                                </a:lnTo>
                                <a:lnTo>
                                  <a:pt x="442" y="678"/>
                                </a:lnTo>
                                <a:lnTo>
                                  <a:pt x="428" y="678"/>
                                </a:lnTo>
                                <a:lnTo>
                                  <a:pt x="428" y="716"/>
                                </a:lnTo>
                                <a:lnTo>
                                  <a:pt x="427" y="718"/>
                                </a:lnTo>
                                <a:lnTo>
                                  <a:pt x="434" y="726"/>
                                </a:lnTo>
                                <a:lnTo>
                                  <a:pt x="436" y="724"/>
                                </a:lnTo>
                                <a:lnTo>
                                  <a:pt x="461" y="724"/>
                                </a:lnTo>
                                <a:lnTo>
                                  <a:pt x="461" y="771"/>
                                </a:lnTo>
                                <a:lnTo>
                                  <a:pt x="475" y="771"/>
                                </a:lnTo>
                                <a:lnTo>
                                  <a:pt x="475" y="718"/>
                                </a:lnTo>
                                <a:close/>
                                <a:moveTo>
                                  <a:pt x="501" y="820"/>
                                </a:moveTo>
                                <a:lnTo>
                                  <a:pt x="499" y="820"/>
                                </a:lnTo>
                                <a:lnTo>
                                  <a:pt x="493" y="813"/>
                                </a:lnTo>
                                <a:lnTo>
                                  <a:pt x="493" y="812"/>
                                </a:lnTo>
                                <a:lnTo>
                                  <a:pt x="475" y="812"/>
                                </a:lnTo>
                                <a:lnTo>
                                  <a:pt x="475" y="802"/>
                                </a:lnTo>
                                <a:lnTo>
                                  <a:pt x="461" y="802"/>
                                </a:lnTo>
                                <a:lnTo>
                                  <a:pt x="461" y="819"/>
                                </a:lnTo>
                                <a:lnTo>
                                  <a:pt x="460" y="820"/>
                                </a:lnTo>
                                <a:lnTo>
                                  <a:pt x="468" y="828"/>
                                </a:lnTo>
                                <a:lnTo>
                                  <a:pt x="469" y="826"/>
                                </a:lnTo>
                                <a:lnTo>
                                  <a:pt x="486" y="826"/>
                                </a:lnTo>
                                <a:lnTo>
                                  <a:pt x="486" y="904"/>
                                </a:lnTo>
                                <a:lnTo>
                                  <a:pt x="501" y="904"/>
                                </a:lnTo>
                                <a:lnTo>
                                  <a:pt x="501" y="820"/>
                                </a:lnTo>
                                <a:close/>
                                <a:moveTo>
                                  <a:pt x="577" y="970"/>
                                </a:moveTo>
                                <a:lnTo>
                                  <a:pt x="510" y="970"/>
                                </a:lnTo>
                                <a:lnTo>
                                  <a:pt x="510" y="926"/>
                                </a:lnTo>
                                <a:lnTo>
                                  <a:pt x="496" y="926"/>
                                </a:lnTo>
                                <a:lnTo>
                                  <a:pt x="496" y="977"/>
                                </a:lnTo>
                                <a:lnTo>
                                  <a:pt x="495" y="978"/>
                                </a:lnTo>
                                <a:lnTo>
                                  <a:pt x="502" y="986"/>
                                </a:lnTo>
                                <a:lnTo>
                                  <a:pt x="504" y="984"/>
                                </a:lnTo>
                                <a:lnTo>
                                  <a:pt x="577" y="984"/>
                                </a:lnTo>
                                <a:lnTo>
                                  <a:pt x="577" y="970"/>
                                </a:lnTo>
                                <a:close/>
                                <a:moveTo>
                                  <a:pt x="626" y="1079"/>
                                </a:moveTo>
                                <a:lnTo>
                                  <a:pt x="612" y="1079"/>
                                </a:lnTo>
                                <a:lnTo>
                                  <a:pt x="612" y="1032"/>
                                </a:lnTo>
                                <a:lnTo>
                                  <a:pt x="610" y="1032"/>
                                </a:lnTo>
                                <a:lnTo>
                                  <a:pt x="610" y="1031"/>
                                </a:lnTo>
                                <a:lnTo>
                                  <a:pt x="603" y="1026"/>
                                </a:lnTo>
                                <a:lnTo>
                                  <a:pt x="603" y="1023"/>
                                </a:lnTo>
                                <a:lnTo>
                                  <a:pt x="596" y="1023"/>
                                </a:lnTo>
                                <a:lnTo>
                                  <a:pt x="596" y="999"/>
                                </a:lnTo>
                                <a:lnTo>
                                  <a:pt x="582" y="999"/>
                                </a:lnTo>
                                <a:lnTo>
                                  <a:pt x="582" y="1030"/>
                                </a:lnTo>
                                <a:lnTo>
                                  <a:pt x="580" y="1031"/>
                                </a:lnTo>
                                <a:lnTo>
                                  <a:pt x="588" y="1040"/>
                                </a:lnTo>
                                <a:lnTo>
                                  <a:pt x="589" y="1038"/>
                                </a:lnTo>
                                <a:lnTo>
                                  <a:pt x="597" y="1038"/>
                                </a:lnTo>
                                <a:lnTo>
                                  <a:pt x="597" y="1086"/>
                                </a:lnTo>
                                <a:lnTo>
                                  <a:pt x="596" y="1087"/>
                                </a:lnTo>
                                <a:lnTo>
                                  <a:pt x="603" y="1095"/>
                                </a:lnTo>
                                <a:lnTo>
                                  <a:pt x="605" y="1093"/>
                                </a:lnTo>
                                <a:lnTo>
                                  <a:pt x="626" y="1093"/>
                                </a:lnTo>
                                <a:lnTo>
                                  <a:pt x="626" y="1079"/>
                                </a:lnTo>
                                <a:close/>
                                <a:moveTo>
                                  <a:pt x="782" y="1087"/>
                                </a:moveTo>
                                <a:lnTo>
                                  <a:pt x="781" y="1087"/>
                                </a:lnTo>
                                <a:lnTo>
                                  <a:pt x="774" y="1081"/>
                                </a:lnTo>
                                <a:lnTo>
                                  <a:pt x="774" y="1079"/>
                                </a:lnTo>
                                <a:lnTo>
                                  <a:pt x="657" y="1079"/>
                                </a:lnTo>
                                <a:lnTo>
                                  <a:pt x="657" y="1093"/>
                                </a:lnTo>
                                <a:lnTo>
                                  <a:pt x="768" y="1093"/>
                                </a:lnTo>
                                <a:lnTo>
                                  <a:pt x="768" y="1096"/>
                                </a:lnTo>
                                <a:lnTo>
                                  <a:pt x="782" y="1096"/>
                                </a:lnTo>
                                <a:lnTo>
                                  <a:pt x="782" y="1087"/>
                                </a:lnTo>
                                <a:close/>
                                <a:moveTo>
                                  <a:pt x="843" y="1142"/>
                                </a:moveTo>
                                <a:lnTo>
                                  <a:pt x="841" y="1142"/>
                                </a:lnTo>
                                <a:lnTo>
                                  <a:pt x="834" y="1136"/>
                                </a:lnTo>
                                <a:lnTo>
                                  <a:pt x="834" y="1134"/>
                                </a:lnTo>
                                <a:lnTo>
                                  <a:pt x="782" y="1134"/>
                                </a:lnTo>
                                <a:lnTo>
                                  <a:pt x="782" y="1127"/>
                                </a:lnTo>
                                <a:lnTo>
                                  <a:pt x="768" y="1127"/>
                                </a:lnTo>
                                <a:lnTo>
                                  <a:pt x="768" y="1141"/>
                                </a:lnTo>
                                <a:lnTo>
                                  <a:pt x="767" y="1142"/>
                                </a:lnTo>
                                <a:lnTo>
                                  <a:pt x="774" y="1150"/>
                                </a:lnTo>
                                <a:lnTo>
                                  <a:pt x="775" y="1148"/>
                                </a:lnTo>
                                <a:lnTo>
                                  <a:pt x="828" y="1148"/>
                                </a:lnTo>
                                <a:lnTo>
                                  <a:pt x="828" y="1194"/>
                                </a:lnTo>
                                <a:lnTo>
                                  <a:pt x="843" y="1194"/>
                                </a:lnTo>
                                <a:lnTo>
                                  <a:pt x="843" y="1142"/>
                                </a:lnTo>
                                <a:close/>
                                <a:moveTo>
                                  <a:pt x="910" y="1254"/>
                                </a:moveTo>
                                <a:lnTo>
                                  <a:pt x="902" y="1254"/>
                                </a:lnTo>
                                <a:lnTo>
                                  <a:pt x="902" y="1247"/>
                                </a:lnTo>
                                <a:lnTo>
                                  <a:pt x="885" y="1247"/>
                                </a:lnTo>
                                <a:lnTo>
                                  <a:pt x="885" y="1199"/>
                                </a:lnTo>
                                <a:lnTo>
                                  <a:pt x="883" y="1199"/>
                                </a:lnTo>
                                <a:lnTo>
                                  <a:pt x="877" y="1192"/>
                                </a:lnTo>
                                <a:lnTo>
                                  <a:pt x="877" y="1191"/>
                                </a:lnTo>
                                <a:lnTo>
                                  <a:pt x="861" y="1191"/>
                                </a:lnTo>
                                <a:lnTo>
                                  <a:pt x="861" y="1205"/>
                                </a:lnTo>
                                <a:lnTo>
                                  <a:pt x="871" y="1205"/>
                                </a:lnTo>
                                <a:lnTo>
                                  <a:pt x="871" y="1253"/>
                                </a:lnTo>
                                <a:lnTo>
                                  <a:pt x="869" y="1254"/>
                                </a:lnTo>
                                <a:lnTo>
                                  <a:pt x="877" y="1262"/>
                                </a:lnTo>
                                <a:lnTo>
                                  <a:pt x="878" y="1261"/>
                                </a:lnTo>
                                <a:lnTo>
                                  <a:pt x="896" y="1261"/>
                                </a:lnTo>
                                <a:lnTo>
                                  <a:pt x="896" y="1284"/>
                                </a:lnTo>
                                <a:lnTo>
                                  <a:pt x="910" y="1284"/>
                                </a:lnTo>
                                <a:lnTo>
                                  <a:pt x="910" y="1254"/>
                                </a:lnTo>
                                <a:close/>
                              </a:path>
                            </a:pathLst>
                          </a:custGeom>
                          <a:solidFill>
                            <a:srgbClr val="6D6D63"/>
                          </a:solidFill>
                          <a:ln>
                            <a:noFill/>
                          </a:ln>
                        </wps:spPr>
                        <wps:bodyPr rot="0" vert="horz" wrap="square" lIns="91440" tIns="45720" rIns="91440" bIns="45720" anchor="t" anchorCtr="0" upright="1">
                          <a:noAutofit/>
                        </wps:bodyPr>
                      </wps:wsp>
                      <wps:wsp>
                        <wps:cNvPr id="49" name="AutoShape 240"/>
                        <wps:cNvSpPr/>
                        <wps:spPr bwMode="auto">
                          <a:xfrm>
                            <a:off x="3759" y="1409"/>
                            <a:ext cx="1621" cy="1591"/>
                          </a:xfrm>
                          <a:custGeom>
                            <a:avLst/>
                            <a:gdLst>
                              <a:gd name="T0" fmla="+- 0 3767 3760"/>
                              <a:gd name="T1" fmla="*/ T0 w 1621"/>
                              <a:gd name="T2" fmla="+- 0 1410 1410"/>
                              <a:gd name="T3" fmla="*/ 1410 h 1591"/>
                              <a:gd name="T4" fmla="+- 0 3775 3760"/>
                              <a:gd name="T5" fmla="*/ T4 w 1621"/>
                              <a:gd name="T6" fmla="+- 0 1446 1410"/>
                              <a:gd name="T7" fmla="*/ 1446 h 1591"/>
                              <a:gd name="T8" fmla="+- 0 3816 3760"/>
                              <a:gd name="T9" fmla="*/ T8 w 1621"/>
                              <a:gd name="T10" fmla="+- 0 1528 1410"/>
                              <a:gd name="T11" fmla="*/ 1528 h 1591"/>
                              <a:gd name="T12" fmla="+- 0 3801 3760"/>
                              <a:gd name="T13" fmla="*/ T12 w 1621"/>
                              <a:gd name="T14" fmla="+- 0 1472 1410"/>
                              <a:gd name="T15" fmla="*/ 1472 h 1591"/>
                              <a:gd name="T16" fmla="+- 0 3793 3760"/>
                              <a:gd name="T17" fmla="*/ T16 w 1621"/>
                              <a:gd name="T18" fmla="+- 0 1465 1410"/>
                              <a:gd name="T19" fmla="*/ 1465 h 1591"/>
                              <a:gd name="T20" fmla="+- 0 3787 3760"/>
                              <a:gd name="T21" fmla="*/ T20 w 1621"/>
                              <a:gd name="T22" fmla="+- 0 1527 1410"/>
                              <a:gd name="T23" fmla="*/ 1527 h 1591"/>
                              <a:gd name="T24" fmla="+- 0 3804 3760"/>
                              <a:gd name="T25" fmla="*/ T24 w 1621"/>
                              <a:gd name="T26" fmla="+- 0 1534 1410"/>
                              <a:gd name="T27" fmla="*/ 1534 h 1591"/>
                              <a:gd name="T28" fmla="+- 0 3877 3760"/>
                              <a:gd name="T29" fmla="*/ T28 w 1621"/>
                              <a:gd name="T30" fmla="+- 0 1651 1410"/>
                              <a:gd name="T31" fmla="*/ 1651 h 1591"/>
                              <a:gd name="T32" fmla="+- 0 3869 3760"/>
                              <a:gd name="T33" fmla="*/ T32 w 1621"/>
                              <a:gd name="T34" fmla="+- 0 1644 1410"/>
                              <a:gd name="T35" fmla="*/ 1644 h 1591"/>
                              <a:gd name="T36" fmla="+- 0 3861 3760"/>
                              <a:gd name="T37" fmla="*/ T36 w 1621"/>
                              <a:gd name="T38" fmla="+- 0 1579 1410"/>
                              <a:gd name="T39" fmla="*/ 1579 h 1591"/>
                              <a:gd name="T40" fmla="+- 0 3853 3760"/>
                              <a:gd name="T41" fmla="*/ T40 w 1621"/>
                              <a:gd name="T42" fmla="+- 0 1659 1410"/>
                              <a:gd name="T43" fmla="*/ 1659 h 1591"/>
                              <a:gd name="T44" fmla="+- 0 3877 3760"/>
                              <a:gd name="T45" fmla="*/ T44 w 1621"/>
                              <a:gd name="T46" fmla="+- 0 1651 1410"/>
                              <a:gd name="T47" fmla="*/ 1651 h 1591"/>
                              <a:gd name="T48" fmla="+- 0 3863 3760"/>
                              <a:gd name="T49" fmla="*/ T48 w 1621"/>
                              <a:gd name="T50" fmla="+- 0 1692 1410"/>
                              <a:gd name="T51" fmla="*/ 1692 h 1591"/>
                              <a:gd name="T52" fmla="+- 0 3870 3760"/>
                              <a:gd name="T53" fmla="*/ T52 w 1621"/>
                              <a:gd name="T54" fmla="+- 0 1722 1410"/>
                              <a:gd name="T55" fmla="*/ 1722 h 1591"/>
                              <a:gd name="T56" fmla="+- 0 4003 3760"/>
                              <a:gd name="T57" fmla="*/ T56 w 1621"/>
                              <a:gd name="T58" fmla="+- 0 1708 1410"/>
                              <a:gd name="T59" fmla="*/ 1708 h 1591"/>
                              <a:gd name="T60" fmla="+- 0 4277 3760"/>
                              <a:gd name="T61" fmla="*/ T60 w 1621"/>
                              <a:gd name="T62" fmla="+- 0 1716 1410"/>
                              <a:gd name="T63" fmla="*/ 1716 h 1591"/>
                              <a:gd name="T64" fmla="+- 0 4269 3760"/>
                              <a:gd name="T65" fmla="*/ T64 w 1621"/>
                              <a:gd name="T66" fmla="+- 0 1708 1410"/>
                              <a:gd name="T67" fmla="*/ 1708 h 1591"/>
                              <a:gd name="T68" fmla="+- 0 4263 3760"/>
                              <a:gd name="T69" fmla="*/ T68 w 1621"/>
                              <a:gd name="T70" fmla="+- 0 1735 1410"/>
                              <a:gd name="T71" fmla="*/ 1735 h 1591"/>
                              <a:gd name="T72" fmla="+- 0 4302 3760"/>
                              <a:gd name="T73" fmla="*/ T72 w 1621"/>
                              <a:gd name="T74" fmla="+- 0 1859 1410"/>
                              <a:gd name="T75" fmla="*/ 1859 h 1591"/>
                              <a:gd name="T76" fmla="+- 0 4286 3760"/>
                              <a:gd name="T77" fmla="*/ T76 w 1621"/>
                              <a:gd name="T78" fmla="+- 0 1787 1410"/>
                              <a:gd name="T79" fmla="*/ 1787 h 1591"/>
                              <a:gd name="T80" fmla="+- 0 4278 3760"/>
                              <a:gd name="T81" fmla="*/ T80 w 1621"/>
                              <a:gd name="T82" fmla="+- 0 1781 1410"/>
                              <a:gd name="T83" fmla="*/ 1781 h 1591"/>
                              <a:gd name="T84" fmla="+- 0 4263 3760"/>
                              <a:gd name="T85" fmla="*/ T84 w 1621"/>
                              <a:gd name="T86" fmla="+- 0 1766 1410"/>
                              <a:gd name="T87" fmla="*/ 1766 h 1591"/>
                              <a:gd name="T88" fmla="+- 0 4270 3760"/>
                              <a:gd name="T89" fmla="*/ T88 w 1621"/>
                              <a:gd name="T90" fmla="+- 0 1793 1410"/>
                              <a:gd name="T91" fmla="*/ 1793 h 1591"/>
                              <a:gd name="T92" fmla="+- 0 4286 3760"/>
                              <a:gd name="T93" fmla="*/ T92 w 1621"/>
                              <a:gd name="T94" fmla="+- 0 1866 1410"/>
                              <a:gd name="T95" fmla="*/ 1866 h 1591"/>
                              <a:gd name="T96" fmla="+- 0 4297 3760"/>
                              <a:gd name="T97" fmla="*/ T96 w 1621"/>
                              <a:gd name="T98" fmla="+- 0 1866 1410"/>
                              <a:gd name="T99" fmla="*/ 1866 h 1591"/>
                              <a:gd name="T100" fmla="+- 0 4304 3760"/>
                              <a:gd name="T101" fmla="*/ T100 w 1621"/>
                              <a:gd name="T102" fmla="+- 0 1995 1410"/>
                              <a:gd name="T103" fmla="*/ 1995 h 1591"/>
                              <a:gd name="T104" fmla="+- 0 4304 3760"/>
                              <a:gd name="T105" fmla="*/ T104 w 1621"/>
                              <a:gd name="T106" fmla="+- 0 2011 1410"/>
                              <a:gd name="T107" fmla="*/ 2011 h 1591"/>
                              <a:gd name="T108" fmla="+- 0 4387 3760"/>
                              <a:gd name="T109" fmla="*/ T108 w 1621"/>
                              <a:gd name="T110" fmla="+- 0 2074 1410"/>
                              <a:gd name="T111" fmla="*/ 2074 h 1591"/>
                              <a:gd name="T112" fmla="+- 0 4336 3760"/>
                              <a:gd name="T113" fmla="*/ T112 w 1621"/>
                              <a:gd name="T114" fmla="+- 0 2066 1410"/>
                              <a:gd name="T115" fmla="*/ 2066 h 1591"/>
                              <a:gd name="T116" fmla="+- 0 4321 3760"/>
                              <a:gd name="T117" fmla="*/ T116 w 1621"/>
                              <a:gd name="T118" fmla="+- 0 2074 1410"/>
                              <a:gd name="T119" fmla="*/ 2074 h 1591"/>
                              <a:gd name="T120" fmla="+- 0 4373 3760"/>
                              <a:gd name="T121" fmla="*/ T120 w 1621"/>
                              <a:gd name="T122" fmla="+- 0 2097 1410"/>
                              <a:gd name="T123" fmla="*/ 2097 h 1591"/>
                              <a:gd name="T124" fmla="+- 0 4428 3760"/>
                              <a:gd name="T125" fmla="*/ T124 w 1621"/>
                              <a:gd name="T126" fmla="+- 0 2149 1410"/>
                              <a:gd name="T127" fmla="*/ 2149 h 1591"/>
                              <a:gd name="T128" fmla="+- 0 4387 3760"/>
                              <a:gd name="T129" fmla="*/ T128 w 1621"/>
                              <a:gd name="T130" fmla="+- 0 2142 1410"/>
                              <a:gd name="T131" fmla="*/ 2142 h 1591"/>
                              <a:gd name="T132" fmla="+- 0 4371 3760"/>
                              <a:gd name="T133" fmla="*/ T132 w 1621"/>
                              <a:gd name="T134" fmla="+- 0 2149 1410"/>
                              <a:gd name="T135" fmla="*/ 2149 h 1591"/>
                              <a:gd name="T136" fmla="+- 0 4416 3760"/>
                              <a:gd name="T137" fmla="*/ T136 w 1621"/>
                              <a:gd name="T138" fmla="+- 0 2213 1410"/>
                              <a:gd name="T139" fmla="*/ 2213 h 1591"/>
                              <a:gd name="T140" fmla="+- 0 4441 3760"/>
                              <a:gd name="T141" fmla="*/ T140 w 1621"/>
                              <a:gd name="T142" fmla="+- 0 2218 1410"/>
                              <a:gd name="T143" fmla="*/ 2218 h 1591"/>
                              <a:gd name="T144" fmla="+- 0 4725 3760"/>
                              <a:gd name="T145" fmla="*/ T144 w 1621"/>
                              <a:gd name="T146" fmla="+- 0 2218 1410"/>
                              <a:gd name="T147" fmla="*/ 2218 h 1591"/>
                              <a:gd name="T148" fmla="+- 0 4725 3760"/>
                              <a:gd name="T149" fmla="*/ T148 w 1621"/>
                              <a:gd name="T150" fmla="+- 0 2218 1410"/>
                              <a:gd name="T151" fmla="*/ 2218 h 1591"/>
                              <a:gd name="T152" fmla="+- 0 4779 3760"/>
                              <a:gd name="T153" fmla="*/ T152 w 1621"/>
                              <a:gd name="T154" fmla="+- 0 2294 1410"/>
                              <a:gd name="T155" fmla="*/ 2294 h 1591"/>
                              <a:gd name="T156" fmla="+- 0 4762 3760"/>
                              <a:gd name="T157" fmla="*/ T156 w 1621"/>
                              <a:gd name="T158" fmla="+- 0 2229 1410"/>
                              <a:gd name="T159" fmla="*/ 2229 h 1591"/>
                              <a:gd name="T160" fmla="+- 0 4762 3760"/>
                              <a:gd name="T161" fmla="*/ T160 w 1621"/>
                              <a:gd name="T162" fmla="+- 0 2306 1410"/>
                              <a:gd name="T163" fmla="*/ 2306 h 1591"/>
                              <a:gd name="T164" fmla="+- 0 4787 3760"/>
                              <a:gd name="T165" fmla="*/ T164 w 1621"/>
                              <a:gd name="T166" fmla="+- 0 2300 1410"/>
                              <a:gd name="T167" fmla="*/ 2300 h 1591"/>
                              <a:gd name="T168" fmla="+- 0 4772 3760"/>
                              <a:gd name="T169" fmla="*/ T168 w 1621"/>
                              <a:gd name="T170" fmla="+- 0 2361 1410"/>
                              <a:gd name="T171" fmla="*/ 2361 h 1591"/>
                              <a:gd name="T172" fmla="+- 0 4816 3760"/>
                              <a:gd name="T173" fmla="*/ T172 w 1621"/>
                              <a:gd name="T174" fmla="+- 0 2457 1410"/>
                              <a:gd name="T175" fmla="*/ 2457 h 1591"/>
                              <a:gd name="T176" fmla="+- 0 4849 3760"/>
                              <a:gd name="T177" fmla="*/ T176 w 1621"/>
                              <a:gd name="T178" fmla="+- 0 2530 1410"/>
                              <a:gd name="T179" fmla="*/ 2530 h 1591"/>
                              <a:gd name="T180" fmla="+- 0 4830 3760"/>
                              <a:gd name="T181" fmla="*/ T180 w 1621"/>
                              <a:gd name="T182" fmla="+- 0 2477 1410"/>
                              <a:gd name="T183" fmla="*/ 2477 h 1591"/>
                              <a:gd name="T184" fmla="+- 0 4822 3760"/>
                              <a:gd name="T185" fmla="*/ T184 w 1621"/>
                              <a:gd name="T186" fmla="+- 0 2544 1410"/>
                              <a:gd name="T187" fmla="*/ 2544 h 1591"/>
                              <a:gd name="T188" fmla="+- 0 4857 3760"/>
                              <a:gd name="T189" fmla="*/ T188 w 1621"/>
                              <a:gd name="T190" fmla="+- 0 2576 1410"/>
                              <a:gd name="T191" fmla="*/ 2576 h 1591"/>
                              <a:gd name="T192" fmla="+- 0 4917 3760"/>
                              <a:gd name="T193" fmla="*/ T192 w 1621"/>
                              <a:gd name="T194" fmla="+- 0 2617 1410"/>
                              <a:gd name="T195" fmla="*/ 2617 h 1591"/>
                              <a:gd name="T196" fmla="+- 0 4843 3760"/>
                              <a:gd name="T197" fmla="*/ T196 w 1621"/>
                              <a:gd name="T198" fmla="+- 0 2608 1410"/>
                              <a:gd name="T199" fmla="*/ 2608 h 1591"/>
                              <a:gd name="T200" fmla="+- 0 4850 3760"/>
                              <a:gd name="T201" fmla="*/ T200 w 1621"/>
                              <a:gd name="T202" fmla="+- 0 2629 1410"/>
                              <a:gd name="T203" fmla="*/ 2629 h 1591"/>
                              <a:gd name="T204" fmla="+- 0 4925 3760"/>
                              <a:gd name="T205" fmla="*/ T204 w 1621"/>
                              <a:gd name="T206" fmla="+- 0 2623 1410"/>
                              <a:gd name="T207" fmla="*/ 2623 h 1591"/>
                              <a:gd name="T208" fmla="+- 0 4911 3760"/>
                              <a:gd name="T209" fmla="*/ T208 w 1621"/>
                              <a:gd name="T210" fmla="+- 0 2698 1410"/>
                              <a:gd name="T211" fmla="*/ 2698 h 1591"/>
                              <a:gd name="T212" fmla="+- 0 4918 3760"/>
                              <a:gd name="T213" fmla="*/ T212 w 1621"/>
                              <a:gd name="T214" fmla="+- 0 2715 1410"/>
                              <a:gd name="T215" fmla="*/ 2715 h 1591"/>
                              <a:gd name="T216" fmla="+- 0 5044 3760"/>
                              <a:gd name="T217" fmla="*/ T216 w 1621"/>
                              <a:gd name="T218" fmla="+- 0 2795 1410"/>
                              <a:gd name="T219" fmla="*/ 2795 h 1591"/>
                              <a:gd name="T220" fmla="+- 0 5044 3760"/>
                              <a:gd name="T221" fmla="*/ T220 w 1621"/>
                              <a:gd name="T222" fmla="+- 0 2811 1410"/>
                              <a:gd name="T223" fmla="*/ 2811 h 1591"/>
                              <a:gd name="T224" fmla="+- 0 5254 3760"/>
                              <a:gd name="T225" fmla="*/ T224 w 1621"/>
                              <a:gd name="T226" fmla="+- 0 2795 1410"/>
                              <a:gd name="T227" fmla="*/ 2795 h 1591"/>
                              <a:gd name="T228" fmla="+- 0 5254 3760"/>
                              <a:gd name="T229" fmla="*/ T228 w 1621"/>
                              <a:gd name="T230" fmla="+- 0 2795 1410"/>
                              <a:gd name="T231" fmla="*/ 2795 h 1591"/>
                              <a:gd name="T232" fmla="+- 0 5360 3760"/>
                              <a:gd name="T233" fmla="*/ T232 w 1621"/>
                              <a:gd name="T234" fmla="+- 0 2795 1410"/>
                              <a:gd name="T235" fmla="*/ 2795 h 1591"/>
                              <a:gd name="T236" fmla="+- 0 5354 3760"/>
                              <a:gd name="T237" fmla="*/ T236 w 1621"/>
                              <a:gd name="T238" fmla="+- 0 2855 1410"/>
                              <a:gd name="T239" fmla="*/ 2855 h 1591"/>
                              <a:gd name="T240" fmla="+- 0 5368 3760"/>
                              <a:gd name="T241" fmla="*/ T240 w 1621"/>
                              <a:gd name="T242" fmla="+- 0 2985 1410"/>
                              <a:gd name="T243" fmla="*/ 2985 h 1591"/>
                              <a:gd name="T244" fmla="+- 0 5368 3760"/>
                              <a:gd name="T245" fmla="*/ T244 w 1621"/>
                              <a:gd name="T246" fmla="+- 0 3000 1410"/>
                              <a:gd name="T247" fmla="*/ 3000 h 1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21" h="1591">
                                <a:moveTo>
                                  <a:pt x="15" y="6"/>
                                </a:moveTo>
                                <a:lnTo>
                                  <a:pt x="14" y="6"/>
                                </a:lnTo>
                                <a:lnTo>
                                  <a:pt x="7" y="0"/>
                                </a:lnTo>
                                <a:lnTo>
                                  <a:pt x="0" y="6"/>
                                </a:lnTo>
                                <a:lnTo>
                                  <a:pt x="1" y="8"/>
                                </a:lnTo>
                                <a:lnTo>
                                  <a:pt x="1" y="36"/>
                                </a:lnTo>
                                <a:lnTo>
                                  <a:pt x="15" y="36"/>
                                </a:lnTo>
                                <a:lnTo>
                                  <a:pt x="15" y="6"/>
                                </a:lnTo>
                                <a:close/>
                                <a:moveTo>
                                  <a:pt x="58" y="118"/>
                                </a:moveTo>
                                <a:lnTo>
                                  <a:pt x="56" y="118"/>
                                </a:lnTo>
                                <a:lnTo>
                                  <a:pt x="50" y="112"/>
                                </a:lnTo>
                                <a:lnTo>
                                  <a:pt x="50" y="110"/>
                                </a:lnTo>
                                <a:lnTo>
                                  <a:pt x="41" y="110"/>
                                </a:lnTo>
                                <a:lnTo>
                                  <a:pt x="41" y="62"/>
                                </a:lnTo>
                                <a:lnTo>
                                  <a:pt x="39" y="62"/>
                                </a:lnTo>
                                <a:lnTo>
                                  <a:pt x="33" y="57"/>
                                </a:lnTo>
                                <a:lnTo>
                                  <a:pt x="33" y="55"/>
                                </a:lnTo>
                                <a:lnTo>
                                  <a:pt x="12" y="55"/>
                                </a:lnTo>
                                <a:lnTo>
                                  <a:pt x="12" y="69"/>
                                </a:lnTo>
                                <a:lnTo>
                                  <a:pt x="27" y="69"/>
                                </a:lnTo>
                                <a:lnTo>
                                  <a:pt x="27" y="117"/>
                                </a:lnTo>
                                <a:lnTo>
                                  <a:pt x="25" y="118"/>
                                </a:lnTo>
                                <a:lnTo>
                                  <a:pt x="33" y="126"/>
                                </a:lnTo>
                                <a:lnTo>
                                  <a:pt x="34" y="124"/>
                                </a:lnTo>
                                <a:lnTo>
                                  <a:pt x="44" y="124"/>
                                </a:lnTo>
                                <a:lnTo>
                                  <a:pt x="44" y="151"/>
                                </a:lnTo>
                                <a:lnTo>
                                  <a:pt x="58" y="151"/>
                                </a:lnTo>
                                <a:lnTo>
                                  <a:pt x="58" y="118"/>
                                </a:lnTo>
                                <a:close/>
                                <a:moveTo>
                                  <a:pt x="117" y="241"/>
                                </a:moveTo>
                                <a:lnTo>
                                  <a:pt x="115" y="241"/>
                                </a:lnTo>
                                <a:lnTo>
                                  <a:pt x="109" y="235"/>
                                </a:lnTo>
                                <a:lnTo>
                                  <a:pt x="109" y="234"/>
                                </a:lnTo>
                                <a:lnTo>
                                  <a:pt x="109" y="176"/>
                                </a:lnTo>
                                <a:lnTo>
                                  <a:pt x="107" y="176"/>
                                </a:lnTo>
                                <a:lnTo>
                                  <a:pt x="101" y="170"/>
                                </a:lnTo>
                                <a:lnTo>
                                  <a:pt x="101" y="169"/>
                                </a:lnTo>
                                <a:lnTo>
                                  <a:pt x="56" y="169"/>
                                </a:lnTo>
                                <a:lnTo>
                                  <a:pt x="56" y="183"/>
                                </a:lnTo>
                                <a:lnTo>
                                  <a:pt x="93" y="183"/>
                                </a:lnTo>
                                <a:lnTo>
                                  <a:pt x="93" y="249"/>
                                </a:lnTo>
                                <a:lnTo>
                                  <a:pt x="103" y="249"/>
                                </a:lnTo>
                                <a:lnTo>
                                  <a:pt x="103" y="251"/>
                                </a:lnTo>
                                <a:lnTo>
                                  <a:pt x="117" y="251"/>
                                </a:lnTo>
                                <a:lnTo>
                                  <a:pt x="117" y="241"/>
                                </a:lnTo>
                                <a:close/>
                                <a:moveTo>
                                  <a:pt x="211" y="298"/>
                                </a:moveTo>
                                <a:lnTo>
                                  <a:pt x="117" y="298"/>
                                </a:lnTo>
                                <a:lnTo>
                                  <a:pt x="117" y="282"/>
                                </a:lnTo>
                                <a:lnTo>
                                  <a:pt x="103" y="282"/>
                                </a:lnTo>
                                <a:lnTo>
                                  <a:pt x="103" y="305"/>
                                </a:lnTo>
                                <a:lnTo>
                                  <a:pt x="101" y="306"/>
                                </a:lnTo>
                                <a:lnTo>
                                  <a:pt x="109" y="314"/>
                                </a:lnTo>
                                <a:lnTo>
                                  <a:pt x="110" y="312"/>
                                </a:lnTo>
                                <a:lnTo>
                                  <a:pt x="211" y="312"/>
                                </a:lnTo>
                                <a:lnTo>
                                  <a:pt x="211" y="298"/>
                                </a:lnTo>
                                <a:close/>
                                <a:moveTo>
                                  <a:pt x="369" y="298"/>
                                </a:moveTo>
                                <a:lnTo>
                                  <a:pt x="243" y="298"/>
                                </a:lnTo>
                                <a:lnTo>
                                  <a:pt x="243" y="312"/>
                                </a:lnTo>
                                <a:lnTo>
                                  <a:pt x="369" y="312"/>
                                </a:lnTo>
                                <a:lnTo>
                                  <a:pt x="369" y="298"/>
                                </a:lnTo>
                                <a:close/>
                                <a:moveTo>
                                  <a:pt x="517" y="306"/>
                                </a:moveTo>
                                <a:lnTo>
                                  <a:pt x="515" y="306"/>
                                </a:lnTo>
                                <a:lnTo>
                                  <a:pt x="509" y="300"/>
                                </a:lnTo>
                                <a:lnTo>
                                  <a:pt x="509" y="298"/>
                                </a:lnTo>
                                <a:lnTo>
                                  <a:pt x="401" y="298"/>
                                </a:lnTo>
                                <a:lnTo>
                                  <a:pt x="401" y="312"/>
                                </a:lnTo>
                                <a:lnTo>
                                  <a:pt x="503" y="312"/>
                                </a:lnTo>
                                <a:lnTo>
                                  <a:pt x="503" y="325"/>
                                </a:lnTo>
                                <a:lnTo>
                                  <a:pt x="517" y="325"/>
                                </a:lnTo>
                                <a:lnTo>
                                  <a:pt x="517" y="306"/>
                                </a:lnTo>
                                <a:close/>
                                <a:moveTo>
                                  <a:pt x="544" y="449"/>
                                </a:moveTo>
                                <a:lnTo>
                                  <a:pt x="542" y="449"/>
                                </a:lnTo>
                                <a:lnTo>
                                  <a:pt x="535" y="443"/>
                                </a:lnTo>
                                <a:lnTo>
                                  <a:pt x="535" y="442"/>
                                </a:lnTo>
                                <a:lnTo>
                                  <a:pt x="526" y="442"/>
                                </a:lnTo>
                                <a:lnTo>
                                  <a:pt x="526" y="377"/>
                                </a:lnTo>
                                <a:lnTo>
                                  <a:pt x="524" y="377"/>
                                </a:lnTo>
                                <a:lnTo>
                                  <a:pt x="518" y="371"/>
                                </a:lnTo>
                                <a:lnTo>
                                  <a:pt x="518" y="369"/>
                                </a:lnTo>
                                <a:lnTo>
                                  <a:pt x="517" y="369"/>
                                </a:lnTo>
                                <a:lnTo>
                                  <a:pt x="517" y="356"/>
                                </a:lnTo>
                                <a:lnTo>
                                  <a:pt x="503" y="356"/>
                                </a:lnTo>
                                <a:lnTo>
                                  <a:pt x="503" y="375"/>
                                </a:lnTo>
                                <a:lnTo>
                                  <a:pt x="500" y="377"/>
                                </a:lnTo>
                                <a:lnTo>
                                  <a:pt x="509" y="385"/>
                                </a:lnTo>
                                <a:lnTo>
                                  <a:pt x="510" y="383"/>
                                </a:lnTo>
                                <a:lnTo>
                                  <a:pt x="510" y="457"/>
                                </a:lnTo>
                                <a:lnTo>
                                  <a:pt x="526" y="457"/>
                                </a:lnTo>
                                <a:lnTo>
                                  <a:pt x="526" y="456"/>
                                </a:lnTo>
                                <a:lnTo>
                                  <a:pt x="530" y="456"/>
                                </a:lnTo>
                                <a:lnTo>
                                  <a:pt x="534" y="456"/>
                                </a:lnTo>
                                <a:lnTo>
                                  <a:pt x="535" y="457"/>
                                </a:lnTo>
                                <a:lnTo>
                                  <a:pt x="537" y="456"/>
                                </a:lnTo>
                                <a:lnTo>
                                  <a:pt x="544" y="456"/>
                                </a:lnTo>
                                <a:lnTo>
                                  <a:pt x="544" y="449"/>
                                </a:lnTo>
                                <a:close/>
                                <a:moveTo>
                                  <a:pt x="556" y="585"/>
                                </a:moveTo>
                                <a:lnTo>
                                  <a:pt x="544" y="585"/>
                                </a:lnTo>
                                <a:lnTo>
                                  <a:pt x="544" y="487"/>
                                </a:lnTo>
                                <a:lnTo>
                                  <a:pt x="527" y="487"/>
                                </a:lnTo>
                                <a:lnTo>
                                  <a:pt x="527" y="601"/>
                                </a:lnTo>
                                <a:lnTo>
                                  <a:pt x="544" y="601"/>
                                </a:lnTo>
                                <a:lnTo>
                                  <a:pt x="544" y="600"/>
                                </a:lnTo>
                                <a:lnTo>
                                  <a:pt x="556" y="600"/>
                                </a:lnTo>
                                <a:lnTo>
                                  <a:pt x="556" y="585"/>
                                </a:lnTo>
                                <a:close/>
                                <a:moveTo>
                                  <a:pt x="627" y="664"/>
                                </a:moveTo>
                                <a:lnTo>
                                  <a:pt x="626" y="664"/>
                                </a:lnTo>
                                <a:lnTo>
                                  <a:pt x="620" y="658"/>
                                </a:lnTo>
                                <a:lnTo>
                                  <a:pt x="620" y="656"/>
                                </a:lnTo>
                                <a:lnTo>
                                  <a:pt x="576" y="656"/>
                                </a:lnTo>
                                <a:lnTo>
                                  <a:pt x="576" y="612"/>
                                </a:lnTo>
                                <a:lnTo>
                                  <a:pt x="562" y="612"/>
                                </a:lnTo>
                                <a:lnTo>
                                  <a:pt x="562" y="663"/>
                                </a:lnTo>
                                <a:lnTo>
                                  <a:pt x="561" y="664"/>
                                </a:lnTo>
                                <a:lnTo>
                                  <a:pt x="569" y="672"/>
                                </a:lnTo>
                                <a:lnTo>
                                  <a:pt x="570" y="670"/>
                                </a:lnTo>
                                <a:lnTo>
                                  <a:pt x="613" y="670"/>
                                </a:lnTo>
                                <a:lnTo>
                                  <a:pt x="613" y="687"/>
                                </a:lnTo>
                                <a:lnTo>
                                  <a:pt x="627" y="687"/>
                                </a:lnTo>
                                <a:lnTo>
                                  <a:pt x="627" y="664"/>
                                </a:lnTo>
                                <a:close/>
                                <a:moveTo>
                                  <a:pt x="670" y="739"/>
                                </a:moveTo>
                                <a:lnTo>
                                  <a:pt x="668" y="739"/>
                                </a:lnTo>
                                <a:lnTo>
                                  <a:pt x="662" y="733"/>
                                </a:lnTo>
                                <a:lnTo>
                                  <a:pt x="662" y="732"/>
                                </a:lnTo>
                                <a:lnTo>
                                  <a:pt x="627" y="732"/>
                                </a:lnTo>
                                <a:lnTo>
                                  <a:pt x="627" y="719"/>
                                </a:lnTo>
                                <a:lnTo>
                                  <a:pt x="613" y="719"/>
                                </a:lnTo>
                                <a:lnTo>
                                  <a:pt x="613" y="738"/>
                                </a:lnTo>
                                <a:lnTo>
                                  <a:pt x="611" y="739"/>
                                </a:lnTo>
                                <a:lnTo>
                                  <a:pt x="620" y="748"/>
                                </a:lnTo>
                                <a:lnTo>
                                  <a:pt x="621" y="746"/>
                                </a:lnTo>
                                <a:lnTo>
                                  <a:pt x="656" y="746"/>
                                </a:lnTo>
                                <a:lnTo>
                                  <a:pt x="656" y="803"/>
                                </a:lnTo>
                                <a:lnTo>
                                  <a:pt x="670" y="803"/>
                                </a:lnTo>
                                <a:lnTo>
                                  <a:pt x="670" y="739"/>
                                </a:lnTo>
                                <a:close/>
                                <a:moveTo>
                                  <a:pt x="807" y="808"/>
                                </a:moveTo>
                                <a:lnTo>
                                  <a:pt x="681" y="808"/>
                                </a:lnTo>
                                <a:lnTo>
                                  <a:pt x="681" y="822"/>
                                </a:lnTo>
                                <a:lnTo>
                                  <a:pt x="807" y="822"/>
                                </a:lnTo>
                                <a:lnTo>
                                  <a:pt x="807" y="808"/>
                                </a:lnTo>
                                <a:close/>
                                <a:moveTo>
                                  <a:pt x="965" y="808"/>
                                </a:moveTo>
                                <a:lnTo>
                                  <a:pt x="839" y="808"/>
                                </a:lnTo>
                                <a:lnTo>
                                  <a:pt x="839" y="822"/>
                                </a:lnTo>
                                <a:lnTo>
                                  <a:pt x="965" y="822"/>
                                </a:lnTo>
                                <a:lnTo>
                                  <a:pt x="965" y="808"/>
                                </a:lnTo>
                                <a:close/>
                                <a:moveTo>
                                  <a:pt x="1027" y="890"/>
                                </a:moveTo>
                                <a:lnTo>
                                  <a:pt x="1026" y="890"/>
                                </a:lnTo>
                                <a:lnTo>
                                  <a:pt x="1019" y="884"/>
                                </a:lnTo>
                                <a:lnTo>
                                  <a:pt x="1019" y="881"/>
                                </a:lnTo>
                                <a:lnTo>
                                  <a:pt x="1002" y="881"/>
                                </a:lnTo>
                                <a:lnTo>
                                  <a:pt x="1002" y="819"/>
                                </a:lnTo>
                                <a:lnTo>
                                  <a:pt x="986" y="819"/>
                                </a:lnTo>
                                <a:lnTo>
                                  <a:pt x="986" y="898"/>
                                </a:lnTo>
                                <a:lnTo>
                                  <a:pt x="1002" y="898"/>
                                </a:lnTo>
                                <a:lnTo>
                                  <a:pt x="1002" y="896"/>
                                </a:lnTo>
                                <a:lnTo>
                                  <a:pt x="1013" y="896"/>
                                </a:lnTo>
                                <a:lnTo>
                                  <a:pt x="1013" y="919"/>
                                </a:lnTo>
                                <a:lnTo>
                                  <a:pt x="1027" y="919"/>
                                </a:lnTo>
                                <a:lnTo>
                                  <a:pt x="1027" y="890"/>
                                </a:lnTo>
                                <a:close/>
                                <a:moveTo>
                                  <a:pt x="1056" y="1033"/>
                                </a:moveTo>
                                <a:lnTo>
                                  <a:pt x="1027" y="1033"/>
                                </a:lnTo>
                                <a:lnTo>
                                  <a:pt x="1027" y="951"/>
                                </a:lnTo>
                                <a:lnTo>
                                  <a:pt x="1012" y="951"/>
                                </a:lnTo>
                                <a:lnTo>
                                  <a:pt x="1012" y="1049"/>
                                </a:lnTo>
                                <a:lnTo>
                                  <a:pt x="1027" y="1049"/>
                                </a:lnTo>
                                <a:lnTo>
                                  <a:pt x="1027" y="1047"/>
                                </a:lnTo>
                                <a:lnTo>
                                  <a:pt x="1056" y="1047"/>
                                </a:lnTo>
                                <a:lnTo>
                                  <a:pt x="1056" y="1033"/>
                                </a:lnTo>
                                <a:close/>
                                <a:moveTo>
                                  <a:pt x="1097" y="1126"/>
                                </a:moveTo>
                                <a:lnTo>
                                  <a:pt x="1095" y="1126"/>
                                </a:lnTo>
                                <a:lnTo>
                                  <a:pt x="1089" y="1120"/>
                                </a:lnTo>
                                <a:lnTo>
                                  <a:pt x="1089" y="1119"/>
                                </a:lnTo>
                                <a:lnTo>
                                  <a:pt x="1070" y="1119"/>
                                </a:lnTo>
                                <a:lnTo>
                                  <a:pt x="1070" y="1067"/>
                                </a:lnTo>
                                <a:lnTo>
                                  <a:pt x="1056" y="1067"/>
                                </a:lnTo>
                                <a:lnTo>
                                  <a:pt x="1056" y="1125"/>
                                </a:lnTo>
                                <a:lnTo>
                                  <a:pt x="1054" y="1126"/>
                                </a:lnTo>
                                <a:lnTo>
                                  <a:pt x="1062" y="1134"/>
                                </a:lnTo>
                                <a:lnTo>
                                  <a:pt x="1063" y="1133"/>
                                </a:lnTo>
                                <a:lnTo>
                                  <a:pt x="1083" y="1133"/>
                                </a:lnTo>
                                <a:lnTo>
                                  <a:pt x="1083" y="1166"/>
                                </a:lnTo>
                                <a:lnTo>
                                  <a:pt x="1097" y="1166"/>
                                </a:lnTo>
                                <a:lnTo>
                                  <a:pt x="1097" y="1126"/>
                                </a:lnTo>
                                <a:close/>
                                <a:moveTo>
                                  <a:pt x="1165" y="1213"/>
                                </a:moveTo>
                                <a:lnTo>
                                  <a:pt x="1164" y="1213"/>
                                </a:lnTo>
                                <a:lnTo>
                                  <a:pt x="1157" y="1207"/>
                                </a:lnTo>
                                <a:lnTo>
                                  <a:pt x="1157" y="1205"/>
                                </a:lnTo>
                                <a:lnTo>
                                  <a:pt x="1097" y="1205"/>
                                </a:lnTo>
                                <a:lnTo>
                                  <a:pt x="1097" y="1198"/>
                                </a:lnTo>
                                <a:lnTo>
                                  <a:pt x="1083" y="1198"/>
                                </a:lnTo>
                                <a:lnTo>
                                  <a:pt x="1083" y="1212"/>
                                </a:lnTo>
                                <a:lnTo>
                                  <a:pt x="1081" y="1213"/>
                                </a:lnTo>
                                <a:lnTo>
                                  <a:pt x="1089" y="1221"/>
                                </a:lnTo>
                                <a:lnTo>
                                  <a:pt x="1090" y="1219"/>
                                </a:lnTo>
                                <a:lnTo>
                                  <a:pt x="1151" y="1219"/>
                                </a:lnTo>
                                <a:lnTo>
                                  <a:pt x="1151" y="1256"/>
                                </a:lnTo>
                                <a:lnTo>
                                  <a:pt x="1165" y="1256"/>
                                </a:lnTo>
                                <a:lnTo>
                                  <a:pt x="1165" y="1213"/>
                                </a:lnTo>
                                <a:close/>
                                <a:moveTo>
                                  <a:pt x="1272" y="1291"/>
                                </a:moveTo>
                                <a:lnTo>
                                  <a:pt x="1165" y="1291"/>
                                </a:lnTo>
                                <a:lnTo>
                                  <a:pt x="1165" y="1288"/>
                                </a:lnTo>
                                <a:lnTo>
                                  <a:pt x="1151" y="1288"/>
                                </a:lnTo>
                                <a:lnTo>
                                  <a:pt x="1151" y="1296"/>
                                </a:lnTo>
                                <a:lnTo>
                                  <a:pt x="1149" y="1298"/>
                                </a:lnTo>
                                <a:lnTo>
                                  <a:pt x="1157" y="1306"/>
                                </a:lnTo>
                                <a:lnTo>
                                  <a:pt x="1158" y="1305"/>
                                </a:lnTo>
                                <a:lnTo>
                                  <a:pt x="1272" y="1305"/>
                                </a:lnTo>
                                <a:lnTo>
                                  <a:pt x="1272" y="1291"/>
                                </a:lnTo>
                                <a:close/>
                                <a:moveTo>
                                  <a:pt x="1336" y="1385"/>
                                </a:moveTo>
                                <a:lnTo>
                                  <a:pt x="1284" y="1385"/>
                                </a:lnTo>
                                <a:lnTo>
                                  <a:pt x="1284" y="1327"/>
                                </a:lnTo>
                                <a:lnTo>
                                  <a:pt x="1268" y="1327"/>
                                </a:lnTo>
                                <a:lnTo>
                                  <a:pt x="1268" y="1401"/>
                                </a:lnTo>
                                <a:lnTo>
                                  <a:pt x="1284" y="1401"/>
                                </a:lnTo>
                                <a:lnTo>
                                  <a:pt x="1284" y="1399"/>
                                </a:lnTo>
                                <a:lnTo>
                                  <a:pt x="1336" y="1399"/>
                                </a:lnTo>
                                <a:lnTo>
                                  <a:pt x="1336" y="1385"/>
                                </a:lnTo>
                                <a:close/>
                                <a:moveTo>
                                  <a:pt x="1494" y="1385"/>
                                </a:moveTo>
                                <a:lnTo>
                                  <a:pt x="1367" y="1385"/>
                                </a:lnTo>
                                <a:lnTo>
                                  <a:pt x="1367" y="1399"/>
                                </a:lnTo>
                                <a:lnTo>
                                  <a:pt x="1494" y="1399"/>
                                </a:lnTo>
                                <a:lnTo>
                                  <a:pt x="1494" y="1385"/>
                                </a:lnTo>
                                <a:close/>
                                <a:moveTo>
                                  <a:pt x="1608" y="1393"/>
                                </a:moveTo>
                                <a:lnTo>
                                  <a:pt x="1606" y="1393"/>
                                </a:lnTo>
                                <a:lnTo>
                                  <a:pt x="1600" y="1387"/>
                                </a:lnTo>
                                <a:lnTo>
                                  <a:pt x="1600" y="1385"/>
                                </a:lnTo>
                                <a:lnTo>
                                  <a:pt x="1526" y="1385"/>
                                </a:lnTo>
                                <a:lnTo>
                                  <a:pt x="1526" y="1399"/>
                                </a:lnTo>
                                <a:lnTo>
                                  <a:pt x="1594" y="1399"/>
                                </a:lnTo>
                                <a:lnTo>
                                  <a:pt x="1594" y="1445"/>
                                </a:lnTo>
                                <a:lnTo>
                                  <a:pt x="1608" y="1445"/>
                                </a:lnTo>
                                <a:lnTo>
                                  <a:pt x="1608" y="1393"/>
                                </a:lnTo>
                                <a:close/>
                                <a:moveTo>
                                  <a:pt x="1620" y="1575"/>
                                </a:moveTo>
                                <a:lnTo>
                                  <a:pt x="1608" y="1575"/>
                                </a:lnTo>
                                <a:lnTo>
                                  <a:pt x="1608" y="1477"/>
                                </a:lnTo>
                                <a:lnTo>
                                  <a:pt x="1592" y="1477"/>
                                </a:lnTo>
                                <a:lnTo>
                                  <a:pt x="1592" y="1590"/>
                                </a:lnTo>
                                <a:lnTo>
                                  <a:pt x="1608" y="1590"/>
                                </a:lnTo>
                                <a:lnTo>
                                  <a:pt x="1608" y="1589"/>
                                </a:lnTo>
                                <a:lnTo>
                                  <a:pt x="1620" y="1589"/>
                                </a:lnTo>
                                <a:lnTo>
                                  <a:pt x="1620" y="1575"/>
                                </a:lnTo>
                                <a:close/>
                              </a:path>
                            </a:pathLst>
                          </a:custGeom>
                          <a:solidFill>
                            <a:srgbClr val="6D6D63"/>
                          </a:solidFill>
                          <a:ln>
                            <a:noFill/>
                          </a:ln>
                        </wps:spPr>
                        <wps:bodyPr rot="0" vert="horz" wrap="square" lIns="91440" tIns="45720" rIns="91440" bIns="45720" anchor="t" anchorCtr="0" upright="1">
                          <a:noAutofit/>
                        </wps:bodyPr>
                      </wps:wsp>
                      <wps:wsp>
                        <wps:cNvPr id="50" name="AutoShape 239"/>
                        <wps:cNvSpPr/>
                        <wps:spPr bwMode="auto">
                          <a:xfrm>
                            <a:off x="5359" y="2984"/>
                            <a:ext cx="612" cy="444"/>
                          </a:xfrm>
                          <a:custGeom>
                            <a:avLst/>
                            <a:gdLst>
                              <a:gd name="T0" fmla="+- 0 5359 5359"/>
                              <a:gd name="T1" fmla="*/ T0 w 612"/>
                              <a:gd name="T2" fmla="+- 0 2985 2985"/>
                              <a:gd name="T3" fmla="*/ 2985 h 444"/>
                              <a:gd name="T4" fmla="+- 0 5380 5359"/>
                              <a:gd name="T5" fmla="*/ T4 w 612"/>
                              <a:gd name="T6" fmla="+- 0 2999 2985"/>
                              <a:gd name="T7" fmla="*/ 2999 h 444"/>
                              <a:gd name="T8" fmla="+- 0 5538 5359"/>
                              <a:gd name="T9" fmla="*/ T8 w 612"/>
                              <a:gd name="T10" fmla="+- 0 2985 2985"/>
                              <a:gd name="T11" fmla="*/ 2985 h 444"/>
                              <a:gd name="T12" fmla="+- 0 5412 5359"/>
                              <a:gd name="T13" fmla="*/ T12 w 612"/>
                              <a:gd name="T14" fmla="+- 0 2999 2985"/>
                              <a:gd name="T15" fmla="*/ 2999 h 444"/>
                              <a:gd name="T16" fmla="+- 0 5538 5359"/>
                              <a:gd name="T17" fmla="*/ T16 w 612"/>
                              <a:gd name="T18" fmla="+- 0 2985 2985"/>
                              <a:gd name="T19" fmla="*/ 2985 h 444"/>
                              <a:gd name="T20" fmla="+- 0 5689 5359"/>
                              <a:gd name="T21" fmla="*/ T20 w 612"/>
                              <a:gd name="T22" fmla="+- 0 2992 2985"/>
                              <a:gd name="T23" fmla="*/ 2992 h 444"/>
                              <a:gd name="T24" fmla="+- 0 5682 5359"/>
                              <a:gd name="T25" fmla="*/ T24 w 612"/>
                              <a:gd name="T26" fmla="+- 0 2986 2985"/>
                              <a:gd name="T27" fmla="*/ 2986 h 444"/>
                              <a:gd name="T28" fmla="+- 0 5570 5359"/>
                              <a:gd name="T29" fmla="*/ T28 w 612"/>
                              <a:gd name="T30" fmla="+- 0 2985 2985"/>
                              <a:gd name="T31" fmla="*/ 2985 h 444"/>
                              <a:gd name="T32" fmla="+- 0 5676 5359"/>
                              <a:gd name="T33" fmla="*/ T32 w 612"/>
                              <a:gd name="T34" fmla="+- 0 2999 2985"/>
                              <a:gd name="T35" fmla="*/ 2999 h 444"/>
                              <a:gd name="T36" fmla="+- 0 5690 5359"/>
                              <a:gd name="T37" fmla="*/ T36 w 612"/>
                              <a:gd name="T38" fmla="+- 0 3006 2985"/>
                              <a:gd name="T39" fmla="*/ 3006 h 444"/>
                              <a:gd name="T40" fmla="+- 0 5743 5359"/>
                              <a:gd name="T41" fmla="*/ T40 w 612"/>
                              <a:gd name="T42" fmla="+- 0 3087 2985"/>
                              <a:gd name="T43" fmla="*/ 3087 h 444"/>
                              <a:gd name="T44" fmla="+- 0 5734 5359"/>
                              <a:gd name="T45" fmla="*/ T44 w 612"/>
                              <a:gd name="T46" fmla="+- 0 3081 2985"/>
                              <a:gd name="T47" fmla="*/ 3081 h 444"/>
                              <a:gd name="T48" fmla="+- 0 5690 5359"/>
                              <a:gd name="T49" fmla="*/ T48 w 612"/>
                              <a:gd name="T50" fmla="+- 0 3079 2985"/>
                              <a:gd name="T51" fmla="*/ 3079 h 444"/>
                              <a:gd name="T52" fmla="+- 0 5676 5359"/>
                              <a:gd name="T53" fmla="*/ T52 w 612"/>
                              <a:gd name="T54" fmla="+- 0 3038 2985"/>
                              <a:gd name="T55" fmla="*/ 3038 h 444"/>
                              <a:gd name="T56" fmla="+- 0 5675 5359"/>
                              <a:gd name="T57" fmla="*/ T56 w 612"/>
                              <a:gd name="T58" fmla="+- 0 3087 2985"/>
                              <a:gd name="T59" fmla="*/ 3087 h 444"/>
                              <a:gd name="T60" fmla="+- 0 5683 5359"/>
                              <a:gd name="T61" fmla="*/ T60 w 612"/>
                              <a:gd name="T62" fmla="+- 0 3093 2985"/>
                              <a:gd name="T63" fmla="*/ 3093 h 444"/>
                              <a:gd name="T64" fmla="+- 0 5728 5359"/>
                              <a:gd name="T65" fmla="*/ T64 w 612"/>
                              <a:gd name="T66" fmla="+- 0 3112 2985"/>
                              <a:gd name="T67" fmla="*/ 3112 h 444"/>
                              <a:gd name="T68" fmla="+- 0 5743 5359"/>
                              <a:gd name="T69" fmla="*/ T68 w 612"/>
                              <a:gd name="T70" fmla="+- 0 3087 2985"/>
                              <a:gd name="T71" fmla="*/ 3087 h 444"/>
                              <a:gd name="T72" fmla="+- 0 5743 5359"/>
                              <a:gd name="T73" fmla="*/ T72 w 612"/>
                              <a:gd name="T74" fmla="+- 0 3193 2985"/>
                              <a:gd name="T75" fmla="*/ 3193 h 444"/>
                              <a:gd name="T76" fmla="+- 0 5728 5359"/>
                              <a:gd name="T77" fmla="*/ T76 w 612"/>
                              <a:gd name="T78" fmla="+- 0 3144 2985"/>
                              <a:gd name="T79" fmla="*/ 3144 h 444"/>
                              <a:gd name="T80" fmla="+- 0 5727 5359"/>
                              <a:gd name="T81" fmla="*/ T80 w 612"/>
                              <a:gd name="T82" fmla="+- 0 3200 2985"/>
                              <a:gd name="T83" fmla="*/ 3200 h 444"/>
                              <a:gd name="T84" fmla="+- 0 5736 5359"/>
                              <a:gd name="T85" fmla="*/ T84 w 612"/>
                              <a:gd name="T86" fmla="+- 0 3207 2985"/>
                              <a:gd name="T87" fmla="*/ 3207 h 444"/>
                              <a:gd name="T88" fmla="+- 0 5804 5359"/>
                              <a:gd name="T89" fmla="*/ T88 w 612"/>
                              <a:gd name="T90" fmla="+- 0 3193 2985"/>
                              <a:gd name="T91" fmla="*/ 3193 h 444"/>
                              <a:gd name="T92" fmla="+- 0 5877 5359"/>
                              <a:gd name="T93" fmla="*/ T92 w 612"/>
                              <a:gd name="T94" fmla="+- 0 3200 2985"/>
                              <a:gd name="T95" fmla="*/ 3200 h 444"/>
                              <a:gd name="T96" fmla="+- 0 5871 5359"/>
                              <a:gd name="T97" fmla="*/ T96 w 612"/>
                              <a:gd name="T98" fmla="+- 0 3194 2985"/>
                              <a:gd name="T99" fmla="*/ 3194 h 444"/>
                              <a:gd name="T100" fmla="+- 0 5836 5359"/>
                              <a:gd name="T101" fmla="*/ T100 w 612"/>
                              <a:gd name="T102" fmla="+- 0 3193 2985"/>
                              <a:gd name="T103" fmla="*/ 3193 h 444"/>
                              <a:gd name="T104" fmla="+- 0 5864 5359"/>
                              <a:gd name="T105" fmla="*/ T104 w 612"/>
                              <a:gd name="T106" fmla="+- 0 3207 2985"/>
                              <a:gd name="T107" fmla="*/ 3207 h 444"/>
                              <a:gd name="T108" fmla="+- 0 5878 5359"/>
                              <a:gd name="T109" fmla="*/ T108 w 612"/>
                              <a:gd name="T110" fmla="+- 0 3292 2985"/>
                              <a:gd name="T111" fmla="*/ 3292 h 444"/>
                              <a:gd name="T112" fmla="+- 0 5971 5359"/>
                              <a:gd name="T113" fmla="*/ T112 w 612"/>
                              <a:gd name="T114" fmla="+- 0 3389 2985"/>
                              <a:gd name="T115" fmla="*/ 3389 h 444"/>
                              <a:gd name="T116" fmla="+- 0 5957 5359"/>
                              <a:gd name="T117" fmla="*/ T116 w 612"/>
                              <a:gd name="T118" fmla="+- 0 3428 2985"/>
                              <a:gd name="T119" fmla="*/ 3428 h 444"/>
                              <a:gd name="T120" fmla="+- 0 5971 5359"/>
                              <a:gd name="T121" fmla="*/ T120 w 612"/>
                              <a:gd name="T122" fmla="+- 0 3389 2985"/>
                              <a:gd name="T123" fmla="*/ 3389 h 444"/>
                              <a:gd name="T124" fmla="+- 0 5970 5359"/>
                              <a:gd name="T125" fmla="*/ T124 w 612"/>
                              <a:gd name="T126" fmla="+- 0 3314 2985"/>
                              <a:gd name="T127" fmla="*/ 3314 h 444"/>
                              <a:gd name="T128" fmla="+- 0 5964 5359"/>
                              <a:gd name="T129" fmla="*/ T128 w 612"/>
                              <a:gd name="T130" fmla="+- 0 3308 2985"/>
                              <a:gd name="T131" fmla="*/ 3308 h 444"/>
                              <a:gd name="T132" fmla="+- 0 5880 5359"/>
                              <a:gd name="T133" fmla="*/ T132 w 612"/>
                              <a:gd name="T134" fmla="+- 0 3306 2985"/>
                              <a:gd name="T135" fmla="*/ 3306 h 444"/>
                              <a:gd name="T136" fmla="+- 0 5957 5359"/>
                              <a:gd name="T137" fmla="*/ T136 w 612"/>
                              <a:gd name="T138" fmla="+- 0 3320 2985"/>
                              <a:gd name="T139" fmla="*/ 3320 h 444"/>
                              <a:gd name="T140" fmla="+- 0 5971 5359"/>
                              <a:gd name="T141" fmla="*/ T140 w 612"/>
                              <a:gd name="T142" fmla="+- 0 3357 2985"/>
                              <a:gd name="T143" fmla="*/ 3357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12" h="444">
                                <a:moveTo>
                                  <a:pt x="21" y="0"/>
                                </a:moveTo>
                                <a:lnTo>
                                  <a:pt x="0" y="0"/>
                                </a:lnTo>
                                <a:lnTo>
                                  <a:pt x="0" y="14"/>
                                </a:lnTo>
                                <a:lnTo>
                                  <a:pt x="21" y="14"/>
                                </a:lnTo>
                                <a:lnTo>
                                  <a:pt x="21" y="0"/>
                                </a:lnTo>
                                <a:close/>
                                <a:moveTo>
                                  <a:pt x="179" y="0"/>
                                </a:moveTo>
                                <a:lnTo>
                                  <a:pt x="53" y="0"/>
                                </a:lnTo>
                                <a:lnTo>
                                  <a:pt x="53" y="14"/>
                                </a:lnTo>
                                <a:lnTo>
                                  <a:pt x="179" y="14"/>
                                </a:lnTo>
                                <a:lnTo>
                                  <a:pt x="179" y="0"/>
                                </a:lnTo>
                                <a:close/>
                                <a:moveTo>
                                  <a:pt x="331" y="7"/>
                                </a:moveTo>
                                <a:lnTo>
                                  <a:pt x="330" y="7"/>
                                </a:lnTo>
                                <a:lnTo>
                                  <a:pt x="323" y="1"/>
                                </a:lnTo>
                                <a:lnTo>
                                  <a:pt x="323" y="0"/>
                                </a:lnTo>
                                <a:lnTo>
                                  <a:pt x="211" y="0"/>
                                </a:lnTo>
                                <a:lnTo>
                                  <a:pt x="211" y="14"/>
                                </a:lnTo>
                                <a:lnTo>
                                  <a:pt x="317" y="14"/>
                                </a:lnTo>
                                <a:lnTo>
                                  <a:pt x="317" y="21"/>
                                </a:lnTo>
                                <a:lnTo>
                                  <a:pt x="331" y="21"/>
                                </a:lnTo>
                                <a:lnTo>
                                  <a:pt x="331" y="7"/>
                                </a:lnTo>
                                <a:close/>
                                <a:moveTo>
                                  <a:pt x="384" y="102"/>
                                </a:moveTo>
                                <a:lnTo>
                                  <a:pt x="382" y="102"/>
                                </a:lnTo>
                                <a:lnTo>
                                  <a:pt x="375" y="96"/>
                                </a:lnTo>
                                <a:lnTo>
                                  <a:pt x="375" y="94"/>
                                </a:lnTo>
                                <a:lnTo>
                                  <a:pt x="331" y="94"/>
                                </a:lnTo>
                                <a:lnTo>
                                  <a:pt x="331" y="53"/>
                                </a:lnTo>
                                <a:lnTo>
                                  <a:pt x="317" y="53"/>
                                </a:lnTo>
                                <a:lnTo>
                                  <a:pt x="317" y="100"/>
                                </a:lnTo>
                                <a:lnTo>
                                  <a:pt x="316" y="102"/>
                                </a:lnTo>
                                <a:lnTo>
                                  <a:pt x="323" y="110"/>
                                </a:lnTo>
                                <a:lnTo>
                                  <a:pt x="324" y="108"/>
                                </a:lnTo>
                                <a:lnTo>
                                  <a:pt x="369" y="108"/>
                                </a:lnTo>
                                <a:lnTo>
                                  <a:pt x="369" y="127"/>
                                </a:lnTo>
                                <a:lnTo>
                                  <a:pt x="384" y="127"/>
                                </a:lnTo>
                                <a:lnTo>
                                  <a:pt x="384" y="102"/>
                                </a:lnTo>
                                <a:close/>
                                <a:moveTo>
                                  <a:pt x="445" y="208"/>
                                </a:moveTo>
                                <a:lnTo>
                                  <a:pt x="384" y="208"/>
                                </a:lnTo>
                                <a:lnTo>
                                  <a:pt x="384" y="159"/>
                                </a:lnTo>
                                <a:lnTo>
                                  <a:pt x="369" y="159"/>
                                </a:lnTo>
                                <a:lnTo>
                                  <a:pt x="369" y="214"/>
                                </a:lnTo>
                                <a:lnTo>
                                  <a:pt x="368" y="215"/>
                                </a:lnTo>
                                <a:lnTo>
                                  <a:pt x="375" y="224"/>
                                </a:lnTo>
                                <a:lnTo>
                                  <a:pt x="377" y="222"/>
                                </a:lnTo>
                                <a:lnTo>
                                  <a:pt x="445" y="222"/>
                                </a:lnTo>
                                <a:lnTo>
                                  <a:pt x="445" y="208"/>
                                </a:lnTo>
                                <a:close/>
                                <a:moveTo>
                                  <a:pt x="519" y="215"/>
                                </a:moveTo>
                                <a:lnTo>
                                  <a:pt x="518" y="215"/>
                                </a:lnTo>
                                <a:lnTo>
                                  <a:pt x="512" y="209"/>
                                </a:lnTo>
                                <a:lnTo>
                                  <a:pt x="512" y="208"/>
                                </a:lnTo>
                                <a:lnTo>
                                  <a:pt x="477" y="208"/>
                                </a:lnTo>
                                <a:lnTo>
                                  <a:pt x="477" y="222"/>
                                </a:lnTo>
                                <a:lnTo>
                                  <a:pt x="505" y="222"/>
                                </a:lnTo>
                                <a:lnTo>
                                  <a:pt x="505" y="307"/>
                                </a:lnTo>
                                <a:lnTo>
                                  <a:pt x="519" y="307"/>
                                </a:lnTo>
                                <a:lnTo>
                                  <a:pt x="519" y="215"/>
                                </a:lnTo>
                                <a:close/>
                                <a:moveTo>
                                  <a:pt x="612" y="404"/>
                                </a:moveTo>
                                <a:lnTo>
                                  <a:pt x="598" y="404"/>
                                </a:lnTo>
                                <a:lnTo>
                                  <a:pt x="598" y="443"/>
                                </a:lnTo>
                                <a:lnTo>
                                  <a:pt x="612" y="443"/>
                                </a:lnTo>
                                <a:lnTo>
                                  <a:pt x="612" y="404"/>
                                </a:lnTo>
                                <a:close/>
                                <a:moveTo>
                                  <a:pt x="612" y="329"/>
                                </a:moveTo>
                                <a:lnTo>
                                  <a:pt x="611" y="329"/>
                                </a:lnTo>
                                <a:lnTo>
                                  <a:pt x="605" y="323"/>
                                </a:lnTo>
                                <a:lnTo>
                                  <a:pt x="605" y="321"/>
                                </a:lnTo>
                                <a:lnTo>
                                  <a:pt x="521" y="321"/>
                                </a:lnTo>
                                <a:lnTo>
                                  <a:pt x="521" y="335"/>
                                </a:lnTo>
                                <a:lnTo>
                                  <a:pt x="598" y="335"/>
                                </a:lnTo>
                                <a:lnTo>
                                  <a:pt x="598" y="372"/>
                                </a:lnTo>
                                <a:lnTo>
                                  <a:pt x="612" y="372"/>
                                </a:lnTo>
                                <a:lnTo>
                                  <a:pt x="612" y="329"/>
                                </a:lnTo>
                                <a:close/>
                              </a:path>
                            </a:pathLst>
                          </a:custGeom>
                          <a:solidFill>
                            <a:srgbClr val="6D6D63"/>
                          </a:solidFill>
                          <a:ln>
                            <a:noFill/>
                          </a:ln>
                        </wps:spPr>
                        <wps:bodyPr rot="0" vert="horz" wrap="square" lIns="91440" tIns="45720" rIns="91440" bIns="45720" anchor="t" anchorCtr="0" upright="1">
                          <a:noAutofit/>
                        </wps:bodyPr>
                      </wps:wsp>
                      <wps:wsp>
                        <wps:cNvPr id="51" name="Line 238"/>
                        <wps:cNvCnPr>
                          <a:cxnSpLocks noChangeShapeType="1"/>
                        </wps:cNvCnPr>
                        <wps:spPr bwMode="auto">
                          <a:xfrm>
                            <a:off x="5964" y="3427"/>
                            <a:ext cx="2136" cy="0"/>
                          </a:xfrm>
                          <a:prstGeom prst="line">
                            <a:avLst/>
                          </a:prstGeom>
                          <a:noFill/>
                          <a:ln w="8969">
                            <a:solidFill>
                              <a:srgbClr val="6D6D63"/>
                            </a:solidFill>
                            <a:prstDash val="sysDash"/>
                            <a:round/>
                          </a:ln>
                        </wps:spPr>
                        <wps:bodyPr/>
                      </wps:wsp>
                      <wps:wsp>
                        <wps:cNvPr id="52" name="AutoShape 237"/>
                        <wps:cNvSpPr/>
                        <wps:spPr bwMode="auto">
                          <a:xfrm>
                            <a:off x="5955" y="3421"/>
                            <a:ext cx="2152" cy="234"/>
                          </a:xfrm>
                          <a:custGeom>
                            <a:avLst/>
                            <a:gdLst>
                              <a:gd name="T0" fmla="+- 0 5970 5956"/>
                              <a:gd name="T1" fmla="*/ T0 w 2152"/>
                              <a:gd name="T2" fmla="+- 0 3428 3421"/>
                              <a:gd name="T3" fmla="*/ 3428 h 234"/>
                              <a:gd name="T4" fmla="+- 0 5964 5956"/>
                              <a:gd name="T5" fmla="*/ T4 w 2152"/>
                              <a:gd name="T6" fmla="+- 0 3421 3421"/>
                              <a:gd name="T7" fmla="*/ 3421 h 234"/>
                              <a:gd name="T8" fmla="+- 0 5956 5956"/>
                              <a:gd name="T9" fmla="*/ T8 w 2152"/>
                              <a:gd name="T10" fmla="+- 0 3428 3421"/>
                              <a:gd name="T11" fmla="*/ 3428 h 234"/>
                              <a:gd name="T12" fmla="+- 0 5964 5956"/>
                              <a:gd name="T13" fmla="*/ T12 w 2152"/>
                              <a:gd name="T14" fmla="+- 0 3435 3421"/>
                              <a:gd name="T15" fmla="*/ 3435 h 234"/>
                              <a:gd name="T16" fmla="+- 0 5970 5956"/>
                              <a:gd name="T17" fmla="*/ T16 w 2152"/>
                              <a:gd name="T18" fmla="+- 0 3428 3421"/>
                              <a:gd name="T19" fmla="*/ 3428 h 234"/>
                              <a:gd name="T20" fmla="+- 0 8108 5956"/>
                              <a:gd name="T21" fmla="*/ T20 w 2152"/>
                              <a:gd name="T22" fmla="+- 0 3624 3421"/>
                              <a:gd name="T23" fmla="*/ 3624 h 234"/>
                              <a:gd name="T24" fmla="+- 0 8093 5956"/>
                              <a:gd name="T25" fmla="*/ T24 w 2152"/>
                              <a:gd name="T26" fmla="+- 0 3624 3421"/>
                              <a:gd name="T27" fmla="*/ 3624 h 234"/>
                              <a:gd name="T28" fmla="+- 0 8093 5956"/>
                              <a:gd name="T29" fmla="*/ T28 w 2152"/>
                              <a:gd name="T30" fmla="+- 0 3655 3421"/>
                              <a:gd name="T31" fmla="*/ 3655 h 234"/>
                              <a:gd name="T32" fmla="+- 0 8108 5956"/>
                              <a:gd name="T33" fmla="*/ T32 w 2152"/>
                              <a:gd name="T34" fmla="+- 0 3655 3421"/>
                              <a:gd name="T35" fmla="*/ 3655 h 234"/>
                              <a:gd name="T36" fmla="+- 0 8108 5956"/>
                              <a:gd name="T37" fmla="*/ T36 w 2152"/>
                              <a:gd name="T38" fmla="+- 0 3624 3421"/>
                              <a:gd name="T39" fmla="*/ 3624 h 234"/>
                              <a:gd name="T40" fmla="+- 0 8108 5956"/>
                              <a:gd name="T41" fmla="*/ T40 w 2152"/>
                              <a:gd name="T42" fmla="+- 0 3466 3421"/>
                              <a:gd name="T43" fmla="*/ 3466 h 234"/>
                              <a:gd name="T44" fmla="+- 0 8093 5956"/>
                              <a:gd name="T45" fmla="*/ T44 w 2152"/>
                              <a:gd name="T46" fmla="+- 0 3466 3421"/>
                              <a:gd name="T47" fmla="*/ 3466 h 234"/>
                              <a:gd name="T48" fmla="+- 0 8093 5956"/>
                              <a:gd name="T49" fmla="*/ T48 w 2152"/>
                              <a:gd name="T50" fmla="+- 0 3592 3421"/>
                              <a:gd name="T51" fmla="*/ 3592 h 234"/>
                              <a:gd name="T52" fmla="+- 0 8108 5956"/>
                              <a:gd name="T53" fmla="*/ T52 w 2152"/>
                              <a:gd name="T54" fmla="+- 0 3592 3421"/>
                              <a:gd name="T55" fmla="*/ 3592 h 234"/>
                              <a:gd name="T56" fmla="+- 0 8108 5956"/>
                              <a:gd name="T57" fmla="*/ T56 w 2152"/>
                              <a:gd name="T58" fmla="+- 0 3466 3421"/>
                              <a:gd name="T59" fmla="*/ 3466 h 234"/>
                              <a:gd name="T60" fmla="+- 0 8108 5956"/>
                              <a:gd name="T61" fmla="*/ T60 w 2152"/>
                              <a:gd name="T62" fmla="+- 0 3428 3421"/>
                              <a:gd name="T63" fmla="*/ 3428 h 234"/>
                              <a:gd name="T64" fmla="+- 0 8106 5956"/>
                              <a:gd name="T65" fmla="*/ T64 w 2152"/>
                              <a:gd name="T66" fmla="+- 0 3428 3421"/>
                              <a:gd name="T67" fmla="*/ 3428 h 234"/>
                              <a:gd name="T68" fmla="+- 0 8106 5956"/>
                              <a:gd name="T69" fmla="*/ T68 w 2152"/>
                              <a:gd name="T70" fmla="+- 0 3428 3421"/>
                              <a:gd name="T71" fmla="*/ 3428 h 234"/>
                              <a:gd name="T72" fmla="+- 0 8100 5956"/>
                              <a:gd name="T73" fmla="*/ T72 w 2152"/>
                              <a:gd name="T74" fmla="+- 0 3421 3421"/>
                              <a:gd name="T75" fmla="*/ 3421 h 234"/>
                              <a:gd name="T76" fmla="+- 0 8092 5956"/>
                              <a:gd name="T77" fmla="*/ T76 w 2152"/>
                              <a:gd name="T78" fmla="+- 0 3428 3421"/>
                              <a:gd name="T79" fmla="*/ 3428 h 234"/>
                              <a:gd name="T80" fmla="+- 0 8093 5956"/>
                              <a:gd name="T81" fmla="*/ T80 w 2152"/>
                              <a:gd name="T82" fmla="+- 0 3429 3421"/>
                              <a:gd name="T83" fmla="*/ 3429 h 234"/>
                              <a:gd name="T84" fmla="+- 0 8093 5956"/>
                              <a:gd name="T85" fmla="*/ T84 w 2152"/>
                              <a:gd name="T86" fmla="+- 0 3434 3421"/>
                              <a:gd name="T87" fmla="*/ 3434 h 234"/>
                              <a:gd name="T88" fmla="+- 0 8099 5956"/>
                              <a:gd name="T89" fmla="*/ T88 w 2152"/>
                              <a:gd name="T90" fmla="+- 0 3434 3421"/>
                              <a:gd name="T91" fmla="*/ 3434 h 234"/>
                              <a:gd name="T92" fmla="+- 0 8100 5956"/>
                              <a:gd name="T93" fmla="*/ T92 w 2152"/>
                              <a:gd name="T94" fmla="+- 0 3435 3421"/>
                              <a:gd name="T95" fmla="*/ 3435 h 234"/>
                              <a:gd name="T96" fmla="+- 0 8101 5956"/>
                              <a:gd name="T97" fmla="*/ T96 w 2152"/>
                              <a:gd name="T98" fmla="+- 0 3434 3421"/>
                              <a:gd name="T99" fmla="*/ 3434 h 234"/>
                              <a:gd name="T100" fmla="+- 0 8108 5956"/>
                              <a:gd name="T101" fmla="*/ T100 w 2152"/>
                              <a:gd name="T102" fmla="+- 0 3434 3421"/>
                              <a:gd name="T103" fmla="*/ 3434 h 234"/>
                              <a:gd name="T104" fmla="+- 0 8108 5956"/>
                              <a:gd name="T105" fmla="*/ T104 w 2152"/>
                              <a:gd name="T106" fmla="+- 0 3428 3421"/>
                              <a:gd name="T107" fmla="*/ 3428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152" h="234">
                                <a:moveTo>
                                  <a:pt x="14" y="7"/>
                                </a:moveTo>
                                <a:lnTo>
                                  <a:pt x="8" y="0"/>
                                </a:lnTo>
                                <a:lnTo>
                                  <a:pt x="0" y="7"/>
                                </a:lnTo>
                                <a:lnTo>
                                  <a:pt x="8" y="14"/>
                                </a:lnTo>
                                <a:lnTo>
                                  <a:pt x="14" y="7"/>
                                </a:lnTo>
                                <a:close/>
                                <a:moveTo>
                                  <a:pt x="2152" y="203"/>
                                </a:moveTo>
                                <a:lnTo>
                                  <a:pt x="2137" y="203"/>
                                </a:lnTo>
                                <a:lnTo>
                                  <a:pt x="2137" y="234"/>
                                </a:lnTo>
                                <a:lnTo>
                                  <a:pt x="2152" y="234"/>
                                </a:lnTo>
                                <a:lnTo>
                                  <a:pt x="2152" y="203"/>
                                </a:lnTo>
                                <a:close/>
                                <a:moveTo>
                                  <a:pt x="2152" y="45"/>
                                </a:moveTo>
                                <a:lnTo>
                                  <a:pt x="2137" y="45"/>
                                </a:lnTo>
                                <a:lnTo>
                                  <a:pt x="2137" y="171"/>
                                </a:lnTo>
                                <a:lnTo>
                                  <a:pt x="2152" y="171"/>
                                </a:lnTo>
                                <a:lnTo>
                                  <a:pt x="2152" y="45"/>
                                </a:lnTo>
                                <a:close/>
                                <a:moveTo>
                                  <a:pt x="2152" y="7"/>
                                </a:moveTo>
                                <a:lnTo>
                                  <a:pt x="2150" y="7"/>
                                </a:lnTo>
                                <a:lnTo>
                                  <a:pt x="2144" y="0"/>
                                </a:lnTo>
                                <a:lnTo>
                                  <a:pt x="2136" y="7"/>
                                </a:lnTo>
                                <a:lnTo>
                                  <a:pt x="2137" y="8"/>
                                </a:lnTo>
                                <a:lnTo>
                                  <a:pt x="2137" y="13"/>
                                </a:lnTo>
                                <a:lnTo>
                                  <a:pt x="2143" y="13"/>
                                </a:lnTo>
                                <a:lnTo>
                                  <a:pt x="2144" y="14"/>
                                </a:lnTo>
                                <a:lnTo>
                                  <a:pt x="2145" y="13"/>
                                </a:lnTo>
                                <a:lnTo>
                                  <a:pt x="2152" y="13"/>
                                </a:lnTo>
                                <a:lnTo>
                                  <a:pt x="2152" y="7"/>
                                </a:lnTo>
                                <a:close/>
                              </a:path>
                            </a:pathLst>
                          </a:custGeom>
                          <a:solidFill>
                            <a:srgbClr val="6D6D63"/>
                          </a:solidFill>
                          <a:ln>
                            <a:noFill/>
                          </a:ln>
                        </wps:spPr>
                        <wps:bodyPr rot="0" vert="horz" wrap="square" lIns="91440" tIns="45720" rIns="91440" bIns="45720" anchor="t" anchorCtr="0" upright="1">
                          <a:noAutofit/>
                        </wps:bodyPr>
                      </wps:wsp>
                      <wps:wsp>
                        <wps:cNvPr id="53" name="Freeform 236"/>
                        <wps:cNvSpPr/>
                        <wps:spPr bwMode="auto">
                          <a:xfrm>
                            <a:off x="5816" y="257"/>
                            <a:ext cx="481" cy="2"/>
                          </a:xfrm>
                          <a:custGeom>
                            <a:avLst/>
                            <a:gdLst>
                              <a:gd name="T0" fmla="+- 0 5817 5817"/>
                              <a:gd name="T1" fmla="*/ T0 w 481"/>
                              <a:gd name="T2" fmla="+- 0 6057 5817"/>
                              <a:gd name="T3" fmla="*/ T2 w 481"/>
                              <a:gd name="T4" fmla="+- 0 6298 5817"/>
                              <a:gd name="T5" fmla="*/ T4 w 481"/>
                            </a:gdLst>
                            <a:ahLst/>
                            <a:cxnLst>
                              <a:cxn ang="0">
                                <a:pos x="T1" y="0"/>
                              </a:cxn>
                              <a:cxn ang="0">
                                <a:pos x="T3" y="0"/>
                              </a:cxn>
                              <a:cxn ang="0">
                                <a:pos x="T5" y="0"/>
                              </a:cxn>
                            </a:cxnLst>
                            <a:rect l="0" t="0" r="r" b="b"/>
                            <a:pathLst>
                              <a:path w="481">
                                <a:moveTo>
                                  <a:pt x="0" y="0"/>
                                </a:moveTo>
                                <a:lnTo>
                                  <a:pt x="240" y="0"/>
                                </a:lnTo>
                                <a:lnTo>
                                  <a:pt x="481" y="0"/>
                                </a:lnTo>
                              </a:path>
                            </a:pathLst>
                          </a:custGeom>
                          <a:noFill/>
                          <a:ln w="8969">
                            <a:solidFill>
                              <a:srgbClr val="000000"/>
                            </a:solidFill>
                            <a:round/>
                          </a:ln>
                        </wps:spPr>
                        <wps:bodyPr rot="0" vert="horz" wrap="square" lIns="91440" tIns="45720" rIns="91440" bIns="45720" anchor="t" anchorCtr="0" upright="1">
                          <a:noAutofit/>
                        </wps:bodyPr>
                      </wps:wsp>
                      <wps:wsp>
                        <wps:cNvPr id="54" name="AutoShape 235"/>
                        <wps:cNvSpPr/>
                        <wps:spPr bwMode="auto">
                          <a:xfrm>
                            <a:off x="5816" y="806"/>
                            <a:ext cx="481" cy="15"/>
                          </a:xfrm>
                          <a:custGeom>
                            <a:avLst/>
                            <a:gdLst>
                              <a:gd name="T0" fmla="+- 0 5943 5817"/>
                              <a:gd name="T1" fmla="*/ T0 w 481"/>
                              <a:gd name="T2" fmla="+- 0 807 807"/>
                              <a:gd name="T3" fmla="*/ 807 h 15"/>
                              <a:gd name="T4" fmla="+- 0 5817 5817"/>
                              <a:gd name="T5" fmla="*/ T4 w 481"/>
                              <a:gd name="T6" fmla="+- 0 807 807"/>
                              <a:gd name="T7" fmla="*/ 807 h 15"/>
                              <a:gd name="T8" fmla="+- 0 5817 5817"/>
                              <a:gd name="T9" fmla="*/ T8 w 481"/>
                              <a:gd name="T10" fmla="+- 0 821 807"/>
                              <a:gd name="T11" fmla="*/ 821 h 15"/>
                              <a:gd name="T12" fmla="+- 0 5943 5817"/>
                              <a:gd name="T13" fmla="*/ T12 w 481"/>
                              <a:gd name="T14" fmla="+- 0 821 807"/>
                              <a:gd name="T15" fmla="*/ 821 h 15"/>
                              <a:gd name="T16" fmla="+- 0 5943 5817"/>
                              <a:gd name="T17" fmla="*/ T16 w 481"/>
                              <a:gd name="T18" fmla="+- 0 807 807"/>
                              <a:gd name="T19" fmla="*/ 807 h 15"/>
                              <a:gd name="T20" fmla="+- 0 6057 5817"/>
                              <a:gd name="T21" fmla="*/ T20 w 481"/>
                              <a:gd name="T22" fmla="+- 0 807 807"/>
                              <a:gd name="T23" fmla="*/ 807 h 15"/>
                              <a:gd name="T24" fmla="+- 0 5975 5817"/>
                              <a:gd name="T25" fmla="*/ T24 w 481"/>
                              <a:gd name="T26" fmla="+- 0 807 807"/>
                              <a:gd name="T27" fmla="*/ 807 h 15"/>
                              <a:gd name="T28" fmla="+- 0 5975 5817"/>
                              <a:gd name="T29" fmla="*/ T28 w 481"/>
                              <a:gd name="T30" fmla="+- 0 821 807"/>
                              <a:gd name="T31" fmla="*/ 821 h 15"/>
                              <a:gd name="T32" fmla="+- 0 6057 5817"/>
                              <a:gd name="T33" fmla="*/ T32 w 481"/>
                              <a:gd name="T34" fmla="+- 0 821 807"/>
                              <a:gd name="T35" fmla="*/ 821 h 15"/>
                              <a:gd name="T36" fmla="+- 0 6057 5817"/>
                              <a:gd name="T37" fmla="*/ T36 w 481"/>
                              <a:gd name="T38" fmla="+- 0 807 807"/>
                              <a:gd name="T39" fmla="*/ 807 h 15"/>
                              <a:gd name="T40" fmla="+- 0 6102 5817"/>
                              <a:gd name="T41" fmla="*/ T40 w 481"/>
                              <a:gd name="T42" fmla="+- 0 807 807"/>
                              <a:gd name="T43" fmla="*/ 807 h 15"/>
                              <a:gd name="T44" fmla="+- 0 6057 5817"/>
                              <a:gd name="T45" fmla="*/ T44 w 481"/>
                              <a:gd name="T46" fmla="+- 0 807 807"/>
                              <a:gd name="T47" fmla="*/ 807 h 15"/>
                              <a:gd name="T48" fmla="+- 0 6057 5817"/>
                              <a:gd name="T49" fmla="*/ T48 w 481"/>
                              <a:gd name="T50" fmla="+- 0 821 807"/>
                              <a:gd name="T51" fmla="*/ 821 h 15"/>
                              <a:gd name="T52" fmla="+- 0 6102 5817"/>
                              <a:gd name="T53" fmla="*/ T52 w 481"/>
                              <a:gd name="T54" fmla="+- 0 821 807"/>
                              <a:gd name="T55" fmla="*/ 821 h 15"/>
                              <a:gd name="T56" fmla="+- 0 6102 5817"/>
                              <a:gd name="T57" fmla="*/ T56 w 481"/>
                              <a:gd name="T58" fmla="+- 0 807 807"/>
                              <a:gd name="T59" fmla="*/ 807 h 15"/>
                              <a:gd name="T60" fmla="+- 0 6260 5817"/>
                              <a:gd name="T61" fmla="*/ T60 w 481"/>
                              <a:gd name="T62" fmla="+- 0 807 807"/>
                              <a:gd name="T63" fmla="*/ 807 h 15"/>
                              <a:gd name="T64" fmla="+- 0 6133 5817"/>
                              <a:gd name="T65" fmla="*/ T64 w 481"/>
                              <a:gd name="T66" fmla="+- 0 807 807"/>
                              <a:gd name="T67" fmla="*/ 807 h 15"/>
                              <a:gd name="T68" fmla="+- 0 6133 5817"/>
                              <a:gd name="T69" fmla="*/ T68 w 481"/>
                              <a:gd name="T70" fmla="+- 0 821 807"/>
                              <a:gd name="T71" fmla="*/ 821 h 15"/>
                              <a:gd name="T72" fmla="+- 0 6260 5817"/>
                              <a:gd name="T73" fmla="*/ T72 w 481"/>
                              <a:gd name="T74" fmla="+- 0 821 807"/>
                              <a:gd name="T75" fmla="*/ 821 h 15"/>
                              <a:gd name="T76" fmla="+- 0 6260 5817"/>
                              <a:gd name="T77" fmla="*/ T76 w 481"/>
                              <a:gd name="T78" fmla="+- 0 807 807"/>
                              <a:gd name="T79" fmla="*/ 807 h 15"/>
                              <a:gd name="T80" fmla="+- 0 6298 5817"/>
                              <a:gd name="T81" fmla="*/ T80 w 481"/>
                              <a:gd name="T82" fmla="+- 0 807 807"/>
                              <a:gd name="T83" fmla="*/ 807 h 15"/>
                              <a:gd name="T84" fmla="+- 0 6291 5817"/>
                              <a:gd name="T85" fmla="*/ T84 w 481"/>
                              <a:gd name="T86" fmla="+- 0 807 807"/>
                              <a:gd name="T87" fmla="*/ 807 h 15"/>
                              <a:gd name="T88" fmla="+- 0 6291 5817"/>
                              <a:gd name="T89" fmla="*/ T88 w 481"/>
                              <a:gd name="T90" fmla="+- 0 821 807"/>
                              <a:gd name="T91" fmla="*/ 821 h 15"/>
                              <a:gd name="T92" fmla="+- 0 6298 5817"/>
                              <a:gd name="T93" fmla="*/ T92 w 481"/>
                              <a:gd name="T94" fmla="+- 0 821 807"/>
                              <a:gd name="T95" fmla="*/ 821 h 15"/>
                              <a:gd name="T96" fmla="+- 0 6298 5817"/>
                              <a:gd name="T97" fmla="*/ T96 w 481"/>
                              <a:gd name="T98" fmla="+- 0 807 807"/>
                              <a:gd name="T99" fmla="*/ 8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1" h="15">
                                <a:moveTo>
                                  <a:pt x="126" y="0"/>
                                </a:moveTo>
                                <a:lnTo>
                                  <a:pt x="0" y="0"/>
                                </a:lnTo>
                                <a:lnTo>
                                  <a:pt x="0" y="14"/>
                                </a:lnTo>
                                <a:lnTo>
                                  <a:pt x="126" y="14"/>
                                </a:lnTo>
                                <a:lnTo>
                                  <a:pt x="126" y="0"/>
                                </a:lnTo>
                                <a:close/>
                                <a:moveTo>
                                  <a:pt x="240" y="0"/>
                                </a:moveTo>
                                <a:lnTo>
                                  <a:pt x="158" y="0"/>
                                </a:lnTo>
                                <a:lnTo>
                                  <a:pt x="158" y="14"/>
                                </a:lnTo>
                                <a:lnTo>
                                  <a:pt x="240" y="14"/>
                                </a:lnTo>
                                <a:lnTo>
                                  <a:pt x="240" y="0"/>
                                </a:lnTo>
                                <a:close/>
                                <a:moveTo>
                                  <a:pt x="285" y="0"/>
                                </a:moveTo>
                                <a:lnTo>
                                  <a:pt x="240" y="0"/>
                                </a:lnTo>
                                <a:lnTo>
                                  <a:pt x="240" y="14"/>
                                </a:lnTo>
                                <a:lnTo>
                                  <a:pt x="285" y="14"/>
                                </a:lnTo>
                                <a:lnTo>
                                  <a:pt x="285" y="0"/>
                                </a:lnTo>
                                <a:close/>
                                <a:moveTo>
                                  <a:pt x="443" y="0"/>
                                </a:moveTo>
                                <a:lnTo>
                                  <a:pt x="316" y="0"/>
                                </a:lnTo>
                                <a:lnTo>
                                  <a:pt x="316" y="14"/>
                                </a:lnTo>
                                <a:lnTo>
                                  <a:pt x="443" y="14"/>
                                </a:lnTo>
                                <a:lnTo>
                                  <a:pt x="443" y="0"/>
                                </a:lnTo>
                                <a:close/>
                                <a:moveTo>
                                  <a:pt x="481" y="0"/>
                                </a:moveTo>
                                <a:lnTo>
                                  <a:pt x="474" y="0"/>
                                </a:lnTo>
                                <a:lnTo>
                                  <a:pt x="474" y="14"/>
                                </a:lnTo>
                                <a:lnTo>
                                  <a:pt x="481" y="14"/>
                                </a:lnTo>
                                <a:lnTo>
                                  <a:pt x="481" y="0"/>
                                </a:lnTo>
                                <a:close/>
                              </a:path>
                            </a:pathLst>
                          </a:custGeom>
                          <a:solidFill>
                            <a:srgbClr val="6D6D63"/>
                          </a:solidFill>
                          <a:ln>
                            <a:noFill/>
                          </a:ln>
                        </wps:spPr>
                        <wps:bodyPr rot="0" vert="horz" wrap="square" lIns="91440" tIns="45720" rIns="91440" bIns="45720" anchor="t" anchorCtr="0" upright="1">
                          <a:noAutofit/>
                        </wps:bodyPr>
                      </wps:wsp>
                      <wps:wsp>
                        <wps:cNvPr id="55" name="Text Box 234"/>
                        <wps:cNvSpPr txBox="1">
                          <a:spLocks noChangeArrowheads="1"/>
                        </wps:cNvSpPr>
                        <wps:spPr bwMode="auto">
                          <a:xfrm>
                            <a:off x="6507" y="145"/>
                            <a:ext cx="1657" cy="1420"/>
                          </a:xfrm>
                          <a:prstGeom prst="rect">
                            <a:avLst/>
                          </a:prstGeom>
                          <a:noFill/>
                          <a:ln>
                            <a:noFill/>
                          </a:ln>
                        </wps:spPr>
                        <wps:txbx>
                          <w:txbxContent>
                            <w:p w14:paraId="37AF35AE">
                              <w:pPr>
                                <w:spacing w:line="185" w:lineRule="exact"/>
                                <w:rPr>
                                  <w:rFonts w:ascii="Microsoft Sans Serif" w:hAnsi="Microsoft Sans Serif" w:cs="Microsoft Sans Serif"/>
                                  <w:sz w:val="20"/>
                                  <w:szCs w:val="20"/>
                                </w:rPr>
                              </w:pPr>
                              <w:r>
                                <w:rPr>
                                  <w:rFonts w:ascii="Microsoft Sans Serif" w:hAnsi="Microsoft Sans Serif" w:cs="Microsoft Sans Serif"/>
                                  <w:sz w:val="20"/>
                                  <w:szCs w:val="20"/>
                                </w:rPr>
                                <w:t>Sunitinib (N=86)</w:t>
                              </w:r>
                            </w:p>
                            <w:p w14:paraId="57AB1360">
                              <w:pPr>
                                <w:spacing w:line="191" w:lineRule="exact"/>
                                <w:ind w:left="4"/>
                                <w:rPr>
                                  <w:rFonts w:ascii="Microsoft Sans Serif" w:hAnsi="Microsoft Sans Serif" w:cs="Microsoft Sans Serif"/>
                                  <w:sz w:val="20"/>
                                  <w:szCs w:val="20"/>
                                </w:rPr>
                              </w:pPr>
                              <w:r>
                                <w:rPr>
                                  <w:rFonts w:ascii="Microsoft Sans Serif" w:hAnsi="Microsoft Sans Serif" w:cs="Microsoft Sans Serif"/>
                                  <w:sz w:val="20"/>
                                  <w:szCs w:val="20"/>
                                </w:rPr>
                                <w:t>Medijana 11.4 mjeseci</w:t>
                              </w:r>
                            </w:p>
                            <w:p w14:paraId="5913286F">
                              <w:pPr>
                                <w:spacing w:before="6"/>
                                <w:rPr>
                                  <w:rFonts w:ascii="Microsoft Sans Serif" w:hAnsi="Microsoft Sans Serif" w:cs="Microsoft Sans Serif"/>
                                  <w:sz w:val="20"/>
                                  <w:szCs w:val="20"/>
                                </w:rPr>
                              </w:pPr>
                            </w:p>
                            <w:p w14:paraId="4F030D01">
                              <w:pPr>
                                <w:spacing w:line="201" w:lineRule="auto"/>
                                <w:ind w:left="4" w:right="102" w:hanging="5"/>
                                <w:rPr>
                                  <w:rFonts w:ascii="Microsoft Sans Serif" w:hAnsi="Microsoft Sans Serif" w:cs="Microsoft Sans Serif"/>
                                  <w:sz w:val="20"/>
                                  <w:szCs w:val="20"/>
                                </w:rPr>
                              </w:pPr>
                              <w:r>
                                <w:rPr>
                                  <w:rFonts w:ascii="Microsoft Sans Serif" w:hAnsi="Microsoft Sans Serif" w:cs="Microsoft Sans Serif"/>
                                  <w:sz w:val="20"/>
                                  <w:szCs w:val="20"/>
                                </w:rPr>
                                <w:t>Placebo (N=85) Medijana 5.5 mjeseci</w:t>
                              </w:r>
                            </w:p>
                          </w:txbxContent>
                        </wps:txbx>
                        <wps:bodyPr rot="0" vert="horz" wrap="square" lIns="0" tIns="0" rIns="0" bIns="0" anchor="t" anchorCtr="0" upright="1">
                          <a:noAutofit/>
                        </wps:bodyPr>
                      </wps:wsp>
                      <wps:wsp>
                        <wps:cNvPr id="56" name="Text Box 233"/>
                        <wps:cNvSpPr txBox="1">
                          <a:spLocks noChangeArrowheads="1"/>
                        </wps:cNvSpPr>
                        <wps:spPr bwMode="auto">
                          <a:xfrm>
                            <a:off x="3100" y="2899"/>
                            <a:ext cx="1643" cy="759"/>
                          </a:xfrm>
                          <a:prstGeom prst="rect">
                            <a:avLst/>
                          </a:prstGeom>
                          <a:noFill/>
                          <a:ln>
                            <a:noFill/>
                          </a:ln>
                        </wps:spPr>
                        <wps:txbx>
                          <w:txbxContent>
                            <w:p w14:paraId="4316C1AB">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 xml:space="preserve">Stopa rizika = 0.42 </w:t>
                              </w:r>
                            </w:p>
                            <w:p w14:paraId="5B10A2F3">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95% CI (0.26 - 0.66)</w:t>
                              </w:r>
                            </w:p>
                            <w:p w14:paraId="28481859">
                              <w:pPr>
                                <w:spacing w:line="182" w:lineRule="exact"/>
                                <w:rPr>
                                  <w:rFonts w:ascii="Arial"/>
                                  <w:sz w:val="18"/>
                                </w:rPr>
                              </w:pPr>
                              <w:r>
                                <w:rPr>
                                  <w:rFonts w:ascii="Microsoft Sans Serif" w:hAnsi="Microsoft Sans Serif" w:cs="Microsoft Sans Serif"/>
                                  <w:sz w:val="18"/>
                                </w:rPr>
                                <w:t>p = 0.0001</w:t>
                              </w:r>
                            </w:p>
                          </w:txbxContent>
                        </wps:txbx>
                        <wps:bodyPr rot="0" vert="horz" wrap="square" lIns="0" tIns="0" rIns="0" bIns="0" anchor="t" anchorCtr="0" upright="1">
                          <a:noAutofit/>
                        </wps:bodyPr>
                      </wps:wsp>
                    </wpg:wgp>
                  </a:graphicData>
                </a:graphic>
              </wp:anchor>
            </w:drawing>
          </mc:Choice>
          <mc:Fallback>
            <w:pict>
              <v:group id="Group 232" o:spid="_x0000_s1026" o:spt="203" style="position:absolute;left:0pt;margin-left:117.5pt;margin-top:1.85pt;height:242.5pt;width:372.15pt;mso-position-horizontal-relative:page;z-index:251661312;mso-width-relative:page;mso-height-relative:page;" coordorigin="2789,31" coordsize="5778,3839" o:gfxdata="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">
                <o:lock v:ext="edit" aspectratio="f"/>
                <v:rect id="Rectangle 284" o:spid="_x0000_s1026" o:spt="1" style="position:absolute;left:2864;top:3785;height:15;width:5694;"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line id="Line 283" o:spid="_x0000_s1026" o:spt="20" style="position:absolute;left:8567;top:3800;height:4;width:0;" filled="f" stroked="t" coordsize="21600,21600" o:gfxdata="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lx8b4A&#10;AADaAAAADwAAAAAAAAABACAAAAAiAAAAZHJzL2Rvd25yZXYueG1sUEsBAhQAFAAAAAgAh07iQDMv&#10;BZ47AAAAOQAAABAAAAAAAAAAAQAgAAAADQEAAGRycy9zaGFwZXhtbC54bWxQSwUGAAAAAAYABgBb&#10;AQAAtwMAAAAA&#10;">
                  <v:fill on="f" focussize="0,0"/>
                  <v:stroke weight="0.0748818897637795pt" color="#000000" joinstyle="round"/>
                  <v:imagedata o:title=""/>
                  <o:lock v:ext="edit" aspectratio="f"/>
                </v:line>
                <v:line id="Line 282" o:spid="_x0000_s1026" o:spt="20" style="position:absolute;left:2865;top:3870;height:0;width:0;" filled="f" stroked="t" coordsize="21600,21600" o:gfxdata="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qWCLsAAADa&#10;AAAADwAAAAAAAAABACAAAAAiAAAAZHJzL2Rvd25yZXYueG1sUEsBAhQAFAAAAAgAh07iQDMvBZ47&#10;AAAAOQAAABAAAAAAAAAAAQAgAAAACgEAAGRycy9zaGFwZXhtbC54bWxQSwUGAAAAAAYABgBbAQAA&#10;tAMAAAAA&#10;">
                  <v:fill on="f" focussize="0,0"/>
                  <v:stroke weight="0.223070866141732pt" color="#000000" joinstyle="round"/>
                  <v:imagedata o:title=""/>
                  <o:lock v:ext="edit" aspectratio="f"/>
                </v:line>
                <v:line id="Line 281" o:spid="_x0000_s1026" o:spt="20" style="position:absolute;left:2874;top:3800;height:4;width:0;" filled="f" stroked="t" coordsize="21600,21600" o:gfxdata="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pAGLsAAADa&#10;AAAADwAAAAAAAAABACAAAAAiAAAAZHJzL2Rvd25yZXYueG1sUEsBAhQAFAAAAAgAh07iQDMvBZ47&#10;AAAAOQAAABAAAAAAAAAAAQAgAAAACgEAAGRycy9zaGFwZXhtbC54bWxQSwUGAAAAAAYABgBbAQAA&#10;tAMAAAAA&#10;">
                  <v:fill on="f" focussize="0,0"/>
                  <v:stroke weight="0.0748818897637795pt" color="#000000" joinstyle="round"/>
                  <v:imagedata o:title=""/>
                  <o:lock v:ext="edit" aspectratio="f"/>
                </v:line>
                <v:line id="Line 280" o:spid="_x0000_s1026" o:spt="20" style="position:absolute;left:3641;top:3870;height:0;width:0;" filled="f" stroked="t" coordsize="21600,21600" o:gfxdata="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WafhvQAA&#10;ANoAAAAPAAAAAAAAAAEAIAAAACIAAABkcnMvZG93bnJldi54bWxQSwECFAAUAAAACACHTuJAMy8F&#10;njsAAAA5AAAAEAAAAAAAAAABACAAAAAMAQAAZHJzL3NoYXBleG1sLnhtbFBLBQYAAAAABgAGAFsB&#10;AAC2AwAAAAA=&#10;">
                  <v:fill on="f" focussize="0,0"/>
                  <v:stroke weight="0.223070866141732pt" color="#000000" joinstyle="round"/>
                  <v:imagedata o:title=""/>
                  <o:lock v:ext="edit" aspectratio="f"/>
                </v:line>
                <v:line id="Line 279" o:spid="_x0000_s1026" o:spt="20" style="position:absolute;left:3650;top:3800;height:4;width:0;" filled="f" stroked="t" coordsize="21600,21600" o:gfxdata="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qany/&#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78" o:spid="_x0000_s1026" o:spt="20" style="position:absolute;left:4417;top:3870;height:0;width:0;" filled="f" stroked="t" coordsize="21600,21600" o:gfxdata="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dMSr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77" o:spid="_x0000_s1026" o:spt="20" style="position:absolute;left:4425;top:3802;height:0;width:3;" filled="f" stroked="t" coordsize="21600,21600" o:gfxdata="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3g6G5AAAA2wAA&#10;AA8AAAAAAAAAAQAgAAAAIgAAAGRycy9kb3ducmV2LnhtbFBLAQIUABQAAAAIAIdO4kAzLwWeOwAA&#10;ADkAAAAQAAAAAAAAAAEAIAAAAAgBAABkcnMvc2hhcGV4bWwueG1sUEsFBgAAAAAGAAYAWwEAALID&#10;AAAAAA==&#10;">
                  <v:fill on="f" focussize="0,0"/>
                  <v:stroke weight="0.209055118110236pt" color="#000000" joinstyle="round"/>
                  <v:imagedata o:title=""/>
                  <o:lock v:ext="edit" aspectratio="f"/>
                </v:line>
                <v:line id="Line 276" o:spid="_x0000_s1026" o:spt="20" style="position:absolute;left:5194;top:3870;height:0;width:0;" filled="f" stroked="t" coordsize="21600,21600" o:gfxdata="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q/0e8AAAA&#10;2wAAAA8AAAAAAAAAAQAgAAAAIgAAAGRycy9kb3ducmV2LnhtbFBLAQIUABQAAAAIAIdO4kAzLwWe&#10;OwAAADkAAAAQAAAAAAAAAAEAIAAAAAsBAABkcnMvc2hhcGV4bWwueG1sUEsFBgAAAAAGAAYAWwEA&#10;ALUDAAAAAA==&#10;">
                  <v:fill on="f" focussize="0,0"/>
                  <v:stroke weight="0.223070866141732pt" color="#000000" joinstyle="round"/>
                  <v:imagedata o:title=""/>
                  <o:lock v:ext="edit" aspectratio="f"/>
                </v:line>
                <v:line id="Line 275" o:spid="_x0000_s1026" o:spt="20" style="position:absolute;left:5202;top:3802;height:0;width:2;" filled="f" stroked="t" coordsize="21600,21600" o:gfxdata="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Er5OugAAANsA&#10;AAAPAAAAAAAAAAEAIAAAACIAAABkcnMvZG93bnJldi54bWxQSwECFAAUAAAACACHTuJAMy8FnjsA&#10;AAA5AAAAEAAAAAAAAAABACAAAAAJAQAAZHJzL3NoYXBleG1sLnhtbFBLBQYAAAAABgAGAFsBAACz&#10;AwAAAAA=&#10;">
                  <v:fill on="f" focussize="0,0"/>
                  <v:stroke weight="0.209055118110236pt" color="#000000" joinstyle="round"/>
                  <v:imagedata o:title=""/>
                  <o:lock v:ext="edit" aspectratio="f"/>
                </v:line>
                <v:line id="Line 274" o:spid="_x0000_s1026" o:spt="20" style="position:absolute;left:5970;top:3870;height:0;width:0;" filled="f" stroked="t" coordsize="21600,21600" o:gfxdata="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T8Ko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73" o:spid="_x0000_s1026" o:spt="20" style="position:absolute;left:5979;top:3800;height:4;width:0;" filled="f" stroked="t" coordsize="21600,21600" o:gfxdata="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z1eTvQAA&#10;ANsAAAAPAAAAAAAAAAEAIAAAACIAAABkcnMvZG93bnJldi54bWxQSwECFAAUAAAACACHTuJAMy8F&#10;njsAAAA5AAAAEAAAAAAAAAABACAAAAAMAQAAZHJzL3NoYXBleG1sLnhtbFBLBQYAAAAABgAGAFsB&#10;AAC2AwAAAAA=&#10;">
                  <v:fill on="f" focussize="0,0"/>
                  <v:stroke weight="0.0748818897637795pt" color="#000000" joinstyle="round"/>
                  <v:imagedata o:title=""/>
                  <o:lock v:ext="edit" aspectratio="f"/>
                </v:line>
                <v:line id="Line 272" o:spid="_x0000_s1026" o:spt="20" style="position:absolute;left:6746;top:3870;height:0;width:0;" filled="f" stroked="t" coordsize="21600,21600" o:gfxdata="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0flE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71" o:spid="_x0000_s1026" o:spt="20" style="position:absolute;left:6755;top:3800;height:4;width:0;" filled="f" stroked="t" coordsize="21600,21600" o:gfxdata="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cZnq/&#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70" o:spid="_x0000_s1026" o:spt="20" style="position:absolute;left:7523;top:3870;height:0;width:0;" filled="f" stroked="t" coordsize="21600,21600" o:gfxdata="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sit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69" o:spid="_x0000_s1026" o:spt="20" style="position:absolute;left:7532;top:3800;height:4;width:0;" filled="f" stroked="t" coordsize="21600,21600" o:gfxdata="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GoMG8AAAA&#10;2wAAAA8AAAAAAAAAAQAgAAAAIgAAAGRycy9kb3ducmV2LnhtbFBLAQIUABQAAAAIAIdO4kAzLwWe&#10;OwAAADkAAAAQAAAAAAAAAAEAIAAAAAsBAABkcnMvc2hhcGV4bWwueG1sUEsFBgAAAAAGAAYAWwEA&#10;ALUDAAAAAA==&#10;">
                  <v:fill on="f" focussize="0,0"/>
                  <v:stroke weight="0.0748818897637795pt" color="#000000" joinstyle="round"/>
                  <v:imagedata o:title=""/>
                  <o:lock v:ext="edit" aspectratio="f"/>
                </v:line>
                <v:line id="Line 268" o:spid="_x0000_s1026" o:spt="20" style="position:absolute;left:8299;top:3870;height:0;width:0;" filled="f" stroked="t" coordsize="21600,21600" o:gfxdata="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YDha8AAAA&#10;2wAAAA8AAAAAAAAAAQAgAAAAIgAAAGRycy9kb3ducmV2LnhtbFBLAQIUABQAAAAIAIdO4kAzLwWe&#10;OwAAADkAAAAQAAAAAAAAAAEAIAAAAAsBAABkcnMvc2hhcGV4bWwueG1sUEsFBgAAAAAGAAYAWwEA&#10;ALUDAAAAAA==&#10;">
                  <v:fill on="f" focussize="0,0"/>
                  <v:stroke weight="0.223070866141732pt" color="#000000" joinstyle="round"/>
                  <v:imagedata o:title=""/>
                  <o:lock v:ext="edit" aspectratio="f"/>
                </v:line>
                <v:line id="Line 267" o:spid="_x0000_s1026" o:spt="20" style="position:absolute;left:8308;top:3800;height:4;width:0;" filled="f" stroked="t" coordsize="21600,21600" o:gfxdata="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Ymy2/&#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rect id="Rectangle 266" o:spid="_x0000_s1026" o:spt="1" style="position:absolute;left:2858;top:31;height:3763;width:13;"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line id="Line 265" o:spid="_x0000_s1026" o:spt="20" style="position:absolute;left:2874;top:37;height:4;width:0;" filled="f" stroked="t" coordsize="21600,21600" o:gfxdata="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9psK/&#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64" o:spid="_x0000_s1026" o:spt="20" style="position:absolute;left:2789;top:3655;height:0;width:76;" filled="f" stroked="t" coordsize="21600,21600" o:gfxdata="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7dqC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63" o:spid="_x0000_s1026" o:spt="20" style="position:absolute;left:2874;top:3661;height:4;width:0;" filled="f" stroked="t" coordsize="21600,21600" o:gfxdata="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jnS6/&#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62" o:spid="_x0000_s1026" o:spt="20" style="position:absolute;left:2789;top:3306;height:0;width:76;" filled="f" stroked="t" coordsize="21600,21600" o:gfxdata="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Fu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61" o:spid="_x0000_s1026" o:spt="20" style="position:absolute;left:2874;top:3312;height:4;width:0;" filled="f" stroked="t" coordsize="21600,21600" o:gfxdata="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wrMe8AAAA&#10;2wAAAA8AAAAAAAAAAQAgAAAAIgAAAGRycy9kb3ducmV2LnhtbFBLAQIUABQAAAAIAIdO4kAzLwWe&#10;OwAAADkAAAAQAAAAAAAAAAEAIAAAAAsBAABkcnMvc2hhcGV4bWwueG1sUEsFBgAAAAAGAAYAWwEA&#10;ALUDAAAAAA==&#10;">
                  <v:fill on="f" focussize="0,0"/>
                  <v:stroke weight="0.0748818897637795pt" color="#000000" joinstyle="round"/>
                  <v:imagedata o:title=""/>
                  <o:lock v:ext="edit" aspectratio="f"/>
                </v:line>
                <v:line id="Line 260" o:spid="_x0000_s1026" o:spt="20" style="position:absolute;left:2789;top:2958;height:0;width:76;" filled="f" stroked="t" coordsize="21600,21600" o:gfxdata="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oNCH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59" o:spid="_x0000_s1026" o:spt="20" style="position:absolute;left:2874;top:2964;height:4;width:0;" filled="f" stroked="t" coordsize="21600,21600" o:gfxdata="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82HLsAAADb&#10;AAAADwAAAAAAAAABACAAAAAiAAAAZHJzL2Rvd25yZXYueG1sUEsBAhQAFAAAAAgAh07iQDMvBZ47&#10;AAAAOQAAABAAAAAAAAAAAQAgAAAACgEAAGRycy9zaGFwZXhtbC54bWxQSwUGAAAAAAYABgBbAQAA&#10;tAMAAAAA&#10;">
                  <v:fill on="f" focussize="0,0"/>
                  <v:stroke weight="0.0748818897637795pt" color="#000000" joinstyle="round"/>
                  <v:imagedata o:title=""/>
                  <o:lock v:ext="edit" aspectratio="f"/>
                </v:line>
                <v:line id="Line 258" o:spid="_x0000_s1026" o:spt="20" style="position:absolute;left:2789;top:2609;height:0;width:76;" filled="f" stroked="t" coordsize="21600,21600" o:gfxdata="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D0pc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57" o:spid="_x0000_s1026" o:spt="20" style="position:absolute;left:2874;top:2615;height:4;width:0;" filled="f" stroked="t" coordsize="21600,21600" o:gfxdata="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BDfC/&#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56" o:spid="_x0000_s1026" o:spt="20" style="position:absolute;left:2789;top:2260;height:0;width:76;" filled="f" stroked="t" coordsize="21600,21600" o:gfxdata="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kXGw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55" o:spid="_x0000_s1026" o:spt="20" style="position:absolute;left:2874;top:2266;height:4;width:0;" filled="f" stroked="t" coordsize="21600,21600" o:gfxdata="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kMB+/&#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54" o:spid="_x0000_s1026" o:spt="20" style="position:absolute;left:2789;top:1911;height:0;width:76;" filled="f" stroked="t" coordsize="21600,21600" o:gfxdata="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0TF+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53" o:spid="_x0000_s1026" o:spt="20" style="position:absolute;left:2874;top:1918;height:4;width:0;" filled="f" stroked="t" coordsize="21600,21600" o:gfxdata="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6C/O/&#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52" o:spid="_x0000_s1026" o:spt="20" style="position:absolute;left:2789;top:1565;height:0;width:76;" filled="f" stroked="t" coordsize="21600,21600" o:gfxdata="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qd7O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51" o:spid="_x0000_s1026" o:spt="20" style="position:absolute;left:2874;top:1571;height:4;width:0;" filled="f" stroked="t" coordsize="21600,21600" o:gfxdata="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Kk6GrsAAADb&#10;AAAADwAAAAAAAAABACAAAAAiAAAAZHJzL2Rvd25yZXYueG1sUEsBAhQAFAAAAAgAh07iQDMvBZ47&#10;AAAAOQAAABAAAAAAAAAAAQAgAAAACgEAAGRycy9zaGFwZXhtbC54bWxQSwUGAAAAAAYABgBbAQAA&#10;tAMAAAAA&#10;">
                  <v:fill on="f" focussize="0,0"/>
                  <v:stroke weight="0.0748818897637795pt" color="#000000" joinstyle="round"/>
                  <v:imagedata o:title=""/>
                  <o:lock v:ext="edit" aspectratio="f"/>
                </v:line>
                <v:line id="Line 250" o:spid="_x0000_s1026" o:spt="20" style="position:absolute;left:2789;top:1216;height:0;width:76;" filled="f" stroked="t" coordsize="21600,21600" o:gfxdata="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5Rlq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49" o:spid="_x0000_s1026" o:spt="20" style="position:absolute;left:2874;top:1222;height:4;width:0;" filled="f" stroked="t" coordsize="21600,21600" o:gfxdata="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ZRWG8AAAA&#10;2wAAAA8AAAAAAAAAAQAgAAAAIgAAAGRycy9kb3ducmV2LnhtbFBLAQIUABQAAAAIAIdO4kAzLwWe&#10;OwAAADkAAAAQAAAAAAAAAAEAIAAAAAsBAABkcnMvc2hhcGV4bWwueG1sUEsFBgAAAAAGAAYAWwEA&#10;ALUDAAAAAA==&#10;">
                  <v:fill on="f" focussize="0,0"/>
                  <v:stroke weight="0.0748818897637795pt" color="#000000" joinstyle="round"/>
                  <v:imagedata o:title=""/>
                  <o:lock v:ext="edit" aspectratio="f"/>
                </v:line>
                <v:line id="Line 248" o:spid="_x0000_s1026" o:spt="20" style="position:absolute;left:2789;top:867;height:0;width:76;" filled="f" stroked="t" coordsize="21600,21600" o:gfxdata="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k5IbsAAADb&#10;AAAADwAAAAAAAAABACAAAAAiAAAAZHJzL2Rvd25yZXYueG1sUEsBAhQAFAAAAAgAh07iQDMvBZ47&#10;AAAAOQAAABAAAAAAAAAAAQAgAAAACgEAAGRycy9zaGFwZXhtbC54bWxQSwUGAAAAAAYABgBbAQAA&#10;tAMAAAAA&#10;">
                  <v:fill on="f" focussize="0,0"/>
                  <v:stroke weight="0.22244094488189pt" color="#000000" joinstyle="round"/>
                  <v:imagedata o:title=""/>
                  <o:lock v:ext="edit" aspectratio="f"/>
                </v:line>
                <v:line id="Line 247" o:spid="_x0000_s1026" o:spt="20" style="position:absolute;left:2874;top:873;height:4;width:0;" filled="f" stroked="t" coordsize="21600,21600" o:gfxdata="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Hfo2/&#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46" o:spid="_x0000_s1026" o:spt="20" style="position:absolute;left:2789;top:518;height:0;width:76;" filled="f" stroked="t" coordsize="21600,21600" o:gfxdata="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XAs2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45" o:spid="_x0000_s1026" o:spt="20" style="position:absolute;left:2874;top:524;height:4;width:0;" filled="f" stroked="t" coordsize="21600,21600" o:gfxdata="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iQ2K/&#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44" o:spid="_x0000_s1026" o:spt="20" style="position:absolute;left:2789;top:169;height:0;width:76;" filled="f" stroked="t" coordsize="21600,21600" o:gfxdata="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I/Ir4A&#10;AADbAAAADwAAAAAAAAABACAAAAAiAAAAZHJzL2Rvd25yZXYueG1sUEsBAhQAFAAAAAgAh07iQDMv&#10;BZ47AAAAOQAAABAAAAAAAAAAAQAgAAAADQEAAGRycy9zaGFwZXhtbC54bWxQSwUGAAAAAAYABgBb&#10;AQAAtwMAAAAA&#10;">
                  <v:fill on="f" focussize="0,0"/>
                  <v:stroke weight="0.22244094488189pt" color="#000000" joinstyle="round"/>
                  <v:imagedata o:title=""/>
                  <o:lock v:ext="edit" aspectratio="f"/>
                </v:line>
                <v:line id="Line 243" o:spid="_x0000_s1026" o:spt="20" style="position:absolute;left:2874;top:176;height:4;width:0;" filled="f" stroked="t" coordsize="21600,21600" o:gfxdata="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8eI6/&#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shape id="Freeform 242" o:spid="_x0000_s1026" o:spt="100" style="position:absolute;left:2864;top:169;height:3486;width:5135;" filled="f" stroked="t" coordsize="5135,3486" o:gfxdata="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d/5r4A&#10;AADbAAAADwAAAAAAAAABACAAAAAiAAAAZHJzL2Rvd25yZXYueG1sUEsBAhQAFAAAAAgAh07iQDMv&#10;BZ47AAAAOQAAABAAAAAAAAAAAQAgAAAADQEAAGRycy9zaGFwZXhtbC54bWxQSwUGAAAAAAYABgBb&#10;AQAAtwMAAAAA&#10;" path="m0,0l170,0,170,45,238,45,238,89,246,89,246,269,264,269,264,315,272,315,272,360,297,360,297,406,314,406,314,453,485,453,485,559,545,559,545,612,578,612,578,667,971,667,971,729,1039,729,1039,795,1089,795,1089,862,1413,862,1413,930,1464,930,1464,1002,1557,1002,1557,1075,1574,1075,1574,1151,1864,1151,1864,1227,1914,1227,1914,1383,1942,1383,1942,1469,2145,1469,2145,1558,2869,1558,2869,1659,2945,1659,2945,1760,3524,1760,3524,1976,5134,1976,5134,3486e">
                  <v:path o:connectlocs="0,169;170,169;170,214;238,214;238,258;246,258;246,438;264,438;264,484;272,484;272,529;297,529;297,575;314,575;314,622;485,622;485,728;545,728;545,781;578,781;578,836;971,836;971,898;1039,898;1039,964;1089,964;1089,1031;1413,1031;1413,1099;1464,1099;1464,1171;1557,1171;1557,1244;1574,1244;1574,1320;1864,1320;1864,1396;1914,1396;1914,1552;1942,1552;1942,1638;2145,1638;2145,1727;2869,1727;2869,1828;2945,1828;2945,1929;3524,1929;3524,2145;5134,2145;5134,3655" o:connectangles="0,0,0,0,0,0,0,0,0,0,0,0,0,0,0,0,0,0,0,0,0,0,0,0,0,0,0,0,0,0,0,0,0,0,0,0,0,0,0,0,0,0,0,0,0,0,0,0,0,0,0"/>
                  <v:fill on="f" focussize="0,0"/>
                  <v:stroke weight="0.706850393700787pt" color="#000000" joinstyle="round"/>
                  <v:imagedata o:title=""/>
                  <o:lock v:ext="edit" aspectratio="f"/>
                </v:shape>
                <v:shape id="AutoShape 241" o:spid="_x0000_s1026" o:spt="100" style="position:absolute;left:2864;top:162;height:1284;width:911;" fillcolor="#6D6D63" filled="t" stroked="f" coordsize="911,1284" o:gfxdata="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ikLsAAADb&#10;AAAADwAAAAAAAAABACAAAAAiAAAAZHJzL2Rvd25yZXYueG1sUEsBAhQAFAAAAAgAh07iQDMvBZ47&#10;AAAAOQAAABAAAAAAAAAAAQAgAAAACgEAAGRycy9zaGFwZXhtbC54bWxQSwUGAAAAAAYABgBbAQAA&#10;tAMAAAAA&#10;" path="m126,0l0,0,0,14,126,14,126,0xm221,7l220,7,213,1,213,0,158,0,158,14,207,14,207,79,221,79,221,7xm254,235l240,235,240,361,254,361,254,235xm254,148l252,148,246,142,246,140,237,140,237,101,235,101,229,94,229,93,223,93,223,100,221,101,223,103,223,107,223,147,221,148,229,156,230,154,240,154,240,203,254,203,254,148xm290,467l289,467,289,428,287,428,281,421,281,420,279,420,279,380,278,380,272,374,272,372,259,372,259,386,265,386,265,426,264,428,272,435,273,434,275,434,275,473,273,475,281,483,282,481,290,481,290,467xm357,571l355,571,349,564,349,563,340,563,340,522,338,522,331,515,331,514,331,474,330,474,324,469,324,467,322,467,322,470,316,475,317,476,317,521,316,522,324,530,325,528,325,570,324,571,331,578,333,577,348,577,349,578,353,574,357,574,357,571xm433,619l431,619,425,613,425,612,357,612,357,605,343,605,343,618,341,619,349,628,350,626,419,626,419,656,433,656,433,619xm475,718l474,718,468,711,468,709,442,709,442,678,428,678,428,716,427,718,434,726,436,724,461,724,461,771,475,771,475,718xm501,820l499,820,493,813,493,812,475,812,475,802,461,802,461,819,460,820,468,828,469,826,486,826,486,904,501,904,501,820xm577,970l510,970,510,926,496,926,496,977,495,978,502,986,504,984,577,984,577,970xm626,1079l612,1079,612,1032,610,1032,610,1031,603,1026,603,1023,596,1023,596,999,582,999,582,1030,580,1031,588,1040,589,1038,597,1038,597,1086,596,1087,603,1095,605,1093,626,1093,626,1079xm782,1087l781,1087,774,1081,774,1079,657,1079,657,1093,768,1093,768,1096,782,1096,782,1087xm843,1142l841,1142,834,1136,834,1134,782,1134,782,1127,768,1127,768,1141,767,1142,774,1150,775,1148,828,1148,828,1194,843,1194,843,1142xm910,1254l902,1254,902,1247,885,1247,885,1199,883,1199,877,1192,877,1191,861,1191,861,1205,871,1205,871,1253,869,1254,877,1262,878,1261,896,1261,896,1284,910,1284,910,1254xe">
                  <v:path o:connectlocs="126,176;213,163;207,176;254,397;254,397;246,302;235,263;223,262;223,309;240,316;290,629;287,590;279,542;272,534;265,588;275,596;282,643;355,733;340,684;331,636;322,629;317,683;325,732;348,739;357,733;425,774;343,780;419,788;475,880;442,871;427,880;461,933;499,982;475,964;468,990;501,1066;510,1088;502,1148;626,1241;610,1193;596,1161;588,1202;596,1249;626,1241;774,1241;768,1258;841,1304;782,1296;767,1304;828,1356;902,1416;883,1361;861,1367;877,1424;910,1446" o:connectangles="0,0,0,0,0,0,0,0,0,0,0,0,0,0,0,0,0,0,0,0,0,0,0,0,0,0,0,0,0,0,0,0,0,0,0,0,0,0,0,0,0,0,0,0,0,0,0,0,0,0,0,0,0,0,0"/>
                  <v:fill on="t" focussize="0,0"/>
                  <v:stroke on="f"/>
                  <v:imagedata o:title=""/>
                  <o:lock v:ext="edit" aspectratio="f"/>
                </v:shape>
                <v:shape id="AutoShape 240" o:spid="_x0000_s1026" o:spt="100" style="position:absolute;left:3759;top:1409;height:1591;width:1621;" fillcolor="#6D6D63" filled="t" stroked="f" coordsize="1621,1591" o:gfxdata="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9FE+y5AAAA2wAA&#10;AA8AAAAAAAAAAQAgAAAAIgAAAGRycy9kb3ducmV2LnhtbFBLAQIUABQAAAAIAIdO4kAzLwWeOwAA&#10;ADkAAAAQAAAAAAAAAAEAIAAAAAgBAABkcnMvc2hhcGV4bWwueG1sUEsFBgAAAAAGAAYAWwEAALID&#10;AAAAAA==&#10;" path="m15,6l14,6,7,0,0,6,1,8,1,36,15,36,15,6xm58,118l56,118,50,112,50,110,41,110,41,62,39,62,33,57,33,55,12,55,12,69,27,69,27,117,25,118,33,126,34,124,44,124,44,151,58,151,58,118xm117,241l115,241,109,235,109,234,109,176,107,176,101,170,101,169,56,169,56,183,93,183,93,249,103,249,103,251,117,251,117,241xm211,298l117,298,117,282,103,282,103,305,101,306,109,314,110,312,211,312,211,298xm369,298l243,298,243,312,369,312,369,298xm517,306l515,306,509,300,509,298,401,298,401,312,503,312,503,325,517,325,517,306xm544,449l542,449,535,443,535,442,526,442,526,377,524,377,518,371,518,369,517,369,517,356,503,356,503,375,500,377,509,385,510,383,510,457,526,457,526,456,530,456,534,456,535,457,537,456,544,456,544,449xm556,585l544,585,544,487,527,487,527,601,544,601,544,600,556,600,556,585xm627,664l626,664,620,658,620,656,576,656,576,612,562,612,562,663,561,664,569,672,570,670,613,670,613,687,627,687,627,664xm670,739l668,739,662,733,662,732,627,732,627,719,613,719,613,738,611,739,620,748,621,746,656,746,656,803,670,803,670,739xm807,808l681,808,681,822,807,822,807,808xm965,808l839,808,839,822,965,822,965,808xm1027,890l1026,890,1019,884,1019,881,1002,881,1002,819,986,819,986,898,1002,898,1002,896,1013,896,1013,919,1027,919,1027,890xm1056,1033l1027,1033,1027,951,1012,951,1012,1049,1027,1049,1027,1047,1056,1047,1056,1033xm1097,1126l1095,1126,1089,1120,1089,1119,1070,1119,1070,1067,1056,1067,1056,1125,1054,1126,1062,1134,1063,1133,1083,1133,1083,1166,1097,1166,1097,1126xm1165,1213l1164,1213,1157,1207,1157,1205,1097,1205,1097,1198,1083,1198,1083,1212,1081,1213,1089,1221,1090,1219,1151,1219,1151,1256,1165,1256,1165,1213xm1272,1291l1165,1291,1165,1288,1151,1288,1151,1296,1149,1298,1157,1306,1158,1305,1272,1305,1272,1291xm1336,1385l1284,1385,1284,1327,1268,1327,1268,1401,1284,1401,1284,1399,1336,1399,1336,1385xm1494,1385l1367,1385,1367,1399,1494,1399,1494,1385xm1608,1393l1606,1393,1600,1387,1600,1385,1526,1385,1526,1399,1594,1399,1594,1445,1608,1445,1608,1393xm1620,1575l1608,1575,1608,1477,1592,1477,1592,1590,1608,1590,1608,1589,1620,1589,1620,1575xe">
                  <v:path o:connectlocs="7,1410;15,1446;56,1528;41,1472;33,1465;27,1527;44,1534;117,1651;109,1644;101,1579;93,1659;117,1651;103,1692;110,1722;243,1708;517,1716;509,1708;503,1735;542,1859;526,1787;518,1781;503,1766;510,1793;526,1866;537,1866;544,1995;544,2011;627,2074;576,2066;561,2074;613,2097;668,2149;627,2142;611,2149;656,2213;681,2218;965,2218;965,2218;1019,2294;1002,2229;1002,2306;1027,2300;1012,2361;1056,2457;1089,2530;1070,2477;1062,2544;1097,2576;1157,2617;1083,2608;1090,2629;1165,2623;1151,2698;1158,2715;1284,2795;1284,2811;1494,2795;1494,2795;1600,2795;1594,2855;1608,2985;1608,3000" o:connectangles="0,0,0,0,0,0,0,0,0,0,0,0,0,0,0,0,0,0,0,0,0,0,0,0,0,0,0,0,0,0,0,0,0,0,0,0,0,0,0,0,0,0,0,0,0,0,0,0,0,0,0,0,0,0,0,0,0,0,0,0,0,0"/>
                  <v:fill on="t" focussize="0,0"/>
                  <v:stroke on="f"/>
                  <v:imagedata o:title=""/>
                  <o:lock v:ext="edit" aspectratio="f"/>
                </v:shape>
                <v:shape id="AutoShape 239" o:spid="_x0000_s1026" o:spt="100" style="position:absolute;left:5359;top:2984;height:444;width:612;" fillcolor="#6D6D63" filled="t" stroked="f" coordsize="612,444" o:gfxdata="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RFP+8AAAA&#10;2wAAAA8AAAAAAAAAAQAgAAAAIgAAAGRycy9kb3ducmV2LnhtbFBLAQIUABQAAAAIAIdO4kAzLwWe&#10;OwAAADkAAAAQAAAAAAAAAAEAIAAAAAsBAABkcnMvc2hhcGV4bWwueG1sUEsFBgAAAAAGAAYAWwEA&#10;ALUDAAAAAA==&#10;" path="m21,0l0,0,0,14,21,14,21,0xm179,0l53,0,53,14,179,14,179,0xm331,7l330,7,323,1,323,0,211,0,211,14,317,14,317,21,331,21,331,7xm384,102l382,102,375,96,375,94,331,94,331,53,317,53,317,100,316,102,323,110,324,108,369,108,369,127,384,127,384,102xm445,208l384,208,384,159,369,159,369,214,368,215,375,224,377,222,445,222,445,208xm519,215l518,215,512,209,512,208,477,208,477,222,505,222,505,307,519,307,519,215xm612,404l598,404,598,443,612,443,612,404xm612,329l611,329,605,323,605,321,521,321,521,335,598,335,598,372,612,372,612,329xe">
                  <v:path o:connectlocs="0,2985;21,2999;179,2985;53,2999;179,2985;330,2992;323,2986;211,2985;317,2999;331,3006;384,3087;375,3081;331,3079;317,3038;316,3087;324,3093;369,3112;384,3087;384,3193;369,3144;368,3200;377,3207;445,3193;518,3200;512,3194;477,3193;505,3207;519,3292;612,3389;598,3428;612,3389;611,3314;605,3308;521,3306;598,3320;612,3357" o:connectangles="0,0,0,0,0,0,0,0,0,0,0,0,0,0,0,0,0,0,0,0,0,0,0,0,0,0,0,0,0,0,0,0,0,0,0,0"/>
                  <v:fill on="t" focussize="0,0"/>
                  <v:stroke on="f"/>
                  <v:imagedata o:title=""/>
                  <o:lock v:ext="edit" aspectratio="f"/>
                </v:shape>
                <v:line id="Line 238" o:spid="_x0000_s1026" o:spt="20" style="position:absolute;left:5964;top:3427;height:0;width:2136;" filled="f" stroked="t" coordsize="21600,21600" o:gfxdata="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HnIO8AAAA&#10;2wAAAA8AAAAAAAAAAQAgAAAAIgAAAGRycy9kb3ducmV2LnhtbFBLAQIUABQAAAAIAIdO4kAzLwWe&#10;OwAAADkAAAAQAAAAAAAAAAEAIAAAAAsBAABkcnMvc2hhcGV4bWwueG1sUEsFBgAAAAAGAAYAWwEA&#10;ALUDAAAAAA==&#10;">
                  <v:fill on="f" focussize="0,0"/>
                  <v:stroke weight="0.706220472440945pt" color="#6D6D63" joinstyle="round" dashstyle="3 1"/>
                  <v:imagedata o:title=""/>
                  <o:lock v:ext="edit" aspectratio="f"/>
                </v:line>
                <v:shape id="AutoShape 237" o:spid="_x0000_s1026" o:spt="100" style="position:absolute;left:5955;top:3421;height:234;width:2152;" fillcolor="#6D6D63" filled="t" stroked="f" coordsize="2152,234" o:gfxdata="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ucve8AAAA&#10;2wAAAA8AAAAAAAAAAQAgAAAAIgAAAGRycy9kb3ducmV2LnhtbFBLAQIUABQAAAAIAIdO4kAzLwWe&#10;OwAAADkAAAAQAAAAAAAAAAEAIAAAAAsBAABkcnMvc2hhcGV4bWwueG1sUEsFBgAAAAAGAAYAWwEA&#10;ALUDAAAAAA==&#10;" path="m14,7l8,0,0,7,8,14,14,7xm2152,203l2137,203,2137,234,2152,234,2152,203xm2152,45l2137,45,2137,171,2152,171,2152,45xm2152,7l2150,7,2144,0,2136,7,2137,8,2137,13,2143,13,2144,14,2145,13,2152,13,2152,7xe">
                  <v:path o:connectlocs="14,3428;8,3421;0,3428;8,3435;14,3428;2152,3624;2137,3624;2137,3655;2152,3655;2152,3624;2152,3466;2137,3466;2137,3592;2152,3592;2152,3466;2152,3428;2150,3428;2150,3428;2144,3421;2136,3428;2137,3429;2137,3434;2143,3434;2144,3435;2145,3434;2152,3434;2152,3428" o:connectangles="0,0,0,0,0,0,0,0,0,0,0,0,0,0,0,0,0,0,0,0,0,0,0,0,0,0,0"/>
                  <v:fill on="t" focussize="0,0"/>
                  <v:stroke on="f"/>
                  <v:imagedata o:title=""/>
                  <o:lock v:ext="edit" aspectratio="f"/>
                </v:shape>
                <v:shape id="Freeform 236" o:spid="_x0000_s1026" o:spt="100" style="position:absolute;left:5816;top:257;height:2;width:481;" filled="f" stroked="t" coordsize="481,1" o:gfxdata="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GcrW8AAAA&#10;2wAAAA8AAAAAAAAAAQAgAAAAIgAAAGRycy9kb3ducmV2LnhtbFBLAQIUABQAAAAIAIdO4kAzLwWe&#10;OwAAADkAAAAQAAAAAAAAAAEAIAAAAAsBAABkcnMvc2hhcGV4bWwueG1sUEsFBgAAAAAGAAYAWwEA&#10;ALUDAAAAAA==&#10;" path="m0,0l240,0,481,0e">
                  <v:path o:connectlocs="0,0;240,0;481,0" o:connectangles="0,0,0"/>
                  <v:fill on="f" focussize="0,0"/>
                  <v:stroke weight="0.706220472440945pt" color="#000000" joinstyle="round"/>
                  <v:imagedata o:title=""/>
                  <o:lock v:ext="edit" aspectratio="f"/>
                </v:shape>
                <v:shape id="AutoShape 235" o:spid="_x0000_s1026" o:spt="100" style="position:absolute;left:5816;top:806;height:15;width:481;" fillcolor="#6D6D63" filled="t" stroked="f" coordsize="481,15" o:gfxdata="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bvj2twAAANsAAAAP&#10;AAAAAAAAAAEAIAAAACIAAABkcnMvZG93bnJldi54bWxQSwECFAAUAAAACACHTuJAMy8FnjsAAAA5&#10;AAAAEAAAAAAAAAABACAAAAAGAQAAZHJzL3NoYXBleG1sLnhtbFBLBQYAAAAABgAGAFsBAACwAwAA&#10;AAA=&#10;" path="m126,0l0,0,0,14,126,14,126,0xm240,0l158,0,158,14,240,14,240,0xm285,0l240,0,240,14,285,14,285,0xm443,0l316,0,316,14,443,14,443,0xm481,0l474,0,474,14,481,14,481,0xe">
                  <v:path o:connectlocs="126,807;0,807;0,821;126,821;126,807;240,807;158,807;158,821;240,821;240,807;285,807;240,807;240,821;285,821;285,807;443,807;316,807;316,821;443,821;443,807;481,807;474,807;474,821;481,821;481,807" o:connectangles="0,0,0,0,0,0,0,0,0,0,0,0,0,0,0,0,0,0,0,0,0,0,0,0,0"/>
                  <v:fill on="t" focussize="0,0"/>
                  <v:stroke on="f"/>
                  <v:imagedata o:title=""/>
                  <o:lock v:ext="edit" aspectratio="f"/>
                </v:shape>
                <v:shape id="Text Box 234" o:spid="_x0000_s1026" o:spt="202" type="#_x0000_t202" style="position:absolute;left:6507;top:145;height:1420;width:1657;"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AF35AE">
                        <w:pPr>
                          <w:spacing w:line="185" w:lineRule="exact"/>
                          <w:rPr>
                            <w:rFonts w:ascii="Microsoft Sans Serif" w:hAnsi="Microsoft Sans Serif" w:cs="Microsoft Sans Serif"/>
                            <w:sz w:val="20"/>
                            <w:szCs w:val="20"/>
                          </w:rPr>
                        </w:pPr>
                        <w:r>
                          <w:rPr>
                            <w:rFonts w:ascii="Microsoft Sans Serif" w:hAnsi="Microsoft Sans Serif" w:cs="Microsoft Sans Serif"/>
                            <w:sz w:val="20"/>
                            <w:szCs w:val="20"/>
                          </w:rPr>
                          <w:t>Sunitinib (N=86)</w:t>
                        </w:r>
                      </w:p>
                      <w:p w14:paraId="57AB1360">
                        <w:pPr>
                          <w:spacing w:line="191" w:lineRule="exact"/>
                          <w:ind w:left="4"/>
                          <w:rPr>
                            <w:rFonts w:ascii="Microsoft Sans Serif" w:hAnsi="Microsoft Sans Serif" w:cs="Microsoft Sans Serif"/>
                            <w:sz w:val="20"/>
                            <w:szCs w:val="20"/>
                          </w:rPr>
                        </w:pPr>
                        <w:r>
                          <w:rPr>
                            <w:rFonts w:ascii="Microsoft Sans Serif" w:hAnsi="Microsoft Sans Serif" w:cs="Microsoft Sans Serif"/>
                            <w:sz w:val="20"/>
                            <w:szCs w:val="20"/>
                          </w:rPr>
                          <w:t>Medijana 11.4 mjeseci</w:t>
                        </w:r>
                      </w:p>
                      <w:p w14:paraId="5913286F">
                        <w:pPr>
                          <w:spacing w:before="6"/>
                          <w:rPr>
                            <w:rFonts w:ascii="Microsoft Sans Serif" w:hAnsi="Microsoft Sans Serif" w:cs="Microsoft Sans Serif"/>
                            <w:sz w:val="20"/>
                            <w:szCs w:val="20"/>
                          </w:rPr>
                        </w:pPr>
                      </w:p>
                      <w:p w14:paraId="4F030D01">
                        <w:pPr>
                          <w:spacing w:line="201" w:lineRule="auto"/>
                          <w:ind w:left="4" w:right="102" w:hanging="5"/>
                          <w:rPr>
                            <w:rFonts w:ascii="Microsoft Sans Serif" w:hAnsi="Microsoft Sans Serif" w:cs="Microsoft Sans Serif"/>
                            <w:sz w:val="20"/>
                            <w:szCs w:val="20"/>
                          </w:rPr>
                        </w:pPr>
                        <w:r>
                          <w:rPr>
                            <w:rFonts w:ascii="Microsoft Sans Serif" w:hAnsi="Microsoft Sans Serif" w:cs="Microsoft Sans Serif"/>
                            <w:sz w:val="20"/>
                            <w:szCs w:val="20"/>
                          </w:rPr>
                          <w:t>Placebo (N=85) Medijana 5.5 mjeseci</w:t>
                        </w:r>
                      </w:p>
                    </w:txbxContent>
                  </v:textbox>
                </v:shape>
                <v:shape id="Text Box 233" o:spid="_x0000_s1026" o:spt="202" type="#_x0000_t202" style="position:absolute;left:3100;top:2899;height:759;width:1643;"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316C1AB">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 xml:space="preserve">Stopa rizika = 0.42 </w:t>
                        </w:r>
                      </w:p>
                      <w:p w14:paraId="5B10A2F3">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95% CI (0.26 - 0.66)</w:t>
                        </w:r>
                      </w:p>
                      <w:p w14:paraId="28481859">
                        <w:pPr>
                          <w:spacing w:line="182" w:lineRule="exact"/>
                          <w:rPr>
                            <w:rFonts w:ascii="Arial"/>
                            <w:sz w:val="18"/>
                          </w:rPr>
                        </w:pPr>
                        <w:r>
                          <w:rPr>
                            <w:rFonts w:ascii="Microsoft Sans Serif" w:hAnsi="Microsoft Sans Serif" w:cs="Microsoft Sans Serif"/>
                            <w:sz w:val="18"/>
                          </w:rPr>
                          <w:t>p = 0.0001</w:t>
                        </w:r>
                      </w:p>
                    </w:txbxContent>
                  </v:textbox>
                </v:shape>
              </v:group>
            </w:pict>
          </mc:Fallback>
        </mc:AlternateContent>
      </w:r>
      <w:r>
        <w:rPr>
          <w:rFonts w:ascii="Microsoft Sans Serif" w:hAnsi="Microsoft Sans Serif" w:cs="Microsoft Sans Serif"/>
          <w:b/>
          <w:sz w:val="20"/>
          <w:szCs w:val="20"/>
        </w:rPr>
        <w:t xml:space="preserve">         </w:t>
      </w:r>
      <w:r>
        <w:rPr>
          <w:rFonts w:ascii="Microsoft Sans Serif" w:hAnsi="Microsoft Sans Serif" w:cs="Microsoft Sans Serif"/>
          <w:sz w:val="20"/>
          <w:szCs w:val="20"/>
        </w:rPr>
        <w:t>100</w:t>
      </w:r>
    </w:p>
    <w:p w14:paraId="4F7AA8B7">
      <w:pPr>
        <w:tabs>
          <w:tab w:val="left" w:pos="802"/>
          <w:tab w:val="clear" w:pos="284"/>
        </w:tabs>
        <w:ind w:firstLine="720"/>
        <w:rPr>
          <w:rFonts w:ascii="Microsoft Sans Serif" w:hAnsi="Microsoft Sans Serif" w:cs="Microsoft Sans Serif"/>
          <w:b/>
          <w:sz w:val="20"/>
          <w:szCs w:val="20"/>
        </w:rPr>
      </w:pPr>
    </w:p>
    <w:p w14:paraId="3DCFD39A">
      <w:pPr>
        <w:widowControl w:val="0"/>
        <w:tabs>
          <w:tab w:val="left" w:pos="761"/>
          <w:tab w:val="clear" w:pos="284"/>
        </w:tabs>
        <w:autoSpaceDE w:val="0"/>
        <w:autoSpaceDN w:val="0"/>
        <w:rPr>
          <w:rFonts w:ascii="Microsoft Sans Serif" w:hAnsi="Microsoft Sans Serif" w:cs="Microsoft Sans Serif"/>
          <w:sz w:val="20"/>
          <w:szCs w:val="20"/>
        </w:rPr>
      </w:pPr>
      <w:r>
        <mc:AlternateContent>
          <mc:Choice Requires="wps">
            <w:drawing>
              <wp:anchor distT="0" distB="0" distL="114300" distR="114300" simplePos="0" relativeHeight="251662336" behindDoc="0" locked="0" layoutInCell="1" allowOverlap="1">
                <wp:simplePos x="0" y="0"/>
                <wp:positionH relativeFrom="page">
                  <wp:posOffset>998220</wp:posOffset>
                </wp:positionH>
                <wp:positionV relativeFrom="paragraph">
                  <wp:posOffset>44450</wp:posOffset>
                </wp:positionV>
                <wp:extent cx="335915" cy="2407920"/>
                <wp:effectExtent l="0" t="0" r="6985" b="11430"/>
                <wp:wrapNone/>
                <wp:docPr id="3" name="Text Box 231"/>
                <wp:cNvGraphicFramePr/>
                <a:graphic xmlns:a="http://schemas.openxmlformats.org/drawingml/2006/main">
                  <a:graphicData uri="http://schemas.microsoft.com/office/word/2010/wordprocessingShape">
                    <wps:wsp>
                      <wps:cNvSpPr txBox="1">
                        <a:spLocks noChangeArrowheads="1"/>
                      </wps:cNvSpPr>
                      <wps:spPr bwMode="auto">
                        <a:xfrm>
                          <a:off x="0" y="0"/>
                          <a:ext cx="335915" cy="2407920"/>
                        </a:xfrm>
                        <a:prstGeom prst="rect">
                          <a:avLst/>
                        </a:prstGeom>
                        <a:noFill/>
                        <a:ln>
                          <a:noFill/>
                        </a:ln>
                      </wps:spPr>
                      <wps:txbx>
                        <w:txbxContent>
                          <w:p w14:paraId="18B75E3B">
                            <w:pPr>
                              <w:spacing w:before="12"/>
                              <w:ind w:left="20"/>
                              <w:rPr>
                                <w:rFonts w:ascii="Microsoft Sans Serif" w:hAnsi="Microsoft Sans Serif" w:cs="Microsoft Sans Serif"/>
                                <w:sz w:val="18"/>
                                <w:szCs w:val="18"/>
                              </w:rPr>
                            </w:pPr>
                            <w:r>
                              <w:rPr>
                                <w:rFonts w:ascii="Microsoft Sans Serif" w:hAnsi="Microsoft Sans Serif" w:cs="Microsoft Sans Serif"/>
                                <w:sz w:val="18"/>
                                <w:szCs w:val="18"/>
                              </w:rPr>
                              <w:t>Vjerovatnoća preživljavanja bez progresije</w:t>
                            </w:r>
                            <w:r>
                              <w:rPr>
                                <w:rFonts w:ascii="Microsoft Sans Serif" w:hAnsi="Microsoft Sans Serif" w:cs="Microsoft Sans Serif"/>
                                <w:spacing w:val="-34"/>
                                <w:sz w:val="18"/>
                                <w:szCs w:val="18"/>
                              </w:rPr>
                              <w:t xml:space="preserve"> </w:t>
                            </w:r>
                            <w:r>
                              <w:rPr>
                                <w:rFonts w:ascii="Microsoft Sans Serif" w:hAnsi="Microsoft Sans Serif" w:cs="Microsoft Sans Serif"/>
                                <w:sz w:val="18"/>
                                <w:szCs w:val="18"/>
                              </w:rPr>
                              <w:t>(%)</w:t>
                            </w:r>
                          </w:p>
                        </w:txbxContent>
                      </wps:txbx>
                      <wps:bodyPr rot="0" vert="vert270" wrap="square" lIns="0" tIns="0" rIns="0" bIns="0" anchor="t" anchorCtr="0" upright="1">
                        <a:noAutofit/>
                      </wps:bodyPr>
                    </wps:wsp>
                  </a:graphicData>
                </a:graphic>
              </wp:anchor>
            </w:drawing>
          </mc:Choice>
          <mc:Fallback>
            <w:pict>
              <v:shape id="Text Box 231" o:spid="_x0000_s1026" o:spt="202" type="#_x0000_t202" style="position:absolute;left:0pt;margin-left:78.6pt;margin-top:3.5pt;height:189.6pt;width:26.45pt;mso-position-horizontal-relative:page;z-index:251662336;mso-width-relative:page;mso-height-relative:page;" filled="f" stroked="f" coordsize="21600,21600" o:gfxdata="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p7B91QAAAAkBAAAPAAAAAAAAAAEAIAAAACIAAABkcnMvZG93bnJl&#10;di54bWxQSwECFAAUAAAACACHTuJA/dc1IwACAAAJBAAADgAAAAAAAAABACAAAAAkAQAAZHJzL2Uy&#10;b0RvYy54bWxQSwUGAAAAAAYABgBZAQAAlgUAAAAA&#10;">
                <v:fill on="f" focussize="0,0"/>
                <v:stroke on="f"/>
                <v:imagedata o:title=""/>
                <o:lock v:ext="edit" aspectratio="f"/>
                <v:textbox inset="0mm,0mm,0mm,0mm" style="layout-flow:vertical;mso-layout-flow-alt:bottom-to-top;">
                  <w:txbxContent>
                    <w:p w14:paraId="18B75E3B">
                      <w:pPr>
                        <w:spacing w:before="12"/>
                        <w:ind w:left="20"/>
                        <w:rPr>
                          <w:rFonts w:ascii="Microsoft Sans Serif" w:hAnsi="Microsoft Sans Serif" w:cs="Microsoft Sans Serif"/>
                          <w:sz w:val="18"/>
                          <w:szCs w:val="18"/>
                        </w:rPr>
                      </w:pPr>
                      <w:r>
                        <w:rPr>
                          <w:rFonts w:ascii="Microsoft Sans Serif" w:hAnsi="Microsoft Sans Serif" w:cs="Microsoft Sans Serif"/>
                          <w:sz w:val="18"/>
                          <w:szCs w:val="18"/>
                        </w:rPr>
                        <w:t>Vjerovatnoća preživljavanja bez progresije</w:t>
                      </w:r>
                      <w:r>
                        <w:rPr>
                          <w:rFonts w:ascii="Microsoft Sans Serif" w:hAnsi="Microsoft Sans Serif" w:cs="Microsoft Sans Serif"/>
                          <w:spacing w:val="-34"/>
                          <w:sz w:val="18"/>
                          <w:szCs w:val="18"/>
                        </w:rPr>
                        <w:t xml:space="preserve"> </w:t>
                      </w:r>
                      <w:r>
                        <w:rPr>
                          <w:rFonts w:ascii="Microsoft Sans Serif" w:hAnsi="Microsoft Sans Serif" w:cs="Microsoft Sans Serif"/>
                          <w:sz w:val="18"/>
                          <w:szCs w:val="18"/>
                        </w:rPr>
                        <w:t>(%)</w:t>
                      </w:r>
                    </w:p>
                  </w:txbxContent>
                </v:textbox>
              </v:shape>
            </w:pict>
          </mc:Fallback>
        </mc:AlternateContent>
      </w:r>
      <w:r>
        <w:rPr>
          <w:rFonts w:ascii="Microsoft Sans Serif" w:hAnsi="Microsoft Sans Serif" w:cs="Microsoft Sans Serif"/>
          <w:sz w:val="20"/>
          <w:szCs w:val="20"/>
        </w:rPr>
        <w:tab/>
      </w:r>
      <w:r>
        <w:rPr>
          <w:rFonts w:ascii="Microsoft Sans Serif" w:hAnsi="Microsoft Sans Serif" w:cs="Microsoft Sans Serif"/>
          <w:sz w:val="20"/>
          <w:szCs w:val="20"/>
        </w:rPr>
        <w:t>90</w:t>
      </w:r>
    </w:p>
    <w:p w14:paraId="68F59335">
      <w:pPr>
        <w:widowControl w:val="0"/>
        <w:tabs>
          <w:tab w:val="clear" w:pos="284"/>
        </w:tabs>
        <w:autoSpaceDE w:val="0"/>
        <w:autoSpaceDN w:val="0"/>
        <w:rPr>
          <w:rFonts w:ascii="Microsoft Sans Serif" w:hAnsi="Microsoft Sans Serif" w:cs="Microsoft Sans Serif"/>
          <w:sz w:val="20"/>
          <w:szCs w:val="20"/>
        </w:rPr>
      </w:pPr>
    </w:p>
    <w:p w14:paraId="301D5769">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80</w:t>
      </w:r>
    </w:p>
    <w:p w14:paraId="70AF13FC">
      <w:pPr>
        <w:widowControl w:val="0"/>
        <w:tabs>
          <w:tab w:val="clear" w:pos="284"/>
        </w:tabs>
        <w:autoSpaceDE w:val="0"/>
        <w:autoSpaceDN w:val="0"/>
        <w:rPr>
          <w:rFonts w:ascii="Microsoft Sans Serif" w:hAnsi="Microsoft Sans Serif" w:cs="Microsoft Sans Serif"/>
          <w:sz w:val="20"/>
          <w:szCs w:val="20"/>
        </w:rPr>
      </w:pPr>
    </w:p>
    <w:p w14:paraId="079E9746">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70</w:t>
      </w:r>
    </w:p>
    <w:p w14:paraId="6A1DFB1F">
      <w:pPr>
        <w:widowControl w:val="0"/>
        <w:tabs>
          <w:tab w:val="clear" w:pos="284"/>
        </w:tabs>
        <w:autoSpaceDE w:val="0"/>
        <w:autoSpaceDN w:val="0"/>
        <w:rPr>
          <w:rFonts w:ascii="Microsoft Sans Serif" w:hAnsi="Microsoft Sans Serif" w:cs="Microsoft Sans Serif"/>
          <w:sz w:val="20"/>
          <w:szCs w:val="20"/>
        </w:rPr>
      </w:pPr>
    </w:p>
    <w:p w14:paraId="1B37B1ED">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60</w:t>
      </w:r>
    </w:p>
    <w:p w14:paraId="42B18686">
      <w:pPr>
        <w:widowControl w:val="0"/>
        <w:tabs>
          <w:tab w:val="clear" w:pos="284"/>
        </w:tabs>
        <w:autoSpaceDE w:val="0"/>
        <w:autoSpaceDN w:val="0"/>
        <w:rPr>
          <w:rFonts w:ascii="Microsoft Sans Serif" w:hAnsi="Microsoft Sans Serif" w:cs="Microsoft Sans Serif"/>
          <w:sz w:val="20"/>
          <w:szCs w:val="20"/>
        </w:rPr>
      </w:pPr>
    </w:p>
    <w:p w14:paraId="2F8289B7">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50</w:t>
      </w:r>
    </w:p>
    <w:p w14:paraId="3DE9EC73">
      <w:pPr>
        <w:widowControl w:val="0"/>
        <w:tabs>
          <w:tab w:val="clear" w:pos="284"/>
        </w:tabs>
        <w:autoSpaceDE w:val="0"/>
        <w:autoSpaceDN w:val="0"/>
        <w:rPr>
          <w:rFonts w:ascii="Microsoft Sans Serif" w:hAnsi="Microsoft Sans Serif" w:cs="Microsoft Sans Serif"/>
          <w:sz w:val="20"/>
          <w:szCs w:val="20"/>
        </w:rPr>
      </w:pPr>
    </w:p>
    <w:p w14:paraId="5220CFBE">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40</w:t>
      </w:r>
    </w:p>
    <w:p w14:paraId="4FCE8F4E">
      <w:pPr>
        <w:widowControl w:val="0"/>
        <w:tabs>
          <w:tab w:val="clear" w:pos="284"/>
        </w:tabs>
        <w:autoSpaceDE w:val="0"/>
        <w:autoSpaceDN w:val="0"/>
        <w:rPr>
          <w:rFonts w:ascii="Microsoft Sans Serif" w:hAnsi="Microsoft Sans Serif" w:cs="Microsoft Sans Serif"/>
          <w:sz w:val="20"/>
          <w:szCs w:val="20"/>
        </w:rPr>
      </w:pPr>
    </w:p>
    <w:p w14:paraId="425C70AA">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30</w:t>
      </w:r>
    </w:p>
    <w:p w14:paraId="6F5AEE9D">
      <w:pPr>
        <w:widowControl w:val="0"/>
        <w:tabs>
          <w:tab w:val="clear" w:pos="284"/>
        </w:tabs>
        <w:autoSpaceDE w:val="0"/>
        <w:autoSpaceDN w:val="0"/>
        <w:rPr>
          <w:rFonts w:ascii="Microsoft Sans Serif" w:hAnsi="Microsoft Sans Serif" w:cs="Microsoft Sans Serif"/>
          <w:sz w:val="20"/>
          <w:szCs w:val="20"/>
        </w:rPr>
      </w:pPr>
    </w:p>
    <w:p w14:paraId="0E80FA78">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20</w:t>
      </w:r>
    </w:p>
    <w:p w14:paraId="1F0C0506">
      <w:pPr>
        <w:widowControl w:val="0"/>
        <w:tabs>
          <w:tab w:val="left" w:pos="910"/>
          <w:tab w:val="clear" w:pos="284"/>
        </w:tabs>
        <w:autoSpaceDE w:val="0"/>
        <w:autoSpaceDN w:val="0"/>
        <w:rPr>
          <w:rFonts w:ascii="Microsoft Sans Serif" w:hAnsi="Microsoft Sans Serif" w:cs="Microsoft Sans Serif"/>
          <w:sz w:val="20"/>
          <w:szCs w:val="20"/>
        </w:rPr>
      </w:pPr>
    </w:p>
    <w:p w14:paraId="2B298123">
      <w:pPr>
        <w:widowControl w:val="0"/>
        <w:tabs>
          <w:tab w:val="left" w:pos="910"/>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10</w:t>
      </w:r>
    </w:p>
    <w:p w14:paraId="724BD9E7">
      <w:pPr>
        <w:widowControl w:val="0"/>
        <w:tabs>
          <w:tab w:val="left" w:pos="910"/>
          <w:tab w:val="clear" w:pos="284"/>
        </w:tabs>
        <w:autoSpaceDE w:val="0"/>
        <w:autoSpaceDN w:val="0"/>
        <w:rPr>
          <w:rFonts w:ascii="Microsoft Sans Serif" w:hAnsi="Microsoft Sans Serif" w:cs="Microsoft Sans Serif"/>
          <w:sz w:val="20"/>
          <w:szCs w:val="20"/>
        </w:rPr>
      </w:pPr>
    </w:p>
    <w:p w14:paraId="62F369FA">
      <w:pPr>
        <w:widowControl w:val="0"/>
        <w:tabs>
          <w:tab w:val="left" w:pos="910"/>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0</w:t>
      </w:r>
    </w:p>
    <w:p w14:paraId="180FA948">
      <w:pPr>
        <w:widowControl w:val="0"/>
        <w:tabs>
          <w:tab w:val="left" w:pos="91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 xml:space="preserve">                  0              3              </w:t>
      </w:r>
      <w:r>
        <w:rPr>
          <w:rFonts w:ascii="Microsoft Sans Serif" w:hAnsi="Microsoft Sans Serif" w:cs="Microsoft Sans Serif"/>
          <w:sz w:val="20"/>
        </w:rPr>
        <w:t xml:space="preserve">  6                9              12              15              18              21                </w:t>
      </w:r>
    </w:p>
    <w:p w14:paraId="1901715E">
      <w:pPr>
        <w:ind w:left="2123" w:right="20"/>
        <w:rPr>
          <w:rFonts w:ascii="Arial"/>
          <w:sz w:val="20"/>
        </w:rPr>
      </w:pPr>
      <w:r>
        <w:rPr>
          <w:rFonts w:ascii="Arial"/>
          <w:sz w:val="20"/>
        </w:rPr>
        <w:t xml:space="preserve">                          </w:t>
      </w:r>
    </w:p>
    <w:p w14:paraId="0A974044">
      <w:pPr>
        <w:ind w:left="2123" w:right="20"/>
        <w:rPr>
          <w:rFonts w:ascii="Arial"/>
          <w:sz w:val="20"/>
        </w:rPr>
      </w:pPr>
      <w:r>
        <w:rPr>
          <w:rFonts w:ascii="Arial"/>
          <w:sz w:val="20"/>
        </w:rPr>
        <w:t xml:space="preserve">                        </w:t>
      </w:r>
    </w:p>
    <w:p w14:paraId="309425E5">
      <w:pPr>
        <w:ind w:left="2123" w:right="20"/>
        <w:rPr>
          <w:rFonts w:ascii="Microsoft Sans Serif" w:hAnsi="Microsoft Sans Serif" w:cs="Microsoft Sans Serif"/>
          <w:sz w:val="20"/>
        </w:rPr>
      </w:pPr>
      <w:r>
        <w:rPr>
          <w:rFonts w:ascii="Arial"/>
          <w:sz w:val="20"/>
        </w:rPr>
        <w:t xml:space="preserve">                               </w:t>
      </w:r>
      <w:r>
        <w:rPr>
          <w:rFonts w:ascii="Microsoft Sans Serif" w:hAnsi="Microsoft Sans Serif" w:cs="Microsoft Sans Serif"/>
          <w:sz w:val="20"/>
        </w:rPr>
        <w:t>Vrijeme (mjeseci)</w:t>
      </w:r>
    </w:p>
    <w:p w14:paraId="59D07531">
      <w:pPr>
        <w:spacing w:line="167" w:lineRule="exact"/>
        <w:ind w:left="2123" w:right="20"/>
        <w:rPr>
          <w:rFonts w:ascii="Microsoft Sans Serif" w:hAnsi="Microsoft Sans Serif" w:cs="Microsoft Sans Serif"/>
          <w:sz w:val="20"/>
        </w:rPr>
      </w:pPr>
    </w:p>
    <w:p w14:paraId="2D2CC885">
      <w:pPr>
        <w:ind w:right="20"/>
        <w:rPr>
          <w:rFonts w:ascii="Microsoft Sans Serif" w:hAnsi="Microsoft Sans Serif" w:cs="Microsoft Sans Serif"/>
          <w:sz w:val="20"/>
          <w:szCs w:val="20"/>
        </w:rPr>
      </w:pPr>
      <w:r>
        <w:rPr>
          <w:rFonts w:ascii="Microsoft Sans Serif" w:hAnsi="Microsoft Sans Serif" w:cs="Microsoft Sans Serif"/>
          <w:sz w:val="20"/>
          <w:szCs w:val="20"/>
        </w:rPr>
        <w:t>Broj pacijenata sa rizikom</w:t>
      </w:r>
    </w:p>
    <w:p w14:paraId="2DA0C22A">
      <w:pPr>
        <w:ind w:right="20"/>
        <w:rPr>
          <w:rFonts w:ascii="Arial"/>
          <w:sz w:val="15"/>
        </w:rPr>
      </w:pPr>
    </w:p>
    <w:p w14:paraId="05C5BF25">
      <w:pPr>
        <w:ind w:right="20"/>
        <w:rPr>
          <w:rFonts w:ascii="Microsoft Sans Serif" w:hAnsi="Microsoft Sans Serif" w:cs="Microsoft Sans Serif"/>
          <w:sz w:val="20"/>
        </w:rPr>
      </w:pPr>
      <w:r>
        <w:rPr>
          <w:rFonts w:ascii="Microsoft Sans Serif" w:hAnsi="Microsoft Sans Serif" w:cs="Microsoft Sans Serif"/>
          <w:sz w:val="20"/>
        </w:rPr>
        <w:t xml:space="preserve">Sunitinib </w:t>
      </w:r>
      <w:r>
        <w:rPr>
          <w:rFonts w:ascii="Microsoft Sans Serif" w:hAnsi="Microsoft Sans Serif" w:cs="Microsoft Sans Serif"/>
          <w:sz w:val="20"/>
        </w:rPr>
        <w:tab/>
      </w:r>
      <w:r>
        <w:rPr>
          <w:rFonts w:ascii="Microsoft Sans Serif" w:hAnsi="Microsoft Sans Serif" w:cs="Microsoft Sans Serif"/>
          <w:sz w:val="20"/>
        </w:rPr>
        <w:t>86</w:t>
      </w:r>
      <w:r>
        <w:rPr>
          <w:rFonts w:ascii="Microsoft Sans Serif" w:hAnsi="Microsoft Sans Serif" w:cs="Microsoft Sans Serif"/>
          <w:sz w:val="20"/>
        </w:rPr>
        <w:tab/>
      </w:r>
      <w:r>
        <w:rPr>
          <w:rFonts w:ascii="Microsoft Sans Serif" w:hAnsi="Microsoft Sans Serif" w:cs="Microsoft Sans Serif"/>
          <w:sz w:val="20"/>
        </w:rPr>
        <w:t>52</w:t>
      </w:r>
      <w:r>
        <w:rPr>
          <w:rFonts w:ascii="Microsoft Sans Serif" w:hAnsi="Microsoft Sans Serif" w:cs="Microsoft Sans Serif"/>
          <w:sz w:val="20"/>
        </w:rPr>
        <w:tab/>
      </w:r>
      <w:r>
        <w:rPr>
          <w:rFonts w:ascii="Microsoft Sans Serif" w:hAnsi="Microsoft Sans Serif" w:cs="Microsoft Sans Serif"/>
          <w:sz w:val="20"/>
        </w:rPr>
        <w:t>34</w:t>
      </w:r>
      <w:r>
        <w:rPr>
          <w:rFonts w:ascii="Microsoft Sans Serif" w:hAnsi="Microsoft Sans Serif" w:cs="Microsoft Sans Serif"/>
          <w:sz w:val="20"/>
        </w:rPr>
        <w:tab/>
      </w:r>
      <w:r>
        <w:rPr>
          <w:rFonts w:ascii="Microsoft Sans Serif" w:hAnsi="Microsoft Sans Serif" w:cs="Microsoft Sans Serif"/>
          <w:sz w:val="20"/>
        </w:rPr>
        <w:t>20</w:t>
      </w:r>
      <w:r>
        <w:rPr>
          <w:rFonts w:ascii="Microsoft Sans Serif" w:hAnsi="Microsoft Sans Serif" w:cs="Microsoft Sans Serif"/>
          <w:sz w:val="20"/>
        </w:rPr>
        <w:tab/>
      </w:r>
      <w:r>
        <w:rPr>
          <w:rFonts w:ascii="Microsoft Sans Serif" w:hAnsi="Microsoft Sans Serif" w:cs="Microsoft Sans Serif"/>
          <w:sz w:val="20"/>
        </w:rPr>
        <w:t>15</w:t>
      </w:r>
      <w:r>
        <w:rPr>
          <w:rFonts w:ascii="Microsoft Sans Serif" w:hAnsi="Microsoft Sans Serif" w:cs="Microsoft Sans Serif"/>
          <w:sz w:val="20"/>
        </w:rPr>
        <w:tab/>
      </w:r>
      <w:r>
        <w:rPr>
          <w:rFonts w:ascii="Microsoft Sans Serif" w:hAnsi="Microsoft Sans Serif" w:cs="Microsoft Sans Serif"/>
          <w:sz w:val="20"/>
        </w:rPr>
        <w:t>4</w:t>
      </w:r>
      <w:r>
        <w:rPr>
          <w:rFonts w:ascii="Microsoft Sans Serif" w:hAnsi="Microsoft Sans Serif" w:cs="Microsoft Sans Serif"/>
          <w:sz w:val="20"/>
        </w:rPr>
        <w:tab/>
      </w:r>
      <w:r>
        <w:rPr>
          <w:rFonts w:ascii="Microsoft Sans Serif" w:hAnsi="Microsoft Sans Serif" w:cs="Microsoft Sans Serif"/>
          <w:sz w:val="20"/>
        </w:rPr>
        <w:t>2</w:t>
      </w:r>
    </w:p>
    <w:p w14:paraId="06873506">
      <w:pPr>
        <w:ind w:right="20"/>
        <w:rPr>
          <w:rFonts w:ascii="Microsoft Sans Serif" w:hAnsi="Microsoft Sans Serif" w:cs="Microsoft Sans Serif"/>
          <w:sz w:val="20"/>
        </w:rPr>
      </w:pPr>
      <w:r>
        <w:rPr>
          <w:rFonts w:ascii="Microsoft Sans Serif" w:hAnsi="Microsoft Sans Serif" w:cs="Microsoft Sans Serif"/>
          <w:sz w:val="20"/>
        </w:rPr>
        <w:t>Placebo</w:t>
      </w:r>
      <w:r>
        <w:rPr>
          <w:rFonts w:ascii="Microsoft Sans Serif" w:hAnsi="Microsoft Sans Serif" w:cs="Microsoft Sans Serif"/>
          <w:sz w:val="20"/>
        </w:rPr>
        <w:tab/>
      </w:r>
      <w:r>
        <w:rPr>
          <w:rFonts w:ascii="Microsoft Sans Serif" w:hAnsi="Microsoft Sans Serif" w:cs="Microsoft Sans Serif"/>
          <w:sz w:val="20"/>
        </w:rPr>
        <w:t>85</w:t>
      </w:r>
      <w:r>
        <w:rPr>
          <w:rFonts w:ascii="Microsoft Sans Serif" w:hAnsi="Microsoft Sans Serif" w:cs="Microsoft Sans Serif"/>
          <w:sz w:val="20"/>
        </w:rPr>
        <w:tab/>
      </w:r>
      <w:r>
        <w:rPr>
          <w:rFonts w:ascii="Microsoft Sans Serif" w:hAnsi="Microsoft Sans Serif" w:cs="Microsoft Sans Serif"/>
          <w:sz w:val="20"/>
        </w:rPr>
        <w:t>42</w:t>
      </w:r>
      <w:r>
        <w:rPr>
          <w:rFonts w:ascii="Microsoft Sans Serif" w:hAnsi="Microsoft Sans Serif" w:cs="Microsoft Sans Serif"/>
          <w:sz w:val="20"/>
        </w:rPr>
        <w:tab/>
      </w:r>
      <w:r>
        <w:rPr>
          <w:rFonts w:ascii="Microsoft Sans Serif" w:hAnsi="Microsoft Sans Serif" w:cs="Microsoft Sans Serif"/>
          <w:sz w:val="20"/>
        </w:rPr>
        <w:t>20</w:t>
      </w:r>
      <w:r>
        <w:rPr>
          <w:rFonts w:ascii="Microsoft Sans Serif" w:hAnsi="Microsoft Sans Serif" w:cs="Microsoft Sans Serif"/>
          <w:sz w:val="20"/>
        </w:rPr>
        <w:tab/>
      </w:r>
      <w:r>
        <w:rPr>
          <w:rFonts w:ascii="Microsoft Sans Serif" w:hAnsi="Microsoft Sans Serif" w:cs="Microsoft Sans Serif"/>
          <w:sz w:val="20"/>
        </w:rPr>
        <w:t xml:space="preserve"> 9</w:t>
      </w:r>
      <w:r>
        <w:rPr>
          <w:rFonts w:ascii="Microsoft Sans Serif" w:hAnsi="Microsoft Sans Serif" w:cs="Microsoft Sans Serif"/>
          <w:sz w:val="20"/>
        </w:rPr>
        <w:tab/>
      </w:r>
      <w:r>
        <w:rPr>
          <w:rFonts w:ascii="Microsoft Sans Serif" w:hAnsi="Microsoft Sans Serif" w:cs="Microsoft Sans Serif"/>
          <w:sz w:val="20"/>
        </w:rPr>
        <w:t xml:space="preserve"> 2</w:t>
      </w:r>
      <w:r>
        <w:rPr>
          <w:rFonts w:ascii="Microsoft Sans Serif" w:hAnsi="Microsoft Sans Serif" w:cs="Microsoft Sans Serif"/>
          <w:sz w:val="20"/>
        </w:rPr>
        <w:tab/>
      </w:r>
      <w:r>
        <w:rPr>
          <w:rFonts w:ascii="Microsoft Sans Serif" w:hAnsi="Microsoft Sans Serif" w:cs="Microsoft Sans Serif"/>
          <w:sz w:val="20"/>
        </w:rPr>
        <w:t>2</w:t>
      </w:r>
      <w:r>
        <w:rPr>
          <w:rFonts w:ascii="Microsoft Sans Serif" w:hAnsi="Microsoft Sans Serif" w:cs="Microsoft Sans Serif"/>
          <w:sz w:val="20"/>
        </w:rPr>
        <w:tab/>
      </w:r>
      <w:r>
        <w:rPr>
          <w:rFonts w:ascii="Microsoft Sans Serif" w:hAnsi="Microsoft Sans Serif" w:cs="Microsoft Sans Serif"/>
          <w:sz w:val="20"/>
        </w:rPr>
        <w:t>2</w:t>
      </w:r>
    </w:p>
    <w:p w14:paraId="56827CAD">
      <w:pPr>
        <w:rPr>
          <w:rFonts w:ascii="Microsoft Sans Serif" w:hAnsi="Microsoft Sans Serif" w:cs="Microsoft Sans Serif"/>
          <w:sz w:val="20"/>
          <w:szCs w:val="20"/>
        </w:rPr>
      </w:pPr>
      <w:r>
        <w:rPr>
          <w:rFonts w:ascii="Microsoft Sans Serif" w:hAnsi="Microsoft Sans Serif" w:cs="Microsoft Sans Serif"/>
          <w:sz w:val="20"/>
          <w:szCs w:val="20"/>
        </w:rPr>
        <mc:AlternateContent>
          <mc:Choice Requires="wps">
            <w:drawing>
              <wp:anchor distT="0" distB="0" distL="114300" distR="114300" simplePos="0" relativeHeight="251660288" behindDoc="0" locked="0" layoutInCell="1" allowOverlap="1">
                <wp:simplePos x="0" y="0"/>
                <wp:positionH relativeFrom="page">
                  <wp:posOffset>1120140</wp:posOffset>
                </wp:positionH>
                <wp:positionV relativeFrom="paragraph">
                  <wp:posOffset>4124325</wp:posOffset>
                </wp:positionV>
                <wp:extent cx="3907155" cy="266065"/>
                <wp:effectExtent l="0" t="0" r="0" b="0"/>
                <wp:wrapNone/>
                <wp:docPr id="61" name="Text Box 230"/>
                <wp:cNvGraphicFramePr/>
                <a:graphic xmlns:a="http://schemas.openxmlformats.org/drawingml/2006/main">
                  <a:graphicData uri="http://schemas.microsoft.com/office/word/2010/wordprocessingShape">
                    <wps:wsp>
                      <wps:cNvSpPr txBox="1">
                        <a:spLocks noChangeArrowheads="1"/>
                      </wps:cNvSpPr>
                      <wps:spPr bwMode="auto">
                        <a:xfrm>
                          <a:off x="0" y="0"/>
                          <a:ext cx="3907155" cy="266065"/>
                        </a:xfrm>
                        <a:prstGeom prst="rect">
                          <a:avLst/>
                        </a:prstGeom>
                        <a:noFill/>
                        <a:ln>
                          <a:noFill/>
                        </a:ln>
                      </wps:spPr>
                      <wps:txbx>
                        <w:txbxContent>
                          <w:p w14:paraId="526E08A6">
                            <w:pPr>
                              <w:pStyle w:val="9"/>
                              <w:ind w:left="90"/>
                            </w:pPr>
                          </w:p>
                        </w:txbxContent>
                      </wps:txbx>
                      <wps:bodyPr rot="0" vert="horz" wrap="square" lIns="0" tIns="0" rIns="0" bIns="0" anchor="t" anchorCtr="0" upright="1">
                        <a:noAutofit/>
                      </wps:bodyPr>
                    </wps:wsp>
                  </a:graphicData>
                </a:graphic>
              </wp:anchor>
            </w:drawing>
          </mc:Choice>
          <mc:Fallback>
            <w:pict>
              <v:shape id="Text Box 230" o:spid="_x0000_s1026" o:spt="202" type="#_x0000_t202" style="position:absolute;left:0pt;margin-left:88.2pt;margin-top:324.75pt;height:20.95pt;width:307.65pt;mso-position-horizontal-relative:page;z-index:251660288;mso-width-relative:page;mso-height-relative:page;" filled="f" stroked="f" coordsize="21600,21600" o:gfxdata="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lrVM3ZAAAACwEAAA8AAAAAAAAAAQAgAAAAIgAAAGRycy9k&#10;b3ducmV2LnhtbFBLAQIUABQAAAAIAIdO4kDJ1XkAAQIAAAcEAAAOAAAAAAAAAAEAIAAAACgBAABk&#10;cnMvZTJvRG9jLnhtbFBLBQYAAAAABgAGAFkBAACbBQAAAAA=&#10;">
                <v:fill on="f" focussize="0,0"/>
                <v:stroke on="f"/>
                <v:imagedata o:title=""/>
                <o:lock v:ext="edit" aspectratio="f"/>
                <v:textbox inset="0mm,0mm,0mm,0mm">
                  <w:txbxContent>
                    <w:p w14:paraId="526E08A6">
                      <w:pPr>
                        <w:pStyle w:val="9"/>
                        <w:ind w:left="90"/>
                      </w:pPr>
                    </w:p>
                  </w:txbxContent>
                </v:textbox>
              </v:shape>
            </w:pict>
          </mc:Fallback>
        </mc:AlternateContent>
      </w:r>
      <w:r>
        <w:rPr>
          <w:rFonts w:ascii="Microsoft Sans Serif" w:hAnsi="Microsoft Sans Serif" w:cs="Microsoft Sans Serif"/>
          <w:sz w:val="20"/>
          <w:szCs w:val="20"/>
        </w:rPr>
        <w:t xml:space="preserve">Skraćenice: CI=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N= broj pacijenata; PFS= preživlјavanje bez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bolesti (engl. </w:t>
      </w:r>
      <w:r>
        <w:rPr>
          <w:rFonts w:ascii="Microsoft Sans Serif" w:hAnsi="Microsoft Sans Serif" w:cs="Microsoft Sans Serif"/>
          <w:i/>
          <w:sz w:val="20"/>
          <w:szCs w:val="20"/>
        </w:rPr>
        <w:t>progression- free survival</w:t>
      </w:r>
      <w:r>
        <w:rPr>
          <w:rFonts w:ascii="Microsoft Sans Serif" w:hAnsi="Microsoft Sans Serif" w:cs="Microsoft Sans Serif"/>
          <w:sz w:val="20"/>
          <w:szCs w:val="20"/>
        </w:rPr>
        <w:t xml:space="preserve">); pNET= neuroendokrini tumori pankreasa (engl. </w:t>
      </w:r>
      <w:r>
        <w:rPr>
          <w:rFonts w:ascii="Microsoft Sans Serif" w:hAnsi="Microsoft Sans Serif" w:cs="Microsoft Sans Serif"/>
          <w:i/>
          <w:sz w:val="20"/>
          <w:szCs w:val="20"/>
        </w:rPr>
        <w:t>pancreatic neuroendocrine tumours</w:t>
      </w:r>
      <w:r>
        <w:rPr>
          <w:rFonts w:ascii="Microsoft Sans Serif" w:hAnsi="Microsoft Sans Serif" w:cs="Microsoft Sans Serif"/>
          <w:sz w:val="20"/>
          <w:szCs w:val="20"/>
        </w:rPr>
        <w:t>)</w:t>
      </w:r>
    </w:p>
    <w:p w14:paraId="66F5EC63">
      <w:pPr>
        <w:rPr>
          <w:rFonts w:ascii="Microsoft Sans Serif" w:hAnsi="Microsoft Sans Serif" w:cs="Microsoft Sans Serif"/>
          <w:sz w:val="20"/>
          <w:szCs w:val="20"/>
        </w:rPr>
      </w:pPr>
    </w:p>
    <w:p w14:paraId="037A6F41">
      <w:pPr>
        <w:rPr>
          <w:rFonts w:ascii="Microsoft Sans Serif" w:hAnsi="Microsoft Sans Serif" w:cs="Microsoft Sans Serif"/>
          <w:sz w:val="20"/>
          <w:szCs w:val="20"/>
        </w:rPr>
      </w:pPr>
      <w:r>
        <w:rPr>
          <w:rFonts w:ascii="Microsoft Sans Serif" w:hAnsi="Microsoft Sans Serif" w:cs="Microsoft Sans Serif"/>
          <w:sz w:val="20"/>
          <w:szCs w:val="20"/>
        </w:rPr>
        <w:t xml:space="preserve">Podaci o OS nisu bili potpuni u trenutku zatvaranja studije [20,6 mjeseci (95% CI: 20,6; nije postignuto) u grupi koja je primala sunitinib u poređenju sa „nije postignuto” (95% CI: 15,5; nije postignuto) u grupi koja je </w:t>
      </w:r>
      <w:r>
        <w:rPr>
          <w:rFonts w:ascii="Microsoft Sans Serif" w:hAnsi="Microsoft Sans Serif" w:cs="Microsoft Sans Serif"/>
          <w:sz w:val="20"/>
          <w:szCs w:val="20"/>
          <w:lang w:val="sr-Cyrl-RS"/>
        </w:rPr>
        <w:t>dobijala</w:t>
      </w:r>
      <w:r>
        <w:rPr>
          <w:rFonts w:ascii="Microsoft Sans Serif" w:hAnsi="Microsoft Sans Serif" w:cs="Microsoft Sans Serif"/>
          <w:sz w:val="20"/>
          <w:szCs w:val="20"/>
        </w:rPr>
        <w:t xml:space="preserve"> placebo, hazard ratio: 0,409 (95% CI: 0,187; 0,894), p-vrijednost= 0,0204]. Bilo je 9 smrtnih ishoda u grupi koja je primala sunitinib i 21 smrtni ishod u grupi koja je </w:t>
      </w:r>
      <w:r>
        <w:rPr>
          <w:rFonts w:ascii="Microsoft Sans Serif" w:hAnsi="Microsoft Sans Serif" w:cs="Microsoft Sans Serif"/>
          <w:sz w:val="20"/>
          <w:szCs w:val="20"/>
          <w:lang w:val="sr-Cyrl-RS"/>
        </w:rPr>
        <w:t>dobijala</w:t>
      </w:r>
      <w:r>
        <w:rPr>
          <w:rFonts w:ascii="Microsoft Sans Serif" w:hAnsi="Microsoft Sans Serif" w:cs="Microsoft Sans Serif"/>
          <w:sz w:val="20"/>
          <w:szCs w:val="20"/>
        </w:rPr>
        <w:t xml:space="preserve"> placebo.</w:t>
      </w:r>
    </w:p>
    <w:p w14:paraId="2A73D2A2">
      <w:pPr>
        <w:rPr>
          <w:rFonts w:ascii="Microsoft Sans Serif" w:hAnsi="Microsoft Sans Serif" w:cs="Microsoft Sans Serif"/>
          <w:sz w:val="20"/>
          <w:szCs w:val="20"/>
        </w:rPr>
      </w:pPr>
    </w:p>
    <w:p w14:paraId="0B0AC990">
      <w:pPr>
        <w:rPr>
          <w:rFonts w:ascii="Microsoft Sans Serif" w:hAnsi="Microsoft Sans Serif" w:cs="Microsoft Sans Serif"/>
          <w:sz w:val="20"/>
          <w:szCs w:val="20"/>
        </w:rPr>
      </w:pPr>
      <w:r>
        <w:rPr>
          <w:rFonts w:ascii="Microsoft Sans Serif" w:hAnsi="Microsoft Sans Serif" w:cs="Microsoft Sans Serif"/>
          <w:sz w:val="20"/>
          <w:szCs w:val="20"/>
        </w:rPr>
        <w:t xml:space="preserve">Nakon progresije bolesti, pacijenti su saznali koju su terapiju primali i pacijentima koji su primali placebo ponuđeno je otvoreno liječenje sunitinibom u odvojenoj produženoj studiji. Kao rezultat ranog zatvaranja ispitivanja, preostali pacijenti su saznali koju su terapiju primali i ponuđeno im je otvoreno liječenje sunitinibom u produženoj studiji. Ukupno 59 od 85 pacijenata (69,4%) iz grupe koja je primala placebo prebačeno je na otvoreno liječenje sunitinibom nakon progresije bolesti </w:t>
      </w:r>
      <w:r>
        <w:rPr>
          <w:rFonts w:ascii="Microsoft Sans Serif" w:hAnsi="Microsoft Sans Serif" w:cs="Microsoft Sans Serif"/>
          <w:sz w:val="20"/>
          <w:szCs w:val="20"/>
          <w:lang w:val="sr-Cyrl-RS"/>
        </w:rPr>
        <w:t>ili</w:t>
      </w:r>
      <w:r>
        <w:rPr>
          <w:rFonts w:ascii="Microsoft Sans Serif" w:hAnsi="Microsoft Sans Serif" w:cs="Microsoft Sans Serif"/>
          <w:sz w:val="20"/>
          <w:szCs w:val="20"/>
        </w:rPr>
        <w:t xml:space="preserve"> nakon otvaranja šifre na završetku studije. Hazard ratio za ukupno preživlјavanje nakon 5 godina praćenja u produženoj studiji iznosio je 0,730 (95% CI: 0,504; 1,057).</w:t>
      </w:r>
    </w:p>
    <w:p w14:paraId="37E34E96">
      <w:pPr>
        <w:rPr>
          <w:rFonts w:ascii="Microsoft Sans Serif" w:hAnsi="Microsoft Sans Serif" w:cs="Microsoft Sans Serif"/>
          <w:sz w:val="20"/>
          <w:szCs w:val="20"/>
        </w:rPr>
      </w:pPr>
    </w:p>
    <w:p w14:paraId="264AAFF4">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Upitnika o kvalitetu života Evropske organizacije za istraživanje i liječenje karcinoma (engl. </w:t>
      </w:r>
      <w:r>
        <w:rPr>
          <w:rFonts w:ascii="Microsoft Sans Serif" w:hAnsi="Microsoft Sans Serif" w:cs="Microsoft Sans Serif"/>
          <w:i/>
          <w:sz w:val="20"/>
          <w:szCs w:val="20"/>
        </w:rPr>
        <w:t>European Organisation for Research and Treatment of Cancer Quality of Life Questionnaire</w:t>
      </w:r>
      <w:r>
        <w:rPr>
          <w:rFonts w:ascii="Microsoft Sans Serif" w:hAnsi="Microsoft Sans Serif" w:cs="Microsoft Sans Serif"/>
          <w:sz w:val="20"/>
          <w:szCs w:val="20"/>
        </w:rPr>
        <w:t xml:space="preserve"> EORTC QLQ-C30) pokazali su da sveukupni globalni kvalitet života u vezi sa zdravlјem i 5 </w:t>
      </w:r>
      <w:r>
        <w:rPr>
          <w:rFonts w:ascii="Microsoft Sans Serif" w:hAnsi="Microsoft Sans Serif" w:cs="Microsoft Sans Serif"/>
          <w:sz w:val="20"/>
          <w:szCs w:val="20"/>
          <w:lang w:val="sr-Cyrl-RS"/>
        </w:rPr>
        <w:t>funkcionalnih domena</w:t>
      </w:r>
      <w:r>
        <w:rPr>
          <w:rFonts w:ascii="Microsoft Sans Serif" w:hAnsi="Microsoft Sans Serif" w:cs="Microsoft Sans Serif"/>
          <w:sz w:val="20"/>
          <w:szCs w:val="20"/>
        </w:rPr>
        <w:t xml:space="preserve"> (fizički, funkcionalni, kognitivni, emotivni i socijalni) održani kod pacijenata koji su primali terapiju sunitinibom u poređenju sa placebom, uz ograničene neželјene simptomatske efekte.</w:t>
      </w:r>
    </w:p>
    <w:p w14:paraId="06ABE795">
      <w:pPr>
        <w:rPr>
          <w:rFonts w:ascii="Microsoft Sans Serif" w:hAnsi="Microsoft Sans Serif" w:cs="Microsoft Sans Serif"/>
          <w:sz w:val="20"/>
          <w:szCs w:val="20"/>
        </w:rPr>
      </w:pPr>
    </w:p>
    <w:p w14:paraId="1A4CE6DB">
      <w:pPr>
        <w:rPr>
          <w:rFonts w:ascii="Microsoft Sans Serif" w:hAnsi="Microsoft Sans Serif" w:cs="Microsoft Sans Serif"/>
          <w:sz w:val="20"/>
          <w:szCs w:val="20"/>
        </w:rPr>
      </w:pPr>
      <w:r>
        <w:rPr>
          <w:rFonts w:ascii="Microsoft Sans Serif" w:hAnsi="Microsoft Sans Serif" w:cs="Microsoft Sans Serif"/>
          <w:sz w:val="20"/>
          <w:szCs w:val="20"/>
        </w:rPr>
        <w:t>Multinacionalna, multicentrična, otvorena studija faze 4 sa jednom grupom, koja je procjenjivala efikasnost i bezbjednost sunitiniba, sprovedena je kod pacijenata sa progresivnim, uznapredovalim/metastatskim, dobro diferenciranim, neoperabilnim pNET.</w:t>
      </w:r>
    </w:p>
    <w:p w14:paraId="7997EA2C">
      <w:pPr>
        <w:rPr>
          <w:rFonts w:ascii="Microsoft Sans Serif" w:hAnsi="Microsoft Sans Serif" w:cs="Microsoft Sans Serif"/>
          <w:sz w:val="20"/>
          <w:szCs w:val="20"/>
        </w:rPr>
      </w:pPr>
    </w:p>
    <w:p w14:paraId="1341106A">
      <w:pPr>
        <w:rPr>
          <w:rFonts w:ascii="Microsoft Sans Serif" w:hAnsi="Microsoft Sans Serif" w:cs="Microsoft Sans Serif"/>
          <w:sz w:val="20"/>
          <w:szCs w:val="20"/>
        </w:rPr>
      </w:pPr>
      <w:r>
        <w:rPr>
          <w:rFonts w:ascii="Microsoft Sans Serif" w:hAnsi="Microsoft Sans Serif" w:cs="Microsoft Sans Serif"/>
          <w:sz w:val="20"/>
          <w:szCs w:val="20"/>
        </w:rPr>
        <w:t>Sto šest pacijenata (od kojih 61 u kohorti prethodno neliječenih pacijenata i 45 u kohorti sa više linija terapije) dobijali su terapiju sunitinibom oralno, u dozi od 37,5 mg jednom dnevno, u vidu kontinuiranog dnevnog režima doziranja.</w:t>
      </w:r>
    </w:p>
    <w:p w14:paraId="73F4C46D">
      <w:pPr>
        <w:rPr>
          <w:rFonts w:ascii="Microsoft Sans Serif" w:hAnsi="Microsoft Sans Serif" w:cs="Microsoft Sans Serif"/>
          <w:sz w:val="20"/>
          <w:szCs w:val="20"/>
        </w:rPr>
      </w:pPr>
    </w:p>
    <w:p w14:paraId="421F7678">
      <w:pPr>
        <w:rPr>
          <w:rFonts w:ascii="Microsoft Sans Serif" w:hAnsi="Microsoft Sans Serif" w:cs="Microsoft Sans Serif"/>
          <w:sz w:val="20"/>
          <w:szCs w:val="20"/>
        </w:rPr>
      </w:pPr>
      <w:r>
        <w:rPr>
          <w:rFonts w:ascii="Microsoft Sans Serif" w:hAnsi="Microsoft Sans Serif" w:cs="Microsoft Sans Serif"/>
          <w:sz w:val="20"/>
          <w:szCs w:val="20"/>
        </w:rPr>
        <w:t>Medijana PFS procjenjena od strane istraživača iznosila je 13,2 mjeseca, kako u ukupnoj populaciji (95% CI: 10,9; 16,7), tako i u kohorti prethodno neliječenih pacijenata (95% CI: 7,4; 16,8).</w:t>
      </w:r>
    </w:p>
    <w:p w14:paraId="4C10A9C4">
      <w:pPr>
        <w:rPr>
          <w:rFonts w:ascii="Microsoft Sans Serif" w:hAnsi="Microsoft Sans Serif" w:cs="Microsoft Sans Serif"/>
          <w:sz w:val="20"/>
          <w:szCs w:val="20"/>
        </w:rPr>
      </w:pPr>
    </w:p>
    <w:p w14:paraId="364DABA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5CC00621">
      <w:pPr>
        <w:rPr>
          <w:rFonts w:ascii="Microsoft Sans Serif" w:hAnsi="Microsoft Sans Serif" w:cs="Microsoft Sans Serif"/>
          <w:sz w:val="20"/>
          <w:szCs w:val="20"/>
        </w:rPr>
      </w:pPr>
      <w:r>
        <w:rPr>
          <w:rFonts w:ascii="Microsoft Sans Serif" w:hAnsi="Microsoft Sans Serif" w:cs="Microsoft Sans Serif"/>
          <w:sz w:val="20"/>
          <w:szCs w:val="20"/>
        </w:rPr>
        <w:t>Iskustvo sa primjenom sunitiniba kod pedijatrijskih pacijenata je ograničeno (pogledati dio 4.2).</w:t>
      </w:r>
    </w:p>
    <w:p w14:paraId="4DB80A9C">
      <w:pPr>
        <w:rPr>
          <w:rFonts w:ascii="Microsoft Sans Serif" w:hAnsi="Microsoft Sans Serif" w:cs="Microsoft Sans Serif"/>
          <w:sz w:val="20"/>
          <w:szCs w:val="20"/>
        </w:rPr>
      </w:pPr>
    </w:p>
    <w:p w14:paraId="287BEEB8">
      <w:pPr>
        <w:rPr>
          <w:rFonts w:ascii="Microsoft Sans Serif" w:hAnsi="Microsoft Sans Serif" w:cs="Microsoft Sans Serif"/>
          <w:sz w:val="20"/>
          <w:szCs w:val="20"/>
        </w:rPr>
      </w:pPr>
      <w:r>
        <w:rPr>
          <w:rFonts w:ascii="Microsoft Sans Serif" w:hAnsi="Microsoft Sans Serif" w:cs="Microsoft Sans Serif"/>
          <w:sz w:val="20"/>
          <w:szCs w:val="20"/>
        </w:rPr>
        <w:t xml:space="preserve">Ispitivanje povećanja doze faze 1 za oralni oblik sunitiniba sprovedeno je na 35 </w:t>
      </w:r>
      <w:r>
        <w:rPr>
          <w:rFonts w:ascii="Microsoft Sans Serif" w:hAnsi="Microsoft Sans Serif" w:cs="Microsoft Sans Serif"/>
          <w:sz w:val="20"/>
          <w:szCs w:val="20"/>
          <w:lang w:val="sr-Cyrl-RS"/>
        </w:rPr>
        <w:t xml:space="preserve">pacijenata, 30 </w:t>
      </w:r>
      <w:r>
        <w:rPr>
          <w:rFonts w:ascii="Microsoft Sans Serif" w:hAnsi="Microsoft Sans Serif" w:cs="Microsoft Sans Serif"/>
          <w:sz w:val="20"/>
          <w:szCs w:val="20"/>
        </w:rPr>
        <w:t xml:space="preserve">pedijatrijskih pacijenata </w:t>
      </w:r>
      <w:r>
        <w:rPr>
          <w:rFonts w:ascii="Microsoft Sans Serif" w:hAnsi="Microsoft Sans Serif" w:cs="Microsoft Sans Serif"/>
          <w:sz w:val="20"/>
          <w:szCs w:val="20"/>
          <w:lang w:val="sr-Cyrl-RS"/>
        </w:rPr>
        <w:t>(uzrasta od 3 do 17 godina)</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 xml:space="preserve">mlađih odraslih pacijenata (uzrasta </w:t>
      </w:r>
      <w:r>
        <w:rPr>
          <w:rFonts w:ascii="Microsoft Sans Serif" w:hAnsi="Microsoft Sans Serif" w:cs="Microsoft Sans Serif"/>
          <w:sz w:val="20"/>
          <w:szCs w:val="20"/>
          <w:lang w:val="sr-Cyrl-RS"/>
        </w:rPr>
        <w:t xml:space="preserve">od 18 do 21 </w:t>
      </w:r>
      <w:r>
        <w:rPr>
          <w:rFonts w:ascii="Microsoft Sans Serif" w:hAnsi="Microsoft Sans Serif" w:cs="Microsoft Sans Serif"/>
          <w:sz w:val="20"/>
          <w:szCs w:val="20"/>
        </w:rPr>
        <w:t>godine) sa refraktornim solidnim tumorima, od kojih je većina imala tumor na mozgu kao primarnu dijagnozu. Kardiološka toksičnost koja ograničava dozu je uočena u prvoj polovini ispitivanja koje je iz tog razloga izmjenjeno kako bi se isklјučili pacijenti koji su prethodno bili izloženi potencijalno kardiotoksičnim terapijama (uklјučujući antracikline) ili zračenju srca. U drugom dijelu ispitivanja koje je uklјučivalo pacijente sa prethodnom antikancerskom terapijom, ali bez rizika za pojavu kardiološke toksičnosti, sunitinib je uglavnom bio podnošlјiv i klinički se mogao primjenjivati u dozi od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/dan po režimu 4/2. Ni jedan od ispitanika nije postigao potpuni odgovor ili djelimični odgovor. Stabilna bolest je uočena kod 6 pacijenata (17%). Jedan pacijent sa GIST je uklјučen u ispitivanje sa dozom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bez dokaza o koristi. Uočene neželјene reakcije sveukupno su bile slične onima koje su zabilježene kod odraslih (pogledati dio 4.8).</w:t>
      </w:r>
    </w:p>
    <w:p w14:paraId="3581DFD6">
      <w:pPr>
        <w:rPr>
          <w:rFonts w:ascii="Microsoft Sans Serif" w:hAnsi="Microsoft Sans Serif" w:cs="Microsoft Sans Serif"/>
          <w:sz w:val="20"/>
          <w:szCs w:val="20"/>
        </w:rPr>
      </w:pPr>
    </w:p>
    <w:p w14:paraId="5274EA29">
      <w:pPr>
        <w:rPr>
          <w:rFonts w:ascii="Microsoft Sans Serif" w:hAnsi="Microsoft Sans Serif" w:cs="Microsoft Sans Serif"/>
          <w:sz w:val="20"/>
          <w:szCs w:val="20"/>
        </w:rPr>
      </w:pPr>
      <w:r>
        <w:rPr>
          <w:rFonts w:ascii="Microsoft Sans Serif" w:hAnsi="Microsoft Sans Serif" w:cs="Microsoft Sans Serif"/>
          <w:sz w:val="20"/>
          <w:szCs w:val="20"/>
        </w:rPr>
        <w:t>Otvorena studija faze 2 sprovedena je na 29 pacijenata koje su činili 27 pedijatrijskih pacijenata (starosti od 3 do 16 godina) i 2 mlada odrasla pacijenta (uzrasta od 18 do 19 godina) sa HGG ili ependimomom. Studija je zatvorena u vrijeme planirane privremene analize zbog ne</w:t>
      </w:r>
      <w:r>
        <w:rPr>
          <w:rFonts w:ascii="Microsoft Sans Serif" w:hAnsi="Microsoft Sans Serif" w:cs="Microsoft Sans Serif"/>
          <w:sz w:val="20"/>
          <w:szCs w:val="20"/>
          <w:lang w:val="sr-Cyrl-RS"/>
        </w:rPr>
        <w:t>mogućnosti</w:t>
      </w:r>
      <w:r>
        <w:rPr>
          <w:rFonts w:ascii="Microsoft Sans Serif" w:hAnsi="Microsoft Sans Serif" w:cs="Microsoft Sans Serif"/>
          <w:sz w:val="20"/>
          <w:szCs w:val="20"/>
        </w:rPr>
        <w:t xml:space="preserve"> kontrole bolesti.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PFS bila je 2,3 mjeseca u grupi sa HGG i 2,7 mjeseca u grupi sa ependimomom. </w:t>
      </w:r>
      <w:r>
        <w:rPr>
          <w:rFonts w:ascii="Microsoft Sans Serif" w:hAnsi="Microsoft Sans Serif" w:cs="Microsoft Sans Serif"/>
          <w:sz w:val="20"/>
          <w:szCs w:val="20"/>
          <w:lang w:val="sr-Cyrl-RS"/>
        </w:rPr>
        <w:t>Medijana</w:t>
      </w:r>
      <w:r>
        <w:rPr>
          <w:rFonts w:ascii="Microsoft Sans Serif" w:hAnsi="Microsoft Sans Serif" w:cs="Microsoft Sans Serif"/>
          <w:sz w:val="20"/>
          <w:szCs w:val="20"/>
        </w:rPr>
        <w:t xml:space="preserve"> ukupno</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OS bila je 5,1 mjeseca u grupi sa HGG i 12,3 mjeseca u grupi sa ependimomom. Najčešći (≥10%) prijavlјeni neželјeni događaji povezani sa liječenjem kod pacijenata u obe grupe zajedno su smanjeni broj neutrofila (6 pacijenata [20,7%]) i intrakranijalna hemoragija (3 pacijenta [10,3%]) (pogledati dio 4.8).</w:t>
      </w:r>
    </w:p>
    <w:p w14:paraId="6A48036E">
      <w:pPr>
        <w:rPr>
          <w:rFonts w:ascii="Microsoft Sans Serif" w:hAnsi="Microsoft Sans Serif" w:cs="Microsoft Sans Serif"/>
          <w:sz w:val="20"/>
          <w:szCs w:val="20"/>
        </w:rPr>
      </w:pPr>
    </w:p>
    <w:p w14:paraId="67B87950">
      <w:pPr>
        <w:rPr>
          <w:rFonts w:ascii="Microsoft Sans Serif" w:hAnsi="Microsoft Sans Serif" w:cs="Microsoft Sans Serif"/>
          <w:sz w:val="20"/>
          <w:szCs w:val="20"/>
        </w:rPr>
      </w:pPr>
      <w:r>
        <w:rPr>
          <w:rFonts w:ascii="Microsoft Sans Serif" w:hAnsi="Microsoft Sans Serif" w:cs="Microsoft Sans Serif"/>
          <w:sz w:val="20"/>
          <w:szCs w:val="20"/>
        </w:rPr>
        <w:t>Dokazi iz faze 1/2 studije oralno</w:t>
      </w:r>
      <w:r>
        <w:rPr>
          <w:rFonts w:ascii="Microsoft Sans Serif" w:hAnsi="Microsoft Sans Serif" w:cs="Microsoft Sans Serif"/>
          <w:sz w:val="20"/>
          <w:szCs w:val="20"/>
          <w:lang w:val="sr-Cyrl-RS"/>
        </w:rPr>
        <w:t xml:space="preserve"> primenjenog</w:t>
      </w:r>
      <w:r>
        <w:rPr>
          <w:rFonts w:ascii="Microsoft Sans Serif" w:hAnsi="Microsoft Sans Serif" w:cs="Microsoft Sans Serif"/>
          <w:sz w:val="20"/>
          <w:szCs w:val="20"/>
        </w:rPr>
        <w:t xml:space="preserve"> sunitiniba sprovedene na 6 pedijatrijskih pacijenata sa GIST starosti od 13 do 16 godina koji su primali sunitinib na listi 4/2, u dozama u rasponu od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dnevno do 30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dnevno i dostupni objavlјeni podaci (20 pedijatrijskih ili mladih odraslih pacijenata sa GIST) ukazuju da je liječenje sunitinibom rezultiralo stabilizacijom bolesti kod 18 od 26 (69,2%) pacijenata, bilo nakon neuspeha </w:t>
      </w:r>
      <w:r>
        <w:rPr>
          <w:rFonts w:ascii="Microsoft Sans Serif" w:hAnsi="Microsoft Sans Serif" w:cs="Microsoft Sans Serif"/>
          <w:sz w:val="20"/>
          <w:szCs w:val="20"/>
          <w:lang w:val="sr-Cyrl-RS"/>
        </w:rPr>
        <w:t xml:space="preserve">liječenja </w:t>
      </w:r>
      <w:r>
        <w:rPr>
          <w:rFonts w:ascii="Microsoft Sans Serif" w:hAnsi="Microsoft Sans Serif" w:cs="Microsoft Sans Serif"/>
          <w:sz w:val="20"/>
          <w:szCs w:val="20"/>
        </w:rPr>
        <w:t xml:space="preserve">imatinibom ili netolerancije (16 pacijenata sa stabilnom bolešću od 21) ili de novo/poslije operacije (2 pacijenta sa stabilnom bolešću od 5). U studiji Faze 1/2, stabilna bolest i napredovanje bolesti zabilježene su kod 3 od 6 pacijenata (1 pacijent je dobio neo-adjuvant, a 1 pacijent adjuvant-imatinib). U istoj studiji, 4 od 6 pacijenata (66,7%) iskusili su neželјene događaje povezane sa terapijom stepena 3-4 (hipofosfatemija 3. stepena, neutropenija i trombocitopenija kod </w:t>
      </w:r>
      <w:r>
        <w:rPr>
          <w:rFonts w:ascii="Microsoft Sans Serif" w:hAnsi="Microsoft Sans Serif" w:cs="Microsoft Sans Serif"/>
          <w:sz w:val="20"/>
          <w:szCs w:val="20"/>
          <w:lang w:val="mk-MK"/>
        </w:rPr>
        <w:t xml:space="preserve">po </w:t>
      </w:r>
      <w:r>
        <w:rPr>
          <w:rFonts w:ascii="Microsoft Sans Serif" w:hAnsi="Microsoft Sans Serif" w:cs="Microsoft Sans Serif"/>
          <w:sz w:val="20"/>
          <w:szCs w:val="20"/>
        </w:rPr>
        <w:t>1 pacijenta i neutropenija 4. stepena kod 1 pacijenta). Pored toga, publikacije su prijavile sljedeće neželјene reakcije</w:t>
      </w:r>
      <w:r>
        <w:rPr>
          <w:rFonts w:ascii="Microsoft Sans Serif" w:hAnsi="Microsoft Sans Serif" w:cs="Microsoft Sans Serif"/>
          <w:sz w:val="20"/>
          <w:szCs w:val="20"/>
          <w:lang w:val="sr-Cyrl-RS"/>
        </w:rPr>
        <w:t xml:space="preserve"> na</w:t>
      </w:r>
      <w:r>
        <w:rPr>
          <w:rFonts w:ascii="Microsoft Sans Serif" w:hAnsi="Microsoft Sans Serif" w:cs="Microsoft Sans Serif"/>
          <w:sz w:val="20"/>
          <w:szCs w:val="20"/>
        </w:rPr>
        <w:t xml:space="preserve"> lijek 3. stepena koje je iskusilo 5 pacijenata: umor (2), gastrointestinalne neželјene reakcije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rPr>
        <w:t xml:space="preserve">lijek (uklјučujući dijareju) (2), hematološke neželјene reakcije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rPr>
        <w:t>lijek (uklјučujući anemiju) (2), holecistitis (1 ), hipertireoza (1) i mukozitis (1).</w:t>
      </w:r>
    </w:p>
    <w:p w14:paraId="2B12D08C">
      <w:pPr>
        <w:rPr>
          <w:rFonts w:ascii="Microsoft Sans Serif" w:hAnsi="Microsoft Sans Serif" w:cs="Microsoft Sans Serif"/>
          <w:sz w:val="20"/>
          <w:szCs w:val="20"/>
        </w:rPr>
      </w:pPr>
    </w:p>
    <w:p w14:paraId="0BD76693">
      <w:pPr>
        <w:rPr>
          <w:rFonts w:ascii="Microsoft Sans Serif" w:hAnsi="Microsoft Sans Serif" w:cs="Microsoft Sans Serif"/>
          <w:sz w:val="20"/>
          <w:szCs w:val="20"/>
        </w:rPr>
      </w:pPr>
      <w:r>
        <w:rPr>
          <w:rFonts w:ascii="Microsoft Sans Serif" w:hAnsi="Microsoft Sans Serif" w:cs="Microsoft Sans Serif"/>
          <w:sz w:val="20"/>
          <w:szCs w:val="20"/>
        </w:rPr>
        <w:t>Populaciona PK i PK/PD analiza je sprovedena sa cilјem da se ekstrapolira PK i klјučn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parametri praćenja ishoda</w:t>
      </w:r>
      <w:r>
        <w:rPr>
          <w:rFonts w:ascii="Microsoft Sans Serif" w:hAnsi="Microsoft Sans Serif" w:cs="Microsoft Sans Serif"/>
          <w:sz w:val="20"/>
          <w:szCs w:val="20"/>
        </w:rPr>
        <w:t xml:space="preserve"> za bezbjednost i efikasnost sunitiniba kod pedijatrijskih pacijenata sa GIST (uzrasta 6-17 godina). Ova analiza je zasnovana na podacima koji su prikuplјeni od odraslih osoba sa GIST ili solidnim tumorima i pedijatrijskih pacijenata sa solidnim tumorima. Na osnovu modeling analize, mlađi uzrast i manja tjelesna veličina nisu uticali negativno na bezbjednost i efikasnost izloženosti sunitinibu u plazmi. Na odnos koristi/rizika za sunitinib nije negativno uticao mlađi uzrast ili manja tjelesna veličina i uglavnom je zavisio od izloženosti lijeka u plazmi.</w:t>
      </w:r>
    </w:p>
    <w:p w14:paraId="6186D577">
      <w:pPr>
        <w:rPr>
          <w:rFonts w:ascii="Microsoft Sans Serif" w:hAnsi="Microsoft Sans Serif" w:cs="Microsoft Sans Serif"/>
          <w:sz w:val="20"/>
          <w:szCs w:val="20"/>
        </w:rPr>
      </w:pPr>
    </w:p>
    <w:p w14:paraId="0CB81BB0">
      <w:pPr>
        <w:rPr>
          <w:rFonts w:ascii="Microsoft Sans Serif" w:hAnsi="Microsoft Sans Serif" w:cs="Microsoft Sans Serif"/>
          <w:sz w:val="20"/>
          <w:szCs w:val="20"/>
        </w:rPr>
      </w:pPr>
      <w:r>
        <w:rPr>
          <w:rFonts w:ascii="Microsoft Sans Serif" w:hAnsi="Microsoft Sans Serif" w:cs="Microsoft Sans Serif"/>
          <w:sz w:val="20"/>
          <w:szCs w:val="20"/>
        </w:rPr>
        <w:t>Evropska agencija za lijekove odložila je obavezu predaje rezultata ispitivanja sunitiniba kod svih podgrupa pedijatrijske populacije u terapiji karcinoma bubrega i bubrežne karlice (izuzev nefroblastoma, nefroblastomatoze, “clear cell” sarkoma, mezoblastičnog nefroma, renalnog medularnog karcinoma i rabdoidnog tumora bubrega) (pogledati dio 4.2).</w:t>
      </w:r>
    </w:p>
    <w:p w14:paraId="0E0AE02B">
      <w:pPr>
        <w:rPr>
          <w:rFonts w:ascii="Microsoft Sans Serif" w:hAnsi="Microsoft Sans Serif" w:cs="Microsoft Sans Serif"/>
          <w:sz w:val="20"/>
          <w:szCs w:val="20"/>
        </w:rPr>
      </w:pPr>
    </w:p>
    <w:p w14:paraId="0A96CB48">
      <w:pPr>
        <w:rPr>
          <w:rFonts w:ascii="Microsoft Sans Serif" w:hAnsi="Microsoft Sans Serif" w:cs="Microsoft Sans Serif"/>
          <w:sz w:val="20"/>
          <w:szCs w:val="20"/>
        </w:rPr>
      </w:pPr>
      <w:r>
        <w:rPr>
          <w:rFonts w:ascii="Microsoft Sans Serif" w:hAnsi="Microsoft Sans Serif" w:cs="Microsoft Sans Serif"/>
          <w:sz w:val="20"/>
          <w:szCs w:val="20"/>
        </w:rPr>
        <w:t>Evropska agencija za lijekove odložila je obavezu predaje rezultata ispitivanja sunitiniba kod svih podgrupa pedijatrijske populacije u terapiji gastroenteropankreasnih neuroendokrinih tumora (izuzev neuroblastoma, neuroganglioblastoma, feohromocitoma) (pogledati dio 4.2).</w:t>
      </w:r>
    </w:p>
    <w:p w14:paraId="6ED7419A">
      <w:pPr>
        <w:rPr>
          <w:rFonts w:ascii="Microsoft Sans Serif" w:hAnsi="Microsoft Sans Serif" w:cs="Microsoft Sans Serif"/>
          <w:b/>
          <w:bCs/>
          <w:sz w:val="20"/>
          <w:szCs w:val="20"/>
        </w:rPr>
      </w:pPr>
    </w:p>
    <w:p w14:paraId="4FB31196">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5.2. Farmakokinetičke </w:t>
      </w:r>
      <w:r>
        <w:rPr>
          <w:rFonts w:ascii="Microsoft Sans Serif" w:hAnsi="Microsoft Sans Serif" w:cs="Microsoft Sans Serif"/>
          <w:b/>
          <w:sz w:val="20"/>
          <w:szCs w:val="20"/>
          <w:lang w:val="bs-Latn-BA"/>
        </w:rPr>
        <w:t>karakteristike</w:t>
      </w:r>
    </w:p>
    <w:p w14:paraId="23B69052">
      <w:pPr>
        <w:rPr>
          <w:rFonts w:ascii="Microsoft Sans Serif" w:hAnsi="Microsoft Sans Serif" w:cs="Microsoft Sans Serif"/>
          <w:sz w:val="20"/>
          <w:szCs w:val="20"/>
        </w:rPr>
      </w:pPr>
    </w:p>
    <w:p w14:paraId="2DCB51B0">
      <w:pPr>
        <w:rPr>
          <w:rFonts w:ascii="Microsoft Sans Serif" w:hAnsi="Microsoft Sans Serif" w:cs="Microsoft Sans Serif"/>
          <w:sz w:val="20"/>
          <w:szCs w:val="20"/>
        </w:rPr>
      </w:pPr>
      <w:r>
        <w:rPr>
          <w:rFonts w:ascii="Microsoft Sans Serif" w:hAnsi="Microsoft Sans Serif" w:cs="Microsoft Sans Serif"/>
          <w:sz w:val="20"/>
          <w:szCs w:val="20"/>
        </w:rPr>
        <w:t>Farmakokinetika sunitiniba ispitana je kod 135 zdravih dobrovolјaca i 266 pacijenata sa solidnim tumorima. Farmakokinetički parametri bili su slični kod ispitivanih pacijenata sa svim tipovima solidnih tumora i zdravih dobrovolјaca.</w:t>
      </w:r>
    </w:p>
    <w:p w14:paraId="6C0993BE">
      <w:pPr>
        <w:rPr>
          <w:rFonts w:ascii="Microsoft Sans Serif" w:hAnsi="Microsoft Sans Serif" w:cs="Microsoft Sans Serif"/>
          <w:sz w:val="20"/>
          <w:szCs w:val="20"/>
        </w:rPr>
      </w:pPr>
      <w:r>
        <w:rPr>
          <w:rFonts w:ascii="Microsoft Sans Serif" w:hAnsi="Microsoft Sans Serif" w:cs="Microsoft Sans Serif"/>
          <w:sz w:val="20"/>
          <w:szCs w:val="20"/>
        </w:rPr>
        <w:t>U opsegu doza sunitiniba od 25 do 100 mg,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rastu proporcionalno primjenjenoj dozi. Poslije ponovlјenih dnevnih doza, sunitinib se akumuliše 3-4 puta, a njegov primarni aktivni metabolit 7-10 puta. Koncentracije sunitiniba i njegovog primarnog aktivnog metabolita u ravnotežnom stanju postižu se za 10 do 14 dana. Četrnaestog dana, kombinovane koncentracije sunitiniba i njegovog aktivnog metabolita u plazmi su 62,9-101 nanograma/ml: to su cilјne koncentracije, predviđene na osnovu pretkliničkih podataka, koje inhibiraju fosforilaciju receptora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 dovode do staze tumora/redukcije rasta</w:t>
      </w:r>
      <w:r>
        <w:rPr>
          <w:rFonts w:ascii="Microsoft Sans Serif" w:hAnsi="Microsoft Sans Serif" w:cs="Microsoft Sans Serif"/>
          <w:sz w:val="20"/>
          <w:szCs w:val="20"/>
          <w:lang w:val="sr-Cyrl-RS"/>
        </w:rPr>
        <w:t xml:space="preserve"> tumora</w:t>
      </w:r>
      <w:r>
        <w:rPr>
          <w:rFonts w:ascii="Microsoft Sans Serif" w:hAnsi="Microsoft Sans Serif" w:cs="Microsoft Sans Serif"/>
          <w:sz w:val="20"/>
          <w:szCs w:val="20"/>
        </w:rPr>
        <w:t xml:space="preserve"> u </w:t>
      </w:r>
      <w:r>
        <w:rPr>
          <w:rFonts w:ascii="Microsoft Sans Serif" w:hAnsi="Microsoft Sans Serif" w:cs="Microsoft Sans Serif"/>
          <w:i/>
          <w:sz w:val="20"/>
          <w:szCs w:val="20"/>
        </w:rPr>
        <w:t>in vivo</w:t>
      </w:r>
      <w:r>
        <w:rPr>
          <w:rFonts w:ascii="Microsoft Sans Serif" w:hAnsi="Microsoft Sans Serif" w:cs="Microsoft Sans Serif"/>
          <w:sz w:val="20"/>
          <w:szCs w:val="20"/>
        </w:rPr>
        <w:t xml:space="preserve"> uslovima. Na primarni aktivni metabolit otpada 23% do 37% ukupne izloženosti lijeku. Nisu opisane značajne promjene u farmakokinetici sunitiniba ili primarnog, aktivnog metabolita poslije ponovlјene dnevne primjene lijeka ili poslije ponovlјenih ciklusa u testiranim doznim režimima.</w:t>
      </w:r>
    </w:p>
    <w:p w14:paraId="1E78B78E">
      <w:pPr>
        <w:rPr>
          <w:rFonts w:ascii="Microsoft Sans Serif" w:hAnsi="Microsoft Sans Serif" w:cs="Microsoft Sans Serif"/>
          <w:sz w:val="20"/>
          <w:szCs w:val="20"/>
        </w:rPr>
      </w:pPr>
    </w:p>
    <w:p w14:paraId="4675D2D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312559E5">
      <w:pPr>
        <w:rPr>
          <w:rFonts w:ascii="Microsoft Sans Serif" w:hAnsi="Microsoft Sans Serif" w:cs="Microsoft Sans Serif"/>
          <w:sz w:val="20"/>
          <w:szCs w:val="20"/>
        </w:rPr>
      </w:pPr>
      <w:r>
        <w:rPr>
          <w:rFonts w:ascii="Microsoft Sans Serif" w:hAnsi="Microsoft Sans Serif" w:cs="Microsoft Sans Serif"/>
          <w:sz w:val="20"/>
          <w:szCs w:val="20"/>
        </w:rPr>
        <w:t>Poslije oralne primjene sunitiniba, vrijeme do postizanja maksimalne koncentracije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generalno iznosi 6 do 12 sati (t</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poslije primjene doze.</w:t>
      </w:r>
    </w:p>
    <w:p w14:paraId="4645E628">
      <w:pPr>
        <w:rPr>
          <w:rFonts w:ascii="Microsoft Sans Serif" w:hAnsi="Microsoft Sans Serif" w:cs="Microsoft Sans Serif"/>
          <w:sz w:val="20"/>
          <w:szCs w:val="20"/>
        </w:rPr>
      </w:pPr>
    </w:p>
    <w:p w14:paraId="00F661FD">
      <w:pPr>
        <w:rPr>
          <w:rFonts w:ascii="Microsoft Sans Serif" w:hAnsi="Microsoft Sans Serif" w:cs="Microsoft Sans Serif"/>
          <w:sz w:val="20"/>
          <w:szCs w:val="20"/>
        </w:rPr>
      </w:pPr>
      <w:r>
        <w:rPr>
          <w:rFonts w:ascii="Microsoft Sans Serif" w:hAnsi="Microsoft Sans Serif" w:cs="Microsoft Sans Serif"/>
          <w:sz w:val="20"/>
          <w:szCs w:val="20"/>
        </w:rPr>
        <w:t>Hrana nema uticaja na biološku raspoloživost sunitiniba.</w:t>
      </w:r>
    </w:p>
    <w:p w14:paraId="0719D871">
      <w:pPr>
        <w:rPr>
          <w:rFonts w:ascii="Microsoft Sans Serif" w:hAnsi="Microsoft Sans Serif" w:cs="Microsoft Sans Serif"/>
          <w:sz w:val="20"/>
          <w:szCs w:val="20"/>
        </w:rPr>
      </w:pPr>
    </w:p>
    <w:p w14:paraId="05911D01">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2B1265F3">
      <w:pPr>
        <w:rPr>
          <w:rFonts w:ascii="Microsoft Sans Serif" w:hAnsi="Microsoft Sans Serif" w:cs="Microsoft Sans Serif"/>
          <w:sz w:val="20"/>
          <w:szCs w:val="20"/>
        </w:rPr>
      </w:pPr>
      <w:r>
        <w:rPr>
          <w:rFonts w:ascii="Microsoft Sans Serif" w:hAnsi="Microsoft Sans Serif" w:cs="Microsoft Sans Serif"/>
          <w:sz w:val="20"/>
          <w:szCs w:val="20"/>
        </w:rPr>
        <w:t xml:space="preserve">Vezivanje sunitiniba i njegovog primarnog aktivnog metabolita za proteine humane plazme u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testovima bilo je 95% za sunitinib, odnosno 90% za njegov primarni aktivni metabolit: vezivanje nije bilo zavisno od koncentracije. Prividni volumen distribucije (V</w:t>
      </w:r>
      <w:r>
        <w:rPr>
          <w:rFonts w:ascii="Microsoft Sans Serif" w:hAnsi="Microsoft Sans Serif" w:cs="Microsoft Sans Serif"/>
          <w:sz w:val="20"/>
          <w:szCs w:val="20"/>
          <w:vertAlign w:val="subscript"/>
        </w:rPr>
        <w:t>d</w:t>
      </w:r>
      <w:r>
        <w:rPr>
          <w:rFonts w:ascii="Microsoft Sans Serif" w:hAnsi="Microsoft Sans Serif" w:cs="Microsoft Sans Serif"/>
          <w:sz w:val="20"/>
          <w:szCs w:val="20"/>
        </w:rPr>
        <w:t>) za sunitinib bio je veliki – 2230 litara, što ukazuje na njegovu distribuciju u tkiva.</w:t>
      </w:r>
    </w:p>
    <w:p w14:paraId="7BDDEE68">
      <w:pPr>
        <w:rPr>
          <w:rFonts w:ascii="Microsoft Sans Serif" w:hAnsi="Microsoft Sans Serif" w:cs="Microsoft Sans Serif"/>
          <w:sz w:val="20"/>
          <w:szCs w:val="20"/>
        </w:rPr>
      </w:pPr>
    </w:p>
    <w:p w14:paraId="0C100D26">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Metaboličke interakcije</w:t>
      </w:r>
    </w:p>
    <w:p w14:paraId="5ED52253">
      <w:pPr>
        <w:rPr>
          <w:rFonts w:ascii="Microsoft Sans Serif" w:hAnsi="Microsoft Sans Serif" w:cs="Microsoft Sans Serif"/>
          <w:sz w:val="20"/>
          <w:szCs w:val="20"/>
        </w:rPr>
      </w:pPr>
      <w:r>
        <w:rPr>
          <w:rFonts w:ascii="Microsoft Sans Serif" w:hAnsi="Microsoft Sans Serif" w:cs="Microsoft Sans Serif"/>
          <w:sz w:val="20"/>
          <w:szCs w:val="20"/>
        </w:rPr>
        <w:t xml:space="preserve">Preračunate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vrijednosti Ki za sve testirane citohrom P450 (CYP) izoforme (CYP1A2, CYP2A6, CYP2B6, CYP2C8, CYP2C9, CYP2C19, CYP2D6, CYP2E1, CYP3A4/5 i CYP4A9/11) ukazuju da je malo vjerovatno da sunitinib i njegov primarni aktivni metabolit indukuju metabolizam, u bilo kom klinički relevantnom stepenu, drugih aktivnih supstanci koje se metabolišu pomoću ovih nabrojanih izoenzima.</w:t>
      </w:r>
    </w:p>
    <w:p w14:paraId="3192BAD8">
      <w:pPr>
        <w:rPr>
          <w:rFonts w:ascii="Microsoft Sans Serif" w:hAnsi="Microsoft Sans Serif" w:cs="Microsoft Sans Serif"/>
          <w:sz w:val="20"/>
          <w:szCs w:val="20"/>
        </w:rPr>
      </w:pPr>
    </w:p>
    <w:p w14:paraId="6516D18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w:t>
      </w:r>
    </w:p>
    <w:p w14:paraId="376FFDF5">
      <w:pPr>
        <w:rPr>
          <w:rFonts w:ascii="Microsoft Sans Serif" w:hAnsi="Microsoft Sans Serif" w:cs="Microsoft Sans Serif"/>
          <w:sz w:val="20"/>
          <w:szCs w:val="20"/>
        </w:rPr>
      </w:pPr>
      <w:r>
        <w:rPr>
          <w:rFonts w:ascii="Microsoft Sans Serif" w:hAnsi="Microsoft Sans Serif" w:cs="Microsoft Sans Serif"/>
          <w:sz w:val="20"/>
          <w:szCs w:val="20"/>
        </w:rPr>
        <w:t>Sunitinib se primarno metaboliše pomoću CYP3A4 (izoforme enzima citohrom P450) i tom prilikom se stvara njegov primarni aktivni metabolit dezetil-sunitinib, koji se dalјe metaboliše pomoću istog izoenzima.</w:t>
      </w:r>
    </w:p>
    <w:p w14:paraId="666BEB0D">
      <w:pPr>
        <w:rPr>
          <w:rFonts w:ascii="Microsoft Sans Serif" w:hAnsi="Microsoft Sans Serif" w:cs="Microsoft Sans Serif"/>
          <w:sz w:val="20"/>
          <w:szCs w:val="20"/>
        </w:rPr>
      </w:pPr>
    </w:p>
    <w:p w14:paraId="5E6E6D67">
      <w:pPr>
        <w:rPr>
          <w:rFonts w:ascii="Microsoft Sans Serif" w:hAnsi="Microsoft Sans Serif" w:cs="Microsoft Sans Serif"/>
          <w:sz w:val="20"/>
          <w:szCs w:val="20"/>
        </w:rPr>
      </w:pPr>
      <w:r>
        <w:rPr>
          <w:rFonts w:ascii="Microsoft Sans Serif" w:hAnsi="Microsoft Sans Serif" w:cs="Microsoft Sans Serif"/>
          <w:sz w:val="20"/>
          <w:szCs w:val="20"/>
        </w:rPr>
        <w:t>Istovremenu primjenu sunitiniba sa snažnim induktorima ili inhibitorima CYP3A4 treba izbjegavati zato što koncentracija sunitiniba u plazmi može biti izmjenjena (pogledati dijelove 4.4 i 4.5).</w:t>
      </w:r>
    </w:p>
    <w:p w14:paraId="4D67FA9C">
      <w:pPr>
        <w:rPr>
          <w:rFonts w:ascii="Microsoft Sans Serif" w:hAnsi="Microsoft Sans Serif" w:cs="Microsoft Sans Serif"/>
          <w:sz w:val="20"/>
          <w:szCs w:val="20"/>
        </w:rPr>
      </w:pPr>
    </w:p>
    <w:p w14:paraId="2906059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Eliminacija</w:t>
      </w:r>
    </w:p>
    <w:p w14:paraId="67125B28">
      <w:pPr>
        <w:rPr>
          <w:rFonts w:ascii="Microsoft Sans Serif" w:hAnsi="Microsoft Sans Serif" w:cs="Microsoft Sans Serif"/>
          <w:sz w:val="20"/>
          <w:szCs w:val="20"/>
        </w:rPr>
      </w:pPr>
      <w:r>
        <w:rPr>
          <w:rFonts w:ascii="Microsoft Sans Serif" w:hAnsi="Microsoft Sans Serif" w:cs="Microsoft Sans Serif"/>
          <w:sz w:val="20"/>
          <w:szCs w:val="20"/>
        </w:rPr>
        <w:t xml:space="preserve">Izlučivanje je primarno fecesom (61%), dok je renalno izlučivanje nepromjenjenog lijeka i njegovih metabolita 16% od primjenjene doze. Sunitinib i njegov primarni aktivni metabolit bili su glavne supstance identifikovane u plazmi, urinu i fecesu. Radioaktivnost otkrivena u </w:t>
      </w:r>
      <w:r>
        <w:rPr>
          <w:rFonts w:ascii="Microsoft Sans Serif" w:hAnsi="Microsoft Sans Serif" w:cs="Microsoft Sans Serif"/>
          <w:sz w:val="20"/>
          <w:szCs w:val="20"/>
          <w:lang w:val="sr-Cyrl-RS"/>
        </w:rPr>
        <w:t>objedinjenim</w:t>
      </w:r>
      <w:r>
        <w:rPr>
          <w:rFonts w:ascii="Microsoft Sans Serif" w:hAnsi="Microsoft Sans Serif" w:cs="Microsoft Sans Serif"/>
          <w:sz w:val="20"/>
          <w:szCs w:val="20"/>
        </w:rPr>
        <w:t xml:space="preserve"> uzorcima plazme iznosila je 91,5%, dok je u urinu bila 86,4%, a u fecesu 73,8%. Sporedni metaboliti identifikovani su u urinu i fecesu, ali generalno uzevši, nisu otkriveni u plazmi. Totalni oralni klirens bio je 34-62 </w:t>
      </w:r>
      <w:r>
        <w:rPr>
          <w:rFonts w:ascii="Microsoft Sans Serif" w:hAnsi="Microsoft Sans Serif" w:cs="Microsoft Sans Serif"/>
          <w:sz w:val="20"/>
          <w:szCs w:val="20"/>
          <w:lang w:val="sr-Latn-RS"/>
        </w:rPr>
        <w:t>l</w:t>
      </w:r>
      <w:r>
        <w:rPr>
          <w:rFonts w:ascii="Microsoft Sans Serif" w:hAnsi="Microsoft Sans Serif" w:cs="Microsoft Sans Serif"/>
          <w:sz w:val="20"/>
          <w:szCs w:val="20"/>
        </w:rPr>
        <w:t>/h. Poslije oralne primjene kod zdravih dobrovolјaca, poluvrijeme eliminacije sunitiniba i njegovog primarnog aktivnog dezetil metabolita, je približno 40-60 sati za sunitinib i 80-110 sati za primarni aktivni metabolit.</w:t>
      </w:r>
    </w:p>
    <w:p w14:paraId="464008CA">
      <w:pPr>
        <w:rPr>
          <w:rFonts w:ascii="Microsoft Sans Serif" w:hAnsi="Microsoft Sans Serif" w:cs="Microsoft Sans Serif"/>
          <w:sz w:val="20"/>
          <w:szCs w:val="20"/>
        </w:rPr>
      </w:pPr>
    </w:p>
    <w:p w14:paraId="219DFF82">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Istovremena primjena sa lijekovima koji su inhibitori BCRP</w:t>
      </w:r>
    </w:p>
    <w:p w14:paraId="086FB2E5">
      <w:pPr>
        <w:rPr>
          <w:rFonts w:ascii="Microsoft Sans Serif" w:hAnsi="Microsoft Sans Serif" w:cs="Microsoft Sans Serif"/>
          <w:sz w:val="20"/>
          <w:szCs w:val="20"/>
        </w:rPr>
      </w:pPr>
      <w:r>
        <w:rPr>
          <w:rFonts w:ascii="Microsoft Sans Serif" w:hAnsi="Microsoft Sans Serif" w:cs="Microsoft Sans Serif"/>
          <w:i/>
          <w:sz w:val="20"/>
          <w:szCs w:val="20"/>
        </w:rPr>
        <w:t>In vitro</w:t>
      </w:r>
      <w:r>
        <w:rPr>
          <w:rFonts w:ascii="Microsoft Sans Serif" w:hAnsi="Microsoft Sans Serif" w:cs="Microsoft Sans Serif"/>
          <w:sz w:val="20"/>
          <w:szCs w:val="20"/>
        </w:rPr>
        <w:t>, sunitinib je supstrat BCRP efluks</w:t>
      </w:r>
      <w:r>
        <w:rPr>
          <w:rFonts w:ascii="Microsoft Sans Serif" w:hAnsi="Microsoft Sans Serif" w:cs="Microsoft Sans Serif"/>
          <w:sz w:val="20"/>
          <w:szCs w:val="20"/>
          <w:lang w:val="sr-Cyrl-RS"/>
        </w:rPr>
        <w:t>nog</w:t>
      </w:r>
      <w:r>
        <w:rPr>
          <w:rFonts w:ascii="Microsoft Sans Serif" w:hAnsi="Microsoft Sans Serif" w:cs="Microsoft Sans Serif"/>
          <w:sz w:val="20"/>
          <w:szCs w:val="20"/>
        </w:rPr>
        <w:t xml:space="preserve"> transportera. U studiji A6181038 istovremena primjena gefitiniba, inhibitora BCRP, nije dovela do klinički značajnog efekta na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sunitiniba ili ukupnog lijeka (sunitinib + metabolit) (pogledati dio 4.5). Ova otvorena, multicentrična studija faze 1/2 je ispitivala bezbjednost/podnošlјivost, maksimalnu podnošlјivu dozu i antitumorsku aktivnost sunitiniba u kombinaciji sa gefitinibom kod ispitanika sa MRCC. Farmakokinetika gefitiniba (250 mg dnevno) i sunitiniba (37,5 mg [Kohort 1, n=4] ili 50 mg [Kohort 2, n=7] dnevno tokom 4 nedelјe, praćeno dvonedelјnim prekidom terapije) kada se istovremeno primjenjuju procjenjivana je kao sekundarni cilј terapije. Promjene farmakokinetičkih parametara sunitiniba nisu bile klinički značajne i nisu ukazivale na lijek-lijek interakcije. Međutim, kako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 ispitanika bio relativno mali (npr. N=4+7), a umjereno velika varijabilnost farmakokinetičkih parametara među pacijentima, potreban je oprez kada se interpretiraju farmakokinetičke lijek-lijek interakcije iz ove studije.</w:t>
      </w:r>
    </w:p>
    <w:p w14:paraId="402EA2D4">
      <w:pPr>
        <w:rPr>
          <w:rFonts w:ascii="Microsoft Sans Serif" w:hAnsi="Microsoft Sans Serif" w:cs="Microsoft Sans Serif"/>
          <w:sz w:val="20"/>
          <w:szCs w:val="20"/>
        </w:rPr>
      </w:pPr>
    </w:p>
    <w:p w14:paraId="58297C3A">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4A8F9569">
      <w:pPr>
        <w:rPr>
          <w:rFonts w:ascii="Microsoft Sans Serif" w:hAnsi="Microsoft Sans Serif" w:cs="Microsoft Sans Serif"/>
          <w:sz w:val="20"/>
          <w:szCs w:val="20"/>
        </w:rPr>
      </w:pPr>
    </w:p>
    <w:p w14:paraId="0163BCE8">
      <w:pPr>
        <w:rPr>
          <w:rFonts w:ascii="Microsoft Sans Serif" w:hAnsi="Microsoft Sans Serif" w:cs="Microsoft Sans Serif"/>
          <w:i/>
          <w:sz w:val="20"/>
          <w:szCs w:val="20"/>
        </w:rPr>
      </w:pPr>
      <w:r>
        <w:rPr>
          <w:rFonts w:ascii="Microsoft Sans Serif" w:hAnsi="Microsoft Sans Serif" w:cs="Microsoft Sans Serif"/>
          <w:i/>
          <w:sz w:val="20"/>
          <w:szCs w:val="20"/>
        </w:rPr>
        <w:t>Oštećenje funkcije jetre</w:t>
      </w:r>
    </w:p>
    <w:p w14:paraId="6A52C900">
      <w:pPr>
        <w:rPr>
          <w:rFonts w:ascii="Microsoft Sans Serif" w:hAnsi="Microsoft Sans Serif" w:cs="Microsoft Sans Serif"/>
          <w:sz w:val="20"/>
          <w:szCs w:val="20"/>
        </w:rPr>
      </w:pPr>
      <w:r>
        <w:rPr>
          <w:rFonts w:ascii="Microsoft Sans Serif" w:hAnsi="Microsoft Sans Serif" w:cs="Microsoft Sans Serif"/>
          <w:sz w:val="20"/>
          <w:szCs w:val="20"/>
        </w:rPr>
        <w:t>Sunitinib i njegov primarni metabolit se uglavnom metabolišu u jetri. Sistemska izloženost poslije jedne doze sunitiniba bila je slična kod osoba sa blago do umjereno izraženim oštećenjem funkcije jetre (Child-Pugh klasa A i B) u poređenju sa osobama koji su imale normalnu funkciju jetre. Sunitinib nije ispitivan kod osoba sa tešk</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 ošteće</w:t>
      </w:r>
      <w:r>
        <w:rPr>
          <w:rFonts w:ascii="Microsoft Sans Serif" w:hAnsi="Microsoft Sans Serif" w:cs="Microsoft Sans Serif"/>
          <w:sz w:val="20"/>
          <w:szCs w:val="20"/>
          <w:lang w:val="mk-MK"/>
        </w:rPr>
        <w:t>njem</w:t>
      </w:r>
      <w:r>
        <w:rPr>
          <w:rFonts w:ascii="Microsoft Sans Serif" w:hAnsi="Microsoft Sans Serif" w:cs="Microsoft Sans Serif"/>
          <w:sz w:val="20"/>
          <w:szCs w:val="20"/>
        </w:rPr>
        <w:t xml:space="preserve"> funkcij</w:t>
      </w:r>
      <w:r>
        <w:rPr>
          <w:rFonts w:ascii="Microsoft Sans Serif" w:hAnsi="Microsoft Sans Serif" w:cs="Microsoft Sans Serif"/>
          <w:sz w:val="20"/>
          <w:szCs w:val="20"/>
          <w:lang w:val="mk-MK"/>
        </w:rPr>
        <w:t>e</w:t>
      </w:r>
      <w:r>
        <w:rPr>
          <w:rFonts w:ascii="Microsoft Sans Serif" w:hAnsi="Microsoft Sans Serif" w:cs="Microsoft Sans Serif"/>
          <w:sz w:val="20"/>
          <w:szCs w:val="20"/>
        </w:rPr>
        <w:t xml:space="preserve"> jetre (Child-Pugh klasa C).</w:t>
      </w:r>
    </w:p>
    <w:p w14:paraId="53E02C14">
      <w:pPr>
        <w:rPr>
          <w:rFonts w:ascii="Microsoft Sans Serif" w:hAnsi="Microsoft Sans Serif" w:cs="Microsoft Sans Serif"/>
          <w:sz w:val="20"/>
          <w:szCs w:val="20"/>
        </w:rPr>
      </w:pPr>
    </w:p>
    <w:p w14:paraId="04F5F21A">
      <w:pPr>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ispitivanja pacijenata sa kancerom nisu bili uklјučeni pacijenti kod kojih su vrijednosti ALT ili AST bile &gt;2,5 </w:t>
      </w:r>
      <w:r>
        <w:rPr>
          <w:rFonts w:ascii="Microsoft Sans Serif" w:hAnsi="Microsoft Sans Serif" w:cs="Microsoft Sans Serif"/>
          <w:sz w:val="20"/>
          <w:szCs w:val="20"/>
          <w:lang w:val="sr-Cyrl-RS"/>
        </w:rPr>
        <w:t>puta</w:t>
      </w:r>
      <w:r>
        <w:rPr>
          <w:rFonts w:ascii="Microsoft Sans Serif" w:hAnsi="Microsoft Sans Serif" w:cs="Microsoft Sans Serif"/>
          <w:sz w:val="20"/>
          <w:szCs w:val="20"/>
        </w:rPr>
        <w:t xml:space="preserve"> od gornjih granica normalnih vrijednosti (engl. </w:t>
      </w:r>
      <w:r>
        <w:rPr>
          <w:rFonts w:ascii="Microsoft Sans Serif" w:hAnsi="Microsoft Sans Serif" w:cs="Microsoft Sans Serif"/>
          <w:i/>
          <w:sz w:val="20"/>
          <w:szCs w:val="20"/>
        </w:rPr>
        <w:t>upper limit of normal</w:t>
      </w:r>
      <w:r>
        <w:rPr>
          <w:rFonts w:ascii="Microsoft Sans Serif" w:hAnsi="Microsoft Sans Serif" w:cs="Microsoft Sans Serif"/>
          <w:sz w:val="20"/>
          <w:szCs w:val="20"/>
        </w:rPr>
        <w:t xml:space="preserve">, ULN), ili &gt;5,0 </w:t>
      </w:r>
      <w:r>
        <w:rPr>
          <w:rFonts w:ascii="Microsoft Sans Serif" w:hAnsi="Microsoft Sans Serif" w:cs="Microsoft Sans Serif"/>
          <w:sz w:val="20"/>
          <w:szCs w:val="20"/>
          <w:lang w:val="sr-Cyrl-RS"/>
        </w:rPr>
        <w:t>puta</w:t>
      </w:r>
      <w:r>
        <w:rPr>
          <w:rFonts w:ascii="Microsoft Sans Serif" w:hAnsi="Microsoft Sans Serif" w:cs="Microsoft Sans Serif"/>
          <w:sz w:val="20"/>
          <w:szCs w:val="20"/>
        </w:rPr>
        <w:t xml:space="preserve"> ULN zbog metastaza u jetri</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w:t>
      </w:r>
    </w:p>
    <w:p w14:paraId="6A557A01">
      <w:pPr>
        <w:rPr>
          <w:rFonts w:ascii="Microsoft Sans Serif" w:hAnsi="Microsoft Sans Serif" w:cs="Microsoft Sans Serif"/>
          <w:sz w:val="20"/>
          <w:szCs w:val="20"/>
        </w:rPr>
      </w:pPr>
    </w:p>
    <w:p w14:paraId="6C3658CB">
      <w:pPr>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7BF95B2E">
      <w:pPr>
        <w:rPr>
          <w:rFonts w:ascii="Microsoft Sans Serif" w:hAnsi="Microsoft Sans Serif" w:cs="Microsoft Sans Serif"/>
          <w:sz w:val="20"/>
          <w:szCs w:val="20"/>
        </w:rPr>
      </w:pPr>
      <w:r>
        <w:rPr>
          <w:rFonts w:ascii="Microsoft Sans Serif" w:hAnsi="Microsoft Sans Serif" w:cs="Microsoft Sans Serif"/>
          <w:sz w:val="20"/>
          <w:szCs w:val="20"/>
        </w:rPr>
        <w:t>Populaciona farmakokinetička analiza ukazuje da se prividni klirens (CL/F) sunitiniba ne mijenja sa klirensom kreatinina u procijenjenom opsegu (42-347 ml/min). Sistemska izloženost nakon pojedinačne doze sunitiniba bila je slična kod pacijenata sa teškom insuficijencijom bubrega (CLcr &lt;30 ml/min) u poređenju sa pacijentima sa normalnom funkcijom bubrega (CLcr&gt;80 ml/min). Iako se sunitinib i njegov primarni metabolit ne eliminišu hemodijalizom kod pacijenata u terminalnoj fazi bubrežne bolesti (ESRD), ukupna sistemska izloženost bila je smanjena za 47% za sunitinib, odnosno 31% za njegov primarni metabolit, u poređenju sa pacijentima sa normalnom bubrežnom funkcijom.</w:t>
      </w:r>
    </w:p>
    <w:p w14:paraId="282BE23B">
      <w:pPr>
        <w:rPr>
          <w:rFonts w:ascii="Microsoft Sans Serif" w:hAnsi="Microsoft Sans Serif" w:cs="Microsoft Sans Serif"/>
          <w:sz w:val="20"/>
          <w:szCs w:val="20"/>
        </w:rPr>
      </w:pPr>
    </w:p>
    <w:p w14:paraId="3692C847">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Tjelesna masa, status performansi</w:t>
      </w:r>
    </w:p>
    <w:p w14:paraId="381A1346">
      <w:pPr>
        <w:rPr>
          <w:rFonts w:ascii="Microsoft Sans Serif" w:hAnsi="Microsoft Sans Serif" w:cs="Microsoft Sans Serif"/>
          <w:sz w:val="20"/>
          <w:szCs w:val="20"/>
        </w:rPr>
      </w:pPr>
      <w:r>
        <w:rPr>
          <w:rFonts w:ascii="Microsoft Sans Serif" w:hAnsi="Microsoft Sans Serif" w:cs="Microsoft Sans Serif"/>
          <w:sz w:val="20"/>
          <w:szCs w:val="20"/>
        </w:rPr>
        <w:t xml:space="preserve">Populaciona farmakokinetička analiza demografskih podataka ukazuje da nije potrebno prilagođavanje </w:t>
      </w:r>
      <w:r>
        <w:rPr>
          <w:rFonts w:ascii="Microsoft Sans Serif" w:hAnsi="Microsoft Sans Serif" w:cs="Microsoft Sans Serif"/>
          <w:sz w:val="20"/>
          <w:szCs w:val="20"/>
          <w:lang w:val="mk-MK"/>
        </w:rPr>
        <w:t xml:space="preserve">početne </w:t>
      </w:r>
      <w:r>
        <w:rPr>
          <w:rFonts w:ascii="Microsoft Sans Serif" w:hAnsi="Microsoft Sans Serif" w:cs="Microsoft Sans Serif"/>
          <w:sz w:val="20"/>
          <w:szCs w:val="20"/>
        </w:rPr>
        <w:t>doze na osnovu tjelesne mase ili ECOG statusa</w:t>
      </w:r>
      <w:r>
        <w:rPr>
          <w:rFonts w:ascii="Microsoft Sans Serif" w:hAnsi="Microsoft Sans Serif" w:cs="Microsoft Sans Serif"/>
          <w:sz w:val="20"/>
          <w:szCs w:val="20"/>
          <w:lang w:val="sr-Cyrl-RS"/>
        </w:rPr>
        <w:t xml:space="preserve"> performansi</w:t>
      </w:r>
      <w:r>
        <w:rPr>
          <w:rFonts w:ascii="Microsoft Sans Serif" w:hAnsi="Microsoft Sans Serif" w:cs="Microsoft Sans Serif"/>
          <w:sz w:val="20"/>
          <w:szCs w:val="20"/>
        </w:rPr>
        <w:t xml:space="preserve"> (engl. </w:t>
      </w:r>
      <w:r>
        <w:rPr>
          <w:rFonts w:ascii="Microsoft Sans Serif" w:hAnsi="Microsoft Sans Serif" w:cs="Microsoft Sans Serif"/>
          <w:i/>
          <w:sz w:val="20"/>
          <w:szCs w:val="20"/>
        </w:rPr>
        <w:t>Eastern Cooperative Oncology Group</w:t>
      </w:r>
      <w:r>
        <w:rPr>
          <w:rFonts w:ascii="Microsoft Sans Serif" w:hAnsi="Microsoft Sans Serif" w:cs="Microsoft Sans Serif"/>
          <w:sz w:val="20"/>
          <w:szCs w:val="20"/>
        </w:rPr>
        <w:t>, ECOG).</w:t>
      </w:r>
    </w:p>
    <w:p w14:paraId="5B624935">
      <w:pPr>
        <w:rPr>
          <w:rFonts w:ascii="Microsoft Sans Serif" w:hAnsi="Microsoft Sans Serif" w:cs="Microsoft Sans Serif"/>
          <w:sz w:val="20"/>
          <w:szCs w:val="20"/>
        </w:rPr>
      </w:pPr>
    </w:p>
    <w:p w14:paraId="649F5BDB">
      <w:pPr>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5093C616">
      <w:pPr>
        <w:rPr>
          <w:rFonts w:ascii="Microsoft Sans Serif" w:hAnsi="Microsoft Sans Serif" w:cs="Microsoft Sans Serif"/>
          <w:sz w:val="20"/>
          <w:szCs w:val="20"/>
          <w:lang w:val="sr-Cyrl-RS"/>
        </w:rPr>
      </w:pPr>
      <w:r>
        <w:rPr>
          <w:rFonts w:ascii="Microsoft Sans Serif" w:hAnsi="Microsoft Sans Serif" w:cs="Microsoft Sans Serif"/>
          <w:sz w:val="20"/>
          <w:szCs w:val="20"/>
        </w:rPr>
        <w:t>Dostupni podaci pokazuju da žene mogu imati otprilike 30% niži klirens (</w:t>
      </w:r>
      <w:r>
        <w:rPr>
          <w:rFonts w:ascii="Microsoft Sans Serif" w:hAnsi="Microsoft Sans Serif" w:cs="Microsoft Sans Serif"/>
          <w:sz w:val="20"/>
          <w:szCs w:val="20"/>
          <w:lang w:val="hr-BA"/>
        </w:rPr>
        <w:t>CL/F</w:t>
      </w:r>
      <w:r>
        <w:rPr>
          <w:rFonts w:ascii="Microsoft Sans Serif" w:hAnsi="Microsoft Sans Serif" w:cs="Microsoft Sans Serif"/>
          <w:sz w:val="20"/>
          <w:szCs w:val="20"/>
        </w:rPr>
        <w:t xml:space="preserve">) sunitiniba </w:t>
      </w:r>
      <w:r>
        <w:rPr>
          <w:rFonts w:ascii="Microsoft Sans Serif" w:hAnsi="Microsoft Sans Serif" w:cs="Microsoft Sans Serif"/>
          <w:sz w:val="20"/>
          <w:szCs w:val="20"/>
          <w:lang w:val="sr-Cyrl-RS"/>
        </w:rPr>
        <w:t>nego</w:t>
      </w:r>
      <w:r>
        <w:rPr>
          <w:rFonts w:ascii="Microsoft Sans Serif" w:hAnsi="Microsoft Sans Serif" w:cs="Microsoft Sans Serif"/>
          <w:sz w:val="20"/>
          <w:szCs w:val="20"/>
        </w:rPr>
        <w:t xml:space="preserve"> muškarc</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ova razlika ne zahtjeva prilagođavanje </w:t>
      </w:r>
      <w:r>
        <w:rPr>
          <w:rFonts w:ascii="Microsoft Sans Serif" w:hAnsi="Microsoft Sans Serif" w:cs="Microsoft Sans Serif"/>
          <w:sz w:val="20"/>
          <w:szCs w:val="20"/>
          <w:lang w:val="sr-Cyrl-RS"/>
        </w:rPr>
        <w:t xml:space="preserve">početne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w:t>
      </w:r>
    </w:p>
    <w:p w14:paraId="5023188D">
      <w:pPr>
        <w:rPr>
          <w:rFonts w:ascii="Microsoft Sans Serif" w:hAnsi="Microsoft Sans Serif" w:cs="Microsoft Sans Serif"/>
          <w:sz w:val="20"/>
          <w:szCs w:val="20"/>
        </w:rPr>
      </w:pPr>
    </w:p>
    <w:p w14:paraId="6D71BBE7">
      <w:pPr>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3F426F39">
      <w:pPr>
        <w:rPr>
          <w:rFonts w:ascii="Microsoft Sans Serif" w:hAnsi="Microsoft Sans Serif" w:cs="Microsoft Sans Serif"/>
          <w:sz w:val="20"/>
          <w:szCs w:val="20"/>
        </w:rPr>
      </w:pPr>
      <w:r>
        <w:rPr>
          <w:rFonts w:ascii="Microsoft Sans Serif" w:hAnsi="Microsoft Sans Serif" w:cs="Microsoft Sans Serif"/>
          <w:sz w:val="20"/>
          <w:szCs w:val="20"/>
        </w:rPr>
        <w:t>Iskustvo o upotrebi sunitiniba kod pedijatrijske populacije je ograničeno (pogledati dio 4.2). Završene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populaciona farmakokinetička analiza za objedinjene podatke kod odraslih pacijenata sa GIST i solidnim tumorima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pedijatrijske pacijente sa solidnim tumorima. Izvršena je postepena modeling analiza varijabli kako bi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procijenio značaj uzrasta i veličine tijela (ukupna tjelesna masa ili površina tijela) kao i ostalih varijabli za važne</w:t>
      </w:r>
      <w:r>
        <w:rPr>
          <w:rFonts w:ascii="Microsoft Sans Serif" w:hAnsi="Microsoft Sans Serif" w:cs="Microsoft Sans Serif"/>
          <w:sz w:val="20"/>
          <w:szCs w:val="20"/>
          <w:lang w:val="sr-Cyrl-RS"/>
        </w:rPr>
        <w:t xml:space="preserve"> farmakokinetičke</w:t>
      </w:r>
      <w:r>
        <w:rPr>
          <w:rFonts w:ascii="Microsoft Sans Serif" w:hAnsi="Microsoft Sans Serif" w:cs="Microsoft Sans Serif"/>
          <w:sz w:val="20"/>
          <w:szCs w:val="20"/>
        </w:rPr>
        <w:t xml:space="preserve"> parametre sunitiniba i njegovih aktivnih metabolita. Od ispitivanih varijabli povezanih sa uzrastom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veličinom tijela, uzrast je bio značajnija varijabla za prividni klirens sunitiniba (što je mlađi uzrast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 pacijenata, niži je prividni klirens). Slično, površina tijela je bila značajna varijabla za prividni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klirens aktivnog metabolita (što je manja površina tijela, niži je prividni klirens). </w:t>
      </w:r>
    </w:p>
    <w:p w14:paraId="72B1C388">
      <w:pPr>
        <w:rPr>
          <w:rFonts w:ascii="Microsoft Sans Serif" w:hAnsi="Microsoft Sans Serif" w:cs="Microsoft Sans Serif"/>
          <w:sz w:val="20"/>
          <w:szCs w:val="20"/>
        </w:rPr>
      </w:pPr>
    </w:p>
    <w:p w14:paraId="28A732D7">
      <w:pPr>
        <w:rPr>
          <w:rFonts w:ascii="Microsoft Sans Serif" w:hAnsi="Microsoft Sans Serif" w:cs="Microsoft Sans Serif"/>
          <w:sz w:val="20"/>
          <w:szCs w:val="20"/>
        </w:rPr>
      </w:pPr>
      <w:r>
        <w:rPr>
          <w:rFonts w:ascii="Microsoft Sans Serif" w:hAnsi="Microsoft Sans Serif" w:cs="Microsoft Sans Serif"/>
          <w:sz w:val="20"/>
          <w:szCs w:val="20"/>
          <w:lang w:val="sr-Cyrl-RS"/>
        </w:rPr>
        <w:t>Pored toga</w:t>
      </w:r>
      <w:r>
        <w:rPr>
          <w:rFonts w:ascii="Microsoft Sans Serif" w:hAnsi="Microsoft Sans Serif" w:cs="Microsoft Sans Serif"/>
          <w:sz w:val="20"/>
          <w:szCs w:val="20"/>
        </w:rPr>
        <w:t>, na osnovu integrisane farmakokinetičke analize objedinjenih podataka iz 3 pedijatrijske studije (2 pedijatrijske studije solidnog tumora i 1 pedijatrijska GIST studija; uzrasti: 6 godina do 11 godina i 12 godina do 17 godina), osnovna tjelesna površina (BSA) je bi</w:t>
      </w:r>
      <w:r>
        <w:rPr>
          <w:rFonts w:ascii="Microsoft Sans Serif" w:hAnsi="Microsoft Sans Serif" w:cs="Microsoft Sans Serif"/>
          <w:sz w:val="20"/>
          <w:szCs w:val="20"/>
          <w:lang w:val="sr-Cyrl-RS"/>
        </w:rPr>
        <w:t>la</w:t>
      </w:r>
      <w:r>
        <w:rPr>
          <w:rFonts w:ascii="Microsoft Sans Serif" w:hAnsi="Microsoft Sans Serif" w:cs="Microsoft Sans Serif"/>
          <w:sz w:val="20"/>
          <w:szCs w:val="20"/>
        </w:rPr>
        <w:t xml:space="preserve"> značajna kovarijanta prema klirens</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sunitiniba i njegovog aktivnog metabolita. Na osnovu ove analize, doza od približno 20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dnevno kod pedijatrijskih pacijenata, sa vrijednostima BSA između 1,10 i 1,87 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očekuje se da može da </w:t>
      </w:r>
      <w:r>
        <w:rPr>
          <w:rFonts w:ascii="Microsoft Sans Serif" w:hAnsi="Microsoft Sans Serif" w:cs="Microsoft Sans Serif"/>
          <w:sz w:val="20"/>
          <w:szCs w:val="20"/>
        </w:rPr>
        <w:t>omogući izloženost sunitinibu</w:t>
      </w:r>
      <w:r>
        <w:rPr>
          <w:rFonts w:ascii="Microsoft Sans Serif" w:hAnsi="Microsoft Sans Serif" w:cs="Microsoft Sans Serif"/>
          <w:sz w:val="20"/>
          <w:szCs w:val="20"/>
          <w:lang w:val="sr-Cyrl-RS"/>
        </w:rPr>
        <w:t xml:space="preserve"> u plazmi</w:t>
      </w:r>
      <w:r>
        <w:rPr>
          <w:rFonts w:ascii="Microsoft Sans Serif" w:hAnsi="Microsoft Sans Serif" w:cs="Microsoft Sans Serif"/>
          <w:sz w:val="20"/>
          <w:szCs w:val="20"/>
        </w:rPr>
        <w:t xml:space="preserve"> i njegovom aktivnom metabolitu uporedivu (između 75 i 125% </w:t>
      </w:r>
      <w:r>
        <w:rPr>
          <w:rFonts w:ascii="Microsoft Sans Serif" w:hAnsi="Microsoft Sans Serif" w:cs="Microsoft Sans Serif"/>
          <w:sz w:val="20"/>
          <w:szCs w:val="20"/>
          <w:lang w:val="sr-Cyrl-RS"/>
        </w:rPr>
        <w:t>PIK-a</w:t>
      </w:r>
      <w:r>
        <w:rPr>
          <w:rFonts w:ascii="Microsoft Sans Serif" w:hAnsi="Microsoft Sans Serif" w:cs="Microsoft Sans Serif"/>
          <w:sz w:val="20"/>
          <w:szCs w:val="20"/>
        </w:rPr>
        <w:t xml:space="preserve">) sa onom kod odraslih </w:t>
      </w:r>
      <w:r>
        <w:rPr>
          <w:rFonts w:ascii="Microsoft Sans Serif" w:hAnsi="Microsoft Sans Serif" w:cs="Microsoft Sans Serif"/>
          <w:sz w:val="20"/>
          <w:szCs w:val="20"/>
          <w:lang w:val="sr-Cyrl-RS"/>
        </w:rPr>
        <w:t xml:space="preserve">sa </w:t>
      </w:r>
      <w:r>
        <w:rPr>
          <w:rFonts w:ascii="Microsoft Sans Serif" w:hAnsi="Microsoft Sans Serif" w:cs="Microsoft Sans Serif"/>
          <w:sz w:val="20"/>
          <w:szCs w:val="20"/>
        </w:rPr>
        <w:t>GIST koji su uzimali sunitinib od 50 mg dnevno sa rasporedom 4/2 (</w:t>
      </w:r>
      <w:r>
        <w:rPr>
          <w:rFonts w:ascii="Microsoft Sans Serif" w:hAnsi="Microsoft Sans Serif" w:cs="Microsoft Sans Serif"/>
          <w:sz w:val="20"/>
          <w:szCs w:val="20"/>
          <w:lang w:val="sr-Cyrl-RS"/>
        </w:rPr>
        <w:t>PIK</w:t>
      </w:r>
      <w:r>
        <w:rPr>
          <w:rFonts w:ascii="Microsoft Sans Serif" w:hAnsi="Microsoft Sans Serif" w:cs="Microsoft Sans Serif"/>
          <w:sz w:val="20"/>
          <w:szCs w:val="20"/>
        </w:rPr>
        <w:t xml:space="preserve"> 1233 ng.hr/ml). U pedijatrijskim studijama, početna doza sunitiniba bila je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(na osnovu MTD identifikovane u fazi 1 </w:t>
      </w:r>
      <w:r>
        <w:rPr>
          <w:rFonts w:ascii="Microsoft Sans Serif" w:hAnsi="Microsoft Sans Serif" w:cs="Microsoft Sans Serif"/>
          <w:sz w:val="20"/>
          <w:szCs w:val="20"/>
          <w:lang w:val="sr-Cyrl-RS"/>
        </w:rPr>
        <w:t>povećanja</w:t>
      </w:r>
      <w:r>
        <w:rPr>
          <w:rFonts w:ascii="Microsoft Sans Serif" w:hAnsi="Microsoft Sans Serif" w:cs="Microsoft Sans Serif"/>
          <w:sz w:val="20"/>
          <w:szCs w:val="20"/>
        </w:rPr>
        <w:t xml:space="preserve"> doze, pogledati dio 5.1), koja se kod pedijatrijskih pacijenata sa GIST povećala na 22,5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a zatim na 30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preći </w:t>
      </w:r>
      <w:r>
        <w:rPr>
          <w:rFonts w:ascii="Microsoft Sans Serif" w:hAnsi="Microsoft Sans Serif" w:cs="Microsoft Sans Serif"/>
          <w:sz w:val="20"/>
          <w:szCs w:val="20"/>
        </w:rPr>
        <w:t xml:space="preserve">ukupnu dozu od 50 mg/dan) na osnovu individualne bezbjednosti/podnošlјivosti </w:t>
      </w: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pacijenta. Dalјe, prema objavlјen</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literatur</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podacima </w:t>
      </w:r>
      <w:r>
        <w:rPr>
          <w:rFonts w:ascii="Microsoft Sans Serif" w:hAnsi="Microsoft Sans Serif" w:cs="Microsoft Sans Serif"/>
          <w:sz w:val="20"/>
          <w:szCs w:val="20"/>
        </w:rPr>
        <w:t>kod pedijatrijskih pacijenata sa GIST, izračunata početna doza je bila u rasponu od 16,6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do 36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povećana na doze do 40,4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(ne prelazeći ukupnu dozu od 50 mg/dan ).</w:t>
      </w:r>
    </w:p>
    <w:p w14:paraId="31563474">
      <w:pPr>
        <w:rPr>
          <w:rFonts w:ascii="Microsoft Sans Serif" w:hAnsi="Microsoft Sans Serif" w:cs="Microsoft Sans Serif"/>
          <w:sz w:val="20"/>
          <w:szCs w:val="20"/>
        </w:rPr>
      </w:pPr>
    </w:p>
    <w:p w14:paraId="53271185">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5.3. Neklinički podaci o sigurnosti primjene</w:t>
      </w:r>
    </w:p>
    <w:p w14:paraId="1CD7EAD1">
      <w:pPr>
        <w:rPr>
          <w:rFonts w:ascii="Microsoft Sans Serif" w:hAnsi="Microsoft Sans Serif" w:cs="Microsoft Sans Serif"/>
          <w:sz w:val="20"/>
          <w:szCs w:val="20"/>
        </w:rPr>
      </w:pPr>
    </w:p>
    <w:p w14:paraId="2A457C5F">
      <w:pPr>
        <w:rPr>
          <w:rFonts w:ascii="Microsoft Sans Serif" w:hAnsi="Microsoft Sans Serif" w:cs="Microsoft Sans Serif"/>
          <w:sz w:val="20"/>
          <w:szCs w:val="20"/>
          <w:lang w:val="sr-Latn-RS"/>
        </w:rPr>
      </w:pPr>
      <w:r>
        <w:rPr>
          <w:rFonts w:ascii="Microsoft Sans Serif" w:hAnsi="Microsoft Sans Serif" w:cs="Microsoft Sans Serif"/>
          <w:sz w:val="20"/>
          <w:szCs w:val="20"/>
        </w:rPr>
        <w:t>Kod studija toksičnosti sa ponovlјenim dozama lijeka na pacovima i majmunima u trajanju do 9 mjeseci,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primarni cilјni organ za dejstvo lijeka identifikovani su gastrointestinalni trakt (povraćanje </w:t>
      </w:r>
      <w:r>
        <w:rPr>
          <w:rFonts w:ascii="Microsoft Sans Serif" w:hAnsi="Microsoft Sans Serif" w:cs="Microsoft Sans Serif"/>
          <w:sz w:val="20"/>
          <w:szCs w:val="20"/>
          <w:lang w:val="sr-Cyrl-RS"/>
        </w:rPr>
        <w:t xml:space="preserve">krvi </w:t>
      </w:r>
      <w:r>
        <w:rPr>
          <w:rFonts w:ascii="Microsoft Sans Serif" w:hAnsi="Microsoft Sans Serif" w:cs="Microsoft Sans Serif"/>
          <w:sz w:val="20"/>
          <w:szCs w:val="20"/>
        </w:rPr>
        <w:t>i proliv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majmuna), nadbubrežne žlezde (kongestija korteksa i/ili hemoragija kod pacova i majmuna, sa nekrozom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poslijedičnom fibrozom samo kod pacova), hematolimfopoetski sistem (hipocelularnost koštane srži i limfoidna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deplecija timusa, slezine i limfnih čvorova), egzokrini pankreas (degranulacija acinusnih ćelija sa nekrozom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pojedinačnih ćelija), plјuvačne žljezde (acinusna hipertrofija), zglobovi (zadeblјanje ploče rasta), uterus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(atrofija) i jajnici (smanjen razvoj folikula). Sve promjene odigrale su se pri klinički relevantnim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koncentracijama sunitiniba u plazmi. Dodatni efekti, opisani u drugim studijama su produženje QTc 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 LVEF, atrofija tubula testisa, povećanje mezengijalnih ćelija u bubrezima, hemoragija u GIT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oralnoj mukozi, kao i hipertrofija ćelija prednjeg režnja hipofize. Za promjene uterusa (atrofija endometrijuma) i</w:t>
      </w:r>
      <w:r>
        <w:rPr>
          <w:rFonts w:ascii="Microsoft Sans Serif" w:hAnsi="Microsoft Sans Serif" w:cs="Microsoft Sans Serif"/>
          <w:sz w:val="20"/>
          <w:szCs w:val="20"/>
          <w:lang w:val="sr-Cyrl-RS"/>
        </w:rPr>
        <w:t xml:space="preserve"> epifizne ploče rasta </w:t>
      </w:r>
      <w:r>
        <w:rPr>
          <w:rFonts w:ascii="Microsoft Sans Serif" w:hAnsi="Microsoft Sans Serif" w:cs="Microsoft Sans Serif"/>
          <w:sz w:val="20"/>
          <w:szCs w:val="20"/>
        </w:rPr>
        <w:t>(zadeblјanje fize ili displazija hrskavice) smatra se da su u vezi, tj. da su posljedica farmakološkog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 lijeka. Najveći broj ovih promjena bio je reverzibilan tokom 2 do 6 nedelјa bez terapije.</w:t>
      </w:r>
    </w:p>
    <w:p w14:paraId="46C10966">
      <w:pPr>
        <w:rPr>
          <w:rFonts w:ascii="Microsoft Sans Serif" w:hAnsi="Microsoft Sans Serif" w:cs="Microsoft Sans Serif"/>
          <w:sz w:val="20"/>
          <w:szCs w:val="20"/>
        </w:rPr>
      </w:pPr>
    </w:p>
    <w:p w14:paraId="7692736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Genotoksičnost</w:t>
      </w:r>
    </w:p>
    <w:p w14:paraId="6B6339F2">
      <w:pPr>
        <w:rPr>
          <w:rFonts w:ascii="Microsoft Sans Serif" w:hAnsi="Microsoft Sans Serif" w:cs="Microsoft Sans Serif"/>
          <w:sz w:val="20"/>
          <w:szCs w:val="20"/>
        </w:rPr>
      </w:pPr>
      <w:r>
        <w:rPr>
          <w:rFonts w:ascii="Microsoft Sans Serif" w:hAnsi="Microsoft Sans Serif" w:cs="Microsoft Sans Serif"/>
          <w:sz w:val="20"/>
          <w:szCs w:val="20"/>
        </w:rPr>
        <w:t xml:space="preserve">Genotoksični potencijal sunitiniba ispitivan je u uslovima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 </w:t>
      </w:r>
      <w:r>
        <w:rPr>
          <w:rFonts w:ascii="Microsoft Sans Serif" w:hAnsi="Microsoft Sans Serif" w:cs="Microsoft Sans Serif"/>
          <w:i/>
          <w:sz w:val="20"/>
          <w:szCs w:val="20"/>
        </w:rPr>
        <w:t>in vivo</w:t>
      </w:r>
      <w:r>
        <w:rPr>
          <w:rFonts w:ascii="Microsoft Sans Serif" w:hAnsi="Microsoft Sans Serif" w:cs="Microsoft Sans Serif"/>
          <w:sz w:val="20"/>
          <w:szCs w:val="20"/>
        </w:rPr>
        <w:t>. Sunitinib nije bio mutagen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bakterijskim testovima sa metaboličkom aktivacijom uz pomoć jetre pacova. Takođe, sunitinib nije izazivao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strukturne hromozom</w:t>
      </w:r>
      <w:r>
        <w:rPr>
          <w:rFonts w:ascii="Microsoft Sans Serif" w:hAnsi="Microsoft Sans Serif" w:cs="Microsoft Sans Serif"/>
          <w:sz w:val="20"/>
          <w:szCs w:val="20"/>
          <w:lang w:val="sr-Cyrl-RS"/>
        </w:rPr>
        <w:t xml:space="preserve">ske </w:t>
      </w:r>
      <w:r>
        <w:rPr>
          <w:rFonts w:ascii="Microsoft Sans Serif" w:hAnsi="Microsoft Sans Serif" w:cs="Microsoft Sans Serif"/>
          <w:sz w:val="20"/>
          <w:szCs w:val="20"/>
        </w:rPr>
        <w:t xml:space="preserve">aberacije na humanim limfocitima periferne krvi u uslovima </w:t>
      </w:r>
      <w:r>
        <w:rPr>
          <w:rFonts w:ascii="Microsoft Sans Serif" w:hAnsi="Microsoft Sans Serif" w:cs="Microsoft Sans Serif"/>
          <w:i/>
          <w:sz w:val="20"/>
          <w:szCs w:val="20"/>
        </w:rPr>
        <w:t>in vitro</w:t>
      </w:r>
      <w:r>
        <w:rPr>
          <w:rFonts w:ascii="Microsoft Sans Serif" w:hAnsi="Microsoft Sans Serif" w:cs="Microsoft Sans Serif"/>
          <w:sz w:val="20"/>
          <w:szCs w:val="20"/>
        </w:rPr>
        <w:t>. Poliploidija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(numeričke hromozom</w:t>
      </w:r>
      <w:r>
        <w:rPr>
          <w:rFonts w:ascii="Microsoft Sans Serif" w:hAnsi="Microsoft Sans Serif" w:cs="Microsoft Sans Serif"/>
          <w:sz w:val="20"/>
          <w:szCs w:val="20"/>
          <w:lang w:val="sr-Cyrl-RS"/>
        </w:rPr>
        <w:t xml:space="preserve">ske </w:t>
      </w:r>
      <w:r>
        <w:rPr>
          <w:rFonts w:ascii="Microsoft Sans Serif" w:hAnsi="Microsoft Sans Serif" w:cs="Microsoft Sans Serif"/>
          <w:sz w:val="20"/>
          <w:szCs w:val="20"/>
        </w:rPr>
        <w:t>aberacije) opisana je na humanim limfocitima dobijenim iz periferne krvi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uslovima </w:t>
      </w:r>
      <w:r>
        <w:rPr>
          <w:rFonts w:ascii="Microsoft Sans Serif" w:hAnsi="Microsoft Sans Serif" w:cs="Microsoft Sans Serif"/>
          <w:i/>
          <w:sz w:val="20"/>
          <w:szCs w:val="20"/>
        </w:rPr>
        <w:t>in vitro</w:t>
      </w:r>
      <w:r>
        <w:rPr>
          <w:rFonts w:ascii="Microsoft Sans Serif" w:hAnsi="Microsoft Sans Serif" w:cs="Microsoft Sans Serif"/>
          <w:sz w:val="20"/>
          <w:szCs w:val="20"/>
        </w:rPr>
        <w:t>, kako u prisustvu, tako i u odsustvu metaboličke aktivacije. Sunitinib nije imao klastogeno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dejstvo na koštanoj srži pacova u uslovima </w:t>
      </w:r>
      <w:r>
        <w:rPr>
          <w:rFonts w:ascii="Microsoft Sans Serif" w:hAnsi="Microsoft Sans Serif" w:cs="Microsoft Sans Serif"/>
          <w:i/>
          <w:sz w:val="20"/>
          <w:szCs w:val="20"/>
        </w:rPr>
        <w:t>in vivo</w:t>
      </w:r>
      <w:r>
        <w:rPr>
          <w:rFonts w:ascii="Microsoft Sans Serif" w:hAnsi="Microsoft Sans Serif" w:cs="Microsoft Sans Serif"/>
          <w:sz w:val="20"/>
          <w:szCs w:val="20"/>
        </w:rPr>
        <w:t>. Nije ispitana genotoksičnost glavnog aktivnog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metabolita.</w:t>
      </w:r>
    </w:p>
    <w:p w14:paraId="58B2E3D6">
      <w:pPr>
        <w:rPr>
          <w:rFonts w:ascii="Microsoft Sans Serif" w:hAnsi="Microsoft Sans Serif" w:cs="Microsoft Sans Serif"/>
          <w:sz w:val="20"/>
          <w:szCs w:val="20"/>
        </w:rPr>
      </w:pPr>
    </w:p>
    <w:p w14:paraId="61DB6A5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Kancerogenost</w:t>
      </w:r>
    </w:p>
    <w:p w14:paraId="65A2F97D">
      <w:pPr>
        <w:rPr>
          <w:rFonts w:ascii="Microsoft Sans Serif" w:hAnsi="Microsoft Sans Serif" w:cs="Microsoft Sans Serif"/>
          <w:sz w:val="20"/>
          <w:szCs w:val="20"/>
        </w:rPr>
      </w:pPr>
      <w:r>
        <w:rPr>
          <w:rFonts w:ascii="Microsoft Sans Serif" w:hAnsi="Microsoft Sans Serif" w:cs="Microsoft Sans Serif"/>
          <w:sz w:val="20"/>
          <w:szCs w:val="20"/>
        </w:rPr>
        <w:t>U jednomjesečnoj studiji određivanja doze (0, 10, 25, 75 ili 200 mg/kg/dnevno) kontinuiranom dnevnom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doziranju putem gastrične sonde kod rasH2 transgenih miševa zabilježeni su karcinom i hiperplazija Brunerovih žlijezda duodenuma pri primjeni najviše doze (200 mg/kg/dnevno).</w:t>
      </w:r>
    </w:p>
    <w:p w14:paraId="2159CF91">
      <w:pPr>
        <w:rPr>
          <w:rFonts w:ascii="Microsoft Sans Serif" w:hAnsi="Microsoft Sans Serif" w:cs="Microsoft Sans Serif"/>
          <w:sz w:val="20"/>
          <w:szCs w:val="20"/>
          <w:lang w:val="sr-Cyrl-RS"/>
        </w:rPr>
      </w:pPr>
    </w:p>
    <w:p w14:paraId="384A2599">
      <w:pPr>
        <w:rPr>
          <w:rFonts w:ascii="Microsoft Sans Serif" w:hAnsi="Microsoft Sans Serif" w:cs="Microsoft Sans Serif"/>
          <w:sz w:val="20"/>
          <w:szCs w:val="20"/>
        </w:rPr>
      </w:pPr>
      <w:r>
        <w:rPr>
          <w:rFonts w:ascii="Microsoft Sans Serif" w:hAnsi="Microsoft Sans Serif" w:cs="Microsoft Sans Serif"/>
          <w:sz w:val="20"/>
          <w:szCs w:val="20"/>
        </w:rPr>
        <w:t>Šestomjesečna studija kancerogenosti (0, 8, 25, 75 [smanjeno na 50] mg/kg/dnevno) sprovedena je</w:t>
      </w:r>
    </w:p>
    <w:p w14:paraId="0F913BB9">
      <w:pPr>
        <w:rPr>
          <w:rFonts w:ascii="Microsoft Sans Serif" w:hAnsi="Microsoft Sans Serif" w:cs="Microsoft Sans Serif"/>
          <w:sz w:val="20"/>
          <w:szCs w:val="20"/>
        </w:rPr>
      </w:pPr>
      <w:r>
        <w:rPr>
          <w:rFonts w:ascii="Microsoft Sans Serif" w:hAnsi="Microsoft Sans Serif" w:cs="Microsoft Sans Serif"/>
          <w:sz w:val="20"/>
          <w:szCs w:val="20"/>
        </w:rPr>
        <w:t>svakodnevnom primjenom putem gastrične sonde kod rasH2 transgenih miševa. Gastroduodenalni karcinomi, povećana incidenca pratećeg hemangiosarkoma i/ili hiperplazija gastrične mukoze zabilježeni su pri dozama od ≥ 25 mg/kg/dnevno nakon jednomjesečnog ili šestomjesečnog trajanja terapije (≥ 7,3 puta PIK kod pacijenata koji su primali preporučenu dnevnu dozu).</w:t>
      </w:r>
    </w:p>
    <w:p w14:paraId="3A5B6852">
      <w:pPr>
        <w:rPr>
          <w:rFonts w:ascii="Microsoft Sans Serif" w:hAnsi="Microsoft Sans Serif" w:cs="Microsoft Sans Serif"/>
          <w:sz w:val="20"/>
          <w:szCs w:val="20"/>
        </w:rPr>
      </w:pPr>
    </w:p>
    <w:p w14:paraId="51ACD337">
      <w:pPr>
        <w:rPr>
          <w:rFonts w:ascii="Microsoft Sans Serif" w:hAnsi="Microsoft Sans Serif" w:cs="Microsoft Sans Serif"/>
          <w:sz w:val="20"/>
          <w:szCs w:val="20"/>
        </w:rPr>
      </w:pPr>
      <w:r>
        <w:rPr>
          <w:rFonts w:ascii="Microsoft Sans Serif" w:hAnsi="Microsoft Sans Serif" w:cs="Microsoft Sans Serif"/>
          <w:sz w:val="20"/>
          <w:szCs w:val="20"/>
        </w:rPr>
        <w:t>U dvogodišnjoj studiji kancerogenosti sprovedenoj na pacovima (0; 0,33; 1 ili 3 mg/kg/dnevno), primjena sunitiniba u ciklusima od 28 dana nakon čega je slijedio sedmodnevni period bez primjene lijeka dovela je do povećanja incidence feohromocitoma i hiperplazije srži nadbubrega kod mužjaka pacova koji su primali 3 mg/kg/dan nakon &gt; 1 godine primjene (≥7,8 puta PIK kod pacijenata koji su primali preporučenu dnevnu dozu). Karcinom Brunerovih žlijezda duodenuma javlјao se pri dozama ≥1 mg/kg/dan kod ženki i dozama 3 mg/kg/dnevno kod mužjaka, dok je hiperplazija mukoznih ćelija bila uočlјiva u žlijezdama želuca pri dozama od 3 mg/kg/dnevno kod mužjaka. Ove promjene javlјale su se pri vrijednosti PIK koji je bio ≥ 0,9; 7,8 i 7,8 puta veći od onog kod pacijenata koji su primali preporučenu dnevnu dozu, redom. Nije jasna relevantnost nalaza o neoplastičnim promjenama kod rasH2 transgenih miševa i pacova u studijama kancerogenosti za humanu populaciju.</w:t>
      </w:r>
    </w:p>
    <w:p w14:paraId="6E2FC8DB">
      <w:pPr>
        <w:rPr>
          <w:rFonts w:ascii="Microsoft Sans Serif" w:hAnsi="Microsoft Sans Serif" w:cs="Microsoft Sans Serif"/>
          <w:sz w:val="20"/>
          <w:szCs w:val="20"/>
        </w:rPr>
      </w:pPr>
    </w:p>
    <w:p w14:paraId="3A397EA2">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Reproduktivna toksičnost i toksičnost na proces razvoja</w:t>
      </w:r>
    </w:p>
    <w:p w14:paraId="4ABBD71B">
      <w:pPr>
        <w:rPr>
          <w:rFonts w:ascii="Microsoft Sans Serif" w:hAnsi="Microsoft Sans Serif" w:cs="Microsoft Sans Serif"/>
          <w:sz w:val="20"/>
          <w:szCs w:val="20"/>
        </w:rPr>
      </w:pPr>
      <w:r>
        <w:rPr>
          <w:rFonts w:ascii="Microsoft Sans Serif" w:hAnsi="Microsoft Sans Serif" w:cs="Microsoft Sans Serif"/>
          <w:sz w:val="20"/>
          <w:szCs w:val="20"/>
        </w:rPr>
        <w:t>Nisu opisani efekti na fertilitet mužjaka i ženki u studijama reproduktivne toksičnosti. Ipak, u studijama toksičnosti sa ponovlјenim dozama izvedenim na pacovima i majmunima, bili su zapaženi efekti na fertilitet ženki u obliku folikularne atrezije, degeneracije corpora lutea, promjena endometrijuma i smanjenja težine uterusa i jajnika pri nivoima klinički relevantne ekspozicije. Efekti na fertilitet mužjaka kod pacova opisani su kao tubularna atrofija testisa, redukcija spermatozoida u epididimisima, kao i koloidna deplecija u prostati i semenim vezikulama. Ovi efekti su opisani pri plazmatskoj ekspoziciji lijeka koja je bila 25 puta veća od sistemske izloženosti kod lјudi.</w:t>
      </w:r>
    </w:p>
    <w:p w14:paraId="726090C2">
      <w:pPr>
        <w:rPr>
          <w:rFonts w:ascii="Microsoft Sans Serif" w:hAnsi="Microsoft Sans Serif" w:cs="Microsoft Sans Serif"/>
          <w:sz w:val="20"/>
          <w:szCs w:val="20"/>
        </w:rPr>
      </w:pPr>
    </w:p>
    <w:p w14:paraId="233800E0">
      <w:pPr>
        <w:rPr>
          <w:rFonts w:ascii="Microsoft Sans Serif" w:hAnsi="Microsoft Sans Serif" w:cs="Microsoft Sans Serif"/>
          <w:sz w:val="20"/>
          <w:szCs w:val="20"/>
        </w:rPr>
      </w:pPr>
      <w:r>
        <w:rPr>
          <w:rFonts w:ascii="Microsoft Sans Serif" w:hAnsi="Microsoft Sans Serif" w:cs="Microsoft Sans Serif"/>
          <w:sz w:val="20"/>
          <w:szCs w:val="20"/>
        </w:rPr>
        <w:t>Kod pacova, embriofetalni mortalitet bio je manifestovan kao značajno smanjenje broja živih fetusa, povećanje broja resorpcija, povećanje broja postimplantacionih gubitaka, kao i ukupni broj gubitaka potomaka kod 8 od 28 skotnih ženki pri ekspoziciji koja je bila 5,5 puta veća od sistemske izloženosti kod lјudi. Kod kunića, smanjenje težine gravidnog uterusa i broja živih fetusa bilo je posljedica povećanja broja resorpcija, povećanja postimplantacionog gubitka i ukupnog broja izgublјenih potomaka kod 4 od 6 skotnih ženki pri plazmatskoj ekspoziciji koja je bila 3 puta veća od sistemske izloženosti kod lјudi. Primjena sunitiniba u dozama ≥ 5 mg/kg/dnevno kod pacova tokom organogeneze izaziva defekte u razvoju koji se manifestuju kao povećanje incidence malformacija fetalnog skeleta, pred</w:t>
      </w:r>
      <w:r>
        <w:rPr>
          <w:rFonts w:ascii="Microsoft Sans Serif" w:hAnsi="Microsoft Sans Serif" w:cs="Microsoft Sans Serif"/>
          <w:sz w:val="20"/>
          <w:szCs w:val="20"/>
          <w:lang w:val="mk-MK"/>
        </w:rPr>
        <w:t>o</w:t>
      </w:r>
      <w:r>
        <w:rPr>
          <w:rFonts w:ascii="Microsoft Sans Serif" w:hAnsi="Microsoft Sans Serif" w:cs="Microsoft Sans Serif"/>
          <w:sz w:val="20"/>
          <w:szCs w:val="20"/>
        </w:rPr>
        <w:t>minantno kao usporena osifikacija torakalnih/lumbalnih pršlјenova i odigrava se pri plazmatskoj ekspoziciji koja je bila 5,5 puta veća od sistemske izloženosti kod lјudi. Kod kunića, defekti u razvoju manifestovali su se kao povećana incidenca rascepa usne pri ekspoziciji</w:t>
      </w:r>
      <w:r>
        <w:rPr>
          <w:rFonts w:ascii="Microsoft Sans Serif" w:hAnsi="Microsoft Sans Serif" w:cs="Microsoft Sans Serif"/>
          <w:sz w:val="20"/>
          <w:szCs w:val="20"/>
          <w:lang w:val="sr-Cyrl-RS"/>
        </w:rPr>
        <w:t xml:space="preserve"> kocentracijama u plazmi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približno jednakim kliničkim, i rasc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ep usne i nepca pri ekspoziciji koncentracija</w:t>
      </w:r>
      <w:r>
        <w:rPr>
          <w:rFonts w:ascii="Microsoft Sans Serif" w:hAnsi="Microsoft Sans Serif" w:cs="Microsoft Sans Serif"/>
          <w:sz w:val="20"/>
          <w:szCs w:val="20"/>
          <w:lang w:val="sr-Latn-RS"/>
        </w:rPr>
        <w:t>ma</w:t>
      </w:r>
      <w:r>
        <w:rPr>
          <w:rFonts w:ascii="Microsoft Sans Serif" w:hAnsi="Microsoft Sans Serif" w:cs="Microsoft Sans Serif"/>
          <w:sz w:val="20"/>
          <w:szCs w:val="20"/>
          <w:lang w:val="sr-Cyrl-RS"/>
        </w:rPr>
        <w:t xml:space="preserve"> u plazmi </w:t>
      </w:r>
      <w:r>
        <w:rPr>
          <w:rFonts w:ascii="Microsoft Sans Serif" w:hAnsi="Microsoft Sans Serif" w:cs="Microsoft Sans Serif"/>
          <w:sz w:val="20"/>
          <w:szCs w:val="20"/>
        </w:rPr>
        <w:t>2,7 puta već</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od sistemske izloženosti kod lјudi.</w:t>
      </w:r>
    </w:p>
    <w:p w14:paraId="36865197">
      <w:pPr>
        <w:rPr>
          <w:rFonts w:ascii="Microsoft Sans Serif" w:hAnsi="Microsoft Sans Serif" w:cs="Microsoft Sans Serif"/>
          <w:sz w:val="20"/>
          <w:szCs w:val="20"/>
        </w:rPr>
      </w:pPr>
    </w:p>
    <w:p w14:paraId="59F4DAE1">
      <w:pPr>
        <w:rPr>
          <w:rFonts w:ascii="Microsoft Sans Serif" w:hAnsi="Microsoft Sans Serif" w:cs="Microsoft Sans Serif"/>
          <w:sz w:val="20"/>
          <w:szCs w:val="20"/>
        </w:rPr>
      </w:pPr>
      <w:r>
        <w:rPr>
          <w:rFonts w:ascii="Microsoft Sans Serif" w:hAnsi="Microsoft Sans Serif" w:cs="Microsoft Sans Serif"/>
          <w:sz w:val="20"/>
          <w:szCs w:val="20"/>
        </w:rPr>
        <w:t>Primjena sunitiniba (0,3; 1,0; 3,0 mg/kg/dnevno) ispitivana je u studijama prije i post-natalnog razvoja kod skotnih ženki pacova. Povećanje tjelesne mase majke bilo je smanjeno tokom perioda gestacije i laktacije pri dozama ≥1 mg/kg/dnevno ali nije uočena reproduktivna toksičnost po majku pri dozama do 3 mg/kg/ dnevno (očekivana izloženost ≥ 2,3 puta PIK kod pacijenata koji su primali preporučenu dnevnu dozu). Smanjena tjelesna masa novorođenčadi primjećena je u periodu prije i poslije prestanka dojenja pri dozama od 3 mg/kg/dnevno. Nije uočena toksičnost na proces razvoja pri dozama od 1 mg/kg/ dnevno (približna izloženost ≥ 0,9 puta PIK kod pacijenata koji su primali preporučenu dnevnu dozu).</w:t>
      </w:r>
    </w:p>
    <w:p w14:paraId="34E9120A">
      <w:pPr>
        <w:pStyle w:val="27"/>
        <w:spacing w:before="0" w:after="0"/>
        <w:jc w:val="both"/>
        <w:rPr>
          <w:rFonts w:ascii="Microsoft Sans Serif" w:hAnsi="Microsoft Sans Serif" w:cs="Microsoft Sans Serif"/>
          <w:sz w:val="20"/>
          <w:szCs w:val="20"/>
        </w:rPr>
      </w:pPr>
    </w:p>
    <w:p w14:paraId="35F0FA06">
      <w:pPr>
        <w:pStyle w:val="27"/>
        <w:spacing w:before="0" w:after="0"/>
        <w:jc w:val="both"/>
        <w:rPr>
          <w:rFonts w:ascii="Microsoft Sans Serif" w:hAnsi="Microsoft Sans Serif" w:cs="Microsoft Sans Serif"/>
          <w:sz w:val="20"/>
          <w:szCs w:val="20"/>
        </w:rPr>
      </w:pPr>
    </w:p>
    <w:p w14:paraId="217DDF74">
      <w:pPr>
        <w:pStyle w:val="2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28EEC3CA">
      <w:pPr>
        <w:pStyle w:val="27"/>
        <w:spacing w:before="0" w:after="0"/>
        <w:jc w:val="both"/>
        <w:rPr>
          <w:rFonts w:ascii="Microsoft Sans Serif" w:hAnsi="Microsoft Sans Serif" w:cs="Microsoft Sans Serif"/>
          <w:sz w:val="20"/>
          <w:szCs w:val="20"/>
        </w:rPr>
      </w:pPr>
    </w:p>
    <w:p w14:paraId="74F2265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 xml:space="preserve">6.1. </w:t>
      </w:r>
      <w:r>
        <w:rPr>
          <w:rFonts w:ascii="Microsoft Sans Serif" w:hAnsi="Microsoft Sans Serif" w:cs="Microsoft Sans Serif"/>
          <w:b/>
          <w:bCs/>
          <w:sz w:val="20"/>
          <w:szCs w:val="20"/>
          <w:lang w:val="hr-HR"/>
        </w:rPr>
        <w:t>Spisak</w:t>
      </w:r>
      <w:r>
        <w:rPr>
          <w:rFonts w:ascii="Microsoft Sans Serif" w:hAnsi="Microsoft Sans Serif" w:cs="Microsoft Sans Serif"/>
          <w:b/>
          <w:bCs/>
          <w:sz w:val="20"/>
          <w:szCs w:val="20"/>
        </w:rPr>
        <w:t xml:space="preserve"> pomo</w:t>
      </w:r>
      <w:r>
        <w:rPr>
          <w:rFonts w:ascii="Microsoft Sans Serif" w:hAnsi="Microsoft Sans Serif" w:cs="Microsoft Sans Serif"/>
          <w:b/>
          <w:bCs/>
          <w:sz w:val="20"/>
          <w:szCs w:val="20"/>
          <w:lang w:val="sr-Latn-CS"/>
        </w:rPr>
        <w:t>ćnih supstanci</w:t>
      </w:r>
    </w:p>
    <w:p w14:paraId="08B53F68">
      <w:pPr>
        <w:rPr>
          <w:rFonts w:ascii="Microsoft Sans Serif" w:hAnsi="Microsoft Sans Serif" w:cs="Microsoft Sans Serif"/>
          <w:sz w:val="20"/>
          <w:szCs w:val="20"/>
        </w:rPr>
      </w:pPr>
    </w:p>
    <w:p w14:paraId="2C4E38F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12,5 mg kapsula, tvrda</w:t>
      </w:r>
    </w:p>
    <w:p w14:paraId="4FED5BAA">
      <w:pPr>
        <w:rPr>
          <w:rFonts w:ascii="Microsoft Sans Serif" w:hAnsi="Microsoft Sans Serif" w:cs="Microsoft Sans Serif"/>
          <w:i/>
          <w:sz w:val="20"/>
          <w:szCs w:val="20"/>
        </w:rPr>
      </w:pPr>
      <w:r>
        <w:rPr>
          <w:rFonts w:ascii="Microsoft Sans Serif" w:hAnsi="Microsoft Sans Serif" w:cs="Microsoft Sans Serif"/>
          <w:i/>
          <w:sz w:val="20"/>
          <w:szCs w:val="20"/>
          <w:lang w:val="mk-MK"/>
        </w:rPr>
        <w:t>P</w:t>
      </w:r>
      <w:r>
        <w:rPr>
          <w:rFonts w:ascii="Microsoft Sans Serif" w:hAnsi="Microsoft Sans Serif" w:cs="Microsoft Sans Serif"/>
          <w:i/>
          <w:sz w:val="20"/>
          <w:szCs w:val="20"/>
        </w:rPr>
        <w:t>omoćn</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supstanc</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u kapsuli:</w:t>
      </w:r>
    </w:p>
    <w:p w14:paraId="5FE2581B">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rPr>
        <w:t>;</w:t>
      </w:r>
    </w:p>
    <w:p w14:paraId="095AEB5D">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w:t>
      </w:r>
      <w:r>
        <w:rPr>
          <w:rFonts w:ascii="Microsoft Sans Serif" w:hAnsi="Microsoft Sans Serif" w:cs="Microsoft Sans Serif"/>
          <w:sz w:val="20"/>
          <w:szCs w:val="20"/>
        </w:rPr>
        <w:t>)</w:t>
      </w:r>
      <w:r>
        <w:rPr>
          <w:rFonts w:ascii="Microsoft Sans Serif" w:hAnsi="Microsoft Sans Serif" w:cs="Microsoft Sans Serif"/>
          <w:sz w:val="20"/>
          <w:szCs w:val="20"/>
          <w:lang w:val="mk-MK"/>
        </w:rPr>
        <w:t>;</w:t>
      </w:r>
    </w:p>
    <w:p w14:paraId="00040350">
      <w:pPr>
        <w:rPr>
          <w:rFonts w:ascii="Microsoft Sans Serif" w:hAnsi="Microsoft Sans Serif" w:cs="Microsoft Sans Serif"/>
          <w:sz w:val="20"/>
          <w:szCs w:val="20"/>
        </w:rPr>
      </w:pPr>
      <w:r>
        <w:rPr>
          <w:rFonts w:ascii="Microsoft Sans Serif" w:hAnsi="Microsoft Sans Serif" w:cs="Microsoft Sans Serif"/>
          <w:sz w:val="20"/>
          <w:szCs w:val="20"/>
        </w:rPr>
        <w:t>kroskarmeloza</w:t>
      </w:r>
      <w:r>
        <w:rPr>
          <w:rFonts w:ascii="Microsoft Sans Serif" w:hAnsi="Microsoft Sans Serif" w:cs="Microsoft Sans Serif"/>
          <w:sz w:val="20"/>
          <w:szCs w:val="20"/>
          <w:lang w:val="mk-MK"/>
        </w:rPr>
        <w:t>-</w:t>
      </w:r>
      <w:r>
        <w:rPr>
          <w:rFonts w:ascii="Microsoft Sans Serif" w:hAnsi="Microsoft Sans Serif" w:cs="Microsoft Sans Serif"/>
          <w:sz w:val="20"/>
          <w:szCs w:val="20"/>
        </w:rPr>
        <w:t>natrijum;</w:t>
      </w:r>
    </w:p>
    <w:p w14:paraId="34FFD434">
      <w:pPr>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276B0F93">
      <w:pPr>
        <w:rPr>
          <w:rFonts w:ascii="Microsoft Sans Serif" w:hAnsi="Microsoft Sans Serif" w:cs="Microsoft Sans Serif"/>
          <w:i/>
          <w:sz w:val="20"/>
          <w:szCs w:val="20"/>
        </w:rPr>
      </w:pPr>
      <w:r>
        <w:rPr>
          <w:rFonts w:ascii="Microsoft Sans Serif" w:hAnsi="Microsoft Sans Serif" w:cs="Microsoft Sans Serif"/>
          <w:i/>
          <w:sz w:val="20"/>
          <w:szCs w:val="20"/>
        </w:rPr>
        <w:t>Sastav kapsule:</w:t>
      </w:r>
    </w:p>
    <w:p w14:paraId="51413BBD">
      <w:pPr>
        <w:rPr>
          <w:rFonts w:ascii="Microsoft Sans Serif" w:hAnsi="Microsoft Sans Serif" w:cs="Microsoft Sans Serif"/>
          <w:sz w:val="20"/>
          <w:szCs w:val="20"/>
        </w:rPr>
      </w:pPr>
      <w:r>
        <w:rPr>
          <w:rFonts w:ascii="Microsoft Sans Serif" w:hAnsi="Microsoft Sans Serif" w:cs="Microsoft Sans Serif"/>
          <w:sz w:val="20"/>
          <w:szCs w:val="20"/>
        </w:rPr>
        <w:t>želatin;</w:t>
      </w:r>
    </w:p>
    <w:p w14:paraId="4E9DAA7C">
      <w:pPr>
        <w:rPr>
          <w:rFonts w:ascii="Microsoft Sans Serif" w:hAnsi="Microsoft Sans Serif" w:cs="Microsoft Sans Serif"/>
          <w:sz w:val="20"/>
          <w:szCs w:val="20"/>
        </w:rPr>
      </w:pPr>
      <w:r>
        <w:rPr>
          <w:rFonts w:ascii="Microsoft Sans Serif" w:hAnsi="Microsoft Sans Serif" w:cs="Microsoft Sans Serif"/>
          <w:sz w:val="20"/>
          <w:szCs w:val="20"/>
        </w:rPr>
        <w:t>titan-dioksid;</w:t>
      </w:r>
    </w:p>
    <w:p w14:paraId="11A2354F">
      <w:pPr>
        <w:rPr>
          <w:rFonts w:ascii="Microsoft Sans Serif" w:hAnsi="Microsoft Sans Serif" w:cs="Microsoft Sans Serif"/>
          <w:sz w:val="20"/>
          <w:szCs w:val="20"/>
        </w:rPr>
      </w:pPr>
      <w:r>
        <w:rPr>
          <w:rFonts w:ascii="Microsoft Sans Serif" w:hAnsi="Microsoft Sans Serif" w:cs="Microsoft Sans Serif"/>
          <w:sz w:val="20"/>
          <w:szCs w:val="20"/>
        </w:rPr>
        <w:t>gvožđe(III)-oksid, crveni (E172)</w:t>
      </w:r>
      <w:r>
        <w:rPr>
          <w:rFonts w:ascii="Microsoft Sans Serif" w:hAnsi="Microsoft Sans Serif" w:cs="Microsoft Sans Serif"/>
          <w:sz w:val="20"/>
          <w:szCs w:val="20"/>
          <w:lang w:val="mk-MK"/>
        </w:rPr>
        <w:t>;</w:t>
      </w:r>
    </w:p>
    <w:p w14:paraId="0C44BA70">
      <w:pPr>
        <w:rPr>
          <w:rFonts w:ascii="Microsoft Sans Serif" w:hAnsi="Microsoft Sans Serif" w:cs="Microsoft Sans Serif"/>
          <w:sz w:val="20"/>
          <w:szCs w:val="20"/>
        </w:rPr>
      </w:pPr>
      <w:r>
        <w:rPr>
          <w:rFonts w:ascii="Microsoft Sans Serif" w:hAnsi="Microsoft Sans Serif" w:cs="Microsoft Sans Serif"/>
          <w:sz w:val="20"/>
          <w:szCs w:val="20"/>
        </w:rPr>
        <w:t xml:space="preserve">gvožđe(III)-oksid, </w:t>
      </w:r>
      <w:r>
        <w:rPr>
          <w:rFonts w:ascii="Microsoft Sans Serif" w:hAnsi="Microsoft Sans Serif" w:cs="Microsoft Sans Serif"/>
          <w:sz w:val="20"/>
          <w:szCs w:val="20"/>
          <w:lang w:val="mk-MK"/>
        </w:rPr>
        <w:t>žuti</w:t>
      </w:r>
      <w:r>
        <w:rPr>
          <w:rFonts w:ascii="Microsoft Sans Serif" w:hAnsi="Microsoft Sans Serif" w:cs="Microsoft Sans Serif"/>
          <w:sz w:val="20"/>
          <w:szCs w:val="20"/>
        </w:rPr>
        <w:t xml:space="preserve"> (E172).</w:t>
      </w:r>
    </w:p>
    <w:p w14:paraId="16E3DE82">
      <w:pPr>
        <w:rPr>
          <w:rFonts w:ascii="Microsoft Sans Serif" w:hAnsi="Microsoft Sans Serif" w:cs="Microsoft Sans Serif"/>
          <w:sz w:val="20"/>
          <w:szCs w:val="20"/>
        </w:rPr>
      </w:pPr>
    </w:p>
    <w:p w14:paraId="3EDBEDA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25 mg kapsula, tvrda</w:t>
      </w:r>
    </w:p>
    <w:p w14:paraId="16390400">
      <w:pPr>
        <w:rPr>
          <w:rFonts w:ascii="Microsoft Sans Serif" w:hAnsi="Microsoft Sans Serif" w:cs="Microsoft Sans Serif"/>
          <w:i/>
          <w:sz w:val="20"/>
          <w:szCs w:val="20"/>
        </w:rPr>
      </w:pPr>
      <w:r>
        <w:rPr>
          <w:rFonts w:ascii="Microsoft Sans Serif" w:hAnsi="Microsoft Sans Serif" w:cs="Microsoft Sans Serif"/>
          <w:i/>
          <w:sz w:val="20"/>
          <w:szCs w:val="20"/>
          <w:lang w:val="mk-MK"/>
        </w:rPr>
        <w:t>P</w:t>
      </w:r>
      <w:r>
        <w:rPr>
          <w:rFonts w:ascii="Microsoft Sans Serif" w:hAnsi="Microsoft Sans Serif" w:cs="Microsoft Sans Serif"/>
          <w:i/>
          <w:sz w:val="20"/>
          <w:szCs w:val="20"/>
        </w:rPr>
        <w:t>omoćn</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supstanc</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u kapsuli:</w:t>
      </w:r>
    </w:p>
    <w:p w14:paraId="245B2FCB">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rPr>
        <w:t>;</w:t>
      </w:r>
    </w:p>
    <w:p w14:paraId="594556A3">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w:t>
      </w:r>
      <w:r>
        <w:rPr>
          <w:rFonts w:ascii="Microsoft Sans Serif" w:hAnsi="Microsoft Sans Serif" w:cs="Microsoft Sans Serif"/>
          <w:sz w:val="20"/>
          <w:szCs w:val="20"/>
        </w:rPr>
        <w:t>)</w:t>
      </w:r>
      <w:r>
        <w:rPr>
          <w:rFonts w:ascii="Microsoft Sans Serif" w:hAnsi="Microsoft Sans Serif" w:cs="Microsoft Sans Serif"/>
          <w:sz w:val="20"/>
          <w:szCs w:val="20"/>
          <w:lang w:val="mk-MK"/>
        </w:rPr>
        <w:t>;</w:t>
      </w:r>
    </w:p>
    <w:p w14:paraId="54198787">
      <w:pPr>
        <w:rPr>
          <w:rFonts w:ascii="Microsoft Sans Serif" w:hAnsi="Microsoft Sans Serif" w:cs="Microsoft Sans Serif"/>
          <w:sz w:val="20"/>
          <w:szCs w:val="20"/>
        </w:rPr>
      </w:pPr>
      <w:r>
        <w:rPr>
          <w:rFonts w:ascii="Microsoft Sans Serif" w:hAnsi="Microsoft Sans Serif" w:cs="Microsoft Sans Serif"/>
          <w:sz w:val="20"/>
          <w:szCs w:val="20"/>
        </w:rPr>
        <w:t>kroskarmeloza</w:t>
      </w:r>
      <w:r>
        <w:rPr>
          <w:rFonts w:ascii="Microsoft Sans Serif" w:hAnsi="Microsoft Sans Serif" w:cs="Microsoft Sans Serif"/>
          <w:sz w:val="20"/>
          <w:szCs w:val="20"/>
          <w:lang w:val="mk-MK"/>
        </w:rPr>
        <w:t>-</w:t>
      </w:r>
      <w:r>
        <w:rPr>
          <w:rFonts w:ascii="Microsoft Sans Serif" w:hAnsi="Microsoft Sans Serif" w:cs="Microsoft Sans Serif"/>
          <w:sz w:val="20"/>
          <w:szCs w:val="20"/>
        </w:rPr>
        <w:t>natrijum;</w:t>
      </w:r>
    </w:p>
    <w:p w14:paraId="7271177D">
      <w:pPr>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2A001BB7">
      <w:pPr>
        <w:rPr>
          <w:rFonts w:ascii="Microsoft Sans Serif" w:hAnsi="Microsoft Sans Serif" w:cs="Microsoft Sans Serif"/>
          <w:i/>
          <w:sz w:val="20"/>
          <w:szCs w:val="20"/>
        </w:rPr>
      </w:pPr>
      <w:r>
        <w:rPr>
          <w:rFonts w:ascii="Microsoft Sans Serif" w:hAnsi="Microsoft Sans Serif" w:cs="Microsoft Sans Serif"/>
          <w:i/>
          <w:sz w:val="20"/>
          <w:szCs w:val="20"/>
        </w:rPr>
        <w:t>Sastav kapsule:</w:t>
      </w:r>
    </w:p>
    <w:p w14:paraId="6134141E">
      <w:pPr>
        <w:rPr>
          <w:rFonts w:ascii="Microsoft Sans Serif" w:hAnsi="Microsoft Sans Serif" w:cs="Microsoft Sans Serif"/>
          <w:sz w:val="20"/>
          <w:szCs w:val="20"/>
        </w:rPr>
      </w:pPr>
      <w:r>
        <w:rPr>
          <w:rFonts w:ascii="Microsoft Sans Serif" w:hAnsi="Microsoft Sans Serif" w:cs="Microsoft Sans Serif"/>
          <w:sz w:val="20"/>
          <w:szCs w:val="20"/>
        </w:rPr>
        <w:t>želatin;</w:t>
      </w:r>
    </w:p>
    <w:p w14:paraId="25F4BE88">
      <w:pPr>
        <w:rPr>
          <w:rFonts w:ascii="Microsoft Sans Serif" w:hAnsi="Microsoft Sans Serif" w:cs="Microsoft Sans Serif"/>
          <w:sz w:val="20"/>
          <w:szCs w:val="20"/>
        </w:rPr>
      </w:pPr>
      <w:r>
        <w:rPr>
          <w:rFonts w:ascii="Microsoft Sans Serif" w:hAnsi="Microsoft Sans Serif" w:cs="Microsoft Sans Serif"/>
          <w:sz w:val="20"/>
          <w:szCs w:val="20"/>
        </w:rPr>
        <w:t>titan-dioksid;</w:t>
      </w:r>
    </w:p>
    <w:p w14:paraId="393E3602">
      <w:pPr>
        <w:rPr>
          <w:rFonts w:ascii="Microsoft Sans Serif" w:hAnsi="Microsoft Sans Serif" w:cs="Microsoft Sans Serif"/>
          <w:sz w:val="20"/>
          <w:szCs w:val="20"/>
        </w:rPr>
      </w:pPr>
      <w:r>
        <w:rPr>
          <w:rFonts w:ascii="Microsoft Sans Serif" w:hAnsi="Microsoft Sans Serif" w:cs="Microsoft Sans Serif"/>
          <w:sz w:val="20"/>
          <w:szCs w:val="20"/>
        </w:rPr>
        <w:t>gvožđe(III)-oksid, crveni (E172)</w:t>
      </w:r>
      <w:r>
        <w:rPr>
          <w:rFonts w:ascii="Microsoft Sans Serif" w:hAnsi="Microsoft Sans Serif" w:cs="Microsoft Sans Serif"/>
          <w:sz w:val="20"/>
          <w:szCs w:val="20"/>
          <w:lang w:val="mk-MK"/>
        </w:rPr>
        <w:t>;</w:t>
      </w:r>
    </w:p>
    <w:p w14:paraId="22AAB2F6">
      <w:pPr>
        <w:rPr>
          <w:rFonts w:ascii="Microsoft Sans Serif" w:hAnsi="Microsoft Sans Serif" w:cs="Microsoft Sans Serif"/>
          <w:sz w:val="20"/>
          <w:szCs w:val="20"/>
        </w:rPr>
      </w:pPr>
      <w:r>
        <w:rPr>
          <w:rFonts w:ascii="Microsoft Sans Serif" w:hAnsi="Microsoft Sans Serif" w:cs="Microsoft Sans Serif"/>
          <w:sz w:val="20"/>
          <w:szCs w:val="20"/>
        </w:rPr>
        <w:t xml:space="preserve">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p>
    <w:p w14:paraId="09A03EBE">
      <w:pPr>
        <w:rPr>
          <w:rFonts w:ascii="Microsoft Sans Serif" w:hAnsi="Microsoft Sans Serif" w:cs="Microsoft Sans Serif"/>
          <w:sz w:val="20"/>
          <w:szCs w:val="20"/>
        </w:rPr>
      </w:pPr>
      <w:r>
        <w:rPr>
          <w:rFonts w:ascii="Microsoft Sans Serif" w:hAnsi="Microsoft Sans Serif" w:cs="Microsoft Sans Serif"/>
          <w:sz w:val="20"/>
          <w:szCs w:val="20"/>
        </w:rPr>
        <w:t>gvožđe(III)-oksid, crni (E172).</w:t>
      </w:r>
    </w:p>
    <w:p w14:paraId="6393BB6A">
      <w:pPr>
        <w:rPr>
          <w:rFonts w:ascii="Microsoft Sans Serif" w:hAnsi="Microsoft Sans Serif" w:cs="Microsoft Sans Serif"/>
          <w:sz w:val="20"/>
          <w:szCs w:val="20"/>
        </w:rPr>
      </w:pPr>
    </w:p>
    <w:p w14:paraId="3589BAC8">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50 mg kapsula, tvrda</w:t>
      </w:r>
    </w:p>
    <w:p w14:paraId="7FCF6C5C">
      <w:pPr>
        <w:rPr>
          <w:rFonts w:ascii="Microsoft Sans Serif" w:hAnsi="Microsoft Sans Serif" w:cs="Microsoft Sans Serif"/>
          <w:i/>
          <w:sz w:val="20"/>
          <w:szCs w:val="20"/>
        </w:rPr>
      </w:pPr>
      <w:r>
        <w:rPr>
          <w:rFonts w:ascii="Microsoft Sans Serif" w:hAnsi="Microsoft Sans Serif" w:cs="Microsoft Sans Serif"/>
          <w:i/>
          <w:sz w:val="20"/>
          <w:szCs w:val="20"/>
          <w:lang w:val="mk-MK"/>
        </w:rPr>
        <w:t>P</w:t>
      </w:r>
      <w:r>
        <w:rPr>
          <w:rFonts w:ascii="Microsoft Sans Serif" w:hAnsi="Microsoft Sans Serif" w:cs="Microsoft Sans Serif"/>
          <w:i/>
          <w:sz w:val="20"/>
          <w:szCs w:val="20"/>
        </w:rPr>
        <w:t>omoćn</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supstanc</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u kapsuli:</w:t>
      </w:r>
    </w:p>
    <w:p w14:paraId="537D003A">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rPr>
        <w:t>;</w:t>
      </w:r>
    </w:p>
    <w:p w14:paraId="7D7EA62E">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w:t>
      </w:r>
      <w:r>
        <w:rPr>
          <w:rFonts w:ascii="Microsoft Sans Serif" w:hAnsi="Microsoft Sans Serif" w:cs="Microsoft Sans Serif"/>
          <w:sz w:val="20"/>
          <w:szCs w:val="20"/>
        </w:rPr>
        <w:t>)</w:t>
      </w:r>
      <w:r>
        <w:rPr>
          <w:rFonts w:ascii="Microsoft Sans Serif" w:hAnsi="Microsoft Sans Serif" w:cs="Microsoft Sans Serif"/>
          <w:sz w:val="20"/>
          <w:szCs w:val="20"/>
          <w:lang w:val="mk-MK"/>
        </w:rPr>
        <w:t>;</w:t>
      </w:r>
    </w:p>
    <w:p w14:paraId="7EBA2F3D">
      <w:pPr>
        <w:rPr>
          <w:rFonts w:ascii="Microsoft Sans Serif" w:hAnsi="Microsoft Sans Serif" w:cs="Microsoft Sans Serif"/>
          <w:sz w:val="20"/>
          <w:szCs w:val="20"/>
        </w:rPr>
      </w:pPr>
      <w:r>
        <w:rPr>
          <w:rFonts w:ascii="Microsoft Sans Serif" w:hAnsi="Microsoft Sans Serif" w:cs="Microsoft Sans Serif"/>
          <w:sz w:val="20"/>
          <w:szCs w:val="20"/>
        </w:rPr>
        <w:t>kroskarmeloza</w:t>
      </w:r>
      <w:r>
        <w:rPr>
          <w:rFonts w:ascii="Microsoft Sans Serif" w:hAnsi="Microsoft Sans Serif" w:cs="Microsoft Sans Serif"/>
          <w:sz w:val="20"/>
          <w:szCs w:val="20"/>
          <w:lang w:val="mk-MK"/>
        </w:rPr>
        <w:t>-</w:t>
      </w:r>
      <w:r>
        <w:rPr>
          <w:rFonts w:ascii="Microsoft Sans Serif" w:hAnsi="Microsoft Sans Serif" w:cs="Microsoft Sans Serif"/>
          <w:sz w:val="20"/>
          <w:szCs w:val="20"/>
        </w:rPr>
        <w:t>natrijum;</w:t>
      </w:r>
    </w:p>
    <w:p w14:paraId="47B3332B">
      <w:pPr>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716963E2">
      <w:pPr>
        <w:rPr>
          <w:rFonts w:ascii="Microsoft Sans Serif" w:hAnsi="Microsoft Sans Serif" w:cs="Microsoft Sans Serif"/>
          <w:i/>
          <w:sz w:val="20"/>
          <w:szCs w:val="20"/>
        </w:rPr>
      </w:pPr>
      <w:r>
        <w:rPr>
          <w:rFonts w:ascii="Microsoft Sans Serif" w:hAnsi="Microsoft Sans Serif" w:cs="Microsoft Sans Serif"/>
          <w:i/>
          <w:sz w:val="20"/>
          <w:szCs w:val="20"/>
        </w:rPr>
        <w:t>Sastav kapsule:</w:t>
      </w:r>
    </w:p>
    <w:p w14:paraId="7329D6F3">
      <w:pPr>
        <w:rPr>
          <w:rFonts w:ascii="Microsoft Sans Serif" w:hAnsi="Microsoft Sans Serif" w:cs="Microsoft Sans Serif"/>
          <w:sz w:val="20"/>
          <w:szCs w:val="20"/>
        </w:rPr>
      </w:pPr>
      <w:r>
        <w:rPr>
          <w:rFonts w:ascii="Microsoft Sans Serif" w:hAnsi="Microsoft Sans Serif" w:cs="Microsoft Sans Serif"/>
          <w:sz w:val="20"/>
          <w:szCs w:val="20"/>
        </w:rPr>
        <w:t>želatin;</w:t>
      </w:r>
    </w:p>
    <w:p w14:paraId="2728203D">
      <w:pPr>
        <w:rPr>
          <w:rFonts w:ascii="Microsoft Sans Serif" w:hAnsi="Microsoft Sans Serif" w:cs="Microsoft Sans Serif"/>
          <w:sz w:val="20"/>
          <w:szCs w:val="20"/>
        </w:rPr>
      </w:pPr>
      <w:r>
        <w:rPr>
          <w:rFonts w:ascii="Microsoft Sans Serif" w:hAnsi="Microsoft Sans Serif" w:cs="Microsoft Sans Serif"/>
          <w:sz w:val="20"/>
          <w:szCs w:val="20"/>
        </w:rPr>
        <w:t>titan-dioksid;</w:t>
      </w:r>
    </w:p>
    <w:p w14:paraId="496996A8">
      <w:pPr>
        <w:rPr>
          <w:rFonts w:ascii="Microsoft Sans Serif" w:hAnsi="Microsoft Sans Serif" w:cs="Microsoft Sans Serif"/>
          <w:sz w:val="20"/>
          <w:szCs w:val="20"/>
          <w:lang w:val="mk-MK"/>
        </w:rPr>
      </w:pPr>
      <w:r>
        <w:rPr>
          <w:rFonts w:ascii="Microsoft Sans Serif" w:hAnsi="Microsoft Sans Serif" w:cs="Microsoft Sans Serif"/>
          <w:sz w:val="20"/>
          <w:szCs w:val="20"/>
        </w:rPr>
        <w:t>gvožđe(III)-oksid, crveni (E172)</w:t>
      </w:r>
      <w:r>
        <w:rPr>
          <w:rFonts w:ascii="Microsoft Sans Serif" w:hAnsi="Microsoft Sans Serif" w:cs="Microsoft Sans Serif"/>
          <w:sz w:val="20"/>
          <w:szCs w:val="20"/>
          <w:lang w:val="mk-MK"/>
        </w:rPr>
        <w:t>;</w:t>
      </w:r>
    </w:p>
    <w:p w14:paraId="72C58458">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lang w:val="mk-MK"/>
        </w:rPr>
        <w:t xml:space="preserve"> (E172);</w:t>
      </w:r>
    </w:p>
    <w:p w14:paraId="1E731197">
      <w:pPr>
        <w:rPr>
          <w:rFonts w:ascii="Microsoft Sans Serif" w:hAnsi="Microsoft Sans Serif" w:cs="Microsoft Sans Serif"/>
          <w:sz w:val="20"/>
          <w:szCs w:val="20"/>
        </w:rPr>
      </w:pPr>
      <w:r>
        <w:rPr>
          <w:rFonts w:ascii="Microsoft Sans Serif" w:hAnsi="Microsoft Sans Serif" w:cs="Microsoft Sans Serif"/>
          <w:sz w:val="20"/>
          <w:szCs w:val="20"/>
        </w:rPr>
        <w:t>gvožđe(III)-oksid, crni (E172).</w:t>
      </w:r>
    </w:p>
    <w:p w14:paraId="3F769DCE">
      <w:pPr>
        <w:rPr>
          <w:rFonts w:ascii="Microsoft Sans Serif" w:hAnsi="Microsoft Sans Serif" w:cs="Microsoft Sans Serif"/>
          <w:sz w:val="20"/>
          <w:szCs w:val="20"/>
        </w:rPr>
      </w:pPr>
    </w:p>
    <w:p w14:paraId="4490BA68">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7F4C0810">
      <w:pPr>
        <w:rPr>
          <w:rFonts w:ascii="Microsoft Sans Serif" w:hAnsi="Microsoft Sans Serif" w:cs="Microsoft Sans Serif"/>
          <w:sz w:val="20"/>
          <w:szCs w:val="20"/>
        </w:rPr>
      </w:pPr>
    </w:p>
    <w:p w14:paraId="22DE375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1FCC850">
      <w:pPr>
        <w:rPr>
          <w:rFonts w:ascii="Microsoft Sans Serif" w:hAnsi="Microsoft Sans Serif" w:cs="Microsoft Sans Serif"/>
          <w:sz w:val="20"/>
          <w:szCs w:val="20"/>
          <w:lang w:val="sr-Cyrl-RS"/>
        </w:rPr>
      </w:pPr>
    </w:p>
    <w:p w14:paraId="199D6D25">
      <w:pPr>
        <w:rPr>
          <w:rFonts w:ascii="Microsoft Sans Serif" w:hAnsi="Microsoft Sans Serif" w:cs="Microsoft Sans Serif"/>
          <w:b/>
          <w:bCs/>
          <w:sz w:val="20"/>
          <w:szCs w:val="20"/>
        </w:rPr>
      </w:pPr>
      <w:r>
        <w:rPr>
          <w:rFonts w:ascii="Microsoft Sans Serif" w:hAnsi="Microsoft Sans Serif" w:cs="Microsoft Sans Serif"/>
          <w:b/>
          <w:bCs/>
          <w:sz w:val="20"/>
          <w:szCs w:val="20"/>
        </w:rPr>
        <w:t>6.3. Rok trajanja</w:t>
      </w:r>
    </w:p>
    <w:p w14:paraId="4770F43D">
      <w:pPr>
        <w:rPr>
          <w:rFonts w:ascii="Microsoft Sans Serif" w:hAnsi="Microsoft Sans Serif" w:cs="Microsoft Sans Serif"/>
          <w:sz w:val="20"/>
          <w:szCs w:val="20"/>
        </w:rPr>
      </w:pPr>
    </w:p>
    <w:p w14:paraId="5356B328">
      <w:pPr>
        <w:rPr>
          <w:rFonts w:ascii="Microsoft Sans Serif" w:hAnsi="Microsoft Sans Serif" w:cs="Microsoft Sans Serif"/>
          <w:sz w:val="20"/>
          <w:szCs w:val="20"/>
          <w:lang w:val="sr-Cyrl-RS"/>
        </w:rPr>
      </w:pPr>
      <w:r>
        <w:rPr>
          <w:rFonts w:ascii="Microsoft Sans Serif" w:hAnsi="Microsoft Sans Serif" w:cs="Microsoft Sans Serif"/>
          <w:sz w:val="20"/>
          <w:szCs w:val="20"/>
        </w:rPr>
        <w:t>Dvije (</w:t>
      </w:r>
      <w:r>
        <w:rPr>
          <w:rFonts w:ascii="Microsoft Sans Serif" w:hAnsi="Microsoft Sans Serif" w:cs="Microsoft Sans Serif"/>
          <w:sz w:val="20"/>
          <w:szCs w:val="20"/>
          <w:lang w:val="sr-Cyrl-RS"/>
        </w:rPr>
        <w:t>2</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godine.</w:t>
      </w:r>
    </w:p>
    <w:p w14:paraId="4023EE0E">
      <w:pPr>
        <w:rPr>
          <w:rFonts w:ascii="Microsoft Sans Serif" w:hAnsi="Microsoft Sans Serif" w:cs="Microsoft Sans Serif"/>
          <w:sz w:val="20"/>
          <w:szCs w:val="20"/>
        </w:rPr>
      </w:pPr>
    </w:p>
    <w:p w14:paraId="3D7077D6">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6.4. Posebne mjere opreza pri čuvanju</w:t>
      </w:r>
      <w:r>
        <w:rPr>
          <w:rFonts w:ascii="Microsoft Sans Serif" w:hAnsi="Microsoft Sans Serif" w:cs="Microsoft Sans Serif"/>
          <w:b/>
          <w:bCs/>
          <w:sz w:val="20"/>
          <w:szCs w:val="20"/>
          <w:lang w:val="sr-Latn-RS"/>
        </w:rPr>
        <w:t xml:space="preserve"> lijeka</w:t>
      </w:r>
    </w:p>
    <w:p w14:paraId="1EB22409">
      <w:pPr>
        <w:rPr>
          <w:rFonts w:ascii="Microsoft Sans Serif" w:hAnsi="Microsoft Sans Serif" w:cs="Microsoft Sans Serif"/>
          <w:b/>
          <w:bCs/>
          <w:sz w:val="20"/>
          <w:szCs w:val="20"/>
        </w:rPr>
      </w:pPr>
    </w:p>
    <w:p w14:paraId="4BB89BD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30°C. </w:t>
      </w:r>
    </w:p>
    <w:p w14:paraId="0301C895">
      <w:pPr>
        <w:rPr>
          <w:rFonts w:ascii="Microsoft Sans Serif" w:hAnsi="Microsoft Sans Serif" w:cs="Microsoft Sans Serif"/>
          <w:sz w:val="20"/>
          <w:szCs w:val="20"/>
          <w:lang w:val="sv-SE"/>
        </w:rPr>
      </w:pPr>
    </w:p>
    <w:p w14:paraId="7678BD9D">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bCs/>
          <w:sz w:val="20"/>
          <w:szCs w:val="20"/>
          <w:lang w:val="hr-HR"/>
        </w:rPr>
        <w:t>Vrsta i sadržaj unutrašnjeg pakovanja kontejnera</w:t>
      </w:r>
    </w:p>
    <w:p w14:paraId="110F26CD">
      <w:pPr>
        <w:rPr>
          <w:rFonts w:ascii="Microsoft Sans Serif" w:hAnsi="Microsoft Sans Serif" w:cs="Microsoft Sans Serif"/>
          <w:sz w:val="20"/>
          <w:szCs w:val="20"/>
          <w:lang w:val="sv-SE"/>
        </w:rPr>
      </w:pPr>
    </w:p>
    <w:p w14:paraId="5CABCFD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w:t>
      </w:r>
      <w:r>
        <w:rPr>
          <w:rFonts w:ascii="Microsoft Sans Serif" w:hAnsi="Microsoft Sans Serif" w:cs="Microsoft Sans Serif"/>
          <w:sz w:val="20"/>
          <w:szCs w:val="20"/>
          <w:lang w:val="sv-SE"/>
        </w:rPr>
        <w:t xml:space="preserve"> je oPA/Al/PE/Al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peel off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Svaki blister sadrži 7 kapsula, tvrdih. </w:t>
      </w:r>
    </w:p>
    <w:p w14:paraId="2CA261F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Spolјašnje pakovanje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kartonska kutija koja sadrži 28 kapsula, tvrdih (4 blistera po 7</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kapsula), </w:t>
      </w:r>
      <w:r>
        <w:rPr>
          <w:rFonts w:ascii="Microsoft Sans Serif" w:hAnsi="Microsoft Sans Serif" w:cs="Microsoft Sans Serif"/>
          <w:sz w:val="20"/>
          <w:szCs w:val="20"/>
        </w:rPr>
        <w:t>uz</w:t>
      </w:r>
      <w:r>
        <w:rPr>
          <w:rFonts w:ascii="Microsoft Sans Serif" w:hAnsi="Microsoft Sans Serif" w:cs="Microsoft Sans Serif"/>
          <w:sz w:val="20"/>
          <w:szCs w:val="20"/>
          <w:lang w:val="sr-Latn-RS"/>
        </w:rPr>
        <w:t xml:space="preserve">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99D6941">
      <w:pPr>
        <w:rPr>
          <w:rFonts w:ascii="Microsoft Sans Serif" w:hAnsi="Microsoft Sans Serif" w:cs="Microsoft Sans Serif"/>
          <w:sz w:val="20"/>
          <w:szCs w:val="20"/>
          <w:lang w:val="sr-Cyrl-RS"/>
        </w:rPr>
      </w:pPr>
    </w:p>
    <w:p w14:paraId="66DBC18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Cyrl-RS"/>
        </w:rPr>
        <w:t xml:space="preserve">6.6. </w:t>
      </w:r>
      <w:r>
        <w:rPr>
          <w:rFonts w:ascii="Microsoft Sans Serif" w:hAnsi="Microsoft Sans Serif" w:cs="Microsoft Sans Serif"/>
          <w:b/>
          <w:bCs/>
          <w:sz w:val="20"/>
          <w:szCs w:val="20"/>
          <w:lang w:val="ru-RU"/>
        </w:rPr>
        <w:t>Upustva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rukovanje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uklanjanje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neiskori</w:t>
      </w:r>
      <w:r>
        <w:rPr>
          <w:rFonts w:ascii="Microsoft Sans Serif" w:hAnsi="Microsoft Sans Serif" w:cs="Microsoft Sans Serif"/>
          <w:b/>
          <w:bCs/>
          <w:sz w:val="20"/>
          <w:szCs w:val="20"/>
          <w:lang w:val="sr-Cyrl-RS"/>
        </w:rPr>
        <w:t>š</w:t>
      </w:r>
      <w:r>
        <w:rPr>
          <w:rFonts w:ascii="Microsoft Sans Serif" w:hAnsi="Microsoft Sans Serif" w:cs="Microsoft Sans Serif"/>
          <w:b/>
          <w:bCs/>
          <w:sz w:val="20"/>
          <w:szCs w:val="20"/>
          <w:lang w:val="ru-RU"/>
        </w:rPr>
        <w:t>tenog</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ili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otpadnih</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poti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od</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lijeka</w:t>
      </w:r>
    </w:p>
    <w:p w14:paraId="179CF705">
      <w:pPr>
        <w:rPr>
          <w:rFonts w:ascii="Microsoft Sans Serif" w:hAnsi="Microsoft Sans Serif" w:cs="Microsoft Sans Serif"/>
          <w:sz w:val="20"/>
          <w:szCs w:val="20"/>
          <w:lang w:val="sr-Cyrl-RS"/>
        </w:rPr>
      </w:pPr>
    </w:p>
    <w:p w14:paraId="7BBD4884">
      <w:pPr>
        <w:rPr>
          <w:rFonts w:ascii="Microsoft Sans Serif" w:hAnsi="Microsoft Sans Serif" w:cs="Microsoft Sans Serif"/>
          <w:sz w:val="20"/>
          <w:szCs w:val="20"/>
          <w:lang w:val="sr-Cyrl-RS"/>
        </w:rPr>
      </w:pPr>
      <w:r>
        <w:rPr>
          <w:rFonts w:ascii="Microsoft Sans Serif" w:hAnsi="Microsoft Sans Serif" w:cs="Microsoft Sans Serif"/>
          <w:sz w:val="20"/>
          <w:szCs w:val="20"/>
        </w:rPr>
        <w:t>Svu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neiskori</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otpadnog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materijala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Cyrl-RS"/>
        </w:rPr>
        <w:t>.</w:t>
      </w:r>
    </w:p>
    <w:p w14:paraId="713E0DD3">
      <w:pPr>
        <w:rPr>
          <w:rFonts w:ascii="Microsoft Sans Serif" w:hAnsi="Microsoft Sans Serif" w:cs="Microsoft Sans Serif"/>
          <w:sz w:val="20"/>
          <w:szCs w:val="20"/>
          <w:lang w:val="sr-Cyrl-RS"/>
        </w:rPr>
      </w:pPr>
    </w:p>
    <w:p w14:paraId="2823758D">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6.7. Režim izdavanja </w:t>
      </w:r>
    </w:p>
    <w:p w14:paraId="7361717F">
      <w:pPr>
        <w:rPr>
          <w:rFonts w:ascii="Microsoft Sans Serif" w:hAnsi="Microsoft Sans Serif" w:cs="Microsoft Sans Serif"/>
          <w:sz w:val="20"/>
          <w:szCs w:val="20"/>
          <w:lang w:val="hr-HR"/>
        </w:rPr>
      </w:pPr>
    </w:p>
    <w:p w14:paraId="4EDD1E0F">
      <w:pPr>
        <w:pStyle w:val="27"/>
        <w:spacing w:before="0" w:after="0"/>
        <w:jc w:val="both"/>
        <w:rPr>
          <w:rFonts w:ascii="Microsoft Sans Serif" w:hAnsi="Microsoft Sans Serif" w:cs="Microsoft Sans Serif"/>
          <w:sz w:val="20"/>
          <w:szCs w:val="20"/>
          <w:lang w:val="sr-Cyrl-RS"/>
        </w:rPr>
      </w:pPr>
      <w:r>
        <w:rPr>
          <w:lang w:val="sr-Cyrl-RS"/>
        </w:rPr>
        <w:t xml:space="preserve"> </w:t>
      </w:r>
      <w:r>
        <w:rPr>
          <w:rFonts w:ascii="Microsoft Sans Serif" w:hAnsi="Microsoft Sans Serif" w:cs="Microsoft Sans Serif"/>
          <w:sz w:val="20"/>
          <w:szCs w:val="20"/>
          <w:lang w:val="hr-HR"/>
        </w:rPr>
        <w:t>ZU/Rp – Lijek se upotrebljava u zdravstvenoj ustanovi sekundarnog ili tercijarnog nivoa; izuzetno se izdaje uz recept za potrebe nastavka bolničkog liječenja.</w:t>
      </w:r>
    </w:p>
    <w:p w14:paraId="3AFB635C">
      <w:pPr>
        <w:rPr>
          <w:rFonts w:ascii="Microsoft Sans Serif" w:hAnsi="Microsoft Sans Serif" w:cs="Microsoft Sans Serif"/>
          <w:b/>
          <w:sz w:val="20"/>
          <w:szCs w:val="20"/>
          <w:lang w:val="sr-Cyrl-RS"/>
        </w:rPr>
      </w:pPr>
    </w:p>
    <w:p w14:paraId="6A8FDCEC">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7. 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w:t>
      </w:r>
    </w:p>
    <w:p w14:paraId="2C1B2779">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8C6095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061849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8291004">
      <w:pPr>
        <w:rPr>
          <w:rFonts w:ascii="Microsoft Sans Serif" w:hAnsi="Microsoft Sans Serif" w:cs="Microsoft Sans Serif"/>
          <w:b/>
          <w:sz w:val="20"/>
          <w:szCs w:val="20"/>
          <w:lang w:val="sr-Latn-BA"/>
        </w:rPr>
      </w:pPr>
    </w:p>
    <w:p w14:paraId="6A583DE5">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lang w:val="sv-SE"/>
        </w:rPr>
        <w:t>lijeka</w:t>
      </w:r>
    </w:p>
    <w:p w14:paraId="564B6F3A">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6F6F9A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6BD3957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F19D95D">
      <w:pPr>
        <w:rPr>
          <w:rFonts w:ascii="Microsoft Sans Serif" w:hAnsi="Microsoft Sans Serif" w:cs="Microsoft Sans Serif"/>
          <w:b/>
          <w:bCs/>
          <w:sz w:val="20"/>
          <w:szCs w:val="20"/>
          <w:lang w:val="hr-HR"/>
        </w:rPr>
      </w:pPr>
    </w:p>
    <w:p w14:paraId="0DB48441">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Nositelj dozvole za stavljanje gotovog lijeka u promet</w:t>
      </w:r>
    </w:p>
    <w:p w14:paraId="61425F5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4A4F9EF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6B930D5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20030608">
      <w:pPr>
        <w:rPr>
          <w:rFonts w:ascii="Microsoft Sans Serif" w:hAnsi="Microsoft Sans Serif" w:cs="Microsoft Sans Serif"/>
          <w:sz w:val="20"/>
          <w:szCs w:val="20"/>
          <w:lang w:val="hr-HR"/>
        </w:rPr>
      </w:pPr>
    </w:p>
    <w:p w14:paraId="2F0B2012">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8. DATUM I BROJ RJEŠENJA </w:t>
      </w:r>
      <w:r>
        <w:rPr>
          <w:rFonts w:ascii="Microsoft Sans Serif" w:hAnsi="Microsoft Sans Serif" w:cs="Microsoft Sans Serif"/>
          <w:b/>
          <w:sz w:val="20"/>
          <w:szCs w:val="20"/>
          <w:lang w:val="sr-Latn-BA"/>
        </w:rPr>
        <w:t>ZA STAVLJANJE GOTOVOG LIJEKA U PROMET</w:t>
      </w:r>
    </w:p>
    <w:p w14:paraId="26A0AC01">
      <w:pPr>
        <w:rPr>
          <w:rFonts w:ascii="Microsoft Sans Serif" w:hAnsi="Microsoft Sans Serif" w:cs="Microsoft Sans Serif"/>
          <w:sz w:val="20"/>
          <w:szCs w:val="20"/>
          <w:lang w:val="hr-HR"/>
        </w:rPr>
      </w:pPr>
    </w:p>
    <w:p w14:paraId="5719537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12,5 mg, kapsula, tvrda: 04-07.3-1-9989/21 od 08.12.2022.</w:t>
      </w:r>
    </w:p>
    <w:p w14:paraId="01A4097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25 mg, kapsula, tvrda: 04-07.3-1-9990/21 od 08.12.2022.</w:t>
      </w:r>
    </w:p>
    <w:p w14:paraId="6AC4A99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50 mg, kapsula, tvrda: 04-07.3-1-9991/21 od 08.12.2022</w:t>
      </w:r>
    </w:p>
    <w:p w14:paraId="17798D2B">
      <w:pPr>
        <w:pStyle w:val="27"/>
        <w:spacing w:before="0" w:after="0"/>
        <w:jc w:val="both"/>
        <w:rPr>
          <w:rFonts w:ascii="Microsoft Sans Serif" w:hAnsi="Microsoft Sans Serif" w:cs="Microsoft Sans Serif"/>
          <w:sz w:val="20"/>
          <w:szCs w:val="20"/>
          <w:lang w:val="sv-SE"/>
        </w:rPr>
      </w:pPr>
    </w:p>
    <w:p w14:paraId="06702274">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9. DATUM </w:t>
      </w:r>
      <w:r>
        <w:rPr>
          <w:rFonts w:ascii="Microsoft Sans Serif" w:hAnsi="Microsoft Sans Serif" w:cs="Microsoft Sans Serif"/>
          <w:b/>
          <w:sz w:val="20"/>
          <w:szCs w:val="20"/>
          <w:lang w:val="sr-Latn-BA"/>
        </w:rPr>
        <w:t xml:space="preserve">REVIZIJE </w:t>
      </w:r>
      <w:r>
        <w:rPr>
          <w:rFonts w:ascii="Microsoft Sans Serif" w:hAnsi="Microsoft Sans Serif" w:cs="Microsoft Sans Serif"/>
          <w:b/>
          <w:bCs/>
          <w:sz w:val="20"/>
          <w:szCs w:val="20"/>
          <w:lang w:val="hr-HR"/>
        </w:rPr>
        <w:t xml:space="preserve">REVIZIJE </w:t>
      </w:r>
      <w:r>
        <w:rPr>
          <w:rFonts w:ascii="Microsoft Sans Serif" w:hAnsi="Microsoft Sans Serif" w:cs="Microsoft Sans Serif"/>
          <w:b/>
          <w:sz w:val="20"/>
          <w:szCs w:val="20"/>
          <w:lang w:val="sr-Latn-BA"/>
        </w:rPr>
        <w:t>SAŽETKA KARAKTERISTIKA LIJEKA</w:t>
      </w:r>
    </w:p>
    <w:p w14:paraId="2B77051B">
      <w:pPr>
        <w:rPr>
          <w:rFonts w:ascii="Microsoft Sans Serif" w:hAnsi="Microsoft Sans Serif" w:cs="Microsoft Sans Serif"/>
          <w:b/>
          <w:bCs/>
          <w:sz w:val="20"/>
          <w:szCs w:val="20"/>
          <w:lang w:val="hr-HR"/>
        </w:rPr>
      </w:pPr>
    </w:p>
    <w:p w14:paraId="16E672D7">
      <w:pPr>
        <w:tabs>
          <w:tab w:val="left" w:pos="360"/>
        </w:tabs>
        <w:rPr>
          <w:rFonts w:ascii="Microsoft Sans Serif" w:hAnsi="Microsoft Sans Serif" w:cs="Microsoft Sans Serif"/>
          <w:sz w:val="20"/>
          <w:szCs w:val="20"/>
        </w:rPr>
      </w:pPr>
      <w:r>
        <w:rPr>
          <w:rFonts w:ascii="Microsoft Sans Serif" w:hAnsi="Microsoft Sans Serif" w:cs="Microsoft Sans Serif"/>
          <w:sz w:val="20"/>
          <w:szCs w:val="20"/>
        </w:rPr>
        <w:t>Novembar, 2023 g.</w:t>
      </w:r>
    </w:p>
    <w:sectPr>
      <w:footerReference r:id="rId5" w:type="default"/>
      <w:pgSz w:w="12240" w:h="15840"/>
      <w:pgMar w:top="2552"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5FA9">
    <w:pPr>
      <w:pStyle w:val="9"/>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3656965</wp:posOffset>
              </wp:positionH>
              <wp:positionV relativeFrom="page">
                <wp:posOffset>10100945</wp:posOffset>
              </wp:positionV>
              <wp:extent cx="18923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wps:spPr>
                    <wps:txbx>
                      <w:txbxContent>
                        <w:p w14:paraId="6B39F95F">
                          <w:pPr>
                            <w:spacing w:before="15"/>
                            <w:ind w:left="60"/>
                            <w:rPr>
                              <w:rFonts w:ascii="Arial"/>
                              <w:sz w:val="16"/>
                            </w:rPr>
                          </w:pPr>
                          <w:r>
                            <w:fldChar w:fldCharType="begin"/>
                          </w:r>
                          <w:r>
                            <w:rPr>
                              <w:rFonts w:ascii="Arial"/>
                              <w:sz w:val="16"/>
                            </w:rPr>
                            <w:instrText xml:space="preserve"> PAGE </w:instrText>
                          </w:r>
                          <w:r>
                            <w:fldChar w:fldCharType="separate"/>
                          </w:r>
                          <w:r>
                            <w:rPr>
                              <w:rFonts w:ascii="Arial"/>
                              <w:sz w:val="16"/>
                            </w:rPr>
                            <w:t>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7.95pt;margin-top:795.35pt;height:11pt;width:14.9pt;mso-position-horizontal-relative:page;mso-position-vertical-relative:page;z-index:-251657216;mso-width-relative:page;mso-height-relative:page;" filled="f" stroked="f" coordsize="21600,21600" o:gfxdata="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ZaT2wAAAA0BAAAPAAAAAAAAAAEAIAAAACIAAABkcnMvZG93bnJl&#10;di54bWxQSwECFAAUAAAACACHTuJAZwAIevoBAAADBAAADgAAAAAAAAABACAAAAAqAQAAZHJzL2Uy&#10;b0RvYy54bWxQSwUGAAAAAAYABgBZAQAAlgUAAAAA&#10;">
              <v:fill on="f" focussize="0,0"/>
              <v:stroke on="f"/>
              <v:imagedata o:title=""/>
              <o:lock v:ext="edit" aspectratio="f"/>
              <v:textbox inset="0mm,0mm,0mm,0mm">
                <w:txbxContent>
                  <w:p w14:paraId="6B39F95F">
                    <w:pPr>
                      <w:spacing w:before="15"/>
                      <w:ind w:left="60"/>
                      <w:rPr>
                        <w:rFonts w:ascii="Arial"/>
                        <w:sz w:val="16"/>
                      </w:rPr>
                    </w:pPr>
                    <w:r>
                      <w:fldChar w:fldCharType="begin"/>
                    </w:r>
                    <w:r>
                      <w:rPr>
                        <w:rFonts w:ascii="Arial"/>
                        <w:sz w:val="16"/>
                      </w:rPr>
                      <w:instrText xml:space="preserve"> PAGE </w:instrText>
                    </w:r>
                    <w:r>
                      <w:fldChar w:fldCharType="separate"/>
                    </w:r>
                    <w:r>
                      <w:rPr>
                        <w:rFonts w:ascii="Arial"/>
                        <w:sz w:val="16"/>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D1389"/>
    <w:multiLevelType w:val="multilevel"/>
    <w:tmpl w:val="735D138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D1"/>
    <w:rsid w:val="00003E4B"/>
    <w:rsid w:val="000057BF"/>
    <w:rsid w:val="0001497A"/>
    <w:rsid w:val="0001796A"/>
    <w:rsid w:val="00020626"/>
    <w:rsid w:val="00027DB6"/>
    <w:rsid w:val="00047584"/>
    <w:rsid w:val="00051034"/>
    <w:rsid w:val="00054999"/>
    <w:rsid w:val="00056D73"/>
    <w:rsid w:val="000623B9"/>
    <w:rsid w:val="000679F4"/>
    <w:rsid w:val="00081A71"/>
    <w:rsid w:val="00092FC1"/>
    <w:rsid w:val="000941F7"/>
    <w:rsid w:val="00096200"/>
    <w:rsid w:val="00097E40"/>
    <w:rsid w:val="000A2D06"/>
    <w:rsid w:val="000B1C48"/>
    <w:rsid w:val="000B41FE"/>
    <w:rsid w:val="000B69A4"/>
    <w:rsid w:val="000C356C"/>
    <w:rsid w:val="000C3FE4"/>
    <w:rsid w:val="000C45D1"/>
    <w:rsid w:val="000C5733"/>
    <w:rsid w:val="000C625C"/>
    <w:rsid w:val="000C6D20"/>
    <w:rsid w:val="000D63ED"/>
    <w:rsid w:val="000E21E9"/>
    <w:rsid w:val="000E5B8D"/>
    <w:rsid w:val="000E7814"/>
    <w:rsid w:val="0010058D"/>
    <w:rsid w:val="00101B5E"/>
    <w:rsid w:val="00102D86"/>
    <w:rsid w:val="0010394D"/>
    <w:rsid w:val="00107969"/>
    <w:rsid w:val="00131452"/>
    <w:rsid w:val="00135B4A"/>
    <w:rsid w:val="00167B00"/>
    <w:rsid w:val="00185C18"/>
    <w:rsid w:val="0018696F"/>
    <w:rsid w:val="001A15AE"/>
    <w:rsid w:val="001D265A"/>
    <w:rsid w:val="001E697D"/>
    <w:rsid w:val="001E750E"/>
    <w:rsid w:val="001E7B65"/>
    <w:rsid w:val="00200166"/>
    <w:rsid w:val="00206155"/>
    <w:rsid w:val="002236CF"/>
    <w:rsid w:val="002311E9"/>
    <w:rsid w:val="0023198F"/>
    <w:rsid w:val="00246FC0"/>
    <w:rsid w:val="0025223D"/>
    <w:rsid w:val="0025339E"/>
    <w:rsid w:val="0026147E"/>
    <w:rsid w:val="0027120E"/>
    <w:rsid w:val="002853AF"/>
    <w:rsid w:val="002867E6"/>
    <w:rsid w:val="002A0557"/>
    <w:rsid w:val="002A6116"/>
    <w:rsid w:val="002B38B6"/>
    <w:rsid w:val="002B48C8"/>
    <w:rsid w:val="002B6B45"/>
    <w:rsid w:val="002C5AB1"/>
    <w:rsid w:val="002C6279"/>
    <w:rsid w:val="002E2E0A"/>
    <w:rsid w:val="002E3BF3"/>
    <w:rsid w:val="002F129F"/>
    <w:rsid w:val="0030425E"/>
    <w:rsid w:val="00304D8D"/>
    <w:rsid w:val="003254FB"/>
    <w:rsid w:val="00326D42"/>
    <w:rsid w:val="00342DFF"/>
    <w:rsid w:val="00347A79"/>
    <w:rsid w:val="003516FF"/>
    <w:rsid w:val="00351925"/>
    <w:rsid w:val="00353365"/>
    <w:rsid w:val="00353D9D"/>
    <w:rsid w:val="00353DC3"/>
    <w:rsid w:val="0036348B"/>
    <w:rsid w:val="0036640E"/>
    <w:rsid w:val="0037231B"/>
    <w:rsid w:val="0038285A"/>
    <w:rsid w:val="0038383E"/>
    <w:rsid w:val="003869E2"/>
    <w:rsid w:val="00387748"/>
    <w:rsid w:val="003A3535"/>
    <w:rsid w:val="003A461F"/>
    <w:rsid w:val="003A7CB0"/>
    <w:rsid w:val="003B4507"/>
    <w:rsid w:val="003C71F6"/>
    <w:rsid w:val="003D6CD5"/>
    <w:rsid w:val="003E52E1"/>
    <w:rsid w:val="003E6558"/>
    <w:rsid w:val="003E6B27"/>
    <w:rsid w:val="003F0ABD"/>
    <w:rsid w:val="003F5DC8"/>
    <w:rsid w:val="003F6B05"/>
    <w:rsid w:val="0040714E"/>
    <w:rsid w:val="00422D1B"/>
    <w:rsid w:val="004232CF"/>
    <w:rsid w:val="0042688A"/>
    <w:rsid w:val="004379DD"/>
    <w:rsid w:val="0044012D"/>
    <w:rsid w:val="004508F9"/>
    <w:rsid w:val="004712FF"/>
    <w:rsid w:val="00492A6B"/>
    <w:rsid w:val="004A1006"/>
    <w:rsid w:val="004A1390"/>
    <w:rsid w:val="004A2E96"/>
    <w:rsid w:val="004F5744"/>
    <w:rsid w:val="00505241"/>
    <w:rsid w:val="00511AB0"/>
    <w:rsid w:val="00516965"/>
    <w:rsid w:val="005436B9"/>
    <w:rsid w:val="00552505"/>
    <w:rsid w:val="005573E0"/>
    <w:rsid w:val="005824D8"/>
    <w:rsid w:val="00584FA6"/>
    <w:rsid w:val="0059488F"/>
    <w:rsid w:val="005A2FA4"/>
    <w:rsid w:val="005B114B"/>
    <w:rsid w:val="005B2C26"/>
    <w:rsid w:val="005B6CE0"/>
    <w:rsid w:val="005B71BA"/>
    <w:rsid w:val="005E0FA3"/>
    <w:rsid w:val="005E496A"/>
    <w:rsid w:val="00606F2E"/>
    <w:rsid w:val="006205DB"/>
    <w:rsid w:val="00624A38"/>
    <w:rsid w:val="0062594E"/>
    <w:rsid w:val="00627357"/>
    <w:rsid w:val="006304AD"/>
    <w:rsid w:val="00635137"/>
    <w:rsid w:val="00642DE6"/>
    <w:rsid w:val="00652E41"/>
    <w:rsid w:val="00660009"/>
    <w:rsid w:val="00664E70"/>
    <w:rsid w:val="006655C2"/>
    <w:rsid w:val="006730F4"/>
    <w:rsid w:val="00684A8B"/>
    <w:rsid w:val="00693263"/>
    <w:rsid w:val="006B04ED"/>
    <w:rsid w:val="006B0831"/>
    <w:rsid w:val="006B1D46"/>
    <w:rsid w:val="006C3534"/>
    <w:rsid w:val="006C48C2"/>
    <w:rsid w:val="006C644E"/>
    <w:rsid w:val="006D0FAE"/>
    <w:rsid w:val="006F0C71"/>
    <w:rsid w:val="006F2735"/>
    <w:rsid w:val="0070519F"/>
    <w:rsid w:val="00705F4C"/>
    <w:rsid w:val="007061C5"/>
    <w:rsid w:val="00706736"/>
    <w:rsid w:val="00707E16"/>
    <w:rsid w:val="007217F4"/>
    <w:rsid w:val="00741887"/>
    <w:rsid w:val="00755C77"/>
    <w:rsid w:val="00765C24"/>
    <w:rsid w:val="00770D0B"/>
    <w:rsid w:val="007958C7"/>
    <w:rsid w:val="00796B55"/>
    <w:rsid w:val="007C3360"/>
    <w:rsid w:val="007C6B61"/>
    <w:rsid w:val="007D157B"/>
    <w:rsid w:val="007D6232"/>
    <w:rsid w:val="007E18D1"/>
    <w:rsid w:val="007E4FA5"/>
    <w:rsid w:val="007F11C2"/>
    <w:rsid w:val="00807138"/>
    <w:rsid w:val="00811B77"/>
    <w:rsid w:val="008157DB"/>
    <w:rsid w:val="008223FA"/>
    <w:rsid w:val="008249DD"/>
    <w:rsid w:val="0083762C"/>
    <w:rsid w:val="00860111"/>
    <w:rsid w:val="008A14FB"/>
    <w:rsid w:val="008A405C"/>
    <w:rsid w:val="008A4513"/>
    <w:rsid w:val="008A7499"/>
    <w:rsid w:val="008B1488"/>
    <w:rsid w:val="008B4013"/>
    <w:rsid w:val="008D42EB"/>
    <w:rsid w:val="008E0F50"/>
    <w:rsid w:val="008F2E89"/>
    <w:rsid w:val="008F5B90"/>
    <w:rsid w:val="009162AE"/>
    <w:rsid w:val="00920AE7"/>
    <w:rsid w:val="00930EDE"/>
    <w:rsid w:val="00976655"/>
    <w:rsid w:val="00986899"/>
    <w:rsid w:val="00987E9A"/>
    <w:rsid w:val="009A1A21"/>
    <w:rsid w:val="009A1F3E"/>
    <w:rsid w:val="009A6BCC"/>
    <w:rsid w:val="009B5346"/>
    <w:rsid w:val="009B62B4"/>
    <w:rsid w:val="009D5610"/>
    <w:rsid w:val="009D72D4"/>
    <w:rsid w:val="009E1697"/>
    <w:rsid w:val="009E50D8"/>
    <w:rsid w:val="009F0999"/>
    <w:rsid w:val="009F146F"/>
    <w:rsid w:val="00A01914"/>
    <w:rsid w:val="00A05960"/>
    <w:rsid w:val="00A21665"/>
    <w:rsid w:val="00A24A78"/>
    <w:rsid w:val="00A37934"/>
    <w:rsid w:val="00A604DD"/>
    <w:rsid w:val="00A64DF0"/>
    <w:rsid w:val="00AA5B7D"/>
    <w:rsid w:val="00AB1977"/>
    <w:rsid w:val="00AC2717"/>
    <w:rsid w:val="00AF5542"/>
    <w:rsid w:val="00B06093"/>
    <w:rsid w:val="00B10C4D"/>
    <w:rsid w:val="00B2769F"/>
    <w:rsid w:val="00B278AC"/>
    <w:rsid w:val="00B4035E"/>
    <w:rsid w:val="00B42EDA"/>
    <w:rsid w:val="00B43DB7"/>
    <w:rsid w:val="00B5572D"/>
    <w:rsid w:val="00B61672"/>
    <w:rsid w:val="00B630F1"/>
    <w:rsid w:val="00B71E9B"/>
    <w:rsid w:val="00B82B4A"/>
    <w:rsid w:val="00B84D29"/>
    <w:rsid w:val="00B97530"/>
    <w:rsid w:val="00BB5436"/>
    <w:rsid w:val="00BC6287"/>
    <w:rsid w:val="00BD0EB6"/>
    <w:rsid w:val="00BE4086"/>
    <w:rsid w:val="00BE6724"/>
    <w:rsid w:val="00C05A68"/>
    <w:rsid w:val="00C2327F"/>
    <w:rsid w:val="00C3479C"/>
    <w:rsid w:val="00C36814"/>
    <w:rsid w:val="00C36EC6"/>
    <w:rsid w:val="00C44A76"/>
    <w:rsid w:val="00C53C96"/>
    <w:rsid w:val="00C5491E"/>
    <w:rsid w:val="00C55EC7"/>
    <w:rsid w:val="00C64763"/>
    <w:rsid w:val="00C670F6"/>
    <w:rsid w:val="00C723DD"/>
    <w:rsid w:val="00C76BE7"/>
    <w:rsid w:val="00C772C0"/>
    <w:rsid w:val="00C82673"/>
    <w:rsid w:val="00C84666"/>
    <w:rsid w:val="00C95FB3"/>
    <w:rsid w:val="00C9738C"/>
    <w:rsid w:val="00CA1D79"/>
    <w:rsid w:val="00CA2205"/>
    <w:rsid w:val="00CA404D"/>
    <w:rsid w:val="00CB11DD"/>
    <w:rsid w:val="00CC003C"/>
    <w:rsid w:val="00CC3DC9"/>
    <w:rsid w:val="00CD6EDB"/>
    <w:rsid w:val="00CE14AD"/>
    <w:rsid w:val="00CE781B"/>
    <w:rsid w:val="00CF6158"/>
    <w:rsid w:val="00D202EE"/>
    <w:rsid w:val="00D30FD1"/>
    <w:rsid w:val="00D37009"/>
    <w:rsid w:val="00D44A24"/>
    <w:rsid w:val="00D451D9"/>
    <w:rsid w:val="00D62226"/>
    <w:rsid w:val="00D62CB5"/>
    <w:rsid w:val="00D97920"/>
    <w:rsid w:val="00DA13EC"/>
    <w:rsid w:val="00DA27F4"/>
    <w:rsid w:val="00DA7D09"/>
    <w:rsid w:val="00DC0F51"/>
    <w:rsid w:val="00DD39D7"/>
    <w:rsid w:val="00DD4C55"/>
    <w:rsid w:val="00DD7071"/>
    <w:rsid w:val="00DE63B6"/>
    <w:rsid w:val="00DF70F3"/>
    <w:rsid w:val="00E20A89"/>
    <w:rsid w:val="00E257E7"/>
    <w:rsid w:val="00E30C43"/>
    <w:rsid w:val="00E31707"/>
    <w:rsid w:val="00E34BE0"/>
    <w:rsid w:val="00E34F71"/>
    <w:rsid w:val="00E4505F"/>
    <w:rsid w:val="00E71E1B"/>
    <w:rsid w:val="00E753C9"/>
    <w:rsid w:val="00EB006A"/>
    <w:rsid w:val="00EB6B41"/>
    <w:rsid w:val="00EC2025"/>
    <w:rsid w:val="00EC227A"/>
    <w:rsid w:val="00EC483A"/>
    <w:rsid w:val="00ED20B5"/>
    <w:rsid w:val="00ED22A2"/>
    <w:rsid w:val="00F0083F"/>
    <w:rsid w:val="00F15389"/>
    <w:rsid w:val="00F16483"/>
    <w:rsid w:val="00F276E4"/>
    <w:rsid w:val="00F27D1C"/>
    <w:rsid w:val="00F337A5"/>
    <w:rsid w:val="00F34B4C"/>
    <w:rsid w:val="00F4449F"/>
    <w:rsid w:val="00F509AE"/>
    <w:rsid w:val="00F53D4C"/>
    <w:rsid w:val="00F55CC7"/>
    <w:rsid w:val="00F67EC3"/>
    <w:rsid w:val="00FA7B84"/>
    <w:rsid w:val="00FB3E4F"/>
    <w:rsid w:val="00FC4102"/>
    <w:rsid w:val="00FC764A"/>
    <w:rsid w:val="00FD0BDE"/>
    <w:rsid w:val="00FD6879"/>
    <w:rsid w:val="00FD7117"/>
    <w:rsid w:val="00FE3613"/>
    <w:rsid w:val="00FF082D"/>
    <w:rsid w:val="00FF0BDC"/>
    <w:rsid w:val="00FF30CC"/>
    <w:rsid w:val="6F5162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spacing w:after="0" w:line="240" w:lineRule="auto"/>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18"/>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19"/>
    <w:qFormat/>
    <w:uiPriority w:val="0"/>
    <w:pPr>
      <w:keepNext/>
      <w:jc w:val="center"/>
      <w:outlineLvl w:val="1"/>
    </w:pPr>
    <w:rPr>
      <w:rFonts w:ascii="Arial" w:hAnsi="Arial" w:cs="Arial"/>
      <w:i/>
      <w:iCs/>
      <w:color w:val="999999"/>
      <w:sz w:val="18"/>
    </w:rPr>
  </w:style>
  <w:style w:type="paragraph" w:styleId="4">
    <w:name w:val="heading 3"/>
    <w:basedOn w:val="1"/>
    <w:next w:val="1"/>
    <w:link w:val="20"/>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2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semiHidden/>
    <w:qFormat/>
    <w:uiPriority w:val="0"/>
    <w:rPr>
      <w:rFonts w:ascii="Tahoma" w:hAnsi="Tahoma" w:cs="Tahoma"/>
      <w:sz w:val="16"/>
      <w:szCs w:val="16"/>
    </w:rPr>
  </w:style>
  <w:style w:type="paragraph" w:styleId="9">
    <w:name w:val="Body Text"/>
    <w:basedOn w:val="1"/>
    <w:link w:val="31"/>
    <w:semiHidden/>
    <w:unhideWhenUsed/>
    <w:qFormat/>
    <w:uiPriority w:val="0"/>
    <w:pPr>
      <w:spacing w:after="120"/>
    </w:pPr>
  </w:style>
  <w:style w:type="character" w:styleId="10">
    <w:name w:val="annotation reference"/>
    <w:qFormat/>
    <w:uiPriority w:val="99"/>
    <w:rPr>
      <w:sz w:val="16"/>
      <w:szCs w:val="16"/>
    </w:rPr>
  </w:style>
  <w:style w:type="paragraph" w:styleId="11">
    <w:name w:val="annotation text"/>
    <w:basedOn w:val="1"/>
    <w:link w:val="24"/>
    <w:semiHidden/>
    <w:qFormat/>
    <w:uiPriority w:val="99"/>
    <w:rPr>
      <w:sz w:val="20"/>
      <w:szCs w:val="20"/>
    </w:rPr>
  </w:style>
  <w:style w:type="paragraph" w:styleId="12">
    <w:name w:val="annotation subject"/>
    <w:basedOn w:val="11"/>
    <w:next w:val="11"/>
    <w:link w:val="25"/>
    <w:semiHidden/>
    <w:qFormat/>
    <w:uiPriority w:val="0"/>
    <w:rPr>
      <w:b/>
      <w:bCs/>
    </w:rPr>
  </w:style>
  <w:style w:type="paragraph" w:styleId="13">
    <w:name w:val="footer"/>
    <w:basedOn w:val="1"/>
    <w:link w:val="23"/>
    <w:qFormat/>
    <w:uiPriority w:val="99"/>
    <w:pPr>
      <w:tabs>
        <w:tab w:val="center" w:pos="4536"/>
        <w:tab w:val="right" w:pos="9072"/>
        <w:tab w:val="clear" w:pos="284"/>
      </w:tabs>
    </w:pPr>
  </w:style>
  <w:style w:type="paragraph" w:styleId="14">
    <w:name w:val="header"/>
    <w:basedOn w:val="1"/>
    <w:link w:val="22"/>
    <w:qFormat/>
    <w:uiPriority w:val="0"/>
    <w:pPr>
      <w:tabs>
        <w:tab w:val="center" w:pos="4536"/>
        <w:tab w:val="right" w:pos="9072"/>
        <w:tab w:val="clear" w:pos="284"/>
      </w:tabs>
    </w:pPr>
  </w:style>
  <w:style w:type="character" w:styleId="15">
    <w:name w:val="Hyperlink"/>
    <w:basedOn w:val="6"/>
    <w:qFormat/>
    <w:uiPriority w:val="0"/>
    <w:rPr>
      <w:color w:val="0563C1" w:themeColor="hyperlink"/>
      <w:u w:val="single"/>
      <w14:textFill>
        <w14:solidFill>
          <w14:schemeClr w14:val="hlink"/>
        </w14:solidFill>
      </w14:textFill>
    </w:rPr>
  </w:style>
  <w:style w:type="character" w:styleId="16">
    <w:name w:val="page number"/>
    <w:basedOn w:val="6"/>
    <w:qFormat/>
    <w:uiPriority w:val="0"/>
  </w:style>
  <w:style w:type="table" w:styleId="17">
    <w:name w:val="Table Grid"/>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6"/>
    <w:link w:val="2"/>
    <w:qFormat/>
    <w:uiPriority w:val="0"/>
    <w:rPr>
      <w:rFonts w:ascii="Arial (W1)" w:hAnsi="Arial (W1)" w:eastAsia="Times New Roman" w:cs="Arial"/>
      <w:b/>
      <w:bCs/>
      <w:i/>
      <w:iCs/>
      <w:sz w:val="32"/>
      <w:szCs w:val="24"/>
      <w:u w:val="single"/>
      <w:lang w:val="sr-Latn-CS"/>
    </w:rPr>
  </w:style>
  <w:style w:type="character" w:customStyle="1" w:styleId="19">
    <w:name w:val="Heading 2 Char"/>
    <w:basedOn w:val="6"/>
    <w:link w:val="3"/>
    <w:qFormat/>
    <w:uiPriority w:val="0"/>
    <w:rPr>
      <w:rFonts w:ascii="Arial" w:hAnsi="Arial" w:eastAsia="Times New Roman" w:cs="Arial"/>
      <w:i/>
      <w:iCs/>
      <w:color w:val="999999"/>
      <w:sz w:val="18"/>
      <w:szCs w:val="24"/>
    </w:rPr>
  </w:style>
  <w:style w:type="character" w:customStyle="1" w:styleId="20">
    <w:name w:val="Heading 3 Char"/>
    <w:basedOn w:val="6"/>
    <w:link w:val="4"/>
    <w:qFormat/>
    <w:uiPriority w:val="0"/>
    <w:rPr>
      <w:rFonts w:ascii="Arial" w:hAnsi="Arial" w:eastAsia="Times New Roman" w:cs="Arial"/>
      <w:i/>
      <w:iCs/>
      <w:color w:val="999999"/>
      <w:sz w:val="18"/>
      <w:szCs w:val="24"/>
    </w:rPr>
  </w:style>
  <w:style w:type="character" w:customStyle="1" w:styleId="21">
    <w:name w:val="Heading 4 Char"/>
    <w:basedOn w:val="6"/>
    <w:link w:val="5"/>
    <w:qFormat/>
    <w:uiPriority w:val="0"/>
    <w:rPr>
      <w:rFonts w:ascii="Arial" w:hAnsi="Arial" w:eastAsia="Times New Roman" w:cs="Arial"/>
      <w:i/>
      <w:iCs/>
      <w:color w:val="999999"/>
      <w:sz w:val="16"/>
      <w:szCs w:val="24"/>
    </w:rPr>
  </w:style>
  <w:style w:type="character" w:customStyle="1" w:styleId="22">
    <w:name w:val="Header Char"/>
    <w:basedOn w:val="6"/>
    <w:link w:val="14"/>
    <w:qFormat/>
    <w:uiPriority w:val="99"/>
    <w:rPr>
      <w:rFonts w:ascii="Times New Roman" w:hAnsi="Times New Roman" w:eastAsia="Times New Roman" w:cs="Times New Roman"/>
      <w:szCs w:val="24"/>
    </w:rPr>
  </w:style>
  <w:style w:type="character" w:customStyle="1" w:styleId="23">
    <w:name w:val="Footer Char"/>
    <w:basedOn w:val="6"/>
    <w:link w:val="13"/>
    <w:qFormat/>
    <w:uiPriority w:val="99"/>
    <w:rPr>
      <w:rFonts w:ascii="Times New Roman" w:hAnsi="Times New Roman" w:eastAsia="Times New Roman" w:cs="Times New Roman"/>
      <w:szCs w:val="24"/>
    </w:rPr>
  </w:style>
  <w:style w:type="character" w:customStyle="1" w:styleId="24">
    <w:name w:val="Comment Text Char"/>
    <w:basedOn w:val="6"/>
    <w:link w:val="11"/>
    <w:semiHidden/>
    <w:qFormat/>
    <w:uiPriority w:val="99"/>
    <w:rPr>
      <w:rFonts w:ascii="Times New Roman" w:hAnsi="Times New Roman" w:eastAsia="Times New Roman" w:cs="Times New Roman"/>
      <w:sz w:val="20"/>
      <w:szCs w:val="20"/>
    </w:rPr>
  </w:style>
  <w:style w:type="character" w:customStyle="1" w:styleId="25">
    <w:name w:val="Comment Subject Char"/>
    <w:basedOn w:val="24"/>
    <w:link w:val="12"/>
    <w:semiHidden/>
    <w:qFormat/>
    <w:uiPriority w:val="0"/>
    <w:rPr>
      <w:rFonts w:ascii="Times New Roman" w:hAnsi="Times New Roman" w:eastAsia="Times New Roman" w:cs="Times New Roman"/>
      <w:b/>
      <w:bCs/>
      <w:sz w:val="20"/>
      <w:szCs w:val="20"/>
    </w:rPr>
  </w:style>
  <w:style w:type="character" w:customStyle="1" w:styleId="26">
    <w:name w:val="Balloon Text Char"/>
    <w:basedOn w:val="6"/>
    <w:link w:val="8"/>
    <w:semiHidden/>
    <w:qFormat/>
    <w:uiPriority w:val="0"/>
    <w:rPr>
      <w:rFonts w:ascii="Tahoma" w:hAnsi="Tahoma" w:eastAsia="Times New Roman" w:cs="Tahoma"/>
      <w:sz w:val="16"/>
      <w:szCs w:val="16"/>
    </w:rPr>
  </w:style>
  <w:style w:type="paragraph" w:customStyle="1" w:styleId="27">
    <w:name w:val="NASLOV 123"/>
    <w:basedOn w:val="1"/>
    <w:qFormat/>
    <w:uiPriority w:val="0"/>
    <w:pPr>
      <w:spacing w:before="200" w:after="200"/>
      <w:jc w:val="left"/>
    </w:pPr>
    <w:rPr>
      <w:b/>
      <w:szCs w:val="22"/>
    </w:r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29">
    <w:name w:val="Revision"/>
    <w:hidden/>
    <w:semiHidden/>
    <w:qFormat/>
    <w:uiPriority w:val="99"/>
    <w:pPr>
      <w:spacing w:after="0" w:line="240" w:lineRule="auto"/>
    </w:pPr>
    <w:rPr>
      <w:rFonts w:ascii="Times New Roman" w:hAnsi="Times New Roman" w:eastAsia="Times New Roman" w:cs="Times New Roman"/>
      <w:sz w:val="22"/>
      <w:szCs w:val="24"/>
      <w:lang w:val="en-US" w:eastAsia="en-US" w:bidi="ar-SA"/>
    </w:rPr>
  </w:style>
  <w:style w:type="paragraph" w:customStyle="1" w:styleId="30">
    <w:name w:val="Table Paragraph"/>
    <w:basedOn w:val="1"/>
    <w:qFormat/>
    <w:uiPriority w:val="1"/>
    <w:pPr>
      <w:widowControl w:val="0"/>
      <w:tabs>
        <w:tab w:val="clear" w:pos="284"/>
      </w:tabs>
      <w:autoSpaceDE w:val="0"/>
      <w:autoSpaceDN w:val="0"/>
      <w:jc w:val="left"/>
    </w:pPr>
    <w:rPr>
      <w:szCs w:val="22"/>
    </w:rPr>
  </w:style>
  <w:style w:type="character" w:customStyle="1" w:styleId="31">
    <w:name w:val="Body Text Char"/>
    <w:basedOn w:val="6"/>
    <w:link w:val="9"/>
    <w:semiHidden/>
    <w:qFormat/>
    <w:uiPriority w:val="0"/>
    <w:rPr>
      <w:rFonts w:ascii="Times New Roman" w:hAnsi="Times New Roman" w:eastAsia="Times New Roman" w:cs="Times New Roman"/>
      <w:szCs w:val="24"/>
    </w:rPr>
  </w:style>
  <w:style w:type="paragraph" w:styleId="3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37312-68E1-45E5-A6EE-400139AD2F08}">
  <ds:schemaRefs/>
</ds:datastoreItem>
</file>

<file path=docProps/app.xml><?xml version="1.0" encoding="utf-8"?>
<Properties xmlns="http://schemas.openxmlformats.org/officeDocument/2006/extended-properties" xmlns:vt="http://schemas.openxmlformats.org/officeDocument/2006/docPropsVTypes">
  <Template>Normal</Template>
  <Pages>32</Pages>
  <Words>14508</Words>
  <Characters>82697</Characters>
  <Lines>689</Lines>
  <Paragraphs>194</Paragraphs>
  <TotalTime>1</TotalTime>
  <ScaleCrop>false</ScaleCrop>
  <LinksUpToDate>false</LinksUpToDate>
  <CharactersWithSpaces>97011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2023-12-04T12:39:00Z</dcterms:created>
  <dc:creator>Elena EP. Popovski</dc:creator>
  <cp:lastModifiedBy>Haris</cp:lastModifiedBy>
  <dcterms:modified xsi:type="dcterms:W3CDTF">2025-02-21T15:33:40Z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AFB9E652742641299169CB005F3E5726_13</vt:lpwstr>
  </property>
</Properties>
</file>