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7D3DA">
      <w:pPr>
        <w:jc w:val="center"/>
        <w:rPr>
          <w:rFonts w:ascii="Microsoft Sans Serif" w:hAnsi="Microsoft Sans Serif" w:cs="Microsoft Sans Serif"/>
          <w:b/>
          <w:bCs/>
          <w:iCs/>
          <w:sz w:val="20"/>
          <w:szCs w:val="20"/>
          <w:lang w:val="sv-SE"/>
        </w:rPr>
      </w:pPr>
      <w:bookmarkStart w:id="0" w:name="_GoBack"/>
      <w:bookmarkEnd w:id="0"/>
      <w:r>
        <w:rPr>
          <w:rFonts w:ascii="Microsoft Sans Serif" w:hAnsi="Microsoft Sans Serif" w:cs="Microsoft Sans Serif"/>
          <w:b/>
          <w:bCs/>
          <w:iCs/>
          <w:sz w:val="20"/>
          <w:szCs w:val="20"/>
          <w:lang w:val="sv-SE"/>
        </w:rPr>
        <w:t>SAŽETAK KARAKTERISTIKA LIJEKA</w:t>
      </w:r>
    </w:p>
    <w:p w14:paraId="3E86F6E9">
      <w:pPr>
        <w:rPr>
          <w:rFonts w:ascii="Microsoft Sans Serif" w:hAnsi="Microsoft Sans Serif" w:cs="Microsoft Sans Serif"/>
          <w:b/>
          <w:bCs/>
          <w:sz w:val="20"/>
          <w:szCs w:val="20"/>
          <w:lang w:val="sv-SE"/>
        </w:rPr>
      </w:pPr>
    </w:p>
    <w:p w14:paraId="5B4C45BE">
      <w:pPr>
        <w:rPr>
          <w:rFonts w:ascii="Microsoft Sans Serif" w:hAnsi="Microsoft Sans Serif" w:cs="Microsoft Sans Serif"/>
          <w:b/>
          <w:bCs/>
          <w:sz w:val="20"/>
          <w:szCs w:val="20"/>
          <w:lang w:val="sv-SE"/>
        </w:rPr>
      </w:pPr>
    </w:p>
    <w:p w14:paraId="5ABB22A2">
      <w:pPr>
        <w:pStyle w:val="26"/>
        <w:spacing w:before="0" w:after="0"/>
        <w:jc w:val="both"/>
        <w:rPr>
          <w:rFonts w:ascii="Microsoft Sans Serif" w:hAnsi="Microsoft Sans Serif" w:cs="Microsoft Sans Serif"/>
          <w:sz w:val="20"/>
          <w:szCs w:val="20"/>
          <w:lang w:val="sr-Latn-CS"/>
        </w:rPr>
      </w:pPr>
      <w:r>
        <w:rPr>
          <w:rFonts w:ascii="Microsoft Sans Serif" w:hAnsi="Microsoft Sans Serif" w:cs="Microsoft Sans Serif"/>
          <w:sz w:val="20"/>
          <w:szCs w:val="20"/>
          <w:lang w:val="sv-SE"/>
        </w:rPr>
        <w:t>1. IME LIJEKA</w:t>
      </w:r>
    </w:p>
    <w:p w14:paraId="582C8BEC">
      <w:pPr>
        <w:rPr>
          <w:rFonts w:ascii="Microsoft Sans Serif" w:hAnsi="Microsoft Sans Serif" w:cs="Microsoft Sans Serif"/>
          <w:sz w:val="20"/>
          <w:szCs w:val="20"/>
          <w:lang w:val="sv-SE"/>
        </w:rPr>
      </w:pPr>
    </w:p>
    <w:p w14:paraId="25B45D80">
      <w:pPr>
        <w:tabs>
          <w:tab w:val="left" w:pos="567"/>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Fokleros 100 mg, film tablete</w:t>
      </w:r>
    </w:p>
    <w:p w14:paraId="6D9E4031">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Fokleros 150 mg, film tablete</w:t>
      </w:r>
    </w:p>
    <w:p w14:paraId="6DF25DAD">
      <w:pPr>
        <w:rPr>
          <w:rFonts w:ascii="Microsoft Sans Serif" w:hAnsi="Microsoft Sans Serif" w:cs="Microsoft Sans Serif"/>
          <w:sz w:val="20"/>
          <w:szCs w:val="20"/>
        </w:rPr>
      </w:pPr>
    </w:p>
    <w:p w14:paraId="3158F7B2">
      <w:pPr>
        <w:rPr>
          <w:rFonts w:ascii="Microsoft Sans Serif" w:hAnsi="Microsoft Sans Serif" w:cs="Microsoft Sans Serif"/>
          <w:sz w:val="20"/>
          <w:szCs w:val="20"/>
          <w:lang w:val="sr-Latn-RS"/>
        </w:rPr>
      </w:pPr>
      <w:r>
        <w:rPr>
          <w:rFonts w:ascii="Microsoft Sans Serif" w:hAnsi="Microsoft Sans Serif" w:cs="Microsoft Sans Serif"/>
          <w:sz w:val="20"/>
          <w:szCs w:val="20"/>
        </w:rPr>
        <w:t>INN: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erlotinib</w:t>
      </w:r>
    </w:p>
    <w:p w14:paraId="43CD80CD">
      <w:pPr>
        <w:pStyle w:val="26"/>
        <w:spacing w:before="0" w:after="0"/>
        <w:jc w:val="both"/>
        <w:rPr>
          <w:rFonts w:ascii="Microsoft Sans Serif" w:hAnsi="Microsoft Sans Serif" w:cs="Microsoft Sans Serif"/>
          <w:sz w:val="20"/>
          <w:szCs w:val="20"/>
        </w:rPr>
      </w:pPr>
    </w:p>
    <w:p w14:paraId="1162FA05">
      <w:pPr>
        <w:pStyle w:val="26"/>
        <w:spacing w:before="0" w:after="0"/>
        <w:jc w:val="both"/>
        <w:rPr>
          <w:rFonts w:ascii="Microsoft Sans Serif" w:hAnsi="Microsoft Sans Serif" w:cs="Microsoft Sans Serif"/>
          <w:sz w:val="20"/>
          <w:szCs w:val="20"/>
        </w:rPr>
      </w:pPr>
    </w:p>
    <w:p w14:paraId="27014AD7">
      <w:pPr>
        <w:pStyle w:val="26"/>
        <w:spacing w:before="0" w:after="0"/>
        <w:jc w:val="both"/>
        <w:rPr>
          <w:rFonts w:ascii="Microsoft Sans Serif" w:hAnsi="Microsoft Sans Serif" w:cs="Microsoft Sans Serif"/>
          <w:sz w:val="20"/>
          <w:szCs w:val="20"/>
        </w:rPr>
      </w:pPr>
      <w:r>
        <w:rPr>
          <w:rFonts w:ascii="Microsoft Sans Serif" w:hAnsi="Microsoft Sans Serif" w:cs="Microsoft Sans Serif"/>
          <w:sz w:val="20"/>
          <w:szCs w:val="20"/>
        </w:rPr>
        <w:t>2. KVALITATIVNI I KVANTITATIVNI SASTAV</w:t>
      </w:r>
    </w:p>
    <w:p w14:paraId="77A0D9A4">
      <w:pPr>
        <w:pStyle w:val="26"/>
        <w:spacing w:before="0" w:after="0"/>
        <w:jc w:val="both"/>
        <w:rPr>
          <w:rFonts w:ascii="Microsoft Sans Serif" w:hAnsi="Microsoft Sans Serif" w:cs="Microsoft Sans Serif"/>
          <w:sz w:val="20"/>
          <w:szCs w:val="20"/>
        </w:rPr>
      </w:pPr>
    </w:p>
    <w:p w14:paraId="48DDCB55">
      <w:pPr>
        <w:rPr>
          <w:rFonts w:ascii="Microsoft Sans Serif" w:hAnsi="Microsoft Sans Serif" w:cs="Microsoft Sans Serif"/>
          <w:sz w:val="20"/>
          <w:szCs w:val="20"/>
          <w:lang w:val="en-GB"/>
        </w:rPr>
      </w:pPr>
      <w:r>
        <w:rPr>
          <w:rFonts w:ascii="Microsoft Sans Serif" w:hAnsi="Microsoft Sans Serif" w:cs="Microsoft Sans Serif"/>
          <w:sz w:val="20"/>
          <w:szCs w:val="20"/>
          <w:u w:val="single"/>
          <w:lang w:val="en-GB"/>
        </w:rPr>
        <w:t>Fokleros, 100 mg, film tablete</w:t>
      </w:r>
      <w:r>
        <w:rPr>
          <w:rFonts w:ascii="Microsoft Sans Serif" w:hAnsi="Microsoft Sans Serif" w:cs="Microsoft Sans Serif"/>
          <w:sz w:val="20"/>
          <w:szCs w:val="20"/>
          <w:lang w:val="en-GB"/>
        </w:rPr>
        <w:t xml:space="preserve">: </w:t>
      </w:r>
    </w:p>
    <w:p w14:paraId="70CA69FA">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 xml:space="preserve">Jedna film tableta sadrži </w:t>
      </w:r>
      <w:r>
        <w:rPr>
          <w:rFonts w:ascii="Microsoft Sans Serif" w:hAnsi="Microsoft Sans Serif" w:cs="Microsoft Sans Serif"/>
          <w:bCs/>
          <w:sz w:val="20"/>
          <w:szCs w:val="20"/>
          <w:lang w:val="sr-Latn-RS"/>
        </w:rPr>
        <w:t xml:space="preserve">100 mg </w:t>
      </w:r>
      <w:r>
        <w:rPr>
          <w:rFonts w:ascii="Microsoft Sans Serif" w:hAnsi="Microsoft Sans Serif" w:cs="Microsoft Sans Serif"/>
          <w:bCs/>
          <w:sz w:val="20"/>
          <w:szCs w:val="20"/>
          <w:lang w:val="sr-Cyrl-RS"/>
        </w:rPr>
        <w:t>erlotiniba (u obliku erlotinib-hidrohlorida).</w:t>
      </w:r>
    </w:p>
    <w:p w14:paraId="20509056">
      <w:pPr>
        <w:pStyle w:val="26"/>
        <w:spacing w:before="0" w:after="0"/>
        <w:jc w:val="both"/>
        <w:rPr>
          <w:rFonts w:ascii="Microsoft Sans Serif" w:hAnsi="Microsoft Sans Serif" w:cs="Microsoft Sans Serif"/>
          <w:b w:val="0"/>
          <w:sz w:val="20"/>
          <w:szCs w:val="20"/>
          <w:u w:val="single"/>
          <w:lang w:val="sr-Cyrl-RS"/>
        </w:rPr>
      </w:pPr>
    </w:p>
    <w:p w14:paraId="4DBDF81A">
      <w:pPr>
        <w:pStyle w:val="26"/>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Pomoćne supstance sa potvrđenim dejstvom:</w:t>
      </w:r>
    </w:p>
    <w:p w14:paraId="39DB7100">
      <w:pPr>
        <w:pStyle w:val="26"/>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Svaka film tableta sadrži 70,7 </w:t>
      </w:r>
      <w:r>
        <w:rPr>
          <w:rFonts w:ascii="Microsoft Sans Serif" w:hAnsi="Microsoft Sans Serif" w:cs="Microsoft Sans Serif"/>
          <w:b w:val="0"/>
          <w:sz w:val="20"/>
          <w:szCs w:val="20"/>
          <w:lang w:val="sr-Latn-RS"/>
        </w:rPr>
        <w:t>mg</w:t>
      </w:r>
      <w:r>
        <w:rPr>
          <w:rFonts w:ascii="Microsoft Sans Serif" w:hAnsi="Microsoft Sans Serif" w:cs="Microsoft Sans Serif"/>
          <w:b w:val="0"/>
          <w:sz w:val="20"/>
          <w:szCs w:val="20"/>
          <w:lang w:val="sr-Cyrl-RS"/>
        </w:rPr>
        <w:t xml:space="preserve"> laktoze</w:t>
      </w:r>
      <w:r>
        <w:rPr>
          <w:rFonts w:ascii="Microsoft Sans Serif" w:hAnsi="Microsoft Sans Serif" w:cs="Microsoft Sans Serif"/>
          <w:b w:val="0"/>
          <w:sz w:val="20"/>
          <w:szCs w:val="20"/>
        </w:rPr>
        <w:t>,</w:t>
      </w:r>
      <w:r>
        <w:rPr>
          <w:rFonts w:ascii="Microsoft Sans Serif" w:hAnsi="Microsoft Sans Serif" w:cs="Microsoft Sans Serif"/>
          <w:b w:val="0"/>
          <w:sz w:val="20"/>
          <w:szCs w:val="20"/>
          <w:lang w:val="sr-Cyrl-RS"/>
        </w:rPr>
        <w:t xml:space="preserve"> monohidrat. </w:t>
      </w:r>
    </w:p>
    <w:p w14:paraId="0BE3D484">
      <w:pPr>
        <w:pStyle w:val="26"/>
        <w:spacing w:before="0" w:after="0"/>
        <w:jc w:val="both"/>
        <w:rPr>
          <w:rFonts w:ascii="Microsoft Sans Serif" w:hAnsi="Microsoft Sans Serif" w:cs="Microsoft Sans Serif"/>
          <w:b w:val="0"/>
          <w:sz w:val="20"/>
          <w:szCs w:val="20"/>
          <w:lang w:val="sr-Latn-RS"/>
        </w:rPr>
      </w:pPr>
    </w:p>
    <w:p w14:paraId="29E383B5">
      <w:pPr>
        <w:rPr>
          <w:rFonts w:ascii="Microsoft Sans Serif" w:hAnsi="Microsoft Sans Serif" w:cs="Microsoft Sans Serif"/>
          <w:sz w:val="20"/>
          <w:szCs w:val="20"/>
          <w:lang w:val="en-GB"/>
        </w:rPr>
      </w:pPr>
      <w:r>
        <w:rPr>
          <w:rFonts w:ascii="Microsoft Sans Serif" w:hAnsi="Microsoft Sans Serif" w:cs="Microsoft Sans Serif"/>
          <w:sz w:val="20"/>
          <w:szCs w:val="20"/>
          <w:u w:val="single"/>
          <w:lang w:val="en-GB"/>
        </w:rPr>
        <w:t>Fokleros, 150 mg, film tablete</w:t>
      </w:r>
      <w:r>
        <w:rPr>
          <w:rFonts w:ascii="Microsoft Sans Serif" w:hAnsi="Microsoft Sans Serif" w:cs="Microsoft Sans Serif"/>
          <w:sz w:val="20"/>
          <w:szCs w:val="20"/>
          <w:lang w:val="en-GB"/>
        </w:rPr>
        <w:t xml:space="preserve">: </w:t>
      </w:r>
    </w:p>
    <w:p w14:paraId="2360CE5B">
      <w:pPr>
        <w:rPr>
          <w:rFonts w:ascii="Microsoft Sans Serif" w:hAnsi="Microsoft Sans Serif" w:cs="Microsoft Sans Serif"/>
          <w:b/>
          <w:bCs/>
          <w:sz w:val="20"/>
          <w:szCs w:val="20"/>
          <w:lang w:val="sr-Latn-RS"/>
        </w:rPr>
      </w:pPr>
      <w:r>
        <w:rPr>
          <w:rFonts w:ascii="Microsoft Sans Serif" w:hAnsi="Microsoft Sans Serif" w:cs="Microsoft Sans Serif"/>
          <w:bCs/>
          <w:sz w:val="20"/>
          <w:szCs w:val="20"/>
          <w:lang w:val="sr-Cyrl-RS"/>
        </w:rPr>
        <w:t xml:space="preserve">Jedna film tableta sadrži </w:t>
      </w:r>
      <w:r>
        <w:rPr>
          <w:rFonts w:ascii="Microsoft Sans Serif" w:hAnsi="Microsoft Sans Serif" w:cs="Microsoft Sans Serif"/>
          <w:bCs/>
          <w:sz w:val="20"/>
          <w:szCs w:val="20"/>
          <w:lang w:val="sr-Latn-RS"/>
        </w:rPr>
        <w:t xml:space="preserve">150 mg </w:t>
      </w:r>
      <w:r>
        <w:rPr>
          <w:rFonts w:ascii="Microsoft Sans Serif" w:hAnsi="Microsoft Sans Serif" w:cs="Microsoft Sans Serif"/>
          <w:bCs/>
          <w:sz w:val="20"/>
          <w:szCs w:val="20"/>
          <w:lang w:val="sr-Cyrl-RS"/>
        </w:rPr>
        <w:t>erlotiniba (u obliku erlotinib</w:t>
      </w:r>
      <w:r>
        <w:rPr>
          <w:rFonts w:ascii="Microsoft Sans Serif" w:hAnsi="Microsoft Sans Serif" w:cs="Microsoft Sans Serif"/>
          <w:bCs/>
          <w:sz w:val="20"/>
          <w:szCs w:val="20"/>
        </w:rPr>
        <w:t>-</w:t>
      </w:r>
      <w:r>
        <w:rPr>
          <w:rFonts w:ascii="Microsoft Sans Serif" w:hAnsi="Microsoft Sans Serif" w:cs="Microsoft Sans Serif"/>
          <w:bCs/>
          <w:sz w:val="20"/>
          <w:szCs w:val="20"/>
          <w:lang w:val="sr-Cyrl-RS"/>
        </w:rPr>
        <w:t>hidrohlorida).</w:t>
      </w:r>
    </w:p>
    <w:p w14:paraId="53D93A2C">
      <w:pPr>
        <w:pStyle w:val="26"/>
        <w:spacing w:before="0" w:after="0"/>
        <w:jc w:val="both"/>
        <w:rPr>
          <w:rFonts w:ascii="Microsoft Sans Serif" w:hAnsi="Microsoft Sans Serif" w:cs="Microsoft Sans Serif"/>
          <w:b w:val="0"/>
          <w:sz w:val="20"/>
          <w:szCs w:val="20"/>
          <w:u w:val="single"/>
          <w:lang w:val="sr-Cyrl-RS"/>
        </w:rPr>
      </w:pPr>
    </w:p>
    <w:p w14:paraId="4F997DE7">
      <w:pPr>
        <w:pStyle w:val="26"/>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Pomoćne supstance sa potvrđenim dejstvom:</w:t>
      </w:r>
    </w:p>
    <w:p w14:paraId="15CF3764">
      <w:pPr>
        <w:pStyle w:val="26"/>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Svaka film tableta sadrži 106 </w:t>
      </w:r>
      <w:r>
        <w:rPr>
          <w:rFonts w:ascii="Microsoft Sans Serif" w:hAnsi="Microsoft Sans Serif" w:cs="Microsoft Sans Serif"/>
          <w:b w:val="0"/>
          <w:sz w:val="20"/>
          <w:szCs w:val="20"/>
          <w:lang w:val="sr-Latn-RS"/>
        </w:rPr>
        <w:t>mg</w:t>
      </w:r>
      <w:r>
        <w:rPr>
          <w:rFonts w:ascii="Microsoft Sans Serif" w:hAnsi="Microsoft Sans Serif" w:cs="Microsoft Sans Serif"/>
          <w:b w:val="0"/>
          <w:sz w:val="20"/>
          <w:szCs w:val="20"/>
          <w:lang w:val="sr-Cyrl-RS"/>
        </w:rPr>
        <w:t xml:space="preserve"> laktoze</w:t>
      </w:r>
      <w:r>
        <w:rPr>
          <w:rFonts w:ascii="Microsoft Sans Serif" w:hAnsi="Microsoft Sans Serif" w:cs="Microsoft Sans Serif"/>
          <w:b w:val="0"/>
          <w:sz w:val="20"/>
          <w:szCs w:val="20"/>
        </w:rPr>
        <w:t>,</w:t>
      </w:r>
      <w:r>
        <w:rPr>
          <w:rFonts w:ascii="Microsoft Sans Serif" w:hAnsi="Microsoft Sans Serif" w:cs="Microsoft Sans Serif"/>
          <w:b w:val="0"/>
          <w:sz w:val="20"/>
          <w:szCs w:val="20"/>
          <w:lang w:val="sr-Cyrl-RS"/>
        </w:rPr>
        <w:t xml:space="preserve"> monohidrat. </w:t>
      </w:r>
    </w:p>
    <w:p w14:paraId="7DF32C3B">
      <w:pPr>
        <w:rPr>
          <w:rFonts w:ascii="Microsoft Sans Serif" w:hAnsi="Microsoft Sans Serif" w:cs="Microsoft Sans Serif"/>
          <w:sz w:val="20"/>
          <w:szCs w:val="20"/>
        </w:rPr>
      </w:pPr>
    </w:p>
    <w:p w14:paraId="74F4E085">
      <w:pPr>
        <w:rPr>
          <w:rFonts w:ascii="Microsoft Sans Serif" w:hAnsi="Microsoft Sans Serif" w:cs="Microsoft Sans Serif"/>
          <w:sz w:val="20"/>
          <w:szCs w:val="20"/>
          <w:lang w:val="ru-RU"/>
        </w:rPr>
      </w:pPr>
      <w:r>
        <w:rPr>
          <w:rFonts w:ascii="Microsoft Sans Serif" w:hAnsi="Microsoft Sans Serif" w:cs="Microsoft Sans Serif"/>
          <w:sz w:val="20"/>
          <w:szCs w:val="20"/>
          <w:lang w:val="sr-Cyrl-CS"/>
        </w:rPr>
        <w:t xml:space="preserve">Za listu svih pomoćnih supstanci, pogledati dio 6.1. </w:t>
      </w:r>
    </w:p>
    <w:p w14:paraId="173D13FF">
      <w:pPr>
        <w:pStyle w:val="26"/>
        <w:spacing w:before="0" w:after="0"/>
        <w:jc w:val="both"/>
        <w:rPr>
          <w:rFonts w:ascii="Microsoft Sans Serif" w:hAnsi="Microsoft Sans Serif" w:cs="Microsoft Sans Serif"/>
          <w:b w:val="0"/>
          <w:i/>
          <w:iCs/>
          <w:sz w:val="20"/>
          <w:szCs w:val="20"/>
          <w:lang w:val="en-GB"/>
        </w:rPr>
      </w:pPr>
    </w:p>
    <w:p w14:paraId="6764606C">
      <w:pPr>
        <w:pStyle w:val="26"/>
        <w:spacing w:before="0" w:after="0"/>
        <w:jc w:val="both"/>
        <w:rPr>
          <w:rFonts w:ascii="Microsoft Sans Serif" w:hAnsi="Microsoft Sans Serif" w:cs="Microsoft Sans Serif"/>
          <w:sz w:val="20"/>
          <w:szCs w:val="20"/>
        </w:rPr>
      </w:pPr>
    </w:p>
    <w:p w14:paraId="1D34E280">
      <w:pPr>
        <w:pStyle w:val="26"/>
        <w:spacing w:before="0" w:after="0"/>
        <w:jc w:val="both"/>
        <w:rPr>
          <w:rFonts w:ascii="Microsoft Sans Serif" w:hAnsi="Microsoft Sans Serif" w:cs="Microsoft Sans Serif"/>
          <w:sz w:val="20"/>
          <w:szCs w:val="20"/>
        </w:rPr>
      </w:pPr>
      <w:r>
        <w:rPr>
          <w:rFonts w:ascii="Microsoft Sans Serif" w:hAnsi="Microsoft Sans Serif" w:cs="Microsoft Sans Serif"/>
          <w:sz w:val="20"/>
          <w:szCs w:val="20"/>
        </w:rPr>
        <w:t>3. FARMACEUTSKI OBLIK</w:t>
      </w:r>
    </w:p>
    <w:p w14:paraId="10E1F935">
      <w:pPr>
        <w:pStyle w:val="26"/>
        <w:spacing w:before="0" w:after="0"/>
        <w:jc w:val="both"/>
        <w:rPr>
          <w:rFonts w:ascii="Microsoft Sans Serif" w:hAnsi="Microsoft Sans Serif" w:cs="Microsoft Sans Serif"/>
          <w:sz w:val="20"/>
          <w:szCs w:val="20"/>
        </w:rPr>
      </w:pPr>
    </w:p>
    <w:p w14:paraId="48221C47">
      <w:pPr>
        <w:pStyle w:val="26"/>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Film tableta.</w:t>
      </w:r>
    </w:p>
    <w:p w14:paraId="0AC3AD14">
      <w:pPr>
        <w:pStyle w:val="26"/>
        <w:spacing w:before="0" w:after="0"/>
        <w:jc w:val="both"/>
        <w:rPr>
          <w:rFonts w:ascii="Microsoft Sans Serif" w:hAnsi="Microsoft Sans Serif" w:cs="Microsoft Sans Serif"/>
          <w:b w:val="0"/>
          <w:sz w:val="20"/>
          <w:szCs w:val="20"/>
          <w:lang w:val="sr-Cyrl-RS"/>
        </w:rPr>
      </w:pPr>
    </w:p>
    <w:p w14:paraId="63A29BA1">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u w:val="single"/>
          <w:lang w:val="en-GB"/>
        </w:rPr>
        <w:t>Fokleros, 100 mg, film tablete:</w:t>
      </w:r>
      <w:r>
        <w:rPr>
          <w:rFonts w:ascii="Microsoft Sans Serif" w:hAnsi="Microsoft Sans Serif" w:cs="Microsoft Sans Serif"/>
          <w:sz w:val="20"/>
          <w:szCs w:val="20"/>
          <w:lang w:val="en-GB"/>
        </w:rPr>
        <w:t xml:space="preserve"> </w:t>
      </w:r>
      <w:r>
        <w:rPr>
          <w:rFonts w:ascii="Microsoft Sans Serif" w:hAnsi="Microsoft Sans Serif" w:cs="Microsoft Sans Serif"/>
          <w:sz w:val="20"/>
          <w:szCs w:val="20"/>
          <w:lang w:val="sr-Cyrl-RS"/>
        </w:rPr>
        <w:t>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ele, okrugle, bikonveksne tablete sa pod</w:t>
      </w:r>
      <w:r>
        <w:rPr>
          <w:rFonts w:ascii="Microsoft Sans Serif" w:hAnsi="Microsoft Sans Serif" w:cs="Microsoft Sans Serif"/>
          <w:sz w:val="20"/>
          <w:szCs w:val="20"/>
          <w:lang w:val="sr-Latn-RS"/>
        </w:rPr>
        <w:t>i</w:t>
      </w:r>
      <w:r>
        <w:rPr>
          <w:rFonts w:ascii="Microsoft Sans Serif" w:hAnsi="Microsoft Sans Serif" w:cs="Microsoft Sans Serif"/>
          <w:sz w:val="20"/>
          <w:szCs w:val="20"/>
          <w:lang w:val="sr-Cyrl-RS"/>
        </w:rPr>
        <w:t>onom linijom na ob</w:t>
      </w:r>
      <w:r>
        <w:rPr>
          <w:rFonts w:ascii="Microsoft Sans Serif" w:hAnsi="Microsoft Sans Serif" w:cs="Microsoft Sans Serif"/>
          <w:sz w:val="20"/>
          <w:szCs w:val="20"/>
        </w:rPr>
        <w:t>j</w:t>
      </w:r>
      <w:r>
        <w:rPr>
          <w:rFonts w:ascii="Microsoft Sans Serif" w:hAnsi="Microsoft Sans Serif" w:cs="Microsoft Sans Serif"/>
          <w:sz w:val="20"/>
          <w:szCs w:val="20"/>
          <w:lang w:val="sr-Cyrl-RS"/>
        </w:rPr>
        <w:t>e strane, na jednoj strani tableta ima utisnutu oznaku „E9O</w:t>
      </w:r>
      <w:r>
        <w:rPr>
          <w:rFonts w:ascii="Microsoft Sans Serif" w:hAnsi="Microsoft Sans Serif" w:cs="Microsoft Sans Serif"/>
          <w:sz w:val="20"/>
          <w:szCs w:val="20"/>
        </w:rPr>
        <w:t>B</w:t>
      </w:r>
      <w:r>
        <w:rPr>
          <w:rFonts w:ascii="Microsoft Sans Serif" w:hAnsi="Microsoft Sans Serif" w:cs="Microsoft Sans Serif"/>
          <w:sz w:val="20"/>
          <w:szCs w:val="20"/>
          <w:lang w:val="sr-Cyrl-RS"/>
        </w:rPr>
        <w:t>“ iznad podione linije i „100“ ispod podione linije</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Tableta može biti pod</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lјena na jednake doze.</w:t>
      </w:r>
    </w:p>
    <w:p w14:paraId="62B8D66D">
      <w:pPr>
        <w:tabs>
          <w:tab w:val="left" w:pos="567"/>
          <w:tab w:val="clear" w:pos="284"/>
        </w:tabs>
        <w:rPr>
          <w:rFonts w:ascii="Microsoft Sans Serif" w:hAnsi="Microsoft Sans Serif" w:cs="Microsoft Sans Serif"/>
          <w:sz w:val="20"/>
          <w:szCs w:val="20"/>
          <w:lang w:val="en-GB"/>
        </w:rPr>
      </w:pPr>
    </w:p>
    <w:p w14:paraId="0D54C2F0">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u w:val="single"/>
          <w:lang w:val="en-GB"/>
        </w:rPr>
        <w:t>Fokleros, 150 mg, film tablete:</w:t>
      </w:r>
      <w:r>
        <w:rPr>
          <w:rFonts w:ascii="Microsoft Sans Serif" w:hAnsi="Microsoft Sans Serif" w:cs="Microsoft Sans Serif"/>
          <w:sz w:val="20"/>
          <w:szCs w:val="20"/>
          <w:lang w:val="en-GB"/>
        </w:rPr>
        <w:t xml:space="preserve"> </w:t>
      </w:r>
      <w:r>
        <w:rPr>
          <w:rFonts w:ascii="Microsoft Sans Serif" w:hAnsi="Microsoft Sans Serif" w:cs="Microsoft Sans Serif"/>
          <w:sz w:val="20"/>
          <w:szCs w:val="20"/>
          <w:lang w:val="sr-Cyrl-RS"/>
        </w:rPr>
        <w:t>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ele, okrugle, bikonveksne tablete sa utisnutom oznakom „E9O</w:t>
      </w:r>
      <w:r>
        <w:rPr>
          <w:rFonts w:ascii="Microsoft Sans Serif" w:hAnsi="Microsoft Sans Serif" w:cs="Microsoft Sans Serif"/>
          <w:sz w:val="20"/>
          <w:szCs w:val="20"/>
        </w:rPr>
        <w:t>B</w:t>
      </w:r>
      <w:r>
        <w:rPr>
          <w:rFonts w:ascii="Microsoft Sans Serif" w:hAnsi="Microsoft Sans Serif" w:cs="Microsoft Sans Serif"/>
          <w:sz w:val="20"/>
          <w:szCs w:val="20"/>
          <w:lang w:val="sr-Cyrl-RS"/>
        </w:rPr>
        <w:t>“ na jednoj strani i oznakom „150“ na drugoj strani</w:t>
      </w:r>
      <w:r>
        <w:rPr>
          <w:rFonts w:ascii="Microsoft Sans Serif" w:hAnsi="Microsoft Sans Serif" w:cs="Microsoft Sans Serif"/>
          <w:sz w:val="20"/>
          <w:szCs w:val="20"/>
        </w:rPr>
        <w:t>.</w:t>
      </w:r>
      <w:r>
        <w:rPr>
          <w:rFonts w:ascii="Microsoft Sans Serif" w:hAnsi="Microsoft Sans Serif" w:cs="Microsoft Sans Serif"/>
          <w:sz w:val="20"/>
          <w:szCs w:val="20"/>
          <w:lang w:val="sr-Latn-RS"/>
        </w:rPr>
        <w:t xml:space="preserve"> </w:t>
      </w:r>
    </w:p>
    <w:p w14:paraId="07C72D82">
      <w:pPr>
        <w:tabs>
          <w:tab w:val="left" w:pos="567"/>
          <w:tab w:val="clear" w:pos="284"/>
        </w:tabs>
        <w:rPr>
          <w:rFonts w:ascii="Microsoft Sans Serif" w:hAnsi="Microsoft Sans Serif" w:cs="Microsoft Sans Serif"/>
          <w:sz w:val="20"/>
          <w:szCs w:val="20"/>
          <w:lang w:val="en-GB"/>
        </w:rPr>
      </w:pPr>
    </w:p>
    <w:p w14:paraId="0776854B">
      <w:pPr>
        <w:pStyle w:val="26"/>
        <w:spacing w:before="0" w:after="0"/>
        <w:jc w:val="both"/>
        <w:rPr>
          <w:rFonts w:ascii="Microsoft Sans Serif" w:hAnsi="Microsoft Sans Serif" w:cs="Microsoft Sans Serif"/>
          <w:sz w:val="20"/>
          <w:szCs w:val="20"/>
        </w:rPr>
      </w:pPr>
    </w:p>
    <w:p w14:paraId="3AC227EA">
      <w:pPr>
        <w:pStyle w:val="26"/>
        <w:spacing w:before="0" w:after="0"/>
        <w:jc w:val="both"/>
        <w:rPr>
          <w:rFonts w:ascii="Microsoft Sans Serif" w:hAnsi="Microsoft Sans Serif" w:cs="Microsoft Sans Serif"/>
          <w:sz w:val="20"/>
          <w:szCs w:val="20"/>
        </w:rPr>
      </w:pPr>
      <w:r>
        <w:rPr>
          <w:rFonts w:ascii="Microsoft Sans Serif" w:hAnsi="Microsoft Sans Serif" w:cs="Microsoft Sans Serif"/>
          <w:sz w:val="20"/>
          <w:szCs w:val="20"/>
        </w:rPr>
        <w:t>4. KLINIČKI PODACI</w:t>
      </w:r>
    </w:p>
    <w:p w14:paraId="4581FDF2">
      <w:pPr>
        <w:rPr>
          <w:rFonts w:ascii="Microsoft Sans Serif" w:hAnsi="Microsoft Sans Serif" w:cs="Microsoft Sans Serif"/>
          <w:b/>
          <w:bCs/>
          <w:sz w:val="20"/>
          <w:szCs w:val="20"/>
        </w:rPr>
      </w:pPr>
    </w:p>
    <w:p w14:paraId="26F800C3">
      <w:pPr>
        <w:rPr>
          <w:rFonts w:ascii="Microsoft Sans Serif" w:hAnsi="Microsoft Sans Serif" w:cs="Microsoft Sans Serif"/>
          <w:b/>
          <w:bCs/>
          <w:sz w:val="20"/>
          <w:szCs w:val="20"/>
        </w:rPr>
      </w:pPr>
      <w:r>
        <w:rPr>
          <w:rFonts w:ascii="Microsoft Sans Serif" w:hAnsi="Microsoft Sans Serif" w:cs="Microsoft Sans Serif"/>
          <w:b/>
          <w:bCs/>
          <w:sz w:val="20"/>
          <w:szCs w:val="20"/>
        </w:rPr>
        <w:t>4.1. Terapijske indikacije</w:t>
      </w:r>
    </w:p>
    <w:p w14:paraId="6D4E2DAB">
      <w:pPr>
        <w:rPr>
          <w:rFonts w:ascii="Microsoft Sans Serif" w:hAnsi="Microsoft Sans Serif" w:cs="Microsoft Sans Serif"/>
          <w:b/>
          <w:bCs/>
          <w:sz w:val="20"/>
          <w:szCs w:val="20"/>
        </w:rPr>
      </w:pPr>
    </w:p>
    <w:p w14:paraId="0299DE4C">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Nemikrocelularni karcinom pluća (engl.</w:t>
      </w:r>
      <w:r>
        <w:rPr>
          <w:rFonts w:ascii="Microsoft Sans Serif" w:hAnsi="Microsoft Sans Serif" w:cs="Microsoft Sans Serif"/>
          <w:sz w:val="20"/>
          <w:szCs w:val="20"/>
          <w:u w:val="single"/>
        </w:rPr>
        <w:t xml:space="preserve"> </w:t>
      </w:r>
      <w:r>
        <w:rPr>
          <w:rFonts w:ascii="Microsoft Sans Serif" w:hAnsi="Microsoft Sans Serif" w:cs="Microsoft Sans Serif"/>
          <w:i/>
          <w:sz w:val="20"/>
          <w:szCs w:val="20"/>
          <w:u w:val="single"/>
        </w:rPr>
        <w:t>Non-Small Cell Lung Cancer</w:t>
      </w:r>
      <w:r>
        <w:rPr>
          <w:rFonts w:ascii="Microsoft Sans Serif" w:hAnsi="Microsoft Sans Serif" w:cs="Microsoft Sans Serif"/>
          <w:sz w:val="20"/>
          <w:szCs w:val="20"/>
          <w:u w:val="single"/>
        </w:rPr>
        <w:t xml:space="preserve"> - NSCLC</w:t>
      </w:r>
      <w:r>
        <w:rPr>
          <w:rFonts w:ascii="Microsoft Sans Serif" w:hAnsi="Microsoft Sans Serif" w:cs="Microsoft Sans Serif"/>
          <w:bCs/>
          <w:sz w:val="20"/>
          <w:szCs w:val="20"/>
          <w:u w:val="single"/>
        </w:rPr>
        <w:t>)</w:t>
      </w:r>
    </w:p>
    <w:p w14:paraId="4C3D27C9">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Lijek </w:t>
      </w:r>
      <w:r>
        <w:rPr>
          <w:rFonts w:ascii="Microsoft Sans Serif" w:hAnsi="Microsoft Sans Serif" w:cs="Microsoft Sans Serif"/>
          <w:sz w:val="20"/>
          <w:szCs w:val="20"/>
          <w:lang w:val="en-GB"/>
        </w:rPr>
        <w:t xml:space="preserve">Fokleros </w:t>
      </w:r>
      <w:r>
        <w:rPr>
          <w:rFonts w:ascii="Microsoft Sans Serif" w:hAnsi="Microsoft Sans Serif" w:cs="Microsoft Sans Serif"/>
          <w:bCs/>
          <w:sz w:val="20"/>
          <w:szCs w:val="20"/>
        </w:rPr>
        <w:t>je indikovan kao terapija prve linije kod pacijenata sa lokalno uznapredovalim ili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 xml:space="preserve">metastatskim nemikrocelularnim karcinomom pluća (NSCLC) sa EGFR (engl. </w:t>
      </w:r>
      <w:r>
        <w:rPr>
          <w:rFonts w:ascii="Microsoft Sans Serif" w:hAnsi="Microsoft Sans Serif" w:cs="Microsoft Sans Serif"/>
          <w:i/>
          <w:sz w:val="20"/>
          <w:szCs w:val="20"/>
        </w:rPr>
        <w:t>epidermal growth factor receptor</w:t>
      </w:r>
      <w:r>
        <w:rPr>
          <w:rFonts w:ascii="Microsoft Sans Serif" w:hAnsi="Microsoft Sans Serif" w:cs="Microsoft Sans Serif"/>
          <w:bCs/>
          <w:sz w:val="20"/>
          <w:szCs w:val="20"/>
        </w:rPr>
        <w:t>– receptor za epidermalni faktor rasta) aktivirajućim mutacijama.</w:t>
      </w:r>
    </w:p>
    <w:p w14:paraId="5733F600">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Lijek </w:t>
      </w:r>
      <w:r>
        <w:rPr>
          <w:rFonts w:ascii="Microsoft Sans Serif" w:hAnsi="Microsoft Sans Serif" w:cs="Microsoft Sans Serif"/>
          <w:sz w:val="20"/>
          <w:szCs w:val="20"/>
          <w:lang w:val="en-GB"/>
        </w:rPr>
        <w:t xml:space="preserve">Fokleros </w:t>
      </w:r>
      <w:r>
        <w:rPr>
          <w:rFonts w:ascii="Microsoft Sans Serif" w:hAnsi="Microsoft Sans Serif" w:cs="Microsoft Sans Serif"/>
          <w:bCs/>
          <w:sz w:val="20"/>
          <w:szCs w:val="20"/>
        </w:rPr>
        <w:t>je takođe indikovan za terapiju održavanja (</w:t>
      </w:r>
      <w:r>
        <w:rPr>
          <w:rFonts w:ascii="Microsoft Sans Serif" w:hAnsi="Microsoft Sans Serif" w:cs="Microsoft Sans Serif"/>
          <w:bCs/>
          <w:i/>
          <w:sz w:val="20"/>
          <w:szCs w:val="20"/>
        </w:rPr>
        <w:t>eng. switch maintenance</w:t>
      </w:r>
      <w:r>
        <w:rPr>
          <w:rFonts w:ascii="Microsoft Sans Serif" w:hAnsi="Microsoft Sans Serif" w:cs="Microsoft Sans Serif"/>
          <w:bCs/>
          <w:sz w:val="20"/>
          <w:szCs w:val="20"/>
        </w:rPr>
        <w:t>) kod pacijenata sa lokalno uznapredovalim ili metastatskim NSCLC sa EGFR aktivirajućim mutacijama i stabilnom bolešću nakon prve linije hemioterapije.</w:t>
      </w:r>
    </w:p>
    <w:p w14:paraId="752BB567">
      <w:pPr>
        <w:rPr>
          <w:rFonts w:ascii="Microsoft Sans Serif" w:hAnsi="Microsoft Sans Serif" w:cs="Microsoft Sans Serif"/>
          <w:bCs/>
          <w:sz w:val="20"/>
          <w:szCs w:val="20"/>
        </w:rPr>
      </w:pPr>
    </w:p>
    <w:p w14:paraId="78EEB420">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Lijek </w:t>
      </w:r>
      <w:r>
        <w:rPr>
          <w:rFonts w:ascii="Microsoft Sans Serif" w:hAnsi="Microsoft Sans Serif" w:cs="Microsoft Sans Serif"/>
          <w:sz w:val="20"/>
          <w:szCs w:val="20"/>
          <w:lang w:val="en-GB"/>
        </w:rPr>
        <w:t xml:space="preserve">Fokleros </w:t>
      </w:r>
      <w:r>
        <w:rPr>
          <w:rFonts w:ascii="Microsoft Sans Serif" w:hAnsi="Microsoft Sans Serif" w:cs="Microsoft Sans Serif"/>
          <w:bCs/>
          <w:sz w:val="20"/>
          <w:szCs w:val="20"/>
        </w:rPr>
        <w:t xml:space="preserve">je takođe indikovan u terapiji pacijenata sa lokalno uznapredovalim ili metastatskim NSCLC nakon neuspjeha bar jednog prethodnog režima hemioterapije. Kod pacijenata sa tumorima bez EGFR aktivirajućih mutacija, lijek </w:t>
      </w:r>
      <w:r>
        <w:rPr>
          <w:rFonts w:ascii="Microsoft Sans Serif" w:hAnsi="Microsoft Sans Serif" w:cs="Microsoft Sans Serif"/>
          <w:sz w:val="20"/>
          <w:szCs w:val="20"/>
          <w:lang w:val="en-GB"/>
        </w:rPr>
        <w:t xml:space="preserve">Fokleros </w:t>
      </w:r>
      <w:r>
        <w:rPr>
          <w:rFonts w:ascii="Microsoft Sans Serif" w:hAnsi="Microsoft Sans Serif" w:cs="Microsoft Sans Serif"/>
          <w:bCs/>
          <w:sz w:val="20"/>
          <w:szCs w:val="20"/>
        </w:rPr>
        <w:t>je indikovan kada se druge terapijske opcije ne smatraju odgovarajućim.</w:t>
      </w:r>
    </w:p>
    <w:p w14:paraId="0BB090D3">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Prilikom propisivanja lijeka </w:t>
      </w:r>
      <w:r>
        <w:rPr>
          <w:rFonts w:ascii="Microsoft Sans Serif" w:hAnsi="Microsoft Sans Serif" w:cs="Microsoft Sans Serif"/>
          <w:sz w:val="20"/>
          <w:szCs w:val="20"/>
          <w:lang w:val="en-GB"/>
        </w:rPr>
        <w:t>Fokleros</w:t>
      </w:r>
      <w:r>
        <w:rPr>
          <w:rFonts w:ascii="Microsoft Sans Serif" w:hAnsi="Microsoft Sans Serif" w:cs="Microsoft Sans Serif"/>
          <w:bCs/>
          <w:sz w:val="20"/>
          <w:szCs w:val="20"/>
        </w:rPr>
        <w:t xml:space="preserve">, treba uzeti u obzir faktore </w:t>
      </w:r>
      <w:r>
        <w:rPr>
          <w:rFonts w:ascii="Microsoft Sans Serif" w:hAnsi="Microsoft Sans Serif" w:cs="Microsoft Sans Serif"/>
          <w:bCs/>
          <w:sz w:val="20"/>
          <w:szCs w:val="20"/>
          <w:lang w:val="mk-MK"/>
        </w:rPr>
        <w:t>po</w:t>
      </w:r>
      <w:r>
        <w:rPr>
          <w:rFonts w:ascii="Microsoft Sans Serif" w:hAnsi="Microsoft Sans Serif" w:cs="Microsoft Sans Serif"/>
          <w:bCs/>
          <w:sz w:val="20"/>
          <w:szCs w:val="20"/>
        </w:rPr>
        <w:t>vezane sa produženim preživlјavanjem.</w:t>
      </w:r>
    </w:p>
    <w:p w14:paraId="725C7656">
      <w:pPr>
        <w:rPr>
          <w:rFonts w:ascii="Microsoft Sans Serif" w:hAnsi="Microsoft Sans Serif" w:cs="Microsoft Sans Serif"/>
          <w:bCs/>
          <w:sz w:val="20"/>
          <w:szCs w:val="20"/>
        </w:rPr>
      </w:pPr>
    </w:p>
    <w:p w14:paraId="040F7745">
      <w:pPr>
        <w:rPr>
          <w:rFonts w:ascii="Microsoft Sans Serif" w:hAnsi="Microsoft Sans Serif" w:cs="Microsoft Sans Serif"/>
          <w:bCs/>
          <w:sz w:val="20"/>
          <w:szCs w:val="20"/>
        </w:rPr>
      </w:pPr>
      <w:r>
        <w:rPr>
          <w:rFonts w:ascii="Microsoft Sans Serif" w:hAnsi="Microsoft Sans Serif" w:cs="Microsoft Sans Serif"/>
          <w:bCs/>
          <w:sz w:val="20"/>
          <w:szCs w:val="20"/>
        </w:rPr>
        <w:t>Kod pacijenata sa EGFR-IHC negativnim tumorima nije dokazan benefit preživlјavanja, kao ni drugi klinički relevantni efekti terapije (pogledati dio 5.1).</w:t>
      </w:r>
    </w:p>
    <w:p w14:paraId="21DC7527">
      <w:pPr>
        <w:rPr>
          <w:rFonts w:ascii="Microsoft Sans Serif" w:hAnsi="Microsoft Sans Serif" w:cs="Microsoft Sans Serif"/>
          <w:bCs/>
          <w:sz w:val="20"/>
          <w:szCs w:val="20"/>
          <w:u w:val="single"/>
        </w:rPr>
      </w:pPr>
    </w:p>
    <w:p w14:paraId="605F4F6E">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Karcinom pankreasa</w:t>
      </w:r>
    </w:p>
    <w:p w14:paraId="4CFD5F94">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Lijek </w:t>
      </w:r>
      <w:r>
        <w:rPr>
          <w:rFonts w:ascii="Microsoft Sans Serif" w:hAnsi="Microsoft Sans Serif" w:cs="Microsoft Sans Serif"/>
          <w:sz w:val="20"/>
          <w:szCs w:val="20"/>
          <w:lang w:val="en-GB"/>
        </w:rPr>
        <w:t xml:space="preserve">Fokleros </w:t>
      </w:r>
      <w:r>
        <w:rPr>
          <w:rFonts w:ascii="Microsoft Sans Serif" w:hAnsi="Microsoft Sans Serif" w:cs="Microsoft Sans Serif"/>
          <w:bCs/>
          <w:sz w:val="20"/>
          <w:szCs w:val="20"/>
        </w:rPr>
        <w:t>je u kombinaciji sa gemcitabinom indikovan u terapiji metastatskog karcinoma pankreasa.</w:t>
      </w:r>
    </w:p>
    <w:p w14:paraId="0CE60EE4">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Prilikom propisivanja lijeka </w:t>
      </w:r>
      <w:r>
        <w:rPr>
          <w:rFonts w:ascii="Microsoft Sans Serif" w:hAnsi="Microsoft Sans Serif" w:cs="Microsoft Sans Serif"/>
          <w:sz w:val="20"/>
          <w:szCs w:val="20"/>
          <w:lang w:val="en-GB"/>
        </w:rPr>
        <w:t>Fokleros</w:t>
      </w:r>
      <w:r>
        <w:rPr>
          <w:rFonts w:ascii="Microsoft Sans Serif" w:hAnsi="Microsoft Sans Serif" w:cs="Microsoft Sans Serif"/>
          <w:bCs/>
          <w:sz w:val="20"/>
          <w:szCs w:val="20"/>
        </w:rPr>
        <w:t xml:space="preserve">, treba uzeti u obzir faktore </w:t>
      </w:r>
      <w:r>
        <w:rPr>
          <w:rFonts w:ascii="Microsoft Sans Serif" w:hAnsi="Microsoft Sans Serif" w:cs="Microsoft Sans Serif"/>
          <w:bCs/>
          <w:sz w:val="20"/>
          <w:szCs w:val="20"/>
          <w:lang w:val="mk-MK"/>
        </w:rPr>
        <w:t>po</w:t>
      </w:r>
      <w:r>
        <w:rPr>
          <w:rFonts w:ascii="Microsoft Sans Serif" w:hAnsi="Microsoft Sans Serif" w:cs="Microsoft Sans Serif"/>
          <w:bCs/>
          <w:sz w:val="20"/>
          <w:szCs w:val="20"/>
        </w:rPr>
        <w:t>vezane sa produženim</w:t>
      </w:r>
      <w:r>
        <w:rPr>
          <w:rFonts w:ascii="Microsoft Sans Serif" w:hAnsi="Microsoft Sans Serif" w:cs="Microsoft Sans Serif"/>
          <w:bCs/>
          <w:sz w:val="20"/>
          <w:szCs w:val="20"/>
          <w:lang w:val="mk-MK"/>
        </w:rPr>
        <w:t xml:space="preserve"> </w:t>
      </w:r>
      <w:r>
        <w:rPr>
          <w:rFonts w:ascii="Microsoft Sans Serif" w:hAnsi="Microsoft Sans Serif" w:cs="Microsoft Sans Serif"/>
          <w:bCs/>
          <w:sz w:val="20"/>
          <w:szCs w:val="20"/>
        </w:rPr>
        <w:t>preživlјavanjem (pogledati dijelove 4.2 i 5.1).</w:t>
      </w:r>
    </w:p>
    <w:p w14:paraId="6875D380">
      <w:pPr>
        <w:rPr>
          <w:rFonts w:ascii="Microsoft Sans Serif" w:hAnsi="Microsoft Sans Serif" w:cs="Microsoft Sans Serif"/>
          <w:bCs/>
          <w:sz w:val="20"/>
          <w:szCs w:val="20"/>
        </w:rPr>
      </w:pPr>
    </w:p>
    <w:p w14:paraId="54C7B7AB">
      <w:pPr>
        <w:rPr>
          <w:rFonts w:ascii="Microsoft Sans Serif" w:hAnsi="Microsoft Sans Serif" w:cs="Microsoft Sans Serif"/>
          <w:bCs/>
          <w:sz w:val="20"/>
          <w:szCs w:val="20"/>
        </w:rPr>
      </w:pPr>
      <w:r>
        <w:rPr>
          <w:rFonts w:ascii="Microsoft Sans Serif" w:hAnsi="Microsoft Sans Serif" w:cs="Microsoft Sans Serif"/>
          <w:bCs/>
          <w:sz w:val="20"/>
          <w:szCs w:val="20"/>
        </w:rPr>
        <w:t>Kod pacijenata sa lokalno uznapredovalom bolešću ni</w:t>
      </w:r>
      <w:r>
        <w:rPr>
          <w:rFonts w:ascii="Microsoft Sans Serif" w:hAnsi="Microsoft Sans Serif" w:cs="Microsoft Sans Serif"/>
          <w:bCs/>
          <w:sz w:val="20"/>
          <w:szCs w:val="20"/>
          <w:lang w:val="mk-MK"/>
        </w:rPr>
        <w:t>su</w:t>
      </w:r>
      <w:r>
        <w:rPr>
          <w:rFonts w:ascii="Microsoft Sans Serif" w:hAnsi="Microsoft Sans Serif" w:cs="Microsoft Sans Serif"/>
          <w:bCs/>
          <w:sz w:val="20"/>
          <w:szCs w:val="20"/>
        </w:rPr>
        <w:t xml:space="preserve"> dokazan</w:t>
      </w:r>
      <w:r>
        <w:rPr>
          <w:rFonts w:ascii="Microsoft Sans Serif" w:hAnsi="Microsoft Sans Serif" w:cs="Microsoft Sans Serif"/>
          <w:bCs/>
          <w:sz w:val="20"/>
          <w:szCs w:val="20"/>
          <w:lang w:val="sr-Latn-RS"/>
        </w:rPr>
        <w:t>e</w:t>
      </w:r>
      <w:r>
        <w:rPr>
          <w:rFonts w:ascii="Microsoft Sans Serif" w:hAnsi="Microsoft Sans Serif" w:cs="Microsoft Sans Serif"/>
          <w:bCs/>
          <w:sz w:val="20"/>
          <w:szCs w:val="20"/>
        </w:rPr>
        <w:t xml:space="preserve"> p</w:t>
      </w:r>
      <w:r>
        <w:rPr>
          <w:rFonts w:ascii="Microsoft Sans Serif" w:hAnsi="Microsoft Sans Serif" w:cs="Microsoft Sans Serif"/>
          <w:bCs/>
          <w:sz w:val="20"/>
          <w:szCs w:val="20"/>
          <w:lang w:val="mk-MK"/>
        </w:rPr>
        <w:t>rednosti</w:t>
      </w:r>
      <w:r>
        <w:rPr>
          <w:rFonts w:ascii="Microsoft Sans Serif" w:hAnsi="Microsoft Sans Serif" w:cs="Microsoft Sans Serif"/>
          <w:bCs/>
          <w:sz w:val="20"/>
          <w:szCs w:val="20"/>
        </w:rPr>
        <w:t xml:space="preserve"> u</w:t>
      </w:r>
      <w:r>
        <w:rPr>
          <w:rFonts w:ascii="Microsoft Sans Serif" w:hAnsi="Microsoft Sans Serif" w:cs="Microsoft Sans Serif"/>
          <w:bCs/>
          <w:sz w:val="20"/>
          <w:szCs w:val="20"/>
          <w:lang w:val="mk-MK"/>
        </w:rPr>
        <w:t xml:space="preserve"> odnosu na</w:t>
      </w:r>
      <w:r>
        <w:rPr>
          <w:rFonts w:ascii="Microsoft Sans Serif" w:hAnsi="Microsoft Sans Serif" w:cs="Microsoft Sans Serif"/>
          <w:bCs/>
          <w:sz w:val="20"/>
          <w:szCs w:val="20"/>
        </w:rPr>
        <w:t xml:space="preserve"> preživlјavanje.</w:t>
      </w:r>
    </w:p>
    <w:p w14:paraId="4C2E8BC5">
      <w:pPr>
        <w:rPr>
          <w:rFonts w:ascii="Microsoft Sans Serif" w:hAnsi="Microsoft Sans Serif" w:cs="Microsoft Sans Serif"/>
          <w:bCs/>
          <w:sz w:val="20"/>
          <w:szCs w:val="20"/>
        </w:rPr>
      </w:pPr>
    </w:p>
    <w:p w14:paraId="575454AE">
      <w:pPr>
        <w:rPr>
          <w:rFonts w:ascii="Microsoft Sans Serif" w:hAnsi="Microsoft Sans Serif" w:cs="Microsoft Sans Serif"/>
          <w:b/>
          <w:bCs/>
          <w:sz w:val="20"/>
          <w:szCs w:val="20"/>
        </w:rPr>
      </w:pPr>
      <w:r>
        <w:rPr>
          <w:rFonts w:ascii="Microsoft Sans Serif" w:hAnsi="Microsoft Sans Serif" w:cs="Microsoft Sans Serif"/>
          <w:b/>
          <w:bCs/>
          <w:sz w:val="20"/>
          <w:szCs w:val="20"/>
        </w:rPr>
        <w:t>4.2. Doziranje i način primjene</w:t>
      </w:r>
    </w:p>
    <w:p w14:paraId="7553FAD3">
      <w:pPr>
        <w:rPr>
          <w:rFonts w:ascii="Microsoft Sans Serif" w:hAnsi="Microsoft Sans Serif" w:cs="Microsoft Sans Serif"/>
          <w:b/>
          <w:bCs/>
          <w:sz w:val="20"/>
          <w:szCs w:val="20"/>
        </w:rPr>
      </w:pPr>
    </w:p>
    <w:p w14:paraId="3E88F2CE">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Terapiju lijekom </w:t>
      </w:r>
      <w:r>
        <w:rPr>
          <w:rFonts w:ascii="Microsoft Sans Serif" w:hAnsi="Microsoft Sans Serif" w:cs="Microsoft Sans Serif"/>
          <w:sz w:val="20"/>
          <w:szCs w:val="20"/>
          <w:lang w:val="en-GB"/>
        </w:rPr>
        <w:t xml:space="preserve">Fokleros </w:t>
      </w:r>
      <w:r>
        <w:rPr>
          <w:rFonts w:ascii="Microsoft Sans Serif" w:hAnsi="Microsoft Sans Serif" w:cs="Microsoft Sans Serif"/>
          <w:bCs/>
          <w:sz w:val="20"/>
          <w:szCs w:val="20"/>
        </w:rPr>
        <w:t xml:space="preserve">treba da nadgleda ljekar sa iskustvom u primjeni </w:t>
      </w:r>
      <w:r>
        <w:rPr>
          <w:rFonts w:ascii="Microsoft Sans Serif" w:hAnsi="Microsoft Sans Serif" w:cs="Microsoft Sans Serif"/>
          <w:bCs/>
          <w:sz w:val="20"/>
          <w:szCs w:val="20"/>
          <w:lang w:val="sr-Cyrl-RS"/>
        </w:rPr>
        <w:t xml:space="preserve">lijekova za liječenje </w:t>
      </w:r>
      <w:r>
        <w:rPr>
          <w:rFonts w:ascii="Microsoft Sans Serif" w:hAnsi="Microsoft Sans Serif" w:cs="Microsoft Sans Serif"/>
          <w:bCs/>
          <w:sz w:val="20"/>
          <w:szCs w:val="20"/>
        </w:rPr>
        <w:t>kancera.</w:t>
      </w:r>
    </w:p>
    <w:p w14:paraId="1E7FA039">
      <w:pPr>
        <w:rPr>
          <w:rFonts w:ascii="Microsoft Sans Serif" w:hAnsi="Microsoft Sans Serif" w:cs="Microsoft Sans Serif"/>
          <w:bCs/>
          <w:sz w:val="20"/>
          <w:szCs w:val="20"/>
        </w:rPr>
      </w:pPr>
    </w:p>
    <w:p w14:paraId="26D79869">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Pacijenti sa nemikrocelularnim karcinomom pluća</w:t>
      </w:r>
      <w:r>
        <w:rPr>
          <w:rFonts w:ascii="Microsoft Sans Serif" w:hAnsi="Microsoft Sans Serif" w:cs="Microsoft Sans Serif" w:eastAsiaTheme="minorHAnsi"/>
          <w:sz w:val="20"/>
          <w:szCs w:val="20"/>
          <w:u w:val="single"/>
        </w:rPr>
        <w:t xml:space="preserve"> (eng. </w:t>
      </w:r>
      <w:r>
        <w:rPr>
          <w:rFonts w:ascii="Microsoft Sans Serif" w:hAnsi="Microsoft Sans Serif" w:cs="Microsoft Sans Serif" w:eastAsiaTheme="minorHAnsi"/>
          <w:i/>
          <w:iCs/>
          <w:sz w:val="20"/>
          <w:szCs w:val="20"/>
          <w:u w:val="single"/>
        </w:rPr>
        <w:t xml:space="preserve">Non-Small Cell Lung Cancer </w:t>
      </w:r>
      <w:r>
        <w:rPr>
          <w:rFonts w:ascii="Microsoft Sans Serif" w:hAnsi="Microsoft Sans Serif" w:cs="Microsoft Sans Serif" w:eastAsiaTheme="minorHAnsi"/>
          <w:sz w:val="20"/>
          <w:szCs w:val="20"/>
          <w:u w:val="single"/>
        </w:rPr>
        <w:t>- NSCLC)</w:t>
      </w:r>
    </w:p>
    <w:p w14:paraId="37FECA3D">
      <w:pPr>
        <w:rPr>
          <w:rFonts w:ascii="Microsoft Sans Serif" w:hAnsi="Microsoft Sans Serif" w:cs="Microsoft Sans Serif"/>
          <w:bCs/>
          <w:sz w:val="20"/>
          <w:szCs w:val="20"/>
        </w:rPr>
      </w:pPr>
      <w:r>
        <w:rPr>
          <w:rFonts w:ascii="Microsoft Sans Serif" w:hAnsi="Microsoft Sans Serif" w:cs="Microsoft Sans Serif"/>
          <w:bCs/>
          <w:sz w:val="20"/>
          <w:szCs w:val="20"/>
        </w:rPr>
        <w:t>Treba sprovesti testiranje na EGFR mutaciju u skladu sa odobrenim indikacijama (pogledati dio 4.1).</w:t>
      </w:r>
    </w:p>
    <w:p w14:paraId="7C3AA532">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Preporučena dnevna doza lijeka </w:t>
      </w:r>
      <w:r>
        <w:rPr>
          <w:rFonts w:ascii="Microsoft Sans Serif" w:hAnsi="Microsoft Sans Serif" w:cs="Microsoft Sans Serif"/>
          <w:sz w:val="20"/>
          <w:szCs w:val="20"/>
          <w:lang w:val="en-GB"/>
        </w:rPr>
        <w:t xml:space="preserve">Fokleros </w:t>
      </w:r>
      <w:r>
        <w:rPr>
          <w:rFonts w:ascii="Microsoft Sans Serif" w:hAnsi="Microsoft Sans Serif" w:cs="Microsoft Sans Serif"/>
          <w:bCs/>
          <w:sz w:val="20"/>
          <w:szCs w:val="20"/>
        </w:rPr>
        <w:t>je 150 mg, primjenjena najmanje jedan sat prije ili dva</w:t>
      </w:r>
      <w:r>
        <w:rPr>
          <w:rFonts w:ascii="Microsoft Sans Serif" w:hAnsi="Microsoft Sans Serif" w:cs="Microsoft Sans Serif"/>
          <w:bCs/>
          <w:sz w:val="20"/>
          <w:szCs w:val="20"/>
          <w:lang w:val="mk-MK"/>
        </w:rPr>
        <w:t xml:space="preserve"> </w:t>
      </w:r>
      <w:r>
        <w:rPr>
          <w:rFonts w:ascii="Microsoft Sans Serif" w:hAnsi="Microsoft Sans Serif" w:cs="Microsoft Sans Serif"/>
          <w:bCs/>
          <w:sz w:val="20"/>
          <w:szCs w:val="20"/>
        </w:rPr>
        <w:t>sata nakon unosa hrane.</w:t>
      </w:r>
    </w:p>
    <w:p w14:paraId="1711AF5D">
      <w:pPr>
        <w:rPr>
          <w:rFonts w:ascii="Microsoft Sans Serif" w:hAnsi="Microsoft Sans Serif" w:cs="Microsoft Sans Serif"/>
          <w:bCs/>
          <w:sz w:val="20"/>
          <w:szCs w:val="20"/>
        </w:rPr>
      </w:pPr>
    </w:p>
    <w:p w14:paraId="70E07762">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Pacijenti sa karcinomom pankreasa</w:t>
      </w:r>
    </w:p>
    <w:p w14:paraId="3939FB17">
      <w:pPr>
        <w:rPr>
          <w:rFonts w:ascii="Microsoft Sans Serif" w:hAnsi="Microsoft Sans Serif" w:cs="Microsoft Sans Serif"/>
          <w:bCs/>
          <w:sz w:val="20"/>
          <w:szCs w:val="20"/>
          <w:lang w:val="mk-MK"/>
        </w:rPr>
      </w:pPr>
      <w:r>
        <w:rPr>
          <w:rFonts w:ascii="Microsoft Sans Serif" w:hAnsi="Microsoft Sans Serif" w:cs="Microsoft Sans Serif"/>
          <w:bCs/>
          <w:sz w:val="20"/>
          <w:szCs w:val="20"/>
        </w:rPr>
        <w:t>Preporučena dnevna doza lijeka</w:t>
      </w:r>
      <w:r>
        <w:rPr>
          <w:rFonts w:ascii="Microsoft Sans Serif" w:hAnsi="Microsoft Sans Serif" w:cs="Microsoft Sans Serif"/>
          <w:sz w:val="20"/>
          <w:szCs w:val="20"/>
          <w:lang w:val="en-GB"/>
        </w:rPr>
        <w:t xml:space="preserve"> Fokleros </w:t>
      </w:r>
      <w:r>
        <w:rPr>
          <w:rFonts w:ascii="Microsoft Sans Serif" w:hAnsi="Microsoft Sans Serif" w:cs="Microsoft Sans Serif"/>
          <w:bCs/>
          <w:sz w:val="20"/>
          <w:szCs w:val="20"/>
        </w:rPr>
        <w:t>je 100 mg, primjenjena najmanje jedan sat prije ili dva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 xml:space="preserve">sata nakon unosa hrane, u kombinaciji sa gemcitabinom (pogledati indikaciju karcinom pankreasa u </w:t>
      </w:r>
      <w:r>
        <w:rPr>
          <w:rFonts w:ascii="Microsoft Sans Serif" w:hAnsi="Microsoft Sans Serif" w:cs="Microsoft Sans Serif"/>
          <w:bCs/>
          <w:i/>
          <w:sz w:val="20"/>
          <w:szCs w:val="20"/>
        </w:rPr>
        <w:t>Sažetku</w:t>
      </w:r>
      <w:r>
        <w:rPr>
          <w:rFonts w:ascii="Microsoft Sans Serif" w:hAnsi="Microsoft Sans Serif" w:cs="Microsoft Sans Serif"/>
          <w:bCs/>
          <w:i/>
          <w:sz w:val="20"/>
          <w:szCs w:val="20"/>
          <w:lang w:val="sr-Cyrl-RS"/>
        </w:rPr>
        <w:t xml:space="preserve"> </w:t>
      </w:r>
      <w:r>
        <w:rPr>
          <w:rFonts w:ascii="Microsoft Sans Serif" w:hAnsi="Microsoft Sans Serif" w:cs="Microsoft Sans Serif"/>
          <w:bCs/>
          <w:i/>
          <w:sz w:val="20"/>
          <w:szCs w:val="20"/>
        </w:rPr>
        <w:t>karakteristika lijeka</w:t>
      </w:r>
      <w:r>
        <w:rPr>
          <w:rFonts w:ascii="Microsoft Sans Serif" w:hAnsi="Microsoft Sans Serif" w:cs="Microsoft Sans Serif"/>
          <w:bCs/>
          <w:sz w:val="20"/>
          <w:szCs w:val="20"/>
        </w:rPr>
        <w:t xml:space="preserve"> za gemcitabin). Kod pacijenata kod kojih se ne razvije osip tokom prvih 4-8 nedelјa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 xml:space="preserve">terapije, dalјe liječenje lijekom </w:t>
      </w:r>
      <w:r>
        <w:rPr>
          <w:rFonts w:ascii="Microsoft Sans Serif" w:hAnsi="Microsoft Sans Serif" w:cs="Microsoft Sans Serif"/>
          <w:sz w:val="20"/>
          <w:szCs w:val="20"/>
          <w:lang w:val="en-GB"/>
        </w:rPr>
        <w:t xml:space="preserve">Fokleros </w:t>
      </w:r>
      <w:r>
        <w:rPr>
          <w:rFonts w:ascii="Microsoft Sans Serif" w:hAnsi="Microsoft Sans Serif" w:cs="Microsoft Sans Serif"/>
          <w:bCs/>
          <w:sz w:val="20"/>
          <w:szCs w:val="20"/>
        </w:rPr>
        <w:t>treba ponovo razmotriti (pogledati dio 5.1).</w:t>
      </w:r>
      <w:r>
        <w:rPr>
          <w:rFonts w:ascii="Microsoft Sans Serif" w:hAnsi="Microsoft Sans Serif" w:cs="Microsoft Sans Serif"/>
          <w:bCs/>
          <w:sz w:val="20"/>
          <w:szCs w:val="20"/>
          <w:lang w:val="mk-MK"/>
        </w:rPr>
        <w:t xml:space="preserve"> </w:t>
      </w:r>
    </w:p>
    <w:p w14:paraId="126D10FB">
      <w:pPr>
        <w:rPr>
          <w:rFonts w:ascii="Microsoft Sans Serif" w:hAnsi="Microsoft Sans Serif" w:cs="Microsoft Sans Serif"/>
          <w:bCs/>
          <w:sz w:val="20"/>
          <w:szCs w:val="20"/>
        </w:rPr>
      </w:pPr>
    </w:p>
    <w:p w14:paraId="29940D4F">
      <w:pPr>
        <w:rPr>
          <w:rFonts w:ascii="Microsoft Sans Serif" w:hAnsi="Microsoft Sans Serif" w:cs="Microsoft Sans Serif"/>
          <w:bCs/>
          <w:sz w:val="20"/>
          <w:szCs w:val="20"/>
          <w:lang w:val="mk-MK"/>
        </w:rPr>
      </w:pPr>
      <w:r>
        <w:rPr>
          <w:rFonts w:ascii="Microsoft Sans Serif" w:hAnsi="Microsoft Sans Serif" w:cs="Microsoft Sans Serif"/>
          <w:bCs/>
          <w:sz w:val="20"/>
          <w:szCs w:val="20"/>
        </w:rPr>
        <w:t>Kada je potrebno prilagođavanje doze, dozu treba smanjivati postepeno za po 50 mg (pogledati dio 4.4).</w:t>
      </w:r>
      <w:r>
        <w:rPr>
          <w:rFonts w:ascii="Microsoft Sans Serif" w:hAnsi="Microsoft Sans Serif" w:cs="Microsoft Sans Serif"/>
          <w:bCs/>
          <w:sz w:val="20"/>
          <w:szCs w:val="20"/>
          <w:lang w:val="mk-MK"/>
        </w:rPr>
        <w:t xml:space="preserve"> </w:t>
      </w:r>
    </w:p>
    <w:p w14:paraId="5C764656">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Lijek </w:t>
      </w:r>
      <w:r>
        <w:rPr>
          <w:rFonts w:ascii="Microsoft Sans Serif" w:hAnsi="Microsoft Sans Serif" w:cs="Microsoft Sans Serif"/>
          <w:sz w:val="20"/>
          <w:szCs w:val="20"/>
          <w:lang w:val="en-GB"/>
        </w:rPr>
        <w:t xml:space="preserve">Fokleros </w:t>
      </w:r>
      <w:r>
        <w:rPr>
          <w:rFonts w:ascii="Microsoft Sans Serif" w:hAnsi="Microsoft Sans Serif" w:cs="Microsoft Sans Serif"/>
          <w:bCs/>
          <w:sz w:val="20"/>
          <w:szCs w:val="20"/>
        </w:rPr>
        <w:t>je dostupan u jačinama od 100 mg i 150 mg.</w:t>
      </w:r>
    </w:p>
    <w:p w14:paraId="6B449633">
      <w:pPr>
        <w:rPr>
          <w:rFonts w:ascii="Microsoft Sans Serif" w:hAnsi="Microsoft Sans Serif" w:cs="Microsoft Sans Serif"/>
          <w:bCs/>
          <w:sz w:val="20"/>
          <w:szCs w:val="20"/>
        </w:rPr>
      </w:pPr>
      <w:r>
        <w:rPr>
          <w:rFonts w:ascii="Microsoft Sans Serif" w:hAnsi="Microsoft Sans Serif" w:cs="Microsoft Sans Serif"/>
          <w:bCs/>
          <w:sz w:val="20"/>
          <w:szCs w:val="20"/>
        </w:rPr>
        <w:t>Istovremena upotreba sa CYP3A4 supstratima i modulatorima može zahtjevati prilagođavanje doze (pogledati dio 4.5).</w:t>
      </w:r>
    </w:p>
    <w:p w14:paraId="31045ED4">
      <w:pPr>
        <w:rPr>
          <w:rFonts w:ascii="Microsoft Sans Serif" w:hAnsi="Microsoft Sans Serif" w:cs="Microsoft Sans Serif"/>
          <w:bCs/>
          <w:sz w:val="20"/>
          <w:szCs w:val="20"/>
          <w:u w:val="single"/>
        </w:rPr>
      </w:pPr>
    </w:p>
    <w:p w14:paraId="41431C49">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lang w:val="sr-Cyrl-RS"/>
        </w:rPr>
        <w:t>O</w:t>
      </w:r>
      <w:r>
        <w:rPr>
          <w:rFonts w:ascii="Microsoft Sans Serif" w:hAnsi="Microsoft Sans Serif" w:cs="Microsoft Sans Serif"/>
          <w:bCs/>
          <w:sz w:val="20"/>
          <w:szCs w:val="20"/>
          <w:u w:val="single"/>
        </w:rPr>
        <w:t>štećenje funkcije jetre</w:t>
      </w:r>
    </w:p>
    <w:p w14:paraId="3A140473">
      <w:pPr>
        <w:rPr>
          <w:rFonts w:ascii="Microsoft Sans Serif" w:hAnsi="Microsoft Sans Serif" w:cs="Microsoft Sans Serif"/>
          <w:bCs/>
          <w:sz w:val="20"/>
          <w:szCs w:val="20"/>
        </w:rPr>
      </w:pPr>
      <w:r>
        <w:rPr>
          <w:rFonts w:ascii="Microsoft Sans Serif" w:hAnsi="Microsoft Sans Serif" w:cs="Microsoft Sans Serif"/>
          <w:bCs/>
          <w:sz w:val="20"/>
          <w:szCs w:val="20"/>
        </w:rPr>
        <w:t>Erlotinib se eliminiše hepatičnim metabolizmom i bilijarnom ekskrecijom. Iako je izloženost erlotinibu kod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pacijenata sa umjereno ošteće</w:t>
      </w:r>
      <w:r>
        <w:rPr>
          <w:rFonts w:ascii="Microsoft Sans Serif" w:hAnsi="Microsoft Sans Serif" w:cs="Microsoft Sans Serif"/>
          <w:bCs/>
          <w:sz w:val="20"/>
          <w:szCs w:val="20"/>
          <w:lang w:val="sr-Cyrl-RS"/>
        </w:rPr>
        <w:t>nom</w:t>
      </w:r>
      <w:r>
        <w:rPr>
          <w:rFonts w:ascii="Microsoft Sans Serif" w:hAnsi="Microsoft Sans Serif" w:cs="Microsoft Sans Serif"/>
          <w:bCs/>
          <w:sz w:val="20"/>
          <w:szCs w:val="20"/>
        </w:rPr>
        <w:t xml:space="preserve"> funkcijom jetre (Child-Pugh score 7-9) bila slična u poređenju sa pacijentima sa normalnom funkcijom jetre, potreban je oprez pr</w:t>
      </w:r>
      <w:r>
        <w:rPr>
          <w:rFonts w:ascii="Microsoft Sans Serif" w:hAnsi="Microsoft Sans Serif" w:cs="Microsoft Sans Serif"/>
          <w:bCs/>
          <w:sz w:val="20"/>
          <w:szCs w:val="20"/>
          <w:lang w:val="sr-Cyrl-RS"/>
        </w:rPr>
        <w:t>i</w:t>
      </w:r>
      <w:r>
        <w:rPr>
          <w:rFonts w:ascii="Microsoft Sans Serif" w:hAnsi="Microsoft Sans Serif" w:cs="Microsoft Sans Serif"/>
          <w:bCs/>
          <w:sz w:val="20"/>
          <w:szCs w:val="20"/>
        </w:rPr>
        <w:t xml:space="preserve">likom primjene lijeka </w:t>
      </w:r>
      <w:r>
        <w:rPr>
          <w:rFonts w:ascii="Microsoft Sans Serif" w:hAnsi="Microsoft Sans Serif" w:cs="Microsoft Sans Serif"/>
          <w:sz w:val="20"/>
          <w:szCs w:val="20"/>
          <w:lang w:val="en-GB"/>
        </w:rPr>
        <w:t xml:space="preserve">Fokleros </w:t>
      </w:r>
      <w:r>
        <w:rPr>
          <w:rFonts w:ascii="Microsoft Sans Serif" w:hAnsi="Microsoft Sans Serif" w:cs="Microsoft Sans Serif"/>
          <w:bCs/>
          <w:sz w:val="20"/>
          <w:szCs w:val="20"/>
        </w:rPr>
        <w:t>kod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 xml:space="preserve">pacijenata sa oštećenom funkcijom jetre. </w:t>
      </w:r>
      <w:r>
        <w:rPr>
          <w:rFonts w:ascii="Microsoft Sans Serif" w:hAnsi="Microsoft Sans Serif" w:cs="Microsoft Sans Serif"/>
          <w:bCs/>
          <w:sz w:val="20"/>
          <w:szCs w:val="20"/>
          <w:lang w:val="sr-Cyrl-RS"/>
        </w:rPr>
        <w:t>T</w:t>
      </w:r>
      <w:r>
        <w:rPr>
          <w:rFonts w:ascii="Microsoft Sans Serif" w:hAnsi="Microsoft Sans Serif" w:cs="Microsoft Sans Serif"/>
          <w:bCs/>
          <w:sz w:val="20"/>
          <w:szCs w:val="20"/>
        </w:rPr>
        <w:t>reba razmotriti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 xml:space="preserve">smanjenje doze ili prestanak primjene lijeka </w:t>
      </w:r>
      <w:r>
        <w:rPr>
          <w:rFonts w:ascii="Microsoft Sans Serif" w:hAnsi="Microsoft Sans Serif" w:cs="Microsoft Sans Serif"/>
          <w:sz w:val="20"/>
          <w:szCs w:val="20"/>
          <w:lang w:val="en-GB"/>
        </w:rPr>
        <w:t xml:space="preserve">Fokleros </w:t>
      </w:r>
      <w:r>
        <w:rPr>
          <w:rFonts w:ascii="Microsoft Sans Serif" w:hAnsi="Microsoft Sans Serif" w:cs="Microsoft Sans Serif"/>
          <w:bCs/>
          <w:sz w:val="20"/>
          <w:szCs w:val="20"/>
        </w:rPr>
        <w:t xml:space="preserve">ukoliko se jave teške neželјene reakcije. Bezbjednost i efikasnost erlotiniba </w:t>
      </w:r>
      <w:r>
        <w:rPr>
          <w:rFonts w:ascii="Microsoft Sans Serif" w:hAnsi="Microsoft Sans Serif" w:cs="Microsoft Sans Serif"/>
          <w:bCs/>
          <w:sz w:val="20"/>
          <w:szCs w:val="20"/>
          <w:lang w:val="mk-MK"/>
        </w:rPr>
        <w:t>nisu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ispit</w:t>
      </w:r>
      <w:r>
        <w:rPr>
          <w:rFonts w:ascii="Microsoft Sans Serif" w:hAnsi="Microsoft Sans Serif" w:cs="Microsoft Sans Serif"/>
          <w:bCs/>
          <w:sz w:val="20"/>
          <w:szCs w:val="20"/>
          <w:lang w:val="mk-MK"/>
        </w:rPr>
        <w:t>iv</w:t>
      </w:r>
      <w:r>
        <w:rPr>
          <w:rFonts w:ascii="Microsoft Sans Serif" w:hAnsi="Microsoft Sans Serif" w:cs="Microsoft Sans Serif"/>
          <w:bCs/>
          <w:sz w:val="20"/>
          <w:szCs w:val="20"/>
        </w:rPr>
        <w:t>an</w:t>
      </w:r>
      <w:r>
        <w:rPr>
          <w:rFonts w:ascii="Microsoft Sans Serif" w:hAnsi="Microsoft Sans Serif" w:cs="Microsoft Sans Serif"/>
          <w:bCs/>
          <w:sz w:val="20"/>
          <w:szCs w:val="20"/>
          <w:lang w:val="mk-MK"/>
        </w:rPr>
        <w:t>e</w:t>
      </w:r>
      <w:r>
        <w:rPr>
          <w:rFonts w:ascii="Microsoft Sans Serif" w:hAnsi="Microsoft Sans Serif" w:cs="Microsoft Sans Serif"/>
          <w:bCs/>
          <w:sz w:val="20"/>
          <w:szCs w:val="20"/>
        </w:rPr>
        <w:t xml:space="preserve"> kod pacijenata sa teškom disfunkcijom jetre (AST/SGOT i ALT/SGPT &gt; 5 x ULN). Ne preporučuje se primjena lijeka </w:t>
      </w:r>
      <w:r>
        <w:rPr>
          <w:rFonts w:ascii="Microsoft Sans Serif" w:hAnsi="Microsoft Sans Serif" w:cs="Microsoft Sans Serif"/>
          <w:sz w:val="20"/>
          <w:szCs w:val="20"/>
          <w:lang w:val="en-GB"/>
        </w:rPr>
        <w:t xml:space="preserve">Fokleros </w:t>
      </w:r>
      <w:r>
        <w:rPr>
          <w:rFonts w:ascii="Microsoft Sans Serif" w:hAnsi="Microsoft Sans Serif" w:cs="Microsoft Sans Serif"/>
          <w:bCs/>
          <w:sz w:val="20"/>
          <w:szCs w:val="20"/>
        </w:rPr>
        <w:t>kod pacijenata sa teškom disfunkcijom jetre (pogledati dio 5.2).</w:t>
      </w:r>
    </w:p>
    <w:p w14:paraId="48CCE4B7">
      <w:pPr>
        <w:rPr>
          <w:rFonts w:ascii="Microsoft Sans Serif" w:hAnsi="Microsoft Sans Serif" w:cs="Microsoft Sans Serif"/>
          <w:b/>
          <w:bCs/>
          <w:sz w:val="20"/>
          <w:szCs w:val="20"/>
        </w:rPr>
      </w:pPr>
    </w:p>
    <w:p w14:paraId="55CBDB4D">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Oštećenje funkcije bubrega</w:t>
      </w:r>
    </w:p>
    <w:p w14:paraId="0AC9D88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Bezbjednost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efikasnost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erlotiniba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ni</w:t>
      </w:r>
      <w:r>
        <w:rPr>
          <w:rFonts w:ascii="Microsoft Sans Serif" w:hAnsi="Microsoft Sans Serif" w:cs="Microsoft Sans Serif"/>
          <w:bCs/>
          <w:sz w:val="20"/>
          <w:szCs w:val="20"/>
          <w:lang w:val="mk-MK"/>
        </w:rPr>
        <w:t>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ispit</w:t>
      </w:r>
      <w:r>
        <w:rPr>
          <w:rFonts w:ascii="Microsoft Sans Serif" w:hAnsi="Microsoft Sans Serif" w:cs="Microsoft Sans Serif"/>
          <w:bCs/>
          <w:sz w:val="20"/>
          <w:szCs w:val="20"/>
          <w:lang w:val="mk-MK"/>
        </w:rPr>
        <w:t>iv</w:t>
      </w:r>
      <w:r>
        <w:rPr>
          <w:rFonts w:ascii="Microsoft Sans Serif" w:hAnsi="Microsoft Sans Serif" w:cs="Microsoft Sans Serif"/>
          <w:bCs/>
          <w:sz w:val="20"/>
          <w:szCs w:val="20"/>
        </w:rPr>
        <w:t>an</w:t>
      </w:r>
      <w:r>
        <w:rPr>
          <w:rFonts w:ascii="Microsoft Sans Serif" w:hAnsi="Microsoft Sans Serif" w:cs="Microsoft Sans Serif"/>
          <w:bCs/>
          <w:sz w:val="20"/>
          <w:szCs w:val="20"/>
          <w:lang w:val="mk-MK"/>
        </w:rPr>
        <w:t>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pacijenata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te</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enom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funkcijom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bubrega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koncentracija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kreatinina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serumu</w:t>
      </w:r>
      <w:r>
        <w:rPr>
          <w:rFonts w:ascii="Microsoft Sans Serif" w:hAnsi="Microsoft Sans Serif" w:cs="Microsoft Sans Serif"/>
          <w:bCs/>
          <w:sz w:val="20"/>
          <w:szCs w:val="20"/>
          <w:lang w:val="sr-Cyrl-RS"/>
        </w:rPr>
        <w:t xml:space="preserve"> &gt;1,5 </w:t>
      </w:r>
      <w:r>
        <w:rPr>
          <w:rFonts w:ascii="Microsoft Sans Serif" w:hAnsi="Microsoft Sans Serif" w:cs="Microsoft Sans Serif"/>
          <w:bCs/>
          <w:sz w:val="20"/>
          <w:szCs w:val="20"/>
        </w:rPr>
        <w:t>puta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gornje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granice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normale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osnovu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farmakokineti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kih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podataka</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nije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potrebno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prilago</w:t>
      </w:r>
      <w:r>
        <w:rPr>
          <w:rFonts w:ascii="Microsoft Sans Serif" w:hAnsi="Microsoft Sans Serif" w:cs="Microsoft Sans Serif"/>
          <w:bCs/>
          <w:sz w:val="20"/>
          <w:szCs w:val="20"/>
          <w:lang w:val="sr-Cyrl-RS"/>
        </w:rPr>
        <w:t>đ</w:t>
      </w:r>
      <w:r>
        <w:rPr>
          <w:rFonts w:ascii="Microsoft Sans Serif" w:hAnsi="Microsoft Sans Serif" w:cs="Microsoft Sans Serif"/>
          <w:bCs/>
          <w:sz w:val="20"/>
          <w:szCs w:val="20"/>
        </w:rPr>
        <w:t>avanje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doze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pacijenata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blagim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mk-MK"/>
        </w:rPr>
        <w:t>ili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umjerenim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te</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enjem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funkcije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bubrega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pogledati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dio</w:t>
      </w:r>
      <w:r>
        <w:rPr>
          <w:rFonts w:ascii="Microsoft Sans Serif" w:hAnsi="Microsoft Sans Serif" w:cs="Microsoft Sans Serif"/>
          <w:bCs/>
          <w:sz w:val="20"/>
          <w:szCs w:val="20"/>
          <w:lang w:val="sr-Cyrl-RS"/>
        </w:rPr>
        <w:t xml:space="preserve"> 5.2). Primjena lijeka </w:t>
      </w:r>
      <w:r>
        <w:rPr>
          <w:rFonts w:ascii="Microsoft Sans Serif" w:hAnsi="Microsoft Sans Serif" w:cs="Microsoft Sans Serif"/>
          <w:sz w:val="20"/>
          <w:szCs w:val="20"/>
          <w:lang w:val="en-GB"/>
        </w:rPr>
        <w:t>Fokleros</w:t>
      </w:r>
      <w:r>
        <w:rPr>
          <w:rFonts w:ascii="Microsoft Sans Serif" w:hAnsi="Microsoft Sans Serif" w:cs="Microsoft Sans Serif"/>
          <w:sz w:val="20"/>
          <w:szCs w:val="20"/>
          <w:lang w:val="sr-Cyrl-RS"/>
        </w:rPr>
        <w:t xml:space="preserve"> se </w:t>
      </w:r>
      <w:r>
        <w:rPr>
          <w:rFonts w:ascii="Microsoft Sans Serif" w:hAnsi="Microsoft Sans Serif" w:cs="Microsoft Sans Serif"/>
          <w:bCs/>
          <w:sz w:val="20"/>
          <w:szCs w:val="20"/>
        </w:rPr>
        <w:t>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preporu</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uje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pacijenata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kim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te</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enjem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funkcije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bubrega</w:t>
      </w:r>
      <w:r>
        <w:rPr>
          <w:rFonts w:ascii="Microsoft Sans Serif" w:hAnsi="Microsoft Sans Serif" w:cs="Microsoft Sans Serif"/>
          <w:bCs/>
          <w:sz w:val="20"/>
          <w:szCs w:val="20"/>
          <w:lang w:val="sr-Cyrl-RS"/>
        </w:rPr>
        <w:t>.</w:t>
      </w:r>
    </w:p>
    <w:p w14:paraId="5841CBA0">
      <w:pPr>
        <w:rPr>
          <w:rFonts w:ascii="Microsoft Sans Serif" w:hAnsi="Microsoft Sans Serif" w:cs="Microsoft Sans Serif"/>
          <w:bCs/>
          <w:sz w:val="20"/>
          <w:szCs w:val="20"/>
          <w:lang w:val="sr-Cyrl-RS"/>
        </w:rPr>
      </w:pPr>
    </w:p>
    <w:p w14:paraId="7C850A16">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rPr>
        <w:t>Pedijatrijska</w:t>
      </w:r>
      <w:r>
        <w:rPr>
          <w:rFonts w:ascii="Microsoft Sans Serif" w:hAnsi="Microsoft Sans Serif" w:cs="Microsoft Sans Serif"/>
          <w:bCs/>
          <w:sz w:val="20"/>
          <w:szCs w:val="20"/>
          <w:u w:val="single"/>
          <w:lang w:val="sr-Cyrl-RS"/>
        </w:rPr>
        <w:t xml:space="preserve"> </w:t>
      </w:r>
      <w:r>
        <w:rPr>
          <w:rFonts w:ascii="Microsoft Sans Serif" w:hAnsi="Microsoft Sans Serif" w:cs="Microsoft Sans Serif"/>
          <w:bCs/>
          <w:sz w:val="20"/>
          <w:szCs w:val="20"/>
          <w:u w:val="single"/>
        </w:rPr>
        <w:t>populacija</w:t>
      </w:r>
    </w:p>
    <w:p w14:paraId="4C31142E">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Bezbjednost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efikasnost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erlotiniba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odobrenim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indikacijama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nisu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ustanovl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rPr>
        <w:t>ene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pacijenata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mla</w:t>
      </w:r>
      <w:r>
        <w:rPr>
          <w:rFonts w:ascii="Microsoft Sans Serif" w:hAnsi="Microsoft Sans Serif" w:cs="Microsoft Sans Serif"/>
          <w:bCs/>
          <w:sz w:val="20"/>
          <w:szCs w:val="20"/>
          <w:lang w:val="sr-Cyrl-RS"/>
        </w:rPr>
        <w:t>đ</w:t>
      </w:r>
      <w:r>
        <w:rPr>
          <w:rFonts w:ascii="Microsoft Sans Serif" w:hAnsi="Microsoft Sans Serif" w:cs="Microsoft Sans Serif"/>
          <w:bCs/>
          <w:sz w:val="20"/>
          <w:szCs w:val="20"/>
        </w:rPr>
        <w:t>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od</w:t>
      </w:r>
      <w:r>
        <w:rPr>
          <w:rFonts w:ascii="Microsoft Sans Serif" w:hAnsi="Microsoft Sans Serif" w:cs="Microsoft Sans Serif"/>
          <w:bCs/>
          <w:sz w:val="20"/>
          <w:szCs w:val="20"/>
          <w:lang w:val="sr-Cyrl-RS"/>
        </w:rPr>
        <w:t xml:space="preserve"> 18 </w:t>
      </w:r>
      <w:r>
        <w:rPr>
          <w:rFonts w:ascii="Microsoft Sans Serif" w:hAnsi="Microsoft Sans Serif" w:cs="Microsoft Sans Serif"/>
          <w:bCs/>
          <w:sz w:val="20"/>
          <w:szCs w:val="20"/>
        </w:rPr>
        <w:t>godina</w:t>
      </w:r>
      <w:r>
        <w:rPr>
          <w:rFonts w:ascii="Microsoft Sans Serif" w:hAnsi="Microsoft Sans Serif" w:cs="Microsoft Sans Serif"/>
          <w:bCs/>
          <w:sz w:val="20"/>
          <w:szCs w:val="20"/>
          <w:lang w:val="sr-Cyrl-RS"/>
        </w:rPr>
        <w:t xml:space="preserve">. Primjena </w:t>
      </w:r>
      <w:r>
        <w:rPr>
          <w:rFonts w:ascii="Microsoft Sans Serif" w:hAnsi="Microsoft Sans Serif" w:cs="Microsoft Sans Serif"/>
          <w:bCs/>
          <w:sz w:val="20"/>
          <w:szCs w:val="20"/>
        </w:rPr>
        <w:t>lijeka</w:t>
      </w:r>
      <w:r>
        <w:rPr>
          <w:rFonts w:ascii="Microsoft Sans Serif" w:hAnsi="Microsoft Sans Serif" w:cs="Microsoft Sans Serif"/>
          <w:bCs/>
          <w:sz w:val="20"/>
          <w:szCs w:val="20"/>
          <w:lang w:val="sr-Cyrl-RS"/>
        </w:rPr>
        <w:t xml:space="preserve"> </w:t>
      </w:r>
      <w:r>
        <w:rPr>
          <w:rFonts w:ascii="Microsoft Sans Serif" w:hAnsi="Microsoft Sans Serif" w:cs="Microsoft Sans Serif"/>
          <w:sz w:val="20"/>
          <w:szCs w:val="20"/>
          <w:lang w:val="en-GB"/>
        </w:rPr>
        <w:t>Fokleros</w:t>
      </w:r>
      <w:r>
        <w:rPr>
          <w:rFonts w:ascii="Microsoft Sans Serif" w:hAnsi="Microsoft Sans Serif" w:cs="Microsoft Sans Serif"/>
          <w:sz w:val="20"/>
          <w:szCs w:val="20"/>
          <w:lang w:val="sr-Cyrl-RS"/>
        </w:rPr>
        <w:t xml:space="preserve"> se </w:t>
      </w:r>
      <w:r>
        <w:rPr>
          <w:rFonts w:ascii="Microsoft Sans Serif" w:hAnsi="Microsoft Sans Serif" w:cs="Microsoft Sans Serif"/>
          <w:bCs/>
          <w:sz w:val="20"/>
          <w:szCs w:val="20"/>
        </w:rPr>
        <w:t>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preporu</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uje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pedijatrijskih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pacijenata</w:t>
      </w:r>
      <w:r>
        <w:rPr>
          <w:rFonts w:ascii="Microsoft Sans Serif" w:hAnsi="Microsoft Sans Serif" w:cs="Microsoft Sans Serif"/>
          <w:bCs/>
          <w:sz w:val="20"/>
          <w:szCs w:val="20"/>
          <w:lang w:val="sr-Cyrl-RS"/>
        </w:rPr>
        <w:t>.</w:t>
      </w:r>
    </w:p>
    <w:p w14:paraId="485FBABA">
      <w:pPr>
        <w:rPr>
          <w:rFonts w:ascii="Microsoft Sans Serif" w:hAnsi="Microsoft Sans Serif" w:cs="Microsoft Sans Serif"/>
          <w:bCs/>
          <w:sz w:val="20"/>
          <w:szCs w:val="20"/>
          <w:lang w:val="sr-Cyrl-RS"/>
        </w:rPr>
      </w:pPr>
    </w:p>
    <w:p w14:paraId="11DFF930">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rPr>
        <w:t>Pu</w:t>
      </w:r>
      <w:r>
        <w:rPr>
          <w:rFonts w:ascii="Microsoft Sans Serif" w:hAnsi="Microsoft Sans Serif" w:cs="Microsoft Sans Serif"/>
          <w:bCs/>
          <w:sz w:val="20"/>
          <w:szCs w:val="20"/>
          <w:u w:val="single"/>
          <w:lang w:val="sr-Cyrl-RS"/>
        </w:rPr>
        <w:t>š</w:t>
      </w:r>
      <w:r>
        <w:rPr>
          <w:rFonts w:ascii="Microsoft Sans Serif" w:hAnsi="Microsoft Sans Serif" w:cs="Microsoft Sans Serif"/>
          <w:bCs/>
          <w:sz w:val="20"/>
          <w:szCs w:val="20"/>
          <w:u w:val="single"/>
        </w:rPr>
        <w:t>a</w:t>
      </w:r>
      <w:r>
        <w:rPr>
          <w:rFonts w:ascii="Microsoft Sans Serif" w:hAnsi="Microsoft Sans Serif" w:cs="Microsoft Sans Serif"/>
          <w:bCs/>
          <w:sz w:val="20"/>
          <w:szCs w:val="20"/>
          <w:u w:val="single"/>
          <w:lang w:val="sr-Cyrl-RS"/>
        </w:rPr>
        <w:t>č</w:t>
      </w:r>
      <w:r>
        <w:rPr>
          <w:rFonts w:ascii="Microsoft Sans Serif" w:hAnsi="Microsoft Sans Serif" w:cs="Microsoft Sans Serif"/>
          <w:bCs/>
          <w:sz w:val="20"/>
          <w:szCs w:val="20"/>
          <w:u w:val="single"/>
        </w:rPr>
        <w:t>i</w:t>
      </w:r>
    </w:p>
    <w:p w14:paraId="78B1F5B0">
      <w:pPr>
        <w:rPr>
          <w:rFonts w:ascii="Microsoft Sans Serif" w:hAnsi="Microsoft Sans Serif" w:cs="Microsoft Sans Serif"/>
          <w:b/>
          <w:bCs/>
          <w:sz w:val="20"/>
          <w:szCs w:val="20"/>
          <w:lang w:val="sv-SE"/>
        </w:rPr>
      </w:pPr>
      <w:r>
        <w:rPr>
          <w:rFonts w:ascii="Microsoft Sans Serif" w:hAnsi="Microsoft Sans Serif" w:cs="Microsoft Sans Serif"/>
          <w:bCs/>
          <w:sz w:val="20"/>
          <w:szCs w:val="20"/>
        </w:rPr>
        <w:t>Pokazano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pu</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enje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cigareta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smanjuje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izlo</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rPr>
        <w:t>enost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erlotinibu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za</w:t>
      </w:r>
      <w:r>
        <w:rPr>
          <w:rFonts w:ascii="Microsoft Sans Serif" w:hAnsi="Microsoft Sans Serif" w:cs="Microsoft Sans Serif"/>
          <w:bCs/>
          <w:sz w:val="20"/>
          <w:szCs w:val="20"/>
          <w:lang w:val="sr-Cyrl-RS"/>
        </w:rPr>
        <w:t xml:space="preserve"> 50-60%. </w:t>
      </w:r>
      <w:r>
        <w:rPr>
          <w:rFonts w:ascii="Microsoft Sans Serif" w:hAnsi="Microsoft Sans Serif" w:cs="Microsoft Sans Serif"/>
          <w:bCs/>
          <w:sz w:val="20"/>
          <w:szCs w:val="20"/>
        </w:rPr>
        <w:t>Maksimalna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podno</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rPr>
        <w:t>iva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doza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lijeka</w:t>
      </w:r>
      <w:r>
        <w:rPr>
          <w:rFonts w:ascii="Microsoft Sans Serif" w:hAnsi="Microsoft Sans Serif" w:cs="Microsoft Sans Serif"/>
          <w:bCs/>
          <w:sz w:val="20"/>
          <w:szCs w:val="20"/>
          <w:lang w:val="sr-Cyrl-RS"/>
        </w:rPr>
        <w:t xml:space="preserve"> </w:t>
      </w:r>
      <w:r>
        <w:rPr>
          <w:rFonts w:ascii="Microsoft Sans Serif" w:hAnsi="Microsoft Sans Serif" w:cs="Microsoft Sans Serif"/>
          <w:sz w:val="20"/>
          <w:szCs w:val="20"/>
          <w:lang w:val="en-GB"/>
        </w:rPr>
        <w:t>Fokleros</w:t>
      </w:r>
      <w:r>
        <w:rPr>
          <w:rFonts w:ascii="Microsoft Sans Serif" w:hAnsi="Microsoft Sans Serif" w:cs="Microsoft Sans Serif"/>
          <w:sz w:val="20"/>
          <w:szCs w:val="20"/>
          <w:lang w:val="sr-Cyrl-RS"/>
        </w:rPr>
        <w:t xml:space="preserve"> </w:t>
      </w:r>
      <w:r>
        <w:rPr>
          <w:rFonts w:ascii="Microsoft Sans Serif" w:hAnsi="Microsoft Sans Serif" w:cs="Microsoft Sans Serif"/>
          <w:bCs/>
          <w:sz w:val="20"/>
          <w:szCs w:val="20"/>
        </w:rPr>
        <w:t>kod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pacijenata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NSCLC</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koji</w:t>
      </w:r>
      <w:r>
        <w:rPr>
          <w:rFonts w:ascii="Microsoft Sans Serif" w:hAnsi="Microsoft Sans Serif" w:cs="Microsoft Sans Serif"/>
          <w:bCs/>
          <w:sz w:val="20"/>
          <w:szCs w:val="20"/>
          <w:lang w:val="sr-Cyrl-RS"/>
        </w:rPr>
        <w:t xml:space="preserve"> su pušači </w:t>
      </w:r>
      <w:r>
        <w:rPr>
          <w:rFonts w:ascii="Microsoft Sans Serif" w:hAnsi="Microsoft Sans Serif" w:cs="Microsoft Sans Serif"/>
          <w:bCs/>
          <w:sz w:val="20"/>
          <w:szCs w:val="20"/>
          <w:lang w:val="mk-MK"/>
        </w:rPr>
        <w:t>iznosi</w:t>
      </w:r>
      <w:r>
        <w:rPr>
          <w:rFonts w:ascii="Microsoft Sans Serif" w:hAnsi="Microsoft Sans Serif" w:cs="Microsoft Sans Serif"/>
          <w:bCs/>
          <w:sz w:val="20"/>
          <w:szCs w:val="20"/>
          <w:lang w:val="sr-Cyrl-RS"/>
        </w:rPr>
        <w:t xml:space="preserve"> 300 </w:t>
      </w:r>
      <w:r>
        <w:rPr>
          <w:rFonts w:ascii="Microsoft Sans Serif" w:hAnsi="Microsoft Sans Serif" w:cs="Microsoft Sans Serif"/>
          <w:bCs/>
          <w:sz w:val="20"/>
          <w:szCs w:val="20"/>
        </w:rPr>
        <w:t>mg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pacijenata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koji</w:t>
      </w:r>
      <w:r>
        <w:rPr>
          <w:rFonts w:ascii="Microsoft Sans Serif" w:hAnsi="Microsoft Sans Serif" w:cs="Microsoft Sans Serif"/>
          <w:bCs/>
          <w:sz w:val="20"/>
          <w:szCs w:val="20"/>
          <w:lang w:val="sr-Cyrl-RS"/>
        </w:rPr>
        <w:t xml:space="preserve"> nastave sa pušenjem cigareta, </w:t>
      </w:r>
      <w:r>
        <w:rPr>
          <w:rFonts w:ascii="Microsoft Sans Serif" w:hAnsi="Microsoft Sans Serif" w:cs="Microsoft Sans Serif"/>
          <w:bCs/>
          <w:sz w:val="20"/>
          <w:szCs w:val="20"/>
        </w:rPr>
        <w:t>doza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od</w:t>
      </w:r>
      <w:r>
        <w:rPr>
          <w:rFonts w:ascii="Microsoft Sans Serif" w:hAnsi="Microsoft Sans Serif" w:cs="Microsoft Sans Serif"/>
          <w:bCs/>
          <w:sz w:val="20"/>
          <w:szCs w:val="20"/>
          <w:lang w:val="sr-Cyrl-RS"/>
        </w:rPr>
        <w:t xml:space="preserve"> 300 </w:t>
      </w:r>
      <w:r>
        <w:rPr>
          <w:rFonts w:ascii="Microsoft Sans Serif" w:hAnsi="Microsoft Sans Serif" w:cs="Microsoft Sans Serif"/>
          <w:bCs/>
          <w:sz w:val="20"/>
          <w:szCs w:val="20"/>
        </w:rPr>
        <w:t>mg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pore</w:t>
      </w:r>
      <w:r>
        <w:rPr>
          <w:rFonts w:ascii="Microsoft Sans Serif" w:hAnsi="Microsoft Sans Serif" w:cs="Microsoft Sans Serif"/>
          <w:bCs/>
          <w:sz w:val="20"/>
          <w:szCs w:val="20"/>
          <w:lang w:val="sr-Cyrl-RS"/>
        </w:rPr>
        <w:t>đ</w:t>
      </w:r>
      <w:r>
        <w:rPr>
          <w:rFonts w:ascii="Microsoft Sans Serif" w:hAnsi="Microsoft Sans Serif" w:cs="Microsoft Sans Serif"/>
          <w:bCs/>
          <w:sz w:val="20"/>
          <w:szCs w:val="20"/>
        </w:rPr>
        <w:t>enju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preporu</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enom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dozom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od</w:t>
      </w:r>
      <w:r>
        <w:rPr>
          <w:rFonts w:ascii="Microsoft Sans Serif" w:hAnsi="Microsoft Sans Serif" w:cs="Microsoft Sans Serif"/>
          <w:bCs/>
          <w:sz w:val="20"/>
          <w:szCs w:val="20"/>
          <w:lang w:val="sr-Cyrl-RS"/>
        </w:rPr>
        <w:t xml:space="preserve"> 150 </w:t>
      </w:r>
      <w:r>
        <w:rPr>
          <w:rFonts w:ascii="Microsoft Sans Serif" w:hAnsi="Microsoft Sans Serif" w:cs="Microsoft Sans Serif"/>
          <w:bCs/>
          <w:sz w:val="20"/>
          <w:szCs w:val="20"/>
        </w:rPr>
        <w:t>mg</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nije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pokazala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pobol</w:t>
      </w:r>
      <w:r>
        <w:rPr>
          <w:rFonts w:ascii="Microsoft Sans Serif" w:hAnsi="Microsoft Sans Serif" w:cs="Microsoft Sans Serif"/>
          <w:bCs/>
          <w:sz w:val="20"/>
          <w:szCs w:val="20"/>
          <w:lang w:val="sr-Cyrl-RS"/>
        </w:rPr>
        <w:t>јš</w:t>
      </w:r>
      <w:r>
        <w:rPr>
          <w:rFonts w:ascii="Microsoft Sans Serif" w:hAnsi="Microsoft Sans Serif" w:cs="Microsoft Sans Serif"/>
          <w:bCs/>
          <w:sz w:val="20"/>
          <w:szCs w:val="20"/>
        </w:rPr>
        <w:t>anu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efikasnost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drugoj</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liniji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lije</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enja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nakon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neuspje</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hemioterapije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Podaci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bezbjednosti</w:t>
      </w:r>
      <w:r>
        <w:rPr>
          <w:rFonts w:ascii="Microsoft Sans Serif" w:hAnsi="Microsoft Sans Serif" w:cs="Microsoft Sans Serif"/>
          <w:bCs/>
          <w:sz w:val="20"/>
          <w:szCs w:val="20"/>
          <w:lang w:val="sr-Cyrl-RS"/>
        </w:rPr>
        <w:t xml:space="preserve"> su bili uporedivi između </w:t>
      </w:r>
      <w:r>
        <w:rPr>
          <w:rFonts w:ascii="Microsoft Sans Serif" w:hAnsi="Microsoft Sans Serif" w:cs="Microsoft Sans Serif"/>
          <w:bCs/>
          <w:sz w:val="20"/>
          <w:szCs w:val="20"/>
        </w:rPr>
        <w:t>doza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od</w:t>
      </w:r>
      <w:r>
        <w:rPr>
          <w:rFonts w:ascii="Microsoft Sans Serif" w:hAnsi="Microsoft Sans Serif" w:cs="Microsoft Sans Serif"/>
          <w:bCs/>
          <w:sz w:val="20"/>
          <w:szCs w:val="20"/>
          <w:lang w:val="sr-Cyrl-RS"/>
        </w:rPr>
        <w:t xml:space="preserve"> 300 </w:t>
      </w:r>
      <w:r>
        <w:rPr>
          <w:rFonts w:ascii="Microsoft Sans Serif" w:hAnsi="Microsoft Sans Serif" w:cs="Microsoft Sans Serif"/>
          <w:bCs/>
          <w:sz w:val="20"/>
          <w:szCs w:val="20"/>
        </w:rPr>
        <w:t>mg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150 </w:t>
      </w:r>
      <w:r>
        <w:rPr>
          <w:rFonts w:ascii="Microsoft Sans Serif" w:hAnsi="Microsoft Sans Serif" w:cs="Microsoft Sans Serif"/>
          <w:bCs/>
          <w:sz w:val="20"/>
          <w:szCs w:val="20"/>
        </w:rPr>
        <w:t>mg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me</w:t>
      </w:r>
      <w:r>
        <w:rPr>
          <w:rFonts w:ascii="Microsoft Sans Serif" w:hAnsi="Microsoft Sans Serif" w:cs="Microsoft Sans Serif"/>
          <w:bCs/>
          <w:sz w:val="20"/>
          <w:szCs w:val="20"/>
          <w:lang w:val="sr-Cyrl-RS"/>
        </w:rPr>
        <w:t>đ</w:t>
      </w:r>
      <w:r>
        <w:rPr>
          <w:rFonts w:ascii="Microsoft Sans Serif" w:hAnsi="Microsoft Sans Serif" w:cs="Microsoft Sans Serif"/>
          <w:bCs/>
          <w:sz w:val="20"/>
          <w:szCs w:val="20"/>
        </w:rPr>
        <w:t>utim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pacijenata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primali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vi</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dozu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erlotiniba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zabilje</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rPr>
        <w:t>eno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broj</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ano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pove</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anje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incidence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osipa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inte</w:t>
      </w:r>
      <w:r>
        <w:rPr>
          <w:rFonts w:ascii="Microsoft Sans Serif" w:hAnsi="Microsoft Sans Serif" w:cs="Microsoft Sans Serif"/>
          <w:bCs/>
          <w:sz w:val="20"/>
          <w:szCs w:val="20"/>
          <w:lang w:val="sr-Cyrl-RS"/>
        </w:rPr>
        <w:t>r</w:t>
      </w:r>
      <w:r>
        <w:rPr>
          <w:rFonts w:ascii="Microsoft Sans Serif" w:hAnsi="Microsoft Sans Serif" w:cs="Microsoft Sans Serif"/>
          <w:bCs/>
          <w:sz w:val="20"/>
          <w:szCs w:val="20"/>
        </w:rPr>
        <w:t>sticijske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bolesti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plu</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dijareje</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v-SE"/>
        </w:rPr>
        <w:t>ktivnim pušačima treba savjetovati da prestanu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sa pušenjem (pogledati dijelove 4.4, 4.5, 5.1 i 5.2).</w:t>
      </w:r>
    </w:p>
    <w:p w14:paraId="772DDBF3">
      <w:pPr>
        <w:rPr>
          <w:rFonts w:ascii="Microsoft Sans Serif" w:hAnsi="Microsoft Sans Serif" w:cs="Microsoft Sans Serif"/>
          <w:sz w:val="20"/>
          <w:szCs w:val="20"/>
          <w:lang w:val="sv-SE"/>
        </w:rPr>
      </w:pPr>
    </w:p>
    <w:p w14:paraId="355BF549">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4.3. Kontraindikacije</w:t>
      </w:r>
    </w:p>
    <w:p w14:paraId="0EF27952">
      <w:pPr>
        <w:rPr>
          <w:rFonts w:ascii="Microsoft Sans Serif" w:hAnsi="Microsoft Sans Serif" w:cs="Microsoft Sans Serif"/>
          <w:b/>
          <w:bCs/>
          <w:sz w:val="20"/>
          <w:szCs w:val="20"/>
          <w:lang w:val="sv-SE"/>
        </w:rPr>
      </w:pPr>
    </w:p>
    <w:p w14:paraId="0C9BF372">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Preosjetl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ivost na </w:t>
      </w:r>
      <w:r>
        <w:rPr>
          <w:rFonts w:ascii="Microsoft Sans Serif" w:hAnsi="Microsoft Sans Serif" w:cs="Microsoft Sans Serif"/>
          <w:sz w:val="20"/>
          <w:szCs w:val="20"/>
          <w:lang w:val="sr-Cyrl-RS"/>
        </w:rPr>
        <w:t xml:space="preserve">erlotinib </w:t>
      </w:r>
      <w:r>
        <w:rPr>
          <w:rFonts w:ascii="Microsoft Sans Serif" w:hAnsi="Microsoft Sans Serif" w:cs="Microsoft Sans Serif"/>
          <w:sz w:val="20"/>
          <w:szCs w:val="20"/>
          <w:lang w:val="sv-SE"/>
        </w:rPr>
        <w:t>ili na bilo koju od pomoćnih supstanci</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v-SE"/>
        </w:rPr>
        <w:t xml:space="preserve"> navedenih u dijelu 6.1.</w:t>
      </w:r>
    </w:p>
    <w:p w14:paraId="36C8ACA8">
      <w:pPr>
        <w:rPr>
          <w:rFonts w:ascii="Microsoft Sans Serif" w:hAnsi="Microsoft Sans Serif" w:cs="Microsoft Sans Serif"/>
          <w:b/>
          <w:bCs/>
          <w:sz w:val="20"/>
          <w:szCs w:val="20"/>
          <w:lang w:val="sv-SE"/>
        </w:rPr>
      </w:pPr>
    </w:p>
    <w:p w14:paraId="4B94747C">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4.4. Posebna upozorenja i 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sv-SE"/>
        </w:rPr>
        <w:t>ere opreza pri upotrebi lijeka</w:t>
      </w:r>
    </w:p>
    <w:p w14:paraId="22E8F304">
      <w:pPr>
        <w:rPr>
          <w:rFonts w:ascii="Microsoft Sans Serif" w:hAnsi="Microsoft Sans Serif" w:cs="Microsoft Sans Serif"/>
          <w:b/>
          <w:bCs/>
          <w:sz w:val="20"/>
          <w:szCs w:val="20"/>
          <w:lang w:val="sv-SE"/>
        </w:rPr>
      </w:pPr>
    </w:p>
    <w:p w14:paraId="11F8BDDF">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 xml:space="preserve">Određivanje statusa </w:t>
      </w:r>
      <w:r>
        <w:rPr>
          <w:rFonts w:ascii="Microsoft Sans Serif" w:hAnsi="Microsoft Sans Serif" w:cs="Microsoft Sans Serif"/>
          <w:bCs/>
          <w:sz w:val="20"/>
          <w:szCs w:val="20"/>
          <w:u w:val="single"/>
          <w:lang w:val="sr-Latn-RS"/>
        </w:rPr>
        <w:t>EGFR</w:t>
      </w:r>
      <w:r>
        <w:rPr>
          <w:rFonts w:ascii="Microsoft Sans Serif" w:hAnsi="Microsoft Sans Serif" w:cs="Microsoft Sans Serif"/>
          <w:bCs/>
          <w:sz w:val="20"/>
          <w:szCs w:val="20"/>
          <w:u w:val="single"/>
          <w:lang w:val="sv-SE"/>
        </w:rPr>
        <w:t xml:space="preserve"> mutacije</w:t>
      </w:r>
    </w:p>
    <w:p w14:paraId="14F3660D">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Važno je odrediti status </w:t>
      </w:r>
      <w:r>
        <w:rPr>
          <w:rFonts w:ascii="Microsoft Sans Serif" w:hAnsi="Microsoft Sans Serif" w:cs="Microsoft Sans Serif"/>
          <w:bCs/>
          <w:sz w:val="20"/>
          <w:szCs w:val="20"/>
          <w:lang w:val="sr-Latn-RS"/>
        </w:rPr>
        <w:t>EGFR</w:t>
      </w:r>
      <w:r>
        <w:rPr>
          <w:rFonts w:ascii="Microsoft Sans Serif" w:hAnsi="Microsoft Sans Serif" w:cs="Microsoft Sans Serif"/>
          <w:bCs/>
          <w:sz w:val="20"/>
          <w:szCs w:val="20"/>
          <w:lang w:val="sv-SE"/>
        </w:rPr>
        <w:t xml:space="preserve"> mutacije kada se razmatra primjena lijeka </w:t>
      </w:r>
      <w:r>
        <w:rPr>
          <w:rFonts w:ascii="Microsoft Sans Serif" w:hAnsi="Microsoft Sans Serif" w:cs="Microsoft Sans Serif"/>
          <w:sz w:val="20"/>
          <w:szCs w:val="20"/>
          <w:lang w:val="sv-SE"/>
        </w:rPr>
        <w:t>Fokleros</w:t>
      </w:r>
      <w:r>
        <w:rPr>
          <w:rFonts w:ascii="Microsoft Sans Serif" w:hAnsi="Microsoft Sans Serif" w:cs="Microsoft Sans Serif"/>
          <w:sz w:val="20"/>
          <w:szCs w:val="20"/>
          <w:vertAlign w:val="superscript"/>
          <w:lang w:val="sv-SE"/>
        </w:rPr>
        <w:t xml:space="preserve"> </w:t>
      </w:r>
      <w:r>
        <w:rPr>
          <w:rFonts w:ascii="Microsoft Sans Serif" w:hAnsi="Microsoft Sans Serif" w:cs="Microsoft Sans Serif"/>
          <w:bCs/>
          <w:sz w:val="20"/>
          <w:szCs w:val="20"/>
          <w:lang w:val="sv-SE"/>
        </w:rPr>
        <w:t>kao prve linije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 xml:space="preserve">liječenja ili terapije održavanja za lokalno uznapredovali ili metastatski </w:t>
      </w:r>
      <w:r>
        <w:rPr>
          <w:rFonts w:ascii="Microsoft Sans Serif" w:hAnsi="Microsoft Sans Serif" w:cs="Microsoft Sans Serif"/>
          <w:bCs/>
          <w:sz w:val="20"/>
          <w:szCs w:val="20"/>
          <w:lang w:val="sr-Latn-RS"/>
        </w:rPr>
        <w:t>NSCLC</w:t>
      </w:r>
      <w:r>
        <w:rPr>
          <w:rFonts w:ascii="Microsoft Sans Serif" w:hAnsi="Microsoft Sans Serif" w:cs="Microsoft Sans Serif"/>
          <w:bCs/>
          <w:sz w:val="20"/>
          <w:szCs w:val="20"/>
          <w:lang w:val="sv-SE"/>
        </w:rPr>
        <w:t>.</w:t>
      </w:r>
    </w:p>
    <w:p w14:paraId="42D7DC5E">
      <w:pPr>
        <w:rPr>
          <w:rFonts w:ascii="Microsoft Sans Serif" w:hAnsi="Microsoft Sans Serif" w:cs="Microsoft Sans Serif"/>
          <w:bCs/>
          <w:sz w:val="20"/>
          <w:szCs w:val="20"/>
          <w:lang w:val="sv-SE"/>
        </w:rPr>
      </w:pPr>
    </w:p>
    <w:p w14:paraId="5C1E35D5">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v-SE"/>
        </w:rPr>
        <w:t>Potrebno je sprovesti validiran, robustan, pouzdan i osjetljiv test koji ima unaprijed definisan prag za pozitivan</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rezultat i koji je dokazano koristan za utvrđivanje statusa E</w:t>
      </w:r>
      <w:r>
        <w:rPr>
          <w:rFonts w:ascii="Microsoft Sans Serif" w:hAnsi="Microsoft Sans Serif" w:cs="Microsoft Sans Serif"/>
          <w:bCs/>
          <w:sz w:val="20"/>
          <w:szCs w:val="20"/>
          <w:lang w:val="sr-Latn-RS"/>
        </w:rPr>
        <w:t>GFR</w:t>
      </w:r>
      <w:r>
        <w:rPr>
          <w:rFonts w:ascii="Microsoft Sans Serif" w:hAnsi="Microsoft Sans Serif" w:cs="Microsoft Sans Serif"/>
          <w:bCs/>
          <w:sz w:val="20"/>
          <w:szCs w:val="20"/>
          <w:lang w:val="sv-SE"/>
        </w:rPr>
        <w:t xml:space="preserve"> mutacije, koristeći ili </w:t>
      </w:r>
      <w:r>
        <w:rPr>
          <w:rFonts w:ascii="Microsoft Sans Serif" w:hAnsi="Microsoft Sans Serif" w:cs="Microsoft Sans Serif"/>
          <w:bCs/>
          <w:sz w:val="20"/>
          <w:szCs w:val="20"/>
          <w:lang w:val="sr-Latn-RS"/>
        </w:rPr>
        <w:t>DNK</w:t>
      </w:r>
      <w:r>
        <w:rPr>
          <w:rFonts w:ascii="Microsoft Sans Serif" w:hAnsi="Microsoft Sans Serif" w:cs="Microsoft Sans Serif"/>
          <w:bCs/>
          <w:sz w:val="20"/>
          <w:szCs w:val="20"/>
          <w:lang w:val="sv-SE"/>
        </w:rPr>
        <w:t xml:space="preserve"> tumora dobijenu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 xml:space="preserve">iz uzorka tkiva ili cirkulišuću slobodnu </w:t>
      </w:r>
      <w:r>
        <w:rPr>
          <w:rFonts w:ascii="Microsoft Sans Serif" w:hAnsi="Microsoft Sans Serif" w:cs="Microsoft Sans Serif"/>
          <w:bCs/>
          <w:sz w:val="20"/>
          <w:szCs w:val="20"/>
          <w:lang w:val="sr-Latn-RS"/>
        </w:rPr>
        <w:t>DNK</w:t>
      </w:r>
      <w:r>
        <w:rPr>
          <w:rFonts w:ascii="Microsoft Sans Serif" w:hAnsi="Microsoft Sans Serif" w:cs="Microsoft Sans Serif"/>
          <w:bCs/>
          <w:sz w:val="20"/>
          <w:szCs w:val="20"/>
          <w:lang w:val="sv-SE"/>
        </w:rPr>
        <w:t xml:space="preserve"> (</w:t>
      </w:r>
      <w:r>
        <w:rPr>
          <w:rFonts w:ascii="Microsoft Sans Serif" w:hAnsi="Microsoft Sans Serif" w:cs="Microsoft Sans Serif"/>
          <w:bCs/>
          <w:sz w:val="20"/>
          <w:szCs w:val="20"/>
          <w:lang w:val="sr-Cyrl-RS"/>
        </w:rPr>
        <w:t>eng.</w:t>
      </w:r>
      <w:r>
        <w:rPr>
          <w:rFonts w:ascii="Microsoft Sans Serif" w:hAnsi="Microsoft Sans Serif" w:cs="Microsoft Sans Serif"/>
          <w:bCs/>
          <w:sz w:val="20"/>
          <w:szCs w:val="20"/>
          <w:lang w:val="sv-SE"/>
        </w:rPr>
        <w:t xml:space="preserve"> </w:t>
      </w:r>
      <w:r>
        <w:rPr>
          <w:rFonts w:ascii="Microsoft Sans Serif" w:hAnsi="Microsoft Sans Serif" w:cs="Microsoft Sans Serif"/>
          <w:bCs/>
          <w:i/>
          <w:sz w:val="20"/>
          <w:szCs w:val="20"/>
          <w:lang w:val="sr-Latn-RS"/>
        </w:rPr>
        <w:t>circulating free</w:t>
      </w:r>
      <w:r>
        <w:rPr>
          <w:rFonts w:ascii="Microsoft Sans Serif" w:hAnsi="Microsoft Sans Serif" w:cs="Microsoft Sans Serif"/>
          <w:bCs/>
          <w:sz w:val="20"/>
          <w:szCs w:val="20"/>
          <w:lang w:val="sr-Latn-RS"/>
        </w:rPr>
        <w:t xml:space="preserve"> cfDNK</w:t>
      </w:r>
      <w:r>
        <w:rPr>
          <w:rFonts w:ascii="Microsoft Sans Serif" w:hAnsi="Microsoft Sans Serif" w:cs="Microsoft Sans Serif"/>
          <w:bCs/>
          <w:sz w:val="20"/>
          <w:szCs w:val="20"/>
          <w:lang w:val="sv-SE"/>
        </w:rPr>
        <w:t xml:space="preserve"> – dobijenu iz uzorka krvi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(plazme), u skladu sa lokalnom medicinskom praksom.</w:t>
      </w:r>
    </w:p>
    <w:p w14:paraId="2AB2A071">
      <w:pPr>
        <w:rPr>
          <w:rFonts w:ascii="Microsoft Sans Serif" w:hAnsi="Microsoft Sans Serif" w:cs="Microsoft Sans Serif"/>
          <w:bCs/>
          <w:sz w:val="20"/>
          <w:szCs w:val="20"/>
          <w:lang w:val="sv-SE"/>
        </w:rPr>
      </w:pPr>
    </w:p>
    <w:p w14:paraId="3AB5BFDF">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Ukoliko se korišćenjem testa cf</w:t>
      </w:r>
      <w:r>
        <w:rPr>
          <w:rFonts w:ascii="Microsoft Sans Serif" w:hAnsi="Microsoft Sans Serif" w:cs="Microsoft Sans Serif"/>
          <w:bCs/>
          <w:sz w:val="20"/>
          <w:szCs w:val="20"/>
          <w:lang w:val="sr-Latn-RS"/>
        </w:rPr>
        <w:t>DNK</w:t>
      </w:r>
      <w:r>
        <w:rPr>
          <w:rFonts w:ascii="Microsoft Sans Serif" w:hAnsi="Microsoft Sans Serif" w:cs="Microsoft Sans Serif"/>
          <w:bCs/>
          <w:sz w:val="20"/>
          <w:szCs w:val="20"/>
          <w:lang w:val="sv-SE"/>
        </w:rPr>
        <w:t xml:space="preserve"> iz plazme dobije negativan rezultat na aktivirajuće mutacije, potrebno</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je sprovesti test sa uzorkom tumorskog tkiva kad god je to moguće, zbog moguće pojave lažno negativnog</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 xml:space="preserve">rezultata testa </w:t>
      </w:r>
      <w:r>
        <w:rPr>
          <w:rFonts w:ascii="Microsoft Sans Serif" w:hAnsi="Microsoft Sans Serif" w:cs="Microsoft Sans Serif"/>
          <w:bCs/>
          <w:sz w:val="20"/>
          <w:szCs w:val="20"/>
          <w:lang w:val="sr-Cyrl-RS"/>
        </w:rPr>
        <w:t>iz</w:t>
      </w:r>
      <w:r>
        <w:rPr>
          <w:rFonts w:ascii="Microsoft Sans Serif" w:hAnsi="Microsoft Sans Serif" w:cs="Microsoft Sans Serif"/>
          <w:bCs/>
          <w:sz w:val="20"/>
          <w:szCs w:val="20"/>
          <w:lang w:val="sv-SE"/>
        </w:rPr>
        <w:t xml:space="preserve"> uzorka plazme.</w:t>
      </w:r>
    </w:p>
    <w:p w14:paraId="53B1F847">
      <w:pPr>
        <w:rPr>
          <w:rFonts w:ascii="Microsoft Sans Serif" w:hAnsi="Microsoft Sans Serif" w:cs="Microsoft Sans Serif"/>
          <w:bCs/>
          <w:sz w:val="20"/>
          <w:szCs w:val="20"/>
          <w:lang w:val="sv-SE"/>
        </w:rPr>
      </w:pPr>
    </w:p>
    <w:p w14:paraId="698EB15D">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Pušači</w:t>
      </w:r>
    </w:p>
    <w:p w14:paraId="0CA29C9D">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Aktivnim pušačima treba savjetovati da prestanu sa pušenjem, zato što je koncentracija erlotiniba u plazmi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kod pušača smanjena u odnosu na nepušače. Obim smanjenja koncentracije je vjerovatno klinički značajan</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(pogledati dijelove 4.2; 4.5; 5.1 i 5.2).</w:t>
      </w:r>
    </w:p>
    <w:p w14:paraId="01779EE6">
      <w:pPr>
        <w:rPr>
          <w:rFonts w:ascii="Microsoft Sans Serif" w:hAnsi="Microsoft Sans Serif" w:cs="Microsoft Sans Serif"/>
          <w:bCs/>
          <w:sz w:val="20"/>
          <w:szCs w:val="20"/>
          <w:u w:val="single"/>
          <w:lang w:val="sv-SE"/>
        </w:rPr>
      </w:pPr>
    </w:p>
    <w:p w14:paraId="555EE589">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Intersticijska bolest pluća</w:t>
      </w:r>
    </w:p>
    <w:p w14:paraId="285D7DB1">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Slučajevi slični intersticijske bolesti pluća (</w:t>
      </w:r>
      <w:r>
        <w:rPr>
          <w:rFonts w:ascii="Microsoft Sans Serif" w:hAnsi="Microsoft Sans Serif" w:cs="Microsoft Sans Serif"/>
          <w:bCs/>
          <w:sz w:val="20"/>
          <w:szCs w:val="20"/>
          <w:lang w:val="sr-Latn-RS"/>
        </w:rPr>
        <w:t>ILD</w:t>
      </w:r>
      <w:r>
        <w:rPr>
          <w:rFonts w:ascii="Microsoft Sans Serif" w:hAnsi="Microsoft Sans Serif" w:cs="Microsoft Sans Serif"/>
          <w:bCs/>
          <w:sz w:val="20"/>
          <w:szCs w:val="20"/>
          <w:lang w:val="sv-SE"/>
        </w:rPr>
        <w:t xml:space="preserve"> - engl. </w:t>
      </w:r>
      <w:r>
        <w:rPr>
          <w:rFonts w:ascii="Microsoft Sans Serif" w:hAnsi="Microsoft Sans Serif" w:cs="Microsoft Sans Serif"/>
          <w:i/>
          <w:sz w:val="20"/>
          <w:szCs w:val="20"/>
          <w:lang w:val="sv-SE"/>
        </w:rPr>
        <w:t>Interstitial Lung Disease</w:t>
      </w:r>
      <w:r>
        <w:rPr>
          <w:rFonts w:ascii="Microsoft Sans Serif" w:hAnsi="Microsoft Sans Serif" w:cs="Microsoft Sans Serif"/>
          <w:bCs/>
          <w:sz w:val="20"/>
          <w:szCs w:val="20"/>
          <w:lang w:val="sv-SE"/>
        </w:rPr>
        <w:t>), ukl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učujući i slučajeve sa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smrtnim ishodom, povremeno su prijavl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ivani kod pacijenata koji su primali erlotinib za liječenje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nemikrocelularnog karcinoma pluća (</w:t>
      </w:r>
      <w:r>
        <w:rPr>
          <w:rFonts w:ascii="Microsoft Sans Serif" w:hAnsi="Microsoft Sans Serif" w:cs="Microsoft Sans Serif"/>
          <w:bCs/>
          <w:sz w:val="20"/>
          <w:szCs w:val="20"/>
          <w:lang w:val="sr-Latn-RS"/>
        </w:rPr>
        <w:t>NSCLC</w:t>
      </w:r>
      <w:r>
        <w:rPr>
          <w:rFonts w:ascii="Microsoft Sans Serif" w:hAnsi="Microsoft Sans Serif" w:cs="Microsoft Sans Serif"/>
          <w:bCs/>
          <w:sz w:val="20"/>
          <w:szCs w:val="20"/>
          <w:lang w:val="sv-SE"/>
        </w:rPr>
        <w:t>), karcinoma pankreasa ili drugih uznapredovalih solidnih</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 xml:space="preserve">tumora. U pivotalnoj studiji BR.21 kod pacijenata sa </w:t>
      </w:r>
      <w:r>
        <w:rPr>
          <w:rFonts w:ascii="Microsoft Sans Serif" w:hAnsi="Microsoft Sans Serif" w:cs="Microsoft Sans Serif"/>
          <w:bCs/>
          <w:sz w:val="20"/>
          <w:szCs w:val="20"/>
          <w:lang w:val="sr-Latn-RS"/>
        </w:rPr>
        <w:t>NSCLC,</w:t>
      </w:r>
      <w:r>
        <w:rPr>
          <w:rFonts w:ascii="Microsoft Sans Serif" w:hAnsi="Microsoft Sans Serif" w:cs="Microsoft Sans Serif"/>
          <w:bCs/>
          <w:sz w:val="20"/>
          <w:szCs w:val="20"/>
          <w:lang w:val="sv-SE"/>
        </w:rPr>
        <w:t xml:space="preserve"> incidenca pojave </w:t>
      </w:r>
      <w:r>
        <w:rPr>
          <w:rFonts w:ascii="Microsoft Sans Serif" w:hAnsi="Microsoft Sans Serif" w:cs="Microsoft Sans Serif"/>
          <w:bCs/>
          <w:sz w:val="20"/>
          <w:szCs w:val="20"/>
          <w:lang w:val="sr-Latn-RS"/>
        </w:rPr>
        <w:t>ILD</w:t>
      </w:r>
      <w:r>
        <w:rPr>
          <w:rFonts w:ascii="Microsoft Sans Serif" w:hAnsi="Microsoft Sans Serif" w:cs="Microsoft Sans Serif"/>
          <w:bCs/>
          <w:sz w:val="20"/>
          <w:szCs w:val="20"/>
          <w:lang w:val="sv-SE"/>
        </w:rPr>
        <w:t xml:space="preserve"> (0,8%) bila je ista i 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 xml:space="preserve">placebo i u erlotinib grupi. U meta analizi randomizovanih kontrolisanih kliničkih studija kod </w:t>
      </w:r>
      <w:r>
        <w:rPr>
          <w:rFonts w:ascii="Microsoft Sans Serif" w:hAnsi="Microsoft Sans Serif" w:cs="Microsoft Sans Serif"/>
          <w:bCs/>
          <w:sz w:val="20"/>
          <w:szCs w:val="20"/>
          <w:lang w:val="sr-Latn-RS"/>
        </w:rPr>
        <w:t xml:space="preserve">NSCLC </w:t>
      </w:r>
      <w:r>
        <w:rPr>
          <w:rFonts w:ascii="Microsoft Sans Serif" w:hAnsi="Microsoft Sans Serif" w:cs="Microsoft Sans Serif"/>
          <w:bCs/>
          <w:sz w:val="20"/>
          <w:szCs w:val="20"/>
          <w:lang w:val="sv-SE"/>
        </w:rPr>
        <w:t xml:space="preserve">(izuzimajući studije faze </w:t>
      </w:r>
      <w:r>
        <w:rPr>
          <w:rFonts w:ascii="Microsoft Sans Serif" w:hAnsi="Microsoft Sans Serif" w:cs="Microsoft Sans Serif"/>
          <w:bCs/>
          <w:sz w:val="20"/>
          <w:szCs w:val="20"/>
          <w:lang w:val="sr-Latn-RS"/>
        </w:rPr>
        <w:t>I</w:t>
      </w:r>
      <w:r>
        <w:rPr>
          <w:rFonts w:ascii="Microsoft Sans Serif" w:hAnsi="Microsoft Sans Serif" w:cs="Microsoft Sans Serif"/>
          <w:bCs/>
          <w:sz w:val="20"/>
          <w:szCs w:val="20"/>
          <w:lang w:val="sv-SE"/>
        </w:rPr>
        <w:t xml:space="preserve"> i studije faze II sa jednom grupom, zbog nedostatka kontrolne grupe) incidenca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ILD sličnih događaja iznosila je 0,9% kod pacijenata u erlotinib grupi u odnosu na 0,4% kod pacijenata 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kontrolnoj grupi. U studiji kod pacijenata sa karcinomom pankreasa incidenca ILD sličnih događaja iznosila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je 2,5% u grupi pacijenata koji su primali erlotinib u kombinaciji sa gemcitabinom u odnosu na 0,4% u grupi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pacijenata koji su primali placebo u kombinaciji sa gemcitabinom. Kod pacijenata za koje se sumnjalo da su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imali simptome slične ILD, prijavl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ene dijagnoze su ukl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učivale pneumonitis, radijacioni pneumonitis,</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alergijski pneumonitis, intersticijska pneumoniju, intersticijska bolest pluća, obliterativni bronhiolitis,</w:t>
      </w:r>
      <w:r>
        <w:rPr>
          <w:rFonts w:ascii="Microsoft Sans Serif" w:hAnsi="Microsoft Sans Serif" w:cs="Microsoft Sans Serif"/>
          <w:sz w:val="20"/>
          <w:szCs w:val="20"/>
          <w:lang w:val="sv-SE"/>
        </w:rPr>
        <w:t xml:space="preserve"> </w:t>
      </w:r>
      <w:r>
        <w:rPr>
          <w:rFonts w:ascii="Microsoft Sans Serif" w:hAnsi="Microsoft Sans Serif" w:cs="Microsoft Sans Serif"/>
          <w:bCs/>
          <w:sz w:val="20"/>
          <w:szCs w:val="20"/>
          <w:lang w:val="sv-SE"/>
        </w:rPr>
        <w:t>plućnu fibrozu, akutni respiratorni distres sindrom (ARDS), alveolitis i infiltraciju pluća. Simptomi su počeli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da se ispol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avaju u rasponu od par dana do nekoliko mjeseci nakon početka primjene erlotiniba. Ometajući faktori ili doprinoseći faktori kao što su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istovremena ili prethodna hemioterapija, prethodna radijaciona terapija, prethodno postojeće obol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enje plućnog parenhima, metastatsko obol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enje pluća ili plućne infekcije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bili su učestali</w:t>
      </w:r>
      <w:r>
        <w:rPr>
          <w:rFonts w:ascii="Microsoft Sans Serif" w:hAnsi="Microsoft Sans Serif" w:cs="Microsoft Sans Serif"/>
          <w:bCs/>
          <w:sz w:val="20"/>
          <w:szCs w:val="20"/>
          <w:lang w:val="sv-SE"/>
        </w:rPr>
        <w:t xml:space="preserve">. Veća incidenca </w:t>
      </w:r>
      <w:r>
        <w:rPr>
          <w:rFonts w:ascii="Microsoft Sans Serif" w:hAnsi="Microsoft Sans Serif" w:cs="Microsoft Sans Serif"/>
          <w:bCs/>
          <w:sz w:val="20"/>
          <w:szCs w:val="20"/>
          <w:lang w:val="sr-Latn-RS"/>
        </w:rPr>
        <w:t>ILD</w:t>
      </w:r>
      <w:r>
        <w:rPr>
          <w:rFonts w:ascii="Microsoft Sans Serif" w:hAnsi="Microsoft Sans Serif" w:cs="Microsoft Sans Serif"/>
          <w:bCs/>
          <w:sz w:val="20"/>
          <w:szCs w:val="20"/>
          <w:lang w:val="sv-SE"/>
        </w:rPr>
        <w:t xml:space="preserve"> (približno 5% sa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 xml:space="preserve">stopom smrtnosti od 1,5%) primjećena je </w:t>
      </w:r>
      <w:r>
        <w:rPr>
          <w:rFonts w:ascii="Microsoft Sans Serif" w:hAnsi="Microsoft Sans Serif" w:cs="Microsoft Sans Serif"/>
          <w:bCs/>
          <w:sz w:val="20"/>
          <w:szCs w:val="20"/>
          <w:lang w:val="sr-Latn-RS"/>
        </w:rPr>
        <w:t>kod</w:t>
      </w:r>
      <w:r>
        <w:rPr>
          <w:rFonts w:ascii="Microsoft Sans Serif" w:hAnsi="Microsoft Sans Serif" w:cs="Microsoft Sans Serif"/>
          <w:bCs/>
          <w:sz w:val="20"/>
          <w:szCs w:val="20"/>
          <w:lang w:val="sv-SE"/>
        </w:rPr>
        <w:t xml:space="preserve"> pacijen</w:t>
      </w:r>
      <w:r>
        <w:rPr>
          <w:rFonts w:ascii="Microsoft Sans Serif" w:hAnsi="Microsoft Sans Serif" w:cs="Microsoft Sans Serif"/>
          <w:bCs/>
          <w:sz w:val="20"/>
          <w:szCs w:val="20"/>
          <w:lang w:val="sr-Latn-RS"/>
        </w:rPr>
        <w:t>ata</w:t>
      </w:r>
      <w:r>
        <w:rPr>
          <w:rFonts w:ascii="Microsoft Sans Serif" w:hAnsi="Microsoft Sans Serif" w:cs="Microsoft Sans Serif"/>
          <w:bCs/>
          <w:sz w:val="20"/>
          <w:szCs w:val="20"/>
          <w:lang w:val="sv-SE"/>
        </w:rPr>
        <w:t xml:space="preserve"> u studijama sprovedenim u Japanu.</w:t>
      </w:r>
    </w:p>
    <w:p w14:paraId="51F569CA">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Kod pacijenata kod kojih se razvije akutni početak novih i/ili progresivnih neobjašnjivih plućnih simptoma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kao što su dispnea, kašal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 xml:space="preserve"> i povišena t</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elesna temperatura, terapiju erlotinibom treba obustaviti dok se ne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izvrši dijagnostička 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ena. Pacijente na istovremenoj terapiji erlotinibom i gemcitabinom treba pažl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ivo</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 xml:space="preserve">pratiti zbog mogućnosti razvoja toksičnosti nalik </w:t>
      </w:r>
      <w:r>
        <w:rPr>
          <w:rFonts w:ascii="Microsoft Sans Serif" w:hAnsi="Microsoft Sans Serif" w:cs="Microsoft Sans Serif"/>
          <w:bCs/>
          <w:sz w:val="20"/>
          <w:szCs w:val="20"/>
          <w:lang w:val="sr-Latn-RS"/>
        </w:rPr>
        <w:t>ILD</w:t>
      </w:r>
      <w:r>
        <w:rPr>
          <w:rFonts w:ascii="Microsoft Sans Serif" w:hAnsi="Microsoft Sans Serif" w:cs="Microsoft Sans Serif"/>
          <w:bCs/>
          <w:sz w:val="20"/>
          <w:szCs w:val="20"/>
          <w:lang w:val="sv-SE"/>
        </w:rPr>
        <w:t xml:space="preserve">. Ako se utvdi dijagnoza </w:t>
      </w:r>
      <w:r>
        <w:rPr>
          <w:rFonts w:ascii="Microsoft Sans Serif" w:hAnsi="Microsoft Sans Serif" w:cs="Microsoft Sans Serif"/>
          <w:bCs/>
          <w:sz w:val="20"/>
          <w:szCs w:val="20"/>
          <w:lang w:val="sr-Latn-RS"/>
        </w:rPr>
        <w:t>ILD</w:t>
      </w:r>
      <w:r>
        <w:rPr>
          <w:rFonts w:ascii="Microsoft Sans Serif" w:hAnsi="Microsoft Sans Serif" w:cs="Microsoft Sans Serif"/>
          <w:bCs/>
          <w:sz w:val="20"/>
          <w:szCs w:val="20"/>
          <w:lang w:val="sv-SE"/>
        </w:rPr>
        <w:t>, treba prekinuti primjenu erlotiniba i uvesti odgovarajuću terapiju (pogledati dio 4.8).</w:t>
      </w:r>
    </w:p>
    <w:p w14:paraId="404E9540">
      <w:pPr>
        <w:rPr>
          <w:rFonts w:ascii="Microsoft Sans Serif" w:hAnsi="Microsoft Sans Serif" w:cs="Microsoft Sans Serif"/>
          <w:bCs/>
          <w:sz w:val="20"/>
          <w:szCs w:val="20"/>
          <w:lang w:val="sv-SE"/>
        </w:rPr>
      </w:pPr>
    </w:p>
    <w:p w14:paraId="4EE85BF9">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Dijareja, dehidratacija, disbalans e</w:t>
      </w:r>
      <w:r>
        <w:rPr>
          <w:rFonts w:ascii="Microsoft Sans Serif" w:hAnsi="Microsoft Sans Serif" w:cs="Microsoft Sans Serif"/>
          <w:bCs/>
          <w:sz w:val="20"/>
          <w:szCs w:val="20"/>
          <w:u w:val="single"/>
          <w:lang w:val="sr-Latn-RS"/>
        </w:rPr>
        <w:t>le</w:t>
      </w:r>
      <w:r>
        <w:rPr>
          <w:rFonts w:ascii="Microsoft Sans Serif" w:hAnsi="Microsoft Sans Serif" w:cs="Microsoft Sans Serif"/>
          <w:bCs/>
          <w:sz w:val="20"/>
          <w:szCs w:val="20"/>
          <w:u w:val="single"/>
          <w:lang w:val="sv-SE"/>
        </w:rPr>
        <w:t>ktrolita i insuficijencija bubrega</w:t>
      </w:r>
    </w:p>
    <w:p w14:paraId="467E212F">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v-SE"/>
        </w:rPr>
        <w:t>Dijareja (ukl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učujući veoma rijetke slučajeve sa smrtnim ishodom) se javila kod približno 50% pacijenata na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terapiji erlotinibom; um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 xml:space="preserve">erenu </w:t>
      </w:r>
      <w:r>
        <w:rPr>
          <w:rFonts w:ascii="Microsoft Sans Serif" w:hAnsi="Microsoft Sans Serif" w:cs="Microsoft Sans Serif"/>
          <w:bCs/>
          <w:sz w:val="20"/>
          <w:szCs w:val="20"/>
          <w:lang w:val="mk-MK"/>
        </w:rPr>
        <w:t>ili</w:t>
      </w:r>
      <w:r>
        <w:rPr>
          <w:rFonts w:ascii="Microsoft Sans Serif" w:hAnsi="Microsoft Sans Serif" w:cs="Microsoft Sans Serif"/>
          <w:bCs/>
          <w:sz w:val="20"/>
          <w:szCs w:val="20"/>
          <w:lang w:val="sv-SE"/>
        </w:rPr>
        <w:t xml:space="preserve"> tešku dijareju treba liječiti na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er loperamidom. U nekim slučajevima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može biti neophodno smanjenje doze. U kliničkim studijama doze su postepeno smanjivane za po 50 mg.</w:t>
      </w:r>
      <w:r>
        <w:rPr>
          <w:rFonts w:ascii="Microsoft Sans Serif" w:hAnsi="Microsoft Sans Serif" w:cs="Microsoft Sans Serif"/>
          <w:bCs/>
          <w:sz w:val="20"/>
          <w:szCs w:val="20"/>
          <w:lang w:val="sr-Latn-RS"/>
        </w:rPr>
        <w:t xml:space="preserve"> Postepeno smanjivanje doze za po 25 mg nije ispitivano. U slučaju teške ili uporne dijareje, mučnine, anoreksije ili povraćanja udruženo sa dehidratacijom, terapiju </w:t>
      </w:r>
      <w:r>
        <w:rPr>
          <w:rFonts w:ascii="Microsoft Sans Serif" w:hAnsi="Microsoft Sans Serif" w:cs="Microsoft Sans Serif"/>
          <w:bCs/>
          <w:sz w:val="20"/>
          <w:szCs w:val="20"/>
          <w:lang w:val="sr-Cyrl-RS"/>
        </w:rPr>
        <w:t>erlotinibom</w:t>
      </w:r>
      <w:r>
        <w:rPr>
          <w:rFonts w:ascii="Microsoft Sans Serif" w:hAnsi="Microsoft Sans Serif" w:cs="Microsoft Sans Serif"/>
          <w:bCs/>
          <w:sz w:val="20"/>
          <w:szCs w:val="20"/>
          <w:lang w:val="sr-Latn-RS"/>
        </w:rPr>
        <w:t xml:space="preserve"> treba prekinuti i preduzeti odgovarajuće mjere u cil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r-Latn-RS"/>
        </w:rPr>
        <w:t>u liječenja dehidratacije (pogledati dio 4.8). Prijavl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r-Latn-RS"/>
        </w:rPr>
        <w:t>eni su rijetki slučajevi hipokalemije i insuficijencije bubrega (ukl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r-Latn-RS"/>
        </w:rPr>
        <w:t>učujući one sa smrtnim ishodom). Neki slučajevi bili su posljedica teške dehidratacije usljed dijareje, povraćanja i/ili anoreksije, dok je u drugim slučajevima istovremena hemioterapija bila doprinoseći faktor. U slučajevima teže ili upornije dijareje, ili stanjima koja vode dehidrataciji, posebno u grupama pacijenata sa otežavajućim faktorima rizika (pogotovo istovremena hemioterapija i primjena drugih lijekova, simptomi ili obol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r-Latn-RS"/>
        </w:rPr>
        <w:t>enja ili druga predisponirajuća stanja, ukl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r-Latn-RS"/>
        </w:rPr>
        <w:t xml:space="preserve">učujući i starije životno doba) terapiju </w:t>
      </w:r>
      <w:r>
        <w:rPr>
          <w:rFonts w:ascii="Microsoft Sans Serif" w:hAnsi="Microsoft Sans Serif" w:cs="Microsoft Sans Serif"/>
          <w:bCs/>
          <w:sz w:val="20"/>
          <w:szCs w:val="20"/>
          <w:lang w:val="sr-Cyrl-RS"/>
        </w:rPr>
        <w:t>erlotinibom</w:t>
      </w:r>
      <w:r>
        <w:rPr>
          <w:rFonts w:ascii="Microsoft Sans Serif" w:hAnsi="Microsoft Sans Serif" w:cs="Microsoft Sans Serif"/>
          <w:bCs/>
          <w:sz w:val="20"/>
          <w:szCs w:val="20"/>
          <w:lang w:val="sr-Latn-RS"/>
        </w:rPr>
        <w:t xml:space="preserve"> treba prekinuti i sprovesti adekvatne mjere u cil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r-Latn-RS"/>
        </w:rPr>
        <w:t>u intenzivne rehidratacije pacijenata intravenskim putem. Dodatno, kod pacijenata koji su pod rizikom od dehidratacije potrebno je pratiti funkciju bubrega i elektrolite u serumu, ukl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r-Latn-RS"/>
        </w:rPr>
        <w:t>učujući kalijum.</w:t>
      </w:r>
    </w:p>
    <w:p w14:paraId="2127A5F3">
      <w:pPr>
        <w:rPr>
          <w:rFonts w:ascii="Microsoft Sans Serif" w:hAnsi="Microsoft Sans Serif" w:cs="Microsoft Sans Serif"/>
          <w:bCs/>
          <w:sz w:val="20"/>
          <w:szCs w:val="20"/>
          <w:lang w:val="sr-Latn-RS"/>
        </w:rPr>
      </w:pPr>
    </w:p>
    <w:p w14:paraId="6FCBE92E">
      <w:pPr>
        <w:rPr>
          <w:rFonts w:ascii="Microsoft Sans Serif" w:hAnsi="Microsoft Sans Serif" w:cs="Microsoft Sans Serif"/>
          <w:bCs/>
          <w:sz w:val="20"/>
          <w:szCs w:val="20"/>
          <w:u w:val="single"/>
          <w:lang w:val="sr-Latn-RS"/>
        </w:rPr>
      </w:pPr>
      <w:r>
        <w:rPr>
          <w:rFonts w:ascii="Microsoft Sans Serif" w:hAnsi="Microsoft Sans Serif" w:cs="Microsoft Sans Serif"/>
          <w:bCs/>
          <w:sz w:val="20"/>
          <w:szCs w:val="20"/>
          <w:u w:val="single"/>
          <w:lang w:val="sr-Latn-RS"/>
        </w:rPr>
        <w:t>Hepatotoksičnost</w:t>
      </w:r>
    </w:p>
    <w:p w14:paraId="41A62EA7">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Tokom primjene erlotiniba prijavl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r-Latn-RS"/>
        </w:rPr>
        <w:t>eni su ozbiljni slučajevi oštećenja jetre izazvanog lijekovima (DILI), uključujući hepatitis, akutni hepatitis i insuficijenciju jetre (ukl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r-Latn-RS"/>
        </w:rPr>
        <w:t xml:space="preserve">učujuću one sa smrtnim ishodom). </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F</w:t>
      </w:r>
      <w:r>
        <w:rPr>
          <w:rFonts w:ascii="Microsoft Sans Serif" w:hAnsi="Microsoft Sans Serif" w:cs="Microsoft Sans Serif"/>
          <w:bCs/>
          <w:sz w:val="20"/>
          <w:szCs w:val="20"/>
          <w:lang w:val="ru-RU"/>
        </w:rPr>
        <w:t>aktori</w:t>
      </w:r>
      <w:r>
        <w:rPr>
          <w:rFonts w:ascii="Microsoft Sans Serif" w:hAnsi="Microsoft Sans Serif" w:cs="Microsoft Sans Serif"/>
          <w:bCs/>
          <w:sz w:val="20"/>
          <w:szCs w:val="20"/>
          <w:lang w:val="sr-Latn-RS"/>
        </w:rPr>
        <w:t xml:space="preserve"> rizika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 xml:space="preserve">mogu </w:t>
      </w:r>
      <w:r>
        <w:rPr>
          <w:rFonts w:ascii="Microsoft Sans Serif" w:hAnsi="Microsoft Sans Serif" w:cs="Microsoft Sans Serif"/>
          <w:bCs/>
          <w:sz w:val="20"/>
          <w:szCs w:val="20"/>
          <w:lang w:val="ru-RU"/>
        </w:rPr>
        <w:t>ukl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lang w:val="ru-RU"/>
        </w:rPr>
        <w:t>u</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lang w:val="ru-RU"/>
        </w:rPr>
        <w:t>iva</w:t>
      </w:r>
      <w:r>
        <w:rPr>
          <w:rFonts w:ascii="Microsoft Sans Serif" w:hAnsi="Microsoft Sans Serif" w:cs="Microsoft Sans Serif"/>
          <w:bCs/>
          <w:sz w:val="20"/>
          <w:szCs w:val="20"/>
          <w:lang w:val="sr-Latn-RS"/>
        </w:rPr>
        <w:t>t</w:t>
      </w:r>
      <w:r>
        <w:rPr>
          <w:rFonts w:ascii="Microsoft Sans Serif" w:hAnsi="Microsoft Sans Serif" w:cs="Microsoft Sans Serif"/>
          <w:bCs/>
          <w:sz w:val="20"/>
          <w:szCs w:val="20"/>
          <w:lang w:val="ru-RU"/>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ve</w:t>
      </w:r>
      <w:r>
        <w:rPr>
          <w:rFonts w:ascii="Microsoft Sans Serif" w:hAnsi="Microsoft Sans Serif" w:cs="Microsoft Sans Serif"/>
          <w:bCs/>
          <w:sz w:val="20"/>
          <w:szCs w:val="20"/>
          <w:lang w:val="sr-Cyrl-RS"/>
        </w:rPr>
        <w:t xml:space="preserve">ć </w:t>
      </w:r>
      <w:r>
        <w:rPr>
          <w:rFonts w:ascii="Microsoft Sans Serif" w:hAnsi="Microsoft Sans Serif" w:cs="Microsoft Sans Serif"/>
          <w:bCs/>
          <w:sz w:val="20"/>
          <w:szCs w:val="20"/>
          <w:lang w:val="ru-RU"/>
        </w:rPr>
        <w:t>postoje</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lang w:val="ru-RU"/>
        </w:rPr>
        <w:t>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obol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lang w:val="ru-RU"/>
        </w:rPr>
        <w:t>enje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jetre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ili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istovremenu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primjenu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hepatotoksi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lang w:val="ru-RU"/>
        </w:rPr>
        <w:t>nih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lijekova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P</w:t>
      </w:r>
      <w:r>
        <w:rPr>
          <w:rFonts w:ascii="Microsoft Sans Serif" w:hAnsi="Microsoft Sans Serif" w:cs="Microsoft Sans Serif"/>
          <w:bCs/>
          <w:sz w:val="20"/>
          <w:szCs w:val="20"/>
          <w:lang w:val="ru-RU"/>
        </w:rPr>
        <w:t>eriodi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lang w:val="ru-RU"/>
        </w:rPr>
        <w:t>no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ispitivanje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funkcije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jetre</w:t>
      </w:r>
      <w:r>
        <w:rPr>
          <w:rFonts w:ascii="Microsoft Sans Serif" w:hAnsi="Microsoft Sans Serif" w:cs="Microsoft Sans Serif"/>
          <w:bCs/>
          <w:sz w:val="20"/>
          <w:szCs w:val="20"/>
          <w:lang w:val="sr-Latn-RS"/>
        </w:rPr>
        <w:t xml:space="preserve"> je preporučeno tokom terapije erlotinibom</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r-Latn-RS"/>
        </w:rPr>
        <w:t xml:space="preserve"> Učestalost praćenja funkcije jetre treba povećati kod pacijenata sa već postojećim oštećenjem jetre ili bilijarnom opstrukcijom. Kod pacijenata koji prijavljuju simptome koji mogu ukazivati na oštećenje jetre treba izvršiti hitnu kliničku procjenu i mjerenje testova funkcije jetre. Doziranje erlotiniba treba prekinuti ukoliko su promjene funkcije jetre teške (pogledati dio 4.8). Primjena erlotiniba se ne preporučuje kod pacijenata sa teškom disfunkcijom jetre.</w:t>
      </w:r>
    </w:p>
    <w:p w14:paraId="036929AC">
      <w:pPr>
        <w:rPr>
          <w:rFonts w:ascii="Microsoft Sans Serif" w:hAnsi="Microsoft Sans Serif" w:cs="Microsoft Sans Serif"/>
          <w:bCs/>
          <w:sz w:val="20"/>
          <w:szCs w:val="20"/>
          <w:lang w:val="sr-Latn-RS"/>
        </w:rPr>
      </w:pPr>
    </w:p>
    <w:p w14:paraId="1F5896F5">
      <w:pPr>
        <w:rPr>
          <w:rFonts w:ascii="Microsoft Sans Serif" w:hAnsi="Microsoft Sans Serif" w:cs="Microsoft Sans Serif"/>
          <w:bCs/>
          <w:sz w:val="20"/>
          <w:szCs w:val="20"/>
          <w:u w:val="single"/>
          <w:lang w:val="sr-Latn-RS"/>
        </w:rPr>
      </w:pPr>
      <w:r>
        <w:rPr>
          <w:rFonts w:ascii="Microsoft Sans Serif" w:hAnsi="Microsoft Sans Serif" w:cs="Microsoft Sans Serif"/>
          <w:bCs/>
          <w:sz w:val="20"/>
          <w:szCs w:val="20"/>
          <w:u w:val="single"/>
          <w:lang w:val="sr-Latn-RS"/>
        </w:rPr>
        <w:t>Gastrointestinalna perforacija</w:t>
      </w:r>
    </w:p>
    <w:p w14:paraId="61C9DBDE">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Pacijenti na terapiji erlotinibom imaju povećan rizik od razvoja gastrointestinalne perforacije, koja je uočena povremeno (ukl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r-Latn-RS"/>
        </w:rPr>
        <w:t>učujući neke slučajeve sa smrtnim ishodom). P</w:t>
      </w:r>
      <w:r>
        <w:rPr>
          <w:rFonts w:ascii="Microsoft Sans Serif" w:hAnsi="Microsoft Sans Serif" w:cs="Microsoft Sans Serif"/>
          <w:bCs/>
          <w:sz w:val="20"/>
          <w:szCs w:val="20"/>
          <w:lang w:val="mk-MK"/>
        </w:rPr>
        <w:t>o</w:t>
      </w:r>
      <w:r>
        <w:rPr>
          <w:rFonts w:ascii="Microsoft Sans Serif" w:hAnsi="Microsoft Sans Serif" w:cs="Microsoft Sans Serif"/>
          <w:bCs/>
          <w:sz w:val="20"/>
          <w:szCs w:val="20"/>
          <w:lang w:val="sr-Cyrl-RS"/>
        </w:rPr>
        <w:t>većan rizik imaju p</w:t>
      </w:r>
      <w:r>
        <w:rPr>
          <w:rFonts w:ascii="Microsoft Sans Serif" w:hAnsi="Microsoft Sans Serif" w:cs="Microsoft Sans Serif"/>
          <w:bCs/>
          <w:sz w:val="20"/>
          <w:szCs w:val="20"/>
          <w:lang w:val="sr-Latn-RS"/>
        </w:rPr>
        <w:t>acijenti koji istovremeno primaju antiangiogene lijekove, kortikosteroide, NSAIL i/ili hemioterapiju zasnovanu na taksanima ili oni koji u anamnezi imaju peptički ulkus ili divertikularnu bolest. Terapiju erlotinibom treba trajno prekinuti kod pacijenata kod kojih dođe do razvoja gastrointestinalne perforacije (pogledati dio 4.8).</w:t>
      </w:r>
    </w:p>
    <w:p w14:paraId="46913E26">
      <w:pPr>
        <w:rPr>
          <w:rFonts w:ascii="Microsoft Sans Serif" w:hAnsi="Microsoft Sans Serif" w:cs="Microsoft Sans Serif"/>
          <w:bCs/>
          <w:sz w:val="20"/>
          <w:szCs w:val="20"/>
          <w:lang w:val="sr-Latn-RS"/>
        </w:rPr>
      </w:pPr>
    </w:p>
    <w:p w14:paraId="1804B1B0">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Bulozne i eksfolijativne promjene na koži</w:t>
      </w:r>
    </w:p>
    <w:p w14:paraId="1BCE49CA">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Prijavl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eni su slučajevi buloznih, vezikularnih i eksfolijativnih stanja kože, ukl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 xml:space="preserve">učujući i veoma rijetke slučajeve koji ukazuju na </w:t>
      </w:r>
      <w:r>
        <w:rPr>
          <w:rFonts w:ascii="Microsoft Sans Serif" w:hAnsi="Microsoft Sans Serif" w:cs="Microsoft Sans Serif"/>
          <w:bCs/>
          <w:sz w:val="20"/>
          <w:szCs w:val="20"/>
          <w:lang w:val="sr-Latn-RS"/>
        </w:rPr>
        <w:t>Stevens</w:t>
      </w:r>
      <w:r>
        <w:rPr>
          <w:rFonts w:ascii="Microsoft Sans Serif" w:hAnsi="Microsoft Sans Serif" w:cs="Microsoft Sans Serif"/>
          <w:bCs/>
          <w:sz w:val="20"/>
          <w:szCs w:val="20"/>
          <w:lang w:val="sv-SE"/>
        </w:rPr>
        <w:t>-</w:t>
      </w:r>
      <w:r>
        <w:rPr>
          <w:rFonts w:ascii="Microsoft Sans Serif" w:hAnsi="Microsoft Sans Serif" w:cs="Microsoft Sans Serif"/>
          <w:bCs/>
          <w:sz w:val="20"/>
          <w:szCs w:val="20"/>
          <w:lang w:val="sr-Latn-RS"/>
        </w:rPr>
        <w:t>Johnson</w:t>
      </w:r>
      <w:r>
        <w:rPr>
          <w:rFonts w:ascii="Microsoft Sans Serif" w:hAnsi="Microsoft Sans Serif" w:cs="Microsoft Sans Serif"/>
          <w:bCs/>
          <w:sz w:val="20"/>
          <w:szCs w:val="20"/>
          <w:lang w:val="sr-Cyrl-RS"/>
        </w:rPr>
        <w:t>-ov</w:t>
      </w:r>
      <w:r>
        <w:rPr>
          <w:rFonts w:ascii="Microsoft Sans Serif" w:hAnsi="Microsoft Sans Serif" w:cs="Microsoft Sans Serif"/>
          <w:bCs/>
          <w:sz w:val="20"/>
          <w:szCs w:val="20"/>
          <w:lang w:val="sv-SE"/>
        </w:rPr>
        <w:t xml:space="preserve"> sindrom/toksičnu epidermalnu nekrolizu, koji su u nekim slučajevima bili fatalni (pogledati dio 4.8). Terapiju </w:t>
      </w:r>
      <w:r>
        <w:rPr>
          <w:rFonts w:ascii="Microsoft Sans Serif" w:hAnsi="Microsoft Sans Serif" w:cs="Microsoft Sans Serif"/>
          <w:bCs/>
          <w:sz w:val="20"/>
          <w:szCs w:val="20"/>
          <w:lang w:val="sr-Cyrl-RS"/>
        </w:rPr>
        <w:t>erlotinibom</w:t>
      </w:r>
      <w:r>
        <w:rPr>
          <w:rFonts w:ascii="Microsoft Sans Serif" w:hAnsi="Microsoft Sans Serif" w:cs="Microsoft Sans Serif"/>
          <w:bCs/>
          <w:sz w:val="20"/>
          <w:szCs w:val="20"/>
          <w:lang w:val="sv-SE"/>
        </w:rPr>
        <w:t xml:space="preserve"> treba trajno ili privremeno prekinuti ukoliko kod pacijenta dođe do razvoja teških buloznih, vezikularnih ili eksfolijativnih stanja. Pacijente sa buloznim i eksfolijativnim prom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enama na koži trebalo bi testirati na kožne infekcije i liječiti u skladu sa lokalnim terapijskim sm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ernicama.</w:t>
      </w:r>
    </w:p>
    <w:p w14:paraId="721476FD">
      <w:pPr>
        <w:rPr>
          <w:rFonts w:ascii="Microsoft Sans Serif" w:hAnsi="Microsoft Sans Serif" w:cs="Microsoft Sans Serif"/>
          <w:b/>
          <w:bCs/>
          <w:sz w:val="20"/>
          <w:szCs w:val="20"/>
          <w:lang w:val="sv-SE"/>
        </w:rPr>
      </w:pPr>
    </w:p>
    <w:p w14:paraId="3C844A26">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Poremećaji oka</w:t>
      </w:r>
    </w:p>
    <w:p w14:paraId="679DB3BB">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Pacijente sa znacima i simptomima koji ukazuju na keratitis, akutno stanje ili pogoršanje postojećeg: zapal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enje oka, lakrimacija, osjetljivost na sv</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etlost, zamagl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en vid, bol u oku i/ili crvenilo oka treba odmah uputiti oftalmologu. Ukoliko se potvrdi dijagnoza ulceroznog keratitisa, potrebno je privremeno ili trajno obustaviti terapiju erlotinibom. U slučaju dijagnoze keratitisa, treba temel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no 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eniti odnos između koristi i rizika od dal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e terapije. Erlotinib treba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enjivati sa oprezom kod pacijenata koji u anamnezi imaju keratitis, ulcerozni keratitis ili težak oblik suvog oka. Upotreba kontaktnih sočiva je takođe faktor rizika za pojavu keratitisa i ulceracija. Tokom terapije erlotinibom veoma 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v-SE"/>
        </w:rPr>
        <w:t>etko su prijavl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eni slučajevi perforacije ili ulceracije rožnjače (pogledati dio 4.8).</w:t>
      </w:r>
    </w:p>
    <w:p w14:paraId="452D3A27">
      <w:pPr>
        <w:rPr>
          <w:rFonts w:ascii="Microsoft Sans Serif" w:hAnsi="Microsoft Sans Serif" w:cs="Microsoft Sans Serif"/>
          <w:bCs/>
          <w:sz w:val="20"/>
          <w:szCs w:val="20"/>
          <w:lang w:val="sv-SE"/>
        </w:rPr>
      </w:pPr>
    </w:p>
    <w:p w14:paraId="2805081E">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Interakcije sa drugim lijekovima</w:t>
      </w:r>
    </w:p>
    <w:p w14:paraId="2B69D7B3">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Snažni induktori </w:t>
      </w:r>
      <w:r>
        <w:rPr>
          <w:rFonts w:ascii="Microsoft Sans Serif" w:hAnsi="Microsoft Sans Serif" w:cs="Microsoft Sans Serif"/>
          <w:bCs/>
          <w:sz w:val="20"/>
          <w:szCs w:val="20"/>
          <w:lang w:val="sr-Latn-RS"/>
        </w:rPr>
        <w:t>CYP3A4</w:t>
      </w:r>
      <w:r>
        <w:rPr>
          <w:rFonts w:ascii="Microsoft Sans Serif" w:hAnsi="Microsoft Sans Serif" w:cs="Microsoft Sans Serif"/>
          <w:bCs/>
          <w:sz w:val="20"/>
          <w:szCs w:val="20"/>
          <w:lang w:val="sv-SE"/>
        </w:rPr>
        <w:t xml:space="preserve"> mogu smanjiti efikasnost erlotiniba, dok snažni inhibitori </w:t>
      </w:r>
      <w:r>
        <w:rPr>
          <w:rFonts w:ascii="Microsoft Sans Serif" w:hAnsi="Microsoft Sans Serif" w:cs="Microsoft Sans Serif"/>
          <w:bCs/>
          <w:sz w:val="20"/>
          <w:szCs w:val="20"/>
          <w:lang w:val="sr-Latn-RS"/>
        </w:rPr>
        <w:t>CYP3A4</w:t>
      </w:r>
      <w:r>
        <w:rPr>
          <w:rFonts w:ascii="Microsoft Sans Serif" w:hAnsi="Microsoft Sans Serif" w:cs="Microsoft Sans Serif"/>
          <w:bCs/>
          <w:sz w:val="20"/>
          <w:szCs w:val="20"/>
          <w:lang w:val="sv-SE"/>
        </w:rPr>
        <w:t xml:space="preserve"> mogu dovesti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do povećanja toksičnosti. Istovremenu primjenu lijekova ovog tipa i erlotiniba treba izb</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egavati (pogledati dio</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4.5).</w:t>
      </w:r>
    </w:p>
    <w:p w14:paraId="52DD48F4">
      <w:pPr>
        <w:rPr>
          <w:rFonts w:ascii="Microsoft Sans Serif" w:hAnsi="Microsoft Sans Serif" w:cs="Microsoft Sans Serif"/>
          <w:bCs/>
          <w:sz w:val="20"/>
          <w:szCs w:val="20"/>
          <w:lang w:val="sv-SE"/>
        </w:rPr>
      </w:pPr>
    </w:p>
    <w:p w14:paraId="1684BF8D">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Druge vrste interakcija</w:t>
      </w:r>
    </w:p>
    <w:p w14:paraId="5885939D">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Erlotinib odlikuje smanjena rastvorl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ivost pri p</w:t>
      </w:r>
      <w:r>
        <w:rPr>
          <w:rFonts w:ascii="Microsoft Sans Serif" w:hAnsi="Microsoft Sans Serif" w:cs="Microsoft Sans Serif"/>
          <w:bCs/>
          <w:sz w:val="20"/>
          <w:szCs w:val="20"/>
          <w:lang w:val="sr-Latn-RS"/>
        </w:rPr>
        <w:t>H</w:t>
      </w:r>
      <w:r>
        <w:rPr>
          <w:rFonts w:ascii="Microsoft Sans Serif" w:hAnsi="Microsoft Sans Serif" w:cs="Microsoft Sans Serif"/>
          <w:bCs/>
          <w:sz w:val="20"/>
          <w:szCs w:val="20"/>
          <w:lang w:val="sv-SE"/>
        </w:rPr>
        <w:t xml:space="preserve"> vr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v-SE"/>
        </w:rPr>
        <w:t>ednostima iznad 5. Lijekovi koji menjaju p</w:t>
      </w:r>
      <w:r>
        <w:rPr>
          <w:rFonts w:ascii="Microsoft Sans Serif" w:hAnsi="Microsoft Sans Serif" w:cs="Microsoft Sans Serif"/>
          <w:bCs/>
          <w:sz w:val="20"/>
          <w:szCs w:val="20"/>
          <w:lang w:val="sr-Latn-RS"/>
        </w:rPr>
        <w:t>H</w:t>
      </w:r>
      <w:r>
        <w:rPr>
          <w:rFonts w:ascii="Microsoft Sans Serif" w:hAnsi="Microsoft Sans Serif" w:cs="Microsoft Sans Serif"/>
          <w:bCs/>
          <w:sz w:val="20"/>
          <w:szCs w:val="20"/>
          <w:lang w:val="sv-SE"/>
        </w:rPr>
        <w:t xml:space="preserve"> vr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v-SE"/>
        </w:rPr>
        <w:t>ednost</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 u </w:t>
      </w:r>
      <w:r>
        <w:rPr>
          <w:rFonts w:ascii="Microsoft Sans Serif" w:hAnsi="Microsoft Sans Serif" w:cs="Microsoft Sans Serif"/>
          <w:bCs/>
          <w:sz w:val="20"/>
          <w:szCs w:val="20"/>
          <w:lang w:val="sv-SE"/>
        </w:rPr>
        <w:t>gornjim d</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v-SE"/>
        </w:rPr>
        <w:t xml:space="preserve">elovima gastrointestinalnog trakta, kao što su inhibitori protonske pumpe, </w:t>
      </w:r>
      <w:r>
        <w:rPr>
          <w:rFonts w:ascii="Microsoft Sans Serif" w:hAnsi="Microsoft Sans Serif" w:cs="Microsoft Sans Serif"/>
          <w:bCs/>
          <w:sz w:val="20"/>
          <w:szCs w:val="20"/>
          <w:lang w:val="sr-Latn-RS"/>
        </w:rPr>
        <w:t>H</w:t>
      </w:r>
      <w:r>
        <w:rPr>
          <w:rFonts w:ascii="Microsoft Sans Serif" w:hAnsi="Microsoft Sans Serif" w:cs="Microsoft Sans Serif"/>
          <w:bCs/>
          <w:sz w:val="20"/>
          <w:szCs w:val="20"/>
          <w:lang w:val="sv-SE"/>
        </w:rPr>
        <w:t>2 antagonisti i antacidi,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mogu prom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eniti rastvorl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ivost erlotiniba, a time i njegovu biološku raspoloživost. Povećanje doze erlotiniba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tokom istovremene primjene sa ovim lijekovima, vjerovatno neće nadoknaditi smanjenu izloženost</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erlotinibu. Treba izbjegavati kombinaciju erlotiniba i inhibitora protonske pumpe. Mada efekti istovremene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 xml:space="preserve">primjene erlotiniba sa </w:t>
      </w:r>
      <w:r>
        <w:rPr>
          <w:rFonts w:ascii="Microsoft Sans Serif" w:hAnsi="Microsoft Sans Serif" w:cs="Microsoft Sans Serif"/>
          <w:bCs/>
          <w:sz w:val="20"/>
          <w:szCs w:val="20"/>
          <w:lang w:val="sr-Latn-RS"/>
        </w:rPr>
        <w:t>H</w:t>
      </w:r>
      <w:r>
        <w:rPr>
          <w:rFonts w:ascii="Microsoft Sans Serif" w:hAnsi="Microsoft Sans Serif" w:cs="Microsoft Sans Serif"/>
          <w:bCs/>
          <w:sz w:val="20"/>
          <w:szCs w:val="20"/>
          <w:lang w:val="sv-SE"/>
        </w:rPr>
        <w:t>2 antagonistima i antacidima nisu sasvim poznati, smanjenje biološke raspoloživosti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je vjerovatno. Stoga, ovakve kombinacije treba izbjegavati (pogledati dio 4.5). Ukoliko se upotreba antacida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smatra neophodnom tokom terapije erlotinibom, treba je sprovesti najmanje 4 sata pr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v-SE"/>
        </w:rPr>
        <w:t>e ili 2 sata posl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v-SE"/>
        </w:rPr>
        <w:t>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 xml:space="preserve">primjene dnevne doze </w:t>
      </w:r>
      <w:r>
        <w:rPr>
          <w:rFonts w:ascii="Microsoft Sans Serif" w:hAnsi="Microsoft Sans Serif" w:cs="Microsoft Sans Serif"/>
          <w:bCs/>
          <w:sz w:val="20"/>
          <w:szCs w:val="20"/>
          <w:lang w:val="sr-Cyrl-RS"/>
        </w:rPr>
        <w:t>erlotiniba</w:t>
      </w:r>
      <w:r>
        <w:rPr>
          <w:rFonts w:ascii="Microsoft Sans Serif" w:hAnsi="Microsoft Sans Serif" w:cs="Microsoft Sans Serif"/>
          <w:bCs/>
          <w:sz w:val="20"/>
          <w:szCs w:val="20"/>
          <w:lang w:val="sv-SE"/>
        </w:rPr>
        <w:t>.</w:t>
      </w:r>
    </w:p>
    <w:p w14:paraId="7ABDFD6C">
      <w:pPr>
        <w:rPr>
          <w:rFonts w:ascii="Microsoft Sans Serif" w:hAnsi="Microsoft Sans Serif" w:cs="Microsoft Sans Serif"/>
          <w:bCs/>
          <w:sz w:val="20"/>
          <w:szCs w:val="20"/>
          <w:lang w:val="sv-SE"/>
        </w:rPr>
      </w:pPr>
    </w:p>
    <w:p w14:paraId="4069EA14">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Film tablete sadrže laktozu, monohidrat. Pacijenti sa rijetk</w:t>
      </w:r>
      <w:r>
        <w:rPr>
          <w:rFonts w:ascii="Microsoft Sans Serif" w:hAnsi="Microsoft Sans Serif" w:cs="Microsoft Sans Serif"/>
          <w:bCs/>
          <w:sz w:val="20"/>
          <w:szCs w:val="20"/>
          <w:lang w:val="sr-Latn-RS"/>
        </w:rPr>
        <w:t>i</w:t>
      </w:r>
      <w:r>
        <w:rPr>
          <w:rFonts w:ascii="Microsoft Sans Serif" w:hAnsi="Microsoft Sans Serif" w:cs="Microsoft Sans Serif"/>
          <w:bCs/>
          <w:sz w:val="20"/>
          <w:szCs w:val="20"/>
          <w:lang w:val="sv-SE"/>
        </w:rPr>
        <w:t>m nasl</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 xml:space="preserve">ednim </w:t>
      </w:r>
      <w:r>
        <w:rPr>
          <w:rFonts w:ascii="Microsoft Sans Serif" w:hAnsi="Microsoft Sans Serif" w:cs="Microsoft Sans Serif"/>
          <w:bCs/>
          <w:sz w:val="20"/>
          <w:szCs w:val="20"/>
          <w:lang w:val="hr-BA"/>
        </w:rPr>
        <w:t xml:space="preserve">poremećajem nepodnošenja </w:t>
      </w:r>
      <w:r>
        <w:rPr>
          <w:rFonts w:ascii="Microsoft Sans Serif" w:hAnsi="Microsoft Sans Serif" w:cs="Microsoft Sans Serif"/>
          <w:bCs/>
          <w:sz w:val="20"/>
          <w:szCs w:val="20"/>
          <w:lang w:val="sv-SE"/>
        </w:rPr>
        <w:t>galaktoz</w:t>
      </w:r>
      <w:r>
        <w:rPr>
          <w:rFonts w:ascii="Microsoft Sans Serif" w:hAnsi="Microsoft Sans Serif" w:cs="Microsoft Sans Serif"/>
          <w:bCs/>
          <w:sz w:val="20"/>
          <w:szCs w:val="20"/>
          <w:lang w:val="hr-BA"/>
        </w:rPr>
        <w:t>e</w:t>
      </w:r>
      <w:r>
        <w:rPr>
          <w:rFonts w:ascii="Microsoft Sans Serif" w:hAnsi="Microsoft Sans Serif" w:cs="Microsoft Sans Serif"/>
          <w:bCs/>
          <w:sz w:val="20"/>
          <w:szCs w:val="20"/>
          <w:lang w:val="sv-SE"/>
        </w:rPr>
        <w:t>, totalnim nedostatkom</w:t>
      </w:r>
      <w:r>
        <w:rPr>
          <w:rFonts w:ascii="Microsoft Sans Serif" w:hAnsi="Microsoft Sans Serif" w:cs="Microsoft Sans Serif"/>
          <w:bCs/>
          <w:sz w:val="20"/>
          <w:szCs w:val="20"/>
          <w:lang w:val="hr-BA"/>
        </w:rPr>
        <w:t xml:space="preserve"> </w:t>
      </w:r>
      <w:r>
        <w:rPr>
          <w:rFonts w:ascii="Microsoft Sans Serif" w:hAnsi="Microsoft Sans Serif" w:cs="Microsoft Sans Serif"/>
          <w:bCs/>
          <w:sz w:val="20"/>
          <w:szCs w:val="20"/>
          <w:lang w:val="sv-SE"/>
        </w:rPr>
        <w:t>laktaze ili glukoz</w:t>
      </w:r>
      <w:r>
        <w:rPr>
          <w:rFonts w:ascii="Microsoft Sans Serif" w:hAnsi="Microsoft Sans Serif" w:cs="Microsoft Sans Serif"/>
          <w:bCs/>
          <w:sz w:val="20"/>
          <w:szCs w:val="20"/>
          <w:lang w:val="hr-BA"/>
        </w:rPr>
        <w:t>a</w:t>
      </w:r>
      <w:r>
        <w:rPr>
          <w:rFonts w:ascii="Microsoft Sans Serif" w:hAnsi="Microsoft Sans Serif" w:cs="Microsoft Sans Serif"/>
          <w:bCs/>
          <w:sz w:val="20"/>
          <w:szCs w:val="20"/>
          <w:lang w:val="sv-SE"/>
        </w:rPr>
        <w:t>-galaktozn</w:t>
      </w:r>
      <w:r>
        <w:rPr>
          <w:rFonts w:ascii="Microsoft Sans Serif" w:hAnsi="Microsoft Sans Serif" w:cs="Microsoft Sans Serif"/>
          <w:bCs/>
          <w:sz w:val="20"/>
          <w:szCs w:val="20"/>
          <w:lang w:val="hr-BA"/>
        </w:rPr>
        <w:t>a</w:t>
      </w:r>
      <w:r>
        <w:rPr>
          <w:rFonts w:ascii="Microsoft Sans Serif" w:hAnsi="Microsoft Sans Serif" w:cs="Microsoft Sans Serif"/>
          <w:bCs/>
          <w:sz w:val="20"/>
          <w:szCs w:val="20"/>
          <w:lang w:val="sv-SE"/>
        </w:rPr>
        <w:t xml:space="preserve"> malapsorpcijom, ne </w:t>
      </w:r>
      <w:r>
        <w:rPr>
          <w:rFonts w:ascii="Microsoft Sans Serif" w:hAnsi="Microsoft Sans Serif" w:cs="Microsoft Sans Serif"/>
          <w:bCs/>
          <w:sz w:val="20"/>
          <w:szCs w:val="20"/>
          <w:lang w:val="hr-BA"/>
        </w:rPr>
        <w:t xml:space="preserve">bi trebali </w:t>
      </w:r>
      <w:r>
        <w:rPr>
          <w:rFonts w:ascii="Microsoft Sans Serif" w:hAnsi="Microsoft Sans Serif" w:cs="Microsoft Sans Serif"/>
          <w:bCs/>
          <w:sz w:val="20"/>
          <w:szCs w:val="20"/>
          <w:lang w:val="sv-SE"/>
        </w:rPr>
        <w:t>uzima</w:t>
      </w:r>
      <w:r>
        <w:rPr>
          <w:rFonts w:ascii="Microsoft Sans Serif" w:hAnsi="Microsoft Sans Serif" w:cs="Microsoft Sans Serif"/>
          <w:bCs/>
          <w:sz w:val="20"/>
          <w:szCs w:val="20"/>
          <w:lang w:val="hr-BA"/>
        </w:rPr>
        <w:t>ti</w:t>
      </w:r>
      <w:r>
        <w:rPr>
          <w:rFonts w:ascii="Microsoft Sans Serif" w:hAnsi="Microsoft Sans Serif" w:cs="Microsoft Sans Serif"/>
          <w:bCs/>
          <w:sz w:val="20"/>
          <w:szCs w:val="20"/>
          <w:lang w:val="sv-SE"/>
        </w:rPr>
        <w:t xml:space="preserve"> ovaj lijek.</w:t>
      </w:r>
    </w:p>
    <w:p w14:paraId="249490C0">
      <w:pPr>
        <w:rPr>
          <w:rFonts w:ascii="Microsoft Sans Serif" w:hAnsi="Microsoft Sans Serif" w:cs="Microsoft Sans Serif"/>
          <w:bCs/>
          <w:sz w:val="20"/>
          <w:szCs w:val="20"/>
          <w:lang w:val="sv-SE"/>
        </w:rPr>
      </w:pPr>
    </w:p>
    <w:p w14:paraId="42683713">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4.5. Interakcije sa drugim lijekovima i druge vrste interakcija</w:t>
      </w:r>
    </w:p>
    <w:p w14:paraId="35847C07">
      <w:pPr>
        <w:rPr>
          <w:rFonts w:ascii="Microsoft Sans Serif" w:hAnsi="Microsoft Sans Serif" w:cs="Microsoft Sans Serif"/>
          <w:bCs/>
          <w:sz w:val="20"/>
          <w:szCs w:val="20"/>
          <w:lang w:val="sv-SE"/>
        </w:rPr>
      </w:pPr>
    </w:p>
    <w:p w14:paraId="0A38928A">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Ispitivanja interakcija vršena su samo kod odraslih.</w:t>
      </w:r>
    </w:p>
    <w:p w14:paraId="5CE6817E">
      <w:pPr>
        <w:rPr>
          <w:rFonts w:ascii="Microsoft Sans Serif" w:hAnsi="Microsoft Sans Serif" w:cs="Microsoft Sans Serif"/>
          <w:bCs/>
          <w:sz w:val="20"/>
          <w:szCs w:val="20"/>
          <w:lang w:val="sr-Latn-RS"/>
        </w:rPr>
      </w:pPr>
    </w:p>
    <w:p w14:paraId="7594CEB7">
      <w:pPr>
        <w:rPr>
          <w:rFonts w:ascii="Microsoft Sans Serif" w:hAnsi="Microsoft Sans Serif" w:cs="Microsoft Sans Serif"/>
          <w:bCs/>
          <w:sz w:val="20"/>
          <w:szCs w:val="20"/>
          <w:u w:val="single"/>
          <w:lang w:val="sr-Latn-RS"/>
        </w:rPr>
      </w:pPr>
      <w:r>
        <w:rPr>
          <w:rFonts w:ascii="Microsoft Sans Serif" w:hAnsi="Microsoft Sans Serif" w:cs="Microsoft Sans Serif"/>
          <w:bCs/>
          <w:sz w:val="20"/>
          <w:szCs w:val="20"/>
          <w:u w:val="single"/>
          <w:lang w:val="sr-Latn-RS"/>
        </w:rPr>
        <w:t>Erlotinib i drugi CYP supstrati</w:t>
      </w:r>
    </w:p>
    <w:p w14:paraId="5551CD5B">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xml:space="preserve">Erlotinib je snažan inhibitor CYP1A1, i umjereni inhibitor CYP3A4 i CYP2C8, kao i snažan inhibitor glukuronidacije putem UGT1A1 </w:t>
      </w:r>
      <w:r>
        <w:rPr>
          <w:rFonts w:ascii="Microsoft Sans Serif" w:hAnsi="Microsoft Sans Serif" w:cs="Microsoft Sans Serif"/>
          <w:bCs/>
          <w:i/>
          <w:sz w:val="20"/>
          <w:szCs w:val="20"/>
          <w:lang w:val="sr-Latn-RS"/>
        </w:rPr>
        <w:t>in vitro</w:t>
      </w:r>
      <w:r>
        <w:rPr>
          <w:rFonts w:ascii="Microsoft Sans Serif" w:hAnsi="Microsoft Sans Serif" w:cs="Microsoft Sans Serif"/>
          <w:bCs/>
          <w:sz w:val="20"/>
          <w:szCs w:val="20"/>
          <w:lang w:val="sr-Latn-RS"/>
        </w:rPr>
        <w:t>.</w:t>
      </w:r>
    </w:p>
    <w:p w14:paraId="39EB4625">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Fiziološki značaj snažne inhibicije CYP1A1 nije poznat zbog veoma ograničene ekspresije CYP1A1 u tkivima čoveka.</w:t>
      </w:r>
    </w:p>
    <w:p w14:paraId="14B5DD3A">
      <w:pPr>
        <w:rPr>
          <w:rFonts w:ascii="Microsoft Sans Serif" w:hAnsi="Microsoft Sans Serif" w:cs="Microsoft Sans Serif"/>
          <w:bCs/>
          <w:sz w:val="20"/>
          <w:szCs w:val="20"/>
          <w:lang w:val="sr-Latn-RS"/>
        </w:rPr>
      </w:pPr>
    </w:p>
    <w:p w14:paraId="4926C8D2">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Kada se erlotinib primjenjivao istovremeno sa ciprofloksacinom, umjerenim CYP1A2 inhibitorom, izloženost erlotinibu [PIK] značajno se povećala za 39%, dok statistički značajne promjene  C</w:t>
      </w:r>
      <w:r>
        <w:rPr>
          <w:rFonts w:ascii="Microsoft Sans Serif" w:hAnsi="Microsoft Sans Serif" w:cs="Microsoft Sans Serif"/>
          <w:bCs/>
          <w:sz w:val="20"/>
          <w:szCs w:val="20"/>
          <w:vertAlign w:val="subscript"/>
          <w:lang w:val="sr-Latn-RS"/>
        </w:rPr>
        <w:t xml:space="preserve">max </w:t>
      </w:r>
      <w:r>
        <w:rPr>
          <w:rFonts w:ascii="Microsoft Sans Serif" w:hAnsi="Microsoft Sans Serif" w:cs="Microsoft Sans Serif"/>
          <w:bCs/>
          <w:sz w:val="20"/>
          <w:szCs w:val="20"/>
          <w:lang w:val="sr-Latn-RS"/>
        </w:rPr>
        <w:t>nisu primjećene. Slično tome, izloženost aktivnom metabolitu povećala se za oko 60% (PIK) i 48% (C</w:t>
      </w:r>
      <w:r>
        <w:rPr>
          <w:rFonts w:ascii="Microsoft Sans Serif" w:hAnsi="Microsoft Sans Serif" w:cs="Microsoft Sans Serif"/>
          <w:bCs/>
          <w:sz w:val="20"/>
          <w:szCs w:val="20"/>
          <w:vertAlign w:val="subscript"/>
          <w:lang w:val="sr-Latn-RS"/>
        </w:rPr>
        <w:t>max</w:t>
      </w:r>
      <w:r>
        <w:rPr>
          <w:rFonts w:ascii="Microsoft Sans Serif" w:hAnsi="Microsoft Sans Serif" w:cs="Microsoft Sans Serif"/>
          <w:bCs/>
          <w:sz w:val="20"/>
          <w:szCs w:val="20"/>
          <w:lang w:val="sr-Latn-RS"/>
        </w:rPr>
        <w:t>). Klinički značaj tog povećanja nije utvrđen. Potreban je oprez kada se ciprofloksacin ili snažni CYP1A2 inhibitori (npr. fluvoksamin) primjenjuju istovremeno sa erlotinibom. Ukoliko se primjete nežel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r-Latn-RS"/>
        </w:rPr>
        <w:t>ene reakcije vezane za erlotinib, njegova doza se može smanjiti.</w:t>
      </w:r>
    </w:p>
    <w:p w14:paraId="41DA2DE8">
      <w:pPr>
        <w:rPr>
          <w:rFonts w:ascii="Microsoft Sans Serif" w:hAnsi="Microsoft Sans Serif" w:cs="Microsoft Sans Serif"/>
          <w:bCs/>
          <w:sz w:val="20"/>
          <w:szCs w:val="20"/>
          <w:lang w:val="sr-Latn-RS"/>
        </w:rPr>
      </w:pPr>
    </w:p>
    <w:p w14:paraId="23F9D651">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r-Latn-RS"/>
        </w:rPr>
        <w:t xml:space="preserve">Prethodna ili istovremena primjena erlotiniba nije izmjenila klirens prototipnih CYP3A4 supstrata, midazolama i eritromicina, ali se čini da je biološka raspoloživost oralno primjenjenog midazolama bila smanjena za do 24%. U drugoj kliničkoj studiji, erlotinib nije pokazao uticaj na farmakokinetiku istovremeno primjenjenog supstrata CYP3A4/2C8 paklitaksela. </w:t>
      </w:r>
      <w:r>
        <w:rPr>
          <w:rFonts w:ascii="Microsoft Sans Serif" w:hAnsi="Microsoft Sans Serif" w:cs="Microsoft Sans Serif"/>
          <w:bCs/>
          <w:sz w:val="20"/>
          <w:szCs w:val="20"/>
          <w:lang w:val="sv-SE"/>
        </w:rPr>
        <w:t>Stoga nije v</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erovatan značajan uticaj na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 xml:space="preserve">klirens drugih </w:t>
      </w:r>
      <w:r>
        <w:rPr>
          <w:rFonts w:ascii="Microsoft Sans Serif" w:hAnsi="Microsoft Sans Serif" w:cs="Microsoft Sans Serif"/>
          <w:bCs/>
          <w:sz w:val="20"/>
          <w:szCs w:val="20"/>
          <w:lang w:val="sr-Latn-RS"/>
        </w:rPr>
        <w:t>CYP</w:t>
      </w:r>
      <w:r>
        <w:rPr>
          <w:rFonts w:ascii="Microsoft Sans Serif" w:hAnsi="Microsoft Sans Serif" w:cs="Microsoft Sans Serif"/>
          <w:bCs/>
          <w:sz w:val="20"/>
          <w:szCs w:val="20"/>
          <w:lang w:val="sv-SE"/>
        </w:rPr>
        <w:t>3A4 supstrata.</w:t>
      </w:r>
    </w:p>
    <w:p w14:paraId="31E71526">
      <w:pPr>
        <w:rPr>
          <w:rFonts w:ascii="Microsoft Sans Serif" w:hAnsi="Microsoft Sans Serif" w:cs="Microsoft Sans Serif"/>
          <w:bCs/>
          <w:sz w:val="20"/>
          <w:szCs w:val="20"/>
          <w:lang w:val="sv-SE"/>
        </w:rPr>
      </w:pPr>
    </w:p>
    <w:p w14:paraId="6A6A6C5A">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Inhibicija glukuronidacije može izazvati interakcije sa lijekovima koji su supstrati za </w:t>
      </w:r>
      <w:r>
        <w:rPr>
          <w:rFonts w:ascii="Microsoft Sans Serif" w:hAnsi="Microsoft Sans Serif" w:cs="Microsoft Sans Serif"/>
          <w:bCs/>
          <w:sz w:val="20"/>
          <w:szCs w:val="20"/>
          <w:lang w:val="sr-Latn-RS"/>
        </w:rPr>
        <w:t>UGT</w:t>
      </w:r>
      <w:r>
        <w:rPr>
          <w:rFonts w:ascii="Microsoft Sans Serif" w:hAnsi="Microsoft Sans Serif" w:cs="Microsoft Sans Serif"/>
          <w:bCs/>
          <w:sz w:val="20"/>
          <w:szCs w:val="20"/>
          <w:lang w:val="sv-SE"/>
        </w:rPr>
        <w:t>1A1 i koji se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eliminišu iskl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 xml:space="preserve">učivo ovim putem. Kod pacijenata sa niskim nivoom ekspresije </w:t>
      </w:r>
      <w:r>
        <w:rPr>
          <w:rFonts w:ascii="Microsoft Sans Serif" w:hAnsi="Microsoft Sans Serif" w:cs="Microsoft Sans Serif"/>
          <w:bCs/>
          <w:sz w:val="20"/>
          <w:szCs w:val="20"/>
          <w:lang w:val="sr-Latn-RS"/>
        </w:rPr>
        <w:t>UGT</w:t>
      </w:r>
      <w:r>
        <w:rPr>
          <w:rFonts w:ascii="Microsoft Sans Serif" w:hAnsi="Microsoft Sans Serif" w:cs="Microsoft Sans Serif"/>
          <w:bCs/>
          <w:sz w:val="20"/>
          <w:szCs w:val="20"/>
          <w:lang w:val="sv-SE"/>
        </w:rPr>
        <w:t>1A1 ili genetskim</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poremećajima glukuronidacije (npr. Gilbertova bolest) može doći do porasta koncentracije bilirubina 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serumu, pa je neophodan oprez pri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v-SE"/>
        </w:rPr>
        <w:t>ečenju.</w:t>
      </w:r>
    </w:p>
    <w:p w14:paraId="1880E2FC">
      <w:pPr>
        <w:rPr>
          <w:rFonts w:ascii="Microsoft Sans Serif" w:hAnsi="Microsoft Sans Serif" w:cs="Microsoft Sans Serif"/>
          <w:bCs/>
          <w:sz w:val="20"/>
          <w:szCs w:val="20"/>
          <w:lang w:val="sv-SE"/>
        </w:rPr>
      </w:pPr>
    </w:p>
    <w:p w14:paraId="1489B659">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Erlotinib se kod 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 xml:space="preserve">udi metaboliše u jetri preko hepatičnih citohroma, dominantno preko </w:t>
      </w:r>
      <w:r>
        <w:rPr>
          <w:rFonts w:ascii="Microsoft Sans Serif" w:hAnsi="Microsoft Sans Serif" w:cs="Microsoft Sans Serif"/>
          <w:bCs/>
          <w:sz w:val="20"/>
          <w:szCs w:val="20"/>
          <w:lang w:val="sr-Latn-RS"/>
        </w:rPr>
        <w:t>CYP</w:t>
      </w:r>
      <w:r>
        <w:rPr>
          <w:rFonts w:ascii="Microsoft Sans Serif" w:hAnsi="Microsoft Sans Serif" w:cs="Microsoft Sans Serif"/>
          <w:bCs/>
          <w:sz w:val="20"/>
          <w:szCs w:val="20"/>
          <w:lang w:val="sv-SE"/>
        </w:rPr>
        <w:t>3A4, a u manjoj</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 xml:space="preserve">eri preko </w:t>
      </w:r>
      <w:r>
        <w:rPr>
          <w:rFonts w:ascii="Microsoft Sans Serif" w:hAnsi="Microsoft Sans Serif" w:cs="Microsoft Sans Serif"/>
          <w:bCs/>
          <w:sz w:val="20"/>
          <w:szCs w:val="20"/>
          <w:lang w:val="sr-Latn-RS"/>
        </w:rPr>
        <w:t>CYP</w:t>
      </w:r>
      <w:r>
        <w:rPr>
          <w:rFonts w:ascii="Microsoft Sans Serif" w:hAnsi="Microsoft Sans Serif" w:cs="Microsoft Sans Serif"/>
          <w:bCs/>
          <w:sz w:val="20"/>
          <w:szCs w:val="20"/>
          <w:lang w:val="sv-SE"/>
        </w:rPr>
        <w:t>1A2. Metaboličkom klirensu erlotiniba potencijalno doprinosi i metabolizam van jetre,</w:t>
      </w:r>
      <w:r>
        <w:rPr>
          <w:rFonts w:ascii="Microsoft Sans Serif" w:hAnsi="Microsoft Sans Serif" w:cs="Microsoft Sans Serif"/>
          <w:sz w:val="20"/>
          <w:szCs w:val="20"/>
          <w:lang w:val="sv-SE"/>
        </w:rPr>
        <w:t xml:space="preserve"> </w:t>
      </w:r>
      <w:r>
        <w:rPr>
          <w:rFonts w:ascii="Microsoft Sans Serif" w:hAnsi="Microsoft Sans Serif" w:cs="Microsoft Sans Serif"/>
          <w:bCs/>
          <w:sz w:val="20"/>
          <w:szCs w:val="20"/>
          <w:lang w:val="sv-SE"/>
        </w:rPr>
        <w:t xml:space="preserve">preko </w:t>
      </w:r>
      <w:r>
        <w:rPr>
          <w:rFonts w:ascii="Microsoft Sans Serif" w:hAnsi="Microsoft Sans Serif" w:cs="Microsoft Sans Serif"/>
          <w:bCs/>
          <w:sz w:val="20"/>
          <w:szCs w:val="20"/>
          <w:lang w:val="sr-Latn-RS"/>
        </w:rPr>
        <w:t>CYP</w:t>
      </w:r>
      <w:r>
        <w:rPr>
          <w:rFonts w:ascii="Microsoft Sans Serif" w:hAnsi="Microsoft Sans Serif" w:cs="Microsoft Sans Serif"/>
          <w:bCs/>
          <w:sz w:val="20"/>
          <w:szCs w:val="20"/>
          <w:lang w:val="sv-SE"/>
        </w:rPr>
        <w:t>3A4 u cr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v-SE"/>
        </w:rPr>
        <w:t xml:space="preserve">evima, </w:t>
      </w:r>
      <w:r>
        <w:rPr>
          <w:rFonts w:ascii="Microsoft Sans Serif" w:hAnsi="Microsoft Sans Serif" w:cs="Microsoft Sans Serif"/>
          <w:bCs/>
          <w:sz w:val="20"/>
          <w:szCs w:val="20"/>
          <w:lang w:val="sr-Latn-RS"/>
        </w:rPr>
        <w:t>CYP</w:t>
      </w:r>
      <w:r>
        <w:rPr>
          <w:rFonts w:ascii="Microsoft Sans Serif" w:hAnsi="Microsoft Sans Serif" w:cs="Microsoft Sans Serif"/>
          <w:bCs/>
          <w:sz w:val="20"/>
          <w:szCs w:val="20"/>
          <w:lang w:val="sv-SE"/>
        </w:rPr>
        <w:t xml:space="preserve">1A1 u plućima i </w:t>
      </w:r>
      <w:r>
        <w:rPr>
          <w:rFonts w:ascii="Microsoft Sans Serif" w:hAnsi="Microsoft Sans Serif" w:cs="Microsoft Sans Serif"/>
          <w:bCs/>
          <w:sz w:val="20"/>
          <w:szCs w:val="20"/>
          <w:lang w:val="sr-Latn-RS"/>
        </w:rPr>
        <w:t>CYP</w:t>
      </w:r>
      <w:r>
        <w:rPr>
          <w:rFonts w:ascii="Microsoft Sans Serif" w:hAnsi="Microsoft Sans Serif" w:cs="Microsoft Sans Serif"/>
          <w:bCs/>
          <w:sz w:val="20"/>
          <w:szCs w:val="20"/>
          <w:lang w:val="sv-SE"/>
        </w:rPr>
        <w:t>1</w:t>
      </w:r>
      <w:r>
        <w:rPr>
          <w:rFonts w:ascii="Microsoft Sans Serif" w:hAnsi="Microsoft Sans Serif" w:cs="Microsoft Sans Serif"/>
          <w:bCs/>
          <w:sz w:val="20"/>
          <w:szCs w:val="20"/>
          <w:lang w:val="sr-Latn-RS"/>
        </w:rPr>
        <w:t>B</w:t>
      </w:r>
      <w:r>
        <w:rPr>
          <w:rFonts w:ascii="Microsoft Sans Serif" w:hAnsi="Microsoft Sans Serif" w:cs="Microsoft Sans Serif"/>
          <w:bCs/>
          <w:sz w:val="20"/>
          <w:szCs w:val="20"/>
          <w:lang w:val="sv-SE"/>
        </w:rPr>
        <w:t>1 u tumorskom tkivu. Potencijalne interakcije se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mogu javiti sa aktivnim supstancama koje se metabolišu preko ovih enzima, ili su njihovi inhibitori ili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induktori.</w:t>
      </w:r>
    </w:p>
    <w:p w14:paraId="1E34460B">
      <w:pPr>
        <w:rPr>
          <w:rFonts w:ascii="Microsoft Sans Serif" w:hAnsi="Microsoft Sans Serif" w:cs="Microsoft Sans Serif"/>
          <w:bCs/>
          <w:sz w:val="20"/>
          <w:szCs w:val="20"/>
          <w:lang w:val="sv-SE"/>
        </w:rPr>
      </w:pPr>
    </w:p>
    <w:p w14:paraId="73491F7C">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Snažni inhibitori aktivnosti </w:t>
      </w:r>
      <w:r>
        <w:rPr>
          <w:rFonts w:ascii="Microsoft Sans Serif" w:hAnsi="Microsoft Sans Serif" w:cs="Microsoft Sans Serif"/>
          <w:bCs/>
          <w:sz w:val="20"/>
          <w:szCs w:val="20"/>
          <w:lang w:val="sr-Latn-RS"/>
        </w:rPr>
        <w:t>CYP</w:t>
      </w:r>
      <w:r>
        <w:rPr>
          <w:rFonts w:ascii="Microsoft Sans Serif" w:hAnsi="Microsoft Sans Serif" w:cs="Microsoft Sans Serif"/>
          <w:bCs/>
          <w:sz w:val="20"/>
          <w:szCs w:val="20"/>
          <w:lang w:val="sv-SE"/>
        </w:rPr>
        <w:t>3A4 smanjuju metabolizam erlotiniba i povećavaju koncentracije erlotiniba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u plazmi. U jednoj kliničkoj studiji, istovremena upotreba erlotiniba sa ketokonazolom (200 mg oralno, dva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 xml:space="preserve">puta dnevno tokom 5 dana), koji je snažan inhibitor </w:t>
      </w:r>
      <w:r>
        <w:rPr>
          <w:rFonts w:ascii="Microsoft Sans Serif" w:hAnsi="Microsoft Sans Serif" w:cs="Microsoft Sans Serif"/>
          <w:bCs/>
          <w:sz w:val="20"/>
          <w:szCs w:val="20"/>
          <w:lang w:val="sr-Latn-RS"/>
        </w:rPr>
        <w:t>CYP</w:t>
      </w:r>
      <w:r>
        <w:rPr>
          <w:rFonts w:ascii="Microsoft Sans Serif" w:hAnsi="Microsoft Sans Serif" w:cs="Microsoft Sans Serif"/>
          <w:bCs/>
          <w:sz w:val="20"/>
          <w:szCs w:val="20"/>
          <w:lang w:val="sv-SE"/>
        </w:rPr>
        <w:t>3A4, dovela je do povećane izloženosti erlotinibu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 xml:space="preserve">(86% </w:t>
      </w:r>
      <w:r>
        <w:rPr>
          <w:rFonts w:ascii="Microsoft Sans Serif" w:hAnsi="Microsoft Sans Serif" w:cs="Microsoft Sans Serif"/>
          <w:bCs/>
          <w:sz w:val="20"/>
          <w:szCs w:val="20"/>
          <w:lang w:val="sr-Latn-RS"/>
        </w:rPr>
        <w:t>PIK</w:t>
      </w:r>
      <w:r>
        <w:rPr>
          <w:rFonts w:ascii="Microsoft Sans Serif" w:hAnsi="Microsoft Sans Serif" w:cs="Microsoft Sans Serif"/>
          <w:bCs/>
          <w:sz w:val="20"/>
          <w:szCs w:val="20"/>
          <w:lang w:val="sv-SE"/>
        </w:rPr>
        <w:t xml:space="preserve"> i 69% </w:t>
      </w:r>
      <w:r>
        <w:rPr>
          <w:rFonts w:ascii="Microsoft Sans Serif" w:hAnsi="Microsoft Sans Serif" w:cs="Microsoft Sans Serif"/>
          <w:bCs/>
          <w:sz w:val="20"/>
          <w:szCs w:val="20"/>
          <w:lang w:val="sr-Latn-RS"/>
        </w:rPr>
        <w:t>C</w:t>
      </w:r>
      <w:r>
        <w:rPr>
          <w:rFonts w:ascii="Microsoft Sans Serif" w:hAnsi="Microsoft Sans Serif" w:cs="Microsoft Sans Serif"/>
          <w:bCs/>
          <w:sz w:val="20"/>
          <w:szCs w:val="20"/>
          <w:vertAlign w:val="subscript"/>
          <w:lang w:val="sr-Latn-RS"/>
        </w:rPr>
        <w:t>max</w:t>
      </w:r>
      <w:r>
        <w:rPr>
          <w:rFonts w:ascii="Microsoft Sans Serif" w:hAnsi="Microsoft Sans Serif" w:cs="Microsoft Sans Serif"/>
          <w:bCs/>
          <w:sz w:val="20"/>
          <w:szCs w:val="20"/>
          <w:lang w:val="sv-SE"/>
        </w:rPr>
        <w:t>). Prema tome, potreban je oprez prilikom istovremene primjene erlotiniba i snažnog</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 xml:space="preserve">inhibitora </w:t>
      </w:r>
      <w:r>
        <w:rPr>
          <w:rFonts w:ascii="Microsoft Sans Serif" w:hAnsi="Microsoft Sans Serif" w:cs="Microsoft Sans Serif"/>
          <w:bCs/>
          <w:sz w:val="20"/>
          <w:szCs w:val="20"/>
          <w:lang w:val="sr-Latn-RS"/>
        </w:rPr>
        <w:t>CYP</w:t>
      </w:r>
      <w:r>
        <w:rPr>
          <w:rFonts w:ascii="Microsoft Sans Serif" w:hAnsi="Microsoft Sans Serif" w:cs="Microsoft Sans Serif"/>
          <w:bCs/>
          <w:sz w:val="20"/>
          <w:szCs w:val="20"/>
          <w:lang w:val="sv-SE"/>
        </w:rPr>
        <w:t>3A4, npr. sa azolnim antimikoticima (tj. ketokonazolom, itrakonazolom, vorikonazolom),</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inhibitorima proteaze, eritromicinom ili klaritromicinom. Ukoliko je neophodno, dozu erlotiniba treba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smanjiti, posebno ako se uoče znaci toksičnosti.</w:t>
      </w:r>
    </w:p>
    <w:p w14:paraId="3C1657F2">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Snažni induktori aktivnosti </w:t>
      </w:r>
      <w:r>
        <w:rPr>
          <w:rFonts w:ascii="Microsoft Sans Serif" w:hAnsi="Microsoft Sans Serif" w:cs="Microsoft Sans Serif"/>
          <w:bCs/>
          <w:sz w:val="20"/>
          <w:szCs w:val="20"/>
          <w:lang w:val="sr-Latn-RS"/>
        </w:rPr>
        <w:t>CYP</w:t>
      </w:r>
      <w:r>
        <w:rPr>
          <w:rFonts w:ascii="Microsoft Sans Serif" w:hAnsi="Microsoft Sans Serif" w:cs="Microsoft Sans Serif"/>
          <w:bCs/>
          <w:sz w:val="20"/>
          <w:szCs w:val="20"/>
          <w:lang w:val="sv-SE"/>
        </w:rPr>
        <w:t>3A4 pojačavaju metabolizam erlotiniba i značajno smanjuju koncentracije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erlotiniba u plazmi. U kliničkom ispitivanju pokazano je da je istovremena primjena erlotiniba i rifampicina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 xml:space="preserve">(600 mg oralno, jednom dnevno u periodu od 7 dana), snažnog induktora </w:t>
      </w:r>
      <w:r>
        <w:rPr>
          <w:rFonts w:ascii="Microsoft Sans Serif" w:hAnsi="Microsoft Sans Serif" w:cs="Microsoft Sans Serif"/>
          <w:bCs/>
          <w:sz w:val="20"/>
          <w:szCs w:val="20"/>
          <w:lang w:val="sr-Latn-RS"/>
        </w:rPr>
        <w:t>CYP</w:t>
      </w:r>
      <w:r>
        <w:rPr>
          <w:rFonts w:ascii="Microsoft Sans Serif" w:hAnsi="Microsoft Sans Serif" w:cs="Microsoft Sans Serif"/>
          <w:bCs/>
          <w:sz w:val="20"/>
          <w:szCs w:val="20"/>
          <w:lang w:val="sv-SE"/>
        </w:rPr>
        <w:t>3A4, dovela do 69%</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 xml:space="preserve">smanjenja medijane vrijednosti </w:t>
      </w:r>
      <w:r>
        <w:rPr>
          <w:rFonts w:ascii="Microsoft Sans Serif" w:hAnsi="Microsoft Sans Serif" w:cs="Microsoft Sans Serif"/>
          <w:bCs/>
          <w:sz w:val="20"/>
          <w:szCs w:val="20"/>
          <w:lang w:val="sr-Latn-RS"/>
        </w:rPr>
        <w:t>PIK</w:t>
      </w:r>
      <w:r>
        <w:rPr>
          <w:rFonts w:ascii="Microsoft Sans Serif" w:hAnsi="Microsoft Sans Serif" w:cs="Microsoft Sans Serif"/>
          <w:bCs/>
          <w:sz w:val="20"/>
          <w:szCs w:val="20"/>
          <w:lang w:val="sv-SE"/>
        </w:rPr>
        <w:t xml:space="preserve"> erlotiniba. Istovremena primjena rifampicina sa pojedinačnom dozom</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erlotiniba od 450 mg dovela je do srednje izloženosti erlotinibu (</w:t>
      </w:r>
      <w:r>
        <w:rPr>
          <w:rFonts w:ascii="Microsoft Sans Serif" w:hAnsi="Microsoft Sans Serif" w:cs="Microsoft Sans Serif"/>
          <w:bCs/>
          <w:sz w:val="20"/>
          <w:szCs w:val="20"/>
          <w:lang w:val="sr-Latn-RS"/>
        </w:rPr>
        <w:t>PIK</w:t>
      </w:r>
      <w:r>
        <w:rPr>
          <w:rFonts w:ascii="Microsoft Sans Serif" w:hAnsi="Microsoft Sans Serif" w:cs="Microsoft Sans Serif"/>
          <w:bCs/>
          <w:sz w:val="20"/>
          <w:szCs w:val="20"/>
          <w:lang w:val="sv-SE"/>
        </w:rPr>
        <w:t>) od 57,5% u odnosu na izloženost</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nakon pojedinačne doze od 150 mg erlotiniba u terapiji bez rifampicina. Iz tog razloga je potrebno izbjegavati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 xml:space="preserve">istovremenu primjenu erlotiniba sa </w:t>
      </w:r>
      <w:r>
        <w:rPr>
          <w:rFonts w:ascii="Microsoft Sans Serif" w:hAnsi="Microsoft Sans Serif" w:cs="Microsoft Sans Serif"/>
          <w:bCs/>
          <w:sz w:val="20"/>
          <w:szCs w:val="20"/>
          <w:lang w:val="sr-Latn-RS"/>
        </w:rPr>
        <w:t>CYP</w:t>
      </w:r>
      <w:r>
        <w:rPr>
          <w:rFonts w:ascii="Microsoft Sans Serif" w:hAnsi="Microsoft Sans Serif" w:cs="Microsoft Sans Serif"/>
          <w:bCs/>
          <w:sz w:val="20"/>
          <w:szCs w:val="20"/>
          <w:lang w:val="sv-SE"/>
        </w:rPr>
        <w:t>3A4 induktorima. Kod pacijenata kod kojih je potrebna istovremena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 xml:space="preserve">primjena erlotiniba i snažnog induktora </w:t>
      </w:r>
      <w:r>
        <w:rPr>
          <w:rFonts w:ascii="Microsoft Sans Serif" w:hAnsi="Microsoft Sans Serif" w:cs="Microsoft Sans Serif"/>
          <w:bCs/>
          <w:sz w:val="20"/>
          <w:szCs w:val="20"/>
          <w:lang w:val="sr-Latn-RS"/>
        </w:rPr>
        <w:t>CYP</w:t>
      </w:r>
      <w:r>
        <w:rPr>
          <w:rFonts w:ascii="Microsoft Sans Serif" w:hAnsi="Microsoft Sans Serif" w:cs="Microsoft Sans Serif"/>
          <w:bCs/>
          <w:sz w:val="20"/>
          <w:szCs w:val="20"/>
          <w:lang w:val="sv-SE"/>
        </w:rPr>
        <w:t>3A4, kao što je rifampicin, treba razmotriti povećanje doze na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300 mg uz pažl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ivo praćenje pacijenta sa aspekta bezbjednosti primjene (ukl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učujući funkciju jetre i bubrega 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serumske elektrolite), i ukoliko se dobro podnosi u periodu dužem od 2 nedel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e, treba razmotriti dal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povećanje doze na 450 mg uz pažl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ivo praćenje bezbjednosti terapije. Do smanjene izloženosti takođe može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doći i pri primjeni drugih induktora npr. fenitoina, karbamazepina, barbiturata ili kantariona (</w:t>
      </w:r>
      <w:r>
        <w:rPr>
          <w:rFonts w:ascii="Microsoft Sans Serif" w:hAnsi="Microsoft Sans Serif" w:cs="Microsoft Sans Serif"/>
          <w:bCs/>
          <w:i/>
          <w:sz w:val="20"/>
          <w:szCs w:val="20"/>
          <w:lang w:val="sv-SE"/>
        </w:rPr>
        <w:t>hypericum perforatum</w:t>
      </w:r>
      <w:r>
        <w:rPr>
          <w:rFonts w:ascii="Microsoft Sans Serif" w:hAnsi="Microsoft Sans Serif" w:cs="Microsoft Sans Serif"/>
          <w:bCs/>
          <w:sz w:val="20"/>
          <w:szCs w:val="20"/>
          <w:lang w:val="sv-SE"/>
        </w:rPr>
        <w:t>). Potreban je oprez pri istovremenoj primjeni ovih aktivnih supstanci sa erlotinibom. Kada god je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 xml:space="preserve">moguće, treba razmotriti druge terapijske opcije, bez snažne </w:t>
      </w:r>
      <w:r>
        <w:rPr>
          <w:rFonts w:ascii="Microsoft Sans Serif" w:hAnsi="Microsoft Sans Serif" w:cs="Microsoft Sans Serif"/>
          <w:bCs/>
          <w:sz w:val="20"/>
          <w:szCs w:val="20"/>
          <w:lang w:val="sr-Latn-RS"/>
        </w:rPr>
        <w:t>CYP</w:t>
      </w:r>
      <w:r>
        <w:rPr>
          <w:rFonts w:ascii="Microsoft Sans Serif" w:hAnsi="Microsoft Sans Serif" w:cs="Microsoft Sans Serif"/>
          <w:bCs/>
          <w:sz w:val="20"/>
          <w:szCs w:val="20"/>
          <w:lang w:val="sv-SE"/>
        </w:rPr>
        <w:t>3A4 indukcione aktivnosti.</w:t>
      </w:r>
    </w:p>
    <w:p w14:paraId="31882677">
      <w:pPr>
        <w:rPr>
          <w:rFonts w:ascii="Microsoft Sans Serif" w:hAnsi="Microsoft Sans Serif" w:cs="Microsoft Sans Serif"/>
          <w:bCs/>
          <w:sz w:val="20"/>
          <w:szCs w:val="20"/>
          <w:lang w:val="sv-SE"/>
        </w:rPr>
      </w:pPr>
    </w:p>
    <w:p w14:paraId="4038BEE6">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Erlotinib i kumarinski antikoagulansi</w:t>
      </w:r>
    </w:p>
    <w:p w14:paraId="3E7C2A02">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Kod pacijenata na terapiji erlotinibom prijavl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eni su slučajevi interakcije sa kumarinskim antikoagulansima,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ukl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 xml:space="preserve">učujući varfarin, koji su vodili povećanju </w:t>
      </w:r>
      <w:r>
        <w:rPr>
          <w:rFonts w:ascii="Microsoft Sans Serif" w:hAnsi="Microsoft Sans Serif" w:cs="Microsoft Sans Serif"/>
          <w:bCs/>
          <w:sz w:val="20"/>
          <w:szCs w:val="20"/>
          <w:lang w:val="sr-Latn-RS"/>
        </w:rPr>
        <w:t>INR</w:t>
      </w:r>
      <w:r>
        <w:rPr>
          <w:rFonts w:ascii="Microsoft Sans Serif" w:hAnsi="Microsoft Sans Serif" w:cs="Microsoft Sans Serif"/>
          <w:bCs/>
          <w:sz w:val="20"/>
          <w:szCs w:val="20"/>
          <w:lang w:val="sv-SE"/>
        </w:rPr>
        <w:t xml:space="preserve"> vrijednosti (engl. </w:t>
      </w:r>
      <w:r>
        <w:rPr>
          <w:rFonts w:ascii="Microsoft Sans Serif" w:hAnsi="Microsoft Sans Serif" w:cs="Microsoft Sans Serif"/>
          <w:bCs/>
          <w:i/>
          <w:sz w:val="20"/>
          <w:szCs w:val="20"/>
          <w:lang w:val="sr-Latn-RS"/>
        </w:rPr>
        <w:t>International Normalized Ratio</w:t>
      </w:r>
      <w:r>
        <w:rPr>
          <w:rFonts w:ascii="Microsoft Sans Serif" w:hAnsi="Microsoft Sans Serif" w:cs="Microsoft Sans Serif"/>
          <w:bCs/>
          <w:sz w:val="20"/>
          <w:szCs w:val="20"/>
          <w:lang w:val="sv-SE"/>
        </w:rPr>
        <w:t>) i pojavi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krvarenja, koja su u nekim slučajevima imala smrtni ishod. Pacijente koji su na terapiji kumarinskim</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antikoagulansima treba redovno pratiti u cil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u uočavanja eventualnih prom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ena u vrijednostima protrombinskog</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 xml:space="preserve">vremena ili </w:t>
      </w:r>
      <w:r>
        <w:rPr>
          <w:rFonts w:ascii="Microsoft Sans Serif" w:hAnsi="Microsoft Sans Serif" w:cs="Microsoft Sans Serif"/>
          <w:bCs/>
          <w:sz w:val="20"/>
          <w:szCs w:val="20"/>
          <w:lang w:val="sr-Latn-RS"/>
        </w:rPr>
        <w:t>INR</w:t>
      </w:r>
      <w:r>
        <w:rPr>
          <w:rFonts w:ascii="Microsoft Sans Serif" w:hAnsi="Microsoft Sans Serif" w:cs="Microsoft Sans Serif"/>
          <w:bCs/>
          <w:sz w:val="20"/>
          <w:szCs w:val="20"/>
          <w:lang w:val="sv-SE"/>
        </w:rPr>
        <w:t>.</w:t>
      </w:r>
    </w:p>
    <w:p w14:paraId="4DD97DD3">
      <w:pPr>
        <w:rPr>
          <w:rFonts w:ascii="Microsoft Sans Serif" w:hAnsi="Microsoft Sans Serif" w:cs="Microsoft Sans Serif"/>
          <w:bCs/>
          <w:sz w:val="20"/>
          <w:szCs w:val="20"/>
          <w:lang w:val="sv-SE"/>
        </w:rPr>
      </w:pPr>
    </w:p>
    <w:p w14:paraId="3C646FC2">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Erlotinib i statini</w:t>
      </w:r>
    </w:p>
    <w:p w14:paraId="1574693A">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Kombinacija erlotiniba i statina može povećati rizik od razvoja miopatije indukovane statinima, ukl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učujući 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rabdomiolizu, što je 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v-SE"/>
        </w:rPr>
        <w:t>etko zabilježeno.</w:t>
      </w:r>
    </w:p>
    <w:p w14:paraId="733045EC">
      <w:pPr>
        <w:rPr>
          <w:rFonts w:ascii="Microsoft Sans Serif" w:hAnsi="Microsoft Sans Serif" w:cs="Microsoft Sans Serif"/>
          <w:bCs/>
          <w:sz w:val="20"/>
          <w:szCs w:val="20"/>
          <w:u w:val="single"/>
          <w:lang w:val="sv-SE"/>
        </w:rPr>
      </w:pPr>
    </w:p>
    <w:p w14:paraId="2DF5A1F9">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Erlotinib i pušači</w:t>
      </w:r>
    </w:p>
    <w:p w14:paraId="56439121">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Rezultati ispitivanja farmakokinetičkih interakcija su pokazali značajno 2,8-, 1,5- i 9 puta smanjenje </w:t>
      </w:r>
      <w:r>
        <w:rPr>
          <w:rFonts w:ascii="Microsoft Sans Serif" w:hAnsi="Microsoft Sans Serif" w:cs="Microsoft Sans Serif"/>
          <w:bCs/>
          <w:sz w:val="20"/>
          <w:szCs w:val="20"/>
          <w:lang w:val="sr-Latn-RS"/>
        </w:rPr>
        <w:t>PIK</w:t>
      </w:r>
      <w:r>
        <w:rPr>
          <w:rFonts w:ascii="Microsoft Sans Serif" w:hAnsi="Microsoft Sans Serif" w:cs="Microsoft Sans Serif"/>
          <w:bCs/>
          <w:sz w:val="20"/>
          <w:szCs w:val="20"/>
          <w:vertAlign w:val="subscript"/>
          <w:lang w:val="sr-Latn-RS"/>
        </w:rPr>
        <w:t>inf</w:t>
      </w:r>
      <w:r>
        <w:rPr>
          <w:rFonts w:ascii="Microsoft Sans Serif" w:hAnsi="Microsoft Sans Serif" w:cs="Microsoft Sans Serif"/>
          <w:bCs/>
          <w:sz w:val="20"/>
          <w:szCs w:val="20"/>
          <w:lang w:val="sv-SE"/>
        </w:rPr>
        <w:t>,</w:t>
      </w:r>
      <w:r>
        <w:rPr>
          <w:rFonts w:ascii="Microsoft Sans Serif" w:hAnsi="Microsoft Sans Serif" w:cs="Microsoft Sans Serif"/>
          <w:bCs/>
          <w:sz w:val="20"/>
          <w:szCs w:val="20"/>
          <w:lang w:val="sr-Latn-RS"/>
        </w:rPr>
        <w:t xml:space="preserve"> C</w:t>
      </w:r>
      <w:r>
        <w:rPr>
          <w:rFonts w:ascii="Microsoft Sans Serif" w:hAnsi="Microsoft Sans Serif" w:cs="Microsoft Sans Serif"/>
          <w:bCs/>
          <w:sz w:val="20"/>
          <w:szCs w:val="20"/>
          <w:vertAlign w:val="subscript"/>
          <w:lang w:val="sr-Latn-RS"/>
        </w:rPr>
        <w:t>max</w:t>
      </w:r>
      <w:r>
        <w:rPr>
          <w:rFonts w:ascii="Microsoft Sans Serif" w:hAnsi="Microsoft Sans Serif" w:cs="Microsoft Sans Serif"/>
          <w:bCs/>
          <w:sz w:val="20"/>
          <w:szCs w:val="20"/>
          <w:lang w:val="sv-SE"/>
        </w:rPr>
        <w:t xml:space="preserve"> i koncentracije u plazmi nakon 24 sata, respektivno, nakon primjene erlotiniba kod pušača u poređenju sa primjenom kod nepušača. Stoga pacijente koji puše treba podstaknuti da prestanu da puše, što je pr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v-SE"/>
        </w:rPr>
        <w:t>e moguće, pr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v-SE"/>
        </w:rPr>
        <w:t>e početka terapije erlotinibom, jer u supro</w:t>
      </w:r>
      <w:r>
        <w:rPr>
          <w:rFonts w:ascii="Microsoft Sans Serif" w:hAnsi="Microsoft Sans Serif" w:cs="Microsoft Sans Serif"/>
          <w:bCs/>
          <w:sz w:val="20"/>
          <w:szCs w:val="20"/>
          <w:lang w:val="sr-Cyrl-RS"/>
        </w:rPr>
        <w:t>t</w:t>
      </w:r>
      <w:r>
        <w:rPr>
          <w:rFonts w:ascii="Microsoft Sans Serif" w:hAnsi="Microsoft Sans Serif" w:cs="Microsoft Sans Serif"/>
          <w:bCs/>
          <w:sz w:val="20"/>
          <w:szCs w:val="20"/>
          <w:lang w:val="sv-SE"/>
        </w:rPr>
        <w:t xml:space="preserve">nom može doći do smanjenja koncentracija erlotiniba u plazmi. Prema podacima </w:t>
      </w:r>
      <w:r>
        <w:rPr>
          <w:rFonts w:ascii="Microsoft Sans Serif" w:hAnsi="Microsoft Sans Serif" w:cs="Microsoft Sans Serif"/>
          <w:bCs/>
          <w:sz w:val="20"/>
          <w:szCs w:val="20"/>
          <w:lang w:val="sr-Latn-RS"/>
        </w:rPr>
        <w:t>CURRENTS</w:t>
      </w:r>
      <w:r>
        <w:rPr>
          <w:rFonts w:ascii="Microsoft Sans Serif" w:hAnsi="Microsoft Sans Serif" w:cs="Microsoft Sans Serif"/>
          <w:bCs/>
          <w:sz w:val="20"/>
          <w:szCs w:val="20"/>
          <w:lang w:val="sv-SE"/>
        </w:rPr>
        <w:t xml:space="preserve"> ispitivanja, nije bilo dokaza da je korist liječenja kod aktivnih pušača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veća pri primjeni više doze erlotiniba (300 mg) nego pri primjeni preporučene doze od 150 mg. Podaci o</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bezbjednosti doza od 300 mg i 150 mg su bili uporedivi; međutim, kod pacijenata koji su primali višu dozu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erlotiniba zabilježeno je brojčano povećanje incidence osipa, intesticijalne bolesti pluća i dijareje (pogledati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dijelove 4.2, 4.4, 5.1 i 5.2).</w:t>
      </w:r>
    </w:p>
    <w:p w14:paraId="7155D6CB">
      <w:pPr>
        <w:rPr>
          <w:rFonts w:ascii="Microsoft Sans Serif" w:hAnsi="Microsoft Sans Serif" w:cs="Microsoft Sans Serif"/>
          <w:bCs/>
          <w:sz w:val="20"/>
          <w:szCs w:val="20"/>
          <w:u w:val="single"/>
          <w:lang w:val="sv-SE"/>
        </w:rPr>
      </w:pPr>
    </w:p>
    <w:p w14:paraId="79237082">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 xml:space="preserve">Erlotinib i inhibitori </w:t>
      </w:r>
      <w:r>
        <w:rPr>
          <w:rFonts w:ascii="Microsoft Sans Serif" w:hAnsi="Microsoft Sans Serif" w:cs="Microsoft Sans Serif"/>
          <w:bCs/>
          <w:sz w:val="20"/>
          <w:szCs w:val="20"/>
          <w:u w:val="single"/>
          <w:lang w:val="sr-Latn-RS"/>
        </w:rPr>
        <w:t>P</w:t>
      </w:r>
      <w:r>
        <w:rPr>
          <w:rFonts w:ascii="Microsoft Sans Serif" w:hAnsi="Microsoft Sans Serif" w:cs="Microsoft Sans Serif"/>
          <w:bCs/>
          <w:sz w:val="20"/>
          <w:szCs w:val="20"/>
          <w:u w:val="single"/>
          <w:lang w:val="sv-SE"/>
        </w:rPr>
        <w:t>-glikoproteina</w:t>
      </w:r>
    </w:p>
    <w:p w14:paraId="02EC511C">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Erlotinib je supstrat </w:t>
      </w:r>
      <w:r>
        <w:rPr>
          <w:rFonts w:ascii="Microsoft Sans Serif" w:hAnsi="Microsoft Sans Serif" w:cs="Microsoft Sans Serif"/>
          <w:bCs/>
          <w:sz w:val="20"/>
          <w:szCs w:val="20"/>
          <w:lang w:val="sr-Latn-RS"/>
        </w:rPr>
        <w:t>P</w:t>
      </w:r>
      <w:r>
        <w:rPr>
          <w:rFonts w:ascii="Microsoft Sans Serif" w:hAnsi="Microsoft Sans Serif" w:cs="Microsoft Sans Serif"/>
          <w:bCs/>
          <w:sz w:val="20"/>
          <w:szCs w:val="20"/>
          <w:lang w:val="sv-SE"/>
        </w:rPr>
        <w:t xml:space="preserve">-glikoproteina, transportera aktivnih supstanci. Istovremena primjena sa inhibitorima </w:t>
      </w:r>
      <w:r>
        <w:rPr>
          <w:rFonts w:ascii="Microsoft Sans Serif" w:hAnsi="Microsoft Sans Serif" w:cs="Microsoft Sans Serif"/>
          <w:bCs/>
          <w:sz w:val="20"/>
          <w:szCs w:val="20"/>
          <w:lang w:val="sr-Latn-RS"/>
        </w:rPr>
        <w:t>P-</w:t>
      </w:r>
      <w:r>
        <w:rPr>
          <w:rFonts w:ascii="Microsoft Sans Serif" w:hAnsi="Microsoft Sans Serif" w:cs="Microsoft Sans Serif"/>
          <w:bCs/>
          <w:sz w:val="20"/>
          <w:szCs w:val="20"/>
          <w:lang w:val="sv-SE"/>
        </w:rPr>
        <w:t>glikoproteina, npr. sa ciklosporinom i verapamilom, može dovesti do izm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enjene distribucije i/ili izm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enjene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eliminacije erlotiniba. Posl</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edice ove interakcije za npr. CNS toksičnost nisu utvrđene. U ovakvim</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situacijama potreban je oprez.</w:t>
      </w:r>
    </w:p>
    <w:p w14:paraId="7ECE6075">
      <w:pPr>
        <w:rPr>
          <w:rFonts w:ascii="Microsoft Sans Serif" w:hAnsi="Microsoft Sans Serif" w:cs="Microsoft Sans Serif"/>
          <w:bCs/>
          <w:sz w:val="20"/>
          <w:szCs w:val="20"/>
          <w:lang w:val="sv-SE"/>
        </w:rPr>
      </w:pPr>
    </w:p>
    <w:p w14:paraId="546DD2D9">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Erlotinib i lijekovi koji menjaju p</w:t>
      </w:r>
      <w:r>
        <w:rPr>
          <w:rFonts w:ascii="Microsoft Sans Serif" w:hAnsi="Microsoft Sans Serif" w:cs="Microsoft Sans Serif"/>
          <w:bCs/>
          <w:sz w:val="20"/>
          <w:szCs w:val="20"/>
          <w:u w:val="single"/>
          <w:lang w:val="sr-Latn-RS"/>
        </w:rPr>
        <w:t>H</w:t>
      </w:r>
      <w:r>
        <w:rPr>
          <w:rFonts w:ascii="Microsoft Sans Serif" w:hAnsi="Microsoft Sans Serif" w:cs="Microsoft Sans Serif"/>
          <w:bCs/>
          <w:sz w:val="20"/>
          <w:szCs w:val="20"/>
          <w:u w:val="single"/>
          <w:lang w:val="sv-SE"/>
        </w:rPr>
        <w:t xml:space="preserve"> vrijednost</w:t>
      </w:r>
    </w:p>
    <w:p w14:paraId="6B07BCA5">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Erlotinib odlikuje smanjena rastvorl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ivost pri p</w:t>
      </w:r>
      <w:r>
        <w:rPr>
          <w:rFonts w:ascii="Microsoft Sans Serif" w:hAnsi="Microsoft Sans Serif" w:cs="Microsoft Sans Serif"/>
          <w:bCs/>
          <w:sz w:val="20"/>
          <w:szCs w:val="20"/>
          <w:lang w:val="sr-Latn-RS"/>
        </w:rPr>
        <w:t>H</w:t>
      </w:r>
      <w:r>
        <w:rPr>
          <w:rFonts w:ascii="Microsoft Sans Serif" w:hAnsi="Microsoft Sans Serif" w:cs="Microsoft Sans Serif"/>
          <w:bCs/>
          <w:sz w:val="20"/>
          <w:szCs w:val="20"/>
          <w:lang w:val="sv-SE"/>
        </w:rPr>
        <w:t xml:space="preserve"> vrijednostima iznad 5. Lijekovi koji menjaju p</w:t>
      </w:r>
      <w:r>
        <w:rPr>
          <w:rFonts w:ascii="Microsoft Sans Serif" w:hAnsi="Microsoft Sans Serif" w:cs="Microsoft Sans Serif"/>
          <w:bCs/>
          <w:sz w:val="20"/>
          <w:szCs w:val="20"/>
          <w:lang w:val="sr-Latn-RS"/>
        </w:rPr>
        <w:t>H</w:t>
      </w:r>
      <w:r>
        <w:rPr>
          <w:rFonts w:ascii="Microsoft Sans Serif" w:hAnsi="Microsoft Sans Serif" w:cs="Microsoft Sans Serif"/>
          <w:bCs/>
          <w:sz w:val="20"/>
          <w:szCs w:val="20"/>
          <w:lang w:val="sv-SE"/>
        </w:rPr>
        <w:t xml:space="preserve"> vrijednost</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u </w:t>
      </w:r>
      <w:r>
        <w:rPr>
          <w:rFonts w:ascii="Microsoft Sans Serif" w:hAnsi="Microsoft Sans Serif" w:cs="Microsoft Sans Serif"/>
          <w:bCs/>
          <w:sz w:val="20"/>
          <w:szCs w:val="20"/>
          <w:lang w:val="sv-SE"/>
        </w:rPr>
        <w:t>gornjem d</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v-SE"/>
        </w:rPr>
        <w:t>elu gastrointestinalnog trakta mogu prom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eniti rastvorl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ivost erlotiniba, a time i njegovu biološku raspoloživost. Istovremena primjena erlotiniba sa omeprazolom (inhibitorom protonske pumpe), smanjila je izloženost erlotinibu (</w:t>
      </w:r>
      <w:r>
        <w:rPr>
          <w:rFonts w:ascii="Microsoft Sans Serif" w:hAnsi="Microsoft Sans Serif" w:cs="Microsoft Sans Serif"/>
          <w:bCs/>
          <w:sz w:val="20"/>
          <w:szCs w:val="20"/>
          <w:lang w:val="sr-Latn-RS"/>
        </w:rPr>
        <w:t>PIK</w:t>
      </w:r>
      <w:r>
        <w:rPr>
          <w:rFonts w:ascii="Microsoft Sans Serif" w:hAnsi="Microsoft Sans Serif" w:cs="Microsoft Sans Serif"/>
          <w:bCs/>
          <w:sz w:val="20"/>
          <w:szCs w:val="20"/>
          <w:lang w:val="sv-SE"/>
        </w:rPr>
        <w:t>) i maksimalnu koncentraciju (</w:t>
      </w:r>
      <w:r>
        <w:rPr>
          <w:rFonts w:ascii="Microsoft Sans Serif" w:hAnsi="Microsoft Sans Serif" w:cs="Microsoft Sans Serif"/>
          <w:bCs/>
          <w:sz w:val="20"/>
          <w:szCs w:val="20"/>
          <w:lang w:val="sr-Latn-RS"/>
        </w:rPr>
        <w:t>C</w:t>
      </w:r>
      <w:r>
        <w:rPr>
          <w:rFonts w:ascii="Microsoft Sans Serif" w:hAnsi="Microsoft Sans Serif" w:cs="Microsoft Sans Serif"/>
          <w:bCs/>
          <w:sz w:val="20"/>
          <w:szCs w:val="20"/>
          <w:vertAlign w:val="subscript"/>
          <w:lang w:val="sr-Latn-RS"/>
        </w:rPr>
        <w:t>max</w:t>
      </w:r>
      <w:r>
        <w:rPr>
          <w:rFonts w:ascii="Microsoft Sans Serif" w:hAnsi="Microsoft Sans Serif" w:cs="Microsoft Sans Serif"/>
          <w:bCs/>
          <w:sz w:val="20"/>
          <w:szCs w:val="20"/>
          <w:lang w:val="sv-SE"/>
        </w:rPr>
        <w:t>) za 46%</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odnosno za 61%</w:t>
      </w:r>
      <w:r>
        <w:rPr>
          <w:rFonts w:ascii="Microsoft Sans Serif" w:hAnsi="Microsoft Sans Serif" w:cs="Microsoft Sans Serif"/>
          <w:bCs/>
          <w:sz w:val="20"/>
          <w:szCs w:val="20"/>
          <w:lang w:val="sv-SE"/>
        </w:rPr>
        <w:t>. Nije bilo promjene T</w:t>
      </w:r>
      <w:r>
        <w:rPr>
          <w:rFonts w:ascii="Microsoft Sans Serif" w:hAnsi="Microsoft Sans Serif" w:cs="Microsoft Sans Serif"/>
          <w:bCs/>
          <w:sz w:val="20"/>
          <w:szCs w:val="20"/>
          <w:vertAlign w:val="subscript"/>
          <w:lang w:val="sr-Latn-RS"/>
        </w:rPr>
        <w:t>max</w:t>
      </w:r>
      <w:r>
        <w:rPr>
          <w:rFonts w:ascii="Microsoft Sans Serif" w:hAnsi="Microsoft Sans Serif" w:cs="Microsoft Sans Serif"/>
          <w:bCs/>
          <w:sz w:val="20"/>
          <w:szCs w:val="20"/>
          <w:lang w:val="sv-SE"/>
        </w:rPr>
        <w:t xml:space="preserve"> ili poluvremena eliminacije. Istovremena primjena erlotiniba i </w:t>
      </w:r>
      <w:r>
        <w:rPr>
          <w:rFonts w:ascii="Microsoft Sans Serif" w:hAnsi="Microsoft Sans Serif" w:cs="Microsoft Sans Serif"/>
          <w:bCs/>
          <w:sz w:val="20"/>
          <w:szCs w:val="20"/>
          <w:lang w:val="sr-Latn-RS"/>
        </w:rPr>
        <w:t xml:space="preserve">300 mg </w:t>
      </w:r>
      <w:r>
        <w:rPr>
          <w:rFonts w:ascii="Microsoft Sans Serif" w:hAnsi="Microsoft Sans Serif" w:cs="Microsoft Sans Serif"/>
          <w:bCs/>
          <w:sz w:val="20"/>
          <w:szCs w:val="20"/>
          <w:lang w:val="sv-SE"/>
        </w:rPr>
        <w:t>ranitidina (</w:t>
      </w:r>
      <w:r>
        <w:rPr>
          <w:rFonts w:ascii="Microsoft Sans Serif" w:hAnsi="Microsoft Sans Serif" w:cs="Microsoft Sans Serif"/>
          <w:bCs/>
          <w:sz w:val="20"/>
          <w:szCs w:val="20"/>
          <w:lang w:val="sr-Cyrl-RS"/>
        </w:rPr>
        <w:t xml:space="preserve">antagoniste </w:t>
      </w:r>
      <w:r>
        <w:rPr>
          <w:rFonts w:ascii="Microsoft Sans Serif" w:hAnsi="Microsoft Sans Serif" w:cs="Microsoft Sans Serif"/>
          <w:bCs/>
          <w:sz w:val="20"/>
          <w:szCs w:val="20"/>
          <w:lang w:val="sr-Latn-RS"/>
        </w:rPr>
        <w:t>H</w:t>
      </w:r>
      <w:r>
        <w:rPr>
          <w:rFonts w:ascii="Microsoft Sans Serif" w:hAnsi="Microsoft Sans Serif" w:cs="Microsoft Sans Serif"/>
          <w:bCs/>
          <w:sz w:val="20"/>
          <w:szCs w:val="20"/>
          <w:lang w:val="sv-SE"/>
        </w:rPr>
        <w:t>2 receptora), smanjila je izloženost erlotinibu (</w:t>
      </w:r>
      <w:r>
        <w:rPr>
          <w:rFonts w:ascii="Microsoft Sans Serif" w:hAnsi="Microsoft Sans Serif" w:cs="Microsoft Sans Serif"/>
          <w:bCs/>
          <w:sz w:val="20"/>
          <w:szCs w:val="20"/>
          <w:lang w:val="sr-Latn-RS"/>
        </w:rPr>
        <w:t>PIK</w:t>
      </w:r>
      <w:r>
        <w:rPr>
          <w:rFonts w:ascii="Microsoft Sans Serif" w:hAnsi="Microsoft Sans Serif" w:cs="Microsoft Sans Serif"/>
          <w:bCs/>
          <w:sz w:val="20"/>
          <w:szCs w:val="20"/>
          <w:lang w:val="sv-SE"/>
        </w:rPr>
        <w:t>) za 33% i maksimalnu koncentraciju (</w:t>
      </w:r>
      <w:r>
        <w:rPr>
          <w:rFonts w:ascii="Microsoft Sans Serif" w:hAnsi="Microsoft Sans Serif" w:cs="Microsoft Sans Serif"/>
          <w:bCs/>
          <w:sz w:val="20"/>
          <w:szCs w:val="20"/>
          <w:lang w:val="sr-Latn-RS"/>
        </w:rPr>
        <w:t>C</w:t>
      </w:r>
      <w:r>
        <w:rPr>
          <w:rFonts w:ascii="Microsoft Sans Serif" w:hAnsi="Microsoft Sans Serif" w:cs="Microsoft Sans Serif"/>
          <w:bCs/>
          <w:sz w:val="20"/>
          <w:szCs w:val="20"/>
          <w:vertAlign w:val="subscript"/>
          <w:lang w:val="sr-Latn-RS"/>
        </w:rPr>
        <w:t>max</w:t>
      </w:r>
      <w:r>
        <w:rPr>
          <w:rFonts w:ascii="Microsoft Sans Serif" w:hAnsi="Microsoft Sans Serif" w:cs="Microsoft Sans Serif"/>
          <w:bCs/>
          <w:sz w:val="20"/>
          <w:szCs w:val="20"/>
          <w:lang w:val="sv-SE"/>
        </w:rPr>
        <w:t>) za 54%. Povećanje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doze erlotiniba pri istovremenoj primjeni sa ovim lijekovima vjerovatno neće nadoknaditi smanjenje izloženosti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erlotinibu. Međutim, kada je doziranje erlotiniba raspoređeno 2 sata pr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v-SE"/>
        </w:rPr>
        <w:t>e ili 10 sati nakon primjene ranitidina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(u dozi od 150 mg dva puta dnevno), izloženost erlotinibu (</w:t>
      </w:r>
      <w:r>
        <w:rPr>
          <w:rFonts w:ascii="Microsoft Sans Serif" w:hAnsi="Microsoft Sans Serif" w:cs="Microsoft Sans Serif"/>
          <w:bCs/>
          <w:sz w:val="20"/>
          <w:szCs w:val="20"/>
          <w:lang w:val="sr-Latn-RS"/>
        </w:rPr>
        <w:t>PIK</w:t>
      </w:r>
      <w:r>
        <w:rPr>
          <w:rFonts w:ascii="Microsoft Sans Serif" w:hAnsi="Microsoft Sans Serif" w:cs="Microsoft Sans Serif"/>
          <w:bCs/>
          <w:sz w:val="20"/>
          <w:szCs w:val="20"/>
          <w:lang w:val="sv-SE"/>
        </w:rPr>
        <w:t>) i maksimalna koncentracija (</w:t>
      </w:r>
      <w:r>
        <w:rPr>
          <w:rFonts w:ascii="Microsoft Sans Serif" w:hAnsi="Microsoft Sans Serif" w:cs="Microsoft Sans Serif"/>
          <w:bCs/>
          <w:sz w:val="20"/>
          <w:szCs w:val="20"/>
          <w:lang w:val="sr-Latn-RS"/>
        </w:rPr>
        <w:t>C</w:t>
      </w:r>
      <w:r>
        <w:rPr>
          <w:rFonts w:ascii="Microsoft Sans Serif" w:hAnsi="Microsoft Sans Serif" w:cs="Microsoft Sans Serif"/>
          <w:bCs/>
          <w:sz w:val="20"/>
          <w:szCs w:val="20"/>
          <w:vertAlign w:val="subscript"/>
          <w:lang w:val="sr-Latn-RS"/>
        </w:rPr>
        <w:t>max</w:t>
      </w:r>
      <w:r>
        <w:rPr>
          <w:rFonts w:ascii="Microsoft Sans Serif" w:hAnsi="Microsoft Sans Serif" w:cs="Microsoft Sans Serif"/>
          <w:bCs/>
          <w:sz w:val="20"/>
          <w:szCs w:val="20"/>
          <w:lang w:val="sv-SE"/>
        </w:rPr>
        <w:t>) smanjene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 xml:space="preserve">su za samo 15% </w:t>
      </w:r>
      <w:r>
        <w:rPr>
          <w:rFonts w:ascii="Microsoft Sans Serif" w:hAnsi="Microsoft Sans Serif" w:cs="Microsoft Sans Serif"/>
          <w:bCs/>
          <w:sz w:val="20"/>
          <w:szCs w:val="20"/>
          <w:lang w:val="sr-Cyrl-RS"/>
        </w:rPr>
        <w:t>odnosno za</w:t>
      </w:r>
      <w:r>
        <w:rPr>
          <w:rFonts w:ascii="Microsoft Sans Serif" w:hAnsi="Microsoft Sans Serif" w:cs="Microsoft Sans Serif"/>
          <w:bCs/>
          <w:sz w:val="20"/>
          <w:szCs w:val="20"/>
          <w:lang w:val="sv-SE"/>
        </w:rPr>
        <w:t xml:space="preserve"> 17%. Efekat antacida na resorpciju erlotiniba nije ispitivan, ali resorpcija može biti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narušena, što dovodi do nižih nivoa erlotiniba u plazmi. Ukratko, istovremenu primjenu erlotin</w:t>
      </w:r>
      <w:r>
        <w:rPr>
          <w:rFonts w:ascii="Microsoft Sans Serif" w:hAnsi="Microsoft Sans Serif" w:cs="Microsoft Sans Serif"/>
          <w:bCs/>
          <w:sz w:val="20"/>
          <w:szCs w:val="20"/>
          <w:lang w:val="sr-Latn-RS"/>
        </w:rPr>
        <w:t>i</w:t>
      </w:r>
      <w:r>
        <w:rPr>
          <w:rFonts w:ascii="Microsoft Sans Serif" w:hAnsi="Microsoft Sans Serif" w:cs="Microsoft Sans Serif"/>
          <w:bCs/>
          <w:sz w:val="20"/>
          <w:szCs w:val="20"/>
          <w:lang w:val="sv-SE"/>
        </w:rPr>
        <w:t>ba i inhibitora protonske pumpe treba izbjegavati. Ukoliko je neophodna primjena antacida za vr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v-SE"/>
        </w:rPr>
        <w:t>eme terapije erlotinibom, treba ih primjeniti najmanje 4 sata pr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v-SE"/>
        </w:rPr>
        <w:t>e ili 2 sata nakon primjene dnevne doze erlotiniba. Ukoliko se razmatra primjena ranitidina, potrebno je adekvatno rasporediti doziranje tako da se erlotinib mora uzeti najmanje 2 sata pr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v-SE"/>
        </w:rPr>
        <w:t>e ili 10 sati nakon primjene ranitidina.</w:t>
      </w:r>
    </w:p>
    <w:p w14:paraId="285CFFE2">
      <w:pPr>
        <w:rPr>
          <w:rFonts w:ascii="Microsoft Sans Serif" w:hAnsi="Microsoft Sans Serif" w:cs="Microsoft Sans Serif"/>
          <w:bCs/>
          <w:sz w:val="20"/>
          <w:szCs w:val="20"/>
          <w:lang w:val="sv-SE"/>
        </w:rPr>
      </w:pPr>
    </w:p>
    <w:p w14:paraId="22DD0792">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Erlotinib i gemcitabin</w:t>
      </w:r>
    </w:p>
    <w:p w14:paraId="60C24C96">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U fazi </w:t>
      </w:r>
      <w:r>
        <w:rPr>
          <w:rFonts w:ascii="Microsoft Sans Serif" w:hAnsi="Microsoft Sans Serif" w:cs="Microsoft Sans Serif"/>
          <w:bCs/>
          <w:sz w:val="20"/>
          <w:szCs w:val="20"/>
          <w:lang w:val="sr-Latn-RS"/>
        </w:rPr>
        <w:t>I</w:t>
      </w:r>
      <w:r>
        <w:rPr>
          <w:rFonts w:ascii="Microsoft Sans Serif" w:hAnsi="Microsoft Sans Serif" w:cs="Microsoft Sans Serif"/>
          <w:bCs/>
          <w:sz w:val="20"/>
          <w:szCs w:val="20"/>
          <w:lang w:val="sv-SE"/>
        </w:rPr>
        <w:t>b ispitivanja, nije bilo značajnih dejstava gemcitabina na farmakokinetiku erlotiniba, niti je bilo</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značajnih dejstava erlotiniba na farmakokinetiku gemcitabina.</w:t>
      </w:r>
    </w:p>
    <w:p w14:paraId="285619B7">
      <w:pPr>
        <w:rPr>
          <w:rFonts w:ascii="Microsoft Sans Serif" w:hAnsi="Microsoft Sans Serif" w:cs="Microsoft Sans Serif"/>
          <w:bCs/>
          <w:sz w:val="20"/>
          <w:szCs w:val="20"/>
          <w:lang w:val="sv-SE"/>
        </w:rPr>
      </w:pPr>
    </w:p>
    <w:p w14:paraId="190109F6">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Erlotinib i karboplatin/paklitaksel</w:t>
      </w:r>
    </w:p>
    <w:p w14:paraId="5B220170">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Erlotinib povećava koncentraciju platine. U kliničkoj studiji, istovremena primjena erlotiniba sa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 xml:space="preserve">karboplatinom i paklitakselom dovela je do povećanja ukupne vrijednosti </w:t>
      </w:r>
      <w:r>
        <w:rPr>
          <w:rFonts w:ascii="Microsoft Sans Serif" w:hAnsi="Microsoft Sans Serif" w:cs="Microsoft Sans Serif"/>
          <w:bCs/>
          <w:sz w:val="20"/>
          <w:szCs w:val="20"/>
          <w:lang w:val="sr-Latn-RS"/>
        </w:rPr>
        <w:t>PIK</w:t>
      </w:r>
      <w:r>
        <w:rPr>
          <w:rFonts w:ascii="Microsoft Sans Serif" w:hAnsi="Microsoft Sans Serif" w:cs="Microsoft Sans Serif"/>
          <w:bCs/>
          <w:sz w:val="20"/>
          <w:szCs w:val="20"/>
          <w:vertAlign w:val="subscript"/>
          <w:lang w:val="sv-SE"/>
        </w:rPr>
        <w:t>0-48</w:t>
      </w:r>
      <w:r>
        <w:rPr>
          <w:rFonts w:ascii="Microsoft Sans Serif" w:hAnsi="Microsoft Sans Serif" w:cs="Microsoft Sans Serif"/>
          <w:bCs/>
          <w:sz w:val="20"/>
          <w:szCs w:val="20"/>
          <w:lang w:val="sv-SE"/>
        </w:rPr>
        <w:t xml:space="preserve"> platine za 10,6%. Iako je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statistički značajna, ovakva razlika se ne smatra klinički značajnom. U kliničkoj praksi, mogu postojati drugi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kofaktori koji vode povećanoj izloženosti karboplatinu kao što je oštećenje funkcije bubrega. Nije bilo</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značajnih efekata karboplatina ili paklitaksela na farmakokinetiku erlotiniba.</w:t>
      </w:r>
    </w:p>
    <w:p w14:paraId="06EBC5EC">
      <w:pPr>
        <w:rPr>
          <w:rFonts w:ascii="Microsoft Sans Serif" w:hAnsi="Microsoft Sans Serif" w:cs="Microsoft Sans Serif"/>
          <w:bCs/>
          <w:sz w:val="20"/>
          <w:szCs w:val="20"/>
          <w:lang w:val="sv-SE"/>
        </w:rPr>
      </w:pPr>
    </w:p>
    <w:p w14:paraId="429E194D">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Erlotinib i kapecitabin</w:t>
      </w:r>
    </w:p>
    <w:p w14:paraId="59A2A3D9">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Kapecitabin može povećati koncentraciju erlotiniba. Kada je erlotinib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enjen u kombinaciji sa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 xml:space="preserve">kapecitabinom, došlo je do statistički značajnog povećanja vrijednosti </w:t>
      </w:r>
      <w:r>
        <w:rPr>
          <w:rFonts w:ascii="Microsoft Sans Serif" w:hAnsi="Microsoft Sans Serif" w:cs="Microsoft Sans Serif"/>
          <w:bCs/>
          <w:sz w:val="20"/>
          <w:szCs w:val="20"/>
          <w:lang w:val="sr-Latn-RS"/>
        </w:rPr>
        <w:t>PIK</w:t>
      </w:r>
      <w:r>
        <w:rPr>
          <w:rFonts w:ascii="Microsoft Sans Serif" w:hAnsi="Microsoft Sans Serif" w:cs="Microsoft Sans Serif"/>
          <w:bCs/>
          <w:sz w:val="20"/>
          <w:szCs w:val="20"/>
          <w:lang w:val="sv-SE"/>
        </w:rPr>
        <w:t xml:space="preserve"> erlotiniba i graničnog povećanja</w:t>
      </w:r>
      <w:r>
        <w:rPr>
          <w:rFonts w:ascii="Microsoft Sans Serif" w:hAnsi="Microsoft Sans Serif" w:cs="Microsoft Sans Serif"/>
          <w:bCs/>
          <w:sz w:val="20"/>
          <w:szCs w:val="20"/>
          <w:lang w:val="sr-Latn-RS"/>
        </w:rPr>
        <w:t xml:space="preserve"> C</w:t>
      </w:r>
      <w:r>
        <w:rPr>
          <w:rFonts w:ascii="Microsoft Sans Serif" w:hAnsi="Microsoft Sans Serif" w:cs="Microsoft Sans Serif"/>
          <w:bCs/>
          <w:sz w:val="20"/>
          <w:szCs w:val="20"/>
          <w:vertAlign w:val="subscript"/>
          <w:lang w:val="sr-Latn-RS"/>
        </w:rPr>
        <w:t>max</w:t>
      </w:r>
      <w:r>
        <w:rPr>
          <w:rFonts w:ascii="Microsoft Sans Serif" w:hAnsi="Microsoft Sans Serif" w:cs="Microsoft Sans Serif"/>
          <w:bCs/>
          <w:sz w:val="20"/>
          <w:szCs w:val="20"/>
          <w:lang w:val="sv-SE"/>
        </w:rPr>
        <w:t xml:space="preserve"> u poređenju sa vrijednostima uočenim u drugoj studiji gde je erlotinib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enjivan samostalno. Nije bilo</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značajnog uticaja erlotiniba na farmakokinetiku kapecitabina.</w:t>
      </w:r>
    </w:p>
    <w:p w14:paraId="713CACE7">
      <w:pPr>
        <w:rPr>
          <w:rFonts w:ascii="Microsoft Sans Serif" w:hAnsi="Microsoft Sans Serif" w:cs="Microsoft Sans Serif"/>
          <w:bCs/>
          <w:sz w:val="20"/>
          <w:szCs w:val="20"/>
          <w:u w:val="single"/>
          <w:lang w:val="sv-SE"/>
        </w:rPr>
      </w:pPr>
    </w:p>
    <w:p w14:paraId="4F7490E0">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Erlotinib i inhibitori proteazoma</w:t>
      </w:r>
    </w:p>
    <w:p w14:paraId="350F53E2">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Usljed mehanizma d</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elovanja, može se očekivati da inhibitori proteazoma, ukl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učujući bortezomib, utiču na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 xml:space="preserve">efekte inhibitora </w:t>
      </w:r>
      <w:r>
        <w:rPr>
          <w:rFonts w:ascii="Microsoft Sans Serif" w:hAnsi="Microsoft Sans Serif" w:cs="Microsoft Sans Serif"/>
          <w:bCs/>
          <w:sz w:val="20"/>
          <w:szCs w:val="20"/>
          <w:lang w:val="sr-Latn-RS"/>
        </w:rPr>
        <w:t>EGFR</w:t>
      </w:r>
      <w:r>
        <w:rPr>
          <w:rFonts w:ascii="Microsoft Sans Serif" w:hAnsi="Microsoft Sans Serif" w:cs="Microsoft Sans Serif"/>
          <w:bCs/>
          <w:sz w:val="20"/>
          <w:szCs w:val="20"/>
          <w:lang w:val="sv-SE"/>
        </w:rPr>
        <w:t>, ukl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učujući erlotinib. Ovakav uticaj</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podržavaju ograničeni klinički podaci i pretklinička ispitivanja koja pokazuju degradaciju E</w:t>
      </w:r>
      <w:r>
        <w:rPr>
          <w:rFonts w:ascii="Microsoft Sans Serif" w:hAnsi="Microsoft Sans Serif" w:cs="Microsoft Sans Serif"/>
          <w:bCs/>
          <w:sz w:val="20"/>
          <w:szCs w:val="20"/>
          <w:lang w:val="sr-Latn-RS"/>
        </w:rPr>
        <w:t>GFR</w:t>
      </w:r>
      <w:r>
        <w:rPr>
          <w:rFonts w:ascii="Microsoft Sans Serif" w:hAnsi="Microsoft Sans Serif" w:cs="Microsoft Sans Serif"/>
          <w:bCs/>
          <w:sz w:val="20"/>
          <w:szCs w:val="20"/>
          <w:lang w:val="sv-SE"/>
        </w:rPr>
        <w:t xml:space="preserve"> preko</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proteazoma.</w:t>
      </w:r>
    </w:p>
    <w:p w14:paraId="480D6B41">
      <w:pPr>
        <w:rPr>
          <w:rFonts w:ascii="Microsoft Sans Serif" w:hAnsi="Microsoft Sans Serif" w:cs="Microsoft Sans Serif"/>
          <w:b/>
          <w:bCs/>
          <w:sz w:val="20"/>
          <w:szCs w:val="20"/>
          <w:lang w:val="sv-SE"/>
        </w:rPr>
      </w:pPr>
    </w:p>
    <w:p w14:paraId="1386927A">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4.6. Plodnost, trudnoća i dojenje</w:t>
      </w:r>
    </w:p>
    <w:p w14:paraId="2F294C1E">
      <w:pPr>
        <w:rPr>
          <w:rFonts w:ascii="Microsoft Sans Serif" w:hAnsi="Microsoft Sans Serif" w:cs="Microsoft Sans Serif"/>
          <w:b/>
          <w:bCs/>
          <w:sz w:val="20"/>
          <w:szCs w:val="20"/>
          <w:lang w:val="sv-SE"/>
        </w:rPr>
      </w:pPr>
    </w:p>
    <w:p w14:paraId="0A4485CD">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Trudnoća</w:t>
      </w:r>
    </w:p>
    <w:p w14:paraId="39AD32DF">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v-SE"/>
        </w:rPr>
        <w:t>Nema odgovarajućih podataka o primjeni erlotiniba kod trudnica. Studije na životinjama pokazale su da nema dokaza 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teratogenosti ili abnormalnosti porođaja. Međutim, štetan uticaj na trudnoću se ne može iskl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učiti pošto 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 xml:space="preserve">studije na pacovima i kunićima pokazale povećan embrio/fetalni </w:t>
      </w:r>
      <w:r>
        <w:rPr>
          <w:rFonts w:ascii="Microsoft Sans Serif" w:hAnsi="Microsoft Sans Serif" w:cs="Microsoft Sans Serif"/>
          <w:bCs/>
          <w:sz w:val="20"/>
          <w:szCs w:val="20"/>
          <w:lang w:val="sr-Cyrl-RS"/>
        </w:rPr>
        <w:t>letalitet</w:t>
      </w:r>
      <w:r>
        <w:rPr>
          <w:rFonts w:ascii="Microsoft Sans Serif" w:hAnsi="Microsoft Sans Serif" w:cs="Microsoft Sans Serif"/>
          <w:bCs/>
          <w:sz w:val="20"/>
          <w:szCs w:val="20"/>
          <w:lang w:val="sv-SE"/>
        </w:rPr>
        <w:t xml:space="preserve"> (pogledati dio 5.3).</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Potencijalni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rizik</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rPr>
        <w:t>ude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nije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poznat</w:t>
      </w:r>
      <w:r>
        <w:rPr>
          <w:rFonts w:ascii="Microsoft Sans Serif" w:hAnsi="Microsoft Sans Serif" w:cs="Microsoft Sans Serif"/>
          <w:bCs/>
          <w:sz w:val="20"/>
          <w:szCs w:val="20"/>
          <w:lang w:val="sr-Cyrl-RS"/>
        </w:rPr>
        <w:t>.</w:t>
      </w:r>
    </w:p>
    <w:p w14:paraId="0F5DD816">
      <w:pPr>
        <w:rPr>
          <w:rFonts w:ascii="Microsoft Sans Serif" w:hAnsi="Microsoft Sans Serif" w:cs="Microsoft Sans Serif"/>
          <w:bCs/>
          <w:sz w:val="20"/>
          <w:szCs w:val="20"/>
          <w:lang w:val="sr-Latn-RS"/>
        </w:rPr>
      </w:pPr>
    </w:p>
    <w:p w14:paraId="4485652F">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Ž</w:t>
      </w:r>
      <w:r>
        <w:rPr>
          <w:rFonts w:ascii="Microsoft Sans Serif" w:hAnsi="Microsoft Sans Serif" w:cs="Microsoft Sans Serif"/>
          <w:bCs/>
          <w:sz w:val="20"/>
          <w:szCs w:val="20"/>
          <w:u w:val="single"/>
        </w:rPr>
        <w:t>ene</w:t>
      </w:r>
      <w:r>
        <w:rPr>
          <w:rFonts w:ascii="Microsoft Sans Serif" w:hAnsi="Microsoft Sans Serif" w:cs="Microsoft Sans Serif"/>
          <w:bCs/>
          <w:sz w:val="20"/>
          <w:szCs w:val="20"/>
          <w:u w:val="single"/>
          <w:lang w:val="sr-Cyrl-RS"/>
        </w:rPr>
        <w:t xml:space="preserve"> </w:t>
      </w:r>
      <w:r>
        <w:rPr>
          <w:rFonts w:ascii="Microsoft Sans Serif" w:hAnsi="Microsoft Sans Serif" w:cs="Microsoft Sans Serif"/>
          <w:bCs/>
          <w:sz w:val="20"/>
          <w:szCs w:val="20"/>
          <w:u w:val="single"/>
        </w:rPr>
        <w:t>u</w:t>
      </w:r>
      <w:r>
        <w:rPr>
          <w:rFonts w:ascii="Microsoft Sans Serif" w:hAnsi="Microsoft Sans Serif" w:cs="Microsoft Sans Serif"/>
          <w:bCs/>
          <w:sz w:val="20"/>
          <w:szCs w:val="20"/>
          <w:u w:val="single"/>
          <w:lang w:val="sr-Cyrl-RS"/>
        </w:rPr>
        <w:t xml:space="preserve"> </w:t>
      </w:r>
      <w:r>
        <w:rPr>
          <w:rFonts w:ascii="Microsoft Sans Serif" w:hAnsi="Microsoft Sans Serif" w:cs="Microsoft Sans Serif"/>
          <w:bCs/>
          <w:sz w:val="20"/>
          <w:szCs w:val="20"/>
          <w:u w:val="single"/>
        </w:rPr>
        <w:t>reproduktivnom</w:t>
      </w:r>
      <w:r>
        <w:rPr>
          <w:rFonts w:ascii="Microsoft Sans Serif" w:hAnsi="Microsoft Sans Serif" w:cs="Microsoft Sans Serif"/>
          <w:bCs/>
          <w:sz w:val="20"/>
          <w:szCs w:val="20"/>
          <w:u w:val="single"/>
          <w:lang w:val="sr-Cyrl-RS"/>
        </w:rPr>
        <w:t xml:space="preserve"> </w:t>
      </w:r>
      <w:r>
        <w:rPr>
          <w:rFonts w:ascii="Microsoft Sans Serif" w:hAnsi="Microsoft Sans Serif" w:cs="Microsoft Sans Serif"/>
          <w:bCs/>
          <w:sz w:val="20"/>
          <w:szCs w:val="20"/>
          <w:u w:val="single"/>
        </w:rPr>
        <w:t>periodu</w:t>
      </w:r>
    </w:p>
    <w:p w14:paraId="3A375D8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rPr>
        <w:t>enama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mogu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ra</w:t>
      </w:r>
      <w:r>
        <w:rPr>
          <w:rFonts w:ascii="Microsoft Sans Serif" w:hAnsi="Microsoft Sans Serif" w:cs="Microsoft Sans Serif"/>
          <w:bCs/>
          <w:sz w:val="20"/>
          <w:szCs w:val="20"/>
          <w:lang w:val="sr-Cyrl-RS"/>
        </w:rPr>
        <w:t>đ</w:t>
      </w:r>
      <w:r>
        <w:rPr>
          <w:rFonts w:ascii="Microsoft Sans Serif" w:hAnsi="Microsoft Sans Serif" w:cs="Microsoft Sans Serif"/>
          <w:bCs/>
          <w:sz w:val="20"/>
          <w:szCs w:val="20"/>
        </w:rPr>
        <w:t>aju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mora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savjetovati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izbjegavaju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trudno</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vrijeme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terapije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erlotinibom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Tokom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terapije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treba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koristiti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odgovaraju</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kontracepciju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njom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nastaviti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jo</w:t>
      </w:r>
      <w:r>
        <w:rPr>
          <w:rFonts w:ascii="Microsoft Sans Serif" w:hAnsi="Microsoft Sans Serif" w:cs="Microsoft Sans Serif"/>
          <w:bCs/>
          <w:sz w:val="20"/>
          <w:szCs w:val="20"/>
          <w:lang w:val="sr-Cyrl-RS"/>
        </w:rPr>
        <w:t xml:space="preserve">š </w:t>
      </w:r>
      <w:r>
        <w:rPr>
          <w:rFonts w:ascii="Microsoft Sans Serif" w:hAnsi="Microsoft Sans Serif" w:cs="Microsoft Sans Serif"/>
          <w:bCs/>
          <w:sz w:val="20"/>
          <w:szCs w:val="20"/>
        </w:rPr>
        <w:t>najmanje</w:t>
      </w:r>
      <w:r>
        <w:rPr>
          <w:rFonts w:ascii="Microsoft Sans Serif" w:hAnsi="Microsoft Sans Serif" w:cs="Microsoft Sans Serif"/>
          <w:bCs/>
          <w:sz w:val="20"/>
          <w:szCs w:val="20"/>
          <w:lang w:val="sr-Cyrl-RS"/>
        </w:rPr>
        <w:t xml:space="preserve"> 2 </w:t>
      </w:r>
      <w:r>
        <w:rPr>
          <w:rFonts w:ascii="Microsoft Sans Serif" w:hAnsi="Microsoft Sans Serif" w:cs="Microsoft Sans Serif"/>
          <w:bCs/>
          <w:sz w:val="20"/>
          <w:szCs w:val="20"/>
        </w:rPr>
        <w:t>nedel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rPr>
        <w:t>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nakon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zavr</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etka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ove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terapije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Terapiju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trudnica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treba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nastaviti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samo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ukoliko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potencijalna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korist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majku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ve</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rizika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fetus</w:t>
      </w:r>
      <w:r>
        <w:rPr>
          <w:rFonts w:ascii="Microsoft Sans Serif" w:hAnsi="Microsoft Sans Serif" w:cs="Microsoft Sans Serif"/>
          <w:bCs/>
          <w:sz w:val="20"/>
          <w:szCs w:val="20"/>
          <w:lang w:val="sr-Cyrl-RS"/>
        </w:rPr>
        <w:t>.</w:t>
      </w:r>
    </w:p>
    <w:p w14:paraId="3BA5DB55">
      <w:pPr>
        <w:rPr>
          <w:rFonts w:ascii="Microsoft Sans Serif" w:hAnsi="Microsoft Sans Serif" w:cs="Microsoft Sans Serif"/>
          <w:sz w:val="20"/>
          <w:szCs w:val="20"/>
          <w:lang w:val="sr-Cyrl-RS"/>
        </w:rPr>
      </w:pPr>
    </w:p>
    <w:p w14:paraId="29BA2CCD">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Dojenje</w:t>
      </w:r>
    </w:p>
    <w:p w14:paraId="5307A012">
      <w:pPr>
        <w:rPr>
          <w:rFonts w:ascii="Microsoft Sans Serif" w:hAnsi="Microsoft Sans Serif" w:cs="Microsoft Sans Serif"/>
          <w:sz w:val="20"/>
          <w:szCs w:val="20"/>
          <w:lang w:val="sr-Cyrl-RS"/>
        </w:rPr>
      </w:pPr>
      <w:r>
        <w:rPr>
          <w:rFonts w:ascii="Microsoft Sans Serif" w:hAnsi="Microsoft Sans Serif" w:cs="Microsoft Sans Serif"/>
          <w:sz w:val="20"/>
          <w:szCs w:val="20"/>
        </w:rPr>
        <w:t>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poznato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erlotinib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maj</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mlijeko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sprovedena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ispitivanja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procijenio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uticaj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erlotiniba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stvaranje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njegova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prisutnost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maj</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mlijeku</w:t>
      </w:r>
      <w:r>
        <w:rPr>
          <w:rFonts w:ascii="Microsoft Sans Serif" w:hAnsi="Microsoft Sans Serif" w:cs="Microsoft Sans Serif"/>
          <w:sz w:val="20"/>
          <w:szCs w:val="20"/>
          <w:lang w:val="sr-Cyrl-RS"/>
        </w:rPr>
        <w:t xml:space="preserve">. Pošto je moguća </w:t>
      </w:r>
      <w:r>
        <w:rPr>
          <w:rFonts w:ascii="Microsoft Sans Serif" w:hAnsi="Microsoft Sans Serif" w:cs="Microsoft Sans Serif"/>
          <w:sz w:val="20"/>
          <w:szCs w:val="20"/>
        </w:rPr>
        <w:t>opasnost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odoj</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nepoznat</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majke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savjetovati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vrijeme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erlotinibom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najmanje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dvije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nedel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posljednje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ovog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w:t>
      </w:r>
    </w:p>
    <w:p w14:paraId="3789562F">
      <w:pPr>
        <w:rPr>
          <w:rFonts w:ascii="Microsoft Sans Serif" w:hAnsi="Microsoft Sans Serif" w:cs="Microsoft Sans Serif"/>
          <w:sz w:val="20"/>
          <w:szCs w:val="20"/>
          <w:lang w:val="sr-Cyrl-RS"/>
        </w:rPr>
      </w:pPr>
    </w:p>
    <w:p w14:paraId="6694A6C2">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Plodnost</w:t>
      </w:r>
    </w:p>
    <w:p w14:paraId="78DD2047">
      <w:pPr>
        <w:rPr>
          <w:rFonts w:ascii="Microsoft Sans Serif" w:hAnsi="Microsoft Sans Serif" w:cs="Microsoft Sans Serif"/>
          <w:sz w:val="20"/>
          <w:szCs w:val="20"/>
          <w:lang w:val="sr-Cyrl-RS"/>
        </w:rPr>
      </w:pPr>
      <w:r>
        <w:rPr>
          <w:rFonts w:ascii="Microsoft Sans Serif" w:hAnsi="Microsoft Sans Serif" w:cs="Microsoft Sans Serif"/>
          <w:sz w:val="20"/>
          <w:szCs w:val="20"/>
        </w:rPr>
        <w:t>Studije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ivotinjama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dale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dokaze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tetnom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uticaju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plodnost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utim</w:t>
      </w:r>
      <w:r>
        <w:rPr>
          <w:rFonts w:ascii="Microsoft Sans Serif" w:hAnsi="Microsoft Sans Serif" w:cs="Microsoft Sans Serif"/>
          <w:sz w:val="20"/>
          <w:szCs w:val="20"/>
          <w:lang w:val="sr-Cyrl-RS"/>
        </w:rPr>
        <w:t>, š</w:t>
      </w:r>
      <w:r>
        <w:rPr>
          <w:rFonts w:ascii="Microsoft Sans Serif" w:hAnsi="Microsoft Sans Serif" w:cs="Microsoft Sans Serif"/>
          <w:sz w:val="20"/>
          <w:szCs w:val="20"/>
        </w:rPr>
        <w:t>tetno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dejstvo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plodnost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studije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ivotinjama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pokazale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uticaj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reproduktivne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parametre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5.3). </w:t>
      </w:r>
      <w:r>
        <w:rPr>
          <w:rFonts w:ascii="Microsoft Sans Serif" w:hAnsi="Microsoft Sans Serif" w:cs="Microsoft Sans Serif"/>
          <w:sz w:val="20"/>
          <w:szCs w:val="20"/>
        </w:rPr>
        <w:t>Potencijalni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rizik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poznat</w:t>
      </w:r>
      <w:r>
        <w:rPr>
          <w:rFonts w:ascii="Microsoft Sans Serif" w:hAnsi="Microsoft Sans Serif" w:cs="Microsoft Sans Serif"/>
          <w:sz w:val="20"/>
          <w:szCs w:val="20"/>
          <w:lang w:val="sr-Cyrl-RS"/>
        </w:rPr>
        <w:t>.</w:t>
      </w:r>
    </w:p>
    <w:p w14:paraId="6C7A5D01">
      <w:pPr>
        <w:rPr>
          <w:rFonts w:ascii="Microsoft Sans Serif" w:hAnsi="Microsoft Sans Serif" w:cs="Microsoft Sans Serif"/>
          <w:sz w:val="20"/>
          <w:szCs w:val="20"/>
          <w:lang w:val="sr-Cyrl-RS"/>
        </w:rPr>
      </w:pPr>
    </w:p>
    <w:p w14:paraId="49732D98">
      <w:pPr>
        <w:rPr>
          <w:rFonts w:ascii="Microsoft Sans Serif" w:hAnsi="Microsoft Sans Serif" w:cs="Microsoft Sans Serif"/>
          <w:b/>
          <w:bCs/>
          <w:spacing w:val="-8"/>
          <w:sz w:val="20"/>
          <w:szCs w:val="20"/>
          <w:lang w:val="sr-Latn-CS"/>
        </w:rPr>
      </w:pPr>
      <w:r>
        <w:rPr>
          <w:rFonts w:ascii="Microsoft Sans Serif" w:hAnsi="Microsoft Sans Serif" w:cs="Microsoft Sans Serif"/>
          <w:b/>
          <w:bCs/>
          <w:spacing w:val="-8"/>
          <w:sz w:val="20"/>
          <w:szCs w:val="20"/>
          <w:lang w:val="sr-Cyrl-RS"/>
        </w:rPr>
        <w:t xml:space="preserve">4.7. </w:t>
      </w:r>
      <w:r>
        <w:rPr>
          <w:rFonts w:ascii="Microsoft Sans Serif" w:hAnsi="Microsoft Sans Serif" w:cs="Microsoft Sans Serif"/>
          <w:b/>
          <w:bCs/>
          <w:spacing w:val="-8"/>
          <w:sz w:val="20"/>
          <w:szCs w:val="20"/>
          <w:lang w:val="sr-Latn-CS"/>
        </w:rPr>
        <w:t>Uticaj lijeka na sposobnost upravlјanja vozilima i rukovanja mašinama</w:t>
      </w:r>
    </w:p>
    <w:p w14:paraId="2D42C57C">
      <w:pPr>
        <w:rPr>
          <w:rFonts w:ascii="Microsoft Sans Serif" w:hAnsi="Microsoft Sans Serif" w:cs="Microsoft Sans Serif"/>
          <w:b/>
          <w:bCs/>
          <w:spacing w:val="-8"/>
          <w:sz w:val="20"/>
          <w:szCs w:val="20"/>
          <w:lang w:val="sr-Latn-CS"/>
        </w:rPr>
      </w:pPr>
    </w:p>
    <w:p w14:paraId="38A11293">
      <w:pPr>
        <w:rPr>
          <w:rFonts w:ascii="Microsoft Sans Serif" w:hAnsi="Microsoft Sans Serif" w:cs="Microsoft Sans Serif"/>
          <w:bCs/>
          <w:spacing w:val="-8"/>
          <w:sz w:val="20"/>
          <w:szCs w:val="20"/>
          <w:lang w:val="sr-Latn-CS"/>
        </w:rPr>
      </w:pPr>
      <w:r>
        <w:rPr>
          <w:rFonts w:ascii="Microsoft Sans Serif" w:hAnsi="Microsoft Sans Serif" w:cs="Microsoft Sans Serif"/>
          <w:bCs/>
          <w:spacing w:val="-8"/>
          <w:sz w:val="20"/>
          <w:szCs w:val="20"/>
          <w:lang w:val="sr-Latn-CS"/>
        </w:rPr>
        <w:t>Nisu sprovedena ispitivanja uticaja na sposobnost upravlјanja vozilima i rukovanja mašinama; međutim</w:t>
      </w:r>
    </w:p>
    <w:p w14:paraId="3B2F70AC">
      <w:pPr>
        <w:rPr>
          <w:rFonts w:ascii="Microsoft Sans Serif" w:hAnsi="Microsoft Sans Serif" w:cs="Microsoft Sans Serif"/>
          <w:bCs/>
          <w:spacing w:val="-8"/>
          <w:sz w:val="20"/>
          <w:szCs w:val="20"/>
          <w:lang w:val="sr-Latn-CS"/>
        </w:rPr>
      </w:pPr>
      <w:r>
        <w:rPr>
          <w:rFonts w:ascii="Microsoft Sans Serif" w:hAnsi="Microsoft Sans Serif" w:cs="Microsoft Sans Serif"/>
          <w:bCs/>
          <w:spacing w:val="-8"/>
          <w:sz w:val="20"/>
          <w:szCs w:val="20"/>
          <w:lang w:val="sr-Latn-CS"/>
        </w:rPr>
        <w:t>erlotinib se ne povezuje sa naru</w:t>
      </w:r>
      <w:r>
        <w:rPr>
          <w:rFonts w:ascii="Microsoft Sans Serif" w:hAnsi="Microsoft Sans Serif" w:cs="Microsoft Sans Serif"/>
          <w:bCs/>
          <w:spacing w:val="-8"/>
          <w:sz w:val="20"/>
          <w:szCs w:val="20"/>
          <w:lang w:val="hr-BA"/>
        </w:rPr>
        <w:t>šenim</w:t>
      </w:r>
      <w:r>
        <w:rPr>
          <w:rFonts w:ascii="Microsoft Sans Serif" w:hAnsi="Microsoft Sans Serif" w:cs="Microsoft Sans Serif"/>
          <w:bCs/>
          <w:spacing w:val="-8"/>
          <w:sz w:val="20"/>
          <w:szCs w:val="20"/>
          <w:lang w:val="sr-Latn-CS"/>
        </w:rPr>
        <w:t xml:space="preserve"> mentalnim sposobnostima.</w:t>
      </w:r>
    </w:p>
    <w:p w14:paraId="2A234A94">
      <w:pPr>
        <w:rPr>
          <w:rFonts w:ascii="Microsoft Sans Serif" w:hAnsi="Microsoft Sans Serif" w:cs="Microsoft Sans Serif"/>
          <w:b/>
          <w:bCs/>
          <w:sz w:val="20"/>
          <w:szCs w:val="20"/>
          <w:lang w:val="fr-FR"/>
        </w:rPr>
      </w:pPr>
    </w:p>
    <w:p w14:paraId="26F0D6B9">
      <w:pPr>
        <w:rPr>
          <w:rFonts w:ascii="Microsoft Sans Serif" w:hAnsi="Microsoft Sans Serif" w:cs="Microsoft Sans Serif"/>
          <w:b/>
          <w:bCs/>
          <w:sz w:val="20"/>
          <w:szCs w:val="20"/>
          <w:lang w:val="fr-FR"/>
        </w:rPr>
      </w:pPr>
      <w:r>
        <w:rPr>
          <w:rFonts w:ascii="Microsoft Sans Serif" w:hAnsi="Microsoft Sans Serif" w:cs="Microsoft Sans Serif"/>
          <w:b/>
          <w:bCs/>
          <w:sz w:val="20"/>
          <w:szCs w:val="20"/>
          <w:lang w:val="fr-FR"/>
        </w:rPr>
        <w:t>4.8. Nežel</w:t>
      </w:r>
      <w:r>
        <w:rPr>
          <w:rFonts w:ascii="Microsoft Sans Serif" w:hAnsi="Microsoft Sans Serif" w:cs="Microsoft Sans Serif"/>
          <w:b/>
          <w:bCs/>
          <w:sz w:val="20"/>
          <w:szCs w:val="20"/>
        </w:rPr>
        <w:t>ј</w:t>
      </w:r>
      <w:r>
        <w:rPr>
          <w:rFonts w:ascii="Microsoft Sans Serif" w:hAnsi="Microsoft Sans Serif" w:cs="Microsoft Sans Serif"/>
          <w:b/>
          <w:bCs/>
          <w:sz w:val="20"/>
          <w:szCs w:val="20"/>
          <w:lang w:val="fr-FR"/>
        </w:rPr>
        <w:t>ena djelovanja</w:t>
      </w:r>
    </w:p>
    <w:p w14:paraId="6E026DB2">
      <w:pPr>
        <w:rPr>
          <w:rFonts w:ascii="Microsoft Sans Serif" w:hAnsi="Microsoft Sans Serif" w:cs="Microsoft Sans Serif"/>
          <w:b/>
          <w:bCs/>
          <w:sz w:val="20"/>
          <w:szCs w:val="20"/>
          <w:lang w:val="fr-FR"/>
        </w:rPr>
      </w:pPr>
    </w:p>
    <w:p w14:paraId="482A06BB">
      <w:pPr>
        <w:rPr>
          <w:rFonts w:ascii="Microsoft Sans Serif" w:hAnsi="Microsoft Sans Serif" w:cs="Microsoft Sans Serif"/>
          <w:bCs/>
          <w:sz w:val="20"/>
          <w:szCs w:val="20"/>
          <w:lang w:val="fr-FR"/>
        </w:rPr>
      </w:pPr>
      <w:r>
        <w:rPr>
          <w:rFonts w:ascii="Microsoft Sans Serif" w:hAnsi="Microsoft Sans Serif" w:cs="Microsoft Sans Serif"/>
          <w:bCs/>
          <w:sz w:val="20"/>
          <w:szCs w:val="20"/>
          <w:lang w:val="fr-FR"/>
        </w:rPr>
        <w:t>Procjena bezbjednosti erlotiniba se zasniva na podacima više od 1500 pacijenata na terapiji najmanje jednom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fr-FR"/>
        </w:rPr>
        <w:t>dozom od 150 mg erlotiniba u monoterapiji i više od 300 pacijenata koji su primili erlotinib u dozi od 100 mg ili 150 mg, u kombinaciji sa gemcitabinom.</w:t>
      </w:r>
    </w:p>
    <w:p w14:paraId="5593E005">
      <w:pPr>
        <w:rPr>
          <w:rFonts w:ascii="Microsoft Sans Serif" w:hAnsi="Microsoft Sans Serif" w:cs="Microsoft Sans Serif"/>
          <w:bCs/>
          <w:sz w:val="20"/>
          <w:szCs w:val="20"/>
          <w:lang w:val="fr-FR"/>
        </w:rPr>
      </w:pPr>
    </w:p>
    <w:p w14:paraId="4EE051E1">
      <w:pPr>
        <w:rPr>
          <w:rFonts w:ascii="Microsoft Sans Serif" w:hAnsi="Microsoft Sans Serif" w:cs="Microsoft Sans Serif"/>
          <w:bCs/>
          <w:sz w:val="20"/>
          <w:szCs w:val="20"/>
        </w:rPr>
      </w:pPr>
      <w:r>
        <w:rPr>
          <w:rFonts w:ascii="Microsoft Sans Serif" w:hAnsi="Microsoft Sans Serif" w:cs="Microsoft Sans Serif"/>
          <w:bCs/>
          <w:sz w:val="20"/>
          <w:szCs w:val="20"/>
          <w:lang w:val="fr-FR"/>
        </w:rPr>
        <w:t>Učestalost nežel</w:t>
      </w:r>
      <w:r>
        <w:rPr>
          <w:rFonts w:ascii="Microsoft Sans Serif" w:hAnsi="Microsoft Sans Serif" w:cs="Microsoft Sans Serif"/>
          <w:bCs/>
          <w:sz w:val="20"/>
          <w:szCs w:val="20"/>
        </w:rPr>
        <w:t>ј</w:t>
      </w:r>
      <w:r>
        <w:rPr>
          <w:rFonts w:ascii="Microsoft Sans Serif" w:hAnsi="Microsoft Sans Serif" w:cs="Microsoft Sans Serif"/>
          <w:bCs/>
          <w:sz w:val="20"/>
          <w:szCs w:val="20"/>
          <w:lang w:val="fr-FR"/>
        </w:rPr>
        <w:t>enih reakcija prijavl</w:t>
      </w:r>
      <w:r>
        <w:rPr>
          <w:rFonts w:ascii="Microsoft Sans Serif" w:hAnsi="Microsoft Sans Serif" w:cs="Microsoft Sans Serif"/>
          <w:bCs/>
          <w:sz w:val="20"/>
          <w:szCs w:val="20"/>
        </w:rPr>
        <w:t>ј</w:t>
      </w:r>
      <w:r>
        <w:rPr>
          <w:rFonts w:ascii="Microsoft Sans Serif" w:hAnsi="Microsoft Sans Serif" w:cs="Microsoft Sans Serif"/>
          <w:bCs/>
          <w:sz w:val="20"/>
          <w:szCs w:val="20"/>
          <w:lang w:val="fr-FR"/>
        </w:rPr>
        <w:t>enih u kliničkim ispitivanjima primjene erlotiniba u monoterapiji ili u kombinaciji sa hemioterapijom s</w:t>
      </w:r>
      <w:r>
        <w:rPr>
          <w:rFonts w:ascii="Microsoft Sans Serif" w:hAnsi="Microsoft Sans Serif" w:cs="Microsoft Sans Serif"/>
          <w:bCs/>
          <w:sz w:val="20"/>
          <w:szCs w:val="20"/>
          <w:lang w:val="sr-Cyrl-RS"/>
        </w:rPr>
        <w:t>umirana</w:t>
      </w:r>
      <w:r>
        <w:rPr>
          <w:rFonts w:ascii="Microsoft Sans Serif" w:hAnsi="Microsoft Sans Serif" w:cs="Microsoft Sans Serif"/>
          <w:bCs/>
          <w:sz w:val="20"/>
          <w:szCs w:val="20"/>
          <w:lang w:val="fr-FR"/>
        </w:rPr>
        <w:t xml:space="preserve"> </w:t>
      </w:r>
      <w:r>
        <w:rPr>
          <w:rFonts w:ascii="Microsoft Sans Serif" w:hAnsi="Microsoft Sans Serif" w:cs="Microsoft Sans Serif"/>
          <w:bCs/>
          <w:sz w:val="20"/>
          <w:szCs w:val="20"/>
          <w:lang w:val="sr-Cyrl-RS"/>
        </w:rPr>
        <w:t xml:space="preserve">je prema </w:t>
      </w:r>
      <w:r>
        <w:rPr>
          <w:rFonts w:ascii="Microsoft Sans Serif" w:hAnsi="Microsoft Sans Serif" w:cs="Microsoft Sans Serif"/>
          <w:bCs/>
          <w:sz w:val="20"/>
          <w:szCs w:val="20"/>
          <w:lang w:val="fr-FR"/>
        </w:rPr>
        <w:t>stepenu toksičnosti</w:t>
      </w:r>
      <w:r>
        <w:rPr>
          <w:rFonts w:ascii="Microsoft Sans Serif" w:hAnsi="Microsoft Sans Serif" w:cs="Microsoft Sans Serif"/>
          <w:bCs/>
          <w:sz w:val="20"/>
          <w:szCs w:val="20"/>
          <w:lang w:val="sr-Cyrl-RS"/>
        </w:rPr>
        <w:t xml:space="preserve"> u skladu sa opštim kriterijumima toksičnosti </w:t>
      </w:r>
      <w:r>
        <w:rPr>
          <w:rFonts w:ascii="Microsoft Sans Serif" w:hAnsi="Microsoft Sans Serif" w:cs="Microsoft Sans Serif"/>
          <w:bCs/>
          <w:sz w:val="20"/>
          <w:szCs w:val="20"/>
          <w:lang w:val="fr-FR"/>
        </w:rPr>
        <w:t>Nacionalnog instituta za rak (</w:t>
      </w:r>
      <w:r>
        <w:rPr>
          <w:rFonts w:ascii="Microsoft Sans Serif" w:hAnsi="Microsoft Sans Serif" w:cs="Microsoft Sans Serif"/>
          <w:sz w:val="20"/>
          <w:szCs w:val="20"/>
          <w:lang w:val="fr-FR"/>
        </w:rPr>
        <w:t xml:space="preserve">eng. </w:t>
      </w:r>
      <w:r>
        <w:rPr>
          <w:rFonts w:ascii="Microsoft Sans Serif" w:hAnsi="Microsoft Sans Serif" w:cs="Microsoft Sans Serif"/>
          <w:i/>
          <w:sz w:val="20"/>
          <w:szCs w:val="20"/>
        </w:rPr>
        <w:t>National Cancer Institute-Common Toxicity Criteria</w:t>
      </w:r>
      <w:r>
        <w:rPr>
          <w:rFonts w:ascii="Microsoft Sans Serif" w:hAnsi="Microsoft Sans Serif" w:cs="Microsoft Sans Serif"/>
          <w:sz w:val="20"/>
          <w:szCs w:val="20"/>
        </w:rPr>
        <w:t xml:space="preserve">, NCI-CTC) </w:t>
      </w:r>
      <w:r>
        <w:rPr>
          <w:rFonts w:ascii="Microsoft Sans Serif" w:hAnsi="Microsoft Sans Serif" w:cs="Microsoft Sans Serif"/>
          <w:sz w:val="20"/>
          <w:szCs w:val="20"/>
          <w:lang w:val="sr-Cyrl-RS"/>
        </w:rPr>
        <w:t>u Tabeli</w:t>
      </w:r>
      <w:r>
        <w:rPr>
          <w:rFonts w:ascii="Microsoft Sans Serif" w:hAnsi="Microsoft Sans Serif" w:cs="Microsoft Sans Serif"/>
          <w:sz w:val="20"/>
          <w:szCs w:val="20"/>
        </w:rPr>
        <w:t xml:space="preserve"> 1</w:t>
      </w:r>
      <w:r>
        <w:rPr>
          <w:rFonts w:ascii="Microsoft Sans Serif" w:hAnsi="Microsoft Sans Serif" w:cs="Microsoft Sans Serif"/>
          <w:bCs/>
          <w:sz w:val="20"/>
          <w:szCs w:val="20"/>
        </w:rPr>
        <w:t>. Prikazane neželјene reakcije su one koje su prijavlјene kod najmanje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10% pacijenata (u erlotinib grupi) i javlјale su se češće (≥3%) kod pacijenata na terapiji erlotinibom nego 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grupi za poređenje. Ostale neželјene reakcije, uklјučujući one iz drugih ispitivanja, sažeto su prikazane 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Tabeli 2.</w:t>
      </w:r>
    </w:p>
    <w:p w14:paraId="32E0C1DF">
      <w:pPr>
        <w:rPr>
          <w:rFonts w:ascii="Microsoft Sans Serif" w:hAnsi="Microsoft Sans Serif" w:cs="Microsoft Sans Serif"/>
          <w:bCs/>
          <w:sz w:val="20"/>
          <w:szCs w:val="20"/>
          <w:lang w:val="sr-Latn-RS"/>
        </w:rPr>
      </w:pPr>
    </w:p>
    <w:p w14:paraId="72FBD3BC">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Nežel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ena djelovanja iz kliničkih ispitivanja (Tabela 1) i druga neželjena djelovanja (Tabela 2) su prikazana u skladu sa MedRA klasifikacijom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sistema organa. Odgovarajuća kategorija učestalosti za svaku nežel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enu reakciju se zasniva na sljedećoj</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konvenciji: veoma česta (≥1/10); česta (≥1/100 do &lt;1/10); povremena (≥1/1000 do &lt;1/100); rijetka (≥1/10000</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do &lt;1/1000); veoma rijetka (&lt;1/10000), nije poznato (ne može se procijeniti na osnovu dostupnih podataka).</w:t>
      </w:r>
    </w:p>
    <w:p w14:paraId="5CE217DF">
      <w:pPr>
        <w:rPr>
          <w:rFonts w:ascii="Microsoft Sans Serif" w:hAnsi="Microsoft Sans Serif" w:cs="Microsoft Sans Serif"/>
          <w:bCs/>
          <w:sz w:val="20"/>
          <w:szCs w:val="20"/>
          <w:lang w:val="sv-SE"/>
        </w:rPr>
      </w:pPr>
    </w:p>
    <w:p w14:paraId="41F6B694">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Unutar svake grupe učestalosti, nežel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ene reakcije su prikazane po opadajućoj ozbil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nosti.</w:t>
      </w:r>
    </w:p>
    <w:p w14:paraId="59E3E7C1">
      <w:pPr>
        <w:rPr>
          <w:rFonts w:ascii="Microsoft Sans Serif" w:hAnsi="Microsoft Sans Serif" w:cs="Microsoft Sans Serif"/>
          <w:bCs/>
          <w:sz w:val="20"/>
          <w:szCs w:val="20"/>
          <w:u w:val="single"/>
          <w:lang w:val="sv-SE"/>
        </w:rPr>
      </w:pPr>
    </w:p>
    <w:p w14:paraId="30C7192B">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Nemikrocelularni karcinom pluća (primjena erlotiniba kao monoterapije)</w:t>
      </w:r>
    </w:p>
    <w:p w14:paraId="5E338E7D">
      <w:pPr>
        <w:rPr>
          <w:rFonts w:ascii="Microsoft Sans Serif" w:hAnsi="Microsoft Sans Serif" w:cs="Microsoft Sans Serif"/>
          <w:bCs/>
          <w:sz w:val="20"/>
          <w:szCs w:val="20"/>
          <w:u w:val="single"/>
          <w:lang w:val="sv-SE"/>
        </w:rPr>
      </w:pPr>
    </w:p>
    <w:p w14:paraId="611D5272">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Prva linija terapije pacijenata sa EGFR mutacijama</w:t>
      </w:r>
    </w:p>
    <w:p w14:paraId="4D21D9F9">
      <w:pPr>
        <w:rPr>
          <w:rFonts w:ascii="Microsoft Sans Serif" w:hAnsi="Microsoft Sans Serif" w:cs="Microsoft Sans Serif"/>
          <w:bCs/>
          <w:sz w:val="20"/>
          <w:szCs w:val="20"/>
          <w:u w:val="single"/>
          <w:lang w:val="sv-SE"/>
        </w:rPr>
      </w:pPr>
    </w:p>
    <w:p w14:paraId="4F9FB7FD">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U otvorenom, randomizovanom ispitivanju faze III, ML20650 sprovedenom na 154 pacijenta, bezbjednost erlotiniba u prvoj liniji terapije pacijenata sa NSCLC i EGFR aktivirajućim mutacijama procjenjena je kod 75 pacijenata; kod ovih pacijenata nisu uočeni novi bezbjednosni signali.</w:t>
      </w:r>
    </w:p>
    <w:p w14:paraId="536CCE30">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Najčešće uočene nežel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ene reakcije kod pacijenata na terapiji erlotinibom u studiji ML20650 bile su osip i dijareja (bilo kog stepena 80% odnosno 57%), u najvećem broju slučajeva stepena težine 1/2</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koje su mogle biti riješene bez medicinske intervencije. Osip i dijareja trećeg stepena javili su se kod 9%</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odnosno 4% pacijenata. Nisu uočeni osip ili dijareja četvrtog stepena. I osip i dijareja doveli su do obustave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terapije erlotinibom kod 1% pacijenata. Prilagođavanje doze (privremeni prekid ili smanjenje doze) zbog osipa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i dijareje bili su potrebni kod 11% odnosno 7% pacijenata.</w:t>
      </w:r>
    </w:p>
    <w:p w14:paraId="520EF297">
      <w:pPr>
        <w:rPr>
          <w:rFonts w:ascii="Microsoft Sans Serif" w:hAnsi="Microsoft Sans Serif" w:cs="Microsoft Sans Serif"/>
          <w:bCs/>
          <w:sz w:val="20"/>
          <w:szCs w:val="20"/>
          <w:lang w:val="sr-Latn-RS"/>
        </w:rPr>
      </w:pPr>
    </w:p>
    <w:p w14:paraId="102EE972">
      <w:pPr>
        <w:rPr>
          <w:rFonts w:ascii="Microsoft Sans Serif" w:hAnsi="Microsoft Sans Serif" w:cs="Microsoft Sans Serif"/>
          <w:bCs/>
          <w:sz w:val="20"/>
          <w:szCs w:val="20"/>
          <w:u w:val="single"/>
          <w:lang w:val="sr-Latn-RS"/>
        </w:rPr>
      </w:pPr>
      <w:r>
        <w:rPr>
          <w:rFonts w:ascii="Microsoft Sans Serif" w:hAnsi="Microsoft Sans Serif" w:cs="Microsoft Sans Serif"/>
          <w:bCs/>
          <w:sz w:val="20"/>
          <w:szCs w:val="20"/>
          <w:u w:val="single"/>
          <w:lang w:val="sr-Latn-RS"/>
        </w:rPr>
        <w:t>Terapija održavanja</w:t>
      </w:r>
    </w:p>
    <w:p w14:paraId="7F7E8486">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U druga dva dvostruko slijepa, randomizovana, placebo kontrolisana ispitivanja faze III BO18192 (SATURN) i BO25460 (IUNO); erlotinib je primjenjen kao terapija održavanja nakon prve linije hemioterapije. Ove studije sprovedene su na ukupno 1532 pacijenta sa uznapredovalim, rekurentnim ili metastatskim NSCLC nakon prve linije standardne hemioterapije zasnovane na platini, nisu uočeni novi bezbjednosni signali.</w:t>
      </w:r>
    </w:p>
    <w:p w14:paraId="63C2297E">
      <w:pPr>
        <w:rPr>
          <w:rFonts w:ascii="Microsoft Sans Serif" w:hAnsi="Microsoft Sans Serif" w:cs="Microsoft Sans Serif"/>
          <w:bCs/>
          <w:sz w:val="20"/>
          <w:szCs w:val="20"/>
          <w:lang w:val="sr-Latn-RS"/>
        </w:rPr>
      </w:pPr>
    </w:p>
    <w:p w14:paraId="1961F01E">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Najčešće uočene nežel</w:t>
      </w:r>
      <w:r>
        <w:rPr>
          <w:rFonts w:ascii="Microsoft Sans Serif" w:hAnsi="Microsoft Sans Serif" w:cs="Microsoft Sans Serif"/>
          <w:bCs/>
          <w:sz w:val="20"/>
          <w:szCs w:val="20"/>
        </w:rPr>
        <w:t>ј</w:t>
      </w:r>
      <w:r>
        <w:rPr>
          <w:rFonts w:ascii="Microsoft Sans Serif" w:hAnsi="Microsoft Sans Serif" w:cs="Microsoft Sans Serif"/>
          <w:bCs/>
          <w:sz w:val="20"/>
          <w:szCs w:val="20"/>
          <w:lang w:val="sr-Latn-RS"/>
        </w:rPr>
        <w:t>ene reakcije kod pacijenata na terapiji erlotinibom u studijama BO18192 i BO25460 bile su osip (BO18192: svi stepeni 49,2%; 3. stepen 6,0%; BO25460: svi stepeni 39,4%; 3. stepen 5,0%) i dijareja (BO18192: svi stepeni 20,3%; 3. stepen 1,8%; BO25460: svi stepeni 24,2%; 3. stepen 2,5%). Ni u jednoj od studija nisu uočeni osip ili dijareja četvrtog stepena. U studiji BO18192 osip i dijareja doveli su do obustave terapije erlotinibom kod 1% odnosno &lt;1% pacijenata, dok u okviru studije BO25460 nije bilo slučajeva obustave zbog osipa ili dijareje. Prilagođavanje doze (privremeni prekid ili smanjenje doze) zbog osipa i dijareje bili su potrebni kod 8,3% odnosno 3% pacijenata u studiji BO18192 i 5,6% odnosno 2,8% pacijenata u studiji BO25460.</w:t>
      </w:r>
    </w:p>
    <w:p w14:paraId="7F5565DB">
      <w:pPr>
        <w:rPr>
          <w:rFonts w:ascii="Microsoft Sans Serif" w:hAnsi="Microsoft Sans Serif" w:cs="Microsoft Sans Serif"/>
          <w:bCs/>
          <w:sz w:val="20"/>
          <w:szCs w:val="20"/>
          <w:u w:val="single"/>
          <w:lang w:val="sr-Latn-RS"/>
        </w:rPr>
      </w:pPr>
    </w:p>
    <w:p w14:paraId="5D4574BB">
      <w:pPr>
        <w:rPr>
          <w:rFonts w:ascii="Microsoft Sans Serif" w:hAnsi="Microsoft Sans Serif" w:cs="Microsoft Sans Serif"/>
          <w:bCs/>
          <w:sz w:val="20"/>
          <w:szCs w:val="20"/>
          <w:u w:val="single"/>
          <w:lang w:val="sr-Latn-RS"/>
        </w:rPr>
      </w:pPr>
      <w:r>
        <w:rPr>
          <w:rFonts w:ascii="Microsoft Sans Serif" w:hAnsi="Microsoft Sans Serif" w:cs="Microsoft Sans Serif"/>
          <w:bCs/>
          <w:sz w:val="20"/>
          <w:szCs w:val="20"/>
          <w:u w:val="single"/>
          <w:lang w:val="sr-Latn-RS"/>
        </w:rPr>
        <w:t>Druga i dal</w:t>
      </w:r>
      <w:r>
        <w:rPr>
          <w:rFonts w:ascii="Microsoft Sans Serif" w:hAnsi="Microsoft Sans Serif" w:cs="Microsoft Sans Serif"/>
          <w:bCs/>
          <w:sz w:val="20"/>
          <w:szCs w:val="20"/>
          <w:u w:val="single"/>
        </w:rPr>
        <w:t>ј</w:t>
      </w:r>
      <w:r>
        <w:rPr>
          <w:rFonts w:ascii="Microsoft Sans Serif" w:hAnsi="Microsoft Sans Serif" w:cs="Microsoft Sans Serif"/>
          <w:bCs/>
          <w:sz w:val="20"/>
          <w:szCs w:val="20"/>
          <w:u w:val="single"/>
          <w:lang w:val="sr-Latn-RS"/>
        </w:rPr>
        <w:t>e linije terapije</w:t>
      </w:r>
    </w:p>
    <w:p w14:paraId="26671C20">
      <w:pPr>
        <w:rPr>
          <w:rFonts w:ascii="Microsoft Sans Serif" w:hAnsi="Microsoft Sans Serif" w:cs="Microsoft Sans Serif"/>
          <w:bCs/>
          <w:sz w:val="20"/>
          <w:szCs w:val="20"/>
          <w:u w:val="single"/>
          <w:lang w:val="sr-Latn-RS"/>
        </w:rPr>
      </w:pPr>
    </w:p>
    <w:p w14:paraId="4FFD5D71">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r-Latn-RS"/>
        </w:rPr>
        <w:t>U randomizovanom dvostruko slijepom ispitivanju (BR.21; gde je erlotinib primjenjen kao terapija druge linije), najčešće prijavl</w:t>
      </w:r>
      <w:r>
        <w:rPr>
          <w:rFonts w:ascii="Microsoft Sans Serif" w:hAnsi="Microsoft Sans Serif" w:cs="Microsoft Sans Serif"/>
          <w:bCs/>
          <w:sz w:val="20"/>
          <w:szCs w:val="20"/>
        </w:rPr>
        <w:t>ј</w:t>
      </w:r>
      <w:r>
        <w:rPr>
          <w:rFonts w:ascii="Microsoft Sans Serif" w:hAnsi="Microsoft Sans Serif" w:cs="Microsoft Sans Serif"/>
          <w:bCs/>
          <w:sz w:val="20"/>
          <w:szCs w:val="20"/>
          <w:lang w:val="sr-Latn-RS"/>
        </w:rPr>
        <w:t>ivane nežel</w:t>
      </w:r>
      <w:r>
        <w:rPr>
          <w:rFonts w:ascii="Microsoft Sans Serif" w:hAnsi="Microsoft Sans Serif" w:cs="Microsoft Sans Serif"/>
          <w:bCs/>
          <w:sz w:val="20"/>
          <w:szCs w:val="20"/>
        </w:rPr>
        <w:t>ј</w:t>
      </w:r>
      <w:r>
        <w:rPr>
          <w:rFonts w:ascii="Microsoft Sans Serif" w:hAnsi="Microsoft Sans Serif" w:cs="Microsoft Sans Serif"/>
          <w:bCs/>
          <w:sz w:val="20"/>
          <w:szCs w:val="20"/>
          <w:lang w:val="sr-Latn-RS"/>
        </w:rPr>
        <w:t xml:space="preserve">ene reakcije bile su osip (75%) i dijareja (54%). </w:t>
      </w:r>
      <w:r>
        <w:rPr>
          <w:rFonts w:ascii="Microsoft Sans Serif" w:hAnsi="Microsoft Sans Serif" w:cs="Microsoft Sans Serif"/>
          <w:bCs/>
          <w:sz w:val="20"/>
          <w:szCs w:val="20"/>
          <w:lang w:val="sv-SE"/>
        </w:rPr>
        <w:t>Većina nežel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enih reakcija je bila stepena težine 1/2, i riješene su bez medicinske intervencije. Osip i dijareja stepena 3/4 javili su se kod 9% odnosno 6% pacijenata koji su bili na terapiji erlotinibom, a svaka nežel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ena reakcija dovela je do prekida terapije u okviru ispitivanja kod 1% pacijenata. Smanjenje doze zbog osipa i dijareje bilo je potrebno kod 6% odnosno 1% pacijenata. U studiji BR.21 srednje vrijeme do pojave osipa bilo je 8 dana, dok je srednje vrijeme do pojave dijareje bilo 12 dana.</w:t>
      </w:r>
    </w:p>
    <w:p w14:paraId="079DF2B8">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Uopšteno, osip se manifestuje kao blag ili umjereni eritematozni i papulopustularni osip, koji se može pojaviti ili pogoršati na područjima izloženim suncu. Pacijentima koji su izloženi suncu savjetuje se zaštitna odeća i/ili upotreba krema za zaštitu od sunca sa odgovarajućim faktorom (npr. mineralnog sastava).</w:t>
      </w:r>
    </w:p>
    <w:p w14:paraId="386A22C9">
      <w:pPr>
        <w:rPr>
          <w:rFonts w:ascii="Microsoft Sans Serif" w:hAnsi="Microsoft Sans Serif" w:cs="Microsoft Sans Serif"/>
          <w:bCs/>
          <w:sz w:val="20"/>
          <w:szCs w:val="20"/>
          <w:u w:val="single"/>
          <w:lang w:val="sv-SE"/>
        </w:rPr>
      </w:pPr>
    </w:p>
    <w:p w14:paraId="51753DF5">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Karcinom pankreasa (primjena erlotiniba istovemeno sa gemcitabinom)</w:t>
      </w:r>
    </w:p>
    <w:p w14:paraId="5B1A80DB">
      <w:pPr>
        <w:rPr>
          <w:rFonts w:ascii="Microsoft Sans Serif" w:hAnsi="Microsoft Sans Serif" w:cs="Microsoft Sans Serif"/>
          <w:bCs/>
          <w:sz w:val="20"/>
          <w:szCs w:val="20"/>
          <w:u w:val="single"/>
          <w:lang w:val="sv-SE"/>
        </w:rPr>
      </w:pPr>
    </w:p>
    <w:p w14:paraId="78C579F6">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Najčešće prijavl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ene nežel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ene reakcije u pivotalnom ispitivanju PA.3 pacijenata sa karcinomom pankreasa na terapiji erlotinibom u dozi od 100 mg i gemcitabinom, bile su umor, osip i dijareja. U grupi koja je primala erlotinib i gemcitabin osip i dijareja stepena 3/4 bili su prijavl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 xml:space="preserve">eni kod 5% pacijenata. Srednje vrijeme do pojave osipa i dijareje bilo je 10 odnosno 15 dana. I osip i dijareja doveli su do smanjenja doze kod 2% pacijenata, a do obustave </w:t>
      </w:r>
      <w:r>
        <w:rPr>
          <w:rFonts w:ascii="Microsoft Sans Serif" w:hAnsi="Microsoft Sans Serif" w:cs="Microsoft Sans Serif"/>
          <w:bCs/>
          <w:sz w:val="20"/>
          <w:szCs w:val="20"/>
          <w:lang w:val="sr-Cyrl-RS"/>
        </w:rPr>
        <w:t xml:space="preserve">kod </w:t>
      </w:r>
      <w:r>
        <w:rPr>
          <w:rFonts w:ascii="Microsoft Sans Serif" w:hAnsi="Microsoft Sans Serif" w:cs="Microsoft Sans Serif"/>
          <w:bCs/>
          <w:sz w:val="20"/>
          <w:szCs w:val="20"/>
          <w:lang w:val="sv-SE"/>
        </w:rPr>
        <w:t>do 1% pacijenata na terapiji erlotinibom i gemcitabinom.</w:t>
      </w:r>
    </w:p>
    <w:p w14:paraId="40E3C76E">
      <w:pPr>
        <w:rPr>
          <w:rFonts w:ascii="Microsoft Sans Serif" w:hAnsi="Microsoft Sans Serif" w:cs="Microsoft Sans Serif"/>
          <w:bCs/>
          <w:sz w:val="20"/>
          <w:szCs w:val="20"/>
          <w:lang w:val="sv-SE"/>
        </w:rPr>
      </w:pPr>
    </w:p>
    <w:p w14:paraId="5E9844F7">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Tabela 1 - Nežel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ene reakcije koje se javl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aju kod ≥ 10% pacijenata u ispitivanjima BR.21 (terapija erlotinibom) i PA.3 (terapija erlotinibom i gemcitabinom) i nežel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ene reakcije koje se javl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aju češće (≥3%) u poređenju sa placebom u ispitivanjima BR.21 (terapija erlotinibom) i PA.3 (terapija erlotinibom i gemcitabinom).</w:t>
      </w:r>
    </w:p>
    <w:tbl>
      <w:tblPr>
        <w:tblStyle w:val="7"/>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992"/>
        <w:gridCol w:w="567"/>
        <w:gridCol w:w="683"/>
        <w:gridCol w:w="876"/>
        <w:gridCol w:w="660"/>
        <w:gridCol w:w="688"/>
        <w:gridCol w:w="672"/>
        <w:gridCol w:w="672"/>
        <w:gridCol w:w="557"/>
        <w:gridCol w:w="1571"/>
      </w:tblGrid>
      <w:tr w14:paraId="3C860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tcBorders>
            <w:shd w:val="clear" w:color="auto" w:fill="auto"/>
          </w:tcPr>
          <w:p w14:paraId="4907FB25">
            <w:pPr>
              <w:tabs>
                <w:tab w:val="left" w:pos="567"/>
                <w:tab w:val="clear" w:pos="284"/>
              </w:tabs>
              <w:rPr>
                <w:rFonts w:ascii="Microsoft Sans Serif" w:hAnsi="Microsoft Sans Serif" w:cs="Microsoft Sans Serif"/>
                <w:sz w:val="20"/>
                <w:szCs w:val="20"/>
                <w:u w:val="single"/>
                <w:lang w:val="sv-SE"/>
              </w:rPr>
            </w:pPr>
          </w:p>
        </w:tc>
        <w:tc>
          <w:tcPr>
            <w:tcW w:w="2242" w:type="dxa"/>
            <w:gridSpan w:val="3"/>
            <w:tcBorders>
              <w:top w:val="single" w:color="auto" w:sz="4" w:space="0"/>
            </w:tcBorders>
            <w:shd w:val="clear" w:color="auto" w:fill="auto"/>
          </w:tcPr>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65"/>
            </w:tblGrid>
            <w:tr w14:paraId="52B58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1865" w:type="dxa"/>
                </w:tcPr>
                <w:p w14:paraId="523A8A64">
                  <w:pPr>
                    <w:tabs>
                      <w:tab w:val="clear" w:pos="284"/>
                    </w:tabs>
                    <w:autoSpaceDE w:val="0"/>
                    <w:autoSpaceDN w:val="0"/>
                    <w:adjustRightInd w:val="0"/>
                    <w:rPr>
                      <w:rFonts w:ascii="Microsoft Sans Serif" w:hAnsi="Microsoft Sans Serif" w:cs="Microsoft Sans Serif"/>
                      <w:b/>
                      <w:bCs/>
                      <w:sz w:val="20"/>
                      <w:szCs w:val="20"/>
                    </w:rPr>
                  </w:pPr>
                  <w:r>
                    <w:rPr>
                      <w:rFonts w:ascii="Microsoft Sans Serif" w:hAnsi="Microsoft Sans Serif" w:cs="Microsoft Sans Serif"/>
                      <w:b/>
                      <w:bCs/>
                      <w:sz w:val="20"/>
                      <w:szCs w:val="20"/>
                      <w:lang w:val="sr-Cyrl-RS"/>
                    </w:rPr>
                    <w:t>Erlotinib</w:t>
                  </w:r>
                  <w:r>
                    <w:rPr>
                      <w:rFonts w:ascii="Microsoft Sans Serif" w:hAnsi="Microsoft Sans Serif" w:cs="Microsoft Sans Serif"/>
                      <w:b/>
                      <w:bCs/>
                      <w:sz w:val="20"/>
                      <w:szCs w:val="20"/>
                    </w:rPr>
                    <w:t xml:space="preserve"> (BR.21)</w:t>
                  </w:r>
                </w:p>
                <w:p w14:paraId="2ADBF0E7">
                  <w:pPr>
                    <w:tabs>
                      <w:tab w:val="clear" w:pos="284"/>
                    </w:tabs>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b/>
                      <w:bCs/>
                      <w:sz w:val="20"/>
                      <w:szCs w:val="20"/>
                    </w:rPr>
                    <w:t xml:space="preserve"> N = 485 </w:t>
                  </w:r>
                </w:p>
              </w:tc>
            </w:tr>
          </w:tbl>
          <w:p w14:paraId="1929063E">
            <w:pPr>
              <w:tabs>
                <w:tab w:val="left" w:pos="567"/>
                <w:tab w:val="clear" w:pos="284"/>
              </w:tabs>
              <w:rPr>
                <w:rFonts w:ascii="Microsoft Sans Serif" w:hAnsi="Microsoft Sans Serif" w:cs="Microsoft Sans Serif"/>
                <w:sz w:val="20"/>
                <w:szCs w:val="20"/>
                <w:u w:val="single"/>
                <w:lang w:val="en-GB"/>
              </w:rPr>
            </w:pPr>
          </w:p>
        </w:tc>
        <w:tc>
          <w:tcPr>
            <w:tcW w:w="2224" w:type="dxa"/>
            <w:gridSpan w:val="3"/>
            <w:tcBorders>
              <w:top w:val="single" w:color="auto" w:sz="4" w:space="0"/>
            </w:tcBorders>
            <w:shd w:val="clear" w:color="auto" w:fill="auto"/>
          </w:tcPr>
          <w:p w14:paraId="55E148C5">
            <w:pPr>
              <w:tabs>
                <w:tab w:val="left" w:pos="567"/>
                <w:tab w:val="clear" w:pos="284"/>
              </w:tabs>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 xml:space="preserve">Erlotinib (PA.3) </w:t>
            </w:r>
          </w:p>
          <w:p w14:paraId="3EB19C03">
            <w:pPr>
              <w:tabs>
                <w:tab w:val="left" w:pos="567"/>
                <w:tab w:val="clear" w:pos="284"/>
              </w:tabs>
              <w:rPr>
                <w:rFonts w:ascii="Microsoft Sans Serif" w:hAnsi="Microsoft Sans Serif" w:cs="Microsoft Sans Serif"/>
                <w:sz w:val="20"/>
                <w:szCs w:val="20"/>
                <w:u w:val="single"/>
                <w:lang w:val="en-GB"/>
              </w:rPr>
            </w:pPr>
            <w:r>
              <w:rPr>
                <w:rFonts w:ascii="Microsoft Sans Serif" w:hAnsi="Microsoft Sans Serif" w:cs="Microsoft Sans Serif"/>
                <w:b/>
                <w:sz w:val="20"/>
                <w:szCs w:val="20"/>
                <w:lang w:val="en-GB"/>
              </w:rPr>
              <w:t>N = 259</w:t>
            </w:r>
          </w:p>
        </w:tc>
        <w:tc>
          <w:tcPr>
            <w:tcW w:w="1344" w:type="dxa"/>
            <w:gridSpan w:val="2"/>
            <w:tcBorders>
              <w:top w:val="single" w:color="auto" w:sz="4" w:space="0"/>
              <w:right w:val="nil"/>
            </w:tcBorders>
            <w:shd w:val="clear" w:color="auto" w:fill="auto"/>
          </w:tcPr>
          <w:p w14:paraId="3EBAEEE4">
            <w:pPr>
              <w:tabs>
                <w:tab w:val="left" w:pos="567"/>
                <w:tab w:val="clear" w:pos="284"/>
              </w:tabs>
              <w:rPr>
                <w:rFonts w:ascii="Microsoft Sans Serif" w:hAnsi="Microsoft Sans Serif" w:cs="Microsoft Sans Serif"/>
                <w:sz w:val="20"/>
                <w:szCs w:val="20"/>
                <w:u w:val="single"/>
                <w:lang w:val="en-GB"/>
              </w:rPr>
            </w:pPr>
          </w:p>
        </w:tc>
        <w:tc>
          <w:tcPr>
            <w:tcW w:w="557" w:type="dxa"/>
            <w:tcBorders>
              <w:top w:val="single" w:color="auto" w:sz="4" w:space="0"/>
              <w:left w:val="nil"/>
            </w:tcBorders>
            <w:shd w:val="clear" w:color="auto" w:fill="auto"/>
          </w:tcPr>
          <w:p w14:paraId="246B6577">
            <w:pPr>
              <w:tabs>
                <w:tab w:val="left" w:pos="567"/>
                <w:tab w:val="clear" w:pos="284"/>
              </w:tabs>
              <w:rPr>
                <w:rFonts w:ascii="Microsoft Sans Serif" w:hAnsi="Microsoft Sans Serif" w:cs="Microsoft Sans Serif"/>
                <w:sz w:val="20"/>
                <w:szCs w:val="20"/>
                <w:u w:val="single"/>
                <w:lang w:val="en-GB"/>
              </w:rPr>
            </w:pPr>
          </w:p>
        </w:tc>
        <w:tc>
          <w:tcPr>
            <w:tcW w:w="1571" w:type="dxa"/>
            <w:vMerge w:val="restart"/>
            <w:tcBorders>
              <w:top w:val="single" w:color="auto" w:sz="4" w:space="0"/>
            </w:tcBorders>
            <w:shd w:val="clear" w:color="auto" w:fill="auto"/>
          </w:tcPr>
          <w:p w14:paraId="47204864">
            <w:pPr>
              <w:tabs>
                <w:tab w:val="left" w:pos="567"/>
                <w:tab w:val="clear" w:pos="284"/>
              </w:tabs>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 xml:space="preserve">Kategorija </w:t>
            </w:r>
            <w:r>
              <w:rPr>
                <w:rFonts w:ascii="Microsoft Sans Serif" w:hAnsi="Microsoft Sans Serif" w:cs="Microsoft Sans Serif"/>
                <w:b/>
                <w:sz w:val="20"/>
                <w:szCs w:val="20"/>
                <w:lang w:val="sr-Latn-RS"/>
              </w:rPr>
              <w:t>najveće učestalosti</w:t>
            </w:r>
          </w:p>
        </w:tc>
      </w:tr>
      <w:tr w14:paraId="044F6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51"/>
            </w:tblGrid>
            <w:tr w14:paraId="79802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9" w:hRule="atLeast"/>
              </w:trPr>
              <w:tc>
                <w:tcPr>
                  <w:tcW w:w="1551" w:type="dxa"/>
                </w:tcPr>
                <w:p w14:paraId="7DB08F8E">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b/>
                      <w:bCs/>
                      <w:sz w:val="20"/>
                      <w:szCs w:val="20"/>
                    </w:rPr>
                    <w:t xml:space="preserve">NCI-CTC </w:t>
                  </w:r>
                  <w:r>
                    <w:rPr>
                      <w:rFonts w:ascii="Microsoft Sans Serif" w:hAnsi="Microsoft Sans Serif" w:cs="Microsoft Sans Serif"/>
                      <w:b/>
                      <w:bCs/>
                      <w:sz w:val="20"/>
                      <w:szCs w:val="20"/>
                      <w:lang w:val="sr-Cyrl-RS"/>
                    </w:rPr>
                    <w:t>Stepen</w:t>
                  </w:r>
                </w:p>
              </w:tc>
            </w:tr>
          </w:tbl>
          <w:p w14:paraId="452022CA">
            <w:pPr>
              <w:tabs>
                <w:tab w:val="left" w:pos="567"/>
                <w:tab w:val="clear" w:pos="284"/>
              </w:tabs>
              <w:rPr>
                <w:rFonts w:ascii="Microsoft Sans Serif" w:hAnsi="Microsoft Sans Serif" w:cs="Microsoft Sans Serif"/>
                <w:sz w:val="20"/>
                <w:szCs w:val="20"/>
                <w:u w:val="single"/>
                <w:lang w:val="en-GB"/>
              </w:rPr>
            </w:pPr>
          </w:p>
        </w:tc>
        <w:tc>
          <w:tcPr>
            <w:tcW w:w="992" w:type="dxa"/>
            <w:shd w:val="clear" w:color="auto" w:fill="auto"/>
          </w:tcPr>
          <w:p w14:paraId="7CE3874E">
            <w:pPr>
              <w:tabs>
                <w:tab w:val="left" w:pos="567"/>
                <w:tab w:val="clear" w:pos="284"/>
              </w:tabs>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Bilo koji stepen</w:t>
            </w:r>
          </w:p>
        </w:tc>
        <w:tc>
          <w:tcPr>
            <w:tcW w:w="567" w:type="dxa"/>
            <w:shd w:val="clear" w:color="auto" w:fill="auto"/>
          </w:tcPr>
          <w:p w14:paraId="3FCAB911">
            <w:pPr>
              <w:tabs>
                <w:tab w:val="left" w:pos="567"/>
                <w:tab w:val="clear" w:pos="284"/>
              </w:tabs>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3</w:t>
            </w:r>
          </w:p>
        </w:tc>
        <w:tc>
          <w:tcPr>
            <w:tcW w:w="683" w:type="dxa"/>
            <w:shd w:val="clear" w:color="auto" w:fill="auto"/>
          </w:tcPr>
          <w:p w14:paraId="5F2A9338">
            <w:pPr>
              <w:tabs>
                <w:tab w:val="left" w:pos="567"/>
                <w:tab w:val="clear" w:pos="284"/>
              </w:tabs>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4</w:t>
            </w:r>
          </w:p>
        </w:tc>
        <w:tc>
          <w:tcPr>
            <w:tcW w:w="876" w:type="dxa"/>
            <w:shd w:val="clear" w:color="auto" w:fill="auto"/>
          </w:tcPr>
          <w:p w14:paraId="7F5EC792">
            <w:pPr>
              <w:tabs>
                <w:tab w:val="left" w:pos="567"/>
                <w:tab w:val="clear" w:pos="284"/>
              </w:tabs>
              <w:rPr>
                <w:rFonts w:ascii="Microsoft Sans Serif" w:hAnsi="Microsoft Sans Serif" w:cs="Microsoft Sans Serif"/>
                <w:sz w:val="20"/>
                <w:szCs w:val="20"/>
                <w:u w:val="single"/>
                <w:lang w:val="sr-Cyrl-RS"/>
              </w:rPr>
            </w:pPr>
            <w:r>
              <w:rPr>
                <w:rFonts w:ascii="Microsoft Sans Serif" w:hAnsi="Microsoft Sans Serif" w:cs="Microsoft Sans Serif"/>
                <w:b/>
                <w:sz w:val="20"/>
                <w:szCs w:val="20"/>
                <w:lang w:val="sr-Cyrl-RS"/>
              </w:rPr>
              <w:t>Bilo koji stepen</w:t>
            </w:r>
          </w:p>
        </w:tc>
        <w:tc>
          <w:tcPr>
            <w:tcW w:w="660" w:type="dxa"/>
            <w:shd w:val="clear" w:color="auto" w:fill="auto"/>
          </w:tcPr>
          <w:p w14:paraId="721B3262">
            <w:pPr>
              <w:tabs>
                <w:tab w:val="left" w:pos="567"/>
                <w:tab w:val="clear" w:pos="284"/>
              </w:tabs>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3</w:t>
            </w:r>
          </w:p>
        </w:tc>
        <w:tc>
          <w:tcPr>
            <w:tcW w:w="688" w:type="dxa"/>
            <w:shd w:val="clear" w:color="auto" w:fill="auto"/>
          </w:tcPr>
          <w:p w14:paraId="1868CDAB">
            <w:pPr>
              <w:tabs>
                <w:tab w:val="left" w:pos="567"/>
                <w:tab w:val="clear" w:pos="284"/>
              </w:tabs>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4</w:t>
            </w:r>
          </w:p>
        </w:tc>
        <w:tc>
          <w:tcPr>
            <w:tcW w:w="672" w:type="dxa"/>
            <w:shd w:val="clear" w:color="auto" w:fill="auto"/>
          </w:tcPr>
          <w:p w14:paraId="07A6DA8A">
            <w:pPr>
              <w:tabs>
                <w:tab w:val="left" w:pos="567"/>
                <w:tab w:val="clear" w:pos="284"/>
              </w:tabs>
              <w:rPr>
                <w:rFonts w:ascii="Microsoft Sans Serif" w:hAnsi="Microsoft Sans Serif" w:cs="Microsoft Sans Serif"/>
                <w:sz w:val="20"/>
                <w:szCs w:val="20"/>
                <w:u w:val="single"/>
                <w:lang w:val="en-GB"/>
              </w:rPr>
            </w:pPr>
          </w:p>
        </w:tc>
        <w:tc>
          <w:tcPr>
            <w:tcW w:w="672" w:type="dxa"/>
            <w:shd w:val="clear" w:color="auto" w:fill="auto"/>
          </w:tcPr>
          <w:p w14:paraId="271A8333">
            <w:pPr>
              <w:tabs>
                <w:tab w:val="left" w:pos="567"/>
                <w:tab w:val="clear" w:pos="284"/>
              </w:tabs>
              <w:rPr>
                <w:rFonts w:ascii="Microsoft Sans Serif" w:hAnsi="Microsoft Sans Serif" w:cs="Microsoft Sans Serif"/>
                <w:sz w:val="20"/>
                <w:szCs w:val="20"/>
                <w:u w:val="single"/>
                <w:lang w:val="en-GB"/>
              </w:rPr>
            </w:pPr>
          </w:p>
        </w:tc>
        <w:tc>
          <w:tcPr>
            <w:tcW w:w="557" w:type="dxa"/>
            <w:shd w:val="clear" w:color="auto" w:fill="auto"/>
          </w:tcPr>
          <w:p w14:paraId="3F2815AB">
            <w:pPr>
              <w:tabs>
                <w:tab w:val="left" w:pos="567"/>
                <w:tab w:val="clear" w:pos="284"/>
              </w:tabs>
              <w:rPr>
                <w:rFonts w:ascii="Microsoft Sans Serif" w:hAnsi="Microsoft Sans Serif" w:cs="Microsoft Sans Serif"/>
                <w:sz w:val="20"/>
                <w:szCs w:val="20"/>
                <w:u w:val="single"/>
                <w:lang w:val="en-GB"/>
              </w:rPr>
            </w:pPr>
          </w:p>
        </w:tc>
        <w:tc>
          <w:tcPr>
            <w:tcW w:w="1571" w:type="dxa"/>
            <w:vMerge w:val="continue"/>
            <w:shd w:val="clear" w:color="auto" w:fill="auto"/>
          </w:tcPr>
          <w:p w14:paraId="7FD4084D">
            <w:pPr>
              <w:tabs>
                <w:tab w:val="left" w:pos="567"/>
                <w:tab w:val="clear" w:pos="284"/>
              </w:tabs>
              <w:rPr>
                <w:rFonts w:ascii="Microsoft Sans Serif" w:hAnsi="Microsoft Sans Serif" w:cs="Microsoft Sans Serif"/>
                <w:b/>
                <w:sz w:val="20"/>
                <w:szCs w:val="20"/>
                <w:lang w:val="en-GB"/>
              </w:rPr>
            </w:pPr>
          </w:p>
        </w:tc>
      </w:tr>
      <w:tr w14:paraId="71DA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14:paraId="74525752">
            <w:pPr>
              <w:tabs>
                <w:tab w:val="left" w:pos="567"/>
                <w:tab w:val="clear" w:pos="284"/>
              </w:tabs>
              <w:rPr>
                <w:rFonts w:ascii="Microsoft Sans Serif" w:hAnsi="Microsoft Sans Serif" w:cs="Microsoft Sans Serif"/>
                <w:b/>
                <w:sz w:val="20"/>
                <w:szCs w:val="20"/>
                <w:lang w:val="sr-Cyrl-RS"/>
              </w:rPr>
            </w:pPr>
            <w:r>
              <w:rPr>
                <w:rFonts w:ascii="Microsoft Sans Serif" w:hAnsi="Microsoft Sans Serif" w:cs="Microsoft Sans Serif"/>
                <w:b/>
                <w:sz w:val="20"/>
                <w:szCs w:val="20"/>
                <w:lang w:val="en-GB"/>
              </w:rPr>
              <w:t xml:space="preserve">MedDRA </w:t>
            </w:r>
            <w:r>
              <w:rPr>
                <w:rFonts w:ascii="Microsoft Sans Serif" w:hAnsi="Microsoft Sans Serif" w:cs="Microsoft Sans Serif"/>
                <w:b/>
                <w:sz w:val="20"/>
                <w:szCs w:val="20"/>
                <w:lang w:val="sr-Cyrl-RS"/>
              </w:rPr>
              <w:t>Preporučen termin</w:t>
            </w:r>
          </w:p>
        </w:tc>
        <w:tc>
          <w:tcPr>
            <w:tcW w:w="992" w:type="dxa"/>
            <w:shd w:val="clear" w:color="auto" w:fill="auto"/>
          </w:tcPr>
          <w:p w14:paraId="15ECCFCA">
            <w:pPr>
              <w:tabs>
                <w:tab w:val="left" w:pos="567"/>
                <w:tab w:val="clear" w:pos="284"/>
              </w:tabs>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w:t>
            </w:r>
          </w:p>
        </w:tc>
        <w:tc>
          <w:tcPr>
            <w:tcW w:w="567" w:type="dxa"/>
            <w:shd w:val="clear" w:color="auto" w:fill="auto"/>
          </w:tcPr>
          <w:p w14:paraId="38EC3A8C">
            <w:pPr>
              <w:tabs>
                <w:tab w:val="left" w:pos="567"/>
                <w:tab w:val="clear" w:pos="284"/>
              </w:tabs>
              <w:rPr>
                <w:rFonts w:ascii="Microsoft Sans Serif" w:hAnsi="Microsoft Sans Serif" w:cs="Microsoft Sans Serif"/>
                <w:b/>
                <w:sz w:val="20"/>
                <w:szCs w:val="20"/>
                <w:u w:val="single"/>
                <w:lang w:val="en-GB"/>
              </w:rPr>
            </w:pPr>
            <w:r>
              <w:rPr>
                <w:rFonts w:ascii="Microsoft Sans Serif" w:hAnsi="Microsoft Sans Serif" w:cs="Microsoft Sans Serif"/>
                <w:b/>
                <w:sz w:val="20"/>
                <w:szCs w:val="20"/>
                <w:lang w:val="en-GB"/>
              </w:rPr>
              <w:t>%</w:t>
            </w:r>
          </w:p>
        </w:tc>
        <w:tc>
          <w:tcPr>
            <w:tcW w:w="683" w:type="dxa"/>
            <w:shd w:val="clear" w:color="auto" w:fill="auto"/>
          </w:tcPr>
          <w:p w14:paraId="598ECF3F">
            <w:pPr>
              <w:tabs>
                <w:tab w:val="left" w:pos="567"/>
                <w:tab w:val="clear" w:pos="284"/>
              </w:tabs>
              <w:rPr>
                <w:rFonts w:ascii="Microsoft Sans Serif" w:hAnsi="Microsoft Sans Serif" w:cs="Microsoft Sans Serif"/>
                <w:b/>
                <w:sz w:val="20"/>
                <w:szCs w:val="20"/>
                <w:u w:val="single"/>
                <w:lang w:val="en-GB"/>
              </w:rPr>
            </w:pPr>
            <w:r>
              <w:rPr>
                <w:rFonts w:ascii="Microsoft Sans Serif" w:hAnsi="Microsoft Sans Serif" w:cs="Microsoft Sans Serif"/>
                <w:b/>
                <w:sz w:val="20"/>
                <w:szCs w:val="20"/>
                <w:lang w:val="en-GB"/>
              </w:rPr>
              <w:t>%</w:t>
            </w:r>
          </w:p>
        </w:tc>
        <w:tc>
          <w:tcPr>
            <w:tcW w:w="876" w:type="dxa"/>
            <w:shd w:val="clear" w:color="auto" w:fill="auto"/>
          </w:tcPr>
          <w:p w14:paraId="56B17B2D">
            <w:pPr>
              <w:tabs>
                <w:tab w:val="left" w:pos="567"/>
                <w:tab w:val="clear" w:pos="284"/>
              </w:tabs>
              <w:rPr>
                <w:rFonts w:ascii="Microsoft Sans Serif" w:hAnsi="Microsoft Sans Serif" w:cs="Microsoft Sans Serif"/>
                <w:b/>
                <w:sz w:val="20"/>
                <w:szCs w:val="20"/>
                <w:u w:val="single"/>
                <w:lang w:val="en-GB"/>
              </w:rPr>
            </w:pPr>
            <w:r>
              <w:rPr>
                <w:rFonts w:ascii="Microsoft Sans Serif" w:hAnsi="Microsoft Sans Serif" w:cs="Microsoft Sans Serif"/>
                <w:b/>
                <w:sz w:val="20"/>
                <w:szCs w:val="20"/>
                <w:lang w:val="en-GB"/>
              </w:rPr>
              <w:t>%</w:t>
            </w:r>
          </w:p>
        </w:tc>
        <w:tc>
          <w:tcPr>
            <w:tcW w:w="660" w:type="dxa"/>
            <w:shd w:val="clear" w:color="auto" w:fill="auto"/>
          </w:tcPr>
          <w:p w14:paraId="71CF5EA3">
            <w:pPr>
              <w:tabs>
                <w:tab w:val="left" w:pos="567"/>
                <w:tab w:val="clear" w:pos="284"/>
              </w:tabs>
              <w:rPr>
                <w:rFonts w:ascii="Microsoft Sans Serif" w:hAnsi="Microsoft Sans Serif" w:cs="Microsoft Sans Serif"/>
                <w:b/>
                <w:sz w:val="20"/>
                <w:szCs w:val="20"/>
                <w:u w:val="single"/>
                <w:lang w:val="en-GB"/>
              </w:rPr>
            </w:pPr>
            <w:r>
              <w:rPr>
                <w:rFonts w:ascii="Microsoft Sans Serif" w:hAnsi="Microsoft Sans Serif" w:cs="Microsoft Sans Serif"/>
                <w:b/>
                <w:sz w:val="20"/>
                <w:szCs w:val="20"/>
                <w:lang w:val="en-GB"/>
              </w:rPr>
              <w:t>%</w:t>
            </w:r>
          </w:p>
        </w:tc>
        <w:tc>
          <w:tcPr>
            <w:tcW w:w="688" w:type="dxa"/>
            <w:shd w:val="clear" w:color="auto" w:fill="auto"/>
          </w:tcPr>
          <w:p w14:paraId="3B6E85A2">
            <w:pPr>
              <w:tabs>
                <w:tab w:val="left" w:pos="567"/>
                <w:tab w:val="clear" w:pos="284"/>
              </w:tabs>
              <w:rPr>
                <w:rFonts w:ascii="Microsoft Sans Serif" w:hAnsi="Microsoft Sans Serif" w:cs="Microsoft Sans Serif"/>
                <w:b/>
                <w:sz w:val="20"/>
                <w:szCs w:val="20"/>
                <w:u w:val="single"/>
                <w:lang w:val="en-GB"/>
              </w:rPr>
            </w:pPr>
            <w:r>
              <w:rPr>
                <w:rFonts w:ascii="Microsoft Sans Serif" w:hAnsi="Microsoft Sans Serif" w:cs="Microsoft Sans Serif"/>
                <w:b/>
                <w:sz w:val="20"/>
                <w:szCs w:val="20"/>
                <w:lang w:val="en-GB"/>
              </w:rPr>
              <w:t>%</w:t>
            </w:r>
          </w:p>
        </w:tc>
        <w:tc>
          <w:tcPr>
            <w:tcW w:w="672" w:type="dxa"/>
            <w:shd w:val="clear" w:color="auto" w:fill="auto"/>
          </w:tcPr>
          <w:p w14:paraId="1A09596B">
            <w:pPr>
              <w:tabs>
                <w:tab w:val="left" w:pos="567"/>
                <w:tab w:val="clear" w:pos="284"/>
              </w:tabs>
              <w:rPr>
                <w:rFonts w:ascii="Microsoft Sans Serif" w:hAnsi="Microsoft Sans Serif" w:cs="Microsoft Sans Serif"/>
                <w:sz w:val="20"/>
                <w:szCs w:val="20"/>
                <w:u w:val="single"/>
                <w:lang w:val="en-GB"/>
              </w:rPr>
            </w:pPr>
          </w:p>
        </w:tc>
        <w:tc>
          <w:tcPr>
            <w:tcW w:w="672" w:type="dxa"/>
            <w:shd w:val="clear" w:color="auto" w:fill="auto"/>
          </w:tcPr>
          <w:p w14:paraId="73B80EDF">
            <w:pPr>
              <w:tabs>
                <w:tab w:val="left" w:pos="567"/>
                <w:tab w:val="clear" w:pos="284"/>
              </w:tabs>
              <w:rPr>
                <w:rFonts w:ascii="Microsoft Sans Serif" w:hAnsi="Microsoft Sans Serif" w:cs="Microsoft Sans Serif"/>
                <w:sz w:val="20"/>
                <w:szCs w:val="20"/>
                <w:u w:val="single"/>
                <w:lang w:val="en-GB"/>
              </w:rPr>
            </w:pPr>
          </w:p>
        </w:tc>
        <w:tc>
          <w:tcPr>
            <w:tcW w:w="557" w:type="dxa"/>
            <w:shd w:val="clear" w:color="auto" w:fill="auto"/>
          </w:tcPr>
          <w:p w14:paraId="771F7945">
            <w:pPr>
              <w:tabs>
                <w:tab w:val="left" w:pos="567"/>
                <w:tab w:val="clear" w:pos="284"/>
              </w:tabs>
              <w:rPr>
                <w:rFonts w:ascii="Microsoft Sans Serif" w:hAnsi="Microsoft Sans Serif" w:cs="Microsoft Sans Serif"/>
                <w:sz w:val="20"/>
                <w:szCs w:val="20"/>
                <w:u w:val="single"/>
                <w:lang w:val="en-GB"/>
              </w:rPr>
            </w:pPr>
          </w:p>
        </w:tc>
        <w:tc>
          <w:tcPr>
            <w:tcW w:w="1571" w:type="dxa"/>
            <w:vMerge w:val="continue"/>
            <w:shd w:val="clear" w:color="auto" w:fill="auto"/>
          </w:tcPr>
          <w:p w14:paraId="0D7C3A70">
            <w:pPr>
              <w:tabs>
                <w:tab w:val="left" w:pos="567"/>
                <w:tab w:val="clear" w:pos="284"/>
              </w:tabs>
              <w:rPr>
                <w:rFonts w:ascii="Microsoft Sans Serif" w:hAnsi="Microsoft Sans Serif" w:cs="Microsoft Sans Serif"/>
                <w:sz w:val="20"/>
                <w:szCs w:val="20"/>
                <w:u w:val="single"/>
                <w:lang w:val="en-GB"/>
              </w:rPr>
            </w:pPr>
          </w:p>
        </w:tc>
      </w:tr>
      <w:tr w14:paraId="28E4C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14:paraId="6BC2CDF1">
            <w:pPr>
              <w:tabs>
                <w:tab w:val="left" w:pos="567"/>
                <w:tab w:val="clear" w:pos="284"/>
              </w:tabs>
              <w:rPr>
                <w:rFonts w:ascii="Microsoft Sans Serif" w:hAnsi="Microsoft Sans Serif" w:cs="Microsoft Sans Serif"/>
                <w:sz w:val="20"/>
                <w:szCs w:val="20"/>
                <w:u w:val="single"/>
                <w:lang w:val="en-GB"/>
              </w:rPr>
            </w:pPr>
          </w:p>
        </w:tc>
        <w:tc>
          <w:tcPr>
            <w:tcW w:w="992" w:type="dxa"/>
            <w:shd w:val="clear" w:color="auto" w:fill="auto"/>
          </w:tcPr>
          <w:p w14:paraId="2B637A95">
            <w:pPr>
              <w:tabs>
                <w:tab w:val="left" w:pos="567"/>
                <w:tab w:val="clear" w:pos="284"/>
              </w:tabs>
              <w:rPr>
                <w:rFonts w:ascii="Microsoft Sans Serif" w:hAnsi="Microsoft Sans Serif" w:cs="Microsoft Sans Serif"/>
                <w:sz w:val="20"/>
                <w:szCs w:val="20"/>
                <w:u w:val="single"/>
                <w:lang w:val="en-GB"/>
              </w:rPr>
            </w:pPr>
          </w:p>
        </w:tc>
        <w:tc>
          <w:tcPr>
            <w:tcW w:w="567" w:type="dxa"/>
            <w:shd w:val="clear" w:color="auto" w:fill="auto"/>
          </w:tcPr>
          <w:p w14:paraId="22626C7D">
            <w:pPr>
              <w:tabs>
                <w:tab w:val="left" w:pos="567"/>
                <w:tab w:val="clear" w:pos="284"/>
              </w:tabs>
              <w:rPr>
                <w:rFonts w:ascii="Microsoft Sans Serif" w:hAnsi="Microsoft Sans Serif" w:cs="Microsoft Sans Serif"/>
                <w:sz w:val="20"/>
                <w:szCs w:val="20"/>
                <w:u w:val="single"/>
                <w:lang w:val="en-GB"/>
              </w:rPr>
            </w:pPr>
          </w:p>
        </w:tc>
        <w:tc>
          <w:tcPr>
            <w:tcW w:w="683" w:type="dxa"/>
            <w:shd w:val="clear" w:color="auto" w:fill="auto"/>
          </w:tcPr>
          <w:p w14:paraId="34E8C064">
            <w:pPr>
              <w:tabs>
                <w:tab w:val="left" w:pos="567"/>
                <w:tab w:val="clear" w:pos="284"/>
              </w:tabs>
              <w:rPr>
                <w:rFonts w:ascii="Microsoft Sans Serif" w:hAnsi="Microsoft Sans Serif" w:cs="Microsoft Sans Serif"/>
                <w:sz w:val="20"/>
                <w:szCs w:val="20"/>
                <w:u w:val="single"/>
                <w:lang w:val="en-GB"/>
              </w:rPr>
            </w:pPr>
          </w:p>
        </w:tc>
        <w:tc>
          <w:tcPr>
            <w:tcW w:w="876" w:type="dxa"/>
            <w:shd w:val="clear" w:color="auto" w:fill="auto"/>
          </w:tcPr>
          <w:p w14:paraId="60299305">
            <w:pPr>
              <w:tabs>
                <w:tab w:val="left" w:pos="567"/>
                <w:tab w:val="clear" w:pos="284"/>
              </w:tabs>
              <w:rPr>
                <w:rFonts w:ascii="Microsoft Sans Serif" w:hAnsi="Microsoft Sans Serif" w:cs="Microsoft Sans Serif"/>
                <w:sz w:val="20"/>
                <w:szCs w:val="20"/>
                <w:u w:val="single"/>
                <w:lang w:val="en-GB"/>
              </w:rPr>
            </w:pPr>
          </w:p>
        </w:tc>
        <w:tc>
          <w:tcPr>
            <w:tcW w:w="660" w:type="dxa"/>
            <w:shd w:val="clear" w:color="auto" w:fill="auto"/>
          </w:tcPr>
          <w:p w14:paraId="35FA06BA">
            <w:pPr>
              <w:tabs>
                <w:tab w:val="left" w:pos="567"/>
                <w:tab w:val="clear" w:pos="284"/>
              </w:tabs>
              <w:rPr>
                <w:rFonts w:ascii="Microsoft Sans Serif" w:hAnsi="Microsoft Sans Serif" w:cs="Microsoft Sans Serif"/>
                <w:sz w:val="20"/>
                <w:szCs w:val="20"/>
                <w:u w:val="single"/>
                <w:lang w:val="en-GB"/>
              </w:rPr>
            </w:pPr>
          </w:p>
        </w:tc>
        <w:tc>
          <w:tcPr>
            <w:tcW w:w="688" w:type="dxa"/>
            <w:shd w:val="clear" w:color="auto" w:fill="auto"/>
          </w:tcPr>
          <w:p w14:paraId="53E0D43A">
            <w:pPr>
              <w:tabs>
                <w:tab w:val="left" w:pos="567"/>
                <w:tab w:val="clear" w:pos="284"/>
              </w:tabs>
              <w:rPr>
                <w:rFonts w:ascii="Microsoft Sans Serif" w:hAnsi="Microsoft Sans Serif" w:cs="Microsoft Sans Serif"/>
                <w:sz w:val="20"/>
                <w:szCs w:val="20"/>
                <w:u w:val="single"/>
                <w:lang w:val="en-GB"/>
              </w:rPr>
            </w:pPr>
          </w:p>
        </w:tc>
        <w:tc>
          <w:tcPr>
            <w:tcW w:w="672" w:type="dxa"/>
            <w:shd w:val="clear" w:color="auto" w:fill="auto"/>
          </w:tcPr>
          <w:p w14:paraId="733A99EC">
            <w:pPr>
              <w:tabs>
                <w:tab w:val="left" w:pos="567"/>
                <w:tab w:val="clear" w:pos="284"/>
              </w:tabs>
              <w:rPr>
                <w:rFonts w:ascii="Microsoft Sans Serif" w:hAnsi="Microsoft Sans Serif" w:cs="Microsoft Sans Serif"/>
                <w:sz w:val="20"/>
                <w:szCs w:val="20"/>
                <w:u w:val="single"/>
                <w:lang w:val="en-GB"/>
              </w:rPr>
            </w:pPr>
          </w:p>
        </w:tc>
        <w:tc>
          <w:tcPr>
            <w:tcW w:w="672" w:type="dxa"/>
            <w:shd w:val="clear" w:color="auto" w:fill="auto"/>
          </w:tcPr>
          <w:p w14:paraId="2A2FDF4F">
            <w:pPr>
              <w:tabs>
                <w:tab w:val="left" w:pos="567"/>
                <w:tab w:val="clear" w:pos="284"/>
              </w:tabs>
              <w:rPr>
                <w:rFonts w:ascii="Microsoft Sans Serif" w:hAnsi="Microsoft Sans Serif" w:cs="Microsoft Sans Serif"/>
                <w:sz w:val="20"/>
                <w:szCs w:val="20"/>
                <w:u w:val="single"/>
                <w:lang w:val="en-GB"/>
              </w:rPr>
            </w:pPr>
          </w:p>
        </w:tc>
        <w:tc>
          <w:tcPr>
            <w:tcW w:w="557" w:type="dxa"/>
            <w:shd w:val="clear" w:color="auto" w:fill="auto"/>
          </w:tcPr>
          <w:p w14:paraId="099694D2">
            <w:pPr>
              <w:tabs>
                <w:tab w:val="left" w:pos="567"/>
                <w:tab w:val="clear" w:pos="284"/>
              </w:tabs>
              <w:rPr>
                <w:rFonts w:ascii="Microsoft Sans Serif" w:hAnsi="Microsoft Sans Serif" w:cs="Microsoft Sans Serif"/>
                <w:sz w:val="20"/>
                <w:szCs w:val="20"/>
                <w:u w:val="single"/>
                <w:lang w:val="en-GB"/>
              </w:rPr>
            </w:pPr>
          </w:p>
        </w:tc>
        <w:tc>
          <w:tcPr>
            <w:tcW w:w="1571" w:type="dxa"/>
            <w:shd w:val="clear" w:color="auto" w:fill="auto"/>
          </w:tcPr>
          <w:p w14:paraId="70D7FBD3">
            <w:pPr>
              <w:tabs>
                <w:tab w:val="left" w:pos="567"/>
                <w:tab w:val="clear" w:pos="284"/>
              </w:tabs>
              <w:rPr>
                <w:rFonts w:ascii="Microsoft Sans Serif" w:hAnsi="Microsoft Sans Serif" w:cs="Microsoft Sans Serif"/>
                <w:sz w:val="20"/>
                <w:szCs w:val="20"/>
                <w:u w:val="single"/>
                <w:lang w:val="en-GB"/>
              </w:rPr>
            </w:pPr>
          </w:p>
        </w:tc>
      </w:tr>
      <w:tr w14:paraId="6F507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980" w:type="dxa"/>
            <w:tcBorders>
              <w:bottom w:val="single" w:color="auto" w:sz="4" w:space="0"/>
            </w:tcBorders>
            <w:shd w:val="clear" w:color="auto" w:fill="auto"/>
          </w:tcPr>
          <w:p w14:paraId="1F435AF2">
            <w:pPr>
              <w:tabs>
                <w:tab w:val="left" w:pos="567"/>
                <w:tab w:val="clear" w:pos="284"/>
              </w:tabs>
              <w:rPr>
                <w:rFonts w:ascii="Microsoft Sans Serif" w:hAnsi="Microsoft Sans Serif" w:cs="Microsoft Sans Serif"/>
                <w:i/>
                <w:sz w:val="20"/>
                <w:szCs w:val="20"/>
                <w:lang w:val="en-GB"/>
              </w:rPr>
            </w:pPr>
            <w:r>
              <w:rPr>
                <w:rFonts w:ascii="Microsoft Sans Serif" w:hAnsi="Microsoft Sans Serif" w:cs="Microsoft Sans Serif"/>
                <w:i/>
                <w:sz w:val="20"/>
                <w:szCs w:val="20"/>
                <w:lang w:val="sr-Cyrl-RS"/>
              </w:rPr>
              <w:t>Infekcije i infestacije</w:t>
            </w:r>
            <w:r>
              <w:rPr>
                <w:rFonts w:ascii="Microsoft Sans Serif" w:hAnsi="Microsoft Sans Serif" w:cs="Microsoft Sans Serif"/>
                <w:i/>
                <w:sz w:val="20"/>
                <w:szCs w:val="20"/>
                <w:lang w:val="en-GB"/>
              </w:rPr>
              <w:t>*</w:t>
            </w:r>
          </w:p>
        </w:tc>
        <w:tc>
          <w:tcPr>
            <w:tcW w:w="992" w:type="dxa"/>
            <w:tcBorders>
              <w:bottom w:val="single" w:color="auto" w:sz="4" w:space="0"/>
            </w:tcBorders>
            <w:shd w:val="clear" w:color="auto" w:fill="auto"/>
          </w:tcPr>
          <w:p w14:paraId="7604C629">
            <w:pPr>
              <w:tabs>
                <w:tab w:val="left" w:pos="567"/>
                <w:tab w:val="clear" w:pos="284"/>
              </w:tabs>
              <w:rPr>
                <w:rFonts w:ascii="Microsoft Sans Serif" w:hAnsi="Microsoft Sans Serif" w:cs="Microsoft Sans Serif"/>
                <w:sz w:val="20"/>
                <w:szCs w:val="20"/>
                <w:lang w:val="en-GB"/>
              </w:rPr>
            </w:pPr>
          </w:p>
          <w:p w14:paraId="2FC7368E">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24</w:t>
            </w:r>
          </w:p>
        </w:tc>
        <w:tc>
          <w:tcPr>
            <w:tcW w:w="567" w:type="dxa"/>
            <w:tcBorders>
              <w:bottom w:val="single" w:color="auto" w:sz="4" w:space="0"/>
            </w:tcBorders>
            <w:shd w:val="clear" w:color="auto" w:fill="auto"/>
          </w:tcPr>
          <w:p w14:paraId="0884B829">
            <w:pPr>
              <w:tabs>
                <w:tab w:val="left" w:pos="567"/>
                <w:tab w:val="clear" w:pos="284"/>
              </w:tabs>
              <w:rPr>
                <w:rFonts w:ascii="Microsoft Sans Serif" w:hAnsi="Microsoft Sans Serif" w:cs="Microsoft Sans Serif"/>
                <w:sz w:val="20"/>
                <w:szCs w:val="20"/>
                <w:lang w:val="en-GB"/>
              </w:rPr>
            </w:pPr>
          </w:p>
          <w:p w14:paraId="32073310">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4</w:t>
            </w:r>
          </w:p>
        </w:tc>
        <w:tc>
          <w:tcPr>
            <w:tcW w:w="683" w:type="dxa"/>
            <w:tcBorders>
              <w:bottom w:val="single" w:color="auto" w:sz="4" w:space="0"/>
            </w:tcBorders>
            <w:shd w:val="clear" w:color="auto" w:fill="auto"/>
          </w:tcPr>
          <w:p w14:paraId="593EBD0F">
            <w:pPr>
              <w:tabs>
                <w:tab w:val="left" w:pos="567"/>
                <w:tab w:val="clear" w:pos="284"/>
              </w:tabs>
              <w:rPr>
                <w:rFonts w:ascii="Microsoft Sans Serif" w:hAnsi="Microsoft Sans Serif" w:cs="Microsoft Sans Serif"/>
                <w:sz w:val="20"/>
                <w:szCs w:val="20"/>
                <w:lang w:val="en-GB"/>
              </w:rPr>
            </w:pPr>
          </w:p>
          <w:p w14:paraId="172BDEFE">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w:t>
            </w:r>
          </w:p>
        </w:tc>
        <w:tc>
          <w:tcPr>
            <w:tcW w:w="876" w:type="dxa"/>
            <w:tcBorders>
              <w:bottom w:val="single" w:color="auto" w:sz="4" w:space="0"/>
            </w:tcBorders>
            <w:shd w:val="clear" w:color="auto" w:fill="auto"/>
          </w:tcPr>
          <w:p w14:paraId="09167AE9">
            <w:pPr>
              <w:tabs>
                <w:tab w:val="left" w:pos="567"/>
                <w:tab w:val="clear" w:pos="284"/>
              </w:tabs>
              <w:rPr>
                <w:rFonts w:ascii="Microsoft Sans Serif" w:hAnsi="Microsoft Sans Serif" w:cs="Microsoft Sans Serif"/>
                <w:sz w:val="20"/>
                <w:szCs w:val="20"/>
                <w:lang w:val="en-GB"/>
              </w:rPr>
            </w:pPr>
          </w:p>
          <w:p w14:paraId="4FBD0D96">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31</w:t>
            </w:r>
          </w:p>
        </w:tc>
        <w:tc>
          <w:tcPr>
            <w:tcW w:w="660" w:type="dxa"/>
            <w:tcBorders>
              <w:bottom w:val="single" w:color="auto" w:sz="4" w:space="0"/>
            </w:tcBorders>
            <w:shd w:val="clear" w:color="auto" w:fill="auto"/>
          </w:tcPr>
          <w:p w14:paraId="22BF0AC9">
            <w:pPr>
              <w:tabs>
                <w:tab w:val="left" w:pos="567"/>
                <w:tab w:val="clear" w:pos="284"/>
              </w:tabs>
              <w:rPr>
                <w:rFonts w:ascii="Microsoft Sans Serif" w:hAnsi="Microsoft Sans Serif" w:cs="Microsoft Sans Serif"/>
                <w:sz w:val="20"/>
                <w:szCs w:val="20"/>
                <w:lang w:val="en-GB"/>
              </w:rPr>
            </w:pPr>
          </w:p>
          <w:p w14:paraId="20BEB555">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3</w:t>
            </w:r>
          </w:p>
        </w:tc>
        <w:tc>
          <w:tcPr>
            <w:tcW w:w="688" w:type="dxa"/>
            <w:tcBorders>
              <w:bottom w:val="single" w:color="auto" w:sz="4" w:space="0"/>
            </w:tcBorders>
            <w:shd w:val="clear" w:color="auto" w:fill="auto"/>
          </w:tcPr>
          <w:p w14:paraId="4F3F3F5E">
            <w:pPr>
              <w:tabs>
                <w:tab w:val="left" w:pos="567"/>
                <w:tab w:val="clear" w:pos="284"/>
              </w:tabs>
              <w:rPr>
                <w:rFonts w:ascii="Microsoft Sans Serif" w:hAnsi="Microsoft Sans Serif" w:cs="Microsoft Sans Serif"/>
                <w:sz w:val="20"/>
                <w:szCs w:val="20"/>
                <w:lang w:val="en-GB"/>
              </w:rPr>
            </w:pPr>
          </w:p>
          <w:p w14:paraId="5D36D5E0">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&lt;1</w:t>
            </w:r>
          </w:p>
        </w:tc>
        <w:tc>
          <w:tcPr>
            <w:tcW w:w="672" w:type="dxa"/>
            <w:tcBorders>
              <w:bottom w:val="single" w:color="auto" w:sz="4" w:space="0"/>
            </w:tcBorders>
            <w:shd w:val="clear" w:color="auto" w:fill="auto"/>
          </w:tcPr>
          <w:p w14:paraId="1BB7E04C">
            <w:pPr>
              <w:tabs>
                <w:tab w:val="left" w:pos="567"/>
                <w:tab w:val="clear" w:pos="284"/>
              </w:tabs>
              <w:rPr>
                <w:rFonts w:ascii="Microsoft Sans Serif" w:hAnsi="Microsoft Sans Serif" w:cs="Microsoft Sans Serif"/>
                <w:sz w:val="20"/>
                <w:szCs w:val="20"/>
                <w:lang w:val="en-GB"/>
              </w:rPr>
            </w:pPr>
          </w:p>
        </w:tc>
        <w:tc>
          <w:tcPr>
            <w:tcW w:w="672" w:type="dxa"/>
            <w:tcBorders>
              <w:bottom w:val="single" w:color="auto" w:sz="4" w:space="0"/>
            </w:tcBorders>
            <w:shd w:val="clear" w:color="auto" w:fill="auto"/>
          </w:tcPr>
          <w:p w14:paraId="782488FD">
            <w:pPr>
              <w:tabs>
                <w:tab w:val="left" w:pos="567"/>
                <w:tab w:val="clear" w:pos="284"/>
              </w:tabs>
              <w:rPr>
                <w:rFonts w:ascii="Microsoft Sans Serif" w:hAnsi="Microsoft Sans Serif" w:cs="Microsoft Sans Serif"/>
                <w:sz w:val="20"/>
                <w:szCs w:val="20"/>
                <w:lang w:val="en-GB"/>
              </w:rPr>
            </w:pPr>
          </w:p>
        </w:tc>
        <w:tc>
          <w:tcPr>
            <w:tcW w:w="557" w:type="dxa"/>
            <w:tcBorders>
              <w:bottom w:val="single" w:color="auto" w:sz="4" w:space="0"/>
            </w:tcBorders>
            <w:shd w:val="clear" w:color="auto" w:fill="auto"/>
          </w:tcPr>
          <w:p w14:paraId="2CA859C2">
            <w:pPr>
              <w:tabs>
                <w:tab w:val="left" w:pos="567"/>
                <w:tab w:val="clear" w:pos="284"/>
              </w:tabs>
              <w:rPr>
                <w:rFonts w:ascii="Microsoft Sans Serif" w:hAnsi="Microsoft Sans Serif" w:cs="Microsoft Sans Serif"/>
                <w:sz w:val="20"/>
                <w:szCs w:val="20"/>
                <w:lang w:val="en-GB"/>
              </w:rPr>
            </w:pPr>
          </w:p>
        </w:tc>
        <w:tc>
          <w:tcPr>
            <w:tcW w:w="1571" w:type="dxa"/>
            <w:tcBorders>
              <w:bottom w:val="single" w:color="auto" w:sz="4" w:space="0"/>
            </w:tcBorders>
            <w:shd w:val="clear" w:color="auto" w:fill="auto"/>
          </w:tcPr>
          <w:p w14:paraId="51882717">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veoma česta</w:t>
            </w:r>
          </w:p>
        </w:tc>
      </w:tr>
      <w:tr w14:paraId="3A7AA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bottom w:val="nil"/>
              <w:right w:val="single" w:color="auto" w:sz="4" w:space="0"/>
            </w:tcBorders>
            <w:shd w:val="clear" w:color="auto" w:fill="auto"/>
          </w:tcPr>
          <w:p w14:paraId="7E32DCBC">
            <w:pPr>
              <w:tabs>
                <w:tab w:val="left" w:pos="567"/>
                <w:tab w:val="clear" w:pos="284"/>
              </w:tabs>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Poremećaji metabolizma i ishrane</w:t>
            </w:r>
          </w:p>
        </w:tc>
        <w:tc>
          <w:tcPr>
            <w:tcW w:w="992" w:type="dxa"/>
            <w:tcBorders>
              <w:left w:val="single" w:color="auto" w:sz="4" w:space="0"/>
              <w:bottom w:val="nil"/>
              <w:right w:val="single" w:color="auto" w:sz="4" w:space="0"/>
            </w:tcBorders>
            <w:shd w:val="clear" w:color="auto" w:fill="auto"/>
          </w:tcPr>
          <w:p w14:paraId="004B234B">
            <w:pPr>
              <w:tabs>
                <w:tab w:val="left" w:pos="567"/>
                <w:tab w:val="clear" w:pos="284"/>
              </w:tabs>
              <w:rPr>
                <w:rFonts w:ascii="Microsoft Sans Serif" w:hAnsi="Microsoft Sans Serif" w:cs="Microsoft Sans Serif"/>
                <w:sz w:val="20"/>
                <w:szCs w:val="20"/>
                <w:u w:val="single"/>
                <w:lang w:val="en-GB"/>
              </w:rPr>
            </w:pPr>
          </w:p>
        </w:tc>
        <w:tc>
          <w:tcPr>
            <w:tcW w:w="567" w:type="dxa"/>
            <w:tcBorders>
              <w:left w:val="single" w:color="auto" w:sz="4" w:space="0"/>
              <w:bottom w:val="nil"/>
              <w:right w:val="single" w:color="auto" w:sz="4" w:space="0"/>
            </w:tcBorders>
            <w:shd w:val="clear" w:color="auto" w:fill="auto"/>
          </w:tcPr>
          <w:p w14:paraId="5D95A59F">
            <w:pPr>
              <w:tabs>
                <w:tab w:val="left" w:pos="567"/>
                <w:tab w:val="clear" w:pos="284"/>
              </w:tabs>
              <w:rPr>
                <w:rFonts w:ascii="Microsoft Sans Serif" w:hAnsi="Microsoft Sans Serif" w:cs="Microsoft Sans Serif"/>
                <w:sz w:val="20"/>
                <w:szCs w:val="20"/>
                <w:u w:val="single"/>
                <w:lang w:val="en-GB"/>
              </w:rPr>
            </w:pPr>
          </w:p>
        </w:tc>
        <w:tc>
          <w:tcPr>
            <w:tcW w:w="683" w:type="dxa"/>
            <w:tcBorders>
              <w:left w:val="single" w:color="auto" w:sz="4" w:space="0"/>
              <w:bottom w:val="nil"/>
              <w:right w:val="single" w:color="auto" w:sz="4" w:space="0"/>
            </w:tcBorders>
            <w:shd w:val="clear" w:color="auto" w:fill="auto"/>
          </w:tcPr>
          <w:p w14:paraId="50FFB980">
            <w:pPr>
              <w:tabs>
                <w:tab w:val="left" w:pos="567"/>
                <w:tab w:val="clear" w:pos="284"/>
              </w:tabs>
              <w:rPr>
                <w:rFonts w:ascii="Microsoft Sans Serif" w:hAnsi="Microsoft Sans Serif" w:cs="Microsoft Sans Serif"/>
                <w:sz w:val="20"/>
                <w:szCs w:val="20"/>
                <w:u w:val="single"/>
                <w:lang w:val="en-GB"/>
              </w:rPr>
            </w:pPr>
          </w:p>
        </w:tc>
        <w:tc>
          <w:tcPr>
            <w:tcW w:w="876" w:type="dxa"/>
            <w:tcBorders>
              <w:left w:val="single" w:color="auto" w:sz="4" w:space="0"/>
              <w:bottom w:val="nil"/>
              <w:right w:val="single" w:color="auto" w:sz="4" w:space="0"/>
            </w:tcBorders>
            <w:shd w:val="clear" w:color="auto" w:fill="auto"/>
          </w:tcPr>
          <w:p w14:paraId="7D7C4B92">
            <w:pPr>
              <w:tabs>
                <w:tab w:val="left" w:pos="567"/>
                <w:tab w:val="clear" w:pos="284"/>
              </w:tabs>
              <w:rPr>
                <w:rFonts w:ascii="Microsoft Sans Serif" w:hAnsi="Microsoft Sans Serif" w:cs="Microsoft Sans Serif"/>
                <w:sz w:val="20"/>
                <w:szCs w:val="20"/>
                <w:u w:val="single"/>
                <w:lang w:val="en-GB"/>
              </w:rPr>
            </w:pPr>
          </w:p>
        </w:tc>
        <w:tc>
          <w:tcPr>
            <w:tcW w:w="660" w:type="dxa"/>
            <w:tcBorders>
              <w:left w:val="single" w:color="auto" w:sz="4" w:space="0"/>
              <w:bottom w:val="nil"/>
              <w:right w:val="single" w:color="auto" w:sz="4" w:space="0"/>
            </w:tcBorders>
            <w:shd w:val="clear" w:color="auto" w:fill="auto"/>
          </w:tcPr>
          <w:p w14:paraId="246C2BB5">
            <w:pPr>
              <w:tabs>
                <w:tab w:val="left" w:pos="567"/>
                <w:tab w:val="clear" w:pos="284"/>
              </w:tabs>
              <w:rPr>
                <w:rFonts w:ascii="Microsoft Sans Serif" w:hAnsi="Microsoft Sans Serif" w:cs="Microsoft Sans Serif"/>
                <w:sz w:val="20"/>
                <w:szCs w:val="20"/>
                <w:u w:val="single"/>
                <w:lang w:val="en-GB"/>
              </w:rPr>
            </w:pPr>
          </w:p>
        </w:tc>
        <w:tc>
          <w:tcPr>
            <w:tcW w:w="688" w:type="dxa"/>
            <w:tcBorders>
              <w:left w:val="single" w:color="auto" w:sz="4" w:space="0"/>
              <w:bottom w:val="nil"/>
              <w:right w:val="single" w:color="auto" w:sz="4" w:space="0"/>
            </w:tcBorders>
            <w:shd w:val="clear" w:color="auto" w:fill="auto"/>
          </w:tcPr>
          <w:p w14:paraId="64D58868">
            <w:pPr>
              <w:tabs>
                <w:tab w:val="left" w:pos="567"/>
                <w:tab w:val="clear" w:pos="284"/>
              </w:tabs>
              <w:rPr>
                <w:rFonts w:ascii="Microsoft Sans Serif" w:hAnsi="Microsoft Sans Serif" w:cs="Microsoft Sans Serif"/>
                <w:sz w:val="20"/>
                <w:szCs w:val="20"/>
                <w:u w:val="single"/>
                <w:lang w:val="en-GB"/>
              </w:rPr>
            </w:pPr>
          </w:p>
        </w:tc>
        <w:tc>
          <w:tcPr>
            <w:tcW w:w="672" w:type="dxa"/>
            <w:tcBorders>
              <w:left w:val="single" w:color="auto" w:sz="4" w:space="0"/>
              <w:bottom w:val="nil"/>
              <w:right w:val="single" w:color="auto" w:sz="4" w:space="0"/>
            </w:tcBorders>
            <w:shd w:val="clear" w:color="auto" w:fill="auto"/>
          </w:tcPr>
          <w:p w14:paraId="6EDEECD3">
            <w:pPr>
              <w:tabs>
                <w:tab w:val="left" w:pos="567"/>
                <w:tab w:val="clear" w:pos="284"/>
              </w:tabs>
              <w:rPr>
                <w:rFonts w:ascii="Microsoft Sans Serif" w:hAnsi="Microsoft Sans Serif" w:cs="Microsoft Sans Serif"/>
                <w:sz w:val="20"/>
                <w:szCs w:val="20"/>
                <w:u w:val="single"/>
                <w:lang w:val="en-GB"/>
              </w:rPr>
            </w:pPr>
          </w:p>
        </w:tc>
        <w:tc>
          <w:tcPr>
            <w:tcW w:w="672" w:type="dxa"/>
            <w:tcBorders>
              <w:left w:val="single" w:color="auto" w:sz="4" w:space="0"/>
              <w:bottom w:val="nil"/>
              <w:right w:val="single" w:color="auto" w:sz="4" w:space="0"/>
            </w:tcBorders>
            <w:shd w:val="clear" w:color="auto" w:fill="auto"/>
          </w:tcPr>
          <w:p w14:paraId="79303BD5">
            <w:pPr>
              <w:tabs>
                <w:tab w:val="left" w:pos="567"/>
                <w:tab w:val="clear" w:pos="284"/>
              </w:tabs>
              <w:rPr>
                <w:rFonts w:ascii="Microsoft Sans Serif" w:hAnsi="Microsoft Sans Serif" w:cs="Microsoft Sans Serif"/>
                <w:sz w:val="20"/>
                <w:szCs w:val="20"/>
                <w:u w:val="single"/>
                <w:lang w:val="en-GB"/>
              </w:rPr>
            </w:pPr>
          </w:p>
        </w:tc>
        <w:tc>
          <w:tcPr>
            <w:tcW w:w="557" w:type="dxa"/>
            <w:tcBorders>
              <w:left w:val="single" w:color="auto" w:sz="4" w:space="0"/>
              <w:bottom w:val="nil"/>
              <w:right w:val="single" w:color="auto" w:sz="4" w:space="0"/>
            </w:tcBorders>
            <w:shd w:val="clear" w:color="auto" w:fill="auto"/>
          </w:tcPr>
          <w:p w14:paraId="4A744AD9">
            <w:pPr>
              <w:tabs>
                <w:tab w:val="left" w:pos="567"/>
                <w:tab w:val="clear" w:pos="284"/>
              </w:tabs>
              <w:rPr>
                <w:rFonts w:ascii="Microsoft Sans Serif" w:hAnsi="Microsoft Sans Serif" w:cs="Microsoft Sans Serif"/>
                <w:sz w:val="20"/>
                <w:szCs w:val="20"/>
                <w:u w:val="single"/>
                <w:lang w:val="en-GB"/>
              </w:rPr>
            </w:pPr>
          </w:p>
        </w:tc>
        <w:tc>
          <w:tcPr>
            <w:tcW w:w="1571" w:type="dxa"/>
            <w:tcBorders>
              <w:left w:val="single" w:color="auto" w:sz="4" w:space="0"/>
              <w:bottom w:val="nil"/>
            </w:tcBorders>
            <w:shd w:val="clear" w:color="auto" w:fill="auto"/>
          </w:tcPr>
          <w:p w14:paraId="6A683308">
            <w:pPr>
              <w:tabs>
                <w:tab w:val="left" w:pos="567"/>
                <w:tab w:val="clear" w:pos="284"/>
              </w:tabs>
              <w:rPr>
                <w:rFonts w:ascii="Microsoft Sans Serif" w:hAnsi="Microsoft Sans Serif" w:cs="Microsoft Sans Serif"/>
                <w:sz w:val="20"/>
                <w:szCs w:val="20"/>
                <w:u w:val="single"/>
                <w:lang w:val="en-GB"/>
              </w:rPr>
            </w:pPr>
          </w:p>
        </w:tc>
      </w:tr>
      <w:tr w14:paraId="73E69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nil"/>
              <w:bottom w:val="nil"/>
              <w:right w:val="single" w:color="auto" w:sz="4" w:space="0"/>
            </w:tcBorders>
            <w:shd w:val="clear" w:color="auto" w:fill="auto"/>
          </w:tcPr>
          <w:p w14:paraId="0FB307D3">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Anoreksija</w:t>
            </w:r>
          </w:p>
        </w:tc>
        <w:tc>
          <w:tcPr>
            <w:tcW w:w="992" w:type="dxa"/>
            <w:tcBorders>
              <w:top w:val="nil"/>
              <w:left w:val="single" w:color="auto" w:sz="4" w:space="0"/>
              <w:bottom w:val="nil"/>
              <w:right w:val="single" w:color="auto" w:sz="4" w:space="0"/>
            </w:tcBorders>
            <w:shd w:val="clear" w:color="auto" w:fill="auto"/>
          </w:tcPr>
          <w:p w14:paraId="623FDA0E">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52</w:t>
            </w:r>
          </w:p>
        </w:tc>
        <w:tc>
          <w:tcPr>
            <w:tcW w:w="567" w:type="dxa"/>
            <w:tcBorders>
              <w:top w:val="nil"/>
              <w:left w:val="single" w:color="auto" w:sz="4" w:space="0"/>
              <w:bottom w:val="nil"/>
              <w:right w:val="single" w:color="auto" w:sz="4" w:space="0"/>
            </w:tcBorders>
            <w:shd w:val="clear" w:color="auto" w:fill="auto"/>
          </w:tcPr>
          <w:p w14:paraId="469D31F6">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8</w:t>
            </w:r>
          </w:p>
        </w:tc>
        <w:tc>
          <w:tcPr>
            <w:tcW w:w="683" w:type="dxa"/>
            <w:tcBorders>
              <w:top w:val="nil"/>
              <w:left w:val="single" w:color="auto" w:sz="4" w:space="0"/>
              <w:bottom w:val="nil"/>
              <w:right w:val="single" w:color="auto" w:sz="4" w:space="0"/>
            </w:tcBorders>
            <w:shd w:val="clear" w:color="auto" w:fill="auto"/>
          </w:tcPr>
          <w:p w14:paraId="17929345">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w:t>
            </w:r>
          </w:p>
        </w:tc>
        <w:tc>
          <w:tcPr>
            <w:tcW w:w="876" w:type="dxa"/>
            <w:tcBorders>
              <w:top w:val="nil"/>
              <w:left w:val="single" w:color="auto" w:sz="4" w:space="0"/>
              <w:bottom w:val="nil"/>
              <w:right w:val="single" w:color="auto" w:sz="4" w:space="0"/>
            </w:tcBorders>
            <w:shd w:val="clear" w:color="auto" w:fill="auto"/>
          </w:tcPr>
          <w:p w14:paraId="6D287CEE">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60" w:type="dxa"/>
            <w:tcBorders>
              <w:top w:val="nil"/>
              <w:left w:val="single" w:color="auto" w:sz="4" w:space="0"/>
              <w:bottom w:val="nil"/>
              <w:right w:val="single" w:color="auto" w:sz="4" w:space="0"/>
            </w:tcBorders>
            <w:shd w:val="clear" w:color="auto" w:fill="auto"/>
          </w:tcPr>
          <w:p w14:paraId="454D9F83">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88" w:type="dxa"/>
            <w:tcBorders>
              <w:top w:val="nil"/>
              <w:left w:val="single" w:color="auto" w:sz="4" w:space="0"/>
              <w:bottom w:val="nil"/>
              <w:right w:val="single" w:color="auto" w:sz="4" w:space="0"/>
            </w:tcBorders>
            <w:shd w:val="clear" w:color="auto" w:fill="auto"/>
          </w:tcPr>
          <w:p w14:paraId="4DED318A">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72" w:type="dxa"/>
            <w:tcBorders>
              <w:top w:val="nil"/>
              <w:left w:val="single" w:color="auto" w:sz="4" w:space="0"/>
              <w:bottom w:val="nil"/>
              <w:right w:val="single" w:color="auto" w:sz="4" w:space="0"/>
            </w:tcBorders>
            <w:shd w:val="clear" w:color="auto" w:fill="auto"/>
          </w:tcPr>
          <w:p w14:paraId="1F9269E1">
            <w:pPr>
              <w:tabs>
                <w:tab w:val="left" w:pos="567"/>
                <w:tab w:val="clear" w:pos="284"/>
              </w:tabs>
              <w:rPr>
                <w:rFonts w:ascii="Microsoft Sans Serif" w:hAnsi="Microsoft Sans Serif" w:cs="Microsoft Sans Serif"/>
                <w:sz w:val="20"/>
                <w:szCs w:val="20"/>
                <w:u w:val="single"/>
                <w:lang w:val="en-GB"/>
              </w:rPr>
            </w:pPr>
          </w:p>
        </w:tc>
        <w:tc>
          <w:tcPr>
            <w:tcW w:w="672" w:type="dxa"/>
            <w:tcBorders>
              <w:top w:val="nil"/>
              <w:left w:val="single" w:color="auto" w:sz="4" w:space="0"/>
              <w:bottom w:val="nil"/>
              <w:right w:val="single" w:color="auto" w:sz="4" w:space="0"/>
            </w:tcBorders>
            <w:shd w:val="clear" w:color="auto" w:fill="auto"/>
          </w:tcPr>
          <w:p w14:paraId="4EF4A20C">
            <w:pPr>
              <w:tabs>
                <w:tab w:val="left" w:pos="567"/>
                <w:tab w:val="clear" w:pos="284"/>
              </w:tabs>
              <w:rPr>
                <w:rFonts w:ascii="Microsoft Sans Serif" w:hAnsi="Microsoft Sans Serif" w:cs="Microsoft Sans Serif"/>
                <w:sz w:val="20"/>
                <w:szCs w:val="20"/>
                <w:u w:val="single"/>
                <w:lang w:val="en-GB"/>
              </w:rPr>
            </w:pPr>
          </w:p>
        </w:tc>
        <w:tc>
          <w:tcPr>
            <w:tcW w:w="557" w:type="dxa"/>
            <w:tcBorders>
              <w:top w:val="nil"/>
              <w:left w:val="single" w:color="auto" w:sz="4" w:space="0"/>
              <w:bottom w:val="nil"/>
              <w:right w:val="single" w:color="auto" w:sz="4" w:space="0"/>
            </w:tcBorders>
            <w:shd w:val="clear" w:color="auto" w:fill="auto"/>
          </w:tcPr>
          <w:p w14:paraId="19F980E0">
            <w:pPr>
              <w:tabs>
                <w:tab w:val="left" w:pos="567"/>
                <w:tab w:val="clear" w:pos="284"/>
              </w:tabs>
              <w:rPr>
                <w:rFonts w:ascii="Microsoft Sans Serif" w:hAnsi="Microsoft Sans Serif" w:cs="Microsoft Sans Serif"/>
                <w:sz w:val="20"/>
                <w:szCs w:val="20"/>
                <w:u w:val="single"/>
                <w:lang w:val="en-GB"/>
              </w:rPr>
            </w:pPr>
          </w:p>
        </w:tc>
        <w:tc>
          <w:tcPr>
            <w:tcW w:w="1571" w:type="dxa"/>
            <w:tcBorders>
              <w:top w:val="nil"/>
              <w:left w:val="single" w:color="auto" w:sz="4" w:space="0"/>
              <w:bottom w:val="nil"/>
            </w:tcBorders>
            <w:shd w:val="clear" w:color="auto" w:fill="auto"/>
          </w:tcPr>
          <w:p w14:paraId="13D1D50A">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česta</w:t>
            </w:r>
          </w:p>
        </w:tc>
      </w:tr>
      <w:tr w14:paraId="68E4C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nil"/>
              <w:bottom w:val="single" w:color="auto" w:sz="4" w:space="0"/>
              <w:right w:val="single" w:color="auto" w:sz="4" w:space="0"/>
            </w:tcBorders>
            <w:shd w:val="clear" w:color="auto" w:fill="auto"/>
          </w:tcPr>
          <w:p w14:paraId="6FEC666B">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Smanjenje t</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elesne mase</w:t>
            </w:r>
          </w:p>
        </w:tc>
        <w:tc>
          <w:tcPr>
            <w:tcW w:w="992" w:type="dxa"/>
            <w:tcBorders>
              <w:top w:val="nil"/>
              <w:left w:val="single" w:color="auto" w:sz="4" w:space="0"/>
              <w:bottom w:val="single" w:color="auto" w:sz="4" w:space="0"/>
              <w:right w:val="single" w:color="auto" w:sz="4" w:space="0"/>
            </w:tcBorders>
            <w:shd w:val="clear" w:color="auto" w:fill="auto"/>
          </w:tcPr>
          <w:p w14:paraId="5B220FBB">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567" w:type="dxa"/>
            <w:tcBorders>
              <w:top w:val="nil"/>
              <w:left w:val="single" w:color="auto" w:sz="4" w:space="0"/>
              <w:bottom w:val="single" w:color="auto" w:sz="4" w:space="0"/>
              <w:right w:val="single" w:color="auto" w:sz="4" w:space="0"/>
            </w:tcBorders>
            <w:shd w:val="clear" w:color="auto" w:fill="auto"/>
          </w:tcPr>
          <w:p w14:paraId="44C25253">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83" w:type="dxa"/>
            <w:tcBorders>
              <w:top w:val="nil"/>
              <w:left w:val="single" w:color="auto" w:sz="4" w:space="0"/>
              <w:bottom w:val="single" w:color="auto" w:sz="4" w:space="0"/>
              <w:right w:val="single" w:color="auto" w:sz="4" w:space="0"/>
            </w:tcBorders>
            <w:shd w:val="clear" w:color="auto" w:fill="auto"/>
          </w:tcPr>
          <w:p w14:paraId="6DDD0860">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876" w:type="dxa"/>
            <w:tcBorders>
              <w:top w:val="nil"/>
              <w:left w:val="single" w:color="auto" w:sz="4" w:space="0"/>
              <w:bottom w:val="single" w:color="auto" w:sz="4" w:space="0"/>
              <w:right w:val="single" w:color="auto" w:sz="4" w:space="0"/>
            </w:tcBorders>
            <w:shd w:val="clear" w:color="auto" w:fill="auto"/>
          </w:tcPr>
          <w:p w14:paraId="53973CFD">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39</w:t>
            </w:r>
          </w:p>
        </w:tc>
        <w:tc>
          <w:tcPr>
            <w:tcW w:w="660" w:type="dxa"/>
            <w:tcBorders>
              <w:top w:val="nil"/>
              <w:left w:val="single" w:color="auto" w:sz="4" w:space="0"/>
              <w:bottom w:val="single" w:color="auto" w:sz="4" w:space="0"/>
              <w:right w:val="single" w:color="auto" w:sz="4" w:space="0"/>
            </w:tcBorders>
            <w:shd w:val="clear" w:color="auto" w:fill="auto"/>
          </w:tcPr>
          <w:p w14:paraId="6C0BA853">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2</w:t>
            </w:r>
          </w:p>
        </w:tc>
        <w:tc>
          <w:tcPr>
            <w:tcW w:w="688" w:type="dxa"/>
            <w:tcBorders>
              <w:top w:val="nil"/>
              <w:left w:val="single" w:color="auto" w:sz="4" w:space="0"/>
              <w:bottom w:val="single" w:color="auto" w:sz="4" w:space="0"/>
              <w:right w:val="single" w:color="auto" w:sz="4" w:space="0"/>
            </w:tcBorders>
            <w:shd w:val="clear" w:color="auto" w:fill="auto"/>
          </w:tcPr>
          <w:p w14:paraId="16456001">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w:t>
            </w:r>
          </w:p>
        </w:tc>
        <w:tc>
          <w:tcPr>
            <w:tcW w:w="672" w:type="dxa"/>
            <w:tcBorders>
              <w:top w:val="nil"/>
              <w:left w:val="single" w:color="auto" w:sz="4" w:space="0"/>
              <w:bottom w:val="single" w:color="auto" w:sz="4" w:space="0"/>
              <w:right w:val="single" w:color="auto" w:sz="4" w:space="0"/>
            </w:tcBorders>
            <w:shd w:val="clear" w:color="auto" w:fill="auto"/>
          </w:tcPr>
          <w:p w14:paraId="7E80D6E8">
            <w:pPr>
              <w:tabs>
                <w:tab w:val="left" w:pos="567"/>
                <w:tab w:val="clear" w:pos="284"/>
              </w:tabs>
              <w:rPr>
                <w:rFonts w:ascii="Microsoft Sans Serif" w:hAnsi="Microsoft Sans Serif" w:cs="Microsoft Sans Serif"/>
                <w:sz w:val="20"/>
                <w:szCs w:val="20"/>
                <w:u w:val="single"/>
                <w:lang w:val="en-GB"/>
              </w:rPr>
            </w:pPr>
          </w:p>
        </w:tc>
        <w:tc>
          <w:tcPr>
            <w:tcW w:w="672" w:type="dxa"/>
            <w:tcBorders>
              <w:top w:val="nil"/>
              <w:left w:val="single" w:color="auto" w:sz="4" w:space="0"/>
              <w:bottom w:val="single" w:color="auto" w:sz="4" w:space="0"/>
              <w:right w:val="single" w:color="auto" w:sz="4" w:space="0"/>
            </w:tcBorders>
            <w:shd w:val="clear" w:color="auto" w:fill="auto"/>
          </w:tcPr>
          <w:p w14:paraId="2FC18C9A">
            <w:pPr>
              <w:tabs>
                <w:tab w:val="left" w:pos="567"/>
                <w:tab w:val="clear" w:pos="284"/>
              </w:tabs>
              <w:rPr>
                <w:rFonts w:ascii="Microsoft Sans Serif" w:hAnsi="Microsoft Sans Serif" w:cs="Microsoft Sans Serif"/>
                <w:sz w:val="20"/>
                <w:szCs w:val="20"/>
                <w:u w:val="single"/>
                <w:lang w:val="en-GB"/>
              </w:rPr>
            </w:pPr>
          </w:p>
        </w:tc>
        <w:tc>
          <w:tcPr>
            <w:tcW w:w="557" w:type="dxa"/>
            <w:tcBorders>
              <w:top w:val="nil"/>
              <w:left w:val="single" w:color="auto" w:sz="4" w:space="0"/>
              <w:bottom w:val="single" w:color="auto" w:sz="4" w:space="0"/>
              <w:right w:val="single" w:color="auto" w:sz="4" w:space="0"/>
            </w:tcBorders>
            <w:shd w:val="clear" w:color="auto" w:fill="auto"/>
          </w:tcPr>
          <w:p w14:paraId="2F3BAF69">
            <w:pPr>
              <w:tabs>
                <w:tab w:val="left" w:pos="567"/>
                <w:tab w:val="clear" w:pos="284"/>
              </w:tabs>
              <w:rPr>
                <w:rFonts w:ascii="Microsoft Sans Serif" w:hAnsi="Microsoft Sans Serif" w:cs="Microsoft Sans Serif"/>
                <w:sz w:val="20"/>
                <w:szCs w:val="20"/>
                <w:u w:val="single"/>
                <w:lang w:val="en-GB"/>
              </w:rPr>
            </w:pPr>
          </w:p>
        </w:tc>
        <w:tc>
          <w:tcPr>
            <w:tcW w:w="1571" w:type="dxa"/>
            <w:tcBorders>
              <w:top w:val="nil"/>
              <w:left w:val="single" w:color="auto" w:sz="4" w:space="0"/>
              <w:bottom w:val="single" w:color="auto" w:sz="4" w:space="0"/>
            </w:tcBorders>
            <w:shd w:val="clear" w:color="auto" w:fill="auto"/>
          </w:tcPr>
          <w:p w14:paraId="1FC52337">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česta</w:t>
            </w:r>
          </w:p>
        </w:tc>
      </w:tr>
      <w:tr w14:paraId="557EB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bottom w:val="nil"/>
              <w:right w:val="single" w:color="auto" w:sz="4" w:space="0"/>
            </w:tcBorders>
            <w:shd w:val="clear" w:color="auto" w:fill="auto"/>
          </w:tcPr>
          <w:p w14:paraId="2BB9ED27">
            <w:pPr>
              <w:tabs>
                <w:tab w:val="left" w:pos="567"/>
                <w:tab w:val="clear" w:pos="284"/>
              </w:tabs>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Poremećaji oka</w:t>
            </w:r>
          </w:p>
        </w:tc>
        <w:tc>
          <w:tcPr>
            <w:tcW w:w="992" w:type="dxa"/>
            <w:tcBorders>
              <w:top w:val="single" w:color="auto" w:sz="4" w:space="0"/>
              <w:left w:val="single" w:color="auto" w:sz="4" w:space="0"/>
              <w:bottom w:val="nil"/>
              <w:right w:val="single" w:color="auto" w:sz="4" w:space="0"/>
            </w:tcBorders>
            <w:shd w:val="clear" w:color="auto" w:fill="auto"/>
          </w:tcPr>
          <w:p w14:paraId="16CBC8E9">
            <w:pPr>
              <w:tabs>
                <w:tab w:val="left" w:pos="567"/>
                <w:tab w:val="clear" w:pos="284"/>
              </w:tabs>
              <w:rPr>
                <w:rFonts w:ascii="Microsoft Sans Serif" w:hAnsi="Microsoft Sans Serif" w:cs="Microsoft Sans Serif"/>
                <w:sz w:val="20"/>
                <w:szCs w:val="20"/>
                <w:u w:val="single"/>
                <w:lang w:val="en-GB"/>
              </w:rPr>
            </w:pPr>
          </w:p>
        </w:tc>
        <w:tc>
          <w:tcPr>
            <w:tcW w:w="567" w:type="dxa"/>
            <w:tcBorders>
              <w:top w:val="single" w:color="auto" w:sz="4" w:space="0"/>
              <w:left w:val="single" w:color="auto" w:sz="4" w:space="0"/>
              <w:bottom w:val="nil"/>
              <w:right w:val="single" w:color="auto" w:sz="4" w:space="0"/>
            </w:tcBorders>
            <w:shd w:val="clear" w:color="auto" w:fill="auto"/>
          </w:tcPr>
          <w:p w14:paraId="22E76106">
            <w:pPr>
              <w:tabs>
                <w:tab w:val="left" w:pos="567"/>
                <w:tab w:val="clear" w:pos="284"/>
              </w:tabs>
              <w:rPr>
                <w:rFonts w:ascii="Microsoft Sans Serif" w:hAnsi="Microsoft Sans Serif" w:cs="Microsoft Sans Serif"/>
                <w:sz w:val="20"/>
                <w:szCs w:val="20"/>
                <w:u w:val="single"/>
                <w:lang w:val="en-GB"/>
              </w:rPr>
            </w:pPr>
          </w:p>
        </w:tc>
        <w:tc>
          <w:tcPr>
            <w:tcW w:w="683" w:type="dxa"/>
            <w:tcBorders>
              <w:top w:val="single" w:color="auto" w:sz="4" w:space="0"/>
              <w:left w:val="single" w:color="auto" w:sz="4" w:space="0"/>
              <w:bottom w:val="nil"/>
              <w:right w:val="single" w:color="auto" w:sz="4" w:space="0"/>
            </w:tcBorders>
            <w:shd w:val="clear" w:color="auto" w:fill="auto"/>
          </w:tcPr>
          <w:p w14:paraId="2181D682">
            <w:pPr>
              <w:tabs>
                <w:tab w:val="left" w:pos="567"/>
                <w:tab w:val="clear" w:pos="284"/>
              </w:tabs>
              <w:rPr>
                <w:rFonts w:ascii="Microsoft Sans Serif" w:hAnsi="Microsoft Sans Serif" w:cs="Microsoft Sans Serif"/>
                <w:sz w:val="20"/>
                <w:szCs w:val="20"/>
                <w:u w:val="single"/>
                <w:lang w:val="en-GB"/>
              </w:rPr>
            </w:pPr>
          </w:p>
        </w:tc>
        <w:tc>
          <w:tcPr>
            <w:tcW w:w="876" w:type="dxa"/>
            <w:tcBorders>
              <w:top w:val="single" w:color="auto" w:sz="4" w:space="0"/>
              <w:left w:val="single" w:color="auto" w:sz="4" w:space="0"/>
              <w:bottom w:val="nil"/>
              <w:right w:val="single" w:color="auto" w:sz="4" w:space="0"/>
            </w:tcBorders>
            <w:shd w:val="clear" w:color="auto" w:fill="auto"/>
          </w:tcPr>
          <w:p w14:paraId="0D0EFCF7">
            <w:pPr>
              <w:tabs>
                <w:tab w:val="left" w:pos="567"/>
                <w:tab w:val="clear" w:pos="284"/>
              </w:tabs>
              <w:rPr>
                <w:rFonts w:ascii="Microsoft Sans Serif" w:hAnsi="Microsoft Sans Serif" w:cs="Microsoft Sans Serif"/>
                <w:sz w:val="20"/>
                <w:szCs w:val="20"/>
                <w:u w:val="single"/>
                <w:lang w:val="en-GB"/>
              </w:rPr>
            </w:pPr>
          </w:p>
        </w:tc>
        <w:tc>
          <w:tcPr>
            <w:tcW w:w="660" w:type="dxa"/>
            <w:tcBorders>
              <w:top w:val="single" w:color="auto" w:sz="4" w:space="0"/>
              <w:left w:val="single" w:color="auto" w:sz="4" w:space="0"/>
              <w:bottom w:val="nil"/>
              <w:right w:val="single" w:color="auto" w:sz="4" w:space="0"/>
            </w:tcBorders>
            <w:shd w:val="clear" w:color="auto" w:fill="auto"/>
          </w:tcPr>
          <w:p w14:paraId="130B4B00">
            <w:pPr>
              <w:tabs>
                <w:tab w:val="left" w:pos="567"/>
                <w:tab w:val="clear" w:pos="284"/>
              </w:tabs>
              <w:rPr>
                <w:rFonts w:ascii="Microsoft Sans Serif" w:hAnsi="Microsoft Sans Serif" w:cs="Microsoft Sans Serif"/>
                <w:sz w:val="20"/>
                <w:szCs w:val="20"/>
                <w:u w:val="single"/>
                <w:lang w:val="en-GB"/>
              </w:rPr>
            </w:pPr>
          </w:p>
        </w:tc>
        <w:tc>
          <w:tcPr>
            <w:tcW w:w="688" w:type="dxa"/>
            <w:tcBorders>
              <w:top w:val="single" w:color="auto" w:sz="4" w:space="0"/>
              <w:left w:val="single" w:color="auto" w:sz="4" w:space="0"/>
              <w:bottom w:val="nil"/>
              <w:right w:val="single" w:color="auto" w:sz="4" w:space="0"/>
            </w:tcBorders>
            <w:shd w:val="clear" w:color="auto" w:fill="auto"/>
          </w:tcPr>
          <w:p w14:paraId="33490C7A">
            <w:pPr>
              <w:tabs>
                <w:tab w:val="left" w:pos="567"/>
                <w:tab w:val="clear" w:pos="284"/>
              </w:tabs>
              <w:rPr>
                <w:rFonts w:ascii="Microsoft Sans Serif" w:hAnsi="Microsoft Sans Serif" w:cs="Microsoft Sans Serif"/>
                <w:sz w:val="20"/>
                <w:szCs w:val="20"/>
                <w:u w:val="single"/>
                <w:lang w:val="en-GB"/>
              </w:rPr>
            </w:pPr>
          </w:p>
        </w:tc>
        <w:tc>
          <w:tcPr>
            <w:tcW w:w="672" w:type="dxa"/>
            <w:tcBorders>
              <w:top w:val="single" w:color="auto" w:sz="4" w:space="0"/>
              <w:left w:val="single" w:color="auto" w:sz="4" w:space="0"/>
              <w:bottom w:val="nil"/>
              <w:right w:val="single" w:color="auto" w:sz="4" w:space="0"/>
            </w:tcBorders>
            <w:shd w:val="clear" w:color="auto" w:fill="auto"/>
          </w:tcPr>
          <w:p w14:paraId="1470771E">
            <w:pPr>
              <w:tabs>
                <w:tab w:val="left" w:pos="567"/>
                <w:tab w:val="clear" w:pos="284"/>
              </w:tabs>
              <w:rPr>
                <w:rFonts w:ascii="Microsoft Sans Serif" w:hAnsi="Microsoft Sans Serif" w:cs="Microsoft Sans Serif"/>
                <w:sz w:val="20"/>
                <w:szCs w:val="20"/>
                <w:u w:val="single"/>
                <w:lang w:val="en-GB"/>
              </w:rPr>
            </w:pPr>
          </w:p>
        </w:tc>
        <w:tc>
          <w:tcPr>
            <w:tcW w:w="672" w:type="dxa"/>
            <w:tcBorders>
              <w:top w:val="single" w:color="auto" w:sz="4" w:space="0"/>
              <w:left w:val="single" w:color="auto" w:sz="4" w:space="0"/>
              <w:bottom w:val="nil"/>
              <w:right w:val="single" w:color="auto" w:sz="4" w:space="0"/>
            </w:tcBorders>
            <w:shd w:val="clear" w:color="auto" w:fill="auto"/>
          </w:tcPr>
          <w:p w14:paraId="399688B9">
            <w:pPr>
              <w:tabs>
                <w:tab w:val="left" w:pos="567"/>
                <w:tab w:val="clear" w:pos="284"/>
              </w:tabs>
              <w:rPr>
                <w:rFonts w:ascii="Microsoft Sans Serif" w:hAnsi="Microsoft Sans Serif" w:cs="Microsoft Sans Serif"/>
                <w:sz w:val="20"/>
                <w:szCs w:val="20"/>
                <w:u w:val="single"/>
                <w:lang w:val="en-GB"/>
              </w:rPr>
            </w:pPr>
          </w:p>
        </w:tc>
        <w:tc>
          <w:tcPr>
            <w:tcW w:w="557" w:type="dxa"/>
            <w:tcBorders>
              <w:top w:val="single" w:color="auto" w:sz="4" w:space="0"/>
              <w:left w:val="single" w:color="auto" w:sz="4" w:space="0"/>
              <w:bottom w:val="nil"/>
              <w:right w:val="single" w:color="auto" w:sz="4" w:space="0"/>
            </w:tcBorders>
            <w:shd w:val="clear" w:color="auto" w:fill="auto"/>
          </w:tcPr>
          <w:p w14:paraId="5F07FE57">
            <w:pPr>
              <w:tabs>
                <w:tab w:val="left" w:pos="567"/>
                <w:tab w:val="clear" w:pos="284"/>
              </w:tabs>
              <w:rPr>
                <w:rFonts w:ascii="Microsoft Sans Serif" w:hAnsi="Microsoft Sans Serif" w:cs="Microsoft Sans Serif"/>
                <w:sz w:val="20"/>
                <w:szCs w:val="20"/>
                <w:u w:val="single"/>
                <w:lang w:val="en-GB"/>
              </w:rPr>
            </w:pPr>
          </w:p>
        </w:tc>
        <w:tc>
          <w:tcPr>
            <w:tcW w:w="1571" w:type="dxa"/>
            <w:tcBorders>
              <w:top w:val="single" w:color="auto" w:sz="4" w:space="0"/>
              <w:left w:val="single" w:color="auto" w:sz="4" w:space="0"/>
              <w:bottom w:val="nil"/>
            </w:tcBorders>
            <w:shd w:val="clear" w:color="auto" w:fill="auto"/>
          </w:tcPr>
          <w:p w14:paraId="50B54757">
            <w:pPr>
              <w:tabs>
                <w:tab w:val="left" w:pos="567"/>
                <w:tab w:val="clear" w:pos="284"/>
              </w:tabs>
              <w:rPr>
                <w:rFonts w:ascii="Microsoft Sans Serif" w:hAnsi="Microsoft Sans Serif" w:cs="Microsoft Sans Serif"/>
                <w:sz w:val="20"/>
                <w:szCs w:val="20"/>
                <w:u w:val="single"/>
                <w:lang w:val="en-GB"/>
              </w:rPr>
            </w:pPr>
          </w:p>
        </w:tc>
      </w:tr>
      <w:tr w14:paraId="6AA56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nil"/>
              <w:bottom w:val="nil"/>
              <w:right w:val="single" w:color="auto" w:sz="4" w:space="0"/>
            </w:tcBorders>
            <w:shd w:val="clear" w:color="auto" w:fill="auto"/>
          </w:tcPr>
          <w:p w14:paraId="79784BC1">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Keratoko</w:t>
            </w:r>
            <w:r>
              <w:rPr>
                <w:rFonts w:ascii="Microsoft Sans Serif" w:hAnsi="Microsoft Sans Serif" w:cs="Microsoft Sans Serif"/>
                <w:sz w:val="20"/>
                <w:szCs w:val="20"/>
                <w:lang w:val="sr-Cyrl-RS"/>
              </w:rPr>
              <w:t>njuktivitis</w:t>
            </w:r>
            <w:r>
              <w:rPr>
                <w:rFonts w:ascii="Microsoft Sans Serif" w:hAnsi="Microsoft Sans Serif" w:cs="Microsoft Sans Serif"/>
                <w:sz w:val="20"/>
                <w:szCs w:val="20"/>
                <w:lang w:val="en-GB"/>
              </w:rPr>
              <w:t xml:space="preserve"> sicca</w:t>
            </w:r>
          </w:p>
        </w:tc>
        <w:tc>
          <w:tcPr>
            <w:tcW w:w="992" w:type="dxa"/>
            <w:tcBorders>
              <w:top w:val="nil"/>
              <w:left w:val="single" w:color="auto" w:sz="4" w:space="0"/>
              <w:bottom w:val="nil"/>
              <w:right w:val="single" w:color="auto" w:sz="4" w:space="0"/>
            </w:tcBorders>
            <w:shd w:val="clear" w:color="auto" w:fill="auto"/>
          </w:tcPr>
          <w:p w14:paraId="16FF1BBC">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12</w:t>
            </w:r>
          </w:p>
        </w:tc>
        <w:tc>
          <w:tcPr>
            <w:tcW w:w="567" w:type="dxa"/>
            <w:tcBorders>
              <w:top w:val="nil"/>
              <w:left w:val="single" w:color="auto" w:sz="4" w:space="0"/>
              <w:bottom w:val="nil"/>
              <w:right w:val="single" w:color="auto" w:sz="4" w:space="0"/>
            </w:tcBorders>
            <w:shd w:val="clear" w:color="auto" w:fill="auto"/>
          </w:tcPr>
          <w:p w14:paraId="53D7AF12">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w:t>
            </w:r>
          </w:p>
        </w:tc>
        <w:tc>
          <w:tcPr>
            <w:tcW w:w="683" w:type="dxa"/>
            <w:tcBorders>
              <w:top w:val="nil"/>
              <w:left w:val="single" w:color="auto" w:sz="4" w:space="0"/>
              <w:bottom w:val="nil"/>
              <w:right w:val="single" w:color="auto" w:sz="4" w:space="0"/>
            </w:tcBorders>
            <w:shd w:val="clear" w:color="auto" w:fill="auto"/>
          </w:tcPr>
          <w:p w14:paraId="14643316">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w:t>
            </w:r>
          </w:p>
        </w:tc>
        <w:tc>
          <w:tcPr>
            <w:tcW w:w="876" w:type="dxa"/>
            <w:tcBorders>
              <w:top w:val="nil"/>
              <w:left w:val="single" w:color="auto" w:sz="4" w:space="0"/>
              <w:bottom w:val="nil"/>
              <w:right w:val="single" w:color="auto" w:sz="4" w:space="0"/>
            </w:tcBorders>
            <w:shd w:val="clear" w:color="auto" w:fill="auto"/>
          </w:tcPr>
          <w:p w14:paraId="63089BE5">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60" w:type="dxa"/>
            <w:tcBorders>
              <w:top w:val="nil"/>
              <w:left w:val="single" w:color="auto" w:sz="4" w:space="0"/>
              <w:bottom w:val="nil"/>
              <w:right w:val="single" w:color="auto" w:sz="4" w:space="0"/>
            </w:tcBorders>
            <w:shd w:val="clear" w:color="auto" w:fill="auto"/>
          </w:tcPr>
          <w:p w14:paraId="5C519647">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88" w:type="dxa"/>
            <w:tcBorders>
              <w:top w:val="nil"/>
              <w:left w:val="single" w:color="auto" w:sz="4" w:space="0"/>
              <w:bottom w:val="nil"/>
              <w:right w:val="single" w:color="auto" w:sz="4" w:space="0"/>
            </w:tcBorders>
            <w:shd w:val="clear" w:color="auto" w:fill="auto"/>
          </w:tcPr>
          <w:p w14:paraId="40FF05D3">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72" w:type="dxa"/>
            <w:tcBorders>
              <w:top w:val="nil"/>
              <w:left w:val="single" w:color="auto" w:sz="4" w:space="0"/>
              <w:bottom w:val="nil"/>
              <w:right w:val="single" w:color="auto" w:sz="4" w:space="0"/>
            </w:tcBorders>
            <w:shd w:val="clear" w:color="auto" w:fill="auto"/>
          </w:tcPr>
          <w:p w14:paraId="128F35F0">
            <w:pPr>
              <w:tabs>
                <w:tab w:val="left" w:pos="567"/>
                <w:tab w:val="clear" w:pos="284"/>
              </w:tabs>
              <w:rPr>
                <w:rFonts w:ascii="Microsoft Sans Serif" w:hAnsi="Microsoft Sans Serif" w:cs="Microsoft Sans Serif"/>
                <w:sz w:val="20"/>
                <w:szCs w:val="20"/>
                <w:u w:val="single"/>
                <w:lang w:val="en-GB"/>
              </w:rPr>
            </w:pPr>
          </w:p>
        </w:tc>
        <w:tc>
          <w:tcPr>
            <w:tcW w:w="672" w:type="dxa"/>
            <w:tcBorders>
              <w:top w:val="nil"/>
              <w:left w:val="single" w:color="auto" w:sz="4" w:space="0"/>
              <w:bottom w:val="nil"/>
              <w:right w:val="single" w:color="auto" w:sz="4" w:space="0"/>
            </w:tcBorders>
            <w:shd w:val="clear" w:color="auto" w:fill="auto"/>
          </w:tcPr>
          <w:p w14:paraId="1B14FA34">
            <w:pPr>
              <w:tabs>
                <w:tab w:val="left" w:pos="567"/>
                <w:tab w:val="clear" w:pos="284"/>
              </w:tabs>
              <w:rPr>
                <w:rFonts w:ascii="Microsoft Sans Serif" w:hAnsi="Microsoft Sans Serif" w:cs="Microsoft Sans Serif"/>
                <w:sz w:val="20"/>
                <w:szCs w:val="20"/>
                <w:u w:val="single"/>
                <w:lang w:val="en-GB"/>
              </w:rPr>
            </w:pPr>
          </w:p>
        </w:tc>
        <w:tc>
          <w:tcPr>
            <w:tcW w:w="557" w:type="dxa"/>
            <w:tcBorders>
              <w:top w:val="nil"/>
              <w:left w:val="single" w:color="auto" w:sz="4" w:space="0"/>
              <w:bottom w:val="nil"/>
              <w:right w:val="single" w:color="auto" w:sz="4" w:space="0"/>
            </w:tcBorders>
            <w:shd w:val="clear" w:color="auto" w:fill="auto"/>
          </w:tcPr>
          <w:p w14:paraId="0ECF5158">
            <w:pPr>
              <w:tabs>
                <w:tab w:val="left" w:pos="567"/>
                <w:tab w:val="clear" w:pos="284"/>
              </w:tabs>
              <w:rPr>
                <w:rFonts w:ascii="Microsoft Sans Serif" w:hAnsi="Microsoft Sans Serif" w:cs="Microsoft Sans Serif"/>
                <w:sz w:val="20"/>
                <w:szCs w:val="20"/>
                <w:u w:val="single"/>
                <w:lang w:val="en-GB"/>
              </w:rPr>
            </w:pPr>
          </w:p>
        </w:tc>
        <w:tc>
          <w:tcPr>
            <w:tcW w:w="1571" w:type="dxa"/>
            <w:tcBorders>
              <w:top w:val="nil"/>
              <w:left w:val="single" w:color="auto" w:sz="4" w:space="0"/>
              <w:bottom w:val="nil"/>
            </w:tcBorders>
            <w:shd w:val="clear" w:color="auto" w:fill="auto"/>
          </w:tcPr>
          <w:p w14:paraId="42705624">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česta</w:t>
            </w:r>
          </w:p>
        </w:tc>
      </w:tr>
      <w:tr w14:paraId="4F5A8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nil"/>
              <w:bottom w:val="single" w:color="auto" w:sz="4" w:space="0"/>
              <w:right w:val="single" w:color="auto" w:sz="4" w:space="0"/>
            </w:tcBorders>
            <w:shd w:val="clear" w:color="auto" w:fill="auto"/>
          </w:tcPr>
          <w:p w14:paraId="675D5012">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Konjuktivitis</w:t>
            </w:r>
          </w:p>
        </w:tc>
        <w:tc>
          <w:tcPr>
            <w:tcW w:w="992" w:type="dxa"/>
            <w:tcBorders>
              <w:top w:val="nil"/>
              <w:left w:val="single" w:color="auto" w:sz="4" w:space="0"/>
              <w:bottom w:val="single" w:color="auto" w:sz="4" w:space="0"/>
              <w:right w:val="single" w:color="auto" w:sz="4" w:space="0"/>
            </w:tcBorders>
            <w:shd w:val="clear" w:color="auto" w:fill="auto"/>
          </w:tcPr>
          <w:p w14:paraId="01D5AD3E">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12</w:t>
            </w:r>
          </w:p>
        </w:tc>
        <w:tc>
          <w:tcPr>
            <w:tcW w:w="567" w:type="dxa"/>
            <w:tcBorders>
              <w:top w:val="nil"/>
              <w:left w:val="single" w:color="auto" w:sz="4" w:space="0"/>
              <w:bottom w:val="single" w:color="auto" w:sz="4" w:space="0"/>
              <w:right w:val="single" w:color="auto" w:sz="4" w:space="0"/>
            </w:tcBorders>
            <w:shd w:val="clear" w:color="auto" w:fill="auto"/>
          </w:tcPr>
          <w:p w14:paraId="7D63C9CF">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&lt;1</w:t>
            </w:r>
          </w:p>
        </w:tc>
        <w:tc>
          <w:tcPr>
            <w:tcW w:w="683" w:type="dxa"/>
            <w:tcBorders>
              <w:top w:val="nil"/>
              <w:left w:val="single" w:color="auto" w:sz="4" w:space="0"/>
              <w:bottom w:val="single" w:color="auto" w:sz="4" w:space="0"/>
              <w:right w:val="single" w:color="auto" w:sz="4" w:space="0"/>
            </w:tcBorders>
            <w:shd w:val="clear" w:color="auto" w:fill="auto"/>
          </w:tcPr>
          <w:p w14:paraId="7842036F">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w:t>
            </w:r>
          </w:p>
        </w:tc>
        <w:tc>
          <w:tcPr>
            <w:tcW w:w="876" w:type="dxa"/>
            <w:tcBorders>
              <w:top w:val="nil"/>
              <w:left w:val="single" w:color="auto" w:sz="4" w:space="0"/>
              <w:bottom w:val="single" w:color="auto" w:sz="4" w:space="0"/>
              <w:right w:val="single" w:color="auto" w:sz="4" w:space="0"/>
            </w:tcBorders>
            <w:shd w:val="clear" w:color="auto" w:fill="auto"/>
          </w:tcPr>
          <w:p w14:paraId="178AA633">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60" w:type="dxa"/>
            <w:tcBorders>
              <w:top w:val="nil"/>
              <w:left w:val="single" w:color="auto" w:sz="4" w:space="0"/>
              <w:bottom w:val="single" w:color="auto" w:sz="4" w:space="0"/>
              <w:right w:val="single" w:color="auto" w:sz="4" w:space="0"/>
            </w:tcBorders>
            <w:shd w:val="clear" w:color="auto" w:fill="auto"/>
          </w:tcPr>
          <w:p w14:paraId="3D16A328">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88" w:type="dxa"/>
            <w:tcBorders>
              <w:top w:val="nil"/>
              <w:left w:val="single" w:color="auto" w:sz="4" w:space="0"/>
              <w:bottom w:val="single" w:color="auto" w:sz="4" w:space="0"/>
              <w:right w:val="single" w:color="auto" w:sz="4" w:space="0"/>
            </w:tcBorders>
            <w:shd w:val="clear" w:color="auto" w:fill="auto"/>
          </w:tcPr>
          <w:p w14:paraId="287E0AF4">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72" w:type="dxa"/>
            <w:tcBorders>
              <w:top w:val="nil"/>
              <w:left w:val="single" w:color="auto" w:sz="4" w:space="0"/>
              <w:bottom w:val="single" w:color="auto" w:sz="4" w:space="0"/>
              <w:right w:val="single" w:color="auto" w:sz="4" w:space="0"/>
            </w:tcBorders>
            <w:shd w:val="clear" w:color="auto" w:fill="auto"/>
          </w:tcPr>
          <w:p w14:paraId="0676E8D1">
            <w:pPr>
              <w:tabs>
                <w:tab w:val="left" w:pos="567"/>
                <w:tab w:val="clear" w:pos="284"/>
              </w:tabs>
              <w:rPr>
                <w:rFonts w:ascii="Microsoft Sans Serif" w:hAnsi="Microsoft Sans Serif" w:cs="Microsoft Sans Serif"/>
                <w:sz w:val="20"/>
                <w:szCs w:val="20"/>
                <w:u w:val="single"/>
                <w:lang w:val="en-GB"/>
              </w:rPr>
            </w:pPr>
          </w:p>
        </w:tc>
        <w:tc>
          <w:tcPr>
            <w:tcW w:w="672" w:type="dxa"/>
            <w:tcBorders>
              <w:top w:val="nil"/>
              <w:left w:val="single" w:color="auto" w:sz="4" w:space="0"/>
              <w:bottom w:val="single" w:color="auto" w:sz="4" w:space="0"/>
              <w:right w:val="single" w:color="auto" w:sz="4" w:space="0"/>
            </w:tcBorders>
            <w:shd w:val="clear" w:color="auto" w:fill="auto"/>
          </w:tcPr>
          <w:p w14:paraId="1ACE59EB">
            <w:pPr>
              <w:tabs>
                <w:tab w:val="left" w:pos="567"/>
                <w:tab w:val="clear" w:pos="284"/>
              </w:tabs>
              <w:rPr>
                <w:rFonts w:ascii="Microsoft Sans Serif" w:hAnsi="Microsoft Sans Serif" w:cs="Microsoft Sans Serif"/>
                <w:sz w:val="20"/>
                <w:szCs w:val="20"/>
                <w:u w:val="single"/>
                <w:lang w:val="en-GB"/>
              </w:rPr>
            </w:pPr>
          </w:p>
        </w:tc>
        <w:tc>
          <w:tcPr>
            <w:tcW w:w="557" w:type="dxa"/>
            <w:tcBorders>
              <w:top w:val="nil"/>
              <w:left w:val="single" w:color="auto" w:sz="4" w:space="0"/>
              <w:bottom w:val="single" w:color="auto" w:sz="4" w:space="0"/>
              <w:right w:val="single" w:color="auto" w:sz="4" w:space="0"/>
            </w:tcBorders>
            <w:shd w:val="clear" w:color="auto" w:fill="auto"/>
          </w:tcPr>
          <w:p w14:paraId="795C447D">
            <w:pPr>
              <w:tabs>
                <w:tab w:val="left" w:pos="567"/>
                <w:tab w:val="clear" w:pos="284"/>
              </w:tabs>
              <w:rPr>
                <w:rFonts w:ascii="Microsoft Sans Serif" w:hAnsi="Microsoft Sans Serif" w:cs="Microsoft Sans Serif"/>
                <w:sz w:val="20"/>
                <w:szCs w:val="20"/>
                <w:u w:val="single"/>
                <w:lang w:val="en-GB"/>
              </w:rPr>
            </w:pPr>
          </w:p>
        </w:tc>
        <w:tc>
          <w:tcPr>
            <w:tcW w:w="1571" w:type="dxa"/>
            <w:tcBorders>
              <w:top w:val="nil"/>
              <w:left w:val="single" w:color="auto" w:sz="4" w:space="0"/>
              <w:bottom w:val="single" w:color="auto" w:sz="4" w:space="0"/>
            </w:tcBorders>
            <w:shd w:val="clear" w:color="auto" w:fill="auto"/>
          </w:tcPr>
          <w:p w14:paraId="63BC717C">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česta</w:t>
            </w:r>
          </w:p>
        </w:tc>
      </w:tr>
      <w:tr w14:paraId="10A1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980" w:type="dxa"/>
            <w:tcBorders>
              <w:top w:val="single" w:color="auto" w:sz="4" w:space="0"/>
              <w:bottom w:val="nil"/>
              <w:right w:val="single" w:color="auto" w:sz="4" w:space="0"/>
            </w:tcBorders>
            <w:shd w:val="clear" w:color="auto" w:fill="auto"/>
          </w:tcPr>
          <w:p w14:paraId="5F326F69">
            <w:pPr>
              <w:tabs>
                <w:tab w:val="left" w:pos="567"/>
                <w:tab w:val="clear" w:pos="284"/>
              </w:tabs>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Psihijatrijski poremećaji</w:t>
            </w:r>
          </w:p>
        </w:tc>
        <w:tc>
          <w:tcPr>
            <w:tcW w:w="992" w:type="dxa"/>
            <w:tcBorders>
              <w:top w:val="single" w:color="auto" w:sz="4" w:space="0"/>
              <w:left w:val="single" w:color="auto" w:sz="4" w:space="0"/>
              <w:bottom w:val="nil"/>
              <w:right w:val="single" w:color="auto" w:sz="4" w:space="0"/>
            </w:tcBorders>
            <w:shd w:val="clear" w:color="auto" w:fill="auto"/>
          </w:tcPr>
          <w:p w14:paraId="2CE8E6BD">
            <w:pPr>
              <w:tabs>
                <w:tab w:val="left" w:pos="567"/>
                <w:tab w:val="clear" w:pos="284"/>
              </w:tabs>
              <w:rPr>
                <w:rFonts w:ascii="Microsoft Sans Serif" w:hAnsi="Microsoft Sans Serif" w:cs="Microsoft Sans Serif"/>
                <w:sz w:val="20"/>
                <w:szCs w:val="20"/>
                <w:u w:val="single"/>
                <w:lang w:val="en-GB"/>
              </w:rPr>
            </w:pPr>
          </w:p>
        </w:tc>
        <w:tc>
          <w:tcPr>
            <w:tcW w:w="567" w:type="dxa"/>
            <w:tcBorders>
              <w:top w:val="single" w:color="auto" w:sz="4" w:space="0"/>
              <w:left w:val="single" w:color="auto" w:sz="4" w:space="0"/>
              <w:bottom w:val="nil"/>
              <w:right w:val="single" w:color="auto" w:sz="4" w:space="0"/>
            </w:tcBorders>
            <w:shd w:val="clear" w:color="auto" w:fill="auto"/>
          </w:tcPr>
          <w:p w14:paraId="7DE8A118">
            <w:pPr>
              <w:tabs>
                <w:tab w:val="left" w:pos="567"/>
                <w:tab w:val="clear" w:pos="284"/>
              </w:tabs>
              <w:rPr>
                <w:rFonts w:ascii="Microsoft Sans Serif" w:hAnsi="Microsoft Sans Serif" w:cs="Microsoft Sans Serif"/>
                <w:sz w:val="20"/>
                <w:szCs w:val="20"/>
                <w:u w:val="single"/>
                <w:lang w:val="en-GB"/>
              </w:rPr>
            </w:pPr>
          </w:p>
        </w:tc>
        <w:tc>
          <w:tcPr>
            <w:tcW w:w="683" w:type="dxa"/>
            <w:tcBorders>
              <w:top w:val="single" w:color="auto" w:sz="4" w:space="0"/>
              <w:left w:val="single" w:color="auto" w:sz="4" w:space="0"/>
              <w:bottom w:val="nil"/>
              <w:right w:val="single" w:color="auto" w:sz="4" w:space="0"/>
            </w:tcBorders>
            <w:shd w:val="clear" w:color="auto" w:fill="auto"/>
          </w:tcPr>
          <w:p w14:paraId="60791E03">
            <w:pPr>
              <w:tabs>
                <w:tab w:val="left" w:pos="567"/>
                <w:tab w:val="clear" w:pos="284"/>
              </w:tabs>
              <w:rPr>
                <w:rFonts w:ascii="Microsoft Sans Serif" w:hAnsi="Microsoft Sans Serif" w:cs="Microsoft Sans Serif"/>
                <w:sz w:val="20"/>
                <w:szCs w:val="20"/>
                <w:u w:val="single"/>
                <w:lang w:val="en-GB"/>
              </w:rPr>
            </w:pPr>
          </w:p>
        </w:tc>
        <w:tc>
          <w:tcPr>
            <w:tcW w:w="876" w:type="dxa"/>
            <w:tcBorders>
              <w:top w:val="single" w:color="auto" w:sz="4" w:space="0"/>
              <w:left w:val="single" w:color="auto" w:sz="4" w:space="0"/>
              <w:bottom w:val="nil"/>
              <w:right w:val="single" w:color="auto" w:sz="4" w:space="0"/>
            </w:tcBorders>
            <w:shd w:val="clear" w:color="auto" w:fill="auto"/>
          </w:tcPr>
          <w:p w14:paraId="21814284">
            <w:pPr>
              <w:tabs>
                <w:tab w:val="left" w:pos="567"/>
                <w:tab w:val="clear" w:pos="284"/>
              </w:tabs>
              <w:rPr>
                <w:rFonts w:ascii="Microsoft Sans Serif" w:hAnsi="Microsoft Sans Serif" w:cs="Microsoft Sans Serif"/>
                <w:sz w:val="20"/>
                <w:szCs w:val="20"/>
                <w:u w:val="single"/>
                <w:lang w:val="en-GB"/>
              </w:rPr>
            </w:pPr>
          </w:p>
        </w:tc>
        <w:tc>
          <w:tcPr>
            <w:tcW w:w="660" w:type="dxa"/>
            <w:tcBorders>
              <w:top w:val="single" w:color="auto" w:sz="4" w:space="0"/>
              <w:left w:val="single" w:color="auto" w:sz="4" w:space="0"/>
              <w:bottom w:val="nil"/>
              <w:right w:val="single" w:color="auto" w:sz="4" w:space="0"/>
            </w:tcBorders>
            <w:shd w:val="clear" w:color="auto" w:fill="auto"/>
          </w:tcPr>
          <w:p w14:paraId="76E18B3B">
            <w:pPr>
              <w:tabs>
                <w:tab w:val="left" w:pos="567"/>
                <w:tab w:val="clear" w:pos="284"/>
              </w:tabs>
              <w:rPr>
                <w:rFonts w:ascii="Microsoft Sans Serif" w:hAnsi="Microsoft Sans Serif" w:cs="Microsoft Sans Serif"/>
                <w:sz w:val="20"/>
                <w:szCs w:val="20"/>
                <w:u w:val="single"/>
                <w:lang w:val="en-GB"/>
              </w:rPr>
            </w:pPr>
          </w:p>
        </w:tc>
        <w:tc>
          <w:tcPr>
            <w:tcW w:w="688" w:type="dxa"/>
            <w:tcBorders>
              <w:top w:val="single" w:color="auto" w:sz="4" w:space="0"/>
              <w:left w:val="single" w:color="auto" w:sz="4" w:space="0"/>
              <w:bottom w:val="nil"/>
              <w:right w:val="single" w:color="auto" w:sz="4" w:space="0"/>
            </w:tcBorders>
            <w:shd w:val="clear" w:color="auto" w:fill="auto"/>
          </w:tcPr>
          <w:p w14:paraId="45A74900">
            <w:pPr>
              <w:tabs>
                <w:tab w:val="left" w:pos="567"/>
                <w:tab w:val="clear" w:pos="284"/>
              </w:tabs>
              <w:rPr>
                <w:rFonts w:ascii="Microsoft Sans Serif" w:hAnsi="Microsoft Sans Serif" w:cs="Microsoft Sans Serif"/>
                <w:sz w:val="20"/>
                <w:szCs w:val="20"/>
                <w:u w:val="single"/>
                <w:lang w:val="en-GB"/>
              </w:rPr>
            </w:pPr>
          </w:p>
        </w:tc>
        <w:tc>
          <w:tcPr>
            <w:tcW w:w="672" w:type="dxa"/>
            <w:tcBorders>
              <w:top w:val="single" w:color="auto" w:sz="4" w:space="0"/>
              <w:left w:val="single" w:color="auto" w:sz="4" w:space="0"/>
              <w:bottom w:val="nil"/>
              <w:right w:val="single" w:color="auto" w:sz="4" w:space="0"/>
            </w:tcBorders>
            <w:shd w:val="clear" w:color="auto" w:fill="auto"/>
          </w:tcPr>
          <w:p w14:paraId="3DA85480">
            <w:pPr>
              <w:tabs>
                <w:tab w:val="left" w:pos="567"/>
                <w:tab w:val="clear" w:pos="284"/>
              </w:tabs>
              <w:rPr>
                <w:rFonts w:ascii="Microsoft Sans Serif" w:hAnsi="Microsoft Sans Serif" w:cs="Microsoft Sans Serif"/>
                <w:sz w:val="20"/>
                <w:szCs w:val="20"/>
                <w:u w:val="single"/>
                <w:lang w:val="en-GB"/>
              </w:rPr>
            </w:pPr>
          </w:p>
        </w:tc>
        <w:tc>
          <w:tcPr>
            <w:tcW w:w="672" w:type="dxa"/>
            <w:tcBorders>
              <w:top w:val="single" w:color="auto" w:sz="4" w:space="0"/>
              <w:left w:val="single" w:color="auto" w:sz="4" w:space="0"/>
              <w:bottom w:val="nil"/>
              <w:right w:val="single" w:color="auto" w:sz="4" w:space="0"/>
            </w:tcBorders>
            <w:shd w:val="clear" w:color="auto" w:fill="auto"/>
          </w:tcPr>
          <w:p w14:paraId="7DBE819F">
            <w:pPr>
              <w:tabs>
                <w:tab w:val="left" w:pos="567"/>
                <w:tab w:val="clear" w:pos="284"/>
              </w:tabs>
              <w:rPr>
                <w:rFonts w:ascii="Microsoft Sans Serif" w:hAnsi="Microsoft Sans Serif" w:cs="Microsoft Sans Serif"/>
                <w:sz w:val="20"/>
                <w:szCs w:val="20"/>
                <w:u w:val="single"/>
                <w:lang w:val="en-GB"/>
              </w:rPr>
            </w:pPr>
          </w:p>
        </w:tc>
        <w:tc>
          <w:tcPr>
            <w:tcW w:w="557" w:type="dxa"/>
            <w:tcBorders>
              <w:top w:val="single" w:color="auto" w:sz="4" w:space="0"/>
              <w:left w:val="single" w:color="auto" w:sz="4" w:space="0"/>
              <w:bottom w:val="nil"/>
              <w:right w:val="single" w:color="auto" w:sz="4" w:space="0"/>
            </w:tcBorders>
            <w:shd w:val="clear" w:color="auto" w:fill="auto"/>
          </w:tcPr>
          <w:p w14:paraId="107FA9C6">
            <w:pPr>
              <w:tabs>
                <w:tab w:val="left" w:pos="567"/>
                <w:tab w:val="clear" w:pos="284"/>
              </w:tabs>
              <w:rPr>
                <w:rFonts w:ascii="Microsoft Sans Serif" w:hAnsi="Microsoft Sans Serif" w:cs="Microsoft Sans Serif"/>
                <w:sz w:val="20"/>
                <w:szCs w:val="20"/>
                <w:u w:val="single"/>
                <w:lang w:val="en-GB"/>
              </w:rPr>
            </w:pPr>
          </w:p>
        </w:tc>
        <w:tc>
          <w:tcPr>
            <w:tcW w:w="1571" w:type="dxa"/>
            <w:tcBorders>
              <w:top w:val="single" w:color="auto" w:sz="4" w:space="0"/>
              <w:left w:val="single" w:color="auto" w:sz="4" w:space="0"/>
              <w:bottom w:val="nil"/>
            </w:tcBorders>
            <w:shd w:val="clear" w:color="auto" w:fill="auto"/>
          </w:tcPr>
          <w:p w14:paraId="0CA0D1E5">
            <w:pPr>
              <w:tabs>
                <w:tab w:val="left" w:pos="567"/>
                <w:tab w:val="clear" w:pos="284"/>
              </w:tabs>
              <w:rPr>
                <w:rFonts w:ascii="Microsoft Sans Serif" w:hAnsi="Microsoft Sans Serif" w:cs="Microsoft Sans Serif"/>
                <w:sz w:val="20"/>
                <w:szCs w:val="20"/>
                <w:u w:val="single"/>
                <w:lang w:val="en-GB"/>
              </w:rPr>
            </w:pPr>
          </w:p>
        </w:tc>
      </w:tr>
      <w:tr w14:paraId="0A7F1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nil"/>
              <w:bottom w:val="single" w:color="auto" w:sz="4" w:space="0"/>
              <w:right w:val="single" w:color="auto" w:sz="4" w:space="0"/>
            </w:tcBorders>
            <w:shd w:val="clear" w:color="auto" w:fill="auto"/>
          </w:tcPr>
          <w:p w14:paraId="0C29FEDA">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Depresija</w:t>
            </w:r>
          </w:p>
        </w:tc>
        <w:tc>
          <w:tcPr>
            <w:tcW w:w="992" w:type="dxa"/>
            <w:tcBorders>
              <w:top w:val="nil"/>
              <w:left w:val="single" w:color="auto" w:sz="4" w:space="0"/>
              <w:bottom w:val="single" w:color="auto" w:sz="4" w:space="0"/>
              <w:right w:val="single" w:color="auto" w:sz="4" w:space="0"/>
            </w:tcBorders>
            <w:shd w:val="clear" w:color="auto" w:fill="auto"/>
          </w:tcPr>
          <w:p w14:paraId="4222B621">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567" w:type="dxa"/>
            <w:tcBorders>
              <w:top w:val="nil"/>
              <w:left w:val="single" w:color="auto" w:sz="4" w:space="0"/>
              <w:bottom w:val="single" w:color="auto" w:sz="4" w:space="0"/>
              <w:right w:val="single" w:color="auto" w:sz="4" w:space="0"/>
            </w:tcBorders>
            <w:shd w:val="clear" w:color="auto" w:fill="auto"/>
          </w:tcPr>
          <w:p w14:paraId="48B1EE06">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83" w:type="dxa"/>
            <w:tcBorders>
              <w:top w:val="nil"/>
              <w:left w:val="single" w:color="auto" w:sz="4" w:space="0"/>
              <w:bottom w:val="single" w:color="auto" w:sz="4" w:space="0"/>
              <w:right w:val="single" w:color="auto" w:sz="4" w:space="0"/>
            </w:tcBorders>
            <w:shd w:val="clear" w:color="auto" w:fill="auto"/>
          </w:tcPr>
          <w:p w14:paraId="6D053471">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876" w:type="dxa"/>
            <w:tcBorders>
              <w:top w:val="nil"/>
              <w:left w:val="single" w:color="auto" w:sz="4" w:space="0"/>
              <w:bottom w:val="single" w:color="auto" w:sz="4" w:space="0"/>
              <w:right w:val="single" w:color="auto" w:sz="4" w:space="0"/>
            </w:tcBorders>
            <w:shd w:val="clear" w:color="auto" w:fill="auto"/>
          </w:tcPr>
          <w:p w14:paraId="7BB9D233">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19</w:t>
            </w:r>
          </w:p>
        </w:tc>
        <w:tc>
          <w:tcPr>
            <w:tcW w:w="660" w:type="dxa"/>
            <w:tcBorders>
              <w:top w:val="nil"/>
              <w:left w:val="single" w:color="auto" w:sz="4" w:space="0"/>
              <w:bottom w:val="single" w:color="auto" w:sz="4" w:space="0"/>
              <w:right w:val="single" w:color="auto" w:sz="4" w:space="0"/>
            </w:tcBorders>
            <w:shd w:val="clear" w:color="auto" w:fill="auto"/>
          </w:tcPr>
          <w:p w14:paraId="22C1F82C">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2</w:t>
            </w:r>
          </w:p>
        </w:tc>
        <w:tc>
          <w:tcPr>
            <w:tcW w:w="688" w:type="dxa"/>
            <w:tcBorders>
              <w:top w:val="nil"/>
              <w:left w:val="single" w:color="auto" w:sz="4" w:space="0"/>
              <w:bottom w:val="single" w:color="auto" w:sz="4" w:space="0"/>
              <w:right w:val="single" w:color="auto" w:sz="4" w:space="0"/>
            </w:tcBorders>
            <w:shd w:val="clear" w:color="auto" w:fill="auto"/>
          </w:tcPr>
          <w:p w14:paraId="065A7D64">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w:t>
            </w:r>
          </w:p>
        </w:tc>
        <w:tc>
          <w:tcPr>
            <w:tcW w:w="672" w:type="dxa"/>
            <w:tcBorders>
              <w:top w:val="nil"/>
              <w:left w:val="single" w:color="auto" w:sz="4" w:space="0"/>
              <w:bottom w:val="single" w:color="auto" w:sz="4" w:space="0"/>
              <w:right w:val="single" w:color="auto" w:sz="4" w:space="0"/>
            </w:tcBorders>
            <w:shd w:val="clear" w:color="auto" w:fill="auto"/>
          </w:tcPr>
          <w:p w14:paraId="58890ACB">
            <w:pPr>
              <w:tabs>
                <w:tab w:val="left" w:pos="567"/>
                <w:tab w:val="clear" w:pos="284"/>
              </w:tabs>
              <w:rPr>
                <w:rFonts w:ascii="Microsoft Sans Serif" w:hAnsi="Microsoft Sans Serif" w:cs="Microsoft Sans Serif"/>
                <w:sz w:val="20"/>
                <w:szCs w:val="20"/>
                <w:u w:val="single"/>
                <w:lang w:val="en-GB"/>
              </w:rPr>
            </w:pPr>
          </w:p>
        </w:tc>
        <w:tc>
          <w:tcPr>
            <w:tcW w:w="672" w:type="dxa"/>
            <w:tcBorders>
              <w:top w:val="nil"/>
              <w:left w:val="single" w:color="auto" w:sz="4" w:space="0"/>
              <w:bottom w:val="single" w:color="auto" w:sz="4" w:space="0"/>
              <w:right w:val="single" w:color="auto" w:sz="4" w:space="0"/>
            </w:tcBorders>
            <w:shd w:val="clear" w:color="auto" w:fill="auto"/>
          </w:tcPr>
          <w:p w14:paraId="1C6FE0B2">
            <w:pPr>
              <w:tabs>
                <w:tab w:val="left" w:pos="567"/>
                <w:tab w:val="clear" w:pos="284"/>
              </w:tabs>
              <w:rPr>
                <w:rFonts w:ascii="Microsoft Sans Serif" w:hAnsi="Microsoft Sans Serif" w:cs="Microsoft Sans Serif"/>
                <w:sz w:val="20"/>
                <w:szCs w:val="20"/>
                <w:u w:val="single"/>
                <w:lang w:val="en-GB"/>
              </w:rPr>
            </w:pPr>
          </w:p>
        </w:tc>
        <w:tc>
          <w:tcPr>
            <w:tcW w:w="557" w:type="dxa"/>
            <w:tcBorders>
              <w:top w:val="nil"/>
              <w:left w:val="single" w:color="auto" w:sz="4" w:space="0"/>
              <w:bottom w:val="single" w:color="auto" w:sz="4" w:space="0"/>
              <w:right w:val="single" w:color="auto" w:sz="4" w:space="0"/>
            </w:tcBorders>
            <w:shd w:val="clear" w:color="auto" w:fill="auto"/>
          </w:tcPr>
          <w:p w14:paraId="0B0BC311">
            <w:pPr>
              <w:tabs>
                <w:tab w:val="left" w:pos="567"/>
                <w:tab w:val="clear" w:pos="284"/>
              </w:tabs>
              <w:rPr>
                <w:rFonts w:ascii="Microsoft Sans Serif" w:hAnsi="Microsoft Sans Serif" w:cs="Microsoft Sans Serif"/>
                <w:sz w:val="20"/>
                <w:szCs w:val="20"/>
                <w:u w:val="single"/>
                <w:lang w:val="en-GB"/>
              </w:rPr>
            </w:pPr>
          </w:p>
        </w:tc>
        <w:tc>
          <w:tcPr>
            <w:tcW w:w="1571" w:type="dxa"/>
            <w:tcBorders>
              <w:top w:val="nil"/>
              <w:left w:val="single" w:color="auto" w:sz="4" w:space="0"/>
              <w:bottom w:val="single" w:color="auto" w:sz="4" w:space="0"/>
            </w:tcBorders>
            <w:shd w:val="clear" w:color="auto" w:fill="auto"/>
          </w:tcPr>
          <w:p w14:paraId="5D4711B4">
            <w:pPr>
              <w:tabs>
                <w:tab w:val="left" w:pos="567"/>
                <w:tab w:val="clear" w:pos="284"/>
              </w:tabs>
              <w:rPr>
                <w:rFonts w:ascii="Microsoft Sans Serif" w:hAnsi="Microsoft Sans Serif" w:cs="Microsoft Sans Serif"/>
                <w:sz w:val="20"/>
                <w:szCs w:val="20"/>
                <w:u w:val="single"/>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česta</w:t>
            </w:r>
          </w:p>
        </w:tc>
      </w:tr>
      <w:tr w14:paraId="0066E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bottom w:val="nil"/>
              <w:right w:val="single" w:color="auto" w:sz="4" w:space="0"/>
            </w:tcBorders>
            <w:shd w:val="clear" w:color="auto" w:fill="auto"/>
          </w:tcPr>
          <w:p w14:paraId="49D05436">
            <w:pPr>
              <w:tabs>
                <w:tab w:val="left" w:pos="567"/>
                <w:tab w:val="clear" w:pos="284"/>
              </w:tabs>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Poremećaji nervnog sistema</w:t>
            </w:r>
          </w:p>
        </w:tc>
        <w:tc>
          <w:tcPr>
            <w:tcW w:w="992" w:type="dxa"/>
            <w:tcBorders>
              <w:left w:val="single" w:color="auto" w:sz="4" w:space="0"/>
              <w:bottom w:val="nil"/>
              <w:right w:val="single" w:color="auto" w:sz="4" w:space="0"/>
            </w:tcBorders>
            <w:shd w:val="clear" w:color="auto" w:fill="auto"/>
          </w:tcPr>
          <w:p w14:paraId="583B777A">
            <w:pPr>
              <w:tabs>
                <w:tab w:val="left" w:pos="567"/>
                <w:tab w:val="clear" w:pos="284"/>
              </w:tabs>
              <w:rPr>
                <w:rFonts w:ascii="Microsoft Sans Serif" w:hAnsi="Microsoft Sans Serif" w:cs="Microsoft Sans Serif"/>
                <w:sz w:val="20"/>
                <w:szCs w:val="20"/>
                <w:u w:val="single"/>
                <w:lang w:val="en-GB"/>
              </w:rPr>
            </w:pPr>
          </w:p>
        </w:tc>
        <w:tc>
          <w:tcPr>
            <w:tcW w:w="567" w:type="dxa"/>
            <w:tcBorders>
              <w:left w:val="single" w:color="auto" w:sz="4" w:space="0"/>
              <w:bottom w:val="nil"/>
              <w:right w:val="single" w:color="auto" w:sz="4" w:space="0"/>
            </w:tcBorders>
            <w:shd w:val="clear" w:color="auto" w:fill="auto"/>
          </w:tcPr>
          <w:p w14:paraId="7C6377AE">
            <w:pPr>
              <w:tabs>
                <w:tab w:val="left" w:pos="567"/>
                <w:tab w:val="clear" w:pos="284"/>
              </w:tabs>
              <w:rPr>
                <w:rFonts w:ascii="Microsoft Sans Serif" w:hAnsi="Microsoft Sans Serif" w:cs="Microsoft Sans Serif"/>
                <w:sz w:val="20"/>
                <w:szCs w:val="20"/>
                <w:u w:val="single"/>
                <w:lang w:val="en-GB"/>
              </w:rPr>
            </w:pPr>
          </w:p>
        </w:tc>
        <w:tc>
          <w:tcPr>
            <w:tcW w:w="683" w:type="dxa"/>
            <w:tcBorders>
              <w:left w:val="single" w:color="auto" w:sz="4" w:space="0"/>
              <w:bottom w:val="nil"/>
              <w:right w:val="single" w:color="auto" w:sz="4" w:space="0"/>
            </w:tcBorders>
            <w:shd w:val="clear" w:color="auto" w:fill="auto"/>
          </w:tcPr>
          <w:p w14:paraId="0EF351CA">
            <w:pPr>
              <w:tabs>
                <w:tab w:val="left" w:pos="567"/>
                <w:tab w:val="clear" w:pos="284"/>
              </w:tabs>
              <w:rPr>
                <w:rFonts w:ascii="Microsoft Sans Serif" w:hAnsi="Microsoft Sans Serif" w:cs="Microsoft Sans Serif"/>
                <w:sz w:val="20"/>
                <w:szCs w:val="20"/>
                <w:u w:val="single"/>
                <w:lang w:val="en-GB"/>
              </w:rPr>
            </w:pPr>
          </w:p>
        </w:tc>
        <w:tc>
          <w:tcPr>
            <w:tcW w:w="876" w:type="dxa"/>
            <w:tcBorders>
              <w:left w:val="single" w:color="auto" w:sz="4" w:space="0"/>
              <w:bottom w:val="nil"/>
              <w:right w:val="single" w:color="auto" w:sz="4" w:space="0"/>
            </w:tcBorders>
            <w:shd w:val="clear" w:color="auto" w:fill="auto"/>
          </w:tcPr>
          <w:p w14:paraId="2795645D">
            <w:pPr>
              <w:tabs>
                <w:tab w:val="left" w:pos="567"/>
                <w:tab w:val="clear" w:pos="284"/>
              </w:tabs>
              <w:rPr>
                <w:rFonts w:ascii="Microsoft Sans Serif" w:hAnsi="Microsoft Sans Serif" w:cs="Microsoft Sans Serif"/>
                <w:sz w:val="20"/>
                <w:szCs w:val="20"/>
                <w:u w:val="single"/>
                <w:lang w:val="en-GB"/>
              </w:rPr>
            </w:pPr>
          </w:p>
        </w:tc>
        <w:tc>
          <w:tcPr>
            <w:tcW w:w="660" w:type="dxa"/>
            <w:tcBorders>
              <w:left w:val="single" w:color="auto" w:sz="4" w:space="0"/>
              <w:bottom w:val="nil"/>
              <w:right w:val="single" w:color="auto" w:sz="4" w:space="0"/>
            </w:tcBorders>
            <w:shd w:val="clear" w:color="auto" w:fill="auto"/>
          </w:tcPr>
          <w:p w14:paraId="2937FD2F">
            <w:pPr>
              <w:tabs>
                <w:tab w:val="left" w:pos="567"/>
                <w:tab w:val="clear" w:pos="284"/>
              </w:tabs>
              <w:rPr>
                <w:rFonts w:ascii="Microsoft Sans Serif" w:hAnsi="Microsoft Sans Serif" w:cs="Microsoft Sans Serif"/>
                <w:sz w:val="20"/>
                <w:szCs w:val="20"/>
                <w:u w:val="single"/>
                <w:lang w:val="en-GB"/>
              </w:rPr>
            </w:pPr>
          </w:p>
        </w:tc>
        <w:tc>
          <w:tcPr>
            <w:tcW w:w="688" w:type="dxa"/>
            <w:tcBorders>
              <w:left w:val="single" w:color="auto" w:sz="4" w:space="0"/>
              <w:bottom w:val="nil"/>
              <w:right w:val="single" w:color="auto" w:sz="4" w:space="0"/>
            </w:tcBorders>
            <w:shd w:val="clear" w:color="auto" w:fill="auto"/>
          </w:tcPr>
          <w:p w14:paraId="63F8ACCB">
            <w:pPr>
              <w:tabs>
                <w:tab w:val="left" w:pos="567"/>
                <w:tab w:val="clear" w:pos="284"/>
              </w:tabs>
              <w:rPr>
                <w:rFonts w:ascii="Microsoft Sans Serif" w:hAnsi="Microsoft Sans Serif" w:cs="Microsoft Sans Serif"/>
                <w:sz w:val="20"/>
                <w:szCs w:val="20"/>
                <w:u w:val="single"/>
                <w:lang w:val="en-GB"/>
              </w:rPr>
            </w:pPr>
          </w:p>
        </w:tc>
        <w:tc>
          <w:tcPr>
            <w:tcW w:w="672" w:type="dxa"/>
            <w:tcBorders>
              <w:left w:val="single" w:color="auto" w:sz="4" w:space="0"/>
              <w:bottom w:val="nil"/>
              <w:right w:val="single" w:color="auto" w:sz="4" w:space="0"/>
            </w:tcBorders>
            <w:shd w:val="clear" w:color="auto" w:fill="auto"/>
          </w:tcPr>
          <w:p w14:paraId="5609D4D7">
            <w:pPr>
              <w:tabs>
                <w:tab w:val="left" w:pos="567"/>
                <w:tab w:val="clear" w:pos="284"/>
              </w:tabs>
              <w:rPr>
                <w:rFonts w:ascii="Microsoft Sans Serif" w:hAnsi="Microsoft Sans Serif" w:cs="Microsoft Sans Serif"/>
                <w:sz w:val="20"/>
                <w:szCs w:val="20"/>
                <w:u w:val="single"/>
                <w:lang w:val="en-GB"/>
              </w:rPr>
            </w:pPr>
          </w:p>
        </w:tc>
        <w:tc>
          <w:tcPr>
            <w:tcW w:w="672" w:type="dxa"/>
            <w:tcBorders>
              <w:left w:val="single" w:color="auto" w:sz="4" w:space="0"/>
              <w:bottom w:val="nil"/>
              <w:right w:val="single" w:color="auto" w:sz="4" w:space="0"/>
            </w:tcBorders>
            <w:shd w:val="clear" w:color="auto" w:fill="auto"/>
          </w:tcPr>
          <w:p w14:paraId="523727ED">
            <w:pPr>
              <w:tabs>
                <w:tab w:val="left" w:pos="567"/>
                <w:tab w:val="clear" w:pos="284"/>
              </w:tabs>
              <w:rPr>
                <w:rFonts w:ascii="Microsoft Sans Serif" w:hAnsi="Microsoft Sans Serif" w:cs="Microsoft Sans Serif"/>
                <w:sz w:val="20"/>
                <w:szCs w:val="20"/>
                <w:u w:val="single"/>
                <w:lang w:val="en-GB"/>
              </w:rPr>
            </w:pPr>
          </w:p>
        </w:tc>
        <w:tc>
          <w:tcPr>
            <w:tcW w:w="557" w:type="dxa"/>
            <w:tcBorders>
              <w:left w:val="single" w:color="auto" w:sz="4" w:space="0"/>
              <w:bottom w:val="nil"/>
              <w:right w:val="single" w:color="auto" w:sz="4" w:space="0"/>
            </w:tcBorders>
            <w:shd w:val="clear" w:color="auto" w:fill="auto"/>
          </w:tcPr>
          <w:p w14:paraId="2903978D">
            <w:pPr>
              <w:tabs>
                <w:tab w:val="left" w:pos="567"/>
                <w:tab w:val="clear" w:pos="284"/>
              </w:tabs>
              <w:rPr>
                <w:rFonts w:ascii="Microsoft Sans Serif" w:hAnsi="Microsoft Sans Serif" w:cs="Microsoft Sans Serif"/>
                <w:sz w:val="20"/>
                <w:szCs w:val="20"/>
                <w:u w:val="single"/>
                <w:lang w:val="en-GB"/>
              </w:rPr>
            </w:pPr>
          </w:p>
        </w:tc>
        <w:tc>
          <w:tcPr>
            <w:tcW w:w="1571" w:type="dxa"/>
            <w:tcBorders>
              <w:left w:val="single" w:color="auto" w:sz="4" w:space="0"/>
              <w:bottom w:val="nil"/>
            </w:tcBorders>
            <w:shd w:val="clear" w:color="auto" w:fill="auto"/>
          </w:tcPr>
          <w:p w14:paraId="09D9B7A5">
            <w:pPr>
              <w:tabs>
                <w:tab w:val="left" w:pos="567"/>
                <w:tab w:val="clear" w:pos="284"/>
              </w:tabs>
              <w:rPr>
                <w:rFonts w:ascii="Microsoft Sans Serif" w:hAnsi="Microsoft Sans Serif" w:cs="Microsoft Sans Serif"/>
                <w:sz w:val="20"/>
                <w:szCs w:val="20"/>
                <w:u w:val="single"/>
                <w:lang w:val="en-GB"/>
              </w:rPr>
            </w:pPr>
          </w:p>
        </w:tc>
      </w:tr>
      <w:tr w14:paraId="77545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nil"/>
              <w:bottom w:val="nil"/>
              <w:right w:val="single" w:color="auto" w:sz="4" w:space="0"/>
            </w:tcBorders>
            <w:shd w:val="clear" w:color="auto" w:fill="auto"/>
          </w:tcPr>
          <w:p w14:paraId="072B7FD5">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Neuropatija</w:t>
            </w:r>
          </w:p>
        </w:tc>
        <w:tc>
          <w:tcPr>
            <w:tcW w:w="992" w:type="dxa"/>
            <w:tcBorders>
              <w:top w:val="nil"/>
              <w:left w:val="single" w:color="auto" w:sz="4" w:space="0"/>
              <w:bottom w:val="nil"/>
              <w:right w:val="single" w:color="auto" w:sz="4" w:space="0"/>
            </w:tcBorders>
            <w:shd w:val="clear" w:color="auto" w:fill="auto"/>
          </w:tcPr>
          <w:p w14:paraId="2AD3B798">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567" w:type="dxa"/>
            <w:tcBorders>
              <w:top w:val="nil"/>
              <w:left w:val="single" w:color="auto" w:sz="4" w:space="0"/>
              <w:bottom w:val="nil"/>
              <w:right w:val="single" w:color="auto" w:sz="4" w:space="0"/>
            </w:tcBorders>
            <w:shd w:val="clear" w:color="auto" w:fill="auto"/>
          </w:tcPr>
          <w:p w14:paraId="17370054">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83" w:type="dxa"/>
            <w:tcBorders>
              <w:top w:val="nil"/>
              <w:left w:val="single" w:color="auto" w:sz="4" w:space="0"/>
              <w:bottom w:val="nil"/>
              <w:right w:val="single" w:color="auto" w:sz="4" w:space="0"/>
            </w:tcBorders>
            <w:shd w:val="clear" w:color="auto" w:fill="auto"/>
          </w:tcPr>
          <w:p w14:paraId="34145100">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876" w:type="dxa"/>
            <w:tcBorders>
              <w:top w:val="nil"/>
              <w:left w:val="single" w:color="auto" w:sz="4" w:space="0"/>
              <w:bottom w:val="nil"/>
              <w:right w:val="single" w:color="auto" w:sz="4" w:space="0"/>
            </w:tcBorders>
            <w:shd w:val="clear" w:color="auto" w:fill="auto"/>
          </w:tcPr>
          <w:p w14:paraId="0A742ADB">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13</w:t>
            </w:r>
          </w:p>
        </w:tc>
        <w:tc>
          <w:tcPr>
            <w:tcW w:w="660" w:type="dxa"/>
            <w:tcBorders>
              <w:top w:val="nil"/>
              <w:left w:val="single" w:color="auto" w:sz="4" w:space="0"/>
              <w:bottom w:val="nil"/>
              <w:right w:val="single" w:color="auto" w:sz="4" w:space="0"/>
            </w:tcBorders>
            <w:shd w:val="clear" w:color="auto" w:fill="auto"/>
          </w:tcPr>
          <w:p w14:paraId="259CD815">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w:t>
            </w:r>
          </w:p>
        </w:tc>
        <w:tc>
          <w:tcPr>
            <w:tcW w:w="688" w:type="dxa"/>
            <w:tcBorders>
              <w:top w:val="nil"/>
              <w:left w:val="single" w:color="auto" w:sz="4" w:space="0"/>
              <w:bottom w:val="nil"/>
              <w:right w:val="single" w:color="auto" w:sz="4" w:space="0"/>
            </w:tcBorders>
            <w:shd w:val="clear" w:color="auto" w:fill="auto"/>
          </w:tcPr>
          <w:p w14:paraId="0D1A6886">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&lt;1</w:t>
            </w:r>
          </w:p>
        </w:tc>
        <w:tc>
          <w:tcPr>
            <w:tcW w:w="672" w:type="dxa"/>
            <w:tcBorders>
              <w:top w:val="nil"/>
              <w:left w:val="single" w:color="auto" w:sz="4" w:space="0"/>
              <w:bottom w:val="nil"/>
              <w:right w:val="single" w:color="auto" w:sz="4" w:space="0"/>
            </w:tcBorders>
            <w:shd w:val="clear" w:color="auto" w:fill="auto"/>
          </w:tcPr>
          <w:p w14:paraId="49289211">
            <w:pPr>
              <w:tabs>
                <w:tab w:val="left" w:pos="567"/>
                <w:tab w:val="clear" w:pos="284"/>
              </w:tabs>
              <w:rPr>
                <w:rFonts w:ascii="Microsoft Sans Serif" w:hAnsi="Microsoft Sans Serif" w:cs="Microsoft Sans Serif"/>
                <w:sz w:val="20"/>
                <w:szCs w:val="20"/>
                <w:u w:val="single"/>
                <w:lang w:val="en-GB"/>
              </w:rPr>
            </w:pPr>
          </w:p>
        </w:tc>
        <w:tc>
          <w:tcPr>
            <w:tcW w:w="672" w:type="dxa"/>
            <w:tcBorders>
              <w:top w:val="nil"/>
              <w:left w:val="single" w:color="auto" w:sz="4" w:space="0"/>
              <w:bottom w:val="nil"/>
              <w:right w:val="single" w:color="auto" w:sz="4" w:space="0"/>
            </w:tcBorders>
            <w:shd w:val="clear" w:color="auto" w:fill="auto"/>
          </w:tcPr>
          <w:p w14:paraId="34786CE8">
            <w:pPr>
              <w:tabs>
                <w:tab w:val="left" w:pos="567"/>
                <w:tab w:val="clear" w:pos="284"/>
              </w:tabs>
              <w:rPr>
                <w:rFonts w:ascii="Microsoft Sans Serif" w:hAnsi="Microsoft Sans Serif" w:cs="Microsoft Sans Serif"/>
                <w:sz w:val="20"/>
                <w:szCs w:val="20"/>
                <w:u w:val="single"/>
                <w:lang w:val="en-GB"/>
              </w:rPr>
            </w:pPr>
          </w:p>
        </w:tc>
        <w:tc>
          <w:tcPr>
            <w:tcW w:w="557" w:type="dxa"/>
            <w:tcBorders>
              <w:top w:val="nil"/>
              <w:left w:val="single" w:color="auto" w:sz="4" w:space="0"/>
              <w:bottom w:val="nil"/>
              <w:right w:val="single" w:color="auto" w:sz="4" w:space="0"/>
            </w:tcBorders>
            <w:shd w:val="clear" w:color="auto" w:fill="auto"/>
          </w:tcPr>
          <w:p w14:paraId="0AF6D075">
            <w:pPr>
              <w:tabs>
                <w:tab w:val="left" w:pos="567"/>
                <w:tab w:val="clear" w:pos="284"/>
              </w:tabs>
              <w:rPr>
                <w:rFonts w:ascii="Microsoft Sans Serif" w:hAnsi="Microsoft Sans Serif" w:cs="Microsoft Sans Serif"/>
                <w:sz w:val="20"/>
                <w:szCs w:val="20"/>
                <w:u w:val="single"/>
                <w:lang w:val="en-GB"/>
              </w:rPr>
            </w:pPr>
          </w:p>
        </w:tc>
        <w:tc>
          <w:tcPr>
            <w:tcW w:w="1571" w:type="dxa"/>
            <w:tcBorders>
              <w:top w:val="nil"/>
              <w:left w:val="single" w:color="auto" w:sz="4" w:space="0"/>
              <w:bottom w:val="nil"/>
            </w:tcBorders>
            <w:shd w:val="clear" w:color="auto" w:fill="auto"/>
          </w:tcPr>
          <w:p w14:paraId="39A7D99E">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česta</w:t>
            </w:r>
          </w:p>
        </w:tc>
      </w:tr>
      <w:tr w14:paraId="06AB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nil"/>
              <w:bottom w:val="single" w:color="auto" w:sz="4" w:space="0"/>
              <w:right w:val="single" w:color="auto" w:sz="4" w:space="0"/>
            </w:tcBorders>
            <w:shd w:val="clear" w:color="auto" w:fill="auto"/>
          </w:tcPr>
          <w:p w14:paraId="79804C0C">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Glavobolјa</w:t>
            </w:r>
          </w:p>
        </w:tc>
        <w:tc>
          <w:tcPr>
            <w:tcW w:w="992" w:type="dxa"/>
            <w:tcBorders>
              <w:top w:val="nil"/>
              <w:left w:val="single" w:color="auto" w:sz="4" w:space="0"/>
              <w:bottom w:val="single" w:color="auto" w:sz="4" w:space="0"/>
              <w:right w:val="single" w:color="auto" w:sz="4" w:space="0"/>
            </w:tcBorders>
            <w:shd w:val="clear" w:color="auto" w:fill="auto"/>
          </w:tcPr>
          <w:p w14:paraId="49F2547B">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567" w:type="dxa"/>
            <w:tcBorders>
              <w:top w:val="nil"/>
              <w:left w:val="single" w:color="auto" w:sz="4" w:space="0"/>
              <w:bottom w:val="single" w:color="auto" w:sz="4" w:space="0"/>
              <w:right w:val="single" w:color="auto" w:sz="4" w:space="0"/>
            </w:tcBorders>
            <w:shd w:val="clear" w:color="auto" w:fill="auto"/>
          </w:tcPr>
          <w:p w14:paraId="709FD0B7">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83" w:type="dxa"/>
            <w:tcBorders>
              <w:top w:val="nil"/>
              <w:left w:val="single" w:color="auto" w:sz="4" w:space="0"/>
              <w:bottom w:val="single" w:color="auto" w:sz="4" w:space="0"/>
              <w:right w:val="single" w:color="auto" w:sz="4" w:space="0"/>
            </w:tcBorders>
            <w:shd w:val="clear" w:color="auto" w:fill="auto"/>
          </w:tcPr>
          <w:p w14:paraId="3E16FB1C">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876" w:type="dxa"/>
            <w:tcBorders>
              <w:top w:val="nil"/>
              <w:left w:val="single" w:color="auto" w:sz="4" w:space="0"/>
              <w:bottom w:val="single" w:color="auto" w:sz="4" w:space="0"/>
              <w:right w:val="single" w:color="auto" w:sz="4" w:space="0"/>
            </w:tcBorders>
            <w:shd w:val="clear" w:color="auto" w:fill="auto"/>
          </w:tcPr>
          <w:p w14:paraId="12AC3A1D">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15</w:t>
            </w:r>
          </w:p>
        </w:tc>
        <w:tc>
          <w:tcPr>
            <w:tcW w:w="660" w:type="dxa"/>
            <w:tcBorders>
              <w:top w:val="nil"/>
              <w:left w:val="single" w:color="auto" w:sz="4" w:space="0"/>
              <w:bottom w:val="single" w:color="auto" w:sz="4" w:space="0"/>
              <w:right w:val="single" w:color="auto" w:sz="4" w:space="0"/>
            </w:tcBorders>
            <w:shd w:val="clear" w:color="auto" w:fill="auto"/>
          </w:tcPr>
          <w:p w14:paraId="743E3550">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&lt;1</w:t>
            </w:r>
          </w:p>
        </w:tc>
        <w:tc>
          <w:tcPr>
            <w:tcW w:w="688" w:type="dxa"/>
            <w:tcBorders>
              <w:top w:val="nil"/>
              <w:left w:val="single" w:color="auto" w:sz="4" w:space="0"/>
              <w:bottom w:val="single" w:color="auto" w:sz="4" w:space="0"/>
              <w:right w:val="single" w:color="auto" w:sz="4" w:space="0"/>
            </w:tcBorders>
            <w:shd w:val="clear" w:color="auto" w:fill="auto"/>
          </w:tcPr>
          <w:p w14:paraId="1190228B">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w:t>
            </w:r>
          </w:p>
        </w:tc>
        <w:tc>
          <w:tcPr>
            <w:tcW w:w="672" w:type="dxa"/>
            <w:tcBorders>
              <w:top w:val="nil"/>
              <w:left w:val="single" w:color="auto" w:sz="4" w:space="0"/>
              <w:bottom w:val="single" w:color="auto" w:sz="4" w:space="0"/>
              <w:right w:val="single" w:color="auto" w:sz="4" w:space="0"/>
            </w:tcBorders>
            <w:shd w:val="clear" w:color="auto" w:fill="auto"/>
          </w:tcPr>
          <w:p w14:paraId="6189F84C">
            <w:pPr>
              <w:tabs>
                <w:tab w:val="left" w:pos="567"/>
                <w:tab w:val="clear" w:pos="284"/>
              </w:tabs>
              <w:rPr>
                <w:rFonts w:ascii="Microsoft Sans Serif" w:hAnsi="Microsoft Sans Serif" w:cs="Microsoft Sans Serif"/>
                <w:sz w:val="20"/>
                <w:szCs w:val="20"/>
                <w:u w:val="single"/>
                <w:lang w:val="en-GB"/>
              </w:rPr>
            </w:pPr>
          </w:p>
        </w:tc>
        <w:tc>
          <w:tcPr>
            <w:tcW w:w="672" w:type="dxa"/>
            <w:tcBorders>
              <w:top w:val="nil"/>
              <w:left w:val="single" w:color="auto" w:sz="4" w:space="0"/>
              <w:bottom w:val="single" w:color="auto" w:sz="4" w:space="0"/>
              <w:right w:val="single" w:color="auto" w:sz="4" w:space="0"/>
            </w:tcBorders>
            <w:shd w:val="clear" w:color="auto" w:fill="auto"/>
          </w:tcPr>
          <w:p w14:paraId="05077898">
            <w:pPr>
              <w:tabs>
                <w:tab w:val="left" w:pos="567"/>
                <w:tab w:val="clear" w:pos="284"/>
              </w:tabs>
              <w:rPr>
                <w:rFonts w:ascii="Microsoft Sans Serif" w:hAnsi="Microsoft Sans Serif" w:cs="Microsoft Sans Serif"/>
                <w:sz w:val="20"/>
                <w:szCs w:val="20"/>
                <w:u w:val="single"/>
                <w:lang w:val="en-GB"/>
              </w:rPr>
            </w:pPr>
          </w:p>
        </w:tc>
        <w:tc>
          <w:tcPr>
            <w:tcW w:w="557" w:type="dxa"/>
            <w:tcBorders>
              <w:top w:val="nil"/>
              <w:left w:val="single" w:color="auto" w:sz="4" w:space="0"/>
              <w:bottom w:val="single" w:color="auto" w:sz="4" w:space="0"/>
              <w:right w:val="single" w:color="auto" w:sz="4" w:space="0"/>
            </w:tcBorders>
            <w:shd w:val="clear" w:color="auto" w:fill="auto"/>
          </w:tcPr>
          <w:p w14:paraId="0AAA11CD">
            <w:pPr>
              <w:tabs>
                <w:tab w:val="left" w:pos="567"/>
                <w:tab w:val="clear" w:pos="284"/>
              </w:tabs>
              <w:rPr>
                <w:rFonts w:ascii="Microsoft Sans Serif" w:hAnsi="Microsoft Sans Serif" w:cs="Microsoft Sans Serif"/>
                <w:sz w:val="20"/>
                <w:szCs w:val="20"/>
                <w:u w:val="single"/>
                <w:lang w:val="en-GB"/>
              </w:rPr>
            </w:pPr>
          </w:p>
        </w:tc>
        <w:tc>
          <w:tcPr>
            <w:tcW w:w="1571" w:type="dxa"/>
            <w:tcBorders>
              <w:top w:val="nil"/>
              <w:left w:val="single" w:color="auto" w:sz="4" w:space="0"/>
              <w:bottom w:val="single" w:color="auto" w:sz="4" w:space="0"/>
            </w:tcBorders>
            <w:shd w:val="clear" w:color="auto" w:fill="auto"/>
          </w:tcPr>
          <w:p w14:paraId="397989E3">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česta</w:t>
            </w:r>
          </w:p>
        </w:tc>
      </w:tr>
      <w:tr w14:paraId="5FB90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bottom w:val="nil"/>
              <w:right w:val="single" w:color="auto" w:sz="4" w:space="0"/>
            </w:tcBorders>
            <w:shd w:val="clear" w:color="auto" w:fill="auto"/>
          </w:tcPr>
          <w:p w14:paraId="033CE6A6">
            <w:pPr>
              <w:tabs>
                <w:tab w:val="left" w:pos="567"/>
                <w:tab w:val="clear" w:pos="284"/>
              </w:tabs>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Respiratorni</w:t>
            </w:r>
            <w:r>
              <w:rPr>
                <w:rFonts w:ascii="Microsoft Sans Serif" w:hAnsi="Microsoft Sans Serif" w:cs="Microsoft Sans Serif"/>
                <w:i/>
                <w:sz w:val="20"/>
                <w:szCs w:val="20"/>
                <w:lang w:val="sv-SE"/>
              </w:rPr>
              <w:t>, torakalni i medijastinalni poremećaji</w:t>
            </w:r>
          </w:p>
        </w:tc>
        <w:tc>
          <w:tcPr>
            <w:tcW w:w="992" w:type="dxa"/>
            <w:tcBorders>
              <w:left w:val="single" w:color="auto" w:sz="4" w:space="0"/>
              <w:bottom w:val="nil"/>
              <w:right w:val="single" w:color="auto" w:sz="4" w:space="0"/>
            </w:tcBorders>
            <w:shd w:val="clear" w:color="auto" w:fill="auto"/>
          </w:tcPr>
          <w:p w14:paraId="52691797">
            <w:pPr>
              <w:tabs>
                <w:tab w:val="left" w:pos="567"/>
                <w:tab w:val="clear" w:pos="284"/>
              </w:tabs>
              <w:rPr>
                <w:rFonts w:ascii="Microsoft Sans Serif" w:hAnsi="Microsoft Sans Serif" w:cs="Microsoft Sans Serif"/>
                <w:sz w:val="20"/>
                <w:szCs w:val="20"/>
                <w:u w:val="single"/>
                <w:lang w:val="sv-SE"/>
              </w:rPr>
            </w:pPr>
          </w:p>
        </w:tc>
        <w:tc>
          <w:tcPr>
            <w:tcW w:w="567" w:type="dxa"/>
            <w:tcBorders>
              <w:left w:val="single" w:color="auto" w:sz="4" w:space="0"/>
              <w:bottom w:val="nil"/>
              <w:right w:val="single" w:color="auto" w:sz="4" w:space="0"/>
            </w:tcBorders>
            <w:shd w:val="clear" w:color="auto" w:fill="auto"/>
          </w:tcPr>
          <w:p w14:paraId="24BAD8EC">
            <w:pPr>
              <w:tabs>
                <w:tab w:val="left" w:pos="567"/>
                <w:tab w:val="clear" w:pos="284"/>
              </w:tabs>
              <w:rPr>
                <w:rFonts w:ascii="Microsoft Sans Serif" w:hAnsi="Microsoft Sans Serif" w:cs="Microsoft Sans Serif"/>
                <w:sz w:val="20"/>
                <w:szCs w:val="20"/>
                <w:u w:val="single"/>
                <w:lang w:val="sv-SE"/>
              </w:rPr>
            </w:pPr>
          </w:p>
        </w:tc>
        <w:tc>
          <w:tcPr>
            <w:tcW w:w="683" w:type="dxa"/>
            <w:tcBorders>
              <w:left w:val="single" w:color="auto" w:sz="4" w:space="0"/>
              <w:bottom w:val="nil"/>
              <w:right w:val="single" w:color="auto" w:sz="4" w:space="0"/>
            </w:tcBorders>
            <w:shd w:val="clear" w:color="auto" w:fill="auto"/>
          </w:tcPr>
          <w:p w14:paraId="2F2090C7">
            <w:pPr>
              <w:tabs>
                <w:tab w:val="left" w:pos="567"/>
                <w:tab w:val="clear" w:pos="284"/>
              </w:tabs>
              <w:rPr>
                <w:rFonts w:ascii="Microsoft Sans Serif" w:hAnsi="Microsoft Sans Serif" w:cs="Microsoft Sans Serif"/>
                <w:sz w:val="20"/>
                <w:szCs w:val="20"/>
                <w:u w:val="single"/>
                <w:lang w:val="sv-SE"/>
              </w:rPr>
            </w:pPr>
          </w:p>
        </w:tc>
        <w:tc>
          <w:tcPr>
            <w:tcW w:w="876" w:type="dxa"/>
            <w:tcBorders>
              <w:left w:val="single" w:color="auto" w:sz="4" w:space="0"/>
              <w:bottom w:val="nil"/>
              <w:right w:val="single" w:color="auto" w:sz="4" w:space="0"/>
            </w:tcBorders>
            <w:shd w:val="clear" w:color="auto" w:fill="auto"/>
          </w:tcPr>
          <w:p w14:paraId="0F5F013B">
            <w:pPr>
              <w:tabs>
                <w:tab w:val="left" w:pos="567"/>
                <w:tab w:val="clear" w:pos="284"/>
              </w:tabs>
              <w:rPr>
                <w:rFonts w:ascii="Microsoft Sans Serif" w:hAnsi="Microsoft Sans Serif" w:cs="Microsoft Sans Serif"/>
                <w:sz w:val="20"/>
                <w:szCs w:val="20"/>
                <w:u w:val="single"/>
                <w:lang w:val="sv-SE"/>
              </w:rPr>
            </w:pPr>
          </w:p>
        </w:tc>
        <w:tc>
          <w:tcPr>
            <w:tcW w:w="660" w:type="dxa"/>
            <w:tcBorders>
              <w:left w:val="single" w:color="auto" w:sz="4" w:space="0"/>
              <w:bottom w:val="nil"/>
              <w:right w:val="single" w:color="auto" w:sz="4" w:space="0"/>
            </w:tcBorders>
            <w:shd w:val="clear" w:color="auto" w:fill="auto"/>
          </w:tcPr>
          <w:p w14:paraId="4ABEED3B">
            <w:pPr>
              <w:tabs>
                <w:tab w:val="left" w:pos="567"/>
                <w:tab w:val="clear" w:pos="284"/>
              </w:tabs>
              <w:rPr>
                <w:rFonts w:ascii="Microsoft Sans Serif" w:hAnsi="Microsoft Sans Serif" w:cs="Microsoft Sans Serif"/>
                <w:sz w:val="20"/>
                <w:szCs w:val="20"/>
                <w:u w:val="single"/>
                <w:lang w:val="sv-SE"/>
              </w:rPr>
            </w:pPr>
          </w:p>
        </w:tc>
        <w:tc>
          <w:tcPr>
            <w:tcW w:w="688" w:type="dxa"/>
            <w:tcBorders>
              <w:left w:val="single" w:color="auto" w:sz="4" w:space="0"/>
              <w:bottom w:val="nil"/>
              <w:right w:val="single" w:color="auto" w:sz="4" w:space="0"/>
            </w:tcBorders>
            <w:shd w:val="clear" w:color="auto" w:fill="auto"/>
          </w:tcPr>
          <w:p w14:paraId="199FBE23">
            <w:pPr>
              <w:tabs>
                <w:tab w:val="left" w:pos="567"/>
                <w:tab w:val="clear" w:pos="284"/>
              </w:tabs>
              <w:rPr>
                <w:rFonts w:ascii="Microsoft Sans Serif" w:hAnsi="Microsoft Sans Serif" w:cs="Microsoft Sans Serif"/>
                <w:sz w:val="20"/>
                <w:szCs w:val="20"/>
                <w:u w:val="single"/>
                <w:lang w:val="sv-SE"/>
              </w:rPr>
            </w:pPr>
          </w:p>
        </w:tc>
        <w:tc>
          <w:tcPr>
            <w:tcW w:w="672" w:type="dxa"/>
            <w:tcBorders>
              <w:left w:val="single" w:color="auto" w:sz="4" w:space="0"/>
              <w:bottom w:val="nil"/>
              <w:right w:val="single" w:color="auto" w:sz="4" w:space="0"/>
            </w:tcBorders>
            <w:shd w:val="clear" w:color="auto" w:fill="auto"/>
          </w:tcPr>
          <w:p w14:paraId="204E060E">
            <w:pPr>
              <w:tabs>
                <w:tab w:val="left" w:pos="567"/>
                <w:tab w:val="clear" w:pos="284"/>
              </w:tabs>
              <w:rPr>
                <w:rFonts w:ascii="Microsoft Sans Serif" w:hAnsi="Microsoft Sans Serif" w:cs="Microsoft Sans Serif"/>
                <w:sz w:val="20"/>
                <w:szCs w:val="20"/>
                <w:u w:val="single"/>
                <w:lang w:val="sv-SE"/>
              </w:rPr>
            </w:pPr>
          </w:p>
        </w:tc>
        <w:tc>
          <w:tcPr>
            <w:tcW w:w="672" w:type="dxa"/>
            <w:tcBorders>
              <w:left w:val="single" w:color="auto" w:sz="4" w:space="0"/>
              <w:bottom w:val="nil"/>
              <w:right w:val="single" w:color="auto" w:sz="4" w:space="0"/>
            </w:tcBorders>
            <w:shd w:val="clear" w:color="auto" w:fill="auto"/>
          </w:tcPr>
          <w:p w14:paraId="6C4B098C">
            <w:pPr>
              <w:tabs>
                <w:tab w:val="left" w:pos="567"/>
                <w:tab w:val="clear" w:pos="284"/>
              </w:tabs>
              <w:rPr>
                <w:rFonts w:ascii="Microsoft Sans Serif" w:hAnsi="Microsoft Sans Serif" w:cs="Microsoft Sans Serif"/>
                <w:sz w:val="20"/>
                <w:szCs w:val="20"/>
                <w:u w:val="single"/>
                <w:lang w:val="sv-SE"/>
              </w:rPr>
            </w:pPr>
          </w:p>
        </w:tc>
        <w:tc>
          <w:tcPr>
            <w:tcW w:w="557" w:type="dxa"/>
            <w:tcBorders>
              <w:left w:val="single" w:color="auto" w:sz="4" w:space="0"/>
              <w:bottom w:val="nil"/>
              <w:right w:val="single" w:color="auto" w:sz="4" w:space="0"/>
            </w:tcBorders>
            <w:shd w:val="clear" w:color="auto" w:fill="auto"/>
          </w:tcPr>
          <w:p w14:paraId="15BA1E1F">
            <w:pPr>
              <w:tabs>
                <w:tab w:val="left" w:pos="567"/>
                <w:tab w:val="clear" w:pos="284"/>
              </w:tabs>
              <w:rPr>
                <w:rFonts w:ascii="Microsoft Sans Serif" w:hAnsi="Microsoft Sans Serif" w:cs="Microsoft Sans Serif"/>
                <w:sz w:val="20"/>
                <w:szCs w:val="20"/>
                <w:u w:val="single"/>
                <w:lang w:val="sv-SE"/>
              </w:rPr>
            </w:pPr>
          </w:p>
        </w:tc>
        <w:tc>
          <w:tcPr>
            <w:tcW w:w="1571" w:type="dxa"/>
            <w:tcBorders>
              <w:left w:val="single" w:color="auto" w:sz="4" w:space="0"/>
              <w:bottom w:val="nil"/>
            </w:tcBorders>
            <w:shd w:val="clear" w:color="auto" w:fill="auto"/>
          </w:tcPr>
          <w:p w14:paraId="20225239">
            <w:pPr>
              <w:tabs>
                <w:tab w:val="left" w:pos="567"/>
                <w:tab w:val="clear" w:pos="284"/>
              </w:tabs>
              <w:rPr>
                <w:rFonts w:ascii="Microsoft Sans Serif" w:hAnsi="Microsoft Sans Serif" w:cs="Microsoft Sans Serif"/>
                <w:sz w:val="20"/>
                <w:szCs w:val="20"/>
                <w:u w:val="single"/>
                <w:lang w:val="sv-SE"/>
              </w:rPr>
            </w:pPr>
          </w:p>
        </w:tc>
      </w:tr>
      <w:tr w14:paraId="47F3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nil"/>
              <w:bottom w:val="nil"/>
              <w:right w:val="single" w:color="auto" w:sz="4" w:space="0"/>
            </w:tcBorders>
            <w:shd w:val="clear" w:color="auto" w:fill="auto"/>
          </w:tcPr>
          <w:p w14:paraId="588FE3D7">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Dispena</w:t>
            </w:r>
          </w:p>
        </w:tc>
        <w:tc>
          <w:tcPr>
            <w:tcW w:w="992" w:type="dxa"/>
            <w:tcBorders>
              <w:top w:val="nil"/>
              <w:left w:val="single" w:color="auto" w:sz="4" w:space="0"/>
              <w:bottom w:val="nil"/>
              <w:right w:val="single" w:color="auto" w:sz="4" w:space="0"/>
            </w:tcBorders>
            <w:shd w:val="clear" w:color="auto" w:fill="auto"/>
          </w:tcPr>
          <w:p w14:paraId="23249203">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41</w:t>
            </w:r>
          </w:p>
        </w:tc>
        <w:tc>
          <w:tcPr>
            <w:tcW w:w="567" w:type="dxa"/>
            <w:tcBorders>
              <w:top w:val="nil"/>
              <w:left w:val="single" w:color="auto" w:sz="4" w:space="0"/>
              <w:bottom w:val="nil"/>
              <w:right w:val="single" w:color="auto" w:sz="4" w:space="0"/>
            </w:tcBorders>
            <w:shd w:val="clear" w:color="auto" w:fill="auto"/>
          </w:tcPr>
          <w:p w14:paraId="4D024DF0">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17</w:t>
            </w:r>
          </w:p>
        </w:tc>
        <w:tc>
          <w:tcPr>
            <w:tcW w:w="683" w:type="dxa"/>
            <w:tcBorders>
              <w:top w:val="nil"/>
              <w:left w:val="single" w:color="auto" w:sz="4" w:space="0"/>
              <w:bottom w:val="nil"/>
              <w:right w:val="single" w:color="auto" w:sz="4" w:space="0"/>
            </w:tcBorders>
            <w:shd w:val="clear" w:color="auto" w:fill="auto"/>
          </w:tcPr>
          <w:p w14:paraId="6C74C9A6">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11</w:t>
            </w:r>
          </w:p>
        </w:tc>
        <w:tc>
          <w:tcPr>
            <w:tcW w:w="876" w:type="dxa"/>
            <w:tcBorders>
              <w:top w:val="nil"/>
              <w:left w:val="single" w:color="auto" w:sz="4" w:space="0"/>
              <w:bottom w:val="nil"/>
              <w:right w:val="single" w:color="auto" w:sz="4" w:space="0"/>
            </w:tcBorders>
            <w:shd w:val="clear" w:color="auto" w:fill="auto"/>
          </w:tcPr>
          <w:p w14:paraId="5768E0DC">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60" w:type="dxa"/>
            <w:tcBorders>
              <w:top w:val="nil"/>
              <w:left w:val="single" w:color="auto" w:sz="4" w:space="0"/>
              <w:bottom w:val="nil"/>
              <w:right w:val="single" w:color="auto" w:sz="4" w:space="0"/>
            </w:tcBorders>
            <w:shd w:val="clear" w:color="auto" w:fill="auto"/>
          </w:tcPr>
          <w:p w14:paraId="6D8745FD">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88" w:type="dxa"/>
            <w:tcBorders>
              <w:top w:val="nil"/>
              <w:left w:val="single" w:color="auto" w:sz="4" w:space="0"/>
              <w:bottom w:val="nil"/>
              <w:right w:val="single" w:color="auto" w:sz="4" w:space="0"/>
            </w:tcBorders>
            <w:shd w:val="clear" w:color="auto" w:fill="auto"/>
          </w:tcPr>
          <w:p w14:paraId="7994F497">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72" w:type="dxa"/>
            <w:tcBorders>
              <w:top w:val="nil"/>
              <w:left w:val="single" w:color="auto" w:sz="4" w:space="0"/>
              <w:bottom w:val="nil"/>
              <w:right w:val="single" w:color="auto" w:sz="4" w:space="0"/>
            </w:tcBorders>
            <w:shd w:val="clear" w:color="auto" w:fill="auto"/>
          </w:tcPr>
          <w:p w14:paraId="62784475">
            <w:pPr>
              <w:tabs>
                <w:tab w:val="left" w:pos="567"/>
                <w:tab w:val="clear" w:pos="284"/>
              </w:tabs>
              <w:rPr>
                <w:rFonts w:ascii="Microsoft Sans Serif" w:hAnsi="Microsoft Sans Serif" w:cs="Microsoft Sans Serif"/>
                <w:sz w:val="20"/>
                <w:szCs w:val="20"/>
                <w:u w:val="single"/>
                <w:lang w:val="en-GB"/>
              </w:rPr>
            </w:pPr>
          </w:p>
        </w:tc>
        <w:tc>
          <w:tcPr>
            <w:tcW w:w="672" w:type="dxa"/>
            <w:tcBorders>
              <w:top w:val="nil"/>
              <w:left w:val="single" w:color="auto" w:sz="4" w:space="0"/>
              <w:bottom w:val="nil"/>
              <w:right w:val="single" w:color="auto" w:sz="4" w:space="0"/>
            </w:tcBorders>
            <w:shd w:val="clear" w:color="auto" w:fill="auto"/>
          </w:tcPr>
          <w:p w14:paraId="3AE7233B">
            <w:pPr>
              <w:tabs>
                <w:tab w:val="left" w:pos="567"/>
                <w:tab w:val="clear" w:pos="284"/>
              </w:tabs>
              <w:rPr>
                <w:rFonts w:ascii="Microsoft Sans Serif" w:hAnsi="Microsoft Sans Serif" w:cs="Microsoft Sans Serif"/>
                <w:sz w:val="20"/>
                <w:szCs w:val="20"/>
                <w:u w:val="single"/>
                <w:lang w:val="en-GB"/>
              </w:rPr>
            </w:pPr>
          </w:p>
        </w:tc>
        <w:tc>
          <w:tcPr>
            <w:tcW w:w="557" w:type="dxa"/>
            <w:tcBorders>
              <w:top w:val="nil"/>
              <w:left w:val="single" w:color="auto" w:sz="4" w:space="0"/>
              <w:bottom w:val="nil"/>
              <w:right w:val="single" w:color="auto" w:sz="4" w:space="0"/>
            </w:tcBorders>
            <w:shd w:val="clear" w:color="auto" w:fill="auto"/>
          </w:tcPr>
          <w:p w14:paraId="503F6965">
            <w:pPr>
              <w:tabs>
                <w:tab w:val="left" w:pos="567"/>
                <w:tab w:val="clear" w:pos="284"/>
              </w:tabs>
              <w:rPr>
                <w:rFonts w:ascii="Microsoft Sans Serif" w:hAnsi="Microsoft Sans Serif" w:cs="Microsoft Sans Serif"/>
                <w:sz w:val="20"/>
                <w:szCs w:val="20"/>
                <w:u w:val="single"/>
                <w:lang w:val="en-GB"/>
              </w:rPr>
            </w:pPr>
          </w:p>
        </w:tc>
        <w:tc>
          <w:tcPr>
            <w:tcW w:w="1571" w:type="dxa"/>
            <w:tcBorders>
              <w:top w:val="nil"/>
              <w:left w:val="single" w:color="auto" w:sz="4" w:space="0"/>
              <w:bottom w:val="nil"/>
            </w:tcBorders>
            <w:shd w:val="clear" w:color="auto" w:fill="auto"/>
          </w:tcPr>
          <w:p w14:paraId="2BBB352A">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česta</w:t>
            </w:r>
          </w:p>
        </w:tc>
      </w:tr>
      <w:tr w14:paraId="4DA99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nil"/>
              <w:bottom w:val="single" w:color="auto" w:sz="4" w:space="0"/>
              <w:right w:val="single" w:color="auto" w:sz="4" w:space="0"/>
            </w:tcBorders>
            <w:shd w:val="clear" w:color="auto" w:fill="auto"/>
          </w:tcPr>
          <w:p w14:paraId="5C0BA802">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Kašalј</w:t>
            </w:r>
          </w:p>
        </w:tc>
        <w:tc>
          <w:tcPr>
            <w:tcW w:w="992" w:type="dxa"/>
            <w:tcBorders>
              <w:top w:val="nil"/>
              <w:left w:val="single" w:color="auto" w:sz="4" w:space="0"/>
              <w:bottom w:val="single" w:color="auto" w:sz="4" w:space="0"/>
              <w:right w:val="single" w:color="auto" w:sz="4" w:space="0"/>
            </w:tcBorders>
            <w:shd w:val="clear" w:color="auto" w:fill="auto"/>
          </w:tcPr>
          <w:p w14:paraId="46393862">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33</w:t>
            </w:r>
          </w:p>
        </w:tc>
        <w:tc>
          <w:tcPr>
            <w:tcW w:w="567" w:type="dxa"/>
            <w:tcBorders>
              <w:top w:val="nil"/>
              <w:left w:val="single" w:color="auto" w:sz="4" w:space="0"/>
              <w:bottom w:val="single" w:color="auto" w:sz="4" w:space="0"/>
              <w:right w:val="single" w:color="auto" w:sz="4" w:space="0"/>
            </w:tcBorders>
            <w:shd w:val="clear" w:color="auto" w:fill="auto"/>
          </w:tcPr>
          <w:p w14:paraId="1C34D169">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4</w:t>
            </w:r>
          </w:p>
        </w:tc>
        <w:tc>
          <w:tcPr>
            <w:tcW w:w="683" w:type="dxa"/>
            <w:tcBorders>
              <w:top w:val="nil"/>
              <w:left w:val="single" w:color="auto" w:sz="4" w:space="0"/>
              <w:bottom w:val="single" w:color="auto" w:sz="4" w:space="0"/>
              <w:right w:val="single" w:color="auto" w:sz="4" w:space="0"/>
            </w:tcBorders>
            <w:shd w:val="clear" w:color="auto" w:fill="auto"/>
          </w:tcPr>
          <w:p w14:paraId="31525966">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w:t>
            </w:r>
          </w:p>
        </w:tc>
        <w:tc>
          <w:tcPr>
            <w:tcW w:w="876" w:type="dxa"/>
            <w:tcBorders>
              <w:top w:val="nil"/>
              <w:left w:val="single" w:color="auto" w:sz="4" w:space="0"/>
              <w:bottom w:val="single" w:color="auto" w:sz="4" w:space="0"/>
              <w:right w:val="single" w:color="auto" w:sz="4" w:space="0"/>
            </w:tcBorders>
            <w:shd w:val="clear" w:color="auto" w:fill="auto"/>
          </w:tcPr>
          <w:p w14:paraId="3F3C76FF">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16</w:t>
            </w:r>
          </w:p>
        </w:tc>
        <w:tc>
          <w:tcPr>
            <w:tcW w:w="660" w:type="dxa"/>
            <w:tcBorders>
              <w:top w:val="nil"/>
              <w:left w:val="single" w:color="auto" w:sz="4" w:space="0"/>
              <w:bottom w:val="single" w:color="auto" w:sz="4" w:space="0"/>
              <w:right w:val="single" w:color="auto" w:sz="4" w:space="0"/>
            </w:tcBorders>
            <w:shd w:val="clear" w:color="auto" w:fill="auto"/>
          </w:tcPr>
          <w:p w14:paraId="0DADDF6B">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w:t>
            </w:r>
          </w:p>
        </w:tc>
        <w:tc>
          <w:tcPr>
            <w:tcW w:w="688" w:type="dxa"/>
            <w:tcBorders>
              <w:top w:val="nil"/>
              <w:left w:val="single" w:color="auto" w:sz="4" w:space="0"/>
              <w:bottom w:val="single" w:color="auto" w:sz="4" w:space="0"/>
              <w:right w:val="single" w:color="auto" w:sz="4" w:space="0"/>
            </w:tcBorders>
            <w:shd w:val="clear" w:color="auto" w:fill="auto"/>
          </w:tcPr>
          <w:p w14:paraId="6260C9FC">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w:t>
            </w:r>
          </w:p>
        </w:tc>
        <w:tc>
          <w:tcPr>
            <w:tcW w:w="672" w:type="dxa"/>
            <w:tcBorders>
              <w:top w:val="nil"/>
              <w:left w:val="single" w:color="auto" w:sz="4" w:space="0"/>
              <w:bottom w:val="single" w:color="auto" w:sz="4" w:space="0"/>
              <w:right w:val="single" w:color="auto" w:sz="4" w:space="0"/>
            </w:tcBorders>
            <w:shd w:val="clear" w:color="auto" w:fill="auto"/>
          </w:tcPr>
          <w:p w14:paraId="3631B8A4">
            <w:pPr>
              <w:tabs>
                <w:tab w:val="left" w:pos="567"/>
                <w:tab w:val="clear" w:pos="284"/>
              </w:tabs>
              <w:rPr>
                <w:rFonts w:ascii="Microsoft Sans Serif" w:hAnsi="Microsoft Sans Serif" w:cs="Microsoft Sans Serif"/>
                <w:sz w:val="20"/>
                <w:szCs w:val="20"/>
                <w:u w:val="single"/>
                <w:lang w:val="en-GB"/>
              </w:rPr>
            </w:pPr>
          </w:p>
        </w:tc>
        <w:tc>
          <w:tcPr>
            <w:tcW w:w="672" w:type="dxa"/>
            <w:tcBorders>
              <w:top w:val="nil"/>
              <w:left w:val="single" w:color="auto" w:sz="4" w:space="0"/>
              <w:bottom w:val="single" w:color="auto" w:sz="4" w:space="0"/>
              <w:right w:val="single" w:color="auto" w:sz="4" w:space="0"/>
            </w:tcBorders>
            <w:shd w:val="clear" w:color="auto" w:fill="auto"/>
          </w:tcPr>
          <w:p w14:paraId="2C853B3A">
            <w:pPr>
              <w:tabs>
                <w:tab w:val="left" w:pos="567"/>
                <w:tab w:val="clear" w:pos="284"/>
              </w:tabs>
              <w:rPr>
                <w:rFonts w:ascii="Microsoft Sans Serif" w:hAnsi="Microsoft Sans Serif" w:cs="Microsoft Sans Serif"/>
                <w:sz w:val="20"/>
                <w:szCs w:val="20"/>
                <w:u w:val="single"/>
                <w:lang w:val="en-GB"/>
              </w:rPr>
            </w:pPr>
          </w:p>
        </w:tc>
        <w:tc>
          <w:tcPr>
            <w:tcW w:w="557" w:type="dxa"/>
            <w:tcBorders>
              <w:top w:val="nil"/>
              <w:left w:val="single" w:color="auto" w:sz="4" w:space="0"/>
              <w:bottom w:val="single" w:color="auto" w:sz="4" w:space="0"/>
              <w:right w:val="single" w:color="auto" w:sz="4" w:space="0"/>
            </w:tcBorders>
            <w:shd w:val="clear" w:color="auto" w:fill="auto"/>
          </w:tcPr>
          <w:p w14:paraId="0E3DFD22">
            <w:pPr>
              <w:tabs>
                <w:tab w:val="left" w:pos="567"/>
                <w:tab w:val="clear" w:pos="284"/>
              </w:tabs>
              <w:rPr>
                <w:rFonts w:ascii="Microsoft Sans Serif" w:hAnsi="Microsoft Sans Serif" w:cs="Microsoft Sans Serif"/>
                <w:sz w:val="20"/>
                <w:szCs w:val="20"/>
                <w:u w:val="single"/>
                <w:lang w:val="en-GB"/>
              </w:rPr>
            </w:pPr>
          </w:p>
        </w:tc>
        <w:tc>
          <w:tcPr>
            <w:tcW w:w="1571" w:type="dxa"/>
            <w:tcBorders>
              <w:top w:val="nil"/>
              <w:left w:val="single" w:color="auto" w:sz="4" w:space="0"/>
              <w:bottom w:val="single" w:color="auto" w:sz="4" w:space="0"/>
            </w:tcBorders>
            <w:shd w:val="clear" w:color="auto" w:fill="auto"/>
          </w:tcPr>
          <w:p w14:paraId="7B24CBC1">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veoma česta</w:t>
            </w:r>
          </w:p>
        </w:tc>
      </w:tr>
      <w:tr w14:paraId="0BD3C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bottom w:val="nil"/>
              <w:right w:val="single" w:color="auto" w:sz="4" w:space="0"/>
            </w:tcBorders>
            <w:shd w:val="clear" w:color="auto" w:fill="auto"/>
          </w:tcPr>
          <w:p w14:paraId="7D7D9DDE">
            <w:pPr>
              <w:tabs>
                <w:tab w:val="left" w:pos="567"/>
                <w:tab w:val="clear" w:pos="284"/>
              </w:tabs>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Gastrointestinalni poremećaji</w:t>
            </w:r>
          </w:p>
        </w:tc>
        <w:tc>
          <w:tcPr>
            <w:tcW w:w="992" w:type="dxa"/>
            <w:tcBorders>
              <w:left w:val="single" w:color="auto" w:sz="4" w:space="0"/>
              <w:bottom w:val="nil"/>
              <w:right w:val="single" w:color="auto" w:sz="4" w:space="0"/>
            </w:tcBorders>
            <w:shd w:val="clear" w:color="auto" w:fill="auto"/>
          </w:tcPr>
          <w:p w14:paraId="571E41C9">
            <w:pPr>
              <w:tabs>
                <w:tab w:val="left" w:pos="567"/>
                <w:tab w:val="clear" w:pos="284"/>
              </w:tabs>
              <w:rPr>
                <w:rFonts w:ascii="Microsoft Sans Serif" w:hAnsi="Microsoft Sans Serif" w:cs="Microsoft Sans Serif"/>
                <w:sz w:val="20"/>
                <w:szCs w:val="20"/>
                <w:lang w:val="en-GB"/>
              </w:rPr>
            </w:pPr>
          </w:p>
        </w:tc>
        <w:tc>
          <w:tcPr>
            <w:tcW w:w="567" w:type="dxa"/>
            <w:tcBorders>
              <w:left w:val="single" w:color="auto" w:sz="4" w:space="0"/>
              <w:bottom w:val="nil"/>
              <w:right w:val="single" w:color="auto" w:sz="4" w:space="0"/>
            </w:tcBorders>
            <w:shd w:val="clear" w:color="auto" w:fill="auto"/>
          </w:tcPr>
          <w:p w14:paraId="3ECEAAD7">
            <w:pPr>
              <w:tabs>
                <w:tab w:val="left" w:pos="567"/>
                <w:tab w:val="clear" w:pos="284"/>
              </w:tabs>
              <w:rPr>
                <w:rFonts w:ascii="Microsoft Sans Serif" w:hAnsi="Microsoft Sans Serif" w:cs="Microsoft Sans Serif"/>
                <w:sz w:val="20"/>
                <w:szCs w:val="20"/>
                <w:lang w:val="en-GB"/>
              </w:rPr>
            </w:pPr>
          </w:p>
        </w:tc>
        <w:tc>
          <w:tcPr>
            <w:tcW w:w="683" w:type="dxa"/>
            <w:tcBorders>
              <w:left w:val="single" w:color="auto" w:sz="4" w:space="0"/>
              <w:bottom w:val="nil"/>
              <w:right w:val="single" w:color="auto" w:sz="4" w:space="0"/>
            </w:tcBorders>
            <w:shd w:val="clear" w:color="auto" w:fill="auto"/>
          </w:tcPr>
          <w:p w14:paraId="197CC663">
            <w:pPr>
              <w:tabs>
                <w:tab w:val="left" w:pos="567"/>
                <w:tab w:val="clear" w:pos="284"/>
              </w:tabs>
              <w:rPr>
                <w:rFonts w:ascii="Microsoft Sans Serif" w:hAnsi="Microsoft Sans Serif" w:cs="Microsoft Sans Serif"/>
                <w:sz w:val="20"/>
                <w:szCs w:val="20"/>
                <w:lang w:val="en-GB"/>
              </w:rPr>
            </w:pPr>
          </w:p>
        </w:tc>
        <w:tc>
          <w:tcPr>
            <w:tcW w:w="876" w:type="dxa"/>
            <w:tcBorders>
              <w:left w:val="single" w:color="auto" w:sz="4" w:space="0"/>
              <w:bottom w:val="nil"/>
              <w:right w:val="single" w:color="auto" w:sz="4" w:space="0"/>
            </w:tcBorders>
            <w:shd w:val="clear" w:color="auto" w:fill="auto"/>
          </w:tcPr>
          <w:p w14:paraId="62D373FE">
            <w:pPr>
              <w:tabs>
                <w:tab w:val="left" w:pos="567"/>
                <w:tab w:val="clear" w:pos="284"/>
              </w:tabs>
              <w:rPr>
                <w:rFonts w:ascii="Microsoft Sans Serif" w:hAnsi="Microsoft Sans Serif" w:cs="Microsoft Sans Serif"/>
                <w:sz w:val="20"/>
                <w:szCs w:val="20"/>
                <w:lang w:val="en-GB"/>
              </w:rPr>
            </w:pPr>
          </w:p>
        </w:tc>
        <w:tc>
          <w:tcPr>
            <w:tcW w:w="660" w:type="dxa"/>
            <w:tcBorders>
              <w:left w:val="single" w:color="auto" w:sz="4" w:space="0"/>
              <w:bottom w:val="nil"/>
              <w:right w:val="single" w:color="auto" w:sz="4" w:space="0"/>
            </w:tcBorders>
            <w:shd w:val="clear" w:color="auto" w:fill="auto"/>
          </w:tcPr>
          <w:p w14:paraId="6515C1AB">
            <w:pPr>
              <w:tabs>
                <w:tab w:val="left" w:pos="567"/>
                <w:tab w:val="clear" w:pos="284"/>
              </w:tabs>
              <w:rPr>
                <w:rFonts w:ascii="Microsoft Sans Serif" w:hAnsi="Microsoft Sans Serif" w:cs="Microsoft Sans Serif"/>
                <w:sz w:val="20"/>
                <w:szCs w:val="20"/>
                <w:lang w:val="en-GB"/>
              </w:rPr>
            </w:pPr>
          </w:p>
        </w:tc>
        <w:tc>
          <w:tcPr>
            <w:tcW w:w="688" w:type="dxa"/>
            <w:tcBorders>
              <w:left w:val="single" w:color="auto" w:sz="4" w:space="0"/>
              <w:bottom w:val="nil"/>
              <w:right w:val="single" w:color="auto" w:sz="4" w:space="0"/>
            </w:tcBorders>
            <w:shd w:val="clear" w:color="auto" w:fill="auto"/>
          </w:tcPr>
          <w:p w14:paraId="0EB3BAA1">
            <w:pPr>
              <w:tabs>
                <w:tab w:val="left" w:pos="567"/>
                <w:tab w:val="clear" w:pos="284"/>
              </w:tabs>
              <w:rPr>
                <w:rFonts w:ascii="Microsoft Sans Serif" w:hAnsi="Microsoft Sans Serif" w:cs="Microsoft Sans Serif"/>
                <w:sz w:val="20"/>
                <w:szCs w:val="20"/>
                <w:lang w:val="en-GB"/>
              </w:rPr>
            </w:pPr>
          </w:p>
        </w:tc>
        <w:tc>
          <w:tcPr>
            <w:tcW w:w="672" w:type="dxa"/>
            <w:tcBorders>
              <w:left w:val="single" w:color="auto" w:sz="4" w:space="0"/>
              <w:bottom w:val="nil"/>
              <w:right w:val="single" w:color="auto" w:sz="4" w:space="0"/>
            </w:tcBorders>
            <w:shd w:val="clear" w:color="auto" w:fill="auto"/>
          </w:tcPr>
          <w:p w14:paraId="200B6F7B">
            <w:pPr>
              <w:tabs>
                <w:tab w:val="left" w:pos="567"/>
                <w:tab w:val="clear" w:pos="284"/>
              </w:tabs>
              <w:rPr>
                <w:rFonts w:ascii="Microsoft Sans Serif" w:hAnsi="Microsoft Sans Serif" w:cs="Microsoft Sans Serif"/>
                <w:sz w:val="20"/>
                <w:szCs w:val="20"/>
                <w:lang w:val="en-GB"/>
              </w:rPr>
            </w:pPr>
          </w:p>
        </w:tc>
        <w:tc>
          <w:tcPr>
            <w:tcW w:w="672" w:type="dxa"/>
            <w:tcBorders>
              <w:left w:val="single" w:color="auto" w:sz="4" w:space="0"/>
              <w:bottom w:val="nil"/>
              <w:right w:val="single" w:color="auto" w:sz="4" w:space="0"/>
            </w:tcBorders>
            <w:shd w:val="clear" w:color="auto" w:fill="auto"/>
          </w:tcPr>
          <w:p w14:paraId="71C095FA">
            <w:pPr>
              <w:tabs>
                <w:tab w:val="left" w:pos="567"/>
                <w:tab w:val="clear" w:pos="284"/>
              </w:tabs>
              <w:rPr>
                <w:rFonts w:ascii="Microsoft Sans Serif" w:hAnsi="Microsoft Sans Serif" w:cs="Microsoft Sans Serif"/>
                <w:sz w:val="20"/>
                <w:szCs w:val="20"/>
                <w:lang w:val="en-GB"/>
              </w:rPr>
            </w:pPr>
          </w:p>
        </w:tc>
        <w:tc>
          <w:tcPr>
            <w:tcW w:w="557" w:type="dxa"/>
            <w:tcBorders>
              <w:left w:val="single" w:color="auto" w:sz="4" w:space="0"/>
              <w:bottom w:val="nil"/>
              <w:right w:val="single" w:color="auto" w:sz="4" w:space="0"/>
            </w:tcBorders>
            <w:shd w:val="clear" w:color="auto" w:fill="auto"/>
          </w:tcPr>
          <w:p w14:paraId="04467EED">
            <w:pPr>
              <w:tabs>
                <w:tab w:val="left" w:pos="567"/>
                <w:tab w:val="clear" w:pos="284"/>
              </w:tabs>
              <w:rPr>
                <w:rFonts w:ascii="Microsoft Sans Serif" w:hAnsi="Microsoft Sans Serif" w:cs="Microsoft Sans Serif"/>
                <w:sz w:val="20"/>
                <w:szCs w:val="20"/>
                <w:lang w:val="en-GB"/>
              </w:rPr>
            </w:pPr>
          </w:p>
        </w:tc>
        <w:tc>
          <w:tcPr>
            <w:tcW w:w="1571" w:type="dxa"/>
            <w:tcBorders>
              <w:left w:val="single" w:color="auto" w:sz="4" w:space="0"/>
              <w:bottom w:val="nil"/>
            </w:tcBorders>
            <w:shd w:val="clear" w:color="auto" w:fill="auto"/>
          </w:tcPr>
          <w:p w14:paraId="1F7FFB2E">
            <w:pPr>
              <w:tabs>
                <w:tab w:val="left" w:pos="567"/>
                <w:tab w:val="clear" w:pos="284"/>
              </w:tabs>
              <w:rPr>
                <w:rFonts w:ascii="Microsoft Sans Serif" w:hAnsi="Microsoft Sans Serif" w:cs="Microsoft Sans Serif"/>
                <w:sz w:val="20"/>
                <w:szCs w:val="20"/>
                <w:lang w:val="en-GB"/>
              </w:rPr>
            </w:pPr>
          </w:p>
        </w:tc>
      </w:tr>
      <w:tr w14:paraId="46BB3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nil"/>
              <w:bottom w:val="nil"/>
              <w:right w:val="single" w:color="auto" w:sz="4" w:space="0"/>
            </w:tcBorders>
            <w:shd w:val="clear" w:color="auto" w:fill="auto"/>
          </w:tcPr>
          <w:p w14:paraId="469D8CE7">
            <w:pPr>
              <w:tabs>
                <w:tab w:val="clear" w:pos="284"/>
              </w:tabs>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lang w:val="sr-Cyrl-RS"/>
              </w:rPr>
              <w:t>Dijareja</w:t>
            </w:r>
            <w:r>
              <w:rPr>
                <w:rFonts w:ascii="Microsoft Sans Serif" w:hAnsi="Microsoft Sans Serif" w:cs="Microsoft Sans Serif"/>
                <w:sz w:val="20"/>
                <w:szCs w:val="20"/>
              </w:rPr>
              <w:t xml:space="preserve">** </w:t>
            </w:r>
          </w:p>
        </w:tc>
        <w:tc>
          <w:tcPr>
            <w:tcW w:w="992" w:type="dxa"/>
            <w:tcBorders>
              <w:top w:val="nil"/>
              <w:left w:val="single" w:color="auto" w:sz="4" w:space="0"/>
              <w:bottom w:val="nil"/>
              <w:right w:val="single" w:color="auto" w:sz="4" w:space="0"/>
            </w:tcBorders>
            <w:shd w:val="clear" w:color="auto" w:fill="auto"/>
          </w:tcPr>
          <w:p w14:paraId="25334D2A">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54</w:t>
            </w:r>
          </w:p>
        </w:tc>
        <w:tc>
          <w:tcPr>
            <w:tcW w:w="567" w:type="dxa"/>
            <w:tcBorders>
              <w:top w:val="nil"/>
              <w:left w:val="single" w:color="auto" w:sz="4" w:space="0"/>
              <w:bottom w:val="nil"/>
              <w:right w:val="single" w:color="auto" w:sz="4" w:space="0"/>
            </w:tcBorders>
            <w:shd w:val="clear" w:color="auto" w:fill="auto"/>
          </w:tcPr>
          <w:p w14:paraId="3C241688">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6</w:t>
            </w:r>
          </w:p>
        </w:tc>
        <w:tc>
          <w:tcPr>
            <w:tcW w:w="683" w:type="dxa"/>
            <w:tcBorders>
              <w:top w:val="nil"/>
              <w:left w:val="single" w:color="auto" w:sz="4" w:space="0"/>
              <w:bottom w:val="nil"/>
              <w:right w:val="single" w:color="auto" w:sz="4" w:space="0"/>
            </w:tcBorders>
            <w:shd w:val="clear" w:color="auto" w:fill="auto"/>
          </w:tcPr>
          <w:p w14:paraId="4F8123D1">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&lt;1</w:t>
            </w:r>
          </w:p>
        </w:tc>
        <w:tc>
          <w:tcPr>
            <w:tcW w:w="876" w:type="dxa"/>
            <w:tcBorders>
              <w:top w:val="nil"/>
              <w:left w:val="single" w:color="auto" w:sz="4" w:space="0"/>
              <w:bottom w:val="nil"/>
              <w:right w:val="single" w:color="auto" w:sz="4" w:space="0"/>
            </w:tcBorders>
            <w:shd w:val="clear" w:color="auto" w:fill="auto"/>
          </w:tcPr>
          <w:p w14:paraId="2847DC8C">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48</w:t>
            </w:r>
          </w:p>
        </w:tc>
        <w:tc>
          <w:tcPr>
            <w:tcW w:w="660" w:type="dxa"/>
            <w:tcBorders>
              <w:top w:val="nil"/>
              <w:left w:val="single" w:color="auto" w:sz="4" w:space="0"/>
              <w:bottom w:val="nil"/>
              <w:right w:val="single" w:color="auto" w:sz="4" w:space="0"/>
            </w:tcBorders>
            <w:shd w:val="clear" w:color="auto" w:fill="auto"/>
          </w:tcPr>
          <w:p w14:paraId="67E4B59B">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5</w:t>
            </w:r>
          </w:p>
        </w:tc>
        <w:tc>
          <w:tcPr>
            <w:tcW w:w="688" w:type="dxa"/>
            <w:tcBorders>
              <w:top w:val="nil"/>
              <w:left w:val="single" w:color="auto" w:sz="4" w:space="0"/>
              <w:bottom w:val="nil"/>
              <w:right w:val="single" w:color="auto" w:sz="4" w:space="0"/>
            </w:tcBorders>
            <w:shd w:val="clear" w:color="auto" w:fill="auto"/>
          </w:tcPr>
          <w:p w14:paraId="4C17F7D7">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&lt;1</w:t>
            </w:r>
          </w:p>
        </w:tc>
        <w:tc>
          <w:tcPr>
            <w:tcW w:w="672" w:type="dxa"/>
            <w:tcBorders>
              <w:top w:val="nil"/>
              <w:left w:val="single" w:color="auto" w:sz="4" w:space="0"/>
              <w:bottom w:val="nil"/>
              <w:right w:val="single" w:color="auto" w:sz="4" w:space="0"/>
            </w:tcBorders>
            <w:shd w:val="clear" w:color="auto" w:fill="auto"/>
          </w:tcPr>
          <w:p w14:paraId="4E8BC899">
            <w:pPr>
              <w:tabs>
                <w:tab w:val="left" w:pos="567"/>
                <w:tab w:val="clear" w:pos="284"/>
              </w:tabs>
              <w:rPr>
                <w:rFonts w:ascii="Microsoft Sans Serif" w:hAnsi="Microsoft Sans Serif" w:cs="Microsoft Sans Serif"/>
                <w:sz w:val="20"/>
                <w:szCs w:val="20"/>
                <w:lang w:val="en-GB"/>
              </w:rPr>
            </w:pPr>
          </w:p>
        </w:tc>
        <w:tc>
          <w:tcPr>
            <w:tcW w:w="672" w:type="dxa"/>
            <w:tcBorders>
              <w:top w:val="nil"/>
              <w:left w:val="single" w:color="auto" w:sz="4" w:space="0"/>
              <w:bottom w:val="nil"/>
              <w:right w:val="single" w:color="auto" w:sz="4" w:space="0"/>
            </w:tcBorders>
            <w:shd w:val="clear" w:color="auto" w:fill="auto"/>
          </w:tcPr>
          <w:p w14:paraId="639B7916">
            <w:pPr>
              <w:tabs>
                <w:tab w:val="left" w:pos="567"/>
                <w:tab w:val="clear" w:pos="284"/>
              </w:tabs>
              <w:rPr>
                <w:rFonts w:ascii="Microsoft Sans Serif" w:hAnsi="Microsoft Sans Serif" w:cs="Microsoft Sans Serif"/>
                <w:sz w:val="20"/>
                <w:szCs w:val="20"/>
                <w:lang w:val="en-GB"/>
              </w:rPr>
            </w:pPr>
          </w:p>
        </w:tc>
        <w:tc>
          <w:tcPr>
            <w:tcW w:w="557" w:type="dxa"/>
            <w:tcBorders>
              <w:top w:val="nil"/>
              <w:left w:val="single" w:color="auto" w:sz="4" w:space="0"/>
              <w:bottom w:val="nil"/>
              <w:right w:val="single" w:color="auto" w:sz="4" w:space="0"/>
            </w:tcBorders>
            <w:shd w:val="clear" w:color="auto" w:fill="auto"/>
          </w:tcPr>
          <w:p w14:paraId="5E812339">
            <w:pPr>
              <w:tabs>
                <w:tab w:val="left" w:pos="567"/>
                <w:tab w:val="clear" w:pos="284"/>
              </w:tabs>
              <w:rPr>
                <w:rFonts w:ascii="Microsoft Sans Serif" w:hAnsi="Microsoft Sans Serif" w:cs="Microsoft Sans Serif"/>
                <w:sz w:val="20"/>
                <w:szCs w:val="20"/>
                <w:lang w:val="en-GB"/>
              </w:rPr>
            </w:pPr>
          </w:p>
        </w:tc>
        <w:tc>
          <w:tcPr>
            <w:tcW w:w="1571" w:type="dxa"/>
            <w:tcBorders>
              <w:top w:val="nil"/>
              <w:left w:val="single" w:color="auto" w:sz="4" w:space="0"/>
              <w:bottom w:val="nil"/>
            </w:tcBorders>
            <w:shd w:val="clear" w:color="auto" w:fill="auto"/>
          </w:tcPr>
          <w:p w14:paraId="1B312092">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česta</w:t>
            </w:r>
          </w:p>
        </w:tc>
      </w:tr>
      <w:tr w14:paraId="7A140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nil"/>
              <w:bottom w:val="nil"/>
              <w:right w:val="single" w:color="auto" w:sz="4" w:space="0"/>
            </w:tcBorders>
            <w:shd w:val="clear" w:color="auto" w:fill="auto"/>
          </w:tcPr>
          <w:p w14:paraId="169B4079">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Mučnina</w:t>
            </w:r>
          </w:p>
        </w:tc>
        <w:tc>
          <w:tcPr>
            <w:tcW w:w="992" w:type="dxa"/>
            <w:tcBorders>
              <w:top w:val="nil"/>
              <w:left w:val="single" w:color="auto" w:sz="4" w:space="0"/>
              <w:bottom w:val="nil"/>
              <w:right w:val="single" w:color="auto" w:sz="4" w:space="0"/>
            </w:tcBorders>
            <w:shd w:val="clear" w:color="auto" w:fill="auto"/>
          </w:tcPr>
          <w:p w14:paraId="5D0522EB">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33</w:t>
            </w:r>
          </w:p>
        </w:tc>
        <w:tc>
          <w:tcPr>
            <w:tcW w:w="567" w:type="dxa"/>
            <w:tcBorders>
              <w:top w:val="nil"/>
              <w:left w:val="single" w:color="auto" w:sz="4" w:space="0"/>
              <w:bottom w:val="nil"/>
              <w:right w:val="single" w:color="auto" w:sz="4" w:space="0"/>
            </w:tcBorders>
            <w:shd w:val="clear" w:color="auto" w:fill="auto"/>
          </w:tcPr>
          <w:p w14:paraId="29197DB8">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3</w:t>
            </w:r>
          </w:p>
        </w:tc>
        <w:tc>
          <w:tcPr>
            <w:tcW w:w="683" w:type="dxa"/>
            <w:tcBorders>
              <w:top w:val="nil"/>
              <w:left w:val="single" w:color="auto" w:sz="4" w:space="0"/>
              <w:bottom w:val="nil"/>
              <w:right w:val="single" w:color="auto" w:sz="4" w:space="0"/>
            </w:tcBorders>
            <w:shd w:val="clear" w:color="auto" w:fill="auto"/>
          </w:tcPr>
          <w:p w14:paraId="51F8C858">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w:t>
            </w:r>
          </w:p>
        </w:tc>
        <w:tc>
          <w:tcPr>
            <w:tcW w:w="876" w:type="dxa"/>
            <w:tcBorders>
              <w:top w:val="nil"/>
              <w:left w:val="single" w:color="auto" w:sz="4" w:space="0"/>
              <w:bottom w:val="nil"/>
              <w:right w:val="single" w:color="auto" w:sz="4" w:space="0"/>
            </w:tcBorders>
            <w:shd w:val="clear" w:color="auto" w:fill="auto"/>
          </w:tcPr>
          <w:p w14:paraId="502AC344">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60" w:type="dxa"/>
            <w:tcBorders>
              <w:top w:val="nil"/>
              <w:left w:val="single" w:color="auto" w:sz="4" w:space="0"/>
              <w:bottom w:val="nil"/>
              <w:right w:val="single" w:color="auto" w:sz="4" w:space="0"/>
            </w:tcBorders>
            <w:shd w:val="clear" w:color="auto" w:fill="auto"/>
          </w:tcPr>
          <w:p w14:paraId="1391E5BE">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88" w:type="dxa"/>
            <w:tcBorders>
              <w:top w:val="nil"/>
              <w:left w:val="single" w:color="auto" w:sz="4" w:space="0"/>
              <w:bottom w:val="nil"/>
              <w:right w:val="single" w:color="auto" w:sz="4" w:space="0"/>
            </w:tcBorders>
            <w:shd w:val="clear" w:color="auto" w:fill="auto"/>
          </w:tcPr>
          <w:p w14:paraId="5F275BED">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72" w:type="dxa"/>
            <w:tcBorders>
              <w:top w:val="nil"/>
              <w:left w:val="single" w:color="auto" w:sz="4" w:space="0"/>
              <w:bottom w:val="nil"/>
              <w:right w:val="single" w:color="auto" w:sz="4" w:space="0"/>
            </w:tcBorders>
            <w:shd w:val="clear" w:color="auto" w:fill="auto"/>
          </w:tcPr>
          <w:p w14:paraId="03FE6BE4">
            <w:pPr>
              <w:tabs>
                <w:tab w:val="left" w:pos="567"/>
                <w:tab w:val="clear" w:pos="284"/>
              </w:tabs>
              <w:rPr>
                <w:rFonts w:ascii="Microsoft Sans Serif" w:hAnsi="Microsoft Sans Serif" w:cs="Microsoft Sans Serif"/>
                <w:sz w:val="20"/>
                <w:szCs w:val="20"/>
                <w:lang w:val="en-GB"/>
              </w:rPr>
            </w:pPr>
          </w:p>
        </w:tc>
        <w:tc>
          <w:tcPr>
            <w:tcW w:w="672" w:type="dxa"/>
            <w:tcBorders>
              <w:top w:val="nil"/>
              <w:left w:val="single" w:color="auto" w:sz="4" w:space="0"/>
              <w:bottom w:val="nil"/>
              <w:right w:val="single" w:color="auto" w:sz="4" w:space="0"/>
            </w:tcBorders>
            <w:shd w:val="clear" w:color="auto" w:fill="auto"/>
          </w:tcPr>
          <w:p w14:paraId="527DC6AB">
            <w:pPr>
              <w:tabs>
                <w:tab w:val="left" w:pos="567"/>
                <w:tab w:val="clear" w:pos="284"/>
              </w:tabs>
              <w:rPr>
                <w:rFonts w:ascii="Microsoft Sans Serif" w:hAnsi="Microsoft Sans Serif" w:cs="Microsoft Sans Serif"/>
                <w:sz w:val="20"/>
                <w:szCs w:val="20"/>
                <w:lang w:val="en-GB"/>
              </w:rPr>
            </w:pPr>
          </w:p>
        </w:tc>
        <w:tc>
          <w:tcPr>
            <w:tcW w:w="557" w:type="dxa"/>
            <w:tcBorders>
              <w:top w:val="nil"/>
              <w:left w:val="single" w:color="auto" w:sz="4" w:space="0"/>
              <w:bottom w:val="nil"/>
              <w:right w:val="single" w:color="auto" w:sz="4" w:space="0"/>
            </w:tcBorders>
            <w:shd w:val="clear" w:color="auto" w:fill="auto"/>
          </w:tcPr>
          <w:p w14:paraId="3E3B7AD8">
            <w:pPr>
              <w:tabs>
                <w:tab w:val="left" w:pos="567"/>
                <w:tab w:val="clear" w:pos="284"/>
              </w:tabs>
              <w:rPr>
                <w:rFonts w:ascii="Microsoft Sans Serif" w:hAnsi="Microsoft Sans Serif" w:cs="Microsoft Sans Serif"/>
                <w:sz w:val="20"/>
                <w:szCs w:val="20"/>
                <w:lang w:val="en-GB"/>
              </w:rPr>
            </w:pPr>
          </w:p>
        </w:tc>
        <w:tc>
          <w:tcPr>
            <w:tcW w:w="1571" w:type="dxa"/>
            <w:tcBorders>
              <w:top w:val="nil"/>
              <w:left w:val="single" w:color="auto" w:sz="4" w:space="0"/>
              <w:bottom w:val="nil"/>
            </w:tcBorders>
            <w:shd w:val="clear" w:color="auto" w:fill="auto"/>
          </w:tcPr>
          <w:p w14:paraId="0AE47974">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česta</w:t>
            </w:r>
          </w:p>
        </w:tc>
      </w:tr>
      <w:tr w14:paraId="12C5B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nil"/>
              <w:bottom w:val="nil"/>
              <w:right w:val="single" w:color="auto" w:sz="4" w:space="0"/>
            </w:tcBorders>
            <w:shd w:val="clear" w:color="auto" w:fill="auto"/>
          </w:tcPr>
          <w:p w14:paraId="6D6F6680">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Povraćanje</w:t>
            </w:r>
          </w:p>
        </w:tc>
        <w:tc>
          <w:tcPr>
            <w:tcW w:w="992" w:type="dxa"/>
            <w:tcBorders>
              <w:top w:val="nil"/>
              <w:left w:val="single" w:color="auto" w:sz="4" w:space="0"/>
              <w:bottom w:val="nil"/>
              <w:right w:val="single" w:color="auto" w:sz="4" w:space="0"/>
            </w:tcBorders>
            <w:shd w:val="clear" w:color="auto" w:fill="auto"/>
          </w:tcPr>
          <w:p w14:paraId="65BC2985">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23</w:t>
            </w:r>
          </w:p>
        </w:tc>
        <w:tc>
          <w:tcPr>
            <w:tcW w:w="567" w:type="dxa"/>
            <w:tcBorders>
              <w:top w:val="nil"/>
              <w:left w:val="single" w:color="auto" w:sz="4" w:space="0"/>
              <w:bottom w:val="nil"/>
              <w:right w:val="single" w:color="auto" w:sz="4" w:space="0"/>
            </w:tcBorders>
            <w:shd w:val="clear" w:color="auto" w:fill="auto"/>
          </w:tcPr>
          <w:p w14:paraId="7E91B83E">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2</w:t>
            </w:r>
          </w:p>
        </w:tc>
        <w:tc>
          <w:tcPr>
            <w:tcW w:w="683" w:type="dxa"/>
            <w:tcBorders>
              <w:top w:val="nil"/>
              <w:left w:val="single" w:color="auto" w:sz="4" w:space="0"/>
              <w:bottom w:val="nil"/>
              <w:right w:val="single" w:color="auto" w:sz="4" w:space="0"/>
            </w:tcBorders>
            <w:shd w:val="clear" w:color="auto" w:fill="auto"/>
          </w:tcPr>
          <w:p w14:paraId="37561610">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&lt;1</w:t>
            </w:r>
          </w:p>
        </w:tc>
        <w:tc>
          <w:tcPr>
            <w:tcW w:w="876" w:type="dxa"/>
            <w:tcBorders>
              <w:top w:val="nil"/>
              <w:left w:val="single" w:color="auto" w:sz="4" w:space="0"/>
              <w:bottom w:val="nil"/>
              <w:right w:val="single" w:color="auto" w:sz="4" w:space="0"/>
            </w:tcBorders>
            <w:shd w:val="clear" w:color="auto" w:fill="auto"/>
          </w:tcPr>
          <w:p w14:paraId="7C99413F">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60" w:type="dxa"/>
            <w:tcBorders>
              <w:top w:val="nil"/>
              <w:left w:val="single" w:color="auto" w:sz="4" w:space="0"/>
              <w:bottom w:val="nil"/>
              <w:right w:val="single" w:color="auto" w:sz="4" w:space="0"/>
            </w:tcBorders>
            <w:shd w:val="clear" w:color="auto" w:fill="auto"/>
          </w:tcPr>
          <w:p w14:paraId="1E68FB22">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88" w:type="dxa"/>
            <w:tcBorders>
              <w:top w:val="nil"/>
              <w:left w:val="single" w:color="auto" w:sz="4" w:space="0"/>
              <w:bottom w:val="nil"/>
              <w:right w:val="single" w:color="auto" w:sz="4" w:space="0"/>
            </w:tcBorders>
            <w:shd w:val="clear" w:color="auto" w:fill="auto"/>
          </w:tcPr>
          <w:p w14:paraId="3C771AE6">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72" w:type="dxa"/>
            <w:tcBorders>
              <w:top w:val="nil"/>
              <w:left w:val="single" w:color="auto" w:sz="4" w:space="0"/>
              <w:bottom w:val="nil"/>
              <w:right w:val="single" w:color="auto" w:sz="4" w:space="0"/>
            </w:tcBorders>
            <w:shd w:val="clear" w:color="auto" w:fill="auto"/>
          </w:tcPr>
          <w:p w14:paraId="404FB156">
            <w:pPr>
              <w:tabs>
                <w:tab w:val="left" w:pos="567"/>
                <w:tab w:val="clear" w:pos="284"/>
              </w:tabs>
              <w:rPr>
                <w:rFonts w:ascii="Microsoft Sans Serif" w:hAnsi="Microsoft Sans Serif" w:cs="Microsoft Sans Serif"/>
                <w:sz w:val="20"/>
                <w:szCs w:val="20"/>
                <w:lang w:val="en-GB"/>
              </w:rPr>
            </w:pPr>
          </w:p>
        </w:tc>
        <w:tc>
          <w:tcPr>
            <w:tcW w:w="672" w:type="dxa"/>
            <w:tcBorders>
              <w:top w:val="nil"/>
              <w:left w:val="single" w:color="auto" w:sz="4" w:space="0"/>
              <w:bottom w:val="nil"/>
              <w:right w:val="single" w:color="auto" w:sz="4" w:space="0"/>
            </w:tcBorders>
            <w:shd w:val="clear" w:color="auto" w:fill="auto"/>
          </w:tcPr>
          <w:p w14:paraId="4C530A88">
            <w:pPr>
              <w:tabs>
                <w:tab w:val="left" w:pos="567"/>
                <w:tab w:val="clear" w:pos="284"/>
              </w:tabs>
              <w:rPr>
                <w:rFonts w:ascii="Microsoft Sans Serif" w:hAnsi="Microsoft Sans Serif" w:cs="Microsoft Sans Serif"/>
                <w:sz w:val="20"/>
                <w:szCs w:val="20"/>
                <w:lang w:val="en-GB"/>
              </w:rPr>
            </w:pPr>
          </w:p>
        </w:tc>
        <w:tc>
          <w:tcPr>
            <w:tcW w:w="557" w:type="dxa"/>
            <w:tcBorders>
              <w:top w:val="nil"/>
              <w:left w:val="single" w:color="auto" w:sz="4" w:space="0"/>
              <w:bottom w:val="nil"/>
              <w:right w:val="single" w:color="auto" w:sz="4" w:space="0"/>
            </w:tcBorders>
            <w:shd w:val="clear" w:color="auto" w:fill="auto"/>
          </w:tcPr>
          <w:p w14:paraId="28C7D887">
            <w:pPr>
              <w:tabs>
                <w:tab w:val="left" w:pos="567"/>
                <w:tab w:val="clear" w:pos="284"/>
              </w:tabs>
              <w:rPr>
                <w:rFonts w:ascii="Microsoft Sans Serif" w:hAnsi="Microsoft Sans Serif" w:cs="Microsoft Sans Serif"/>
                <w:sz w:val="20"/>
                <w:szCs w:val="20"/>
                <w:lang w:val="en-GB"/>
              </w:rPr>
            </w:pPr>
          </w:p>
        </w:tc>
        <w:tc>
          <w:tcPr>
            <w:tcW w:w="1571" w:type="dxa"/>
            <w:tcBorders>
              <w:top w:val="nil"/>
              <w:left w:val="single" w:color="auto" w:sz="4" w:space="0"/>
              <w:bottom w:val="nil"/>
            </w:tcBorders>
            <w:shd w:val="clear" w:color="auto" w:fill="auto"/>
          </w:tcPr>
          <w:p w14:paraId="15CA73B6">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česta</w:t>
            </w:r>
          </w:p>
        </w:tc>
      </w:tr>
      <w:tr w14:paraId="1DC79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nil"/>
              <w:bottom w:val="nil"/>
              <w:right w:val="single" w:color="auto" w:sz="4" w:space="0"/>
            </w:tcBorders>
            <w:shd w:val="clear" w:color="auto" w:fill="auto"/>
          </w:tcPr>
          <w:p w14:paraId="4613090E">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Stomatitis</w:t>
            </w:r>
          </w:p>
        </w:tc>
        <w:tc>
          <w:tcPr>
            <w:tcW w:w="992" w:type="dxa"/>
            <w:tcBorders>
              <w:top w:val="nil"/>
              <w:left w:val="single" w:color="auto" w:sz="4" w:space="0"/>
              <w:bottom w:val="nil"/>
              <w:right w:val="single" w:color="auto" w:sz="4" w:space="0"/>
            </w:tcBorders>
            <w:shd w:val="clear" w:color="auto" w:fill="auto"/>
          </w:tcPr>
          <w:p w14:paraId="634F47E2">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17</w:t>
            </w:r>
          </w:p>
        </w:tc>
        <w:tc>
          <w:tcPr>
            <w:tcW w:w="567" w:type="dxa"/>
            <w:tcBorders>
              <w:top w:val="nil"/>
              <w:left w:val="single" w:color="auto" w:sz="4" w:space="0"/>
              <w:bottom w:val="nil"/>
              <w:right w:val="single" w:color="auto" w:sz="4" w:space="0"/>
            </w:tcBorders>
            <w:shd w:val="clear" w:color="auto" w:fill="auto"/>
          </w:tcPr>
          <w:p w14:paraId="73859538">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&lt;1</w:t>
            </w:r>
          </w:p>
        </w:tc>
        <w:tc>
          <w:tcPr>
            <w:tcW w:w="683" w:type="dxa"/>
            <w:tcBorders>
              <w:top w:val="nil"/>
              <w:left w:val="single" w:color="auto" w:sz="4" w:space="0"/>
              <w:bottom w:val="nil"/>
              <w:right w:val="single" w:color="auto" w:sz="4" w:space="0"/>
            </w:tcBorders>
            <w:shd w:val="clear" w:color="auto" w:fill="auto"/>
          </w:tcPr>
          <w:p w14:paraId="66BA89AA">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w:t>
            </w:r>
          </w:p>
        </w:tc>
        <w:tc>
          <w:tcPr>
            <w:tcW w:w="876" w:type="dxa"/>
            <w:tcBorders>
              <w:top w:val="nil"/>
              <w:left w:val="single" w:color="auto" w:sz="4" w:space="0"/>
              <w:bottom w:val="nil"/>
              <w:right w:val="single" w:color="auto" w:sz="4" w:space="0"/>
            </w:tcBorders>
            <w:shd w:val="clear" w:color="auto" w:fill="auto"/>
          </w:tcPr>
          <w:p w14:paraId="1D403692">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22</w:t>
            </w:r>
          </w:p>
        </w:tc>
        <w:tc>
          <w:tcPr>
            <w:tcW w:w="660" w:type="dxa"/>
            <w:tcBorders>
              <w:top w:val="nil"/>
              <w:left w:val="single" w:color="auto" w:sz="4" w:space="0"/>
              <w:bottom w:val="nil"/>
              <w:right w:val="single" w:color="auto" w:sz="4" w:space="0"/>
            </w:tcBorders>
            <w:shd w:val="clear" w:color="auto" w:fill="auto"/>
          </w:tcPr>
          <w:p w14:paraId="437A4386">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&lt;1</w:t>
            </w:r>
          </w:p>
        </w:tc>
        <w:tc>
          <w:tcPr>
            <w:tcW w:w="688" w:type="dxa"/>
            <w:tcBorders>
              <w:top w:val="nil"/>
              <w:left w:val="single" w:color="auto" w:sz="4" w:space="0"/>
              <w:bottom w:val="nil"/>
              <w:right w:val="single" w:color="auto" w:sz="4" w:space="0"/>
            </w:tcBorders>
            <w:shd w:val="clear" w:color="auto" w:fill="auto"/>
          </w:tcPr>
          <w:p w14:paraId="447D4645">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w:t>
            </w:r>
          </w:p>
        </w:tc>
        <w:tc>
          <w:tcPr>
            <w:tcW w:w="672" w:type="dxa"/>
            <w:tcBorders>
              <w:top w:val="nil"/>
              <w:left w:val="single" w:color="auto" w:sz="4" w:space="0"/>
              <w:bottom w:val="nil"/>
              <w:right w:val="single" w:color="auto" w:sz="4" w:space="0"/>
            </w:tcBorders>
            <w:shd w:val="clear" w:color="auto" w:fill="auto"/>
          </w:tcPr>
          <w:p w14:paraId="14FD8FB3">
            <w:pPr>
              <w:tabs>
                <w:tab w:val="left" w:pos="567"/>
                <w:tab w:val="clear" w:pos="284"/>
              </w:tabs>
              <w:rPr>
                <w:rFonts w:ascii="Microsoft Sans Serif" w:hAnsi="Microsoft Sans Serif" w:cs="Microsoft Sans Serif"/>
                <w:sz w:val="20"/>
                <w:szCs w:val="20"/>
                <w:lang w:val="en-GB"/>
              </w:rPr>
            </w:pPr>
          </w:p>
        </w:tc>
        <w:tc>
          <w:tcPr>
            <w:tcW w:w="672" w:type="dxa"/>
            <w:tcBorders>
              <w:top w:val="nil"/>
              <w:left w:val="single" w:color="auto" w:sz="4" w:space="0"/>
              <w:bottom w:val="nil"/>
              <w:right w:val="single" w:color="auto" w:sz="4" w:space="0"/>
            </w:tcBorders>
            <w:shd w:val="clear" w:color="auto" w:fill="auto"/>
          </w:tcPr>
          <w:p w14:paraId="5E7E7634">
            <w:pPr>
              <w:tabs>
                <w:tab w:val="left" w:pos="567"/>
                <w:tab w:val="clear" w:pos="284"/>
              </w:tabs>
              <w:rPr>
                <w:rFonts w:ascii="Microsoft Sans Serif" w:hAnsi="Microsoft Sans Serif" w:cs="Microsoft Sans Serif"/>
                <w:sz w:val="20"/>
                <w:szCs w:val="20"/>
                <w:lang w:val="en-GB"/>
              </w:rPr>
            </w:pPr>
          </w:p>
        </w:tc>
        <w:tc>
          <w:tcPr>
            <w:tcW w:w="557" w:type="dxa"/>
            <w:tcBorders>
              <w:top w:val="nil"/>
              <w:left w:val="single" w:color="auto" w:sz="4" w:space="0"/>
              <w:bottom w:val="nil"/>
              <w:right w:val="single" w:color="auto" w:sz="4" w:space="0"/>
            </w:tcBorders>
            <w:shd w:val="clear" w:color="auto" w:fill="auto"/>
          </w:tcPr>
          <w:p w14:paraId="3489A13A">
            <w:pPr>
              <w:tabs>
                <w:tab w:val="left" w:pos="567"/>
                <w:tab w:val="clear" w:pos="284"/>
              </w:tabs>
              <w:rPr>
                <w:rFonts w:ascii="Microsoft Sans Serif" w:hAnsi="Microsoft Sans Serif" w:cs="Microsoft Sans Serif"/>
                <w:sz w:val="20"/>
                <w:szCs w:val="20"/>
                <w:lang w:val="en-GB"/>
              </w:rPr>
            </w:pPr>
          </w:p>
        </w:tc>
        <w:tc>
          <w:tcPr>
            <w:tcW w:w="1571" w:type="dxa"/>
            <w:tcBorders>
              <w:top w:val="nil"/>
              <w:left w:val="single" w:color="auto" w:sz="4" w:space="0"/>
              <w:bottom w:val="nil"/>
            </w:tcBorders>
            <w:shd w:val="clear" w:color="auto" w:fill="auto"/>
          </w:tcPr>
          <w:p w14:paraId="1EFAFCF9">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česta</w:t>
            </w:r>
          </w:p>
        </w:tc>
      </w:tr>
      <w:tr w14:paraId="6F6FC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nil"/>
              <w:bottom w:val="nil"/>
              <w:right w:val="single" w:color="auto" w:sz="4" w:space="0"/>
            </w:tcBorders>
            <w:shd w:val="clear" w:color="auto" w:fill="auto"/>
          </w:tcPr>
          <w:p w14:paraId="0D7363C8">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Abdominalni bol</w:t>
            </w:r>
          </w:p>
        </w:tc>
        <w:tc>
          <w:tcPr>
            <w:tcW w:w="992" w:type="dxa"/>
            <w:tcBorders>
              <w:top w:val="nil"/>
              <w:left w:val="single" w:color="auto" w:sz="4" w:space="0"/>
              <w:bottom w:val="nil"/>
              <w:right w:val="single" w:color="auto" w:sz="4" w:space="0"/>
            </w:tcBorders>
            <w:shd w:val="clear" w:color="auto" w:fill="auto"/>
          </w:tcPr>
          <w:p w14:paraId="1EC7AD8D">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11</w:t>
            </w:r>
          </w:p>
        </w:tc>
        <w:tc>
          <w:tcPr>
            <w:tcW w:w="567" w:type="dxa"/>
            <w:tcBorders>
              <w:top w:val="nil"/>
              <w:left w:val="single" w:color="auto" w:sz="4" w:space="0"/>
              <w:bottom w:val="nil"/>
              <w:right w:val="single" w:color="auto" w:sz="4" w:space="0"/>
            </w:tcBorders>
            <w:shd w:val="clear" w:color="auto" w:fill="auto"/>
          </w:tcPr>
          <w:p w14:paraId="6D59AF0B">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2</w:t>
            </w:r>
          </w:p>
        </w:tc>
        <w:tc>
          <w:tcPr>
            <w:tcW w:w="683" w:type="dxa"/>
            <w:tcBorders>
              <w:top w:val="nil"/>
              <w:left w:val="single" w:color="auto" w:sz="4" w:space="0"/>
              <w:bottom w:val="nil"/>
              <w:right w:val="single" w:color="auto" w:sz="4" w:space="0"/>
            </w:tcBorders>
            <w:shd w:val="clear" w:color="auto" w:fill="auto"/>
          </w:tcPr>
          <w:p w14:paraId="249D3B60">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&lt;1</w:t>
            </w:r>
          </w:p>
        </w:tc>
        <w:tc>
          <w:tcPr>
            <w:tcW w:w="876" w:type="dxa"/>
            <w:tcBorders>
              <w:top w:val="nil"/>
              <w:left w:val="single" w:color="auto" w:sz="4" w:space="0"/>
              <w:bottom w:val="nil"/>
              <w:right w:val="single" w:color="auto" w:sz="4" w:space="0"/>
            </w:tcBorders>
            <w:shd w:val="clear" w:color="auto" w:fill="auto"/>
          </w:tcPr>
          <w:p w14:paraId="3EFB8773">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60" w:type="dxa"/>
            <w:tcBorders>
              <w:top w:val="nil"/>
              <w:left w:val="single" w:color="auto" w:sz="4" w:space="0"/>
              <w:bottom w:val="nil"/>
              <w:right w:val="single" w:color="auto" w:sz="4" w:space="0"/>
            </w:tcBorders>
            <w:shd w:val="clear" w:color="auto" w:fill="auto"/>
          </w:tcPr>
          <w:p w14:paraId="52881BBF">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88" w:type="dxa"/>
            <w:tcBorders>
              <w:top w:val="nil"/>
              <w:left w:val="single" w:color="auto" w:sz="4" w:space="0"/>
              <w:bottom w:val="nil"/>
              <w:right w:val="single" w:color="auto" w:sz="4" w:space="0"/>
            </w:tcBorders>
            <w:shd w:val="clear" w:color="auto" w:fill="auto"/>
          </w:tcPr>
          <w:p w14:paraId="4A9D477A">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72" w:type="dxa"/>
            <w:tcBorders>
              <w:top w:val="nil"/>
              <w:left w:val="single" w:color="auto" w:sz="4" w:space="0"/>
              <w:bottom w:val="nil"/>
              <w:right w:val="single" w:color="auto" w:sz="4" w:space="0"/>
            </w:tcBorders>
            <w:shd w:val="clear" w:color="auto" w:fill="auto"/>
          </w:tcPr>
          <w:p w14:paraId="0ECBEC0A">
            <w:pPr>
              <w:tabs>
                <w:tab w:val="left" w:pos="567"/>
                <w:tab w:val="clear" w:pos="284"/>
              </w:tabs>
              <w:rPr>
                <w:rFonts w:ascii="Microsoft Sans Serif" w:hAnsi="Microsoft Sans Serif" w:cs="Microsoft Sans Serif"/>
                <w:sz w:val="20"/>
                <w:szCs w:val="20"/>
                <w:lang w:val="en-GB"/>
              </w:rPr>
            </w:pPr>
          </w:p>
        </w:tc>
        <w:tc>
          <w:tcPr>
            <w:tcW w:w="672" w:type="dxa"/>
            <w:tcBorders>
              <w:top w:val="nil"/>
              <w:left w:val="single" w:color="auto" w:sz="4" w:space="0"/>
              <w:bottom w:val="nil"/>
              <w:right w:val="single" w:color="auto" w:sz="4" w:space="0"/>
            </w:tcBorders>
            <w:shd w:val="clear" w:color="auto" w:fill="auto"/>
          </w:tcPr>
          <w:p w14:paraId="402AF182">
            <w:pPr>
              <w:tabs>
                <w:tab w:val="left" w:pos="567"/>
                <w:tab w:val="clear" w:pos="284"/>
              </w:tabs>
              <w:rPr>
                <w:rFonts w:ascii="Microsoft Sans Serif" w:hAnsi="Microsoft Sans Serif" w:cs="Microsoft Sans Serif"/>
                <w:sz w:val="20"/>
                <w:szCs w:val="20"/>
                <w:lang w:val="en-GB"/>
              </w:rPr>
            </w:pPr>
          </w:p>
        </w:tc>
        <w:tc>
          <w:tcPr>
            <w:tcW w:w="557" w:type="dxa"/>
            <w:tcBorders>
              <w:top w:val="nil"/>
              <w:left w:val="single" w:color="auto" w:sz="4" w:space="0"/>
              <w:bottom w:val="nil"/>
              <w:right w:val="single" w:color="auto" w:sz="4" w:space="0"/>
            </w:tcBorders>
            <w:shd w:val="clear" w:color="auto" w:fill="auto"/>
          </w:tcPr>
          <w:p w14:paraId="4A7FD2B4">
            <w:pPr>
              <w:tabs>
                <w:tab w:val="left" w:pos="567"/>
                <w:tab w:val="clear" w:pos="284"/>
              </w:tabs>
              <w:rPr>
                <w:rFonts w:ascii="Microsoft Sans Serif" w:hAnsi="Microsoft Sans Serif" w:cs="Microsoft Sans Serif"/>
                <w:sz w:val="20"/>
                <w:szCs w:val="20"/>
                <w:lang w:val="en-GB"/>
              </w:rPr>
            </w:pPr>
          </w:p>
        </w:tc>
        <w:tc>
          <w:tcPr>
            <w:tcW w:w="1571" w:type="dxa"/>
            <w:tcBorders>
              <w:top w:val="nil"/>
              <w:left w:val="single" w:color="auto" w:sz="4" w:space="0"/>
              <w:bottom w:val="nil"/>
            </w:tcBorders>
            <w:shd w:val="clear" w:color="auto" w:fill="auto"/>
          </w:tcPr>
          <w:p w14:paraId="24C3325D">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česta</w:t>
            </w:r>
          </w:p>
        </w:tc>
      </w:tr>
      <w:tr w14:paraId="426B5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nil"/>
              <w:bottom w:val="nil"/>
              <w:right w:val="single" w:color="auto" w:sz="4" w:space="0"/>
            </w:tcBorders>
            <w:shd w:val="clear" w:color="auto" w:fill="auto"/>
          </w:tcPr>
          <w:p w14:paraId="2F30B45E">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Dispepsija</w:t>
            </w:r>
          </w:p>
        </w:tc>
        <w:tc>
          <w:tcPr>
            <w:tcW w:w="992" w:type="dxa"/>
            <w:tcBorders>
              <w:top w:val="nil"/>
              <w:left w:val="single" w:color="auto" w:sz="4" w:space="0"/>
              <w:bottom w:val="nil"/>
              <w:right w:val="single" w:color="auto" w:sz="4" w:space="0"/>
            </w:tcBorders>
            <w:shd w:val="clear" w:color="auto" w:fill="auto"/>
          </w:tcPr>
          <w:p w14:paraId="7A843F01">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567" w:type="dxa"/>
            <w:tcBorders>
              <w:top w:val="nil"/>
              <w:left w:val="single" w:color="auto" w:sz="4" w:space="0"/>
              <w:bottom w:val="nil"/>
              <w:right w:val="single" w:color="auto" w:sz="4" w:space="0"/>
            </w:tcBorders>
            <w:shd w:val="clear" w:color="auto" w:fill="auto"/>
          </w:tcPr>
          <w:p w14:paraId="3E7206CB">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83" w:type="dxa"/>
            <w:tcBorders>
              <w:top w:val="nil"/>
              <w:left w:val="single" w:color="auto" w:sz="4" w:space="0"/>
              <w:bottom w:val="nil"/>
              <w:right w:val="single" w:color="auto" w:sz="4" w:space="0"/>
            </w:tcBorders>
            <w:shd w:val="clear" w:color="auto" w:fill="auto"/>
          </w:tcPr>
          <w:p w14:paraId="377B7649">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876" w:type="dxa"/>
            <w:tcBorders>
              <w:top w:val="nil"/>
              <w:left w:val="single" w:color="auto" w:sz="4" w:space="0"/>
              <w:bottom w:val="nil"/>
              <w:right w:val="single" w:color="auto" w:sz="4" w:space="0"/>
            </w:tcBorders>
            <w:shd w:val="clear" w:color="auto" w:fill="auto"/>
          </w:tcPr>
          <w:p w14:paraId="16758E83">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17</w:t>
            </w:r>
          </w:p>
        </w:tc>
        <w:tc>
          <w:tcPr>
            <w:tcW w:w="660" w:type="dxa"/>
            <w:tcBorders>
              <w:top w:val="nil"/>
              <w:left w:val="single" w:color="auto" w:sz="4" w:space="0"/>
              <w:bottom w:val="nil"/>
              <w:right w:val="single" w:color="auto" w:sz="4" w:space="0"/>
            </w:tcBorders>
            <w:shd w:val="clear" w:color="auto" w:fill="auto"/>
          </w:tcPr>
          <w:p w14:paraId="36E8EFB6">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&lt;1</w:t>
            </w:r>
          </w:p>
        </w:tc>
        <w:tc>
          <w:tcPr>
            <w:tcW w:w="688" w:type="dxa"/>
            <w:tcBorders>
              <w:top w:val="nil"/>
              <w:left w:val="single" w:color="auto" w:sz="4" w:space="0"/>
              <w:bottom w:val="nil"/>
              <w:right w:val="single" w:color="auto" w:sz="4" w:space="0"/>
            </w:tcBorders>
            <w:shd w:val="clear" w:color="auto" w:fill="auto"/>
          </w:tcPr>
          <w:p w14:paraId="2140F4D5">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w:t>
            </w:r>
          </w:p>
        </w:tc>
        <w:tc>
          <w:tcPr>
            <w:tcW w:w="672" w:type="dxa"/>
            <w:tcBorders>
              <w:top w:val="nil"/>
              <w:left w:val="single" w:color="auto" w:sz="4" w:space="0"/>
              <w:bottom w:val="nil"/>
              <w:right w:val="single" w:color="auto" w:sz="4" w:space="0"/>
            </w:tcBorders>
            <w:shd w:val="clear" w:color="auto" w:fill="auto"/>
          </w:tcPr>
          <w:p w14:paraId="53FD4F71">
            <w:pPr>
              <w:tabs>
                <w:tab w:val="left" w:pos="567"/>
                <w:tab w:val="clear" w:pos="284"/>
              </w:tabs>
              <w:rPr>
                <w:rFonts w:ascii="Microsoft Sans Serif" w:hAnsi="Microsoft Sans Serif" w:cs="Microsoft Sans Serif"/>
                <w:sz w:val="20"/>
                <w:szCs w:val="20"/>
                <w:lang w:val="en-GB"/>
              </w:rPr>
            </w:pPr>
          </w:p>
        </w:tc>
        <w:tc>
          <w:tcPr>
            <w:tcW w:w="672" w:type="dxa"/>
            <w:tcBorders>
              <w:top w:val="nil"/>
              <w:left w:val="single" w:color="auto" w:sz="4" w:space="0"/>
              <w:bottom w:val="nil"/>
              <w:right w:val="single" w:color="auto" w:sz="4" w:space="0"/>
            </w:tcBorders>
            <w:shd w:val="clear" w:color="auto" w:fill="auto"/>
          </w:tcPr>
          <w:p w14:paraId="37DD8781">
            <w:pPr>
              <w:tabs>
                <w:tab w:val="left" w:pos="567"/>
                <w:tab w:val="clear" w:pos="284"/>
              </w:tabs>
              <w:rPr>
                <w:rFonts w:ascii="Microsoft Sans Serif" w:hAnsi="Microsoft Sans Serif" w:cs="Microsoft Sans Serif"/>
                <w:sz w:val="20"/>
                <w:szCs w:val="20"/>
                <w:lang w:val="en-GB"/>
              </w:rPr>
            </w:pPr>
          </w:p>
        </w:tc>
        <w:tc>
          <w:tcPr>
            <w:tcW w:w="557" w:type="dxa"/>
            <w:tcBorders>
              <w:top w:val="nil"/>
              <w:left w:val="single" w:color="auto" w:sz="4" w:space="0"/>
              <w:bottom w:val="nil"/>
              <w:right w:val="single" w:color="auto" w:sz="4" w:space="0"/>
            </w:tcBorders>
            <w:shd w:val="clear" w:color="auto" w:fill="auto"/>
          </w:tcPr>
          <w:p w14:paraId="48A43774">
            <w:pPr>
              <w:tabs>
                <w:tab w:val="left" w:pos="567"/>
                <w:tab w:val="clear" w:pos="284"/>
              </w:tabs>
              <w:rPr>
                <w:rFonts w:ascii="Microsoft Sans Serif" w:hAnsi="Microsoft Sans Serif" w:cs="Microsoft Sans Serif"/>
                <w:sz w:val="20"/>
                <w:szCs w:val="20"/>
                <w:lang w:val="en-GB"/>
              </w:rPr>
            </w:pPr>
          </w:p>
        </w:tc>
        <w:tc>
          <w:tcPr>
            <w:tcW w:w="1571" w:type="dxa"/>
            <w:tcBorders>
              <w:top w:val="nil"/>
              <w:left w:val="single" w:color="auto" w:sz="4" w:space="0"/>
              <w:bottom w:val="nil"/>
            </w:tcBorders>
            <w:shd w:val="clear" w:color="auto" w:fill="auto"/>
          </w:tcPr>
          <w:p w14:paraId="5EF043F1">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česta</w:t>
            </w:r>
          </w:p>
        </w:tc>
      </w:tr>
      <w:tr w14:paraId="5AFB5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nil"/>
              <w:bottom w:val="single" w:color="auto" w:sz="4" w:space="0"/>
              <w:right w:val="single" w:color="auto" w:sz="4" w:space="0"/>
            </w:tcBorders>
            <w:shd w:val="clear" w:color="auto" w:fill="auto"/>
          </w:tcPr>
          <w:p w14:paraId="2AE19609">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Flatulencija</w:t>
            </w:r>
          </w:p>
        </w:tc>
        <w:tc>
          <w:tcPr>
            <w:tcW w:w="992" w:type="dxa"/>
            <w:tcBorders>
              <w:top w:val="nil"/>
              <w:left w:val="single" w:color="auto" w:sz="4" w:space="0"/>
              <w:bottom w:val="single" w:color="auto" w:sz="4" w:space="0"/>
              <w:right w:val="single" w:color="auto" w:sz="4" w:space="0"/>
            </w:tcBorders>
            <w:shd w:val="clear" w:color="auto" w:fill="auto"/>
          </w:tcPr>
          <w:p w14:paraId="2B459995">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567" w:type="dxa"/>
            <w:tcBorders>
              <w:top w:val="nil"/>
              <w:left w:val="single" w:color="auto" w:sz="4" w:space="0"/>
              <w:bottom w:val="single" w:color="auto" w:sz="4" w:space="0"/>
              <w:right w:val="single" w:color="auto" w:sz="4" w:space="0"/>
            </w:tcBorders>
            <w:shd w:val="clear" w:color="auto" w:fill="auto"/>
          </w:tcPr>
          <w:p w14:paraId="2821B974">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83" w:type="dxa"/>
            <w:tcBorders>
              <w:top w:val="nil"/>
              <w:left w:val="single" w:color="auto" w:sz="4" w:space="0"/>
              <w:bottom w:val="single" w:color="auto" w:sz="4" w:space="0"/>
              <w:right w:val="single" w:color="auto" w:sz="4" w:space="0"/>
            </w:tcBorders>
            <w:shd w:val="clear" w:color="auto" w:fill="auto"/>
          </w:tcPr>
          <w:p w14:paraId="30D46631">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876" w:type="dxa"/>
            <w:tcBorders>
              <w:top w:val="nil"/>
              <w:left w:val="single" w:color="auto" w:sz="4" w:space="0"/>
              <w:bottom w:val="single" w:color="auto" w:sz="4" w:space="0"/>
              <w:right w:val="single" w:color="auto" w:sz="4" w:space="0"/>
            </w:tcBorders>
            <w:shd w:val="clear" w:color="auto" w:fill="auto"/>
          </w:tcPr>
          <w:p w14:paraId="5F61317A">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13</w:t>
            </w:r>
          </w:p>
        </w:tc>
        <w:tc>
          <w:tcPr>
            <w:tcW w:w="660" w:type="dxa"/>
            <w:tcBorders>
              <w:top w:val="nil"/>
              <w:left w:val="single" w:color="auto" w:sz="4" w:space="0"/>
              <w:bottom w:val="single" w:color="auto" w:sz="4" w:space="0"/>
              <w:right w:val="single" w:color="auto" w:sz="4" w:space="0"/>
            </w:tcBorders>
            <w:shd w:val="clear" w:color="auto" w:fill="auto"/>
          </w:tcPr>
          <w:p w14:paraId="2EB400B2">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w:t>
            </w:r>
          </w:p>
        </w:tc>
        <w:tc>
          <w:tcPr>
            <w:tcW w:w="688" w:type="dxa"/>
            <w:tcBorders>
              <w:top w:val="nil"/>
              <w:left w:val="single" w:color="auto" w:sz="4" w:space="0"/>
              <w:bottom w:val="single" w:color="auto" w:sz="4" w:space="0"/>
              <w:right w:val="single" w:color="auto" w:sz="4" w:space="0"/>
            </w:tcBorders>
            <w:shd w:val="clear" w:color="auto" w:fill="auto"/>
          </w:tcPr>
          <w:p w14:paraId="4A8B6B4E">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w:t>
            </w:r>
          </w:p>
        </w:tc>
        <w:tc>
          <w:tcPr>
            <w:tcW w:w="672" w:type="dxa"/>
            <w:tcBorders>
              <w:top w:val="nil"/>
              <w:left w:val="single" w:color="auto" w:sz="4" w:space="0"/>
              <w:bottom w:val="single" w:color="auto" w:sz="4" w:space="0"/>
              <w:right w:val="single" w:color="auto" w:sz="4" w:space="0"/>
            </w:tcBorders>
            <w:shd w:val="clear" w:color="auto" w:fill="auto"/>
          </w:tcPr>
          <w:p w14:paraId="61A0637B">
            <w:pPr>
              <w:tabs>
                <w:tab w:val="left" w:pos="567"/>
                <w:tab w:val="clear" w:pos="284"/>
              </w:tabs>
              <w:rPr>
                <w:rFonts w:ascii="Microsoft Sans Serif" w:hAnsi="Microsoft Sans Serif" w:cs="Microsoft Sans Serif"/>
                <w:sz w:val="20"/>
                <w:szCs w:val="20"/>
                <w:lang w:val="en-GB"/>
              </w:rPr>
            </w:pPr>
          </w:p>
        </w:tc>
        <w:tc>
          <w:tcPr>
            <w:tcW w:w="672" w:type="dxa"/>
            <w:tcBorders>
              <w:top w:val="nil"/>
              <w:left w:val="single" w:color="auto" w:sz="4" w:space="0"/>
              <w:bottom w:val="single" w:color="auto" w:sz="4" w:space="0"/>
              <w:right w:val="single" w:color="auto" w:sz="4" w:space="0"/>
            </w:tcBorders>
            <w:shd w:val="clear" w:color="auto" w:fill="auto"/>
          </w:tcPr>
          <w:p w14:paraId="61153ED9">
            <w:pPr>
              <w:tabs>
                <w:tab w:val="left" w:pos="567"/>
                <w:tab w:val="clear" w:pos="284"/>
              </w:tabs>
              <w:rPr>
                <w:rFonts w:ascii="Microsoft Sans Serif" w:hAnsi="Microsoft Sans Serif" w:cs="Microsoft Sans Serif"/>
                <w:sz w:val="20"/>
                <w:szCs w:val="20"/>
                <w:lang w:val="en-GB"/>
              </w:rPr>
            </w:pPr>
          </w:p>
        </w:tc>
        <w:tc>
          <w:tcPr>
            <w:tcW w:w="557" w:type="dxa"/>
            <w:tcBorders>
              <w:top w:val="nil"/>
              <w:left w:val="single" w:color="auto" w:sz="4" w:space="0"/>
              <w:bottom w:val="single" w:color="auto" w:sz="4" w:space="0"/>
              <w:right w:val="single" w:color="auto" w:sz="4" w:space="0"/>
            </w:tcBorders>
            <w:shd w:val="clear" w:color="auto" w:fill="auto"/>
          </w:tcPr>
          <w:p w14:paraId="0718EA85">
            <w:pPr>
              <w:tabs>
                <w:tab w:val="left" w:pos="567"/>
                <w:tab w:val="clear" w:pos="284"/>
              </w:tabs>
              <w:rPr>
                <w:rFonts w:ascii="Microsoft Sans Serif" w:hAnsi="Microsoft Sans Serif" w:cs="Microsoft Sans Serif"/>
                <w:sz w:val="20"/>
                <w:szCs w:val="20"/>
                <w:lang w:val="en-GB"/>
              </w:rPr>
            </w:pPr>
          </w:p>
        </w:tc>
        <w:tc>
          <w:tcPr>
            <w:tcW w:w="1571" w:type="dxa"/>
            <w:tcBorders>
              <w:top w:val="nil"/>
              <w:left w:val="single" w:color="auto" w:sz="4" w:space="0"/>
              <w:bottom w:val="single" w:color="auto" w:sz="4" w:space="0"/>
            </w:tcBorders>
            <w:shd w:val="clear" w:color="auto" w:fill="auto"/>
          </w:tcPr>
          <w:p w14:paraId="61E9A211">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česta</w:t>
            </w:r>
          </w:p>
        </w:tc>
      </w:tr>
      <w:tr w14:paraId="37FF5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bottom w:val="nil"/>
              <w:right w:val="single" w:color="auto" w:sz="4" w:space="0"/>
            </w:tcBorders>
            <w:shd w:val="clear" w:color="auto" w:fill="auto"/>
          </w:tcPr>
          <w:p w14:paraId="775482C6">
            <w:pPr>
              <w:tabs>
                <w:tab w:val="clear" w:pos="284"/>
              </w:tabs>
              <w:autoSpaceDE w:val="0"/>
              <w:autoSpaceDN w:val="0"/>
              <w:adjustRightInd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Poremećaji kože i potkožnog tkiva</w:t>
            </w:r>
          </w:p>
        </w:tc>
        <w:tc>
          <w:tcPr>
            <w:tcW w:w="992" w:type="dxa"/>
            <w:tcBorders>
              <w:left w:val="single" w:color="auto" w:sz="4" w:space="0"/>
              <w:bottom w:val="nil"/>
              <w:right w:val="single" w:color="auto" w:sz="4" w:space="0"/>
            </w:tcBorders>
            <w:shd w:val="clear" w:color="auto" w:fill="auto"/>
          </w:tcPr>
          <w:p w14:paraId="0029D1E8">
            <w:pPr>
              <w:tabs>
                <w:tab w:val="left" w:pos="567"/>
                <w:tab w:val="clear" w:pos="284"/>
              </w:tabs>
              <w:rPr>
                <w:rFonts w:ascii="Microsoft Sans Serif" w:hAnsi="Microsoft Sans Serif" w:cs="Microsoft Sans Serif"/>
                <w:sz w:val="20"/>
                <w:szCs w:val="20"/>
                <w:lang w:val="en-GB"/>
              </w:rPr>
            </w:pPr>
          </w:p>
        </w:tc>
        <w:tc>
          <w:tcPr>
            <w:tcW w:w="567" w:type="dxa"/>
            <w:tcBorders>
              <w:left w:val="single" w:color="auto" w:sz="4" w:space="0"/>
              <w:bottom w:val="nil"/>
              <w:right w:val="single" w:color="auto" w:sz="4" w:space="0"/>
            </w:tcBorders>
            <w:shd w:val="clear" w:color="auto" w:fill="auto"/>
          </w:tcPr>
          <w:p w14:paraId="5F665B04">
            <w:pPr>
              <w:tabs>
                <w:tab w:val="left" w:pos="567"/>
                <w:tab w:val="clear" w:pos="284"/>
              </w:tabs>
              <w:rPr>
                <w:rFonts w:ascii="Microsoft Sans Serif" w:hAnsi="Microsoft Sans Serif" w:cs="Microsoft Sans Serif"/>
                <w:sz w:val="20"/>
                <w:szCs w:val="20"/>
                <w:lang w:val="en-GB"/>
              </w:rPr>
            </w:pPr>
          </w:p>
        </w:tc>
        <w:tc>
          <w:tcPr>
            <w:tcW w:w="683" w:type="dxa"/>
            <w:tcBorders>
              <w:left w:val="single" w:color="auto" w:sz="4" w:space="0"/>
              <w:bottom w:val="nil"/>
              <w:right w:val="single" w:color="auto" w:sz="4" w:space="0"/>
            </w:tcBorders>
            <w:shd w:val="clear" w:color="auto" w:fill="auto"/>
          </w:tcPr>
          <w:p w14:paraId="74BE88F6">
            <w:pPr>
              <w:tabs>
                <w:tab w:val="left" w:pos="567"/>
                <w:tab w:val="clear" w:pos="284"/>
              </w:tabs>
              <w:rPr>
                <w:rFonts w:ascii="Microsoft Sans Serif" w:hAnsi="Microsoft Sans Serif" w:cs="Microsoft Sans Serif"/>
                <w:sz w:val="20"/>
                <w:szCs w:val="20"/>
                <w:lang w:val="en-GB"/>
              </w:rPr>
            </w:pPr>
          </w:p>
        </w:tc>
        <w:tc>
          <w:tcPr>
            <w:tcW w:w="876" w:type="dxa"/>
            <w:tcBorders>
              <w:left w:val="single" w:color="auto" w:sz="4" w:space="0"/>
              <w:bottom w:val="nil"/>
              <w:right w:val="single" w:color="auto" w:sz="4" w:space="0"/>
            </w:tcBorders>
            <w:shd w:val="clear" w:color="auto" w:fill="auto"/>
          </w:tcPr>
          <w:p w14:paraId="4C992BCB">
            <w:pPr>
              <w:tabs>
                <w:tab w:val="left" w:pos="567"/>
                <w:tab w:val="clear" w:pos="284"/>
              </w:tabs>
              <w:rPr>
                <w:rFonts w:ascii="Microsoft Sans Serif" w:hAnsi="Microsoft Sans Serif" w:cs="Microsoft Sans Serif"/>
                <w:sz w:val="20"/>
                <w:szCs w:val="20"/>
                <w:lang w:val="en-GB"/>
              </w:rPr>
            </w:pPr>
          </w:p>
        </w:tc>
        <w:tc>
          <w:tcPr>
            <w:tcW w:w="660" w:type="dxa"/>
            <w:tcBorders>
              <w:left w:val="single" w:color="auto" w:sz="4" w:space="0"/>
              <w:bottom w:val="nil"/>
              <w:right w:val="single" w:color="auto" w:sz="4" w:space="0"/>
            </w:tcBorders>
            <w:shd w:val="clear" w:color="auto" w:fill="auto"/>
          </w:tcPr>
          <w:p w14:paraId="2B31F047">
            <w:pPr>
              <w:tabs>
                <w:tab w:val="left" w:pos="567"/>
                <w:tab w:val="clear" w:pos="284"/>
              </w:tabs>
              <w:rPr>
                <w:rFonts w:ascii="Microsoft Sans Serif" w:hAnsi="Microsoft Sans Serif" w:cs="Microsoft Sans Serif"/>
                <w:sz w:val="20"/>
                <w:szCs w:val="20"/>
                <w:lang w:val="en-GB"/>
              </w:rPr>
            </w:pPr>
          </w:p>
        </w:tc>
        <w:tc>
          <w:tcPr>
            <w:tcW w:w="688" w:type="dxa"/>
            <w:tcBorders>
              <w:left w:val="single" w:color="auto" w:sz="4" w:space="0"/>
              <w:bottom w:val="nil"/>
              <w:right w:val="single" w:color="auto" w:sz="4" w:space="0"/>
            </w:tcBorders>
            <w:shd w:val="clear" w:color="auto" w:fill="auto"/>
          </w:tcPr>
          <w:p w14:paraId="35DB8BFD">
            <w:pPr>
              <w:tabs>
                <w:tab w:val="left" w:pos="567"/>
                <w:tab w:val="clear" w:pos="284"/>
              </w:tabs>
              <w:rPr>
                <w:rFonts w:ascii="Microsoft Sans Serif" w:hAnsi="Microsoft Sans Serif" w:cs="Microsoft Sans Serif"/>
                <w:sz w:val="20"/>
                <w:szCs w:val="20"/>
                <w:lang w:val="en-GB"/>
              </w:rPr>
            </w:pPr>
          </w:p>
        </w:tc>
        <w:tc>
          <w:tcPr>
            <w:tcW w:w="672" w:type="dxa"/>
            <w:tcBorders>
              <w:left w:val="single" w:color="auto" w:sz="4" w:space="0"/>
              <w:bottom w:val="nil"/>
              <w:right w:val="single" w:color="auto" w:sz="4" w:space="0"/>
            </w:tcBorders>
            <w:shd w:val="clear" w:color="auto" w:fill="auto"/>
          </w:tcPr>
          <w:p w14:paraId="42964B97">
            <w:pPr>
              <w:tabs>
                <w:tab w:val="left" w:pos="567"/>
                <w:tab w:val="clear" w:pos="284"/>
              </w:tabs>
              <w:rPr>
                <w:rFonts w:ascii="Microsoft Sans Serif" w:hAnsi="Microsoft Sans Serif" w:cs="Microsoft Sans Serif"/>
                <w:sz w:val="20"/>
                <w:szCs w:val="20"/>
                <w:lang w:val="en-GB"/>
              </w:rPr>
            </w:pPr>
          </w:p>
        </w:tc>
        <w:tc>
          <w:tcPr>
            <w:tcW w:w="672" w:type="dxa"/>
            <w:tcBorders>
              <w:left w:val="single" w:color="auto" w:sz="4" w:space="0"/>
              <w:bottom w:val="nil"/>
              <w:right w:val="single" w:color="auto" w:sz="4" w:space="0"/>
            </w:tcBorders>
            <w:shd w:val="clear" w:color="auto" w:fill="auto"/>
          </w:tcPr>
          <w:p w14:paraId="1ADEC22A">
            <w:pPr>
              <w:tabs>
                <w:tab w:val="left" w:pos="567"/>
                <w:tab w:val="clear" w:pos="284"/>
              </w:tabs>
              <w:rPr>
                <w:rFonts w:ascii="Microsoft Sans Serif" w:hAnsi="Microsoft Sans Serif" w:cs="Microsoft Sans Serif"/>
                <w:sz w:val="20"/>
                <w:szCs w:val="20"/>
                <w:lang w:val="en-GB"/>
              </w:rPr>
            </w:pPr>
          </w:p>
        </w:tc>
        <w:tc>
          <w:tcPr>
            <w:tcW w:w="557" w:type="dxa"/>
            <w:tcBorders>
              <w:left w:val="single" w:color="auto" w:sz="4" w:space="0"/>
              <w:bottom w:val="nil"/>
              <w:right w:val="single" w:color="auto" w:sz="4" w:space="0"/>
            </w:tcBorders>
            <w:shd w:val="clear" w:color="auto" w:fill="auto"/>
          </w:tcPr>
          <w:p w14:paraId="6ECB84B8">
            <w:pPr>
              <w:tabs>
                <w:tab w:val="left" w:pos="567"/>
                <w:tab w:val="clear" w:pos="284"/>
              </w:tabs>
              <w:rPr>
                <w:rFonts w:ascii="Microsoft Sans Serif" w:hAnsi="Microsoft Sans Serif" w:cs="Microsoft Sans Serif"/>
                <w:sz w:val="20"/>
                <w:szCs w:val="20"/>
                <w:lang w:val="en-GB"/>
              </w:rPr>
            </w:pPr>
          </w:p>
        </w:tc>
        <w:tc>
          <w:tcPr>
            <w:tcW w:w="1571" w:type="dxa"/>
            <w:tcBorders>
              <w:left w:val="single" w:color="auto" w:sz="4" w:space="0"/>
              <w:bottom w:val="nil"/>
            </w:tcBorders>
            <w:shd w:val="clear" w:color="auto" w:fill="auto"/>
          </w:tcPr>
          <w:p w14:paraId="10AF8148">
            <w:pPr>
              <w:tabs>
                <w:tab w:val="left" w:pos="567"/>
                <w:tab w:val="clear" w:pos="284"/>
              </w:tabs>
              <w:rPr>
                <w:rFonts w:ascii="Microsoft Sans Serif" w:hAnsi="Microsoft Sans Serif" w:cs="Microsoft Sans Serif"/>
                <w:sz w:val="20"/>
                <w:szCs w:val="20"/>
                <w:lang w:val="en-GB"/>
              </w:rPr>
            </w:pPr>
          </w:p>
        </w:tc>
      </w:tr>
      <w:tr w14:paraId="197F6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nil"/>
              <w:bottom w:val="nil"/>
              <w:right w:val="single" w:color="auto" w:sz="4" w:space="0"/>
            </w:tcBorders>
            <w:shd w:val="clear" w:color="auto" w:fill="auto"/>
          </w:tcPr>
          <w:p w14:paraId="59255774">
            <w:pPr>
              <w:tabs>
                <w:tab w:val="clear" w:pos="284"/>
              </w:tabs>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lang w:val="sr-Cyrl-RS"/>
              </w:rPr>
              <w:t>Osip</w:t>
            </w:r>
            <w:r>
              <w:rPr>
                <w:rFonts w:ascii="Microsoft Sans Serif" w:hAnsi="Microsoft Sans Serif" w:cs="Microsoft Sans Serif"/>
                <w:sz w:val="20"/>
                <w:szCs w:val="20"/>
              </w:rPr>
              <w:t>***</w:t>
            </w:r>
          </w:p>
        </w:tc>
        <w:tc>
          <w:tcPr>
            <w:tcW w:w="992" w:type="dxa"/>
            <w:tcBorders>
              <w:top w:val="nil"/>
              <w:left w:val="single" w:color="auto" w:sz="4" w:space="0"/>
              <w:bottom w:val="nil"/>
              <w:right w:val="single" w:color="auto" w:sz="4" w:space="0"/>
            </w:tcBorders>
            <w:shd w:val="clear" w:color="auto" w:fill="auto"/>
          </w:tcPr>
          <w:p w14:paraId="0898F302">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75</w:t>
            </w:r>
          </w:p>
        </w:tc>
        <w:tc>
          <w:tcPr>
            <w:tcW w:w="567" w:type="dxa"/>
            <w:tcBorders>
              <w:top w:val="nil"/>
              <w:left w:val="single" w:color="auto" w:sz="4" w:space="0"/>
              <w:bottom w:val="nil"/>
              <w:right w:val="single" w:color="auto" w:sz="4" w:space="0"/>
            </w:tcBorders>
            <w:shd w:val="clear" w:color="auto" w:fill="auto"/>
          </w:tcPr>
          <w:p w14:paraId="6EAF3C7C">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8</w:t>
            </w:r>
          </w:p>
        </w:tc>
        <w:tc>
          <w:tcPr>
            <w:tcW w:w="683" w:type="dxa"/>
            <w:tcBorders>
              <w:top w:val="nil"/>
              <w:left w:val="single" w:color="auto" w:sz="4" w:space="0"/>
              <w:bottom w:val="nil"/>
              <w:right w:val="single" w:color="auto" w:sz="4" w:space="0"/>
            </w:tcBorders>
            <w:shd w:val="clear" w:color="auto" w:fill="auto"/>
          </w:tcPr>
          <w:p w14:paraId="53B05A0E">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&lt;1</w:t>
            </w:r>
          </w:p>
        </w:tc>
        <w:tc>
          <w:tcPr>
            <w:tcW w:w="876" w:type="dxa"/>
            <w:tcBorders>
              <w:top w:val="nil"/>
              <w:left w:val="single" w:color="auto" w:sz="4" w:space="0"/>
              <w:bottom w:val="nil"/>
              <w:right w:val="single" w:color="auto" w:sz="4" w:space="0"/>
            </w:tcBorders>
            <w:shd w:val="clear" w:color="auto" w:fill="auto"/>
          </w:tcPr>
          <w:p w14:paraId="2F7BB26A">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69</w:t>
            </w:r>
          </w:p>
        </w:tc>
        <w:tc>
          <w:tcPr>
            <w:tcW w:w="660" w:type="dxa"/>
            <w:tcBorders>
              <w:top w:val="nil"/>
              <w:left w:val="single" w:color="auto" w:sz="4" w:space="0"/>
              <w:bottom w:val="nil"/>
              <w:right w:val="single" w:color="auto" w:sz="4" w:space="0"/>
            </w:tcBorders>
            <w:shd w:val="clear" w:color="auto" w:fill="auto"/>
          </w:tcPr>
          <w:p w14:paraId="3778527E">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5</w:t>
            </w:r>
          </w:p>
        </w:tc>
        <w:tc>
          <w:tcPr>
            <w:tcW w:w="688" w:type="dxa"/>
            <w:tcBorders>
              <w:top w:val="nil"/>
              <w:left w:val="single" w:color="auto" w:sz="4" w:space="0"/>
              <w:bottom w:val="nil"/>
              <w:right w:val="single" w:color="auto" w:sz="4" w:space="0"/>
            </w:tcBorders>
            <w:shd w:val="clear" w:color="auto" w:fill="auto"/>
          </w:tcPr>
          <w:p w14:paraId="1E017847">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w:t>
            </w:r>
          </w:p>
        </w:tc>
        <w:tc>
          <w:tcPr>
            <w:tcW w:w="672" w:type="dxa"/>
            <w:tcBorders>
              <w:top w:val="nil"/>
              <w:left w:val="single" w:color="auto" w:sz="4" w:space="0"/>
              <w:bottom w:val="nil"/>
              <w:right w:val="single" w:color="auto" w:sz="4" w:space="0"/>
            </w:tcBorders>
            <w:shd w:val="clear" w:color="auto" w:fill="auto"/>
          </w:tcPr>
          <w:p w14:paraId="397000BA">
            <w:pPr>
              <w:tabs>
                <w:tab w:val="left" w:pos="567"/>
                <w:tab w:val="clear" w:pos="284"/>
              </w:tabs>
              <w:rPr>
                <w:rFonts w:ascii="Microsoft Sans Serif" w:hAnsi="Microsoft Sans Serif" w:cs="Microsoft Sans Serif"/>
                <w:sz w:val="20"/>
                <w:szCs w:val="20"/>
                <w:lang w:val="en-GB"/>
              </w:rPr>
            </w:pPr>
          </w:p>
        </w:tc>
        <w:tc>
          <w:tcPr>
            <w:tcW w:w="672" w:type="dxa"/>
            <w:tcBorders>
              <w:top w:val="nil"/>
              <w:left w:val="single" w:color="auto" w:sz="4" w:space="0"/>
              <w:bottom w:val="nil"/>
              <w:right w:val="single" w:color="auto" w:sz="4" w:space="0"/>
            </w:tcBorders>
            <w:shd w:val="clear" w:color="auto" w:fill="auto"/>
          </w:tcPr>
          <w:p w14:paraId="18D8BD9C">
            <w:pPr>
              <w:tabs>
                <w:tab w:val="left" w:pos="567"/>
                <w:tab w:val="clear" w:pos="284"/>
              </w:tabs>
              <w:rPr>
                <w:rFonts w:ascii="Microsoft Sans Serif" w:hAnsi="Microsoft Sans Serif" w:cs="Microsoft Sans Serif"/>
                <w:sz w:val="20"/>
                <w:szCs w:val="20"/>
                <w:lang w:val="en-GB"/>
              </w:rPr>
            </w:pPr>
          </w:p>
        </w:tc>
        <w:tc>
          <w:tcPr>
            <w:tcW w:w="557" w:type="dxa"/>
            <w:tcBorders>
              <w:top w:val="nil"/>
              <w:left w:val="single" w:color="auto" w:sz="4" w:space="0"/>
              <w:bottom w:val="nil"/>
              <w:right w:val="single" w:color="auto" w:sz="4" w:space="0"/>
            </w:tcBorders>
            <w:shd w:val="clear" w:color="auto" w:fill="auto"/>
          </w:tcPr>
          <w:p w14:paraId="4DEEBB93">
            <w:pPr>
              <w:tabs>
                <w:tab w:val="left" w:pos="567"/>
                <w:tab w:val="clear" w:pos="284"/>
              </w:tabs>
              <w:rPr>
                <w:rFonts w:ascii="Microsoft Sans Serif" w:hAnsi="Microsoft Sans Serif" w:cs="Microsoft Sans Serif"/>
                <w:sz w:val="20"/>
                <w:szCs w:val="20"/>
                <w:lang w:val="en-GB"/>
              </w:rPr>
            </w:pPr>
          </w:p>
        </w:tc>
        <w:tc>
          <w:tcPr>
            <w:tcW w:w="1571" w:type="dxa"/>
            <w:tcBorders>
              <w:top w:val="nil"/>
              <w:left w:val="single" w:color="auto" w:sz="4" w:space="0"/>
              <w:bottom w:val="nil"/>
            </w:tcBorders>
            <w:shd w:val="clear" w:color="auto" w:fill="auto"/>
          </w:tcPr>
          <w:p w14:paraId="5A9ECF31">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česta</w:t>
            </w:r>
          </w:p>
        </w:tc>
      </w:tr>
      <w:tr w14:paraId="6DE5F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nil"/>
              <w:bottom w:val="nil"/>
              <w:right w:val="single" w:color="auto" w:sz="4" w:space="0"/>
            </w:tcBorders>
            <w:shd w:val="clear" w:color="auto" w:fill="auto"/>
          </w:tcPr>
          <w:p w14:paraId="48AC0916">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Pruritus</w:t>
            </w:r>
          </w:p>
        </w:tc>
        <w:tc>
          <w:tcPr>
            <w:tcW w:w="992" w:type="dxa"/>
            <w:tcBorders>
              <w:top w:val="nil"/>
              <w:left w:val="single" w:color="auto" w:sz="4" w:space="0"/>
              <w:bottom w:val="nil"/>
              <w:right w:val="single" w:color="auto" w:sz="4" w:space="0"/>
            </w:tcBorders>
            <w:shd w:val="clear" w:color="auto" w:fill="auto"/>
          </w:tcPr>
          <w:p w14:paraId="0AE559FA">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13</w:t>
            </w:r>
          </w:p>
        </w:tc>
        <w:tc>
          <w:tcPr>
            <w:tcW w:w="567" w:type="dxa"/>
            <w:tcBorders>
              <w:top w:val="nil"/>
              <w:left w:val="single" w:color="auto" w:sz="4" w:space="0"/>
              <w:bottom w:val="nil"/>
              <w:right w:val="single" w:color="auto" w:sz="4" w:space="0"/>
            </w:tcBorders>
            <w:shd w:val="clear" w:color="auto" w:fill="auto"/>
          </w:tcPr>
          <w:p w14:paraId="1BB97C27">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&lt;1</w:t>
            </w:r>
          </w:p>
        </w:tc>
        <w:tc>
          <w:tcPr>
            <w:tcW w:w="683" w:type="dxa"/>
            <w:tcBorders>
              <w:top w:val="nil"/>
              <w:left w:val="single" w:color="auto" w:sz="4" w:space="0"/>
              <w:bottom w:val="nil"/>
              <w:right w:val="single" w:color="auto" w:sz="4" w:space="0"/>
            </w:tcBorders>
            <w:shd w:val="clear" w:color="auto" w:fill="auto"/>
          </w:tcPr>
          <w:p w14:paraId="35DC9DB7">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w:t>
            </w:r>
          </w:p>
        </w:tc>
        <w:tc>
          <w:tcPr>
            <w:tcW w:w="876" w:type="dxa"/>
            <w:tcBorders>
              <w:top w:val="nil"/>
              <w:left w:val="single" w:color="auto" w:sz="4" w:space="0"/>
              <w:bottom w:val="nil"/>
              <w:right w:val="single" w:color="auto" w:sz="4" w:space="0"/>
            </w:tcBorders>
            <w:shd w:val="clear" w:color="auto" w:fill="auto"/>
          </w:tcPr>
          <w:p w14:paraId="6B9B3C23">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60" w:type="dxa"/>
            <w:tcBorders>
              <w:top w:val="nil"/>
              <w:left w:val="single" w:color="auto" w:sz="4" w:space="0"/>
              <w:bottom w:val="nil"/>
              <w:right w:val="single" w:color="auto" w:sz="4" w:space="0"/>
            </w:tcBorders>
            <w:shd w:val="clear" w:color="auto" w:fill="auto"/>
          </w:tcPr>
          <w:p w14:paraId="3D5EEF92">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88" w:type="dxa"/>
            <w:tcBorders>
              <w:top w:val="nil"/>
              <w:left w:val="single" w:color="auto" w:sz="4" w:space="0"/>
              <w:bottom w:val="nil"/>
              <w:right w:val="single" w:color="auto" w:sz="4" w:space="0"/>
            </w:tcBorders>
            <w:shd w:val="clear" w:color="auto" w:fill="auto"/>
          </w:tcPr>
          <w:p w14:paraId="7E197A65">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72" w:type="dxa"/>
            <w:tcBorders>
              <w:top w:val="nil"/>
              <w:left w:val="single" w:color="auto" w:sz="4" w:space="0"/>
              <w:bottom w:val="nil"/>
              <w:right w:val="single" w:color="auto" w:sz="4" w:space="0"/>
            </w:tcBorders>
            <w:shd w:val="clear" w:color="auto" w:fill="auto"/>
          </w:tcPr>
          <w:p w14:paraId="32796409">
            <w:pPr>
              <w:tabs>
                <w:tab w:val="left" w:pos="567"/>
                <w:tab w:val="clear" w:pos="284"/>
              </w:tabs>
              <w:rPr>
                <w:rFonts w:ascii="Microsoft Sans Serif" w:hAnsi="Microsoft Sans Serif" w:cs="Microsoft Sans Serif"/>
                <w:sz w:val="20"/>
                <w:szCs w:val="20"/>
                <w:lang w:val="en-GB"/>
              </w:rPr>
            </w:pPr>
          </w:p>
        </w:tc>
        <w:tc>
          <w:tcPr>
            <w:tcW w:w="672" w:type="dxa"/>
            <w:tcBorders>
              <w:top w:val="nil"/>
              <w:left w:val="single" w:color="auto" w:sz="4" w:space="0"/>
              <w:bottom w:val="nil"/>
              <w:right w:val="single" w:color="auto" w:sz="4" w:space="0"/>
            </w:tcBorders>
            <w:shd w:val="clear" w:color="auto" w:fill="auto"/>
          </w:tcPr>
          <w:p w14:paraId="75FF841C">
            <w:pPr>
              <w:tabs>
                <w:tab w:val="left" w:pos="567"/>
                <w:tab w:val="clear" w:pos="284"/>
              </w:tabs>
              <w:rPr>
                <w:rFonts w:ascii="Microsoft Sans Serif" w:hAnsi="Microsoft Sans Serif" w:cs="Microsoft Sans Serif"/>
                <w:sz w:val="20"/>
                <w:szCs w:val="20"/>
                <w:lang w:val="en-GB"/>
              </w:rPr>
            </w:pPr>
          </w:p>
        </w:tc>
        <w:tc>
          <w:tcPr>
            <w:tcW w:w="557" w:type="dxa"/>
            <w:tcBorders>
              <w:top w:val="nil"/>
              <w:left w:val="single" w:color="auto" w:sz="4" w:space="0"/>
              <w:bottom w:val="nil"/>
              <w:right w:val="single" w:color="auto" w:sz="4" w:space="0"/>
            </w:tcBorders>
            <w:shd w:val="clear" w:color="auto" w:fill="auto"/>
          </w:tcPr>
          <w:p w14:paraId="667C1404">
            <w:pPr>
              <w:tabs>
                <w:tab w:val="left" w:pos="567"/>
                <w:tab w:val="clear" w:pos="284"/>
              </w:tabs>
              <w:rPr>
                <w:rFonts w:ascii="Microsoft Sans Serif" w:hAnsi="Microsoft Sans Serif" w:cs="Microsoft Sans Serif"/>
                <w:sz w:val="20"/>
                <w:szCs w:val="20"/>
                <w:lang w:val="en-GB"/>
              </w:rPr>
            </w:pPr>
          </w:p>
        </w:tc>
        <w:tc>
          <w:tcPr>
            <w:tcW w:w="1571" w:type="dxa"/>
            <w:tcBorders>
              <w:top w:val="nil"/>
              <w:left w:val="single" w:color="auto" w:sz="4" w:space="0"/>
              <w:bottom w:val="nil"/>
            </w:tcBorders>
            <w:shd w:val="clear" w:color="auto" w:fill="auto"/>
          </w:tcPr>
          <w:p w14:paraId="4118C262">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česta</w:t>
            </w:r>
          </w:p>
        </w:tc>
      </w:tr>
      <w:tr w14:paraId="33820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nil"/>
              <w:bottom w:val="nil"/>
              <w:right w:val="single" w:color="auto" w:sz="4" w:space="0"/>
            </w:tcBorders>
            <w:shd w:val="clear" w:color="auto" w:fill="auto"/>
          </w:tcPr>
          <w:p w14:paraId="2A390D95">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Suva koža</w:t>
            </w:r>
          </w:p>
        </w:tc>
        <w:tc>
          <w:tcPr>
            <w:tcW w:w="992" w:type="dxa"/>
            <w:tcBorders>
              <w:top w:val="nil"/>
              <w:left w:val="single" w:color="auto" w:sz="4" w:space="0"/>
              <w:bottom w:val="nil"/>
              <w:right w:val="single" w:color="auto" w:sz="4" w:space="0"/>
            </w:tcBorders>
            <w:shd w:val="clear" w:color="auto" w:fill="auto"/>
          </w:tcPr>
          <w:p w14:paraId="69CAC626">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12</w:t>
            </w:r>
          </w:p>
        </w:tc>
        <w:tc>
          <w:tcPr>
            <w:tcW w:w="567" w:type="dxa"/>
            <w:tcBorders>
              <w:top w:val="nil"/>
              <w:left w:val="single" w:color="auto" w:sz="4" w:space="0"/>
              <w:bottom w:val="nil"/>
              <w:right w:val="single" w:color="auto" w:sz="4" w:space="0"/>
            </w:tcBorders>
            <w:shd w:val="clear" w:color="auto" w:fill="auto"/>
          </w:tcPr>
          <w:p w14:paraId="2320826A">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w:t>
            </w:r>
          </w:p>
        </w:tc>
        <w:tc>
          <w:tcPr>
            <w:tcW w:w="683" w:type="dxa"/>
            <w:tcBorders>
              <w:top w:val="nil"/>
              <w:left w:val="single" w:color="auto" w:sz="4" w:space="0"/>
              <w:bottom w:val="nil"/>
              <w:right w:val="single" w:color="auto" w:sz="4" w:space="0"/>
            </w:tcBorders>
            <w:shd w:val="clear" w:color="auto" w:fill="auto"/>
          </w:tcPr>
          <w:p w14:paraId="3137D17C">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w:t>
            </w:r>
          </w:p>
        </w:tc>
        <w:tc>
          <w:tcPr>
            <w:tcW w:w="876" w:type="dxa"/>
            <w:tcBorders>
              <w:top w:val="nil"/>
              <w:left w:val="single" w:color="auto" w:sz="4" w:space="0"/>
              <w:bottom w:val="nil"/>
              <w:right w:val="single" w:color="auto" w:sz="4" w:space="0"/>
            </w:tcBorders>
            <w:shd w:val="clear" w:color="auto" w:fill="auto"/>
          </w:tcPr>
          <w:p w14:paraId="456C45A2">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60" w:type="dxa"/>
            <w:tcBorders>
              <w:top w:val="nil"/>
              <w:left w:val="single" w:color="auto" w:sz="4" w:space="0"/>
              <w:bottom w:val="nil"/>
              <w:right w:val="single" w:color="auto" w:sz="4" w:space="0"/>
            </w:tcBorders>
            <w:shd w:val="clear" w:color="auto" w:fill="auto"/>
          </w:tcPr>
          <w:p w14:paraId="65B82B8B">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88" w:type="dxa"/>
            <w:tcBorders>
              <w:top w:val="nil"/>
              <w:left w:val="single" w:color="auto" w:sz="4" w:space="0"/>
              <w:bottom w:val="nil"/>
              <w:right w:val="single" w:color="auto" w:sz="4" w:space="0"/>
            </w:tcBorders>
            <w:shd w:val="clear" w:color="auto" w:fill="auto"/>
          </w:tcPr>
          <w:p w14:paraId="656B6F93">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72" w:type="dxa"/>
            <w:tcBorders>
              <w:top w:val="nil"/>
              <w:left w:val="single" w:color="auto" w:sz="4" w:space="0"/>
              <w:bottom w:val="nil"/>
              <w:right w:val="single" w:color="auto" w:sz="4" w:space="0"/>
            </w:tcBorders>
            <w:shd w:val="clear" w:color="auto" w:fill="auto"/>
          </w:tcPr>
          <w:p w14:paraId="65A452CF">
            <w:pPr>
              <w:tabs>
                <w:tab w:val="left" w:pos="567"/>
                <w:tab w:val="clear" w:pos="284"/>
              </w:tabs>
              <w:rPr>
                <w:rFonts w:ascii="Microsoft Sans Serif" w:hAnsi="Microsoft Sans Serif" w:cs="Microsoft Sans Serif"/>
                <w:sz w:val="20"/>
                <w:szCs w:val="20"/>
                <w:lang w:val="en-GB"/>
              </w:rPr>
            </w:pPr>
          </w:p>
        </w:tc>
        <w:tc>
          <w:tcPr>
            <w:tcW w:w="672" w:type="dxa"/>
            <w:tcBorders>
              <w:top w:val="nil"/>
              <w:left w:val="single" w:color="auto" w:sz="4" w:space="0"/>
              <w:bottom w:val="nil"/>
              <w:right w:val="single" w:color="auto" w:sz="4" w:space="0"/>
            </w:tcBorders>
            <w:shd w:val="clear" w:color="auto" w:fill="auto"/>
          </w:tcPr>
          <w:p w14:paraId="6C09CB6E">
            <w:pPr>
              <w:tabs>
                <w:tab w:val="left" w:pos="567"/>
                <w:tab w:val="clear" w:pos="284"/>
              </w:tabs>
              <w:rPr>
                <w:rFonts w:ascii="Microsoft Sans Serif" w:hAnsi="Microsoft Sans Serif" w:cs="Microsoft Sans Serif"/>
                <w:sz w:val="20"/>
                <w:szCs w:val="20"/>
                <w:lang w:val="en-GB"/>
              </w:rPr>
            </w:pPr>
          </w:p>
        </w:tc>
        <w:tc>
          <w:tcPr>
            <w:tcW w:w="557" w:type="dxa"/>
            <w:tcBorders>
              <w:top w:val="nil"/>
              <w:left w:val="single" w:color="auto" w:sz="4" w:space="0"/>
              <w:bottom w:val="nil"/>
              <w:right w:val="single" w:color="auto" w:sz="4" w:space="0"/>
            </w:tcBorders>
            <w:shd w:val="clear" w:color="auto" w:fill="auto"/>
          </w:tcPr>
          <w:p w14:paraId="4ECE1AF2">
            <w:pPr>
              <w:tabs>
                <w:tab w:val="left" w:pos="567"/>
                <w:tab w:val="clear" w:pos="284"/>
              </w:tabs>
              <w:rPr>
                <w:rFonts w:ascii="Microsoft Sans Serif" w:hAnsi="Microsoft Sans Serif" w:cs="Microsoft Sans Serif"/>
                <w:sz w:val="20"/>
                <w:szCs w:val="20"/>
                <w:lang w:val="en-GB"/>
              </w:rPr>
            </w:pPr>
          </w:p>
        </w:tc>
        <w:tc>
          <w:tcPr>
            <w:tcW w:w="1571" w:type="dxa"/>
            <w:tcBorders>
              <w:top w:val="nil"/>
              <w:left w:val="single" w:color="auto" w:sz="4" w:space="0"/>
              <w:bottom w:val="nil"/>
            </w:tcBorders>
            <w:shd w:val="clear" w:color="auto" w:fill="auto"/>
          </w:tcPr>
          <w:p w14:paraId="53EC839D">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česta</w:t>
            </w:r>
          </w:p>
        </w:tc>
      </w:tr>
      <w:tr w14:paraId="5878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nil"/>
              <w:bottom w:val="single" w:color="auto" w:sz="4" w:space="0"/>
              <w:right w:val="single" w:color="auto" w:sz="4" w:space="0"/>
            </w:tcBorders>
            <w:shd w:val="clear" w:color="auto" w:fill="auto"/>
          </w:tcPr>
          <w:p w14:paraId="1E22E620">
            <w:pPr>
              <w:tabs>
                <w:tab w:val="clear" w:pos="284"/>
              </w:tabs>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Alopecija</w:t>
            </w:r>
          </w:p>
        </w:tc>
        <w:tc>
          <w:tcPr>
            <w:tcW w:w="992" w:type="dxa"/>
            <w:tcBorders>
              <w:top w:val="nil"/>
              <w:left w:val="single" w:color="auto" w:sz="4" w:space="0"/>
              <w:bottom w:val="single" w:color="auto" w:sz="4" w:space="0"/>
              <w:right w:val="single" w:color="auto" w:sz="4" w:space="0"/>
            </w:tcBorders>
            <w:shd w:val="clear" w:color="auto" w:fill="auto"/>
          </w:tcPr>
          <w:p w14:paraId="3BE31186">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567" w:type="dxa"/>
            <w:tcBorders>
              <w:top w:val="nil"/>
              <w:left w:val="single" w:color="auto" w:sz="4" w:space="0"/>
              <w:bottom w:val="single" w:color="auto" w:sz="4" w:space="0"/>
              <w:right w:val="single" w:color="auto" w:sz="4" w:space="0"/>
            </w:tcBorders>
            <w:shd w:val="clear" w:color="auto" w:fill="auto"/>
          </w:tcPr>
          <w:p w14:paraId="1124087D">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83" w:type="dxa"/>
            <w:tcBorders>
              <w:top w:val="nil"/>
              <w:left w:val="single" w:color="auto" w:sz="4" w:space="0"/>
              <w:bottom w:val="single" w:color="auto" w:sz="4" w:space="0"/>
              <w:right w:val="single" w:color="auto" w:sz="4" w:space="0"/>
            </w:tcBorders>
            <w:shd w:val="clear" w:color="auto" w:fill="auto"/>
          </w:tcPr>
          <w:p w14:paraId="2E666FD7">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876" w:type="dxa"/>
            <w:tcBorders>
              <w:top w:val="nil"/>
              <w:left w:val="single" w:color="auto" w:sz="4" w:space="0"/>
              <w:bottom w:val="single" w:color="auto" w:sz="4" w:space="0"/>
              <w:right w:val="single" w:color="auto" w:sz="4" w:space="0"/>
            </w:tcBorders>
            <w:shd w:val="clear" w:color="auto" w:fill="auto"/>
          </w:tcPr>
          <w:p w14:paraId="2ADD4913">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14</w:t>
            </w:r>
          </w:p>
        </w:tc>
        <w:tc>
          <w:tcPr>
            <w:tcW w:w="660" w:type="dxa"/>
            <w:tcBorders>
              <w:top w:val="nil"/>
              <w:left w:val="single" w:color="auto" w:sz="4" w:space="0"/>
              <w:bottom w:val="single" w:color="auto" w:sz="4" w:space="0"/>
              <w:right w:val="single" w:color="auto" w:sz="4" w:space="0"/>
            </w:tcBorders>
            <w:shd w:val="clear" w:color="auto" w:fill="auto"/>
          </w:tcPr>
          <w:p w14:paraId="064919B3">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w:t>
            </w:r>
          </w:p>
        </w:tc>
        <w:tc>
          <w:tcPr>
            <w:tcW w:w="688" w:type="dxa"/>
            <w:tcBorders>
              <w:top w:val="nil"/>
              <w:left w:val="single" w:color="auto" w:sz="4" w:space="0"/>
              <w:bottom w:val="single" w:color="auto" w:sz="4" w:space="0"/>
              <w:right w:val="single" w:color="auto" w:sz="4" w:space="0"/>
            </w:tcBorders>
            <w:shd w:val="clear" w:color="auto" w:fill="auto"/>
          </w:tcPr>
          <w:p w14:paraId="3D6B998E">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w:t>
            </w:r>
          </w:p>
        </w:tc>
        <w:tc>
          <w:tcPr>
            <w:tcW w:w="672" w:type="dxa"/>
            <w:tcBorders>
              <w:top w:val="nil"/>
              <w:left w:val="single" w:color="auto" w:sz="4" w:space="0"/>
              <w:bottom w:val="single" w:color="auto" w:sz="4" w:space="0"/>
              <w:right w:val="single" w:color="auto" w:sz="4" w:space="0"/>
            </w:tcBorders>
            <w:shd w:val="clear" w:color="auto" w:fill="auto"/>
          </w:tcPr>
          <w:p w14:paraId="63EEB8E5">
            <w:pPr>
              <w:tabs>
                <w:tab w:val="left" w:pos="567"/>
                <w:tab w:val="clear" w:pos="284"/>
              </w:tabs>
              <w:rPr>
                <w:rFonts w:ascii="Microsoft Sans Serif" w:hAnsi="Microsoft Sans Serif" w:cs="Microsoft Sans Serif"/>
                <w:sz w:val="20"/>
                <w:szCs w:val="20"/>
                <w:lang w:val="en-GB"/>
              </w:rPr>
            </w:pPr>
          </w:p>
        </w:tc>
        <w:tc>
          <w:tcPr>
            <w:tcW w:w="672" w:type="dxa"/>
            <w:tcBorders>
              <w:top w:val="nil"/>
              <w:left w:val="single" w:color="auto" w:sz="4" w:space="0"/>
              <w:bottom w:val="single" w:color="auto" w:sz="4" w:space="0"/>
              <w:right w:val="single" w:color="auto" w:sz="4" w:space="0"/>
            </w:tcBorders>
            <w:shd w:val="clear" w:color="auto" w:fill="auto"/>
          </w:tcPr>
          <w:p w14:paraId="58382100">
            <w:pPr>
              <w:tabs>
                <w:tab w:val="left" w:pos="567"/>
                <w:tab w:val="clear" w:pos="284"/>
              </w:tabs>
              <w:rPr>
                <w:rFonts w:ascii="Microsoft Sans Serif" w:hAnsi="Microsoft Sans Serif" w:cs="Microsoft Sans Serif"/>
                <w:sz w:val="20"/>
                <w:szCs w:val="20"/>
                <w:lang w:val="en-GB"/>
              </w:rPr>
            </w:pPr>
          </w:p>
        </w:tc>
        <w:tc>
          <w:tcPr>
            <w:tcW w:w="557" w:type="dxa"/>
            <w:tcBorders>
              <w:top w:val="nil"/>
              <w:left w:val="single" w:color="auto" w:sz="4" w:space="0"/>
              <w:bottom w:val="single" w:color="auto" w:sz="4" w:space="0"/>
              <w:right w:val="single" w:color="auto" w:sz="4" w:space="0"/>
            </w:tcBorders>
            <w:shd w:val="clear" w:color="auto" w:fill="auto"/>
          </w:tcPr>
          <w:p w14:paraId="7C56E7D8">
            <w:pPr>
              <w:tabs>
                <w:tab w:val="left" w:pos="567"/>
                <w:tab w:val="clear" w:pos="284"/>
              </w:tabs>
              <w:rPr>
                <w:rFonts w:ascii="Microsoft Sans Serif" w:hAnsi="Microsoft Sans Serif" w:cs="Microsoft Sans Serif"/>
                <w:sz w:val="20"/>
                <w:szCs w:val="20"/>
                <w:lang w:val="en-GB"/>
              </w:rPr>
            </w:pPr>
          </w:p>
        </w:tc>
        <w:tc>
          <w:tcPr>
            <w:tcW w:w="1571" w:type="dxa"/>
            <w:tcBorders>
              <w:top w:val="nil"/>
              <w:left w:val="single" w:color="auto" w:sz="4" w:space="0"/>
              <w:bottom w:val="single" w:color="auto" w:sz="4" w:space="0"/>
            </w:tcBorders>
            <w:shd w:val="clear" w:color="auto" w:fill="auto"/>
          </w:tcPr>
          <w:p w14:paraId="2D094A6C">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česta</w:t>
            </w:r>
          </w:p>
        </w:tc>
      </w:tr>
      <w:tr w14:paraId="05319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bottom w:val="nil"/>
              <w:right w:val="single" w:color="auto" w:sz="4" w:space="0"/>
            </w:tcBorders>
            <w:shd w:val="clear" w:color="auto" w:fill="auto"/>
          </w:tcPr>
          <w:p w14:paraId="2F9A63B3">
            <w:pPr>
              <w:tabs>
                <w:tab w:val="clear" w:pos="284"/>
              </w:tabs>
              <w:autoSpaceDE w:val="0"/>
              <w:autoSpaceDN w:val="0"/>
              <w:adjustRightInd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Opšti poremećaji i reakcije na m</w:t>
            </w:r>
            <w:r>
              <w:rPr>
                <w:rFonts w:ascii="Microsoft Sans Serif" w:hAnsi="Microsoft Sans Serif" w:cs="Microsoft Sans Serif"/>
                <w:i/>
                <w:sz w:val="20"/>
                <w:szCs w:val="20"/>
                <w:lang w:val="sr-Latn-RS"/>
              </w:rPr>
              <w:t>j</w:t>
            </w:r>
            <w:r>
              <w:rPr>
                <w:rFonts w:ascii="Microsoft Sans Serif" w:hAnsi="Microsoft Sans Serif" w:cs="Microsoft Sans Serif"/>
                <w:i/>
                <w:sz w:val="20"/>
                <w:szCs w:val="20"/>
                <w:lang w:val="sr-Cyrl-RS"/>
              </w:rPr>
              <w:t>estu primjene</w:t>
            </w:r>
          </w:p>
        </w:tc>
        <w:tc>
          <w:tcPr>
            <w:tcW w:w="992" w:type="dxa"/>
            <w:tcBorders>
              <w:left w:val="single" w:color="auto" w:sz="4" w:space="0"/>
              <w:bottom w:val="nil"/>
              <w:right w:val="single" w:color="auto" w:sz="4" w:space="0"/>
            </w:tcBorders>
            <w:shd w:val="clear" w:color="auto" w:fill="auto"/>
          </w:tcPr>
          <w:p w14:paraId="50EF97E1">
            <w:pPr>
              <w:tabs>
                <w:tab w:val="left" w:pos="567"/>
                <w:tab w:val="clear" w:pos="284"/>
              </w:tabs>
              <w:rPr>
                <w:rFonts w:ascii="Microsoft Sans Serif" w:hAnsi="Microsoft Sans Serif" w:cs="Microsoft Sans Serif"/>
                <w:sz w:val="20"/>
                <w:szCs w:val="20"/>
                <w:lang w:val="en-GB"/>
              </w:rPr>
            </w:pPr>
          </w:p>
        </w:tc>
        <w:tc>
          <w:tcPr>
            <w:tcW w:w="567" w:type="dxa"/>
            <w:tcBorders>
              <w:left w:val="single" w:color="auto" w:sz="4" w:space="0"/>
              <w:bottom w:val="nil"/>
              <w:right w:val="single" w:color="auto" w:sz="4" w:space="0"/>
            </w:tcBorders>
            <w:shd w:val="clear" w:color="auto" w:fill="auto"/>
          </w:tcPr>
          <w:p w14:paraId="12A26204">
            <w:pPr>
              <w:tabs>
                <w:tab w:val="left" w:pos="567"/>
                <w:tab w:val="clear" w:pos="284"/>
              </w:tabs>
              <w:rPr>
                <w:rFonts w:ascii="Microsoft Sans Serif" w:hAnsi="Microsoft Sans Serif" w:cs="Microsoft Sans Serif"/>
                <w:sz w:val="20"/>
                <w:szCs w:val="20"/>
                <w:lang w:val="en-GB"/>
              </w:rPr>
            </w:pPr>
          </w:p>
        </w:tc>
        <w:tc>
          <w:tcPr>
            <w:tcW w:w="683" w:type="dxa"/>
            <w:tcBorders>
              <w:left w:val="single" w:color="auto" w:sz="4" w:space="0"/>
              <w:bottom w:val="nil"/>
              <w:right w:val="single" w:color="auto" w:sz="4" w:space="0"/>
            </w:tcBorders>
            <w:shd w:val="clear" w:color="auto" w:fill="auto"/>
          </w:tcPr>
          <w:p w14:paraId="7A96EDAB">
            <w:pPr>
              <w:tabs>
                <w:tab w:val="left" w:pos="567"/>
                <w:tab w:val="clear" w:pos="284"/>
              </w:tabs>
              <w:rPr>
                <w:rFonts w:ascii="Microsoft Sans Serif" w:hAnsi="Microsoft Sans Serif" w:cs="Microsoft Sans Serif"/>
                <w:sz w:val="20"/>
                <w:szCs w:val="20"/>
                <w:lang w:val="en-GB"/>
              </w:rPr>
            </w:pPr>
          </w:p>
        </w:tc>
        <w:tc>
          <w:tcPr>
            <w:tcW w:w="876" w:type="dxa"/>
            <w:tcBorders>
              <w:left w:val="single" w:color="auto" w:sz="4" w:space="0"/>
              <w:bottom w:val="nil"/>
              <w:right w:val="single" w:color="auto" w:sz="4" w:space="0"/>
            </w:tcBorders>
            <w:shd w:val="clear" w:color="auto" w:fill="auto"/>
          </w:tcPr>
          <w:p w14:paraId="0B28BE7F">
            <w:pPr>
              <w:tabs>
                <w:tab w:val="left" w:pos="567"/>
                <w:tab w:val="clear" w:pos="284"/>
              </w:tabs>
              <w:rPr>
                <w:rFonts w:ascii="Microsoft Sans Serif" w:hAnsi="Microsoft Sans Serif" w:cs="Microsoft Sans Serif"/>
                <w:sz w:val="20"/>
                <w:szCs w:val="20"/>
                <w:lang w:val="en-GB"/>
              </w:rPr>
            </w:pPr>
          </w:p>
        </w:tc>
        <w:tc>
          <w:tcPr>
            <w:tcW w:w="660" w:type="dxa"/>
            <w:tcBorders>
              <w:left w:val="single" w:color="auto" w:sz="4" w:space="0"/>
              <w:bottom w:val="nil"/>
              <w:right w:val="single" w:color="auto" w:sz="4" w:space="0"/>
            </w:tcBorders>
            <w:shd w:val="clear" w:color="auto" w:fill="auto"/>
          </w:tcPr>
          <w:p w14:paraId="3520CDE7">
            <w:pPr>
              <w:tabs>
                <w:tab w:val="left" w:pos="567"/>
                <w:tab w:val="clear" w:pos="284"/>
              </w:tabs>
              <w:rPr>
                <w:rFonts w:ascii="Microsoft Sans Serif" w:hAnsi="Microsoft Sans Serif" w:cs="Microsoft Sans Serif"/>
                <w:sz w:val="20"/>
                <w:szCs w:val="20"/>
                <w:lang w:val="en-GB"/>
              </w:rPr>
            </w:pPr>
          </w:p>
        </w:tc>
        <w:tc>
          <w:tcPr>
            <w:tcW w:w="688" w:type="dxa"/>
            <w:tcBorders>
              <w:left w:val="single" w:color="auto" w:sz="4" w:space="0"/>
              <w:bottom w:val="nil"/>
              <w:right w:val="single" w:color="auto" w:sz="4" w:space="0"/>
            </w:tcBorders>
            <w:shd w:val="clear" w:color="auto" w:fill="auto"/>
          </w:tcPr>
          <w:p w14:paraId="4687E07F">
            <w:pPr>
              <w:tabs>
                <w:tab w:val="left" w:pos="567"/>
                <w:tab w:val="clear" w:pos="284"/>
              </w:tabs>
              <w:rPr>
                <w:rFonts w:ascii="Microsoft Sans Serif" w:hAnsi="Microsoft Sans Serif" w:cs="Microsoft Sans Serif"/>
                <w:sz w:val="20"/>
                <w:szCs w:val="20"/>
                <w:lang w:val="en-GB"/>
              </w:rPr>
            </w:pPr>
          </w:p>
        </w:tc>
        <w:tc>
          <w:tcPr>
            <w:tcW w:w="672" w:type="dxa"/>
            <w:tcBorders>
              <w:left w:val="single" w:color="auto" w:sz="4" w:space="0"/>
              <w:bottom w:val="nil"/>
              <w:right w:val="single" w:color="auto" w:sz="4" w:space="0"/>
            </w:tcBorders>
            <w:shd w:val="clear" w:color="auto" w:fill="auto"/>
          </w:tcPr>
          <w:p w14:paraId="65BC5036">
            <w:pPr>
              <w:tabs>
                <w:tab w:val="left" w:pos="567"/>
                <w:tab w:val="clear" w:pos="284"/>
              </w:tabs>
              <w:rPr>
                <w:rFonts w:ascii="Microsoft Sans Serif" w:hAnsi="Microsoft Sans Serif" w:cs="Microsoft Sans Serif"/>
                <w:sz w:val="20"/>
                <w:szCs w:val="20"/>
                <w:lang w:val="en-GB"/>
              </w:rPr>
            </w:pPr>
          </w:p>
        </w:tc>
        <w:tc>
          <w:tcPr>
            <w:tcW w:w="672" w:type="dxa"/>
            <w:tcBorders>
              <w:left w:val="single" w:color="auto" w:sz="4" w:space="0"/>
              <w:bottom w:val="nil"/>
              <w:right w:val="single" w:color="auto" w:sz="4" w:space="0"/>
            </w:tcBorders>
            <w:shd w:val="clear" w:color="auto" w:fill="auto"/>
          </w:tcPr>
          <w:p w14:paraId="045E0CED">
            <w:pPr>
              <w:tabs>
                <w:tab w:val="left" w:pos="567"/>
                <w:tab w:val="clear" w:pos="284"/>
              </w:tabs>
              <w:rPr>
                <w:rFonts w:ascii="Microsoft Sans Serif" w:hAnsi="Microsoft Sans Serif" w:cs="Microsoft Sans Serif"/>
                <w:sz w:val="20"/>
                <w:szCs w:val="20"/>
                <w:lang w:val="en-GB"/>
              </w:rPr>
            </w:pPr>
          </w:p>
        </w:tc>
        <w:tc>
          <w:tcPr>
            <w:tcW w:w="557" w:type="dxa"/>
            <w:tcBorders>
              <w:left w:val="single" w:color="auto" w:sz="4" w:space="0"/>
              <w:bottom w:val="nil"/>
              <w:right w:val="single" w:color="auto" w:sz="4" w:space="0"/>
            </w:tcBorders>
            <w:shd w:val="clear" w:color="auto" w:fill="auto"/>
          </w:tcPr>
          <w:p w14:paraId="27228364">
            <w:pPr>
              <w:tabs>
                <w:tab w:val="left" w:pos="567"/>
                <w:tab w:val="clear" w:pos="284"/>
              </w:tabs>
              <w:rPr>
                <w:rFonts w:ascii="Microsoft Sans Serif" w:hAnsi="Microsoft Sans Serif" w:cs="Microsoft Sans Serif"/>
                <w:sz w:val="20"/>
                <w:szCs w:val="20"/>
                <w:lang w:val="en-GB"/>
              </w:rPr>
            </w:pPr>
          </w:p>
        </w:tc>
        <w:tc>
          <w:tcPr>
            <w:tcW w:w="1571" w:type="dxa"/>
            <w:tcBorders>
              <w:left w:val="single" w:color="auto" w:sz="4" w:space="0"/>
              <w:bottom w:val="nil"/>
            </w:tcBorders>
            <w:shd w:val="clear" w:color="auto" w:fill="auto"/>
          </w:tcPr>
          <w:p w14:paraId="72175C01">
            <w:pPr>
              <w:tabs>
                <w:tab w:val="left" w:pos="567"/>
                <w:tab w:val="clear" w:pos="284"/>
              </w:tabs>
              <w:rPr>
                <w:rFonts w:ascii="Microsoft Sans Serif" w:hAnsi="Microsoft Sans Serif" w:cs="Microsoft Sans Serif"/>
                <w:sz w:val="20"/>
                <w:szCs w:val="20"/>
                <w:lang w:val="en-GB"/>
              </w:rPr>
            </w:pPr>
          </w:p>
        </w:tc>
      </w:tr>
      <w:tr w14:paraId="6AFC5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nil"/>
              <w:bottom w:val="nil"/>
              <w:right w:val="single" w:color="auto" w:sz="4" w:space="0"/>
            </w:tcBorders>
            <w:shd w:val="clear" w:color="auto" w:fill="auto"/>
          </w:tcPr>
          <w:p w14:paraId="5AEA49BF">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Umor</w:t>
            </w:r>
          </w:p>
        </w:tc>
        <w:tc>
          <w:tcPr>
            <w:tcW w:w="992" w:type="dxa"/>
            <w:tcBorders>
              <w:top w:val="nil"/>
              <w:left w:val="single" w:color="auto" w:sz="4" w:space="0"/>
              <w:bottom w:val="nil"/>
              <w:right w:val="single" w:color="auto" w:sz="4" w:space="0"/>
            </w:tcBorders>
            <w:shd w:val="clear" w:color="auto" w:fill="auto"/>
          </w:tcPr>
          <w:p w14:paraId="691C16E0">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52</w:t>
            </w:r>
          </w:p>
        </w:tc>
        <w:tc>
          <w:tcPr>
            <w:tcW w:w="567" w:type="dxa"/>
            <w:tcBorders>
              <w:top w:val="nil"/>
              <w:left w:val="single" w:color="auto" w:sz="4" w:space="0"/>
              <w:bottom w:val="nil"/>
              <w:right w:val="single" w:color="auto" w:sz="4" w:space="0"/>
            </w:tcBorders>
            <w:shd w:val="clear" w:color="auto" w:fill="auto"/>
          </w:tcPr>
          <w:p w14:paraId="75A67E31">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14</w:t>
            </w:r>
          </w:p>
        </w:tc>
        <w:tc>
          <w:tcPr>
            <w:tcW w:w="683" w:type="dxa"/>
            <w:tcBorders>
              <w:top w:val="nil"/>
              <w:left w:val="single" w:color="auto" w:sz="4" w:space="0"/>
              <w:bottom w:val="nil"/>
              <w:right w:val="single" w:color="auto" w:sz="4" w:space="0"/>
            </w:tcBorders>
            <w:shd w:val="clear" w:color="auto" w:fill="auto"/>
          </w:tcPr>
          <w:p w14:paraId="0F441072">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4</w:t>
            </w:r>
          </w:p>
        </w:tc>
        <w:tc>
          <w:tcPr>
            <w:tcW w:w="876" w:type="dxa"/>
            <w:tcBorders>
              <w:top w:val="nil"/>
              <w:left w:val="single" w:color="auto" w:sz="4" w:space="0"/>
              <w:bottom w:val="nil"/>
              <w:right w:val="single" w:color="auto" w:sz="4" w:space="0"/>
            </w:tcBorders>
            <w:shd w:val="clear" w:color="auto" w:fill="auto"/>
          </w:tcPr>
          <w:p w14:paraId="41379598">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73</w:t>
            </w:r>
          </w:p>
        </w:tc>
        <w:tc>
          <w:tcPr>
            <w:tcW w:w="660" w:type="dxa"/>
            <w:tcBorders>
              <w:top w:val="nil"/>
              <w:left w:val="single" w:color="auto" w:sz="4" w:space="0"/>
              <w:bottom w:val="nil"/>
              <w:right w:val="single" w:color="auto" w:sz="4" w:space="0"/>
            </w:tcBorders>
            <w:shd w:val="clear" w:color="auto" w:fill="auto"/>
          </w:tcPr>
          <w:p w14:paraId="0C72BA32">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14</w:t>
            </w:r>
          </w:p>
        </w:tc>
        <w:tc>
          <w:tcPr>
            <w:tcW w:w="688" w:type="dxa"/>
            <w:tcBorders>
              <w:top w:val="nil"/>
              <w:left w:val="single" w:color="auto" w:sz="4" w:space="0"/>
              <w:bottom w:val="nil"/>
              <w:right w:val="single" w:color="auto" w:sz="4" w:space="0"/>
            </w:tcBorders>
            <w:shd w:val="clear" w:color="auto" w:fill="auto"/>
          </w:tcPr>
          <w:p w14:paraId="285DB8B4">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2</w:t>
            </w:r>
          </w:p>
        </w:tc>
        <w:tc>
          <w:tcPr>
            <w:tcW w:w="672" w:type="dxa"/>
            <w:tcBorders>
              <w:top w:val="nil"/>
              <w:left w:val="single" w:color="auto" w:sz="4" w:space="0"/>
              <w:bottom w:val="nil"/>
              <w:right w:val="single" w:color="auto" w:sz="4" w:space="0"/>
            </w:tcBorders>
            <w:shd w:val="clear" w:color="auto" w:fill="auto"/>
          </w:tcPr>
          <w:p w14:paraId="2E838F22">
            <w:pPr>
              <w:tabs>
                <w:tab w:val="left" w:pos="567"/>
                <w:tab w:val="clear" w:pos="284"/>
              </w:tabs>
              <w:rPr>
                <w:rFonts w:ascii="Microsoft Sans Serif" w:hAnsi="Microsoft Sans Serif" w:cs="Microsoft Sans Serif"/>
                <w:sz w:val="20"/>
                <w:szCs w:val="20"/>
                <w:lang w:val="en-GB"/>
              </w:rPr>
            </w:pPr>
          </w:p>
        </w:tc>
        <w:tc>
          <w:tcPr>
            <w:tcW w:w="672" w:type="dxa"/>
            <w:tcBorders>
              <w:top w:val="nil"/>
              <w:left w:val="single" w:color="auto" w:sz="4" w:space="0"/>
              <w:bottom w:val="nil"/>
              <w:right w:val="single" w:color="auto" w:sz="4" w:space="0"/>
            </w:tcBorders>
            <w:shd w:val="clear" w:color="auto" w:fill="auto"/>
          </w:tcPr>
          <w:p w14:paraId="0816D89B">
            <w:pPr>
              <w:tabs>
                <w:tab w:val="left" w:pos="567"/>
                <w:tab w:val="clear" w:pos="284"/>
              </w:tabs>
              <w:rPr>
                <w:rFonts w:ascii="Microsoft Sans Serif" w:hAnsi="Microsoft Sans Serif" w:cs="Microsoft Sans Serif"/>
                <w:sz w:val="20"/>
                <w:szCs w:val="20"/>
                <w:lang w:val="en-GB"/>
              </w:rPr>
            </w:pPr>
          </w:p>
        </w:tc>
        <w:tc>
          <w:tcPr>
            <w:tcW w:w="557" w:type="dxa"/>
            <w:tcBorders>
              <w:top w:val="nil"/>
              <w:left w:val="single" w:color="auto" w:sz="4" w:space="0"/>
              <w:bottom w:val="nil"/>
              <w:right w:val="single" w:color="auto" w:sz="4" w:space="0"/>
            </w:tcBorders>
            <w:shd w:val="clear" w:color="auto" w:fill="auto"/>
          </w:tcPr>
          <w:p w14:paraId="6F807032">
            <w:pPr>
              <w:tabs>
                <w:tab w:val="left" w:pos="567"/>
                <w:tab w:val="clear" w:pos="284"/>
              </w:tabs>
              <w:rPr>
                <w:rFonts w:ascii="Microsoft Sans Serif" w:hAnsi="Microsoft Sans Serif" w:cs="Microsoft Sans Serif"/>
                <w:sz w:val="20"/>
                <w:szCs w:val="20"/>
                <w:lang w:val="en-GB"/>
              </w:rPr>
            </w:pPr>
          </w:p>
        </w:tc>
        <w:tc>
          <w:tcPr>
            <w:tcW w:w="1571" w:type="dxa"/>
            <w:tcBorders>
              <w:top w:val="nil"/>
              <w:left w:val="single" w:color="auto" w:sz="4" w:space="0"/>
              <w:bottom w:val="nil"/>
            </w:tcBorders>
            <w:shd w:val="clear" w:color="auto" w:fill="auto"/>
          </w:tcPr>
          <w:p w14:paraId="2D5D2FB7">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česta</w:t>
            </w:r>
          </w:p>
        </w:tc>
      </w:tr>
      <w:tr w14:paraId="4EAED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nil"/>
              <w:bottom w:val="nil"/>
              <w:right w:val="single" w:color="auto" w:sz="4" w:space="0"/>
            </w:tcBorders>
            <w:shd w:val="clear" w:color="auto" w:fill="auto"/>
          </w:tcPr>
          <w:p w14:paraId="6E51AC94">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Pireksija</w:t>
            </w:r>
          </w:p>
        </w:tc>
        <w:tc>
          <w:tcPr>
            <w:tcW w:w="992" w:type="dxa"/>
            <w:tcBorders>
              <w:top w:val="nil"/>
              <w:left w:val="single" w:color="auto" w:sz="4" w:space="0"/>
              <w:bottom w:val="nil"/>
              <w:right w:val="single" w:color="auto" w:sz="4" w:space="0"/>
            </w:tcBorders>
            <w:shd w:val="clear" w:color="auto" w:fill="auto"/>
          </w:tcPr>
          <w:p w14:paraId="4E56A0FA">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567" w:type="dxa"/>
            <w:tcBorders>
              <w:top w:val="nil"/>
              <w:left w:val="single" w:color="auto" w:sz="4" w:space="0"/>
              <w:bottom w:val="nil"/>
              <w:right w:val="single" w:color="auto" w:sz="4" w:space="0"/>
            </w:tcBorders>
            <w:shd w:val="clear" w:color="auto" w:fill="auto"/>
          </w:tcPr>
          <w:p w14:paraId="6C6A705B">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83" w:type="dxa"/>
            <w:tcBorders>
              <w:top w:val="nil"/>
              <w:left w:val="single" w:color="auto" w:sz="4" w:space="0"/>
              <w:bottom w:val="nil"/>
              <w:right w:val="single" w:color="auto" w:sz="4" w:space="0"/>
            </w:tcBorders>
            <w:shd w:val="clear" w:color="auto" w:fill="auto"/>
          </w:tcPr>
          <w:p w14:paraId="4A655595">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876" w:type="dxa"/>
            <w:tcBorders>
              <w:top w:val="nil"/>
              <w:left w:val="single" w:color="auto" w:sz="4" w:space="0"/>
              <w:bottom w:val="nil"/>
              <w:right w:val="single" w:color="auto" w:sz="4" w:space="0"/>
            </w:tcBorders>
            <w:shd w:val="clear" w:color="auto" w:fill="auto"/>
          </w:tcPr>
          <w:p w14:paraId="2C911F27">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36</w:t>
            </w:r>
          </w:p>
        </w:tc>
        <w:tc>
          <w:tcPr>
            <w:tcW w:w="660" w:type="dxa"/>
            <w:tcBorders>
              <w:top w:val="nil"/>
              <w:left w:val="single" w:color="auto" w:sz="4" w:space="0"/>
              <w:bottom w:val="nil"/>
              <w:right w:val="single" w:color="auto" w:sz="4" w:space="0"/>
            </w:tcBorders>
            <w:shd w:val="clear" w:color="auto" w:fill="auto"/>
          </w:tcPr>
          <w:p w14:paraId="5664F5D5">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3</w:t>
            </w:r>
          </w:p>
        </w:tc>
        <w:tc>
          <w:tcPr>
            <w:tcW w:w="688" w:type="dxa"/>
            <w:tcBorders>
              <w:top w:val="nil"/>
              <w:left w:val="single" w:color="auto" w:sz="4" w:space="0"/>
              <w:bottom w:val="nil"/>
              <w:right w:val="single" w:color="auto" w:sz="4" w:space="0"/>
            </w:tcBorders>
            <w:shd w:val="clear" w:color="auto" w:fill="auto"/>
          </w:tcPr>
          <w:p w14:paraId="7A37BDF9">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w:t>
            </w:r>
          </w:p>
        </w:tc>
        <w:tc>
          <w:tcPr>
            <w:tcW w:w="672" w:type="dxa"/>
            <w:tcBorders>
              <w:top w:val="nil"/>
              <w:left w:val="single" w:color="auto" w:sz="4" w:space="0"/>
              <w:bottom w:val="nil"/>
              <w:right w:val="single" w:color="auto" w:sz="4" w:space="0"/>
            </w:tcBorders>
            <w:shd w:val="clear" w:color="auto" w:fill="auto"/>
          </w:tcPr>
          <w:p w14:paraId="477FF23E">
            <w:pPr>
              <w:tabs>
                <w:tab w:val="left" w:pos="567"/>
                <w:tab w:val="clear" w:pos="284"/>
              </w:tabs>
              <w:rPr>
                <w:rFonts w:ascii="Microsoft Sans Serif" w:hAnsi="Microsoft Sans Serif" w:cs="Microsoft Sans Serif"/>
                <w:sz w:val="20"/>
                <w:szCs w:val="20"/>
                <w:lang w:val="en-GB"/>
              </w:rPr>
            </w:pPr>
          </w:p>
        </w:tc>
        <w:tc>
          <w:tcPr>
            <w:tcW w:w="672" w:type="dxa"/>
            <w:tcBorders>
              <w:top w:val="nil"/>
              <w:left w:val="single" w:color="auto" w:sz="4" w:space="0"/>
              <w:bottom w:val="nil"/>
              <w:right w:val="single" w:color="auto" w:sz="4" w:space="0"/>
            </w:tcBorders>
            <w:shd w:val="clear" w:color="auto" w:fill="auto"/>
          </w:tcPr>
          <w:p w14:paraId="127D06DF">
            <w:pPr>
              <w:tabs>
                <w:tab w:val="left" w:pos="567"/>
                <w:tab w:val="clear" w:pos="284"/>
              </w:tabs>
              <w:rPr>
                <w:rFonts w:ascii="Microsoft Sans Serif" w:hAnsi="Microsoft Sans Serif" w:cs="Microsoft Sans Serif"/>
                <w:sz w:val="20"/>
                <w:szCs w:val="20"/>
                <w:lang w:val="en-GB"/>
              </w:rPr>
            </w:pPr>
          </w:p>
        </w:tc>
        <w:tc>
          <w:tcPr>
            <w:tcW w:w="557" w:type="dxa"/>
            <w:tcBorders>
              <w:top w:val="nil"/>
              <w:left w:val="single" w:color="auto" w:sz="4" w:space="0"/>
              <w:bottom w:val="nil"/>
              <w:right w:val="single" w:color="auto" w:sz="4" w:space="0"/>
            </w:tcBorders>
            <w:shd w:val="clear" w:color="auto" w:fill="auto"/>
          </w:tcPr>
          <w:p w14:paraId="617D6463">
            <w:pPr>
              <w:tabs>
                <w:tab w:val="left" w:pos="567"/>
                <w:tab w:val="clear" w:pos="284"/>
              </w:tabs>
              <w:rPr>
                <w:rFonts w:ascii="Microsoft Sans Serif" w:hAnsi="Microsoft Sans Serif" w:cs="Microsoft Sans Serif"/>
                <w:sz w:val="20"/>
                <w:szCs w:val="20"/>
                <w:lang w:val="en-GB"/>
              </w:rPr>
            </w:pPr>
          </w:p>
        </w:tc>
        <w:tc>
          <w:tcPr>
            <w:tcW w:w="1571" w:type="dxa"/>
            <w:tcBorders>
              <w:top w:val="nil"/>
              <w:left w:val="single" w:color="auto" w:sz="4" w:space="0"/>
              <w:bottom w:val="nil"/>
            </w:tcBorders>
            <w:shd w:val="clear" w:color="auto" w:fill="auto"/>
          </w:tcPr>
          <w:p w14:paraId="22811FD4">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česta</w:t>
            </w:r>
          </w:p>
        </w:tc>
      </w:tr>
      <w:tr w14:paraId="1B651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nil"/>
              <w:right w:val="single" w:color="auto" w:sz="4" w:space="0"/>
            </w:tcBorders>
            <w:shd w:val="clear" w:color="auto" w:fill="auto"/>
          </w:tcPr>
          <w:p w14:paraId="248052BA">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Ukočenost</w:t>
            </w:r>
          </w:p>
        </w:tc>
        <w:tc>
          <w:tcPr>
            <w:tcW w:w="992" w:type="dxa"/>
            <w:tcBorders>
              <w:top w:val="nil"/>
              <w:left w:val="single" w:color="auto" w:sz="4" w:space="0"/>
              <w:right w:val="single" w:color="auto" w:sz="4" w:space="0"/>
            </w:tcBorders>
            <w:shd w:val="clear" w:color="auto" w:fill="auto"/>
          </w:tcPr>
          <w:p w14:paraId="69F26A75">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567" w:type="dxa"/>
            <w:tcBorders>
              <w:top w:val="nil"/>
              <w:left w:val="single" w:color="auto" w:sz="4" w:space="0"/>
              <w:right w:val="single" w:color="auto" w:sz="4" w:space="0"/>
            </w:tcBorders>
            <w:shd w:val="clear" w:color="auto" w:fill="auto"/>
          </w:tcPr>
          <w:p w14:paraId="13EAEFE3">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683" w:type="dxa"/>
            <w:tcBorders>
              <w:top w:val="nil"/>
              <w:left w:val="single" w:color="auto" w:sz="4" w:space="0"/>
              <w:right w:val="single" w:color="auto" w:sz="4" w:space="0"/>
            </w:tcBorders>
            <w:shd w:val="clear" w:color="auto" w:fill="auto"/>
          </w:tcPr>
          <w:p w14:paraId="370181BA">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876" w:type="dxa"/>
            <w:tcBorders>
              <w:top w:val="nil"/>
              <w:left w:val="single" w:color="auto" w:sz="4" w:space="0"/>
              <w:right w:val="single" w:color="auto" w:sz="4" w:space="0"/>
            </w:tcBorders>
            <w:shd w:val="clear" w:color="auto" w:fill="auto"/>
          </w:tcPr>
          <w:p w14:paraId="4FDA8121">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12</w:t>
            </w:r>
          </w:p>
        </w:tc>
        <w:tc>
          <w:tcPr>
            <w:tcW w:w="660" w:type="dxa"/>
            <w:tcBorders>
              <w:top w:val="nil"/>
              <w:left w:val="single" w:color="auto" w:sz="4" w:space="0"/>
              <w:right w:val="single" w:color="auto" w:sz="4" w:space="0"/>
            </w:tcBorders>
            <w:shd w:val="clear" w:color="auto" w:fill="auto"/>
          </w:tcPr>
          <w:p w14:paraId="0C98B08C">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w:t>
            </w:r>
          </w:p>
        </w:tc>
        <w:tc>
          <w:tcPr>
            <w:tcW w:w="688" w:type="dxa"/>
            <w:tcBorders>
              <w:top w:val="nil"/>
              <w:left w:val="single" w:color="auto" w:sz="4" w:space="0"/>
              <w:right w:val="single" w:color="auto" w:sz="4" w:space="0"/>
            </w:tcBorders>
            <w:shd w:val="clear" w:color="auto" w:fill="auto"/>
          </w:tcPr>
          <w:p w14:paraId="58B9B15E">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w:t>
            </w:r>
          </w:p>
        </w:tc>
        <w:tc>
          <w:tcPr>
            <w:tcW w:w="672" w:type="dxa"/>
            <w:tcBorders>
              <w:top w:val="nil"/>
              <w:left w:val="single" w:color="auto" w:sz="4" w:space="0"/>
              <w:right w:val="single" w:color="auto" w:sz="4" w:space="0"/>
            </w:tcBorders>
            <w:shd w:val="clear" w:color="auto" w:fill="auto"/>
          </w:tcPr>
          <w:p w14:paraId="66D63A10">
            <w:pPr>
              <w:tabs>
                <w:tab w:val="left" w:pos="567"/>
                <w:tab w:val="clear" w:pos="284"/>
              </w:tabs>
              <w:rPr>
                <w:rFonts w:ascii="Microsoft Sans Serif" w:hAnsi="Microsoft Sans Serif" w:cs="Microsoft Sans Serif"/>
                <w:sz w:val="20"/>
                <w:szCs w:val="20"/>
                <w:lang w:val="en-GB"/>
              </w:rPr>
            </w:pPr>
          </w:p>
        </w:tc>
        <w:tc>
          <w:tcPr>
            <w:tcW w:w="672" w:type="dxa"/>
            <w:tcBorders>
              <w:top w:val="nil"/>
              <w:left w:val="single" w:color="auto" w:sz="4" w:space="0"/>
              <w:right w:val="single" w:color="auto" w:sz="4" w:space="0"/>
            </w:tcBorders>
            <w:shd w:val="clear" w:color="auto" w:fill="auto"/>
          </w:tcPr>
          <w:p w14:paraId="437E6CA0">
            <w:pPr>
              <w:tabs>
                <w:tab w:val="left" w:pos="567"/>
                <w:tab w:val="clear" w:pos="284"/>
              </w:tabs>
              <w:rPr>
                <w:rFonts w:ascii="Microsoft Sans Serif" w:hAnsi="Microsoft Sans Serif" w:cs="Microsoft Sans Serif"/>
                <w:sz w:val="20"/>
                <w:szCs w:val="20"/>
                <w:lang w:val="en-GB"/>
              </w:rPr>
            </w:pPr>
          </w:p>
        </w:tc>
        <w:tc>
          <w:tcPr>
            <w:tcW w:w="557" w:type="dxa"/>
            <w:tcBorders>
              <w:top w:val="nil"/>
              <w:left w:val="single" w:color="auto" w:sz="4" w:space="0"/>
              <w:right w:val="single" w:color="auto" w:sz="4" w:space="0"/>
            </w:tcBorders>
            <w:shd w:val="clear" w:color="auto" w:fill="auto"/>
          </w:tcPr>
          <w:p w14:paraId="641A16C8">
            <w:pPr>
              <w:tabs>
                <w:tab w:val="left" w:pos="567"/>
                <w:tab w:val="clear" w:pos="284"/>
              </w:tabs>
              <w:rPr>
                <w:rFonts w:ascii="Microsoft Sans Serif" w:hAnsi="Microsoft Sans Serif" w:cs="Microsoft Sans Serif"/>
                <w:sz w:val="20"/>
                <w:szCs w:val="20"/>
                <w:lang w:val="en-GB"/>
              </w:rPr>
            </w:pPr>
          </w:p>
        </w:tc>
        <w:tc>
          <w:tcPr>
            <w:tcW w:w="1571" w:type="dxa"/>
            <w:tcBorders>
              <w:top w:val="nil"/>
              <w:left w:val="single" w:color="auto" w:sz="4" w:space="0"/>
            </w:tcBorders>
            <w:shd w:val="clear" w:color="auto" w:fill="auto"/>
          </w:tcPr>
          <w:p w14:paraId="57E8DCA2">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česta</w:t>
            </w:r>
          </w:p>
        </w:tc>
      </w:tr>
    </w:tbl>
    <w:p w14:paraId="2EDE4DFC">
      <w:pPr>
        <w:rPr>
          <w:rFonts w:ascii="Microsoft Sans Serif" w:hAnsi="Microsoft Sans Serif" w:cs="Microsoft Sans Serif"/>
          <w:bCs/>
          <w:sz w:val="20"/>
          <w:szCs w:val="20"/>
        </w:rPr>
      </w:pPr>
      <w:r>
        <w:rPr>
          <w:rFonts w:ascii="Microsoft Sans Serif" w:hAnsi="Microsoft Sans Serif" w:cs="Microsoft Sans Serif"/>
          <w:bCs/>
          <w:sz w:val="20"/>
          <w:szCs w:val="20"/>
        </w:rPr>
        <w:t>*Teške infekcije, sa ili bez neutropenije, uklјučivale su pneumoniju, sepsu i celulitis.</w:t>
      </w:r>
    </w:p>
    <w:p w14:paraId="2162848E">
      <w:pPr>
        <w:rPr>
          <w:rFonts w:ascii="Microsoft Sans Serif" w:hAnsi="Microsoft Sans Serif" w:cs="Microsoft Sans Serif"/>
          <w:bCs/>
          <w:sz w:val="20"/>
          <w:szCs w:val="20"/>
        </w:rPr>
      </w:pPr>
      <w:r>
        <w:rPr>
          <w:rFonts w:ascii="Microsoft Sans Serif" w:hAnsi="Microsoft Sans Serif" w:cs="Microsoft Sans Serif"/>
          <w:bCs/>
          <w:sz w:val="20"/>
          <w:szCs w:val="20"/>
        </w:rPr>
        <w:t>**Može da dovede do dehidratacije, hipokalemije i insuficijencije bubrega.</w:t>
      </w:r>
    </w:p>
    <w:p w14:paraId="5B84046A">
      <w:pPr>
        <w:rPr>
          <w:rFonts w:ascii="Microsoft Sans Serif" w:hAnsi="Microsoft Sans Serif" w:cs="Microsoft Sans Serif"/>
          <w:bCs/>
          <w:sz w:val="20"/>
          <w:szCs w:val="20"/>
        </w:rPr>
      </w:pPr>
      <w:r>
        <w:rPr>
          <w:rFonts w:ascii="Microsoft Sans Serif" w:hAnsi="Microsoft Sans Serif" w:cs="Microsoft Sans Serif"/>
          <w:bCs/>
          <w:sz w:val="20"/>
          <w:szCs w:val="20"/>
        </w:rPr>
        <w:t>***Osip obuhvata i akneformni dermatitis.</w:t>
      </w:r>
    </w:p>
    <w:p w14:paraId="7D7C25F0">
      <w:pPr>
        <w:rPr>
          <w:rFonts w:ascii="Microsoft Sans Serif" w:hAnsi="Microsoft Sans Serif" w:cs="Microsoft Sans Serif"/>
          <w:bCs/>
          <w:sz w:val="20"/>
          <w:szCs w:val="20"/>
        </w:rPr>
      </w:pPr>
      <w:r>
        <w:rPr>
          <w:rFonts w:ascii="Microsoft Sans Serif" w:hAnsi="Microsoft Sans Serif" w:cs="Microsoft Sans Serif"/>
          <w:bCs/>
          <w:sz w:val="20"/>
          <w:szCs w:val="20"/>
        </w:rPr>
        <w:t>- Označava procenat ispod praga.</w:t>
      </w:r>
    </w:p>
    <w:p w14:paraId="080F04E0">
      <w:pPr>
        <w:rPr>
          <w:rFonts w:ascii="Microsoft Sans Serif" w:hAnsi="Microsoft Sans Serif" w:cs="Microsoft Sans Serif"/>
          <w:b/>
          <w:bCs/>
          <w:sz w:val="20"/>
          <w:szCs w:val="20"/>
        </w:rPr>
      </w:pPr>
    </w:p>
    <w:p w14:paraId="0A81F7AF">
      <w:pPr>
        <w:rPr>
          <w:rFonts w:ascii="Microsoft Sans Serif" w:hAnsi="Microsoft Sans Serif" w:cs="Microsoft Sans Serif"/>
          <w:bCs/>
          <w:sz w:val="20"/>
          <w:szCs w:val="20"/>
        </w:rPr>
      </w:pPr>
      <w:r>
        <w:rPr>
          <w:rFonts w:ascii="Microsoft Sans Serif" w:hAnsi="Microsoft Sans Serif" w:cs="Microsoft Sans Serif"/>
          <w:bCs/>
          <w:sz w:val="20"/>
          <w:szCs w:val="20"/>
        </w:rPr>
        <w:t>Tabela 2 - Pregled neželјenih reakcija po kategorijama učestalosti</w:t>
      </w:r>
    </w:p>
    <w:tbl>
      <w:tblPr>
        <w:tblStyle w:val="7"/>
        <w:tblW w:w="1089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186"/>
        <w:gridCol w:w="1761"/>
        <w:gridCol w:w="1761"/>
        <w:gridCol w:w="1550"/>
        <w:gridCol w:w="1503"/>
        <w:gridCol w:w="1422"/>
      </w:tblGrid>
      <w:tr w14:paraId="2EA3B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shd w:val="clear" w:color="auto" w:fill="auto"/>
          </w:tcPr>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91"/>
            </w:tblGrid>
            <w:tr w14:paraId="38C8A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6" w:hRule="atLeast"/>
              </w:trPr>
              <w:tc>
                <w:tcPr>
                  <w:tcW w:w="1491" w:type="dxa"/>
                </w:tcPr>
                <w:p w14:paraId="68845BF5">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Sistem organa</w:t>
                  </w:r>
                </w:p>
              </w:tc>
            </w:tr>
          </w:tbl>
          <w:p w14:paraId="060497FC">
            <w:pPr>
              <w:tabs>
                <w:tab w:val="left" w:pos="-18"/>
                <w:tab w:val="clear" w:pos="284"/>
              </w:tabs>
              <w:rPr>
                <w:rFonts w:ascii="Microsoft Sans Serif" w:hAnsi="Microsoft Sans Serif" w:cs="Microsoft Sans Serif"/>
                <w:sz w:val="20"/>
                <w:szCs w:val="20"/>
                <w:lang w:val="en-GB"/>
              </w:rPr>
            </w:pPr>
          </w:p>
        </w:tc>
        <w:tc>
          <w:tcPr>
            <w:tcW w:w="1186" w:type="dxa"/>
            <w:shd w:val="clear" w:color="auto" w:fill="auto"/>
          </w:tcPr>
          <w:p w14:paraId="21E4B214">
            <w:pPr>
              <w:tabs>
                <w:tab w:val="left" w:pos="567"/>
                <w:tab w:val="clear" w:pos="284"/>
              </w:tabs>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Veoma česta</w:t>
            </w:r>
          </w:p>
          <w:p w14:paraId="79476281">
            <w:pPr>
              <w:tabs>
                <w:tab w:val="left" w:pos="567"/>
                <w:tab w:val="clear" w:pos="284"/>
              </w:tabs>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(≥1/10)</w:t>
            </w:r>
          </w:p>
        </w:tc>
        <w:tc>
          <w:tcPr>
            <w:tcW w:w="1761" w:type="dxa"/>
            <w:shd w:val="clear" w:color="auto" w:fill="auto"/>
          </w:tcPr>
          <w:p w14:paraId="2FAEC0B7">
            <w:pPr>
              <w:tabs>
                <w:tab w:val="left" w:pos="567"/>
                <w:tab w:val="clear" w:pos="284"/>
              </w:tabs>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Latn-RS"/>
              </w:rPr>
              <w:t>Č</w:t>
            </w:r>
            <w:r>
              <w:rPr>
                <w:rFonts w:ascii="Microsoft Sans Serif" w:hAnsi="Microsoft Sans Serif" w:cs="Microsoft Sans Serif"/>
                <w:b/>
                <w:sz w:val="20"/>
                <w:szCs w:val="20"/>
                <w:lang w:val="sr-Cyrl-RS"/>
              </w:rPr>
              <w:t>esta</w:t>
            </w:r>
          </w:p>
          <w:p w14:paraId="429AE566">
            <w:pPr>
              <w:tabs>
                <w:tab w:val="left" w:pos="567"/>
                <w:tab w:val="clear" w:pos="284"/>
              </w:tabs>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(≥1/100 to &lt;1/10)</w:t>
            </w:r>
          </w:p>
        </w:tc>
        <w:tc>
          <w:tcPr>
            <w:tcW w:w="1761" w:type="dxa"/>
            <w:shd w:val="clear" w:color="auto" w:fill="auto"/>
          </w:tcPr>
          <w:p w14:paraId="0E1AEAF8">
            <w:pPr>
              <w:tabs>
                <w:tab w:val="left" w:pos="567"/>
                <w:tab w:val="clear" w:pos="284"/>
              </w:tabs>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Povremena</w:t>
            </w:r>
          </w:p>
          <w:p w14:paraId="4B5F61AE">
            <w:pPr>
              <w:tabs>
                <w:tab w:val="left" w:pos="567"/>
                <w:tab w:val="clear" w:pos="284"/>
              </w:tabs>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(≥1/1,000 to &lt;1/100)</w:t>
            </w:r>
          </w:p>
        </w:tc>
        <w:tc>
          <w:tcPr>
            <w:tcW w:w="1550" w:type="dxa"/>
            <w:shd w:val="clear" w:color="auto" w:fill="auto"/>
          </w:tcPr>
          <w:p w14:paraId="0296EC7E">
            <w:pPr>
              <w:tabs>
                <w:tab w:val="left" w:pos="567"/>
                <w:tab w:val="clear" w:pos="284"/>
              </w:tabs>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Rijetka</w:t>
            </w:r>
          </w:p>
          <w:p w14:paraId="25333212">
            <w:pPr>
              <w:tabs>
                <w:tab w:val="left" w:pos="567"/>
                <w:tab w:val="clear" w:pos="284"/>
              </w:tabs>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(≥1/10,000</w:t>
            </w:r>
          </w:p>
          <w:p w14:paraId="3814988F">
            <w:pPr>
              <w:tabs>
                <w:tab w:val="left" w:pos="567"/>
                <w:tab w:val="clear" w:pos="284"/>
              </w:tabs>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to &lt;1/1,000)</w:t>
            </w:r>
          </w:p>
        </w:tc>
        <w:tc>
          <w:tcPr>
            <w:tcW w:w="1503" w:type="dxa"/>
            <w:shd w:val="clear" w:color="auto" w:fill="auto"/>
          </w:tcPr>
          <w:p w14:paraId="34BF7D1F">
            <w:pPr>
              <w:tabs>
                <w:tab w:val="left" w:pos="567"/>
                <w:tab w:val="clear" w:pos="284"/>
              </w:tabs>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Veoma rijetka</w:t>
            </w:r>
          </w:p>
          <w:p w14:paraId="092D6C63">
            <w:pPr>
              <w:tabs>
                <w:tab w:val="left" w:pos="567"/>
                <w:tab w:val="clear" w:pos="284"/>
              </w:tabs>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(&lt;1/10,000)</w:t>
            </w:r>
          </w:p>
        </w:tc>
        <w:tc>
          <w:tcPr>
            <w:tcW w:w="1422" w:type="dxa"/>
          </w:tcPr>
          <w:p w14:paraId="587288DB">
            <w:pPr>
              <w:tabs>
                <w:tab w:val="left" w:pos="567"/>
                <w:tab w:val="clear" w:pos="284"/>
              </w:tabs>
              <w:ind w:right="-752"/>
              <w:rPr>
                <w:rFonts w:ascii="Microsoft Sans Serif" w:hAnsi="Microsoft Sans Serif" w:cs="Microsoft Sans Serif"/>
                <w:b/>
                <w:sz w:val="20"/>
                <w:szCs w:val="20"/>
                <w:lang w:val="sr-Latn-RS"/>
              </w:rPr>
            </w:pPr>
            <w:r>
              <w:rPr>
                <w:rFonts w:ascii="Microsoft Sans Serif" w:hAnsi="Microsoft Sans Serif" w:cs="Microsoft Sans Serif"/>
                <w:b/>
                <w:sz w:val="20"/>
                <w:szCs w:val="20"/>
                <w:lang w:val="sr-Latn-RS"/>
              </w:rPr>
              <w:t>Nepoznato</w:t>
            </w:r>
            <w:r>
              <w:rPr>
                <w:rFonts w:ascii="Microsoft Sans Serif" w:hAnsi="Microsoft Sans Serif" w:cs="Microsoft Sans Serif"/>
                <w:b/>
                <w:sz w:val="20"/>
                <w:szCs w:val="20"/>
                <w:vertAlign w:val="superscript"/>
                <w:lang w:val="sr-Latn-RS"/>
              </w:rPr>
              <w:t>8</w:t>
            </w:r>
          </w:p>
        </w:tc>
      </w:tr>
      <w:tr w14:paraId="3DD7A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shd w:val="clear" w:color="auto" w:fill="auto"/>
          </w:tcPr>
          <w:p w14:paraId="5A5EE2CB">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oka</w:t>
            </w:r>
          </w:p>
        </w:tc>
        <w:tc>
          <w:tcPr>
            <w:tcW w:w="1186" w:type="dxa"/>
            <w:shd w:val="clear" w:color="auto" w:fill="auto"/>
          </w:tcPr>
          <w:p w14:paraId="052F6608">
            <w:pPr>
              <w:tabs>
                <w:tab w:val="left" w:pos="567"/>
                <w:tab w:val="clear" w:pos="284"/>
              </w:tabs>
              <w:rPr>
                <w:rFonts w:ascii="Microsoft Sans Serif" w:hAnsi="Microsoft Sans Serif" w:cs="Microsoft Sans Serif"/>
                <w:sz w:val="20"/>
                <w:szCs w:val="20"/>
                <w:lang w:val="en-GB"/>
              </w:rPr>
            </w:pPr>
          </w:p>
        </w:tc>
        <w:tc>
          <w:tcPr>
            <w:tcW w:w="1761" w:type="dxa"/>
            <w:shd w:val="clear" w:color="auto" w:fill="auto"/>
          </w:tcPr>
          <w:p w14:paraId="066A040C">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Keratitis</w:t>
            </w:r>
          </w:p>
          <w:p w14:paraId="2C29EA3F">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Konjuktivitis</w:t>
            </w:r>
            <w:r>
              <w:rPr>
                <w:rFonts w:ascii="Microsoft Sans Serif" w:hAnsi="Microsoft Sans Serif" w:cs="Microsoft Sans Serif"/>
                <w:sz w:val="20"/>
                <w:szCs w:val="20"/>
                <w:vertAlign w:val="superscript"/>
                <w:lang w:val="en-GB"/>
              </w:rPr>
              <w:t>1</w:t>
            </w:r>
          </w:p>
        </w:tc>
        <w:tc>
          <w:tcPr>
            <w:tcW w:w="1761" w:type="dxa"/>
            <w:shd w:val="clear" w:color="auto" w:fill="auto"/>
          </w:tcPr>
          <w:p w14:paraId="5F0C3AF7">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Promjene na trepavicama</w:t>
            </w:r>
            <w:r>
              <w:rPr>
                <w:rFonts w:ascii="Microsoft Sans Serif" w:hAnsi="Microsoft Sans Serif" w:cs="Microsoft Sans Serif"/>
                <w:sz w:val="20"/>
                <w:szCs w:val="20"/>
                <w:lang w:val="en-GB"/>
              </w:rPr>
              <w:t xml:space="preserve"> </w:t>
            </w:r>
            <w:r>
              <w:rPr>
                <w:rFonts w:ascii="Microsoft Sans Serif" w:hAnsi="Microsoft Sans Serif" w:cs="Microsoft Sans Serif"/>
                <w:sz w:val="20"/>
                <w:szCs w:val="20"/>
                <w:vertAlign w:val="superscript"/>
                <w:lang w:val="en-GB"/>
              </w:rPr>
              <w:t>2</w:t>
            </w:r>
          </w:p>
        </w:tc>
        <w:tc>
          <w:tcPr>
            <w:tcW w:w="1550" w:type="dxa"/>
            <w:shd w:val="clear" w:color="auto" w:fill="auto"/>
          </w:tcPr>
          <w:p w14:paraId="733F0BE4">
            <w:pPr>
              <w:tabs>
                <w:tab w:val="left" w:pos="567"/>
                <w:tab w:val="clear" w:pos="284"/>
              </w:tabs>
              <w:rPr>
                <w:rFonts w:ascii="Microsoft Sans Serif" w:hAnsi="Microsoft Sans Serif" w:cs="Microsoft Sans Serif"/>
                <w:sz w:val="20"/>
                <w:szCs w:val="20"/>
                <w:lang w:val="en-GB"/>
              </w:rPr>
            </w:pPr>
          </w:p>
        </w:tc>
        <w:tc>
          <w:tcPr>
            <w:tcW w:w="1503" w:type="dxa"/>
            <w:shd w:val="clear" w:color="auto" w:fill="auto"/>
          </w:tcPr>
          <w:p w14:paraId="54B814D3">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Perforacije kornee</w:t>
            </w:r>
          </w:p>
          <w:p w14:paraId="3503CB2E">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Ulceracije kornee</w:t>
            </w:r>
          </w:p>
          <w:p w14:paraId="6D966618">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Uveitis</w:t>
            </w:r>
          </w:p>
        </w:tc>
        <w:tc>
          <w:tcPr>
            <w:tcW w:w="1422" w:type="dxa"/>
          </w:tcPr>
          <w:p w14:paraId="3BE85087">
            <w:pPr>
              <w:tabs>
                <w:tab w:val="left" w:pos="567"/>
                <w:tab w:val="clear" w:pos="284"/>
              </w:tabs>
              <w:rPr>
                <w:rFonts w:ascii="Microsoft Sans Serif" w:hAnsi="Microsoft Sans Serif" w:cs="Microsoft Sans Serif"/>
                <w:sz w:val="20"/>
                <w:szCs w:val="20"/>
                <w:lang w:val="sr-Cyrl-RS"/>
              </w:rPr>
            </w:pPr>
          </w:p>
        </w:tc>
      </w:tr>
      <w:tr w14:paraId="3E265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shd w:val="clear" w:color="auto" w:fill="auto"/>
          </w:tcPr>
          <w:p w14:paraId="14C9C1E2">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Respiratorni, torakalni i medijastinalni poremećaji</w:t>
            </w:r>
          </w:p>
        </w:tc>
        <w:tc>
          <w:tcPr>
            <w:tcW w:w="1186" w:type="dxa"/>
            <w:shd w:val="clear" w:color="auto" w:fill="auto"/>
          </w:tcPr>
          <w:p w14:paraId="1B1FA7C3">
            <w:pPr>
              <w:tabs>
                <w:tab w:val="left" w:pos="567"/>
                <w:tab w:val="clear" w:pos="284"/>
              </w:tabs>
              <w:rPr>
                <w:rFonts w:ascii="Microsoft Sans Serif" w:hAnsi="Microsoft Sans Serif" w:cs="Microsoft Sans Serif"/>
                <w:sz w:val="20"/>
                <w:szCs w:val="20"/>
                <w:lang w:val="en-GB"/>
              </w:rPr>
            </w:pPr>
          </w:p>
        </w:tc>
        <w:tc>
          <w:tcPr>
            <w:tcW w:w="1761" w:type="dxa"/>
            <w:shd w:val="clear" w:color="auto" w:fill="auto"/>
          </w:tcPr>
          <w:p w14:paraId="2873A135">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Epistaksa</w:t>
            </w:r>
          </w:p>
        </w:tc>
        <w:tc>
          <w:tcPr>
            <w:tcW w:w="1761" w:type="dxa"/>
            <w:shd w:val="clear" w:color="auto" w:fill="auto"/>
          </w:tcPr>
          <w:p w14:paraId="76FC3F06">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Intersticij</w:t>
            </w:r>
            <w:r>
              <w:rPr>
                <w:rFonts w:ascii="Microsoft Sans Serif" w:hAnsi="Microsoft Sans Serif" w:cs="Microsoft Sans Serif"/>
                <w:sz w:val="20"/>
                <w:szCs w:val="20"/>
              </w:rPr>
              <w:t>ska</w:t>
            </w:r>
            <w:r>
              <w:rPr>
                <w:rFonts w:ascii="Microsoft Sans Serif" w:hAnsi="Microsoft Sans Serif" w:cs="Microsoft Sans Serif"/>
                <w:sz w:val="20"/>
                <w:szCs w:val="20"/>
                <w:lang w:val="sr-Cyrl-RS"/>
              </w:rPr>
              <w:t xml:space="preserve"> bolest pluća</w:t>
            </w:r>
            <w:r>
              <w:rPr>
                <w:rFonts w:ascii="Microsoft Sans Serif" w:hAnsi="Microsoft Sans Serif" w:cs="Microsoft Sans Serif"/>
                <w:sz w:val="20"/>
                <w:szCs w:val="20"/>
                <w:lang w:val="en-GB"/>
              </w:rPr>
              <w:t xml:space="preserve"> (ILD)</w:t>
            </w:r>
            <w:r>
              <w:rPr>
                <w:rFonts w:ascii="Microsoft Sans Serif" w:hAnsi="Microsoft Sans Serif" w:cs="Microsoft Sans Serif"/>
                <w:sz w:val="20"/>
                <w:szCs w:val="20"/>
                <w:vertAlign w:val="superscript"/>
                <w:lang w:val="en-GB"/>
              </w:rPr>
              <w:t>3</w:t>
            </w:r>
          </w:p>
        </w:tc>
        <w:tc>
          <w:tcPr>
            <w:tcW w:w="1550" w:type="dxa"/>
            <w:shd w:val="clear" w:color="auto" w:fill="auto"/>
          </w:tcPr>
          <w:p w14:paraId="460AC20A">
            <w:pPr>
              <w:tabs>
                <w:tab w:val="left" w:pos="567"/>
                <w:tab w:val="clear" w:pos="284"/>
              </w:tabs>
              <w:rPr>
                <w:rFonts w:ascii="Microsoft Sans Serif" w:hAnsi="Microsoft Sans Serif" w:cs="Microsoft Sans Serif"/>
                <w:sz w:val="20"/>
                <w:szCs w:val="20"/>
                <w:lang w:val="en-GB"/>
              </w:rPr>
            </w:pPr>
          </w:p>
        </w:tc>
        <w:tc>
          <w:tcPr>
            <w:tcW w:w="1503" w:type="dxa"/>
            <w:shd w:val="clear" w:color="auto" w:fill="auto"/>
          </w:tcPr>
          <w:p w14:paraId="25C2D306">
            <w:pPr>
              <w:tabs>
                <w:tab w:val="left" w:pos="567"/>
                <w:tab w:val="clear" w:pos="284"/>
              </w:tabs>
              <w:rPr>
                <w:rFonts w:ascii="Microsoft Sans Serif" w:hAnsi="Microsoft Sans Serif" w:cs="Microsoft Sans Serif"/>
                <w:sz w:val="20"/>
                <w:szCs w:val="20"/>
                <w:lang w:val="en-GB"/>
              </w:rPr>
            </w:pPr>
          </w:p>
        </w:tc>
        <w:tc>
          <w:tcPr>
            <w:tcW w:w="1422" w:type="dxa"/>
          </w:tcPr>
          <w:p w14:paraId="19E9F790">
            <w:pPr>
              <w:tabs>
                <w:tab w:val="left" w:pos="567"/>
                <w:tab w:val="clear" w:pos="284"/>
              </w:tabs>
              <w:rPr>
                <w:rFonts w:ascii="Microsoft Sans Serif" w:hAnsi="Microsoft Sans Serif" w:cs="Microsoft Sans Serif"/>
                <w:sz w:val="20"/>
                <w:szCs w:val="20"/>
                <w:lang w:val="en-GB"/>
              </w:rPr>
            </w:pPr>
          </w:p>
        </w:tc>
      </w:tr>
      <w:tr w14:paraId="29E37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7" w:type="dxa"/>
            <w:shd w:val="clear" w:color="auto" w:fill="auto"/>
          </w:tcPr>
          <w:p w14:paraId="608D7088">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Gastrointestinalni poremećaji</w:t>
            </w:r>
          </w:p>
        </w:tc>
        <w:tc>
          <w:tcPr>
            <w:tcW w:w="1186" w:type="dxa"/>
            <w:shd w:val="clear" w:color="auto" w:fill="auto"/>
          </w:tcPr>
          <w:p w14:paraId="2D2303C0">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Dijareja</w:t>
            </w:r>
            <w:r>
              <w:rPr>
                <w:rFonts w:ascii="Microsoft Sans Serif" w:hAnsi="Microsoft Sans Serif" w:cs="Microsoft Sans Serif"/>
                <w:sz w:val="20"/>
                <w:szCs w:val="20"/>
                <w:vertAlign w:val="superscript"/>
                <w:lang w:val="en-GB"/>
              </w:rPr>
              <w:t>7</w:t>
            </w:r>
          </w:p>
        </w:tc>
        <w:tc>
          <w:tcPr>
            <w:tcW w:w="1761" w:type="dxa"/>
            <w:shd w:val="clear" w:color="auto" w:fill="auto"/>
          </w:tcPr>
          <w:p w14:paraId="33539745">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Gastrointestinalno krvarenje</w:t>
            </w:r>
            <w:r>
              <w:rPr>
                <w:rFonts w:ascii="Microsoft Sans Serif" w:hAnsi="Microsoft Sans Serif" w:cs="Microsoft Sans Serif"/>
                <w:sz w:val="20"/>
                <w:szCs w:val="20"/>
                <w:vertAlign w:val="superscript"/>
                <w:lang w:val="en-GB"/>
              </w:rPr>
              <w:t>4, 7</w:t>
            </w:r>
          </w:p>
        </w:tc>
        <w:tc>
          <w:tcPr>
            <w:tcW w:w="1761" w:type="dxa"/>
            <w:shd w:val="clear" w:color="auto" w:fill="auto"/>
          </w:tcPr>
          <w:p w14:paraId="28DF0696">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Gastrointestinalne perforacije</w:t>
            </w:r>
            <w:r>
              <w:rPr>
                <w:rFonts w:ascii="Microsoft Sans Serif" w:hAnsi="Microsoft Sans Serif" w:cs="Microsoft Sans Serif"/>
                <w:sz w:val="20"/>
                <w:szCs w:val="20"/>
                <w:vertAlign w:val="superscript"/>
                <w:lang w:val="en-GB"/>
              </w:rPr>
              <w:t>7</w:t>
            </w:r>
          </w:p>
        </w:tc>
        <w:tc>
          <w:tcPr>
            <w:tcW w:w="1550" w:type="dxa"/>
            <w:shd w:val="clear" w:color="auto" w:fill="auto"/>
          </w:tcPr>
          <w:p w14:paraId="0F0C7E23">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Pneumatoza crijeva</w:t>
            </w:r>
          </w:p>
        </w:tc>
        <w:tc>
          <w:tcPr>
            <w:tcW w:w="1503" w:type="dxa"/>
            <w:shd w:val="clear" w:color="auto" w:fill="auto"/>
          </w:tcPr>
          <w:p w14:paraId="6D4FCFCA">
            <w:pPr>
              <w:tabs>
                <w:tab w:val="left" w:pos="567"/>
                <w:tab w:val="clear" w:pos="284"/>
              </w:tabs>
              <w:rPr>
                <w:rFonts w:ascii="Microsoft Sans Serif" w:hAnsi="Microsoft Sans Serif" w:cs="Microsoft Sans Serif"/>
                <w:sz w:val="20"/>
                <w:szCs w:val="20"/>
                <w:lang w:val="en-GB"/>
              </w:rPr>
            </w:pPr>
          </w:p>
        </w:tc>
        <w:tc>
          <w:tcPr>
            <w:tcW w:w="1422" w:type="dxa"/>
          </w:tcPr>
          <w:p w14:paraId="6CA694FD">
            <w:pPr>
              <w:tabs>
                <w:tab w:val="left" w:pos="567"/>
                <w:tab w:val="clear" w:pos="284"/>
              </w:tabs>
              <w:rPr>
                <w:rFonts w:ascii="Microsoft Sans Serif" w:hAnsi="Microsoft Sans Serif" w:cs="Microsoft Sans Serif"/>
                <w:sz w:val="20"/>
                <w:szCs w:val="20"/>
                <w:lang w:val="en-GB"/>
              </w:rPr>
            </w:pPr>
          </w:p>
        </w:tc>
      </w:tr>
      <w:tr w14:paraId="614FC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shd w:val="clear" w:color="auto" w:fill="auto"/>
          </w:tcPr>
          <w:p w14:paraId="169BA3FC">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Hepatobilijarni poremećaji</w:t>
            </w:r>
          </w:p>
        </w:tc>
        <w:tc>
          <w:tcPr>
            <w:tcW w:w="1186" w:type="dxa"/>
            <w:shd w:val="clear" w:color="auto" w:fill="auto"/>
          </w:tcPr>
          <w:p w14:paraId="6BEEAC4C">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Abnormalni rezultati testova funkcije jetre</w:t>
            </w:r>
            <w:r>
              <w:rPr>
                <w:rFonts w:ascii="Microsoft Sans Serif" w:hAnsi="Microsoft Sans Serif" w:cs="Microsoft Sans Serif"/>
                <w:sz w:val="20"/>
                <w:szCs w:val="20"/>
                <w:lang w:val="en-GB"/>
              </w:rPr>
              <w:t xml:space="preserve"> </w:t>
            </w:r>
            <w:r>
              <w:rPr>
                <w:rFonts w:ascii="Microsoft Sans Serif" w:hAnsi="Microsoft Sans Serif" w:cs="Microsoft Sans Serif"/>
                <w:sz w:val="20"/>
                <w:szCs w:val="20"/>
                <w:vertAlign w:val="superscript"/>
                <w:lang w:val="en-GB"/>
              </w:rPr>
              <w:t>5</w:t>
            </w:r>
          </w:p>
        </w:tc>
        <w:tc>
          <w:tcPr>
            <w:tcW w:w="1761" w:type="dxa"/>
            <w:shd w:val="clear" w:color="auto" w:fill="auto"/>
          </w:tcPr>
          <w:p w14:paraId="3E54D0D4">
            <w:pPr>
              <w:tabs>
                <w:tab w:val="left" w:pos="567"/>
                <w:tab w:val="clear" w:pos="284"/>
              </w:tabs>
              <w:rPr>
                <w:rFonts w:ascii="Microsoft Sans Serif" w:hAnsi="Microsoft Sans Serif" w:cs="Microsoft Sans Serif"/>
                <w:sz w:val="20"/>
                <w:szCs w:val="20"/>
                <w:lang w:val="en-GB"/>
              </w:rPr>
            </w:pPr>
          </w:p>
        </w:tc>
        <w:tc>
          <w:tcPr>
            <w:tcW w:w="1761" w:type="dxa"/>
            <w:shd w:val="clear" w:color="auto" w:fill="auto"/>
          </w:tcPr>
          <w:p w14:paraId="56DC1A2C">
            <w:pPr>
              <w:tabs>
                <w:tab w:val="left" w:pos="567"/>
                <w:tab w:val="clear" w:pos="284"/>
              </w:tabs>
              <w:rPr>
                <w:rFonts w:ascii="Microsoft Sans Serif" w:hAnsi="Microsoft Sans Serif" w:cs="Microsoft Sans Serif"/>
                <w:sz w:val="20"/>
                <w:szCs w:val="20"/>
                <w:lang w:val="en-GB"/>
              </w:rPr>
            </w:pPr>
          </w:p>
        </w:tc>
        <w:tc>
          <w:tcPr>
            <w:tcW w:w="1550" w:type="dxa"/>
            <w:shd w:val="clear" w:color="auto" w:fill="auto"/>
          </w:tcPr>
          <w:p w14:paraId="182875AC">
            <w:pPr>
              <w:tabs>
                <w:tab w:val="left" w:pos="567"/>
                <w:tab w:val="clear" w:pos="284"/>
              </w:tabs>
              <w:rPr>
                <w:rFonts w:ascii="Microsoft Sans Serif" w:hAnsi="Microsoft Sans Serif" w:cs="Microsoft Sans Serif"/>
                <w:sz w:val="20"/>
                <w:szCs w:val="20"/>
                <w:vertAlign w:val="superscript"/>
                <w:lang w:val="en-GB"/>
              </w:rPr>
            </w:pPr>
            <w:r>
              <w:rPr>
                <w:rFonts w:ascii="Microsoft Sans Serif" w:hAnsi="Microsoft Sans Serif" w:cs="Microsoft Sans Serif"/>
                <w:sz w:val="20"/>
                <w:szCs w:val="20"/>
                <w:lang w:val="sr-Cyrl-RS"/>
              </w:rPr>
              <w:t>Insuficijencija jetre</w:t>
            </w:r>
            <w:r>
              <w:rPr>
                <w:rFonts w:ascii="Microsoft Sans Serif" w:hAnsi="Microsoft Sans Serif" w:cs="Microsoft Sans Serif"/>
                <w:sz w:val="20"/>
                <w:szCs w:val="20"/>
                <w:lang w:val="en-GB"/>
              </w:rPr>
              <w:t xml:space="preserve"> </w:t>
            </w:r>
            <w:r>
              <w:rPr>
                <w:rFonts w:ascii="Microsoft Sans Serif" w:hAnsi="Microsoft Sans Serif" w:cs="Microsoft Sans Serif"/>
                <w:sz w:val="20"/>
                <w:szCs w:val="20"/>
                <w:vertAlign w:val="superscript"/>
                <w:lang w:val="en-GB"/>
              </w:rPr>
              <w:t>6</w:t>
            </w:r>
          </w:p>
          <w:p w14:paraId="54E4FCEC">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Hepatitis</w:t>
            </w:r>
          </w:p>
        </w:tc>
        <w:tc>
          <w:tcPr>
            <w:tcW w:w="1503" w:type="dxa"/>
            <w:shd w:val="clear" w:color="auto" w:fill="auto"/>
          </w:tcPr>
          <w:p w14:paraId="6FC7DBFF">
            <w:pPr>
              <w:tabs>
                <w:tab w:val="left" w:pos="567"/>
                <w:tab w:val="clear" w:pos="284"/>
              </w:tabs>
              <w:rPr>
                <w:rFonts w:ascii="Microsoft Sans Serif" w:hAnsi="Microsoft Sans Serif" w:cs="Microsoft Sans Serif"/>
                <w:sz w:val="20"/>
                <w:szCs w:val="20"/>
                <w:lang w:val="en-GB"/>
              </w:rPr>
            </w:pPr>
          </w:p>
        </w:tc>
        <w:tc>
          <w:tcPr>
            <w:tcW w:w="1422" w:type="dxa"/>
          </w:tcPr>
          <w:p w14:paraId="3F8015B2">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Akutni hepatitis</w:t>
            </w:r>
          </w:p>
        </w:tc>
      </w:tr>
      <w:tr w14:paraId="08355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shd w:val="clear" w:color="auto" w:fill="auto"/>
          </w:tcPr>
          <w:p w14:paraId="4C687AA6">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kože i potkožnog tkiva</w:t>
            </w:r>
          </w:p>
        </w:tc>
        <w:tc>
          <w:tcPr>
            <w:tcW w:w="1186" w:type="dxa"/>
            <w:shd w:val="clear" w:color="auto" w:fill="auto"/>
          </w:tcPr>
          <w:p w14:paraId="5F360792">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Osip</w:t>
            </w:r>
          </w:p>
        </w:tc>
        <w:tc>
          <w:tcPr>
            <w:tcW w:w="1761" w:type="dxa"/>
            <w:shd w:val="clear" w:color="auto" w:fill="auto"/>
          </w:tcPr>
          <w:p w14:paraId="36CD6101">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Alopecija</w:t>
            </w:r>
          </w:p>
          <w:p w14:paraId="000F2B99">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Suva koža</w:t>
            </w:r>
            <w:r>
              <w:rPr>
                <w:rFonts w:ascii="Microsoft Sans Serif" w:hAnsi="Microsoft Sans Serif" w:cs="Microsoft Sans Serif"/>
                <w:sz w:val="20"/>
                <w:szCs w:val="20"/>
                <w:vertAlign w:val="superscript"/>
                <w:lang w:val="en-GB"/>
              </w:rPr>
              <w:t>1</w:t>
            </w:r>
          </w:p>
          <w:p w14:paraId="610843F4">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Paronihija</w:t>
            </w:r>
          </w:p>
          <w:p w14:paraId="1523CA67">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Folikulitis</w:t>
            </w:r>
          </w:p>
          <w:p w14:paraId="19187B9B">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Akne</w:t>
            </w:r>
            <w:r>
              <w:rPr>
                <w:rFonts w:ascii="Microsoft Sans Serif" w:hAnsi="Microsoft Sans Serif" w:cs="Microsoft Sans Serif"/>
                <w:sz w:val="20"/>
                <w:szCs w:val="20"/>
                <w:lang w:val="en-GB"/>
              </w:rPr>
              <w:t xml:space="preserve">/ </w:t>
            </w:r>
            <w:r>
              <w:rPr>
                <w:rFonts w:ascii="Microsoft Sans Serif" w:hAnsi="Microsoft Sans Serif" w:cs="Microsoft Sans Serif"/>
                <w:sz w:val="20"/>
                <w:szCs w:val="20"/>
                <w:lang w:val="sr-Cyrl-RS"/>
              </w:rPr>
              <w:t>Akneiformni dermatitis</w:t>
            </w:r>
          </w:p>
          <w:p w14:paraId="5B4AA6E6">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Kožne fisure</w:t>
            </w:r>
          </w:p>
        </w:tc>
        <w:tc>
          <w:tcPr>
            <w:tcW w:w="1761" w:type="dxa"/>
            <w:shd w:val="clear" w:color="auto" w:fill="auto"/>
          </w:tcPr>
          <w:p w14:paraId="59F1AB3B">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Hirzutizam</w:t>
            </w:r>
          </w:p>
          <w:p w14:paraId="2742E2EE">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Promjene obrva</w:t>
            </w:r>
          </w:p>
          <w:p w14:paraId="4C089EE6">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Lomlјivi i krti nokti</w:t>
            </w:r>
          </w:p>
          <w:p w14:paraId="01C4C09D">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Blage kožne reakcije kao što je hiperpigmentacija</w:t>
            </w:r>
          </w:p>
        </w:tc>
        <w:tc>
          <w:tcPr>
            <w:tcW w:w="1550" w:type="dxa"/>
            <w:shd w:val="clear" w:color="auto" w:fill="auto"/>
          </w:tcPr>
          <w:p w14:paraId="741DFF74">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Sindrom palmarno-plantarne eritrodizestezije</w:t>
            </w:r>
          </w:p>
        </w:tc>
        <w:tc>
          <w:tcPr>
            <w:tcW w:w="1503" w:type="dxa"/>
            <w:shd w:val="clear" w:color="auto" w:fill="auto"/>
          </w:tcPr>
          <w:p w14:paraId="3DDDFCBB">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Stevens-Johnson</w:t>
            </w:r>
            <w:r>
              <w:rPr>
                <w:rFonts w:ascii="Microsoft Sans Serif" w:hAnsi="Microsoft Sans Serif" w:cs="Microsoft Sans Serif"/>
                <w:sz w:val="20"/>
                <w:szCs w:val="20"/>
                <w:lang w:val="sr-Cyrl-RS"/>
              </w:rPr>
              <w:t>-ov</w:t>
            </w:r>
            <w:r>
              <w:rPr>
                <w:rFonts w:ascii="Microsoft Sans Serif" w:hAnsi="Microsoft Sans Serif" w:cs="Microsoft Sans Serif"/>
                <w:sz w:val="20"/>
                <w:szCs w:val="20"/>
                <w:lang w:val="en-GB"/>
              </w:rPr>
              <w:t xml:space="preserve"> sindrom/</w:t>
            </w:r>
            <w:r>
              <w:rPr>
                <w:rFonts w:ascii="Microsoft Sans Serif" w:hAnsi="Microsoft Sans Serif" w:cs="Microsoft Sans Serif"/>
                <w:sz w:val="20"/>
                <w:szCs w:val="20"/>
                <w:lang w:val="sr-Cyrl-RS"/>
              </w:rPr>
              <w:t>Toksična epidermalna nekroliza</w:t>
            </w:r>
            <w:r>
              <w:rPr>
                <w:rFonts w:ascii="Microsoft Sans Serif" w:hAnsi="Microsoft Sans Serif" w:cs="Microsoft Sans Serif"/>
                <w:sz w:val="20"/>
                <w:szCs w:val="20"/>
                <w:vertAlign w:val="superscript"/>
                <w:lang w:val="en-GB"/>
              </w:rPr>
              <w:t>7</w:t>
            </w:r>
          </w:p>
        </w:tc>
        <w:tc>
          <w:tcPr>
            <w:tcW w:w="1422" w:type="dxa"/>
          </w:tcPr>
          <w:p w14:paraId="6CE16C7D">
            <w:pPr>
              <w:tabs>
                <w:tab w:val="left" w:pos="567"/>
                <w:tab w:val="clear" w:pos="284"/>
              </w:tabs>
              <w:rPr>
                <w:rFonts w:ascii="Microsoft Sans Serif" w:hAnsi="Microsoft Sans Serif" w:cs="Microsoft Sans Serif"/>
                <w:sz w:val="20"/>
                <w:szCs w:val="20"/>
                <w:lang w:val="en-GB"/>
              </w:rPr>
            </w:pPr>
          </w:p>
        </w:tc>
      </w:tr>
      <w:tr w14:paraId="35A38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shd w:val="clear" w:color="auto" w:fill="auto"/>
          </w:tcPr>
          <w:p w14:paraId="01947DB7">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bubrega i urinarnog sistema</w:t>
            </w:r>
          </w:p>
        </w:tc>
        <w:tc>
          <w:tcPr>
            <w:tcW w:w="1186" w:type="dxa"/>
            <w:shd w:val="clear" w:color="auto" w:fill="auto"/>
          </w:tcPr>
          <w:p w14:paraId="38A77553">
            <w:pPr>
              <w:tabs>
                <w:tab w:val="left" w:pos="567"/>
                <w:tab w:val="clear" w:pos="284"/>
              </w:tabs>
              <w:rPr>
                <w:rFonts w:ascii="Microsoft Sans Serif" w:hAnsi="Microsoft Sans Serif" w:cs="Microsoft Sans Serif"/>
                <w:sz w:val="20"/>
                <w:szCs w:val="20"/>
                <w:lang w:val="en-GB"/>
              </w:rPr>
            </w:pPr>
          </w:p>
        </w:tc>
        <w:tc>
          <w:tcPr>
            <w:tcW w:w="1761" w:type="dxa"/>
            <w:shd w:val="clear" w:color="auto" w:fill="auto"/>
          </w:tcPr>
          <w:p w14:paraId="0B4CD290">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Insuficijencija bubrega</w:t>
            </w:r>
            <w:r>
              <w:rPr>
                <w:rFonts w:ascii="Microsoft Sans Serif" w:hAnsi="Microsoft Sans Serif" w:cs="Microsoft Sans Serif"/>
                <w:sz w:val="20"/>
                <w:szCs w:val="20"/>
                <w:vertAlign w:val="superscript"/>
                <w:lang w:val="en-GB"/>
              </w:rPr>
              <w:t>1</w:t>
            </w:r>
          </w:p>
        </w:tc>
        <w:tc>
          <w:tcPr>
            <w:tcW w:w="1761" w:type="dxa"/>
            <w:shd w:val="clear" w:color="auto" w:fill="auto"/>
          </w:tcPr>
          <w:p w14:paraId="1D36A25A">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Nefritis</w:t>
            </w:r>
            <w:r>
              <w:rPr>
                <w:rFonts w:ascii="Microsoft Sans Serif" w:hAnsi="Microsoft Sans Serif" w:cs="Microsoft Sans Serif"/>
                <w:sz w:val="20"/>
                <w:szCs w:val="20"/>
                <w:vertAlign w:val="superscript"/>
                <w:lang w:val="en-GB"/>
              </w:rPr>
              <w:t>1</w:t>
            </w:r>
          </w:p>
          <w:p w14:paraId="53FF0779">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Proteinurija</w:t>
            </w:r>
            <w:r>
              <w:rPr>
                <w:rFonts w:ascii="Microsoft Sans Serif" w:hAnsi="Microsoft Sans Serif" w:cs="Microsoft Sans Serif"/>
                <w:sz w:val="20"/>
                <w:szCs w:val="20"/>
                <w:vertAlign w:val="superscript"/>
                <w:lang w:val="en-GB"/>
              </w:rPr>
              <w:t>1</w:t>
            </w:r>
          </w:p>
        </w:tc>
        <w:tc>
          <w:tcPr>
            <w:tcW w:w="1550" w:type="dxa"/>
            <w:shd w:val="clear" w:color="auto" w:fill="auto"/>
          </w:tcPr>
          <w:p w14:paraId="79CE904F">
            <w:pPr>
              <w:tabs>
                <w:tab w:val="left" w:pos="567"/>
                <w:tab w:val="clear" w:pos="284"/>
              </w:tabs>
              <w:rPr>
                <w:rFonts w:ascii="Microsoft Sans Serif" w:hAnsi="Microsoft Sans Serif" w:cs="Microsoft Sans Serif"/>
                <w:sz w:val="20"/>
                <w:szCs w:val="20"/>
                <w:lang w:val="en-GB"/>
              </w:rPr>
            </w:pPr>
          </w:p>
        </w:tc>
        <w:tc>
          <w:tcPr>
            <w:tcW w:w="1503" w:type="dxa"/>
            <w:shd w:val="clear" w:color="auto" w:fill="auto"/>
          </w:tcPr>
          <w:p w14:paraId="0483215C">
            <w:pPr>
              <w:tabs>
                <w:tab w:val="left" w:pos="567"/>
                <w:tab w:val="clear" w:pos="284"/>
              </w:tabs>
              <w:rPr>
                <w:rFonts w:ascii="Microsoft Sans Serif" w:hAnsi="Microsoft Sans Serif" w:cs="Microsoft Sans Serif"/>
                <w:sz w:val="20"/>
                <w:szCs w:val="20"/>
                <w:lang w:val="en-GB"/>
              </w:rPr>
            </w:pPr>
          </w:p>
        </w:tc>
        <w:tc>
          <w:tcPr>
            <w:tcW w:w="1422" w:type="dxa"/>
          </w:tcPr>
          <w:p w14:paraId="27FF0108">
            <w:pPr>
              <w:tabs>
                <w:tab w:val="left" w:pos="567"/>
                <w:tab w:val="clear" w:pos="284"/>
              </w:tabs>
              <w:rPr>
                <w:rFonts w:ascii="Microsoft Sans Serif" w:hAnsi="Microsoft Sans Serif" w:cs="Microsoft Sans Serif"/>
                <w:sz w:val="20"/>
                <w:szCs w:val="20"/>
                <w:lang w:val="en-GB"/>
              </w:rPr>
            </w:pPr>
          </w:p>
        </w:tc>
      </w:tr>
    </w:tbl>
    <w:p w14:paraId="68C08253">
      <w:pPr>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1</w:t>
      </w:r>
      <w:r>
        <w:rPr>
          <w:rFonts w:ascii="Microsoft Sans Serif" w:hAnsi="Microsoft Sans Serif" w:cs="Microsoft Sans Serif"/>
          <w:bCs/>
          <w:sz w:val="20"/>
          <w:szCs w:val="20"/>
        </w:rPr>
        <w:t xml:space="preserve"> U kliničkoj studiji PA.3</w:t>
      </w:r>
    </w:p>
    <w:p w14:paraId="3C54918E">
      <w:pPr>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2</w:t>
      </w:r>
      <w:r>
        <w:rPr>
          <w:rFonts w:ascii="Microsoft Sans Serif" w:hAnsi="Microsoft Sans Serif" w:cs="Microsoft Sans Serif"/>
          <w:bCs/>
          <w:sz w:val="20"/>
          <w:szCs w:val="20"/>
        </w:rPr>
        <w:t xml:space="preserve"> Uklјučujući urastanje trepavica, izražen rast i zadeblјavanje trepavica.</w:t>
      </w:r>
    </w:p>
    <w:p w14:paraId="1240F444">
      <w:pPr>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3</w:t>
      </w:r>
      <w:r>
        <w:rPr>
          <w:rFonts w:ascii="Microsoft Sans Serif" w:hAnsi="Microsoft Sans Serif" w:cs="Microsoft Sans Serif"/>
          <w:bCs/>
          <w:sz w:val="20"/>
          <w:szCs w:val="20"/>
        </w:rPr>
        <w:t xml:space="preserve"> Uklјučujući i slučajeve sa smrtnim ishodom, kod pacijenata koji su primali erlotinib u terapiji NSCLC ili drugih uznapredovalih solidnih tumora (pogledati dio 4.4). Povećana učestalost uočena je kod pacijenata u Japanu (pogledati dio 4.4).</w:t>
      </w:r>
    </w:p>
    <w:p w14:paraId="2D7A1439">
      <w:pPr>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4</w:t>
      </w:r>
      <w:r>
        <w:rPr>
          <w:rFonts w:ascii="Microsoft Sans Serif" w:hAnsi="Microsoft Sans Serif" w:cs="Microsoft Sans Serif"/>
          <w:bCs/>
          <w:sz w:val="20"/>
          <w:szCs w:val="20"/>
        </w:rPr>
        <w:t xml:space="preserve"> U kliničkim studijama, neki slučajevi su bili povezani sa istovremenom primjenom varfarina, a neki sa istovremenom primjenom NSAIL (pogledati dio 4.5).</w:t>
      </w:r>
    </w:p>
    <w:p w14:paraId="0210BED4">
      <w:pPr>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5</w:t>
      </w:r>
      <w:r>
        <w:rPr>
          <w:rFonts w:ascii="Microsoft Sans Serif" w:hAnsi="Microsoft Sans Serif" w:cs="Microsoft Sans Serif"/>
          <w:bCs/>
          <w:sz w:val="20"/>
          <w:szCs w:val="20"/>
        </w:rPr>
        <w:t xml:space="preserve"> Uklјučujući povišene vrijednosti alanin aminotransferaze [ALT], aspartat aminotransferaze [AST] i bilirubina. One su bile veoma česte u kliničkoj studiji PA.3 i česte u studiji BR.21. Slučajevi su bili blagog do umjerenog intenziteta, prolaznog karaktera ili povezani sa metastazama u jetri.</w:t>
      </w:r>
    </w:p>
    <w:p w14:paraId="4F57B268">
      <w:pPr>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6</w:t>
      </w:r>
      <w:r>
        <w:rPr>
          <w:rFonts w:ascii="Microsoft Sans Serif" w:hAnsi="Microsoft Sans Serif" w:cs="Microsoft Sans Serif"/>
          <w:bCs/>
          <w:sz w:val="20"/>
          <w:szCs w:val="20"/>
        </w:rPr>
        <w:t xml:space="preserve"> Uklјučujući i slučajeve sa smrtnim ishodom. Faktori rizika mogu uklјučivati postojeću bolest jetre ili istovremenu primjenu hepatotoksičnih lijekova (pogledati dio 4.4).</w:t>
      </w:r>
    </w:p>
    <w:p w14:paraId="24ACC8D3">
      <w:pPr>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7</w:t>
      </w:r>
      <w:r>
        <w:rPr>
          <w:rFonts w:ascii="Microsoft Sans Serif" w:hAnsi="Microsoft Sans Serif" w:cs="Microsoft Sans Serif"/>
          <w:bCs/>
          <w:sz w:val="20"/>
          <w:szCs w:val="20"/>
        </w:rPr>
        <w:t xml:space="preserve"> Uklјučujući i slučajeve sa smrtnim ishodom (pogledati dio 4.4).</w:t>
      </w:r>
    </w:p>
    <w:p w14:paraId="608062CA">
      <w:pPr>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8</w:t>
      </w:r>
      <w:r>
        <w:rPr>
          <w:rFonts w:ascii="Microsoft Sans Serif" w:hAnsi="Microsoft Sans Serif" w:cs="Microsoft Sans Serif"/>
          <w:bCs/>
          <w:sz w:val="20"/>
          <w:szCs w:val="20"/>
        </w:rPr>
        <w:t>Ne može se procijeniti na osnovu dostupnih podataka.</w:t>
      </w:r>
    </w:p>
    <w:p w14:paraId="45FB563C">
      <w:pPr>
        <w:rPr>
          <w:rFonts w:ascii="Microsoft Sans Serif" w:hAnsi="Microsoft Sans Serif" w:cs="Microsoft Sans Serif"/>
          <w:b/>
          <w:bCs/>
          <w:sz w:val="20"/>
          <w:szCs w:val="20"/>
        </w:rPr>
      </w:pPr>
    </w:p>
    <w:p w14:paraId="11E6A4EB">
      <w:pPr>
        <w:rPr>
          <w:rFonts w:ascii="Microsoft Sans Serif" w:hAnsi="Microsoft Sans Serif" w:cs="Microsoft Sans Serif"/>
          <w:sz w:val="20"/>
          <w:szCs w:val="20"/>
          <w:u w:val="single"/>
          <w:lang w:val="bs-Latn-BA" w:eastAsia="en-GB"/>
        </w:rPr>
      </w:pPr>
      <w:r>
        <w:rPr>
          <w:rFonts w:ascii="Microsoft Sans Serif" w:hAnsi="Microsoft Sans Serif" w:cs="Microsoft Sans Serif"/>
          <w:sz w:val="20"/>
          <w:szCs w:val="20"/>
          <w:u w:val="single"/>
          <w:lang w:val="bs-Latn-BA" w:eastAsia="en-GB"/>
        </w:rPr>
        <w:t>Prijavljivanje sumnje na neželjena djelovanja lijeka</w:t>
      </w:r>
    </w:p>
    <w:p w14:paraId="58517794">
      <w:pPr>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Prijavljivanje sumnje na neželjena djelovanja lijekova, a nakon stavljanja lijeka u promet je od velike važnosti za formiranje kompletnije slike o bezbjednosnom profilu lijeka, odnosno za formiranje što bolje ocjene odnosa korist/rizik pri terapijskoj primjeni lijeka.</w:t>
      </w:r>
    </w:p>
    <w:p w14:paraId="4865490C">
      <w:pPr>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Proces prijavljivanja sumnji na neželjena djelovanja lijeka doprinosi kontinuiranom praćenju odnosa koristi/rizik i adekvatnoj ocjeni bezbjednosnog profila lijeka. Od zdravstvenih stručnjaka se traži da prijave svaku sumnju na neželjeno dejstvo lijeka direktno ALMBiH. Prijava se može dostaviti:</w:t>
      </w:r>
    </w:p>
    <w:p w14:paraId="70B03ADB">
      <w:pPr>
        <w:numPr>
          <w:ilvl w:val="0"/>
          <w:numId w:val="1"/>
        </w:numPr>
        <w:tabs>
          <w:tab w:val="left" w:pos="567"/>
          <w:tab w:val="clear" w:pos="284"/>
        </w:tabs>
        <w:ind w:left="0" w:firstLine="0"/>
        <w:contextualSpacing/>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posredstvom softverske aplikacije za prijavu neželjenih dejstava lijekova za humanu upotrebu (IS Farmakovigilansa) o kojoj više informacija možete dobiti u našoj Glavnoj kancelariji za farmakovigilansu ili</w:t>
      </w:r>
    </w:p>
    <w:p w14:paraId="33CEDA2C">
      <w:pPr>
        <w:numPr>
          <w:ilvl w:val="0"/>
          <w:numId w:val="1"/>
        </w:numPr>
        <w:tabs>
          <w:tab w:val="left" w:pos="567"/>
          <w:tab w:val="clear" w:pos="284"/>
        </w:tabs>
        <w:ind w:left="0" w:firstLine="0"/>
        <w:contextualSpacing/>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 xml:space="preserve">posredstvom odgovarajućeg obrasca za prijavljivanje sumnji na neželjena djelovanja lijeka, koji se mogu naći na internet stranici Agencije za lijekove: </w:t>
      </w:r>
      <w:r>
        <w:rPr>
          <w:rFonts w:ascii="Microsoft Sans Serif" w:hAnsi="Microsoft Sans Serif" w:eastAsia="Calibri" w:cs="Microsoft Sans Serif"/>
          <w:sz w:val="20"/>
          <w:szCs w:val="20"/>
          <w:u w:val="single"/>
          <w:lang w:val="bs-Latn-BA"/>
        </w:rPr>
        <w:t>www.almbih.gov.ba</w:t>
      </w:r>
      <w:r>
        <w:rPr>
          <w:rFonts w:ascii="Microsoft Sans Serif" w:hAnsi="Microsoft Sans Serif" w:eastAsia="Calibri" w:cs="Microsoft Sans Serif"/>
          <w:sz w:val="20"/>
          <w:szCs w:val="20"/>
          <w:lang w:val="bs-Latn-BA"/>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eastAsia="Calibri" w:cs="Microsoft Sans Serif"/>
          <w:sz w:val="20"/>
          <w:szCs w:val="20"/>
          <w:u w:val="single"/>
          <w:lang w:val="bs-Latn-BA"/>
        </w:rPr>
        <w:t>ndl@almbih.gov.ba</w:t>
      </w:r>
      <w:r>
        <w:rPr>
          <w:rFonts w:ascii="Microsoft Sans Serif" w:hAnsi="Microsoft Sans Serif" w:eastAsia="Calibri" w:cs="Microsoft Sans Serif"/>
          <w:sz w:val="20"/>
          <w:szCs w:val="20"/>
          <w:lang w:val="bs-Latn-BA"/>
        </w:rPr>
        <w:t>).</w:t>
      </w:r>
    </w:p>
    <w:p w14:paraId="21949224">
      <w:pPr>
        <w:rPr>
          <w:rFonts w:ascii="Microsoft Sans Serif" w:hAnsi="Microsoft Sans Serif" w:cs="Microsoft Sans Serif"/>
          <w:b/>
          <w:bCs/>
          <w:sz w:val="20"/>
          <w:szCs w:val="20"/>
        </w:rPr>
      </w:pPr>
    </w:p>
    <w:p w14:paraId="1941101B">
      <w:pPr>
        <w:rPr>
          <w:rFonts w:ascii="Microsoft Sans Serif" w:hAnsi="Microsoft Sans Serif" w:cs="Microsoft Sans Serif"/>
          <w:b/>
          <w:bCs/>
          <w:sz w:val="20"/>
          <w:szCs w:val="20"/>
        </w:rPr>
      </w:pPr>
      <w:r>
        <w:rPr>
          <w:rFonts w:ascii="Microsoft Sans Serif" w:hAnsi="Microsoft Sans Serif" w:cs="Microsoft Sans Serif"/>
          <w:b/>
          <w:bCs/>
          <w:sz w:val="20"/>
          <w:szCs w:val="20"/>
        </w:rPr>
        <w:t>4.9. Predoziranje</w:t>
      </w:r>
    </w:p>
    <w:p w14:paraId="352DACCC">
      <w:pPr>
        <w:rPr>
          <w:rFonts w:ascii="Microsoft Sans Serif" w:hAnsi="Microsoft Sans Serif" w:cs="Microsoft Sans Serif"/>
          <w:b/>
          <w:bCs/>
          <w:sz w:val="20"/>
          <w:szCs w:val="20"/>
        </w:rPr>
      </w:pPr>
    </w:p>
    <w:p w14:paraId="17D2DB5B">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Simptomi</w:t>
      </w:r>
    </w:p>
    <w:p w14:paraId="49B6D7F1">
      <w:pPr>
        <w:rPr>
          <w:rFonts w:ascii="Microsoft Sans Serif" w:hAnsi="Microsoft Sans Serif" w:cs="Microsoft Sans Serif"/>
          <w:bCs/>
          <w:sz w:val="20"/>
          <w:szCs w:val="20"/>
          <w:u w:val="single"/>
        </w:rPr>
      </w:pPr>
    </w:p>
    <w:p w14:paraId="47FB3CA3">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Pojedinačna oralna doza do 1000 mg erlotiniba kod zdravih osoba, i do 1600 mg kod pacijenata oboljelih od </w:t>
      </w:r>
      <w:r>
        <w:rPr>
          <w:rFonts w:ascii="Microsoft Sans Serif" w:hAnsi="Microsoft Sans Serif" w:cs="Microsoft Sans Serif"/>
          <w:bCs/>
          <w:sz w:val="20"/>
          <w:szCs w:val="20"/>
          <w:lang w:val="sr-Cyrl-RS"/>
        </w:rPr>
        <w:t>karcinoma se</w:t>
      </w:r>
      <w:r>
        <w:rPr>
          <w:rFonts w:ascii="Microsoft Sans Serif" w:hAnsi="Microsoft Sans Serif" w:cs="Microsoft Sans Serif"/>
          <w:bCs/>
          <w:sz w:val="20"/>
          <w:szCs w:val="20"/>
        </w:rPr>
        <w:t xml:space="preserve"> dobro podnosi. Zdrave osobe su loše podnosile ponovlјeno doziranje od 200 mg dva puta dnevno poslije samo nekoliko dana doziranja. Na osnovu podataka iz ovih ispitivanja, teške neželјene reakcije kao što su dijareja, osip i moguća povećana aktivnost aminotransferaza jetre mogu se javiti pri primjeni doza viših od preporučene.</w:t>
      </w:r>
    </w:p>
    <w:p w14:paraId="0C521A2D">
      <w:pPr>
        <w:rPr>
          <w:rFonts w:ascii="Microsoft Sans Serif" w:hAnsi="Microsoft Sans Serif" w:cs="Microsoft Sans Serif"/>
          <w:bCs/>
          <w:sz w:val="20"/>
          <w:szCs w:val="20"/>
          <w:u w:val="single"/>
        </w:rPr>
      </w:pPr>
    </w:p>
    <w:p w14:paraId="44C2E579">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Terapija</w:t>
      </w:r>
    </w:p>
    <w:p w14:paraId="49EEA101">
      <w:pPr>
        <w:rPr>
          <w:rFonts w:ascii="Microsoft Sans Serif" w:hAnsi="Microsoft Sans Serif" w:cs="Microsoft Sans Serif"/>
          <w:bCs/>
          <w:sz w:val="20"/>
          <w:szCs w:val="20"/>
        </w:rPr>
      </w:pPr>
      <w:r>
        <w:rPr>
          <w:rFonts w:ascii="Microsoft Sans Serif" w:hAnsi="Microsoft Sans Serif" w:cs="Microsoft Sans Serif"/>
          <w:bCs/>
          <w:sz w:val="20"/>
          <w:szCs w:val="20"/>
        </w:rPr>
        <w:t>U slučaju sumnje na predoziranje, primjenu erlotiniba treba obustaviti i započeti simptomatsku terapiju.</w:t>
      </w:r>
    </w:p>
    <w:p w14:paraId="4E18239E">
      <w:pPr>
        <w:rPr>
          <w:rFonts w:ascii="Microsoft Sans Serif" w:hAnsi="Microsoft Sans Serif" w:cs="Microsoft Sans Serif"/>
          <w:b/>
          <w:bCs/>
          <w:sz w:val="20"/>
          <w:szCs w:val="20"/>
        </w:rPr>
      </w:pPr>
    </w:p>
    <w:p w14:paraId="3180F2F8">
      <w:pPr>
        <w:rPr>
          <w:rFonts w:ascii="Microsoft Sans Serif" w:hAnsi="Microsoft Sans Serif" w:cs="Microsoft Sans Serif"/>
          <w:sz w:val="20"/>
          <w:szCs w:val="20"/>
          <w:lang w:val="sr-Latn-CS"/>
        </w:rPr>
      </w:pPr>
    </w:p>
    <w:p w14:paraId="3AF5E2EB">
      <w:pPr>
        <w:pStyle w:val="26"/>
        <w:spacing w:before="0" w:after="0"/>
        <w:jc w:val="both"/>
        <w:rPr>
          <w:rFonts w:ascii="Microsoft Sans Serif" w:hAnsi="Microsoft Sans Serif" w:cs="Microsoft Sans Serif"/>
          <w:sz w:val="20"/>
          <w:szCs w:val="20"/>
        </w:rPr>
      </w:pPr>
      <w:r>
        <w:rPr>
          <w:rFonts w:ascii="Microsoft Sans Serif" w:hAnsi="Microsoft Sans Serif" w:cs="Microsoft Sans Serif"/>
          <w:sz w:val="20"/>
          <w:szCs w:val="20"/>
        </w:rPr>
        <w:t>5. FARMAKOLOŠKI PODACI</w:t>
      </w:r>
    </w:p>
    <w:p w14:paraId="33CF3939">
      <w:pPr>
        <w:pStyle w:val="26"/>
        <w:spacing w:before="0" w:after="0"/>
        <w:jc w:val="both"/>
        <w:rPr>
          <w:rFonts w:ascii="Microsoft Sans Serif" w:hAnsi="Microsoft Sans Serif" w:cs="Microsoft Sans Serif"/>
          <w:sz w:val="20"/>
          <w:szCs w:val="20"/>
        </w:rPr>
      </w:pPr>
    </w:p>
    <w:p w14:paraId="060F2E83">
      <w:pPr>
        <w:rPr>
          <w:rFonts w:ascii="Microsoft Sans Serif" w:hAnsi="Microsoft Sans Serif" w:cs="Microsoft Sans Serif"/>
          <w:b/>
          <w:bCs/>
          <w:sz w:val="20"/>
          <w:szCs w:val="20"/>
        </w:rPr>
      </w:pPr>
      <w:r>
        <w:rPr>
          <w:rFonts w:ascii="Microsoft Sans Serif" w:hAnsi="Microsoft Sans Serif" w:cs="Microsoft Sans Serif"/>
          <w:b/>
          <w:bCs/>
          <w:sz w:val="20"/>
          <w:szCs w:val="20"/>
        </w:rPr>
        <w:t>5.1. Farmakodinamski podaci</w:t>
      </w:r>
    </w:p>
    <w:p w14:paraId="4C40B2CE">
      <w:pPr>
        <w:rPr>
          <w:rFonts w:ascii="Microsoft Sans Serif" w:hAnsi="Microsoft Sans Serif" w:cs="Microsoft Sans Serif"/>
          <w:b/>
          <w:bCs/>
          <w:sz w:val="20"/>
          <w:szCs w:val="20"/>
        </w:rPr>
      </w:pPr>
    </w:p>
    <w:p w14:paraId="0F78029A">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rPr>
        <w:t>Farmakoterapijska grupa:</w:t>
      </w:r>
      <w:r>
        <w:rPr>
          <w:rFonts w:ascii="Microsoft Sans Serif" w:hAnsi="Microsoft Sans Serif" w:cs="Microsoft Sans Serif"/>
          <w:bCs/>
          <w:sz w:val="20"/>
          <w:szCs w:val="20"/>
          <w:lang w:val="sr-Cyrl-RS"/>
        </w:rPr>
        <w:t xml:space="preserve"> Antineoplastici, inhibitori protein kinaze</w:t>
      </w:r>
    </w:p>
    <w:p w14:paraId="04DB0C95">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rPr>
        <w:t>ATC šifra:</w:t>
      </w:r>
      <w:r>
        <w:rPr>
          <w:rFonts w:ascii="Microsoft Sans Serif" w:hAnsi="Microsoft Sans Serif" w:cs="Microsoft Sans Serif"/>
          <w:b/>
          <w:bCs/>
          <w:sz w:val="20"/>
          <w:szCs w:val="20"/>
          <w:lang w:val="sr-Cyrl-RS"/>
        </w:rPr>
        <w:t xml:space="preserve"> </w:t>
      </w:r>
      <w:r>
        <w:rPr>
          <w:rFonts w:ascii="Microsoft Sans Serif" w:hAnsi="Microsoft Sans Serif" w:cs="Microsoft Sans Serif"/>
          <w:spacing w:val="-1"/>
          <w:sz w:val="20"/>
          <w:szCs w:val="20"/>
        </w:rPr>
        <w:t>L01EB02</w:t>
      </w:r>
    </w:p>
    <w:p w14:paraId="26B55C65">
      <w:pPr>
        <w:rPr>
          <w:rFonts w:ascii="Microsoft Sans Serif" w:hAnsi="Microsoft Sans Serif" w:cs="Microsoft Sans Serif"/>
          <w:b/>
          <w:bCs/>
          <w:sz w:val="20"/>
          <w:szCs w:val="20"/>
          <w:lang w:val="sr-Cyrl-RS"/>
        </w:rPr>
      </w:pPr>
    </w:p>
    <w:p w14:paraId="78AD4DA2">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Mehanizam djelovanja</w:t>
      </w:r>
    </w:p>
    <w:p w14:paraId="65BDA814">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Erlotinib je inhibitor tirozin kinaze receptora za epidermalni faktor rasta/humanog receptora za epidermalni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faktor rasta tip 1 (</w:t>
      </w:r>
      <w:r>
        <w:rPr>
          <w:rFonts w:ascii="Microsoft Sans Serif" w:hAnsi="Microsoft Sans Serif" w:cs="Microsoft Sans Serif"/>
          <w:bCs/>
          <w:sz w:val="20"/>
          <w:szCs w:val="20"/>
          <w:lang w:val="sr-Latn-RS"/>
        </w:rPr>
        <w:t xml:space="preserve">EGFR </w:t>
      </w:r>
      <w:r>
        <w:rPr>
          <w:rFonts w:ascii="Microsoft Sans Serif" w:hAnsi="Microsoft Sans Serif" w:cs="Microsoft Sans Serif"/>
          <w:bCs/>
          <w:sz w:val="20"/>
          <w:szCs w:val="20"/>
          <w:lang w:val="sr-Cyrl-RS"/>
        </w:rPr>
        <w:t xml:space="preserve">koji je poznat i kao </w:t>
      </w:r>
      <w:r>
        <w:rPr>
          <w:rFonts w:ascii="Microsoft Sans Serif" w:hAnsi="Microsoft Sans Serif" w:cs="Microsoft Sans Serif"/>
          <w:bCs/>
          <w:sz w:val="20"/>
          <w:szCs w:val="20"/>
          <w:lang w:val="sr-Latn-RS"/>
        </w:rPr>
        <w:t>HER</w:t>
      </w:r>
      <w:r>
        <w:rPr>
          <w:rFonts w:ascii="Microsoft Sans Serif" w:hAnsi="Microsoft Sans Serif" w:cs="Microsoft Sans Serif"/>
          <w:bCs/>
          <w:sz w:val="20"/>
          <w:szCs w:val="20"/>
          <w:lang w:val="sr-Cyrl-RS"/>
        </w:rPr>
        <w:t>1). Erlotinib snažno inhibira intracelularnu fosforilaciju</w:t>
      </w:r>
      <w:r>
        <w:rPr>
          <w:rFonts w:ascii="Microsoft Sans Serif" w:hAnsi="Microsoft Sans Serif" w:cs="Microsoft Sans Serif"/>
          <w:bCs/>
          <w:sz w:val="20"/>
          <w:szCs w:val="20"/>
          <w:lang w:val="sr-Latn-RS"/>
        </w:rPr>
        <w:t xml:space="preserve"> EGFR</w:t>
      </w:r>
      <w:r>
        <w:rPr>
          <w:rFonts w:ascii="Microsoft Sans Serif" w:hAnsi="Microsoft Sans Serif" w:cs="Microsoft Sans Serif"/>
          <w:bCs/>
          <w:sz w:val="20"/>
          <w:szCs w:val="20"/>
          <w:lang w:val="sr-Cyrl-RS"/>
        </w:rPr>
        <w:t>. E</w:t>
      </w:r>
      <w:r>
        <w:rPr>
          <w:rFonts w:ascii="Microsoft Sans Serif" w:hAnsi="Microsoft Sans Serif" w:cs="Microsoft Sans Serif"/>
          <w:bCs/>
          <w:sz w:val="20"/>
          <w:szCs w:val="20"/>
          <w:lang w:val="sr-Latn-RS"/>
        </w:rPr>
        <w:t>GFR</w:t>
      </w:r>
      <w:r>
        <w:rPr>
          <w:rFonts w:ascii="Microsoft Sans Serif" w:hAnsi="Microsoft Sans Serif" w:cs="Microsoft Sans Serif"/>
          <w:bCs/>
          <w:sz w:val="20"/>
          <w:szCs w:val="20"/>
          <w:lang w:val="sr-Cyrl-RS"/>
        </w:rPr>
        <w:t xml:space="preserve"> je eksprimiran na površini normalnih i kancerskih ćelija. U pretkliničkim modelima, inhibicija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E</w:t>
      </w:r>
      <w:r>
        <w:rPr>
          <w:rFonts w:ascii="Microsoft Sans Serif" w:hAnsi="Microsoft Sans Serif" w:cs="Microsoft Sans Serif"/>
          <w:bCs/>
          <w:sz w:val="20"/>
          <w:szCs w:val="20"/>
          <w:lang w:val="sr-Latn-RS"/>
        </w:rPr>
        <w:t>GFR</w:t>
      </w:r>
      <w:r>
        <w:rPr>
          <w:rFonts w:ascii="Microsoft Sans Serif" w:hAnsi="Microsoft Sans Serif" w:cs="Microsoft Sans Serif"/>
          <w:bCs/>
          <w:sz w:val="20"/>
          <w:szCs w:val="20"/>
          <w:lang w:val="sr-Cyrl-RS"/>
        </w:rPr>
        <w:t xml:space="preserve"> fosfotirozina dovodi do zastoja u rastu ćelija i/ili njihove smrti.</w:t>
      </w:r>
    </w:p>
    <w:p w14:paraId="14A51C0A">
      <w:pPr>
        <w:rPr>
          <w:rFonts w:ascii="Microsoft Sans Serif" w:hAnsi="Microsoft Sans Serif" w:cs="Microsoft Sans Serif"/>
          <w:bCs/>
          <w:sz w:val="20"/>
          <w:szCs w:val="20"/>
          <w:lang w:val="sr-Cyrl-RS"/>
        </w:rPr>
      </w:pPr>
    </w:p>
    <w:p w14:paraId="7D6CC34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Latn-RS"/>
        </w:rPr>
        <w:t>EGFR</w:t>
      </w:r>
      <w:r>
        <w:rPr>
          <w:rFonts w:ascii="Microsoft Sans Serif" w:hAnsi="Microsoft Sans Serif" w:cs="Microsoft Sans Serif"/>
          <w:bCs/>
          <w:sz w:val="20"/>
          <w:szCs w:val="20"/>
          <w:lang w:val="sr-Cyrl-RS"/>
        </w:rPr>
        <w:t xml:space="preserve"> mutacije mogu dovesti do konstitutivne aktivacije anti-apoptotskih i proliferativnih signalnih puteva.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Snažno dejstvo erlotiniba u blokiranju E</w:t>
      </w:r>
      <w:r>
        <w:rPr>
          <w:rFonts w:ascii="Microsoft Sans Serif" w:hAnsi="Microsoft Sans Serif" w:cs="Microsoft Sans Serif"/>
          <w:bCs/>
          <w:sz w:val="20"/>
          <w:szCs w:val="20"/>
          <w:lang w:val="sr-Latn-RS"/>
        </w:rPr>
        <w:t>GFR</w:t>
      </w:r>
      <w:r>
        <w:rPr>
          <w:rFonts w:ascii="Microsoft Sans Serif" w:hAnsi="Microsoft Sans Serif" w:cs="Microsoft Sans Serif"/>
          <w:bCs/>
          <w:sz w:val="20"/>
          <w:szCs w:val="20"/>
          <w:lang w:val="sr-Cyrl-RS"/>
        </w:rPr>
        <w:t xml:space="preserve"> posredovanih signala u tumorima sa E</w:t>
      </w:r>
      <w:r>
        <w:rPr>
          <w:rFonts w:ascii="Microsoft Sans Serif" w:hAnsi="Microsoft Sans Serif" w:cs="Microsoft Sans Serif"/>
          <w:bCs/>
          <w:sz w:val="20"/>
          <w:szCs w:val="20"/>
          <w:lang w:val="sr-Latn-RS"/>
        </w:rPr>
        <w:t>GFR</w:t>
      </w:r>
      <w:r>
        <w:rPr>
          <w:rFonts w:ascii="Microsoft Sans Serif" w:hAnsi="Microsoft Sans Serif" w:cs="Microsoft Sans Serif"/>
          <w:bCs/>
          <w:sz w:val="20"/>
          <w:szCs w:val="20"/>
          <w:lang w:val="sr-Cyrl-RS"/>
        </w:rPr>
        <w:t xml:space="preserve"> mutacijama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pripisuje se snažnom vezivanju erlotiniba za AT</w:t>
      </w:r>
      <w:r>
        <w:rPr>
          <w:rFonts w:ascii="Microsoft Sans Serif" w:hAnsi="Microsoft Sans Serif" w:cs="Microsoft Sans Serif"/>
          <w:bCs/>
          <w:sz w:val="20"/>
          <w:szCs w:val="20"/>
          <w:lang w:val="sr-Latn-RS"/>
        </w:rPr>
        <w:t>P</w:t>
      </w:r>
      <w:r>
        <w:rPr>
          <w:rFonts w:ascii="Microsoft Sans Serif" w:hAnsi="Microsoft Sans Serif" w:cs="Microsoft Sans Serif"/>
          <w:bCs/>
          <w:sz w:val="20"/>
          <w:szCs w:val="20"/>
          <w:lang w:val="sr-Cyrl-RS"/>
        </w:rPr>
        <w:t xml:space="preserve"> vezujuće mesto u mutiranom domenu E</w:t>
      </w:r>
      <w:r>
        <w:rPr>
          <w:rFonts w:ascii="Microsoft Sans Serif" w:hAnsi="Microsoft Sans Serif" w:cs="Microsoft Sans Serif"/>
          <w:bCs/>
          <w:sz w:val="20"/>
          <w:szCs w:val="20"/>
          <w:lang w:val="sr-Latn-RS"/>
        </w:rPr>
        <w:t>GFR</w:t>
      </w:r>
      <w:r>
        <w:rPr>
          <w:rFonts w:ascii="Microsoft Sans Serif" w:hAnsi="Microsoft Sans Serif" w:cs="Microsoft Sans Serif"/>
          <w:bCs/>
          <w:sz w:val="20"/>
          <w:szCs w:val="20"/>
          <w:lang w:val="sr-Cyrl-RS"/>
        </w:rPr>
        <w:t xml:space="preserve"> kinaze. Zbog</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blokade nishodne signalizacije, proliferacija ćelija se zaustavlјa i indukuje se smrt ćelija preko intrizičkog</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puta apoptoze. Regresija tumora primjećena je na mišjim modelima sa pojačanom ekspresijom ovih</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aktivirajućih mutacija E</w:t>
      </w:r>
      <w:r>
        <w:rPr>
          <w:rFonts w:ascii="Microsoft Sans Serif" w:hAnsi="Microsoft Sans Serif" w:cs="Microsoft Sans Serif"/>
          <w:bCs/>
          <w:sz w:val="20"/>
          <w:szCs w:val="20"/>
          <w:lang w:val="sr-Latn-RS"/>
        </w:rPr>
        <w:t>GFR</w:t>
      </w:r>
      <w:r>
        <w:rPr>
          <w:rFonts w:ascii="Microsoft Sans Serif" w:hAnsi="Microsoft Sans Serif" w:cs="Microsoft Sans Serif"/>
          <w:bCs/>
          <w:sz w:val="20"/>
          <w:szCs w:val="20"/>
          <w:lang w:val="sr-Cyrl-RS"/>
        </w:rPr>
        <w:t>.</w:t>
      </w:r>
    </w:p>
    <w:p w14:paraId="426152F3">
      <w:pPr>
        <w:rPr>
          <w:rFonts w:ascii="Microsoft Sans Serif" w:hAnsi="Microsoft Sans Serif" w:cs="Microsoft Sans Serif"/>
          <w:bCs/>
          <w:sz w:val="20"/>
          <w:szCs w:val="20"/>
          <w:lang w:val="sr-Cyrl-RS"/>
        </w:rPr>
      </w:pPr>
    </w:p>
    <w:p w14:paraId="508CB85C">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Klinička efikasnost</w:t>
      </w:r>
    </w:p>
    <w:p w14:paraId="557AE648">
      <w:pPr>
        <w:rPr>
          <w:rFonts w:ascii="Microsoft Sans Serif" w:hAnsi="Microsoft Sans Serif" w:cs="Microsoft Sans Serif"/>
          <w:bCs/>
          <w:i/>
          <w:sz w:val="20"/>
          <w:szCs w:val="20"/>
          <w:u w:val="single"/>
          <w:lang w:val="sr-Cyrl-RS"/>
        </w:rPr>
      </w:pPr>
      <w:r>
        <w:rPr>
          <w:rFonts w:ascii="Microsoft Sans Serif" w:hAnsi="Microsoft Sans Serif" w:cs="Microsoft Sans Serif"/>
          <w:bCs/>
          <w:i/>
          <w:sz w:val="20"/>
          <w:szCs w:val="20"/>
          <w:u w:val="single"/>
          <w:lang w:val="sr-Cyrl-RS"/>
        </w:rPr>
        <w:t>Prva linija u terapiji nemikrocelularnog karcinoma pluća (</w:t>
      </w:r>
      <w:r>
        <w:rPr>
          <w:rFonts w:ascii="Microsoft Sans Serif" w:hAnsi="Microsoft Sans Serif" w:cs="Microsoft Sans Serif"/>
          <w:bCs/>
          <w:i/>
          <w:sz w:val="20"/>
          <w:szCs w:val="20"/>
          <w:u w:val="single"/>
          <w:lang w:val="sr-Latn-RS"/>
        </w:rPr>
        <w:t>NSCLC</w:t>
      </w:r>
      <w:r>
        <w:rPr>
          <w:rFonts w:ascii="Microsoft Sans Serif" w:hAnsi="Microsoft Sans Serif" w:cs="Microsoft Sans Serif"/>
          <w:bCs/>
          <w:i/>
          <w:sz w:val="20"/>
          <w:szCs w:val="20"/>
          <w:u w:val="single"/>
          <w:lang w:val="sr-Cyrl-RS"/>
        </w:rPr>
        <w:t>) kod pacijenata sa aktivirajućim</w:t>
      </w:r>
      <w:r>
        <w:rPr>
          <w:rFonts w:ascii="Microsoft Sans Serif" w:hAnsi="Microsoft Sans Serif" w:cs="Microsoft Sans Serif"/>
          <w:bCs/>
          <w:i/>
          <w:sz w:val="20"/>
          <w:szCs w:val="20"/>
          <w:u w:val="single"/>
          <w:lang w:val="sr-Latn-RS"/>
        </w:rPr>
        <w:t xml:space="preserve"> </w:t>
      </w:r>
      <w:r>
        <w:rPr>
          <w:rFonts w:ascii="Microsoft Sans Serif" w:hAnsi="Microsoft Sans Serif" w:cs="Microsoft Sans Serif"/>
          <w:bCs/>
          <w:i/>
          <w:sz w:val="20"/>
          <w:szCs w:val="20"/>
          <w:u w:val="single"/>
          <w:lang w:val="sr-Cyrl-RS"/>
        </w:rPr>
        <w:t>mutacijama E</w:t>
      </w:r>
      <w:r>
        <w:rPr>
          <w:rFonts w:ascii="Microsoft Sans Serif" w:hAnsi="Microsoft Sans Serif" w:cs="Microsoft Sans Serif"/>
          <w:bCs/>
          <w:i/>
          <w:sz w:val="20"/>
          <w:szCs w:val="20"/>
          <w:u w:val="single"/>
          <w:lang w:val="sr-Latn-RS"/>
        </w:rPr>
        <w:t>GFR</w:t>
      </w:r>
      <w:r>
        <w:rPr>
          <w:rFonts w:ascii="Microsoft Sans Serif" w:hAnsi="Microsoft Sans Serif" w:cs="Microsoft Sans Serif"/>
          <w:bCs/>
          <w:i/>
          <w:sz w:val="20"/>
          <w:szCs w:val="20"/>
          <w:u w:val="single"/>
          <w:lang w:val="sr-Cyrl-RS"/>
        </w:rPr>
        <w:t xml:space="preserve"> (erlotinib prim</w:t>
      </w:r>
      <w:r>
        <w:rPr>
          <w:rFonts w:ascii="Microsoft Sans Serif" w:hAnsi="Microsoft Sans Serif" w:cs="Microsoft Sans Serif"/>
          <w:bCs/>
          <w:i/>
          <w:sz w:val="20"/>
          <w:szCs w:val="20"/>
          <w:u w:val="single"/>
          <w:lang w:val="sr-Latn-RS"/>
        </w:rPr>
        <w:t>j</w:t>
      </w:r>
      <w:r>
        <w:rPr>
          <w:rFonts w:ascii="Microsoft Sans Serif" w:hAnsi="Microsoft Sans Serif" w:cs="Microsoft Sans Serif"/>
          <w:bCs/>
          <w:i/>
          <w:sz w:val="20"/>
          <w:szCs w:val="20"/>
          <w:u w:val="single"/>
          <w:lang w:val="sr-Cyrl-RS"/>
        </w:rPr>
        <w:t>enjen kao monoterapija)</w:t>
      </w:r>
    </w:p>
    <w:p w14:paraId="66DE0D2A">
      <w:pPr>
        <w:rPr>
          <w:rFonts w:ascii="Microsoft Sans Serif" w:hAnsi="Microsoft Sans Serif" w:cs="Microsoft Sans Serif"/>
          <w:bCs/>
          <w:sz w:val="20"/>
          <w:szCs w:val="20"/>
          <w:lang w:val="sr-Cyrl-RS"/>
        </w:rPr>
      </w:pPr>
    </w:p>
    <w:p w14:paraId="27281059">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Efikasnost erlotiniba u prvoj liniji terapije pacijenata sa E</w:t>
      </w:r>
      <w:r>
        <w:rPr>
          <w:rFonts w:ascii="Microsoft Sans Serif" w:hAnsi="Microsoft Sans Serif" w:cs="Microsoft Sans Serif"/>
          <w:bCs/>
          <w:sz w:val="20"/>
          <w:szCs w:val="20"/>
          <w:lang w:val="sr-Latn-RS"/>
        </w:rPr>
        <w:t>GFR</w:t>
      </w:r>
      <w:r>
        <w:rPr>
          <w:rFonts w:ascii="Microsoft Sans Serif" w:hAnsi="Microsoft Sans Serif" w:cs="Microsoft Sans Serif"/>
          <w:bCs/>
          <w:sz w:val="20"/>
          <w:szCs w:val="20"/>
          <w:lang w:val="sr-Cyrl-RS"/>
        </w:rPr>
        <w:t xml:space="preserve"> aktivirajućim mutacijama kod </w:t>
      </w:r>
      <w:r>
        <w:rPr>
          <w:rFonts w:ascii="Microsoft Sans Serif" w:hAnsi="Microsoft Sans Serif" w:cs="Microsoft Sans Serif"/>
          <w:bCs/>
          <w:sz w:val="20"/>
          <w:szCs w:val="20"/>
          <w:lang w:val="sr-Latn-RS"/>
        </w:rPr>
        <w:t xml:space="preserve">NSCLC </w:t>
      </w:r>
      <w:r>
        <w:rPr>
          <w:rFonts w:ascii="Microsoft Sans Serif" w:hAnsi="Microsoft Sans Serif" w:cs="Microsoft Sans Serif"/>
          <w:bCs/>
          <w:sz w:val="20"/>
          <w:szCs w:val="20"/>
          <w:lang w:val="sr-Cyrl-RS"/>
        </w:rPr>
        <w:t xml:space="preserve">pokazana je u randomizovanom, otvorenom ispitivanju faze </w:t>
      </w:r>
      <w:r>
        <w:rPr>
          <w:rFonts w:ascii="Microsoft Sans Serif" w:hAnsi="Microsoft Sans Serif" w:cs="Microsoft Sans Serif"/>
          <w:bCs/>
          <w:sz w:val="20"/>
          <w:szCs w:val="20"/>
          <w:lang w:val="sr-Latn-RS"/>
        </w:rPr>
        <w:t>III</w:t>
      </w:r>
      <w:r>
        <w:rPr>
          <w:rFonts w:ascii="Microsoft Sans Serif" w:hAnsi="Microsoft Sans Serif" w:cs="Microsoft Sans Serif"/>
          <w:bCs/>
          <w:sz w:val="20"/>
          <w:szCs w:val="20"/>
          <w:lang w:val="sr-Cyrl-RS"/>
        </w:rPr>
        <w:t xml:space="preserve"> (M</w:t>
      </w:r>
      <w:r>
        <w:rPr>
          <w:rFonts w:ascii="Microsoft Sans Serif" w:hAnsi="Microsoft Sans Serif" w:cs="Microsoft Sans Serif"/>
          <w:bCs/>
          <w:sz w:val="20"/>
          <w:szCs w:val="20"/>
          <w:lang w:val="sr-Latn-RS"/>
        </w:rPr>
        <w:t>L</w:t>
      </w:r>
      <w:r>
        <w:rPr>
          <w:rFonts w:ascii="Microsoft Sans Serif" w:hAnsi="Microsoft Sans Serif" w:cs="Microsoft Sans Serif"/>
          <w:bCs/>
          <w:sz w:val="20"/>
          <w:szCs w:val="20"/>
          <w:lang w:val="sr-Cyrl-RS"/>
        </w:rPr>
        <w:t>20650, E</w:t>
      </w:r>
      <w:r>
        <w:rPr>
          <w:rFonts w:ascii="Microsoft Sans Serif" w:hAnsi="Microsoft Sans Serif" w:cs="Microsoft Sans Serif"/>
          <w:bCs/>
          <w:sz w:val="20"/>
          <w:szCs w:val="20"/>
          <w:lang w:val="sr-Latn-RS"/>
        </w:rPr>
        <w:t>URTAC</w:t>
      </w:r>
      <w:r>
        <w:rPr>
          <w:rFonts w:ascii="Microsoft Sans Serif" w:hAnsi="Microsoft Sans Serif" w:cs="Microsoft Sans Serif"/>
          <w:bCs/>
          <w:sz w:val="20"/>
          <w:szCs w:val="20"/>
          <w:lang w:val="sr-Cyrl-RS"/>
        </w:rPr>
        <w:t>). Ova studija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sprovedena je na pacijentima b</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 xml:space="preserve">ele rase sa metastatskim ili lokalno uznapredovalim </w:t>
      </w:r>
      <w:r>
        <w:rPr>
          <w:rFonts w:ascii="Microsoft Sans Serif" w:hAnsi="Microsoft Sans Serif" w:cs="Microsoft Sans Serif"/>
          <w:bCs/>
          <w:sz w:val="20"/>
          <w:szCs w:val="20"/>
          <w:lang w:val="sr-Latn-RS"/>
        </w:rPr>
        <w:t>NSCLC</w:t>
      </w:r>
      <w:r>
        <w:rPr>
          <w:rFonts w:ascii="Microsoft Sans Serif" w:hAnsi="Microsoft Sans Serif" w:cs="Microsoft Sans Serif"/>
          <w:bCs/>
          <w:sz w:val="20"/>
          <w:szCs w:val="20"/>
          <w:lang w:val="sr-Cyrl-RS"/>
        </w:rPr>
        <w:t xml:space="preserve"> (stadijum </w:t>
      </w:r>
      <w:r>
        <w:rPr>
          <w:rFonts w:ascii="Microsoft Sans Serif" w:hAnsi="Microsoft Sans Serif" w:cs="Microsoft Sans Serif"/>
          <w:bCs/>
          <w:sz w:val="20"/>
          <w:szCs w:val="20"/>
          <w:lang w:val="sr-Latn-RS"/>
        </w:rPr>
        <w:t>IIIB</w:t>
      </w:r>
      <w:r>
        <w:rPr>
          <w:rFonts w:ascii="Microsoft Sans Serif" w:hAnsi="Microsoft Sans Serif" w:cs="Microsoft Sans Serif"/>
          <w:bCs/>
          <w:sz w:val="20"/>
          <w:szCs w:val="20"/>
          <w:lang w:val="sr-Cyrl-RS"/>
        </w:rPr>
        <w:t xml:space="preserve"> i</w:t>
      </w:r>
      <w:r>
        <w:rPr>
          <w:rFonts w:ascii="Microsoft Sans Serif" w:hAnsi="Microsoft Sans Serif" w:cs="Microsoft Sans Serif"/>
          <w:bCs/>
          <w:sz w:val="20"/>
          <w:szCs w:val="20"/>
          <w:lang w:val="sr-Latn-RS"/>
        </w:rPr>
        <w:t xml:space="preserve"> IV</w:t>
      </w:r>
      <w:r>
        <w:rPr>
          <w:rFonts w:ascii="Microsoft Sans Serif" w:hAnsi="Microsoft Sans Serif" w:cs="Microsoft Sans Serif"/>
          <w:bCs/>
          <w:sz w:val="20"/>
          <w:szCs w:val="20"/>
          <w:lang w:val="sr-Cyrl-RS"/>
        </w:rPr>
        <w:t>) koji nisu prethodno bili na hemioterapiji ili bilo kojoj drugoj sistemskoj antitumorskoj terapiji za svoju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uznapredovalu bolest</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i koji su imali mutacije u domenu tirozin kinaze E</w:t>
      </w:r>
      <w:r>
        <w:rPr>
          <w:rFonts w:ascii="Microsoft Sans Serif" w:hAnsi="Microsoft Sans Serif" w:cs="Microsoft Sans Serif"/>
          <w:bCs/>
          <w:sz w:val="20"/>
          <w:szCs w:val="20"/>
          <w:lang w:val="sr-Latn-RS"/>
        </w:rPr>
        <w:t>GFR</w:t>
      </w:r>
      <w:r>
        <w:rPr>
          <w:rFonts w:ascii="Microsoft Sans Serif" w:hAnsi="Microsoft Sans Serif" w:cs="Microsoft Sans Serif"/>
          <w:bCs/>
          <w:sz w:val="20"/>
          <w:szCs w:val="20"/>
          <w:lang w:val="sr-Cyrl-RS"/>
        </w:rPr>
        <w:t xml:space="preserve"> receptora (delecija egzona 19</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ili mutacija egzona 21). Pacijenti su bili randomizovani u odnosu 1:1 da primaju ili erlotinib u dozi od 150 mg na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dan ili do 4 ciklusa dvostruke hemioterapije na bazi platine.</w:t>
      </w:r>
    </w:p>
    <w:p w14:paraId="182C72F8">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Primarni parametar praćenja ishoda bio je preživlјavanje bez progresije bolesti (</w:t>
      </w:r>
      <w:r>
        <w:rPr>
          <w:rFonts w:ascii="Microsoft Sans Serif" w:hAnsi="Microsoft Sans Serif" w:cs="Microsoft Sans Serif"/>
          <w:bCs/>
          <w:sz w:val="20"/>
          <w:szCs w:val="20"/>
          <w:lang w:val="sr-Latn-RS"/>
        </w:rPr>
        <w:t>PFS</w:t>
      </w:r>
      <w:r>
        <w:rPr>
          <w:rFonts w:ascii="Microsoft Sans Serif" w:hAnsi="Microsoft Sans Serif" w:cs="Microsoft Sans Serif"/>
          <w:bCs/>
          <w:sz w:val="20"/>
          <w:szCs w:val="20"/>
          <w:lang w:val="sr-Cyrl-RS"/>
        </w:rPr>
        <w:t xml:space="preserve"> engl. </w:t>
      </w:r>
      <w:r>
        <w:rPr>
          <w:rFonts w:ascii="Microsoft Sans Serif" w:hAnsi="Microsoft Sans Serif" w:cs="Microsoft Sans Serif"/>
          <w:i/>
          <w:sz w:val="20"/>
          <w:szCs w:val="20"/>
        </w:rPr>
        <w:t>progression-free survival</w:t>
      </w:r>
      <w:r>
        <w:rPr>
          <w:rFonts w:ascii="Microsoft Sans Serif" w:hAnsi="Microsoft Sans Serif" w:cs="Microsoft Sans Serif"/>
          <w:bCs/>
          <w:sz w:val="20"/>
          <w:szCs w:val="20"/>
          <w:lang w:val="sr-Cyrl-RS"/>
        </w:rPr>
        <w:t>) 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enjen od strane istraživača. Rezultati efikasnosti su sumirani u Tabeli 3.</w:t>
      </w:r>
    </w:p>
    <w:p w14:paraId="38718025">
      <w:pPr>
        <w:rPr>
          <w:rFonts w:ascii="Microsoft Sans Serif" w:hAnsi="Microsoft Sans Serif" w:cs="Microsoft Sans Serif"/>
          <w:bCs/>
          <w:sz w:val="20"/>
          <w:szCs w:val="20"/>
          <w:lang w:val="sr-Cyrl-RS"/>
        </w:rPr>
      </w:pPr>
    </w:p>
    <w:p w14:paraId="34EDE431">
      <w:pPr>
        <w:jc w:val="left"/>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Slika 1 - Kaplan-Meier kriva </w:t>
      </w:r>
      <w:r>
        <w:rPr>
          <w:rFonts w:ascii="Microsoft Sans Serif" w:hAnsi="Microsoft Sans Serif" w:cs="Microsoft Sans Serif"/>
          <w:bCs/>
          <w:sz w:val="20"/>
          <w:szCs w:val="20"/>
          <w:lang w:val="sr-Latn-RS"/>
        </w:rPr>
        <w:t>PFS</w:t>
      </w:r>
      <w:r>
        <w:rPr>
          <w:rFonts w:ascii="Microsoft Sans Serif" w:hAnsi="Microsoft Sans Serif" w:cs="Microsoft Sans Serif"/>
          <w:bCs/>
          <w:sz w:val="20"/>
          <w:szCs w:val="20"/>
          <w:lang w:val="sr-Cyrl-RS"/>
        </w:rPr>
        <w:t xml:space="preserve"> prema 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eni istraživača u ispitivanju M</w:t>
      </w:r>
      <w:r>
        <w:rPr>
          <w:rFonts w:ascii="Microsoft Sans Serif" w:hAnsi="Microsoft Sans Serif" w:cs="Microsoft Sans Serif"/>
          <w:bCs/>
          <w:sz w:val="20"/>
          <w:szCs w:val="20"/>
          <w:lang w:val="sr-Latn-RS"/>
        </w:rPr>
        <w:t>L</w:t>
      </w:r>
      <w:r>
        <w:rPr>
          <w:rFonts w:ascii="Microsoft Sans Serif" w:hAnsi="Microsoft Sans Serif" w:cs="Microsoft Sans Serif"/>
          <w:bCs/>
          <w:sz w:val="20"/>
          <w:szCs w:val="20"/>
          <w:lang w:val="sr-Cyrl-RS"/>
        </w:rPr>
        <w:t>20650 (E</w:t>
      </w:r>
      <w:r>
        <w:rPr>
          <w:rFonts w:ascii="Microsoft Sans Serif" w:hAnsi="Microsoft Sans Serif" w:cs="Microsoft Sans Serif"/>
          <w:bCs/>
          <w:sz w:val="20"/>
          <w:szCs w:val="20"/>
          <w:lang w:val="sr-Latn-RS"/>
        </w:rPr>
        <w:t>URTAC</w:t>
      </w:r>
      <w:r>
        <w:rPr>
          <w:rFonts w:ascii="Microsoft Sans Serif" w:hAnsi="Microsoft Sans Serif" w:cs="Microsoft Sans Serif"/>
          <w:bCs/>
          <w:sz w:val="20"/>
          <w:szCs w:val="20"/>
          <w:lang w:val="sr-Cyrl-RS"/>
        </w:rPr>
        <w:t>) (podaci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zaklјučno sa aprilom 2012.)</w:t>
      </w:r>
      <w:r>
        <w:rPr>
          <w:rFonts w:ascii="Microsoft Sans Serif" w:hAnsi="Microsoft Sans Serif" w:cs="Microsoft Sans Serif"/>
          <w:b/>
          <w:bCs/>
          <w:sz w:val="20"/>
          <w:szCs w:val="20"/>
        </w:rPr>
        <w:t xml:space="preserve"> </w:t>
      </w:r>
      <w:r>
        <w:rPr>
          <w:rFonts w:ascii="Microsoft Sans Serif" w:hAnsi="Microsoft Sans Serif" w:cs="Microsoft Sans Serif"/>
          <w:b/>
          <w:bCs/>
          <w:sz w:val="20"/>
          <w:szCs w:val="20"/>
        </w:rPr>
        <w:drawing>
          <wp:inline distT="0" distB="0" distL="0" distR="0">
            <wp:extent cx="5943600" cy="35680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568065"/>
                    </a:xfrm>
                    <a:prstGeom prst="rect">
                      <a:avLst/>
                    </a:prstGeom>
                  </pic:spPr>
                </pic:pic>
              </a:graphicData>
            </a:graphic>
          </wp:inline>
        </w:drawing>
      </w:r>
    </w:p>
    <w:p w14:paraId="3AEBECA0">
      <w:pPr>
        <w:rPr>
          <w:rFonts w:ascii="Microsoft Sans Serif" w:hAnsi="Microsoft Sans Serif" w:cs="Microsoft Sans Serif"/>
          <w:b/>
          <w:bCs/>
          <w:sz w:val="20"/>
          <w:szCs w:val="20"/>
          <w:lang w:val="sr-Cyrl-RS"/>
        </w:rPr>
      </w:pPr>
    </w:p>
    <w:p w14:paraId="440718FA">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Tabela 3 - Rezultati efikasnosti erlotiniba u odnosu na hemioterapiju u ispitivanju </w:t>
      </w:r>
      <w:r>
        <w:rPr>
          <w:rFonts w:ascii="Microsoft Sans Serif" w:hAnsi="Microsoft Sans Serif" w:cs="Microsoft Sans Serif"/>
          <w:bCs/>
          <w:sz w:val="20"/>
          <w:szCs w:val="20"/>
          <w:lang w:val="sr-Latn-RS"/>
        </w:rPr>
        <w:t>ML</w:t>
      </w:r>
      <w:r>
        <w:rPr>
          <w:rFonts w:ascii="Microsoft Sans Serif" w:hAnsi="Microsoft Sans Serif" w:cs="Microsoft Sans Serif"/>
          <w:bCs/>
          <w:sz w:val="20"/>
          <w:szCs w:val="20"/>
          <w:lang w:val="sr-Cyrl-RS"/>
        </w:rPr>
        <w:t>20650 (E</w:t>
      </w:r>
      <w:r>
        <w:rPr>
          <w:rFonts w:ascii="Microsoft Sans Serif" w:hAnsi="Microsoft Sans Serif" w:cs="Microsoft Sans Serif"/>
          <w:bCs/>
          <w:sz w:val="20"/>
          <w:szCs w:val="20"/>
          <w:lang w:val="sr-Latn-RS"/>
        </w:rPr>
        <w:t>URTAC</w:t>
      </w:r>
      <w:r>
        <w:rPr>
          <w:rFonts w:ascii="Microsoft Sans Serif" w:hAnsi="Microsoft Sans Serif" w:cs="Microsoft Sans Serif"/>
          <w:bCs/>
          <w:sz w:val="20"/>
          <w:szCs w:val="20"/>
          <w:lang w:val="sr-Cyrl-RS"/>
        </w:rPr>
        <w:t>)</w:t>
      </w:r>
    </w:p>
    <w:tbl>
      <w:tblPr>
        <w:tblStyle w:val="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5"/>
        <w:gridCol w:w="2931"/>
        <w:gridCol w:w="1317"/>
        <w:gridCol w:w="1210"/>
        <w:gridCol w:w="1266"/>
        <w:gridCol w:w="1134"/>
      </w:tblGrid>
      <w:tr w14:paraId="42EF1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shd w:val="clear" w:color="auto" w:fill="auto"/>
          </w:tcPr>
          <w:p w14:paraId="20E26C79">
            <w:pPr>
              <w:tabs>
                <w:tab w:val="left" w:pos="567"/>
                <w:tab w:val="clear" w:pos="284"/>
              </w:tabs>
              <w:rPr>
                <w:rFonts w:ascii="Microsoft Sans Serif" w:hAnsi="Microsoft Sans Serif" w:cs="Microsoft Sans Serif"/>
                <w:sz w:val="20"/>
                <w:szCs w:val="20"/>
                <w:lang w:val="en-GB"/>
              </w:rPr>
            </w:pPr>
          </w:p>
        </w:tc>
        <w:tc>
          <w:tcPr>
            <w:tcW w:w="2931" w:type="dxa"/>
            <w:shd w:val="clear" w:color="auto" w:fill="auto"/>
          </w:tcPr>
          <w:p w14:paraId="29682CDC">
            <w:pPr>
              <w:tabs>
                <w:tab w:val="left" w:pos="567"/>
                <w:tab w:val="clear" w:pos="284"/>
              </w:tabs>
              <w:rPr>
                <w:rFonts w:ascii="Microsoft Sans Serif" w:hAnsi="Microsoft Sans Serif" w:cs="Microsoft Sans Serif"/>
                <w:sz w:val="20"/>
                <w:szCs w:val="20"/>
                <w:lang w:val="en-GB"/>
              </w:rPr>
            </w:pPr>
          </w:p>
        </w:tc>
        <w:tc>
          <w:tcPr>
            <w:tcW w:w="1317" w:type="dxa"/>
            <w:shd w:val="clear" w:color="auto" w:fill="auto"/>
          </w:tcPr>
          <w:p w14:paraId="1C8DB1AA">
            <w:pPr>
              <w:tabs>
                <w:tab w:val="left" w:pos="567"/>
                <w:tab w:val="clear" w:pos="284"/>
              </w:tabs>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Erlotinib</w:t>
            </w:r>
          </w:p>
        </w:tc>
        <w:tc>
          <w:tcPr>
            <w:tcW w:w="1210" w:type="dxa"/>
            <w:shd w:val="clear" w:color="auto" w:fill="auto"/>
          </w:tcPr>
          <w:p w14:paraId="02E59403">
            <w:pPr>
              <w:tabs>
                <w:tab w:val="left" w:pos="567"/>
                <w:tab w:val="clear" w:pos="284"/>
              </w:tabs>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Hemiote-rapija</w:t>
            </w:r>
          </w:p>
        </w:tc>
        <w:tc>
          <w:tcPr>
            <w:tcW w:w="1266" w:type="dxa"/>
            <w:shd w:val="clear" w:color="auto" w:fill="auto"/>
          </w:tcPr>
          <w:p w14:paraId="3C6BF4FB">
            <w:pPr>
              <w:tabs>
                <w:tab w:val="left" w:pos="567"/>
                <w:tab w:val="clear" w:pos="284"/>
              </w:tabs>
              <w:rPr>
                <w:rFonts w:ascii="Microsoft Sans Serif" w:hAnsi="Microsoft Sans Serif" w:cs="Microsoft Sans Serif"/>
                <w:b/>
                <w:i/>
                <w:sz w:val="20"/>
                <w:szCs w:val="20"/>
                <w:lang w:val="en-GB"/>
              </w:rPr>
            </w:pPr>
            <w:r>
              <w:rPr>
                <w:rFonts w:ascii="Microsoft Sans Serif" w:hAnsi="Microsoft Sans Serif" w:cs="Microsoft Sans Serif"/>
                <w:b/>
                <w:sz w:val="20"/>
                <w:szCs w:val="20"/>
                <w:lang w:val="en-GB"/>
              </w:rPr>
              <w:t>Omjer rizika</w:t>
            </w:r>
          </w:p>
          <w:p w14:paraId="14A21C60">
            <w:pPr>
              <w:tabs>
                <w:tab w:val="left" w:pos="567"/>
                <w:tab w:val="clear" w:pos="284"/>
              </w:tabs>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(95% CI)</w:t>
            </w:r>
          </w:p>
        </w:tc>
        <w:tc>
          <w:tcPr>
            <w:tcW w:w="1134" w:type="dxa"/>
            <w:shd w:val="clear" w:color="auto" w:fill="auto"/>
          </w:tcPr>
          <w:p w14:paraId="2A275B87">
            <w:pPr>
              <w:tabs>
                <w:tab w:val="left" w:pos="567"/>
                <w:tab w:val="clear" w:pos="284"/>
              </w:tabs>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p-vrijednost</w:t>
            </w:r>
          </w:p>
        </w:tc>
      </w:tr>
      <w:tr w14:paraId="3F880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restart"/>
            <w:shd w:val="clear" w:color="auto" w:fill="auto"/>
          </w:tcPr>
          <w:p w14:paraId="4D45CF0E">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Unaprijed</w:t>
            </w:r>
          </w:p>
          <w:p w14:paraId="0A252362">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planirana</w:t>
            </w:r>
          </w:p>
          <w:p w14:paraId="01783CAD">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međuanaliza (sa 35% podataka</w:t>
            </w:r>
          </w:p>
          <w:p w14:paraId="7CBC7A55">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za O</w:t>
            </w:r>
            <w:r>
              <w:rPr>
                <w:rFonts w:ascii="Microsoft Sans Serif" w:hAnsi="Microsoft Sans Serif" w:cs="Microsoft Sans Serif"/>
                <w:sz w:val="20"/>
                <w:szCs w:val="20"/>
                <w:lang w:val="sr-Latn-RS"/>
              </w:rPr>
              <w:t>S</w:t>
            </w:r>
            <w:r>
              <w:rPr>
                <w:rFonts w:ascii="Microsoft Sans Serif" w:hAnsi="Microsoft Sans Serif" w:cs="Microsoft Sans Serif"/>
                <w:sz w:val="20"/>
                <w:szCs w:val="20"/>
                <w:lang w:val="en-GB"/>
              </w:rPr>
              <w:t xml:space="preserve"> </w:t>
            </w:r>
          </w:p>
          <w:p w14:paraId="716E5C27">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(n=153)</w:t>
            </w:r>
          </w:p>
          <w:p w14:paraId="31D24AE4">
            <w:pPr>
              <w:tabs>
                <w:tab w:val="left" w:pos="567"/>
                <w:tab w:val="clear" w:pos="284"/>
              </w:tabs>
              <w:rPr>
                <w:rFonts w:ascii="Microsoft Sans Serif" w:hAnsi="Microsoft Sans Serif" w:cs="Microsoft Sans Serif"/>
                <w:sz w:val="20"/>
                <w:szCs w:val="20"/>
                <w:lang w:val="en-GB"/>
              </w:rPr>
            </w:pPr>
          </w:p>
          <w:p w14:paraId="6B8FD714">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Datum pres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eka: Avgust 2010.</w:t>
            </w:r>
          </w:p>
        </w:tc>
        <w:tc>
          <w:tcPr>
            <w:tcW w:w="2931" w:type="dxa"/>
            <w:tcBorders>
              <w:bottom w:val="single" w:color="auto" w:sz="4" w:space="0"/>
            </w:tcBorders>
            <w:shd w:val="clear" w:color="auto" w:fill="auto"/>
          </w:tcPr>
          <w:p w14:paraId="083B1AB2">
            <w:pPr>
              <w:tabs>
                <w:tab w:val="left" w:pos="567"/>
                <w:tab w:val="clear" w:pos="284"/>
              </w:tabs>
              <w:rPr>
                <w:rFonts w:ascii="Microsoft Sans Serif" w:hAnsi="Microsoft Sans Serif" w:cs="Microsoft Sans Serif"/>
                <w:sz w:val="20"/>
                <w:szCs w:val="20"/>
                <w:lang w:val="en-GB"/>
              </w:rPr>
            </w:pPr>
          </w:p>
        </w:tc>
        <w:tc>
          <w:tcPr>
            <w:tcW w:w="1317" w:type="dxa"/>
            <w:tcBorders>
              <w:bottom w:val="single" w:color="auto" w:sz="4" w:space="0"/>
            </w:tcBorders>
            <w:shd w:val="clear" w:color="auto" w:fill="auto"/>
          </w:tcPr>
          <w:p w14:paraId="5E7BDF07">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n=77</w:t>
            </w:r>
          </w:p>
        </w:tc>
        <w:tc>
          <w:tcPr>
            <w:tcW w:w="1210" w:type="dxa"/>
            <w:tcBorders>
              <w:bottom w:val="single" w:color="auto" w:sz="4" w:space="0"/>
            </w:tcBorders>
            <w:shd w:val="clear" w:color="auto" w:fill="auto"/>
          </w:tcPr>
          <w:p w14:paraId="5127EA81">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n=76</w:t>
            </w:r>
          </w:p>
        </w:tc>
        <w:tc>
          <w:tcPr>
            <w:tcW w:w="1266" w:type="dxa"/>
            <w:tcBorders>
              <w:bottom w:val="single" w:color="auto" w:sz="4" w:space="0"/>
            </w:tcBorders>
            <w:shd w:val="clear" w:color="auto" w:fill="auto"/>
          </w:tcPr>
          <w:p w14:paraId="035C4456">
            <w:pPr>
              <w:tabs>
                <w:tab w:val="left" w:pos="567"/>
                <w:tab w:val="clear" w:pos="284"/>
              </w:tabs>
              <w:rPr>
                <w:rFonts w:ascii="Microsoft Sans Serif" w:hAnsi="Microsoft Sans Serif" w:cs="Microsoft Sans Serif"/>
                <w:sz w:val="20"/>
                <w:szCs w:val="20"/>
                <w:lang w:val="en-GB"/>
              </w:rPr>
            </w:pPr>
          </w:p>
        </w:tc>
        <w:tc>
          <w:tcPr>
            <w:tcW w:w="1134" w:type="dxa"/>
            <w:tcBorders>
              <w:bottom w:val="single" w:color="auto" w:sz="4" w:space="0"/>
            </w:tcBorders>
            <w:shd w:val="clear" w:color="auto" w:fill="auto"/>
          </w:tcPr>
          <w:p w14:paraId="05B6592F">
            <w:pPr>
              <w:tabs>
                <w:tab w:val="left" w:pos="567"/>
                <w:tab w:val="clear" w:pos="284"/>
              </w:tabs>
              <w:rPr>
                <w:rFonts w:ascii="Microsoft Sans Serif" w:hAnsi="Microsoft Sans Serif" w:cs="Microsoft Sans Serif"/>
                <w:sz w:val="20"/>
                <w:szCs w:val="20"/>
                <w:lang w:val="en-GB"/>
              </w:rPr>
            </w:pPr>
          </w:p>
        </w:tc>
      </w:tr>
      <w:tr w14:paraId="3CB1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635" w:type="dxa"/>
            <w:vMerge w:val="continue"/>
            <w:shd w:val="clear" w:color="auto" w:fill="auto"/>
          </w:tcPr>
          <w:p w14:paraId="617CE43D">
            <w:pPr>
              <w:tabs>
                <w:tab w:val="left" w:pos="567"/>
                <w:tab w:val="clear" w:pos="284"/>
              </w:tabs>
              <w:rPr>
                <w:rFonts w:ascii="Microsoft Sans Serif" w:hAnsi="Microsoft Sans Serif" w:cs="Microsoft Sans Serif"/>
                <w:sz w:val="20"/>
                <w:szCs w:val="20"/>
                <w:lang w:val="en-GB"/>
              </w:rPr>
            </w:pPr>
          </w:p>
        </w:tc>
        <w:tc>
          <w:tcPr>
            <w:tcW w:w="2931" w:type="dxa"/>
            <w:tcBorders>
              <w:bottom w:val="nil"/>
            </w:tcBorders>
            <w:shd w:val="clear" w:color="auto" w:fill="auto"/>
          </w:tcPr>
          <w:tbl>
            <w:tblPr>
              <w:tblStyle w:val="7"/>
              <w:tblW w:w="2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15"/>
            </w:tblGrid>
            <w:tr w14:paraId="1C26B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Pr>
                <w:p w14:paraId="1479B523">
                  <w:pPr>
                    <w:tabs>
                      <w:tab w:val="clear" w:pos="284"/>
                    </w:tabs>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lang w:val="sr-Cyrl-RS"/>
                    </w:rPr>
                    <w:t>Primarni parametar praćenja ishoda:</w:t>
                  </w:r>
                  <w:r>
                    <w:rPr>
                      <w:rFonts w:ascii="Microsoft Sans Serif" w:hAnsi="Microsoft Sans Serif" w:cs="Microsoft Sans Serif"/>
                      <w:sz w:val="20"/>
                      <w:szCs w:val="20"/>
                    </w:rPr>
                    <w:t xml:space="preserve"> (PFS,</w:t>
                  </w:r>
                  <w:r>
                    <w:rPr>
                      <w:rFonts w:ascii="Microsoft Sans Serif" w:hAnsi="Microsoft Sans Serif" w:cs="Microsoft Sans Serif"/>
                      <w:sz w:val="20"/>
                      <w:szCs w:val="20"/>
                      <w:lang w:val="sr-Cyrl-RS"/>
                    </w:rPr>
                    <w:t xml:space="preserve"> medijana u 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esecima</w:t>
                  </w:r>
                  <w:r>
                    <w:rPr>
                      <w:rFonts w:ascii="Microsoft Sans Serif" w:hAnsi="Microsoft Sans Serif" w:cs="Microsoft Sans Serif"/>
                      <w:sz w:val="20"/>
                      <w:szCs w:val="20"/>
                    </w:rPr>
                    <w:t xml:space="preserve"> * </w:t>
                  </w:r>
                </w:p>
              </w:tc>
            </w:tr>
          </w:tbl>
          <w:p w14:paraId="1392B207">
            <w:pPr>
              <w:tabs>
                <w:tab w:val="left" w:pos="567"/>
                <w:tab w:val="clear" w:pos="284"/>
              </w:tabs>
              <w:rPr>
                <w:rFonts w:ascii="Microsoft Sans Serif" w:hAnsi="Microsoft Sans Serif" w:cs="Microsoft Sans Serif"/>
                <w:sz w:val="20"/>
                <w:szCs w:val="20"/>
                <w:lang w:val="en-GB"/>
              </w:rPr>
            </w:pPr>
          </w:p>
        </w:tc>
        <w:tc>
          <w:tcPr>
            <w:tcW w:w="1317" w:type="dxa"/>
            <w:tcBorders>
              <w:bottom w:val="nil"/>
            </w:tcBorders>
            <w:shd w:val="clear" w:color="auto" w:fill="auto"/>
          </w:tcPr>
          <w:p w14:paraId="7DC474A8">
            <w:pPr>
              <w:tabs>
                <w:tab w:val="left" w:pos="567"/>
                <w:tab w:val="clear" w:pos="284"/>
              </w:tabs>
              <w:rPr>
                <w:rFonts w:ascii="Microsoft Sans Serif" w:hAnsi="Microsoft Sans Serif" w:cs="Microsoft Sans Serif"/>
                <w:sz w:val="20"/>
                <w:szCs w:val="20"/>
                <w:lang w:val="en-GB"/>
              </w:rPr>
            </w:pPr>
          </w:p>
        </w:tc>
        <w:tc>
          <w:tcPr>
            <w:tcW w:w="1210" w:type="dxa"/>
            <w:tcBorders>
              <w:bottom w:val="nil"/>
            </w:tcBorders>
            <w:shd w:val="clear" w:color="auto" w:fill="auto"/>
          </w:tcPr>
          <w:p w14:paraId="74BC411F">
            <w:pPr>
              <w:tabs>
                <w:tab w:val="left" w:pos="567"/>
                <w:tab w:val="clear" w:pos="284"/>
              </w:tabs>
              <w:rPr>
                <w:rFonts w:ascii="Microsoft Sans Serif" w:hAnsi="Microsoft Sans Serif" w:cs="Microsoft Sans Serif"/>
                <w:sz w:val="20"/>
                <w:szCs w:val="20"/>
                <w:lang w:val="en-GB"/>
              </w:rPr>
            </w:pPr>
          </w:p>
        </w:tc>
        <w:tc>
          <w:tcPr>
            <w:tcW w:w="1266" w:type="dxa"/>
            <w:tcBorders>
              <w:bottom w:val="nil"/>
            </w:tcBorders>
            <w:shd w:val="clear" w:color="auto" w:fill="auto"/>
          </w:tcPr>
          <w:p w14:paraId="751B3845">
            <w:pPr>
              <w:tabs>
                <w:tab w:val="left" w:pos="567"/>
                <w:tab w:val="clear" w:pos="284"/>
              </w:tabs>
              <w:rPr>
                <w:rFonts w:ascii="Microsoft Sans Serif" w:hAnsi="Microsoft Sans Serif" w:cs="Microsoft Sans Serif"/>
                <w:sz w:val="20"/>
                <w:szCs w:val="20"/>
                <w:lang w:val="en-GB"/>
              </w:rPr>
            </w:pPr>
          </w:p>
        </w:tc>
        <w:tc>
          <w:tcPr>
            <w:tcW w:w="1134" w:type="dxa"/>
            <w:tcBorders>
              <w:bottom w:val="nil"/>
            </w:tcBorders>
            <w:shd w:val="clear" w:color="auto" w:fill="auto"/>
          </w:tcPr>
          <w:p w14:paraId="304AB291">
            <w:pPr>
              <w:tabs>
                <w:tab w:val="left" w:pos="567"/>
                <w:tab w:val="clear" w:pos="284"/>
              </w:tabs>
              <w:rPr>
                <w:rFonts w:ascii="Microsoft Sans Serif" w:hAnsi="Microsoft Sans Serif" w:cs="Microsoft Sans Serif"/>
                <w:sz w:val="20"/>
                <w:szCs w:val="20"/>
                <w:lang w:val="en-GB"/>
              </w:rPr>
            </w:pPr>
          </w:p>
        </w:tc>
      </w:tr>
      <w:tr w14:paraId="2BEF3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continue"/>
            <w:shd w:val="clear" w:color="auto" w:fill="auto"/>
          </w:tcPr>
          <w:p w14:paraId="75762E1B">
            <w:pPr>
              <w:tabs>
                <w:tab w:val="left" w:pos="567"/>
                <w:tab w:val="clear" w:pos="284"/>
              </w:tabs>
              <w:rPr>
                <w:rFonts w:ascii="Microsoft Sans Serif" w:hAnsi="Microsoft Sans Serif" w:cs="Microsoft Sans Serif"/>
                <w:sz w:val="20"/>
                <w:szCs w:val="20"/>
                <w:lang w:val="en-GB"/>
              </w:rPr>
            </w:pPr>
          </w:p>
        </w:tc>
        <w:tc>
          <w:tcPr>
            <w:tcW w:w="2931" w:type="dxa"/>
            <w:tcBorders>
              <w:top w:val="nil"/>
              <w:bottom w:val="nil"/>
            </w:tcBorders>
            <w:shd w:val="clear" w:color="auto" w:fill="auto"/>
          </w:tcPr>
          <w:p w14:paraId="51D3C2C2">
            <w:pPr>
              <w:tabs>
                <w:tab w:val="clear" w:pos="284"/>
              </w:tabs>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lang w:val="sr-Cyrl-RS"/>
              </w:rPr>
              <w:t>Proc</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ena istraživača</w:t>
            </w:r>
            <w:r>
              <w:rPr>
                <w:rFonts w:ascii="Microsoft Sans Serif" w:hAnsi="Microsoft Sans Serif" w:cs="Microsoft Sans Serif"/>
                <w:sz w:val="20"/>
                <w:szCs w:val="20"/>
              </w:rPr>
              <w:t xml:space="preserve"> ** </w:t>
            </w:r>
          </w:p>
          <w:p w14:paraId="43E37D8B">
            <w:pPr>
              <w:tabs>
                <w:tab w:val="left" w:pos="567"/>
                <w:tab w:val="clear" w:pos="284"/>
              </w:tabs>
              <w:rPr>
                <w:rFonts w:ascii="Microsoft Sans Serif" w:hAnsi="Microsoft Sans Serif" w:cs="Microsoft Sans Serif"/>
                <w:sz w:val="20"/>
                <w:szCs w:val="20"/>
                <w:lang w:val="en-GB"/>
              </w:rPr>
            </w:pPr>
          </w:p>
        </w:tc>
        <w:tc>
          <w:tcPr>
            <w:tcW w:w="1317" w:type="dxa"/>
            <w:tcBorders>
              <w:top w:val="nil"/>
              <w:bottom w:val="nil"/>
            </w:tcBorders>
            <w:shd w:val="clear" w:color="auto" w:fill="auto"/>
          </w:tcPr>
          <w:p w14:paraId="09541B03">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9.4</w:t>
            </w:r>
          </w:p>
        </w:tc>
        <w:tc>
          <w:tcPr>
            <w:tcW w:w="1210" w:type="dxa"/>
            <w:tcBorders>
              <w:top w:val="nil"/>
              <w:bottom w:val="nil"/>
            </w:tcBorders>
            <w:shd w:val="clear" w:color="auto" w:fill="auto"/>
          </w:tcPr>
          <w:p w14:paraId="7A9CE993">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5.2</w:t>
            </w:r>
          </w:p>
        </w:tc>
        <w:tc>
          <w:tcPr>
            <w:tcW w:w="1266" w:type="dxa"/>
            <w:tcBorders>
              <w:top w:val="nil"/>
              <w:bottom w:val="nil"/>
            </w:tcBorders>
            <w:shd w:val="clear" w:color="auto" w:fill="auto"/>
          </w:tcPr>
          <w:p w14:paraId="70B9A20A">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0.42</w:t>
            </w:r>
          </w:p>
          <w:p w14:paraId="1C8A3A5E">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[0.27-0.64]</w:t>
            </w:r>
          </w:p>
        </w:tc>
        <w:tc>
          <w:tcPr>
            <w:tcW w:w="1134" w:type="dxa"/>
            <w:tcBorders>
              <w:top w:val="nil"/>
              <w:bottom w:val="nil"/>
            </w:tcBorders>
            <w:shd w:val="clear" w:color="auto" w:fill="auto"/>
          </w:tcPr>
          <w:p w14:paraId="7DEDEECD">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p&lt;0.0001</w:t>
            </w:r>
          </w:p>
        </w:tc>
      </w:tr>
      <w:tr w14:paraId="26191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continue"/>
            <w:shd w:val="clear" w:color="auto" w:fill="auto"/>
          </w:tcPr>
          <w:p w14:paraId="138501A9">
            <w:pPr>
              <w:tabs>
                <w:tab w:val="left" w:pos="567"/>
                <w:tab w:val="clear" w:pos="284"/>
              </w:tabs>
              <w:rPr>
                <w:rFonts w:ascii="Microsoft Sans Serif" w:hAnsi="Microsoft Sans Serif" w:cs="Microsoft Sans Serif"/>
                <w:sz w:val="20"/>
                <w:szCs w:val="20"/>
                <w:lang w:val="en-GB"/>
              </w:rPr>
            </w:pPr>
          </w:p>
        </w:tc>
        <w:tc>
          <w:tcPr>
            <w:tcW w:w="2931" w:type="dxa"/>
            <w:tcBorders>
              <w:top w:val="nil"/>
            </w:tcBorders>
            <w:shd w:val="clear" w:color="auto" w:fill="auto"/>
          </w:tcPr>
          <w:p w14:paraId="709D795F">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Nezavisna proc</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ena</w:t>
            </w:r>
            <w:r>
              <w:rPr>
                <w:rFonts w:ascii="Microsoft Sans Serif" w:hAnsi="Microsoft Sans Serif" w:cs="Microsoft Sans Serif"/>
                <w:sz w:val="20"/>
                <w:szCs w:val="20"/>
              </w:rPr>
              <w:t xml:space="preserve"> **</w:t>
            </w:r>
          </w:p>
        </w:tc>
        <w:tc>
          <w:tcPr>
            <w:tcW w:w="1317" w:type="dxa"/>
            <w:tcBorders>
              <w:top w:val="nil"/>
            </w:tcBorders>
            <w:shd w:val="clear" w:color="auto" w:fill="auto"/>
          </w:tcPr>
          <w:p w14:paraId="64462E91">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10.4</w:t>
            </w:r>
          </w:p>
        </w:tc>
        <w:tc>
          <w:tcPr>
            <w:tcW w:w="1210" w:type="dxa"/>
            <w:tcBorders>
              <w:top w:val="nil"/>
            </w:tcBorders>
            <w:shd w:val="clear" w:color="auto" w:fill="auto"/>
          </w:tcPr>
          <w:p w14:paraId="737550A8">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5.4</w:t>
            </w:r>
          </w:p>
        </w:tc>
        <w:tc>
          <w:tcPr>
            <w:tcW w:w="1266" w:type="dxa"/>
            <w:tcBorders>
              <w:top w:val="nil"/>
            </w:tcBorders>
            <w:shd w:val="clear" w:color="auto" w:fill="auto"/>
          </w:tcPr>
          <w:p w14:paraId="76A43104">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0.47</w:t>
            </w:r>
          </w:p>
          <w:p w14:paraId="13F96D8D">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[0.27-0.78]</w:t>
            </w:r>
          </w:p>
        </w:tc>
        <w:tc>
          <w:tcPr>
            <w:tcW w:w="1134" w:type="dxa"/>
            <w:tcBorders>
              <w:top w:val="nil"/>
            </w:tcBorders>
            <w:shd w:val="clear" w:color="auto" w:fill="auto"/>
          </w:tcPr>
          <w:p w14:paraId="62EC80E1">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p=0.003</w:t>
            </w:r>
          </w:p>
        </w:tc>
      </w:tr>
      <w:tr w14:paraId="2AFB4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continue"/>
            <w:shd w:val="clear" w:color="auto" w:fill="auto"/>
          </w:tcPr>
          <w:p w14:paraId="2C6AB96E">
            <w:pPr>
              <w:tabs>
                <w:tab w:val="left" w:pos="567"/>
                <w:tab w:val="clear" w:pos="284"/>
              </w:tabs>
              <w:rPr>
                <w:rFonts w:ascii="Microsoft Sans Serif" w:hAnsi="Microsoft Sans Serif" w:cs="Microsoft Sans Serif"/>
                <w:sz w:val="20"/>
                <w:szCs w:val="20"/>
                <w:lang w:val="en-GB"/>
              </w:rPr>
            </w:pPr>
          </w:p>
        </w:tc>
        <w:tc>
          <w:tcPr>
            <w:tcW w:w="2931" w:type="dxa"/>
            <w:shd w:val="clear" w:color="auto" w:fill="auto"/>
          </w:tcPr>
          <w:p w14:paraId="15586C02">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 xml:space="preserve">Najbolјa ukupna stopa odgovora </w:t>
            </w:r>
            <w:r>
              <w:rPr>
                <w:rFonts w:ascii="Microsoft Sans Serif" w:hAnsi="Microsoft Sans Serif" w:cs="Microsoft Sans Serif"/>
                <w:sz w:val="20"/>
                <w:szCs w:val="20"/>
              </w:rPr>
              <w:t>(CR/PR)</w:t>
            </w:r>
          </w:p>
        </w:tc>
        <w:tc>
          <w:tcPr>
            <w:tcW w:w="1317" w:type="dxa"/>
            <w:shd w:val="clear" w:color="auto" w:fill="auto"/>
          </w:tcPr>
          <w:p w14:paraId="7C34414B">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54.5%</w:t>
            </w:r>
          </w:p>
        </w:tc>
        <w:tc>
          <w:tcPr>
            <w:tcW w:w="1210" w:type="dxa"/>
            <w:shd w:val="clear" w:color="auto" w:fill="auto"/>
          </w:tcPr>
          <w:p w14:paraId="7BB9DFC4">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10.5%</w:t>
            </w:r>
          </w:p>
        </w:tc>
        <w:tc>
          <w:tcPr>
            <w:tcW w:w="1266" w:type="dxa"/>
            <w:shd w:val="clear" w:color="auto" w:fill="auto"/>
          </w:tcPr>
          <w:p w14:paraId="24CA566B">
            <w:pPr>
              <w:tabs>
                <w:tab w:val="left" w:pos="567"/>
                <w:tab w:val="clear" w:pos="284"/>
              </w:tabs>
              <w:rPr>
                <w:rFonts w:ascii="Microsoft Sans Serif" w:hAnsi="Microsoft Sans Serif" w:cs="Microsoft Sans Serif"/>
                <w:sz w:val="20"/>
                <w:szCs w:val="20"/>
                <w:lang w:val="en-GB"/>
              </w:rPr>
            </w:pPr>
          </w:p>
        </w:tc>
        <w:tc>
          <w:tcPr>
            <w:tcW w:w="1134" w:type="dxa"/>
            <w:shd w:val="clear" w:color="auto" w:fill="auto"/>
          </w:tcPr>
          <w:p w14:paraId="01621639">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p&lt;0.0001</w:t>
            </w:r>
          </w:p>
        </w:tc>
      </w:tr>
      <w:tr w14:paraId="48D9E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continue"/>
            <w:shd w:val="clear" w:color="auto" w:fill="auto"/>
          </w:tcPr>
          <w:p w14:paraId="054EB116">
            <w:pPr>
              <w:tabs>
                <w:tab w:val="left" w:pos="567"/>
                <w:tab w:val="clear" w:pos="284"/>
              </w:tabs>
              <w:rPr>
                <w:rFonts w:ascii="Microsoft Sans Serif" w:hAnsi="Microsoft Sans Serif" w:cs="Microsoft Sans Serif"/>
                <w:sz w:val="20"/>
                <w:szCs w:val="20"/>
                <w:lang w:val="en-GB"/>
              </w:rPr>
            </w:pPr>
          </w:p>
        </w:tc>
        <w:tc>
          <w:tcPr>
            <w:tcW w:w="2931" w:type="dxa"/>
            <w:shd w:val="clear" w:color="auto" w:fill="auto"/>
          </w:tcPr>
          <w:p w14:paraId="36EC3E45">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Ukupno preživlјavanje</w:t>
            </w:r>
            <w:r>
              <w:rPr>
                <w:rFonts w:ascii="Microsoft Sans Serif" w:hAnsi="Microsoft Sans Serif" w:cs="Microsoft Sans Serif"/>
                <w:sz w:val="20"/>
                <w:szCs w:val="20"/>
              </w:rPr>
              <w:t xml:space="preserve"> (OS) (mjeseci) (</w:t>
            </w:r>
            <w:r>
              <w:rPr>
                <w:rFonts w:ascii="Microsoft Sans Serif" w:hAnsi="Microsoft Sans Serif" w:cs="Microsoft Sans Serif"/>
                <w:sz w:val="20"/>
                <w:szCs w:val="20"/>
                <w:lang w:val="sr-Cyrl-RS"/>
              </w:rPr>
              <w:t xml:space="preserve">eng. </w:t>
            </w:r>
            <w:r>
              <w:rPr>
                <w:rFonts w:ascii="Microsoft Sans Serif" w:hAnsi="Microsoft Sans Serif" w:cs="Microsoft Sans Serif"/>
                <w:sz w:val="20"/>
                <w:szCs w:val="20"/>
              </w:rPr>
              <w:t>overall survival)</w:t>
            </w:r>
          </w:p>
        </w:tc>
        <w:tc>
          <w:tcPr>
            <w:tcW w:w="1317" w:type="dxa"/>
            <w:shd w:val="clear" w:color="auto" w:fill="auto"/>
          </w:tcPr>
          <w:p w14:paraId="201DB1C6">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22.9</w:t>
            </w:r>
          </w:p>
        </w:tc>
        <w:tc>
          <w:tcPr>
            <w:tcW w:w="1210" w:type="dxa"/>
            <w:shd w:val="clear" w:color="auto" w:fill="auto"/>
          </w:tcPr>
          <w:p w14:paraId="2E39CCDA">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18.8</w:t>
            </w:r>
          </w:p>
        </w:tc>
        <w:tc>
          <w:tcPr>
            <w:tcW w:w="1266" w:type="dxa"/>
            <w:shd w:val="clear" w:color="auto" w:fill="auto"/>
          </w:tcPr>
          <w:p w14:paraId="7A748B74">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0.80</w:t>
            </w:r>
          </w:p>
          <w:p w14:paraId="6416CD2F">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[0.47-1.37]</w:t>
            </w:r>
          </w:p>
        </w:tc>
        <w:tc>
          <w:tcPr>
            <w:tcW w:w="1134" w:type="dxa"/>
            <w:shd w:val="clear" w:color="auto" w:fill="auto"/>
          </w:tcPr>
          <w:p w14:paraId="59CA8194">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p=0.4170</w:t>
            </w:r>
          </w:p>
        </w:tc>
      </w:tr>
      <w:tr w14:paraId="176F7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restart"/>
            <w:shd w:val="clear" w:color="auto" w:fill="auto"/>
          </w:tcPr>
          <w:p w14:paraId="6B90EF8E">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ksplorativna analiza</w:t>
            </w:r>
          </w:p>
          <w:p w14:paraId="324301B0">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r>
              <w:rPr>
                <w:rFonts w:ascii="Microsoft Sans Serif" w:hAnsi="Microsoft Sans Serif" w:cs="Microsoft Sans Serif"/>
                <w:sz w:val="20"/>
                <w:szCs w:val="20"/>
                <w:lang w:val="sr-Cyrl-RS"/>
              </w:rPr>
              <w:t xml:space="preserve">sa </w:t>
            </w:r>
            <w:r>
              <w:rPr>
                <w:rFonts w:ascii="Microsoft Sans Serif" w:hAnsi="Microsoft Sans Serif" w:cs="Microsoft Sans Serif"/>
                <w:sz w:val="20"/>
                <w:szCs w:val="20"/>
                <w:lang w:val="en-GB"/>
              </w:rPr>
              <w:t xml:space="preserve">40% </w:t>
            </w:r>
            <w:r>
              <w:rPr>
                <w:rFonts w:ascii="Microsoft Sans Serif" w:hAnsi="Microsoft Sans Serif" w:cs="Microsoft Sans Serif"/>
                <w:sz w:val="20"/>
                <w:szCs w:val="20"/>
                <w:lang w:val="sr-Cyrl-RS"/>
              </w:rPr>
              <w:t xml:space="preserve">podataka za </w:t>
            </w:r>
            <w:r>
              <w:rPr>
                <w:rFonts w:ascii="Microsoft Sans Serif" w:hAnsi="Microsoft Sans Serif" w:cs="Microsoft Sans Serif"/>
                <w:sz w:val="20"/>
                <w:szCs w:val="20"/>
                <w:lang w:val="en-GB"/>
              </w:rPr>
              <w:t>OS)</w:t>
            </w:r>
          </w:p>
          <w:p w14:paraId="4FA49461">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(n=173)</w:t>
            </w:r>
          </w:p>
          <w:p w14:paraId="758C7CEA">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Datum pres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eka:</w:t>
            </w:r>
          </w:p>
          <w:p w14:paraId="77DD261A">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Januar 2011.</w:t>
            </w:r>
          </w:p>
        </w:tc>
        <w:tc>
          <w:tcPr>
            <w:tcW w:w="2931" w:type="dxa"/>
            <w:shd w:val="clear" w:color="auto" w:fill="auto"/>
          </w:tcPr>
          <w:p w14:paraId="7A0B9D9E">
            <w:pPr>
              <w:tabs>
                <w:tab w:val="left" w:pos="567"/>
                <w:tab w:val="clear" w:pos="284"/>
              </w:tabs>
              <w:rPr>
                <w:rFonts w:ascii="Microsoft Sans Serif" w:hAnsi="Microsoft Sans Serif" w:cs="Microsoft Sans Serif"/>
                <w:sz w:val="20"/>
                <w:szCs w:val="20"/>
                <w:lang w:val="en-GB"/>
              </w:rPr>
            </w:pPr>
          </w:p>
        </w:tc>
        <w:tc>
          <w:tcPr>
            <w:tcW w:w="1317" w:type="dxa"/>
            <w:shd w:val="clear" w:color="auto" w:fill="auto"/>
          </w:tcPr>
          <w:p w14:paraId="2AAA9F13">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n=86</w:t>
            </w:r>
          </w:p>
        </w:tc>
        <w:tc>
          <w:tcPr>
            <w:tcW w:w="1210" w:type="dxa"/>
            <w:shd w:val="clear" w:color="auto" w:fill="auto"/>
          </w:tcPr>
          <w:p w14:paraId="6EA56C4C">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n=87</w:t>
            </w:r>
          </w:p>
        </w:tc>
        <w:tc>
          <w:tcPr>
            <w:tcW w:w="1266" w:type="dxa"/>
            <w:shd w:val="clear" w:color="auto" w:fill="auto"/>
          </w:tcPr>
          <w:p w14:paraId="5B389BFD">
            <w:pPr>
              <w:tabs>
                <w:tab w:val="left" w:pos="567"/>
                <w:tab w:val="clear" w:pos="284"/>
              </w:tabs>
              <w:rPr>
                <w:rFonts w:ascii="Microsoft Sans Serif" w:hAnsi="Microsoft Sans Serif" w:cs="Microsoft Sans Serif"/>
                <w:sz w:val="20"/>
                <w:szCs w:val="20"/>
                <w:lang w:val="en-GB"/>
              </w:rPr>
            </w:pPr>
          </w:p>
        </w:tc>
        <w:tc>
          <w:tcPr>
            <w:tcW w:w="1134" w:type="dxa"/>
            <w:shd w:val="clear" w:color="auto" w:fill="auto"/>
          </w:tcPr>
          <w:p w14:paraId="25C526D5">
            <w:pPr>
              <w:tabs>
                <w:tab w:val="left" w:pos="567"/>
                <w:tab w:val="clear" w:pos="284"/>
              </w:tabs>
              <w:rPr>
                <w:rFonts w:ascii="Microsoft Sans Serif" w:hAnsi="Microsoft Sans Serif" w:cs="Microsoft Sans Serif"/>
                <w:sz w:val="20"/>
                <w:szCs w:val="20"/>
                <w:lang w:val="en-GB"/>
              </w:rPr>
            </w:pPr>
          </w:p>
        </w:tc>
      </w:tr>
      <w:tr w14:paraId="51756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continue"/>
            <w:shd w:val="clear" w:color="auto" w:fill="auto"/>
          </w:tcPr>
          <w:p w14:paraId="2B5EE053">
            <w:pPr>
              <w:tabs>
                <w:tab w:val="left" w:pos="567"/>
                <w:tab w:val="clear" w:pos="284"/>
              </w:tabs>
              <w:rPr>
                <w:rFonts w:ascii="Microsoft Sans Serif" w:hAnsi="Microsoft Sans Serif" w:cs="Microsoft Sans Serif"/>
                <w:sz w:val="20"/>
                <w:szCs w:val="20"/>
                <w:lang w:val="en-GB"/>
              </w:rPr>
            </w:pPr>
          </w:p>
        </w:tc>
        <w:tc>
          <w:tcPr>
            <w:tcW w:w="2931" w:type="dxa"/>
            <w:shd w:val="clear" w:color="auto" w:fill="auto"/>
          </w:tcPr>
          <w:p w14:paraId="71D08FB0">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PFS (medijana u mjesecima), </w:t>
            </w:r>
            <w:r>
              <w:rPr>
                <w:rFonts w:ascii="Microsoft Sans Serif" w:hAnsi="Microsoft Sans Serif" w:cs="Microsoft Sans Serif"/>
                <w:sz w:val="20"/>
                <w:szCs w:val="20"/>
                <w:lang w:val="sr-Cyrl-RS"/>
              </w:rPr>
              <w:t>Proc</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ena istraživača</w:t>
            </w:r>
          </w:p>
        </w:tc>
        <w:tc>
          <w:tcPr>
            <w:tcW w:w="1317" w:type="dxa"/>
            <w:shd w:val="clear" w:color="auto" w:fill="auto"/>
          </w:tcPr>
          <w:p w14:paraId="69255456">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9.7</w:t>
            </w:r>
          </w:p>
        </w:tc>
        <w:tc>
          <w:tcPr>
            <w:tcW w:w="1210" w:type="dxa"/>
            <w:shd w:val="clear" w:color="auto" w:fill="auto"/>
          </w:tcPr>
          <w:p w14:paraId="58215BC1">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5.2</w:t>
            </w:r>
          </w:p>
        </w:tc>
        <w:tc>
          <w:tcPr>
            <w:tcW w:w="1266" w:type="dxa"/>
            <w:shd w:val="clear" w:color="auto" w:fill="auto"/>
          </w:tcPr>
          <w:p w14:paraId="12C9E644">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0.37</w:t>
            </w:r>
          </w:p>
          <w:p w14:paraId="66936870">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[0.27-0.54]</w:t>
            </w:r>
          </w:p>
        </w:tc>
        <w:tc>
          <w:tcPr>
            <w:tcW w:w="1134" w:type="dxa"/>
            <w:shd w:val="clear" w:color="auto" w:fill="auto"/>
          </w:tcPr>
          <w:p w14:paraId="401A7132">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p&lt;0.0001</w:t>
            </w:r>
          </w:p>
        </w:tc>
      </w:tr>
      <w:tr w14:paraId="01FE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continue"/>
            <w:shd w:val="clear" w:color="auto" w:fill="auto"/>
          </w:tcPr>
          <w:p w14:paraId="1F6BAC24">
            <w:pPr>
              <w:tabs>
                <w:tab w:val="left" w:pos="567"/>
                <w:tab w:val="clear" w:pos="284"/>
              </w:tabs>
              <w:rPr>
                <w:rFonts w:ascii="Microsoft Sans Serif" w:hAnsi="Microsoft Sans Serif" w:cs="Microsoft Sans Serif"/>
                <w:sz w:val="20"/>
                <w:szCs w:val="20"/>
                <w:lang w:val="en-GB"/>
              </w:rPr>
            </w:pPr>
          </w:p>
        </w:tc>
        <w:tc>
          <w:tcPr>
            <w:tcW w:w="2931" w:type="dxa"/>
            <w:shd w:val="clear" w:color="auto" w:fill="auto"/>
          </w:tcPr>
          <w:p w14:paraId="00B7AA4A">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 xml:space="preserve">Najbolјa ukupna stopa odgovora </w:t>
            </w:r>
            <w:r>
              <w:rPr>
                <w:rFonts w:ascii="Microsoft Sans Serif" w:hAnsi="Microsoft Sans Serif" w:cs="Microsoft Sans Serif"/>
                <w:sz w:val="20"/>
                <w:szCs w:val="20"/>
                <w:lang w:val="en-GB"/>
              </w:rPr>
              <w:t>(CR/PR)</w:t>
            </w:r>
          </w:p>
        </w:tc>
        <w:tc>
          <w:tcPr>
            <w:tcW w:w="1317" w:type="dxa"/>
            <w:shd w:val="clear" w:color="auto" w:fill="auto"/>
          </w:tcPr>
          <w:p w14:paraId="210C77C1">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58.1%</w:t>
            </w:r>
          </w:p>
        </w:tc>
        <w:tc>
          <w:tcPr>
            <w:tcW w:w="1210" w:type="dxa"/>
            <w:shd w:val="clear" w:color="auto" w:fill="auto"/>
          </w:tcPr>
          <w:p w14:paraId="765AFAA8">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14.9%</w:t>
            </w:r>
          </w:p>
        </w:tc>
        <w:tc>
          <w:tcPr>
            <w:tcW w:w="1266" w:type="dxa"/>
            <w:shd w:val="clear" w:color="auto" w:fill="auto"/>
          </w:tcPr>
          <w:p w14:paraId="1B4EF8AE">
            <w:pPr>
              <w:tabs>
                <w:tab w:val="left" w:pos="567"/>
                <w:tab w:val="clear" w:pos="284"/>
              </w:tabs>
              <w:rPr>
                <w:rFonts w:ascii="Microsoft Sans Serif" w:hAnsi="Microsoft Sans Serif" w:cs="Microsoft Sans Serif"/>
                <w:sz w:val="20"/>
                <w:szCs w:val="20"/>
                <w:lang w:val="en-GB"/>
              </w:rPr>
            </w:pPr>
          </w:p>
        </w:tc>
        <w:tc>
          <w:tcPr>
            <w:tcW w:w="1134" w:type="dxa"/>
            <w:shd w:val="clear" w:color="auto" w:fill="auto"/>
          </w:tcPr>
          <w:p w14:paraId="3FA6EDD3">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p&lt;0.0001</w:t>
            </w:r>
          </w:p>
        </w:tc>
      </w:tr>
      <w:tr w14:paraId="3A73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continue"/>
            <w:shd w:val="clear" w:color="auto" w:fill="auto"/>
          </w:tcPr>
          <w:p w14:paraId="1B20E2FA">
            <w:pPr>
              <w:tabs>
                <w:tab w:val="left" w:pos="567"/>
                <w:tab w:val="clear" w:pos="284"/>
              </w:tabs>
              <w:rPr>
                <w:rFonts w:ascii="Microsoft Sans Serif" w:hAnsi="Microsoft Sans Serif" w:cs="Microsoft Sans Serif"/>
                <w:sz w:val="20"/>
                <w:szCs w:val="20"/>
                <w:lang w:val="en-GB"/>
              </w:rPr>
            </w:pPr>
          </w:p>
        </w:tc>
        <w:tc>
          <w:tcPr>
            <w:tcW w:w="2931" w:type="dxa"/>
            <w:shd w:val="clear" w:color="auto" w:fill="auto"/>
          </w:tcPr>
          <w:p w14:paraId="57B05DFF">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OS (mjeseci)</w:t>
            </w:r>
          </w:p>
        </w:tc>
        <w:tc>
          <w:tcPr>
            <w:tcW w:w="1317" w:type="dxa"/>
            <w:shd w:val="clear" w:color="auto" w:fill="auto"/>
          </w:tcPr>
          <w:p w14:paraId="2412F3ED">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19.3</w:t>
            </w:r>
          </w:p>
        </w:tc>
        <w:tc>
          <w:tcPr>
            <w:tcW w:w="1210" w:type="dxa"/>
            <w:shd w:val="clear" w:color="auto" w:fill="auto"/>
          </w:tcPr>
          <w:p w14:paraId="0624A158">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19.5</w:t>
            </w:r>
          </w:p>
        </w:tc>
        <w:tc>
          <w:tcPr>
            <w:tcW w:w="1266" w:type="dxa"/>
            <w:shd w:val="clear" w:color="auto" w:fill="auto"/>
          </w:tcPr>
          <w:p w14:paraId="464E6311">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1.04</w:t>
            </w:r>
          </w:p>
          <w:p w14:paraId="483B628F">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[0.65-1.68]</w:t>
            </w:r>
          </w:p>
        </w:tc>
        <w:tc>
          <w:tcPr>
            <w:tcW w:w="1134" w:type="dxa"/>
            <w:shd w:val="clear" w:color="auto" w:fill="auto"/>
          </w:tcPr>
          <w:p w14:paraId="2940EA8E">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p=0.8702</w:t>
            </w:r>
          </w:p>
        </w:tc>
      </w:tr>
      <w:tr w14:paraId="34FF7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restart"/>
            <w:shd w:val="clear" w:color="auto" w:fill="auto"/>
          </w:tcPr>
          <w:p w14:paraId="6E5C5BAE">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Ažurirana analiza</w:t>
            </w:r>
          </w:p>
          <w:p w14:paraId="68361C44">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r>
              <w:rPr>
                <w:rFonts w:ascii="Microsoft Sans Serif" w:hAnsi="Microsoft Sans Serif" w:cs="Microsoft Sans Serif"/>
                <w:sz w:val="20"/>
                <w:szCs w:val="20"/>
                <w:lang w:val="sr-Cyrl-RS"/>
              </w:rPr>
              <w:t xml:space="preserve">sa </w:t>
            </w:r>
            <w:r>
              <w:rPr>
                <w:rFonts w:ascii="Microsoft Sans Serif" w:hAnsi="Microsoft Sans Serif" w:cs="Microsoft Sans Serif"/>
                <w:sz w:val="20"/>
                <w:szCs w:val="20"/>
                <w:lang w:val="en-GB"/>
              </w:rPr>
              <w:t xml:space="preserve">62% </w:t>
            </w:r>
            <w:r>
              <w:rPr>
                <w:rFonts w:ascii="Microsoft Sans Serif" w:hAnsi="Microsoft Sans Serif" w:cs="Microsoft Sans Serif"/>
                <w:sz w:val="20"/>
                <w:szCs w:val="20"/>
                <w:lang w:val="sr-Cyrl-RS"/>
              </w:rPr>
              <w:t xml:space="preserve">podataka za </w:t>
            </w:r>
            <w:r>
              <w:rPr>
                <w:rFonts w:ascii="Microsoft Sans Serif" w:hAnsi="Microsoft Sans Serif" w:cs="Microsoft Sans Serif"/>
                <w:sz w:val="20"/>
                <w:szCs w:val="20"/>
                <w:lang w:val="en-GB"/>
              </w:rPr>
              <w:t>OS)</w:t>
            </w:r>
          </w:p>
          <w:p w14:paraId="7EE758DB">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(n=173)</w:t>
            </w:r>
          </w:p>
          <w:p w14:paraId="1C27B429">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Datum pres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eka:</w:t>
            </w:r>
          </w:p>
          <w:p w14:paraId="5F5170EF">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April 2012.</w:t>
            </w:r>
          </w:p>
        </w:tc>
        <w:tc>
          <w:tcPr>
            <w:tcW w:w="2931" w:type="dxa"/>
            <w:shd w:val="clear" w:color="auto" w:fill="auto"/>
          </w:tcPr>
          <w:p w14:paraId="5266612E">
            <w:pPr>
              <w:tabs>
                <w:tab w:val="left" w:pos="567"/>
                <w:tab w:val="clear" w:pos="284"/>
              </w:tabs>
              <w:rPr>
                <w:rFonts w:ascii="Microsoft Sans Serif" w:hAnsi="Microsoft Sans Serif" w:cs="Microsoft Sans Serif"/>
                <w:sz w:val="20"/>
                <w:szCs w:val="20"/>
                <w:lang w:val="en-GB"/>
              </w:rPr>
            </w:pPr>
          </w:p>
        </w:tc>
        <w:tc>
          <w:tcPr>
            <w:tcW w:w="1317" w:type="dxa"/>
            <w:shd w:val="clear" w:color="auto" w:fill="auto"/>
          </w:tcPr>
          <w:p w14:paraId="3CAB122E">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n=86</w:t>
            </w:r>
          </w:p>
        </w:tc>
        <w:tc>
          <w:tcPr>
            <w:tcW w:w="1210" w:type="dxa"/>
            <w:shd w:val="clear" w:color="auto" w:fill="auto"/>
          </w:tcPr>
          <w:p w14:paraId="09E53AD7">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n=87</w:t>
            </w:r>
          </w:p>
        </w:tc>
        <w:tc>
          <w:tcPr>
            <w:tcW w:w="1266" w:type="dxa"/>
            <w:shd w:val="clear" w:color="auto" w:fill="auto"/>
          </w:tcPr>
          <w:p w14:paraId="3A0F1290">
            <w:pPr>
              <w:tabs>
                <w:tab w:val="left" w:pos="567"/>
                <w:tab w:val="clear" w:pos="284"/>
              </w:tabs>
              <w:rPr>
                <w:rFonts w:ascii="Microsoft Sans Serif" w:hAnsi="Microsoft Sans Serif" w:cs="Microsoft Sans Serif"/>
                <w:sz w:val="20"/>
                <w:szCs w:val="20"/>
                <w:lang w:val="en-GB"/>
              </w:rPr>
            </w:pPr>
          </w:p>
        </w:tc>
        <w:tc>
          <w:tcPr>
            <w:tcW w:w="1134" w:type="dxa"/>
            <w:shd w:val="clear" w:color="auto" w:fill="auto"/>
          </w:tcPr>
          <w:p w14:paraId="6F47EA96">
            <w:pPr>
              <w:tabs>
                <w:tab w:val="left" w:pos="567"/>
                <w:tab w:val="clear" w:pos="284"/>
              </w:tabs>
              <w:rPr>
                <w:rFonts w:ascii="Microsoft Sans Serif" w:hAnsi="Microsoft Sans Serif" w:cs="Microsoft Sans Serif"/>
                <w:sz w:val="20"/>
                <w:szCs w:val="20"/>
                <w:lang w:val="en-GB"/>
              </w:rPr>
            </w:pPr>
          </w:p>
        </w:tc>
      </w:tr>
      <w:tr w14:paraId="2CC76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continue"/>
            <w:shd w:val="clear" w:color="auto" w:fill="auto"/>
          </w:tcPr>
          <w:p w14:paraId="47DB505C">
            <w:pPr>
              <w:tabs>
                <w:tab w:val="left" w:pos="567"/>
                <w:tab w:val="clear" w:pos="284"/>
              </w:tabs>
              <w:rPr>
                <w:rFonts w:ascii="Microsoft Sans Serif" w:hAnsi="Microsoft Sans Serif" w:cs="Microsoft Sans Serif"/>
                <w:sz w:val="20"/>
                <w:szCs w:val="20"/>
                <w:lang w:val="en-GB"/>
              </w:rPr>
            </w:pPr>
          </w:p>
        </w:tc>
        <w:tc>
          <w:tcPr>
            <w:tcW w:w="2931" w:type="dxa"/>
            <w:shd w:val="clear" w:color="auto" w:fill="auto"/>
          </w:tcPr>
          <w:p w14:paraId="43A6B788">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PFS (medijana u mjesecima)</w:t>
            </w:r>
          </w:p>
        </w:tc>
        <w:tc>
          <w:tcPr>
            <w:tcW w:w="1317" w:type="dxa"/>
            <w:shd w:val="clear" w:color="auto" w:fill="auto"/>
          </w:tcPr>
          <w:p w14:paraId="6DDBBBA3">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10.4</w:t>
            </w:r>
          </w:p>
        </w:tc>
        <w:tc>
          <w:tcPr>
            <w:tcW w:w="1210" w:type="dxa"/>
            <w:shd w:val="clear" w:color="auto" w:fill="auto"/>
          </w:tcPr>
          <w:p w14:paraId="21BA5740">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5.1</w:t>
            </w:r>
          </w:p>
        </w:tc>
        <w:tc>
          <w:tcPr>
            <w:tcW w:w="1266" w:type="dxa"/>
            <w:shd w:val="clear" w:color="auto" w:fill="auto"/>
          </w:tcPr>
          <w:p w14:paraId="04B1EF9F">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0.34</w:t>
            </w:r>
          </w:p>
          <w:p w14:paraId="3942512C">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[0.23-0.49]</w:t>
            </w:r>
          </w:p>
        </w:tc>
        <w:tc>
          <w:tcPr>
            <w:tcW w:w="1134" w:type="dxa"/>
            <w:shd w:val="clear" w:color="auto" w:fill="auto"/>
          </w:tcPr>
          <w:p w14:paraId="4030D77B">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p&lt;0.0001</w:t>
            </w:r>
          </w:p>
        </w:tc>
      </w:tr>
      <w:tr w14:paraId="7B881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continue"/>
            <w:shd w:val="clear" w:color="auto" w:fill="auto"/>
          </w:tcPr>
          <w:p w14:paraId="782DBE41">
            <w:pPr>
              <w:tabs>
                <w:tab w:val="left" w:pos="567"/>
                <w:tab w:val="clear" w:pos="284"/>
              </w:tabs>
              <w:rPr>
                <w:rFonts w:ascii="Microsoft Sans Serif" w:hAnsi="Microsoft Sans Serif" w:cs="Microsoft Sans Serif"/>
                <w:sz w:val="20"/>
                <w:szCs w:val="20"/>
                <w:lang w:val="en-GB"/>
              </w:rPr>
            </w:pPr>
          </w:p>
        </w:tc>
        <w:tc>
          <w:tcPr>
            <w:tcW w:w="2931" w:type="dxa"/>
            <w:shd w:val="clear" w:color="auto" w:fill="auto"/>
          </w:tcPr>
          <w:p w14:paraId="0DE8B9DB">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OS*** (mjeseci)</w:t>
            </w:r>
          </w:p>
        </w:tc>
        <w:tc>
          <w:tcPr>
            <w:tcW w:w="1317" w:type="dxa"/>
            <w:shd w:val="clear" w:color="auto" w:fill="auto"/>
          </w:tcPr>
          <w:p w14:paraId="342EABF3">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22.9</w:t>
            </w:r>
          </w:p>
        </w:tc>
        <w:tc>
          <w:tcPr>
            <w:tcW w:w="1210" w:type="dxa"/>
            <w:shd w:val="clear" w:color="auto" w:fill="auto"/>
          </w:tcPr>
          <w:p w14:paraId="7D875540">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20.8</w:t>
            </w:r>
          </w:p>
        </w:tc>
        <w:tc>
          <w:tcPr>
            <w:tcW w:w="1266" w:type="dxa"/>
            <w:shd w:val="clear" w:color="auto" w:fill="auto"/>
          </w:tcPr>
          <w:p w14:paraId="4BDE7F7F">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0.93</w:t>
            </w:r>
          </w:p>
          <w:p w14:paraId="31CDFFBB">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[0.64-1.36]</w:t>
            </w:r>
          </w:p>
        </w:tc>
        <w:tc>
          <w:tcPr>
            <w:tcW w:w="1134" w:type="dxa"/>
            <w:shd w:val="clear" w:color="auto" w:fill="auto"/>
          </w:tcPr>
          <w:p w14:paraId="46D8858B">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p=0.7149</w:t>
            </w:r>
          </w:p>
        </w:tc>
      </w:tr>
    </w:tbl>
    <w:p w14:paraId="0DDDD222">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CP</w:t>
      </w:r>
      <w:r>
        <w:rPr>
          <w:rFonts w:ascii="Microsoft Sans Serif" w:hAnsi="Microsoft Sans Serif" w:cs="Microsoft Sans Serif"/>
          <w:bCs/>
          <w:sz w:val="20"/>
          <w:szCs w:val="20"/>
          <w:lang w:val="sr-Cyrl-RS"/>
        </w:rPr>
        <w:t xml:space="preserve"> = kompletan odgovor (engl. </w:t>
      </w:r>
      <w:r>
        <w:rPr>
          <w:rFonts w:ascii="Microsoft Sans Serif" w:hAnsi="Microsoft Sans Serif" w:cs="Microsoft Sans Serif"/>
          <w:i/>
          <w:sz w:val="20"/>
          <w:szCs w:val="20"/>
        </w:rPr>
        <w:t>complete response</w:t>
      </w:r>
      <w:r>
        <w:rPr>
          <w:rFonts w:ascii="Microsoft Sans Serif" w:hAnsi="Microsoft Sans Serif" w:cs="Microsoft Sans Serif"/>
          <w:bCs/>
          <w:sz w:val="20"/>
          <w:szCs w:val="20"/>
          <w:lang w:val="sr-Cyrl-RS"/>
        </w:rPr>
        <w:t>)</w:t>
      </w:r>
    </w:p>
    <w:p w14:paraId="11D31382">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Latn-RS"/>
        </w:rPr>
        <w:t>PR</w:t>
      </w:r>
      <w:r>
        <w:rPr>
          <w:rFonts w:ascii="Microsoft Sans Serif" w:hAnsi="Microsoft Sans Serif" w:cs="Microsoft Sans Serif"/>
          <w:bCs/>
          <w:sz w:val="20"/>
          <w:szCs w:val="20"/>
          <w:lang w:val="sr-Cyrl-RS"/>
        </w:rPr>
        <w:t xml:space="preserve"> = parcijalni odgovor (engl. </w:t>
      </w:r>
      <w:r>
        <w:rPr>
          <w:rFonts w:ascii="Microsoft Sans Serif" w:hAnsi="Microsoft Sans Serif" w:cs="Microsoft Sans Serif"/>
          <w:i/>
          <w:sz w:val="20"/>
          <w:szCs w:val="20"/>
        </w:rPr>
        <w:t>partial response</w:t>
      </w:r>
      <w:r>
        <w:rPr>
          <w:rFonts w:ascii="Microsoft Sans Serif" w:hAnsi="Microsoft Sans Serif" w:cs="Microsoft Sans Serif"/>
          <w:bCs/>
          <w:sz w:val="20"/>
          <w:szCs w:val="20"/>
          <w:lang w:val="sr-Cyrl-RS"/>
        </w:rPr>
        <w:t>)</w:t>
      </w:r>
    </w:p>
    <w:p w14:paraId="3E5361B8">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Uočeno je smanjenje od 58% rizika od progresije bolesti ili smrtnog ishoda.</w:t>
      </w:r>
    </w:p>
    <w:p w14:paraId="1FD89275">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Ukupna stopa podudarnosti između 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ene istraživača i nezavisne komisije (</w:t>
      </w:r>
      <w:r>
        <w:rPr>
          <w:rFonts w:ascii="Microsoft Sans Serif" w:hAnsi="Microsoft Sans Serif" w:cs="Microsoft Sans Serif"/>
          <w:bCs/>
          <w:sz w:val="20"/>
          <w:szCs w:val="20"/>
          <w:lang w:val="sr-Latn-RS"/>
        </w:rPr>
        <w:t>IRC</w:t>
      </w:r>
      <w:r>
        <w:rPr>
          <w:rFonts w:ascii="Microsoft Sans Serif" w:hAnsi="Microsoft Sans Serif" w:cs="Microsoft Sans Serif"/>
          <w:bCs/>
          <w:sz w:val="20"/>
          <w:szCs w:val="20"/>
          <w:lang w:val="sr-Cyrl-RS"/>
        </w:rPr>
        <w:t>) bila je 70%</w:t>
      </w:r>
    </w:p>
    <w:p w14:paraId="15C3CC65">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Visok procenat pacijenata (82%) iz grupe koja je primala hemioterapiju, prešao je u nastavku terapije na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inhibitor E</w:t>
      </w:r>
      <w:r>
        <w:rPr>
          <w:rFonts w:ascii="Microsoft Sans Serif" w:hAnsi="Microsoft Sans Serif" w:cs="Microsoft Sans Serif"/>
          <w:bCs/>
          <w:sz w:val="20"/>
          <w:szCs w:val="20"/>
          <w:lang w:val="sr-Latn-RS"/>
        </w:rPr>
        <w:t>GFR</w:t>
      </w:r>
      <w:r>
        <w:rPr>
          <w:rFonts w:ascii="Microsoft Sans Serif" w:hAnsi="Microsoft Sans Serif" w:cs="Microsoft Sans Serif"/>
          <w:bCs/>
          <w:sz w:val="20"/>
          <w:szCs w:val="20"/>
          <w:lang w:val="sr-Cyrl-RS"/>
        </w:rPr>
        <w:t xml:space="preserve"> tirozin kinaze i svi su oni, izuzev 2 pacijenta, nastavili dalјe terapiju erlotinibom.</w:t>
      </w:r>
    </w:p>
    <w:p w14:paraId="71112D59">
      <w:pPr>
        <w:rPr>
          <w:rFonts w:ascii="Microsoft Sans Serif" w:hAnsi="Microsoft Sans Serif" w:cs="Microsoft Sans Serif"/>
          <w:bCs/>
          <w:sz w:val="20"/>
          <w:szCs w:val="20"/>
          <w:lang w:val="sr-Cyrl-RS"/>
        </w:rPr>
      </w:pPr>
    </w:p>
    <w:p w14:paraId="196968CF">
      <w:pPr>
        <w:rPr>
          <w:rFonts w:ascii="Microsoft Sans Serif" w:hAnsi="Microsoft Sans Serif" w:cs="Microsoft Sans Serif"/>
          <w:bCs/>
          <w:i/>
          <w:sz w:val="20"/>
          <w:szCs w:val="20"/>
          <w:u w:val="single"/>
          <w:lang w:val="sr-Cyrl-RS"/>
        </w:rPr>
      </w:pPr>
      <w:r>
        <w:rPr>
          <w:rFonts w:ascii="Microsoft Sans Serif" w:hAnsi="Microsoft Sans Serif" w:cs="Microsoft Sans Serif"/>
          <w:bCs/>
          <w:i/>
          <w:sz w:val="20"/>
          <w:szCs w:val="20"/>
          <w:u w:val="single"/>
          <w:lang w:val="sr-Cyrl-RS"/>
        </w:rPr>
        <w:t xml:space="preserve">Terapija održavanja kod pacijenata sa </w:t>
      </w:r>
      <w:r>
        <w:rPr>
          <w:rFonts w:ascii="Microsoft Sans Serif" w:hAnsi="Microsoft Sans Serif" w:cs="Microsoft Sans Serif"/>
          <w:bCs/>
          <w:i/>
          <w:sz w:val="20"/>
          <w:szCs w:val="20"/>
          <w:u w:val="single"/>
          <w:lang w:val="sr-Latn-RS"/>
        </w:rPr>
        <w:t>NSCLC</w:t>
      </w:r>
      <w:r>
        <w:rPr>
          <w:rFonts w:ascii="Microsoft Sans Serif" w:hAnsi="Microsoft Sans Serif" w:cs="Microsoft Sans Serif"/>
          <w:bCs/>
          <w:i/>
          <w:sz w:val="20"/>
          <w:szCs w:val="20"/>
          <w:u w:val="single"/>
          <w:lang w:val="sr-Cyrl-RS"/>
        </w:rPr>
        <w:t xml:space="preserve"> nakon prve linije hemioterapije (erlotinib prim</w:t>
      </w:r>
      <w:r>
        <w:rPr>
          <w:rFonts w:ascii="Microsoft Sans Serif" w:hAnsi="Microsoft Sans Serif" w:cs="Microsoft Sans Serif"/>
          <w:bCs/>
          <w:i/>
          <w:sz w:val="20"/>
          <w:szCs w:val="20"/>
          <w:u w:val="single"/>
          <w:lang w:val="sr-Latn-RS"/>
        </w:rPr>
        <w:t>j</w:t>
      </w:r>
      <w:r>
        <w:rPr>
          <w:rFonts w:ascii="Microsoft Sans Serif" w:hAnsi="Microsoft Sans Serif" w:cs="Microsoft Sans Serif"/>
          <w:bCs/>
          <w:i/>
          <w:sz w:val="20"/>
          <w:szCs w:val="20"/>
          <w:u w:val="single"/>
          <w:lang w:val="sr-Cyrl-RS"/>
        </w:rPr>
        <w:t>enjen kao</w:t>
      </w:r>
      <w:r>
        <w:rPr>
          <w:rFonts w:ascii="Microsoft Sans Serif" w:hAnsi="Microsoft Sans Serif" w:cs="Microsoft Sans Serif"/>
          <w:bCs/>
          <w:i/>
          <w:sz w:val="20"/>
          <w:szCs w:val="20"/>
          <w:u w:val="single"/>
          <w:lang w:val="sr-Latn-RS"/>
        </w:rPr>
        <w:t xml:space="preserve"> </w:t>
      </w:r>
      <w:r>
        <w:rPr>
          <w:rFonts w:ascii="Microsoft Sans Serif" w:hAnsi="Microsoft Sans Serif" w:cs="Microsoft Sans Serif"/>
          <w:bCs/>
          <w:i/>
          <w:sz w:val="20"/>
          <w:szCs w:val="20"/>
          <w:u w:val="single"/>
          <w:lang w:val="sr-Cyrl-RS"/>
        </w:rPr>
        <w:t>monoterapija)</w:t>
      </w:r>
    </w:p>
    <w:p w14:paraId="4732AAEB">
      <w:pPr>
        <w:rPr>
          <w:rFonts w:ascii="Microsoft Sans Serif" w:hAnsi="Microsoft Sans Serif" w:cs="Microsoft Sans Serif"/>
          <w:bCs/>
          <w:sz w:val="20"/>
          <w:szCs w:val="20"/>
          <w:lang w:val="sr-Cyrl-RS"/>
        </w:rPr>
      </w:pPr>
    </w:p>
    <w:p w14:paraId="564320F2">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 xml:space="preserve">Efikasnost i bezbjednost erlotiniba kao terapije održavanja nakon prve linije hemioterapije kod </w:t>
      </w:r>
      <w:r>
        <w:rPr>
          <w:rFonts w:ascii="Microsoft Sans Serif" w:hAnsi="Microsoft Sans Serif" w:cs="Microsoft Sans Serif"/>
          <w:bCs/>
          <w:sz w:val="20"/>
          <w:szCs w:val="20"/>
          <w:lang w:val="sr-Latn-RS"/>
        </w:rPr>
        <w:t xml:space="preserve">NSCLC </w:t>
      </w:r>
      <w:r>
        <w:rPr>
          <w:rFonts w:ascii="Microsoft Sans Serif" w:hAnsi="Microsoft Sans Serif" w:cs="Microsoft Sans Serif"/>
          <w:bCs/>
          <w:sz w:val="20"/>
          <w:szCs w:val="20"/>
          <w:lang w:val="sr-Cyrl-RS"/>
        </w:rPr>
        <w:t>ispitana je u randomizovanoj, dvostruko slijepoj, placebo kontrolisanoj studiji (</w:t>
      </w:r>
      <w:r>
        <w:rPr>
          <w:rFonts w:ascii="Microsoft Sans Serif" w:hAnsi="Microsoft Sans Serif" w:cs="Microsoft Sans Serif"/>
          <w:bCs/>
          <w:sz w:val="20"/>
          <w:szCs w:val="20"/>
          <w:lang w:val="sr-Latn-RS"/>
        </w:rPr>
        <w:t>B</w:t>
      </w:r>
      <w:r>
        <w:rPr>
          <w:rFonts w:ascii="Microsoft Sans Serif" w:hAnsi="Microsoft Sans Serif" w:cs="Microsoft Sans Serif"/>
          <w:bCs/>
          <w:sz w:val="20"/>
          <w:szCs w:val="20"/>
          <w:lang w:val="sr-Cyrl-RS"/>
        </w:rPr>
        <w:t xml:space="preserve">O18192, </w:t>
      </w:r>
      <w:r>
        <w:rPr>
          <w:rFonts w:ascii="Microsoft Sans Serif" w:hAnsi="Microsoft Sans Serif" w:cs="Microsoft Sans Serif"/>
          <w:bCs/>
          <w:sz w:val="20"/>
          <w:szCs w:val="20"/>
          <w:lang w:val="sr-Latn-RS"/>
        </w:rPr>
        <w:t>SATURN</w:t>
      </w:r>
      <w:r>
        <w:rPr>
          <w:rFonts w:ascii="Microsoft Sans Serif" w:hAnsi="Microsoft Sans Serif" w:cs="Microsoft Sans Serif"/>
          <w:bCs/>
          <w:sz w:val="20"/>
          <w:szCs w:val="20"/>
          <w:lang w:val="sr-Cyrl-RS"/>
        </w:rPr>
        <w:t>). Ova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studija je sprovedena na 889 pacijenata sa lokalno uznapredovalim ili metastatskim </w:t>
      </w:r>
      <w:r>
        <w:rPr>
          <w:rFonts w:ascii="Microsoft Sans Serif" w:hAnsi="Microsoft Sans Serif" w:cs="Microsoft Sans Serif"/>
          <w:bCs/>
          <w:sz w:val="20"/>
          <w:szCs w:val="20"/>
          <w:lang w:val="sr-Latn-RS"/>
        </w:rPr>
        <w:t>NSCLC</w:t>
      </w:r>
      <w:r>
        <w:rPr>
          <w:rFonts w:ascii="Microsoft Sans Serif" w:hAnsi="Microsoft Sans Serif" w:cs="Microsoft Sans Serif"/>
          <w:bCs/>
          <w:sz w:val="20"/>
          <w:szCs w:val="20"/>
          <w:lang w:val="sr-Cyrl-RS"/>
        </w:rPr>
        <w:t xml:space="preserve"> kod kojih nije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došlo do progresije bolesti nakon primjene 4 ciklusa dvostruke hemioterapije na bazi platine. Pacijenti su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bili randomizovani u odnosu 1:1 da oralno primaju ili erlotinib u dozi od 150 mg ili placebo jednom dnevno do</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progresije bolesti. Primarni parametar praćenja ishoda u ispitivanju uklјučivao je preživlјavanje bez</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progresije bolesti (</w:t>
      </w:r>
      <w:r>
        <w:rPr>
          <w:rFonts w:ascii="Microsoft Sans Serif" w:hAnsi="Microsoft Sans Serif" w:cs="Microsoft Sans Serif"/>
          <w:bCs/>
          <w:sz w:val="20"/>
          <w:szCs w:val="20"/>
          <w:lang w:val="sr-Latn-RS"/>
        </w:rPr>
        <w:t>PFS</w:t>
      </w:r>
      <w:r>
        <w:rPr>
          <w:rFonts w:ascii="Microsoft Sans Serif" w:hAnsi="Microsoft Sans Serif" w:cs="Microsoft Sans Serif"/>
          <w:bCs/>
          <w:sz w:val="20"/>
          <w:szCs w:val="20"/>
          <w:lang w:val="sr-Cyrl-RS"/>
        </w:rPr>
        <w:t>) kod svih pacijenata. Demografske i karakteristike bolesti na početku ispitivanja bile su dobro ujednačene između dv</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 grupe ispitanika. Pacijenti sa E</w:t>
      </w:r>
      <w:r>
        <w:rPr>
          <w:rFonts w:ascii="Microsoft Sans Serif" w:hAnsi="Microsoft Sans Serif" w:cs="Microsoft Sans Serif"/>
          <w:bCs/>
          <w:sz w:val="20"/>
          <w:szCs w:val="20"/>
          <w:lang w:val="sr-Latn-RS"/>
        </w:rPr>
        <w:t>COG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PS</w:t>
      </w:r>
      <w:r>
        <w:rPr>
          <w:rFonts w:ascii="Microsoft Sans Serif" w:hAnsi="Microsoft Sans Serif" w:cs="Microsoft Sans Serif"/>
          <w:bCs/>
          <w:sz w:val="20"/>
          <w:szCs w:val="20"/>
          <w:lang w:val="sr-Cyrl-RS"/>
        </w:rPr>
        <w:t>&gt;1, značajnim hepatičkim ili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renalnim komorbiditetima nisu bili uklјučeni u studiju.</w:t>
      </w:r>
    </w:p>
    <w:p w14:paraId="6B4BEDBC">
      <w:pPr>
        <w:rPr>
          <w:rFonts w:ascii="Microsoft Sans Serif" w:hAnsi="Microsoft Sans Serif" w:cs="Microsoft Sans Serif"/>
          <w:bCs/>
          <w:sz w:val="20"/>
          <w:szCs w:val="20"/>
          <w:lang w:val="sr-Cyrl-RS"/>
        </w:rPr>
      </w:pPr>
    </w:p>
    <w:p w14:paraId="22F6ACF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U ovoj studiji je u ukupnoj populaciji pacijenata pokazana korist u pogledu </w:t>
      </w:r>
      <w:r>
        <w:rPr>
          <w:rFonts w:ascii="Microsoft Sans Serif" w:hAnsi="Microsoft Sans Serif" w:cs="Microsoft Sans Serif"/>
          <w:bCs/>
          <w:sz w:val="20"/>
          <w:szCs w:val="20"/>
          <w:lang w:val="sr-Latn-RS"/>
        </w:rPr>
        <w:t>PFS</w:t>
      </w:r>
      <w:r>
        <w:rPr>
          <w:rFonts w:ascii="Microsoft Sans Serif" w:hAnsi="Microsoft Sans Serif" w:cs="Microsoft Sans Serif"/>
          <w:bCs/>
          <w:sz w:val="20"/>
          <w:szCs w:val="20"/>
          <w:lang w:val="sr-Cyrl-RS"/>
        </w:rPr>
        <w:t xml:space="preserve"> kao primarnog parametra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praćenja ishoda (</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=0,71; p&lt;0,0001) i O</w:t>
      </w:r>
      <w:r>
        <w:rPr>
          <w:rFonts w:ascii="Microsoft Sans Serif" w:hAnsi="Microsoft Sans Serif" w:cs="Microsoft Sans Serif"/>
          <w:bCs/>
          <w:sz w:val="20"/>
          <w:szCs w:val="20"/>
          <w:lang w:val="sr-Latn-RS"/>
        </w:rPr>
        <w:t>S</w:t>
      </w:r>
      <w:r>
        <w:rPr>
          <w:rFonts w:ascii="Microsoft Sans Serif" w:hAnsi="Microsoft Sans Serif" w:cs="Microsoft Sans Serif"/>
          <w:bCs/>
          <w:sz w:val="20"/>
          <w:szCs w:val="20"/>
          <w:lang w:val="sr-Cyrl-RS"/>
        </w:rPr>
        <w:t xml:space="preserve"> kao sekundarnog parametra praćenja (</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=0,81; p=0,0088).</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Međutim, najveća korist zab</w:t>
      </w:r>
      <w:r>
        <w:rPr>
          <w:rFonts w:ascii="Microsoft Sans Serif" w:hAnsi="Microsoft Sans Serif" w:cs="Microsoft Sans Serif"/>
          <w:bCs/>
          <w:sz w:val="20"/>
          <w:szCs w:val="20"/>
          <w:lang w:val="sr-Latn-RS"/>
        </w:rPr>
        <w:t>i</w:t>
      </w:r>
      <w:r>
        <w:rPr>
          <w:rFonts w:ascii="Microsoft Sans Serif" w:hAnsi="Microsoft Sans Serif" w:cs="Microsoft Sans Serif"/>
          <w:bCs/>
          <w:sz w:val="20"/>
          <w:szCs w:val="20"/>
          <w:lang w:val="sr-Cyrl-RS"/>
        </w:rPr>
        <w:t>l</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ežena je u prethodno definisanoj eksplorativnoj analizi kod pacijenata sa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E</w:t>
      </w:r>
      <w:r>
        <w:rPr>
          <w:rFonts w:ascii="Microsoft Sans Serif" w:hAnsi="Microsoft Sans Serif" w:cs="Microsoft Sans Serif"/>
          <w:bCs/>
          <w:sz w:val="20"/>
          <w:szCs w:val="20"/>
          <w:lang w:val="sr-Latn-RS"/>
        </w:rPr>
        <w:t>GFR</w:t>
      </w:r>
      <w:r>
        <w:rPr>
          <w:rFonts w:ascii="Microsoft Sans Serif" w:hAnsi="Microsoft Sans Serif" w:cs="Microsoft Sans Serif"/>
          <w:bCs/>
          <w:sz w:val="20"/>
          <w:szCs w:val="20"/>
          <w:lang w:val="sr-Cyrl-RS"/>
        </w:rPr>
        <w:t xml:space="preserve"> aktivirajućim mutacijama (n=49) koja je pokazala značajnu korist u smislu </w:t>
      </w:r>
      <w:r>
        <w:rPr>
          <w:rFonts w:ascii="Microsoft Sans Serif" w:hAnsi="Microsoft Sans Serif" w:cs="Microsoft Sans Serif"/>
          <w:bCs/>
          <w:sz w:val="20"/>
          <w:szCs w:val="20"/>
          <w:lang w:val="sr-Latn-RS"/>
        </w:rPr>
        <w:t>PFS</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 0,10; 95%</w:t>
      </w:r>
      <w:r>
        <w:rPr>
          <w:rFonts w:ascii="Microsoft Sans Serif" w:hAnsi="Microsoft Sans Serif" w:cs="Microsoft Sans Serif"/>
          <w:bCs/>
          <w:sz w:val="20"/>
          <w:szCs w:val="20"/>
          <w:lang w:val="sr-Latn-RS"/>
        </w:rPr>
        <w:t xml:space="preserve"> CI</w:t>
      </w:r>
      <w:r>
        <w:rPr>
          <w:rFonts w:ascii="Microsoft Sans Serif" w:hAnsi="Microsoft Sans Serif" w:cs="Microsoft Sans Serif"/>
          <w:bCs/>
          <w:sz w:val="20"/>
          <w:szCs w:val="20"/>
          <w:lang w:val="sr-Cyrl-RS"/>
        </w:rPr>
        <w:t xml:space="preserve">, 0,04 - 0,25; p&lt;0,0001) i </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 xml:space="preserve"> za ukupno preživlјavanje od 0,83 (95% </w:t>
      </w:r>
      <w:r>
        <w:rPr>
          <w:rFonts w:ascii="Microsoft Sans Serif" w:hAnsi="Microsoft Sans Serif" w:cs="Microsoft Sans Serif"/>
          <w:bCs/>
          <w:sz w:val="20"/>
          <w:szCs w:val="20"/>
          <w:lang w:val="sr-Latn-RS"/>
        </w:rPr>
        <w:t>CI</w:t>
      </w:r>
      <w:r>
        <w:rPr>
          <w:rFonts w:ascii="Microsoft Sans Serif" w:hAnsi="Microsoft Sans Serif" w:cs="Microsoft Sans Serif"/>
          <w:bCs/>
          <w:sz w:val="20"/>
          <w:szCs w:val="20"/>
          <w:lang w:val="sr-Cyrl-RS"/>
        </w:rPr>
        <w:t xml:space="preserve"> 0,34 do 2,02). U placebo</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kontrolisanoj podgrupi sa E</w:t>
      </w:r>
      <w:r>
        <w:rPr>
          <w:rFonts w:ascii="Microsoft Sans Serif" w:hAnsi="Microsoft Sans Serif" w:cs="Microsoft Sans Serif"/>
          <w:bCs/>
          <w:sz w:val="20"/>
          <w:szCs w:val="20"/>
          <w:lang w:val="sr-Latn-RS"/>
        </w:rPr>
        <w:t>GFR</w:t>
      </w:r>
      <w:r>
        <w:rPr>
          <w:rFonts w:ascii="Microsoft Sans Serif" w:hAnsi="Microsoft Sans Serif" w:cs="Microsoft Sans Serif"/>
          <w:bCs/>
          <w:sz w:val="20"/>
          <w:szCs w:val="20"/>
          <w:lang w:val="sr-Cyrl-RS"/>
        </w:rPr>
        <w:t xml:space="preserve"> mutacijama 67% pacijenata primilo je drugu ili narednu liniju terapije sa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inhibitorima E</w:t>
      </w:r>
      <w:r>
        <w:rPr>
          <w:rFonts w:ascii="Microsoft Sans Serif" w:hAnsi="Microsoft Sans Serif" w:cs="Microsoft Sans Serif"/>
          <w:bCs/>
          <w:sz w:val="20"/>
          <w:szCs w:val="20"/>
          <w:lang w:val="sr-Latn-RS"/>
        </w:rPr>
        <w:t>GFR</w:t>
      </w:r>
      <w:r>
        <w:rPr>
          <w:rFonts w:ascii="Microsoft Sans Serif" w:hAnsi="Microsoft Sans Serif" w:cs="Microsoft Sans Serif"/>
          <w:bCs/>
          <w:sz w:val="20"/>
          <w:szCs w:val="20"/>
          <w:lang w:val="sr-Cyrl-RS"/>
        </w:rPr>
        <w:t xml:space="preserve"> tirozin kinaze (E</w:t>
      </w:r>
      <w:r>
        <w:rPr>
          <w:rFonts w:ascii="Microsoft Sans Serif" w:hAnsi="Microsoft Sans Serif" w:cs="Microsoft Sans Serif"/>
          <w:bCs/>
          <w:sz w:val="20"/>
          <w:szCs w:val="20"/>
          <w:lang w:val="sr-Latn-RS"/>
        </w:rPr>
        <w:t>GFR</w:t>
      </w:r>
      <w:r>
        <w:rPr>
          <w:rFonts w:ascii="Microsoft Sans Serif" w:hAnsi="Microsoft Sans Serif" w:cs="Microsoft Sans Serif"/>
          <w:bCs/>
          <w:sz w:val="20"/>
          <w:szCs w:val="20"/>
          <w:lang w:val="sr-Cyrl-RS"/>
        </w:rPr>
        <w:t>-TK</w:t>
      </w:r>
      <w:r>
        <w:rPr>
          <w:rFonts w:ascii="Microsoft Sans Serif" w:hAnsi="Microsoft Sans Serif" w:cs="Microsoft Sans Serif"/>
          <w:bCs/>
          <w:sz w:val="20"/>
          <w:szCs w:val="20"/>
          <w:lang w:val="sr-Latn-RS"/>
        </w:rPr>
        <w:t>Is</w:t>
      </w:r>
      <w:r>
        <w:rPr>
          <w:rFonts w:ascii="Microsoft Sans Serif" w:hAnsi="Microsoft Sans Serif" w:cs="Microsoft Sans Serif"/>
          <w:bCs/>
          <w:sz w:val="20"/>
          <w:szCs w:val="20"/>
          <w:lang w:val="sr-Cyrl-RS"/>
        </w:rPr>
        <w:t>).</w:t>
      </w:r>
    </w:p>
    <w:p w14:paraId="431C1880">
      <w:pPr>
        <w:rPr>
          <w:rFonts w:ascii="Microsoft Sans Serif" w:hAnsi="Microsoft Sans Serif" w:cs="Microsoft Sans Serif"/>
          <w:bCs/>
          <w:sz w:val="20"/>
          <w:szCs w:val="20"/>
          <w:lang w:val="sr-Cyrl-RS"/>
        </w:rPr>
      </w:pPr>
    </w:p>
    <w:p w14:paraId="0BA1BD98">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Studija </w:t>
      </w:r>
      <w:r>
        <w:rPr>
          <w:rFonts w:ascii="Microsoft Sans Serif" w:hAnsi="Microsoft Sans Serif" w:cs="Microsoft Sans Serif"/>
          <w:bCs/>
          <w:sz w:val="20"/>
          <w:szCs w:val="20"/>
          <w:lang w:val="sr-Latn-RS"/>
        </w:rPr>
        <w:t>B</w:t>
      </w:r>
      <w:r>
        <w:rPr>
          <w:rFonts w:ascii="Microsoft Sans Serif" w:hAnsi="Microsoft Sans Serif" w:cs="Microsoft Sans Serif"/>
          <w:bCs/>
          <w:sz w:val="20"/>
          <w:szCs w:val="20"/>
          <w:lang w:val="sr-Cyrl-RS"/>
        </w:rPr>
        <w:t>O25460 (</w:t>
      </w:r>
      <w:r>
        <w:rPr>
          <w:rFonts w:ascii="Microsoft Sans Serif" w:hAnsi="Microsoft Sans Serif" w:cs="Microsoft Sans Serif"/>
          <w:bCs/>
          <w:sz w:val="20"/>
          <w:szCs w:val="20"/>
          <w:lang w:val="sr-Latn-RS"/>
        </w:rPr>
        <w:t>IUNO</w:t>
      </w:r>
      <w:r>
        <w:rPr>
          <w:rFonts w:ascii="Microsoft Sans Serif" w:hAnsi="Microsoft Sans Serif" w:cs="Microsoft Sans Serif"/>
          <w:bCs/>
          <w:sz w:val="20"/>
          <w:szCs w:val="20"/>
          <w:lang w:val="sr-Cyrl-RS"/>
        </w:rPr>
        <w:t xml:space="preserve">) sprovedena je na 643 pacijenta sa uznapredovalim </w:t>
      </w:r>
      <w:r>
        <w:rPr>
          <w:rFonts w:ascii="Microsoft Sans Serif" w:hAnsi="Microsoft Sans Serif" w:cs="Microsoft Sans Serif"/>
          <w:bCs/>
          <w:sz w:val="20"/>
          <w:szCs w:val="20"/>
          <w:lang w:val="sr-Latn-RS"/>
        </w:rPr>
        <w:t>NSCLC</w:t>
      </w:r>
      <w:r>
        <w:rPr>
          <w:rFonts w:ascii="Microsoft Sans Serif" w:hAnsi="Microsoft Sans Serif" w:cs="Microsoft Sans Serif"/>
          <w:bCs/>
          <w:sz w:val="20"/>
          <w:szCs w:val="20"/>
          <w:lang w:val="sr-Cyrl-RS"/>
        </w:rPr>
        <w:t xml:space="preserve"> čiji tumori nisu imali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E</w:t>
      </w:r>
      <w:r>
        <w:rPr>
          <w:rFonts w:ascii="Microsoft Sans Serif" w:hAnsi="Microsoft Sans Serif" w:cs="Microsoft Sans Serif"/>
          <w:bCs/>
          <w:sz w:val="20"/>
          <w:szCs w:val="20"/>
          <w:lang w:val="sr-Latn-RS"/>
        </w:rPr>
        <w:t>GFR</w:t>
      </w:r>
      <w:r>
        <w:rPr>
          <w:rFonts w:ascii="Microsoft Sans Serif" w:hAnsi="Microsoft Sans Serif" w:cs="Microsoft Sans Serif"/>
          <w:bCs/>
          <w:sz w:val="20"/>
          <w:szCs w:val="20"/>
          <w:lang w:val="sr-Cyrl-RS"/>
        </w:rPr>
        <w:t xml:space="preserve"> aktivirajuće mutacije (deleciju egzona 19 ili mutaciju </w:t>
      </w:r>
      <w:r>
        <w:rPr>
          <w:rFonts w:ascii="Microsoft Sans Serif" w:hAnsi="Microsoft Sans Serif" w:cs="Microsoft Sans Serif"/>
          <w:bCs/>
          <w:sz w:val="20"/>
          <w:szCs w:val="20"/>
          <w:lang w:val="sr-Latn-RS"/>
        </w:rPr>
        <w:t>L</w:t>
      </w:r>
      <w:r>
        <w:rPr>
          <w:rFonts w:ascii="Microsoft Sans Serif" w:hAnsi="Microsoft Sans Serif" w:cs="Microsoft Sans Serif"/>
          <w:bCs/>
          <w:sz w:val="20"/>
          <w:szCs w:val="20"/>
          <w:lang w:val="sr-Cyrl-RS"/>
        </w:rPr>
        <w:t>858</w:t>
      </w:r>
      <w:r>
        <w:rPr>
          <w:rFonts w:ascii="Microsoft Sans Serif" w:hAnsi="Microsoft Sans Serif" w:cs="Microsoft Sans Serif"/>
          <w:bCs/>
          <w:sz w:val="20"/>
          <w:szCs w:val="20"/>
          <w:lang w:val="sr-Latn-RS"/>
        </w:rPr>
        <w:t>R</w:t>
      </w:r>
      <w:r>
        <w:rPr>
          <w:rFonts w:ascii="Microsoft Sans Serif" w:hAnsi="Microsoft Sans Serif" w:cs="Microsoft Sans Serif"/>
          <w:bCs/>
          <w:sz w:val="20"/>
          <w:szCs w:val="20"/>
          <w:lang w:val="sr-Cyrl-RS"/>
        </w:rPr>
        <w:t xml:space="preserve"> na egzonu 21) i koji nisu doživ</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eli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progresiju bolesti nakon 4 ciklusa hemioterapije na bazi platine.</w:t>
      </w:r>
    </w:p>
    <w:p w14:paraId="0821DF91">
      <w:pPr>
        <w:rPr>
          <w:rFonts w:ascii="Microsoft Sans Serif" w:hAnsi="Microsoft Sans Serif" w:cs="Microsoft Sans Serif"/>
          <w:bCs/>
          <w:sz w:val="20"/>
          <w:szCs w:val="20"/>
          <w:lang w:val="sr-Cyrl-RS"/>
        </w:rPr>
      </w:pPr>
    </w:p>
    <w:p w14:paraId="20C08CAD">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Cilј studije bio je da se uporedi ukupno preživlјavanje prve linije terapije održavanja erlotinibom u odnosu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na primjenu erlotiniba u trenutku progresije bolesti. Ispitivanje nije postiglo primarni parametar praćenja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ishoda. Ukupno preživlјavanje (O</w:t>
      </w:r>
      <w:r>
        <w:rPr>
          <w:rFonts w:ascii="Microsoft Sans Serif" w:hAnsi="Microsoft Sans Serif" w:cs="Microsoft Sans Serif"/>
          <w:bCs/>
          <w:sz w:val="20"/>
          <w:szCs w:val="20"/>
          <w:lang w:val="sr-Latn-RS"/>
        </w:rPr>
        <w:t>S</w:t>
      </w:r>
      <w:r>
        <w:rPr>
          <w:rFonts w:ascii="Microsoft Sans Serif" w:hAnsi="Microsoft Sans Serif" w:cs="Microsoft Sans Serif"/>
          <w:bCs/>
          <w:sz w:val="20"/>
          <w:szCs w:val="20"/>
          <w:lang w:val="sr-Cyrl-RS"/>
        </w:rPr>
        <w:t>) erlotiniba kao prve linije terapije održavanja nije bilo superiorno 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odnosu na O</w:t>
      </w:r>
      <w:r>
        <w:rPr>
          <w:rFonts w:ascii="Microsoft Sans Serif" w:hAnsi="Microsoft Sans Serif" w:cs="Microsoft Sans Serif"/>
          <w:bCs/>
          <w:sz w:val="20"/>
          <w:szCs w:val="20"/>
          <w:lang w:val="sr-Latn-RS"/>
        </w:rPr>
        <w:t>S</w:t>
      </w:r>
      <w:r>
        <w:rPr>
          <w:rFonts w:ascii="Microsoft Sans Serif" w:hAnsi="Microsoft Sans Serif" w:cs="Microsoft Sans Serif"/>
          <w:bCs/>
          <w:sz w:val="20"/>
          <w:szCs w:val="20"/>
          <w:lang w:val="sr-Cyrl-RS"/>
        </w:rPr>
        <w:t xml:space="preserve"> erlotiniba kao druge linije terapije kod pacijenata čiji tumori nisu imali </w:t>
      </w:r>
      <w:r>
        <w:rPr>
          <w:rFonts w:ascii="Microsoft Sans Serif" w:hAnsi="Microsoft Sans Serif" w:cs="Microsoft Sans Serif"/>
          <w:bCs/>
          <w:sz w:val="20"/>
          <w:szCs w:val="20"/>
          <w:lang w:val="sr-Latn-RS"/>
        </w:rPr>
        <w:t>EGFR</w:t>
      </w:r>
      <w:r>
        <w:rPr>
          <w:rFonts w:ascii="Microsoft Sans Serif" w:hAnsi="Microsoft Sans Serif" w:cs="Microsoft Sans Serif"/>
          <w:bCs/>
          <w:sz w:val="20"/>
          <w:szCs w:val="20"/>
          <w:lang w:val="sr-Cyrl-RS"/>
        </w:rPr>
        <w:t xml:space="preserve"> aktivirajuću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mutaciju (</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=1,02; 95%</w:t>
      </w:r>
      <w:r>
        <w:rPr>
          <w:rFonts w:ascii="Microsoft Sans Serif" w:hAnsi="Microsoft Sans Serif" w:cs="Microsoft Sans Serif"/>
          <w:bCs/>
          <w:sz w:val="20"/>
          <w:szCs w:val="20"/>
          <w:lang w:val="sr-Latn-RS"/>
        </w:rPr>
        <w:t xml:space="preserve"> CI, </w:t>
      </w:r>
      <w:r>
        <w:rPr>
          <w:rFonts w:ascii="Microsoft Sans Serif" w:hAnsi="Microsoft Sans Serif" w:cs="Microsoft Sans Serif"/>
          <w:bCs/>
          <w:sz w:val="20"/>
          <w:szCs w:val="20"/>
          <w:lang w:val="sr-Cyrl-RS"/>
        </w:rPr>
        <w:t>0,85 do 1,22; p=0,82). Sekundarni parametar praćenja ishoda (</w:t>
      </w:r>
      <w:r>
        <w:rPr>
          <w:rFonts w:ascii="Microsoft Sans Serif" w:hAnsi="Microsoft Sans Serif" w:cs="Microsoft Sans Serif"/>
          <w:bCs/>
          <w:sz w:val="20"/>
          <w:szCs w:val="20"/>
          <w:lang w:val="sr-Latn-RS"/>
        </w:rPr>
        <w:t>PFS</w:t>
      </w:r>
      <w:r>
        <w:rPr>
          <w:rFonts w:ascii="Microsoft Sans Serif" w:hAnsi="Microsoft Sans Serif" w:cs="Microsoft Sans Serif"/>
          <w:bCs/>
          <w:sz w:val="20"/>
          <w:szCs w:val="20"/>
          <w:lang w:val="sr-Cyrl-RS"/>
        </w:rPr>
        <w:t>) pokazao je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da nema razlike između erlotiniba i placeba u terapiji održavanja (</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=0,94; 95%</w:t>
      </w:r>
      <w:r>
        <w:rPr>
          <w:rFonts w:ascii="Microsoft Sans Serif" w:hAnsi="Microsoft Sans Serif" w:cs="Microsoft Sans Serif"/>
          <w:bCs/>
          <w:sz w:val="20"/>
          <w:szCs w:val="20"/>
          <w:lang w:val="sr-Latn-RS"/>
        </w:rPr>
        <w:t xml:space="preserve"> CI, </w:t>
      </w:r>
      <w:r>
        <w:rPr>
          <w:rFonts w:ascii="Microsoft Sans Serif" w:hAnsi="Microsoft Sans Serif" w:cs="Microsoft Sans Serif"/>
          <w:bCs/>
          <w:sz w:val="20"/>
          <w:szCs w:val="20"/>
          <w:lang w:val="sr-Cyrl-RS"/>
        </w:rPr>
        <w:t xml:space="preserve"> 0,80 do 1,11; p=0,48).</w:t>
      </w:r>
    </w:p>
    <w:p w14:paraId="071AA5F0">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Na osnovu podataka iz studije </w:t>
      </w:r>
      <w:r>
        <w:rPr>
          <w:rFonts w:ascii="Microsoft Sans Serif" w:hAnsi="Microsoft Sans Serif" w:cs="Microsoft Sans Serif"/>
          <w:bCs/>
          <w:sz w:val="20"/>
          <w:szCs w:val="20"/>
          <w:lang w:val="sr-Latn-RS"/>
        </w:rPr>
        <w:t>B</w:t>
      </w:r>
      <w:r>
        <w:rPr>
          <w:rFonts w:ascii="Microsoft Sans Serif" w:hAnsi="Microsoft Sans Serif" w:cs="Microsoft Sans Serif"/>
          <w:bCs/>
          <w:sz w:val="20"/>
          <w:szCs w:val="20"/>
          <w:lang w:val="sr-Cyrl-RS"/>
        </w:rPr>
        <w:t>O25460 (</w:t>
      </w:r>
      <w:r>
        <w:rPr>
          <w:rFonts w:ascii="Microsoft Sans Serif" w:hAnsi="Microsoft Sans Serif" w:cs="Microsoft Sans Serif"/>
          <w:bCs/>
          <w:sz w:val="20"/>
          <w:szCs w:val="20"/>
          <w:lang w:val="sr-Latn-RS"/>
        </w:rPr>
        <w:t>IUNO</w:t>
      </w:r>
      <w:r>
        <w:rPr>
          <w:rFonts w:ascii="Microsoft Sans Serif" w:hAnsi="Microsoft Sans Serif" w:cs="Microsoft Sans Serif"/>
          <w:bCs/>
          <w:sz w:val="20"/>
          <w:szCs w:val="20"/>
          <w:lang w:val="sr-Cyrl-RS"/>
        </w:rPr>
        <w:t>) ne preporučuje se primjena erlotiniba kao prve linije terapije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održavanja kod pacijenata bez E</w:t>
      </w:r>
      <w:r>
        <w:rPr>
          <w:rFonts w:ascii="Microsoft Sans Serif" w:hAnsi="Microsoft Sans Serif" w:cs="Microsoft Sans Serif"/>
          <w:bCs/>
          <w:sz w:val="20"/>
          <w:szCs w:val="20"/>
          <w:lang w:val="sr-Latn-RS"/>
        </w:rPr>
        <w:t>GFR</w:t>
      </w:r>
      <w:r>
        <w:rPr>
          <w:rFonts w:ascii="Microsoft Sans Serif" w:hAnsi="Microsoft Sans Serif" w:cs="Microsoft Sans Serif"/>
          <w:bCs/>
          <w:sz w:val="20"/>
          <w:szCs w:val="20"/>
          <w:lang w:val="sr-Cyrl-RS"/>
        </w:rPr>
        <w:t xml:space="preserve"> aktivirajuće mutacije.</w:t>
      </w:r>
    </w:p>
    <w:p w14:paraId="4F0F870E">
      <w:pPr>
        <w:rPr>
          <w:rFonts w:ascii="Microsoft Sans Serif" w:hAnsi="Microsoft Sans Serif" w:cs="Microsoft Sans Serif"/>
          <w:bCs/>
          <w:sz w:val="20"/>
          <w:szCs w:val="20"/>
          <w:lang w:val="sr-Cyrl-RS"/>
        </w:rPr>
      </w:pPr>
    </w:p>
    <w:p w14:paraId="124D9D98">
      <w:pPr>
        <w:rPr>
          <w:rFonts w:ascii="Microsoft Sans Serif" w:hAnsi="Microsoft Sans Serif" w:cs="Microsoft Sans Serif"/>
          <w:bCs/>
          <w:i/>
          <w:sz w:val="20"/>
          <w:szCs w:val="20"/>
          <w:u w:val="single"/>
          <w:lang w:val="sr-Cyrl-RS"/>
        </w:rPr>
      </w:pPr>
      <w:r>
        <w:rPr>
          <w:rFonts w:ascii="Microsoft Sans Serif" w:hAnsi="Microsoft Sans Serif" w:cs="Microsoft Sans Serif"/>
          <w:bCs/>
          <w:i/>
          <w:sz w:val="20"/>
          <w:szCs w:val="20"/>
          <w:u w:val="single"/>
          <w:lang w:val="sr-Cyrl-RS"/>
        </w:rPr>
        <w:t xml:space="preserve">Terapija </w:t>
      </w:r>
      <w:r>
        <w:rPr>
          <w:rFonts w:ascii="Microsoft Sans Serif" w:hAnsi="Microsoft Sans Serif" w:cs="Microsoft Sans Serif"/>
          <w:bCs/>
          <w:i/>
          <w:sz w:val="20"/>
          <w:szCs w:val="20"/>
          <w:u w:val="single"/>
          <w:lang w:val="sr-Latn-RS"/>
        </w:rPr>
        <w:t>NSCLC</w:t>
      </w:r>
      <w:r>
        <w:rPr>
          <w:rFonts w:ascii="Microsoft Sans Serif" w:hAnsi="Microsoft Sans Serif" w:cs="Microsoft Sans Serif"/>
          <w:bCs/>
          <w:i/>
          <w:sz w:val="20"/>
          <w:szCs w:val="20"/>
          <w:u w:val="single"/>
          <w:lang w:val="sr-Cyrl-RS"/>
        </w:rPr>
        <w:t xml:space="preserve"> nakon neusp</w:t>
      </w:r>
      <w:r>
        <w:rPr>
          <w:rFonts w:ascii="Microsoft Sans Serif" w:hAnsi="Microsoft Sans Serif" w:cs="Microsoft Sans Serif"/>
          <w:bCs/>
          <w:i/>
          <w:sz w:val="20"/>
          <w:szCs w:val="20"/>
          <w:u w:val="single"/>
          <w:lang w:val="sr-Latn-RS"/>
        </w:rPr>
        <w:t>j</w:t>
      </w:r>
      <w:r>
        <w:rPr>
          <w:rFonts w:ascii="Microsoft Sans Serif" w:hAnsi="Microsoft Sans Serif" w:cs="Microsoft Sans Serif"/>
          <w:bCs/>
          <w:i/>
          <w:sz w:val="20"/>
          <w:szCs w:val="20"/>
          <w:u w:val="single"/>
          <w:lang w:val="sr-Cyrl-RS"/>
        </w:rPr>
        <w:t>eha primjene najmanje jednog režima hemioterapije (erlotinib prim</w:t>
      </w:r>
      <w:r>
        <w:rPr>
          <w:rFonts w:ascii="Microsoft Sans Serif" w:hAnsi="Microsoft Sans Serif" w:cs="Microsoft Sans Serif"/>
          <w:bCs/>
          <w:i/>
          <w:sz w:val="20"/>
          <w:szCs w:val="20"/>
          <w:u w:val="single"/>
          <w:lang w:val="sr-Latn-RS"/>
        </w:rPr>
        <w:t>j</w:t>
      </w:r>
      <w:r>
        <w:rPr>
          <w:rFonts w:ascii="Microsoft Sans Serif" w:hAnsi="Microsoft Sans Serif" w:cs="Microsoft Sans Serif"/>
          <w:bCs/>
          <w:i/>
          <w:sz w:val="20"/>
          <w:szCs w:val="20"/>
          <w:u w:val="single"/>
          <w:lang w:val="sr-Cyrl-RS"/>
        </w:rPr>
        <w:t>enjen kao</w:t>
      </w:r>
      <w:r>
        <w:rPr>
          <w:rFonts w:ascii="Microsoft Sans Serif" w:hAnsi="Microsoft Sans Serif" w:cs="Microsoft Sans Serif"/>
          <w:bCs/>
          <w:i/>
          <w:sz w:val="20"/>
          <w:szCs w:val="20"/>
          <w:u w:val="single"/>
          <w:lang w:val="sr-Latn-RS"/>
        </w:rPr>
        <w:t xml:space="preserve"> </w:t>
      </w:r>
      <w:r>
        <w:rPr>
          <w:rFonts w:ascii="Microsoft Sans Serif" w:hAnsi="Microsoft Sans Serif" w:cs="Microsoft Sans Serif"/>
          <w:bCs/>
          <w:i/>
          <w:sz w:val="20"/>
          <w:szCs w:val="20"/>
          <w:u w:val="single"/>
          <w:lang w:val="sr-Cyrl-RS"/>
        </w:rPr>
        <w:t>monoterapija)</w:t>
      </w:r>
    </w:p>
    <w:p w14:paraId="21ED393D">
      <w:pPr>
        <w:rPr>
          <w:rFonts w:ascii="Microsoft Sans Serif" w:hAnsi="Microsoft Sans Serif" w:cs="Microsoft Sans Serif"/>
          <w:bCs/>
          <w:sz w:val="20"/>
          <w:szCs w:val="20"/>
          <w:lang w:val="sr-Cyrl-RS"/>
        </w:rPr>
      </w:pPr>
    </w:p>
    <w:p w14:paraId="5CA64741">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Efikasnost i bezbjednost erlotiniba kao druge/treće linije terapije pokazane su u randomizovanoj, dvostruko</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slijepoj, placebo kontrolisanoj studiji (</w:t>
      </w:r>
      <w:r>
        <w:rPr>
          <w:rFonts w:ascii="Microsoft Sans Serif" w:hAnsi="Microsoft Sans Serif" w:cs="Microsoft Sans Serif"/>
          <w:bCs/>
          <w:sz w:val="20"/>
          <w:szCs w:val="20"/>
          <w:lang w:val="sr-Latn-RS"/>
        </w:rPr>
        <w:t>BR</w:t>
      </w:r>
      <w:r>
        <w:rPr>
          <w:rFonts w:ascii="Microsoft Sans Serif" w:hAnsi="Microsoft Sans Serif" w:cs="Microsoft Sans Serif"/>
          <w:bCs/>
          <w:sz w:val="20"/>
          <w:szCs w:val="20"/>
          <w:lang w:val="sr-Cyrl-RS"/>
        </w:rPr>
        <w:t>.21), koja je uklјučila 731 pacijenta sa lokalno uznapredovalim ili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metastatskim </w:t>
      </w:r>
      <w:r>
        <w:rPr>
          <w:rFonts w:ascii="Microsoft Sans Serif" w:hAnsi="Microsoft Sans Serif" w:cs="Microsoft Sans Serif"/>
          <w:bCs/>
          <w:sz w:val="20"/>
          <w:szCs w:val="20"/>
          <w:lang w:val="sr-Latn-RS"/>
        </w:rPr>
        <w:t>NSCLC</w:t>
      </w:r>
      <w:r>
        <w:rPr>
          <w:rFonts w:ascii="Microsoft Sans Serif" w:hAnsi="Microsoft Sans Serif" w:cs="Microsoft Sans Serif"/>
          <w:bCs/>
          <w:sz w:val="20"/>
          <w:szCs w:val="20"/>
          <w:lang w:val="sr-Cyrl-RS"/>
        </w:rPr>
        <w:t xml:space="preserve"> nakon neusp</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eha najmanje jednog režima hemioterapije. Pacijenti su bili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randomizovani u odnosu 2:1 da primaju erlotinib 150 mg ili placebo oralno jednom dnevno. Parametri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praćenja ishoda su uklјučivali ukupno preživlјavanje, preživlјavanje bez progresije bolesti, stopu odgovora,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trajanje odgovora, vr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eme do pogoršanja simptoma povezanih sa karcinomom pluća (kašalј, dispnea i bol) 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bezbjednost. Primarni parametar praćenja ishoda bilo je preživlјavanje.</w:t>
      </w:r>
    </w:p>
    <w:p w14:paraId="633300E7">
      <w:pPr>
        <w:rPr>
          <w:rFonts w:ascii="Microsoft Sans Serif" w:hAnsi="Microsoft Sans Serif" w:cs="Microsoft Sans Serif"/>
          <w:bCs/>
          <w:sz w:val="20"/>
          <w:szCs w:val="20"/>
          <w:lang w:val="sr-Cyrl-RS"/>
        </w:rPr>
      </w:pPr>
    </w:p>
    <w:p w14:paraId="48229878">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Demografske karakteristike bile su dobro izbalansirane između dv</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 grupe. Oko dv</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 trećine pacijenata bili su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muškarci, a otprilike jedna trećina pacijenata je imala pr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 xml:space="preserve">e početka terapije (bazalni nivo) </w:t>
      </w:r>
      <w:r>
        <w:rPr>
          <w:rFonts w:ascii="Microsoft Sans Serif" w:hAnsi="Microsoft Sans Serif" w:cs="Microsoft Sans Serif"/>
          <w:bCs/>
          <w:sz w:val="20"/>
          <w:szCs w:val="20"/>
          <w:lang w:val="sr-Latn-RS"/>
        </w:rPr>
        <w:t>ECOG</w:t>
      </w:r>
      <w:r>
        <w:rPr>
          <w:rFonts w:ascii="Microsoft Sans Serif" w:hAnsi="Microsoft Sans Serif" w:cs="Microsoft Sans Serif"/>
          <w:bCs/>
          <w:sz w:val="20"/>
          <w:szCs w:val="20"/>
          <w:lang w:val="sr-Cyrl-RS"/>
        </w:rPr>
        <w:t xml:space="preserve"> performans</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status (</w:t>
      </w:r>
      <w:r>
        <w:rPr>
          <w:rFonts w:ascii="Microsoft Sans Serif" w:hAnsi="Microsoft Sans Serif" w:cs="Microsoft Sans Serif"/>
          <w:bCs/>
          <w:sz w:val="20"/>
          <w:szCs w:val="20"/>
          <w:lang w:val="sr-Latn-RS"/>
        </w:rPr>
        <w:t>PS</w:t>
      </w:r>
      <w:r>
        <w:rPr>
          <w:rFonts w:ascii="Microsoft Sans Serif" w:hAnsi="Microsoft Sans Serif" w:cs="Microsoft Sans Serif"/>
          <w:bCs/>
          <w:sz w:val="20"/>
          <w:szCs w:val="20"/>
          <w:lang w:val="sr-Cyrl-RS"/>
        </w:rPr>
        <w:t>) od 2, a 9% su imali ECOG PS 3. Devedeset i tri procenta pacijenata u erlotinib grupi i 92%</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pacijenata u placebo grupi su prethodno bili na režimu na bazi platine, a 36% pacijenata iz erlotinib grupe 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37% pacijenata iz placebo grupe su prethodno bili na terapiji taksanima.</w:t>
      </w:r>
    </w:p>
    <w:p w14:paraId="2934E0F3">
      <w:pPr>
        <w:rPr>
          <w:rFonts w:ascii="Microsoft Sans Serif" w:hAnsi="Microsoft Sans Serif" w:cs="Microsoft Sans Serif"/>
          <w:bCs/>
          <w:sz w:val="20"/>
          <w:szCs w:val="20"/>
          <w:lang w:val="sr-Cyrl-RS"/>
        </w:rPr>
      </w:pPr>
    </w:p>
    <w:p w14:paraId="7E3A4540">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Prilagođeni </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 xml:space="preserve"> (engl. </w:t>
      </w:r>
      <w:r>
        <w:rPr>
          <w:rFonts w:ascii="Microsoft Sans Serif" w:hAnsi="Microsoft Sans Serif" w:cs="Microsoft Sans Serif"/>
          <w:bCs/>
          <w:i/>
          <w:sz w:val="20"/>
          <w:szCs w:val="20"/>
          <w:lang w:val="sr-Cyrl-RS"/>
        </w:rPr>
        <w:t xml:space="preserve">hazard </w:t>
      </w:r>
      <w:r>
        <w:rPr>
          <w:rFonts w:ascii="Microsoft Sans Serif" w:hAnsi="Microsoft Sans Serif" w:cs="Microsoft Sans Serif"/>
          <w:bCs/>
          <w:i/>
          <w:sz w:val="20"/>
          <w:szCs w:val="20"/>
          <w:lang w:val="sr-Latn-RS"/>
        </w:rPr>
        <w:t>ratio</w:t>
      </w:r>
      <w:r>
        <w:rPr>
          <w:rFonts w:ascii="Microsoft Sans Serif" w:hAnsi="Microsoft Sans Serif" w:cs="Microsoft Sans Serif"/>
          <w:bCs/>
          <w:sz w:val="20"/>
          <w:szCs w:val="20"/>
          <w:lang w:val="sr-Cyrl-RS"/>
        </w:rPr>
        <w:t>) za smrtni ishod u grupi pacijenata koji su primali erlotinib, u odnosu na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grupu koja je primala placebo, iznosio je 0,73 (95% </w:t>
      </w:r>
      <w:r>
        <w:rPr>
          <w:rFonts w:ascii="Microsoft Sans Serif" w:hAnsi="Microsoft Sans Serif" w:cs="Microsoft Sans Serif"/>
          <w:bCs/>
          <w:sz w:val="20"/>
          <w:szCs w:val="20"/>
          <w:lang w:val="sr-Latn-RS"/>
        </w:rPr>
        <w:t>CI</w:t>
      </w:r>
      <w:r>
        <w:rPr>
          <w:rFonts w:ascii="Microsoft Sans Serif" w:hAnsi="Microsoft Sans Serif" w:cs="Microsoft Sans Serif"/>
          <w:bCs/>
          <w:sz w:val="20"/>
          <w:szCs w:val="20"/>
          <w:lang w:val="sr-Cyrl-RS"/>
        </w:rPr>
        <w:t>, 0,60 do 0,87) (p=0,001). Procenat pacijenata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preživ</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elih nakon 12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eseci bio je 31,2% u erlotinib grupi i 21,5% u placebo grupi. Medijana ukupnog</w:t>
      </w:r>
      <w:r>
        <w:rPr>
          <w:rFonts w:ascii="Microsoft Sans Serif" w:hAnsi="Microsoft Sans Serif" w:cs="Microsoft Sans Serif"/>
          <w:sz w:val="20"/>
          <w:szCs w:val="20"/>
        </w:rPr>
        <w:t xml:space="preserve"> </w:t>
      </w:r>
      <w:r>
        <w:rPr>
          <w:rFonts w:ascii="Microsoft Sans Serif" w:hAnsi="Microsoft Sans Serif" w:cs="Microsoft Sans Serif"/>
          <w:bCs/>
          <w:sz w:val="20"/>
          <w:szCs w:val="20"/>
          <w:lang w:val="sr-Cyrl-RS"/>
        </w:rPr>
        <w:t>preživlјavanja iznosila je 6,7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eseci u erlotinib grupi pacijenata (95% </w:t>
      </w:r>
      <w:r>
        <w:rPr>
          <w:rFonts w:ascii="Microsoft Sans Serif" w:hAnsi="Microsoft Sans Serif" w:cs="Microsoft Sans Serif"/>
          <w:bCs/>
          <w:sz w:val="20"/>
          <w:szCs w:val="20"/>
          <w:lang w:val="sr-Latn-RS"/>
        </w:rPr>
        <w:t>CI</w:t>
      </w:r>
      <w:r>
        <w:rPr>
          <w:rFonts w:ascii="Microsoft Sans Serif" w:hAnsi="Microsoft Sans Serif" w:cs="Microsoft Sans Serif"/>
          <w:bCs/>
          <w:sz w:val="20"/>
          <w:szCs w:val="20"/>
          <w:lang w:val="sr-Cyrl-RS"/>
        </w:rPr>
        <w:t>, 5,5 do 7,8 mjeseci) u odnosu na 4,7</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eseci u placebo grupi (95% </w:t>
      </w:r>
      <w:r>
        <w:rPr>
          <w:rFonts w:ascii="Microsoft Sans Serif" w:hAnsi="Microsoft Sans Serif" w:cs="Microsoft Sans Serif"/>
          <w:bCs/>
          <w:sz w:val="20"/>
          <w:szCs w:val="20"/>
          <w:lang w:val="sr-Latn-RS"/>
        </w:rPr>
        <w:t>CI</w:t>
      </w:r>
      <w:r>
        <w:rPr>
          <w:rFonts w:ascii="Microsoft Sans Serif" w:hAnsi="Microsoft Sans Serif" w:cs="Microsoft Sans Serif"/>
          <w:bCs/>
          <w:sz w:val="20"/>
          <w:szCs w:val="20"/>
          <w:lang w:val="sr-Cyrl-RS"/>
        </w:rPr>
        <w:t>, 4,1 do 6,3 meseca).</w:t>
      </w:r>
    </w:p>
    <w:p w14:paraId="0171FE88">
      <w:pPr>
        <w:rPr>
          <w:rFonts w:ascii="Microsoft Sans Serif" w:hAnsi="Microsoft Sans Serif" w:cs="Microsoft Sans Serif"/>
          <w:bCs/>
          <w:sz w:val="20"/>
          <w:szCs w:val="20"/>
          <w:lang w:val="sr-Cyrl-RS"/>
        </w:rPr>
      </w:pPr>
    </w:p>
    <w:p w14:paraId="07330A8C">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Efekat na ukupno preživlјavanje ispitivan je unutar različitih podgrupa pacijenata. Efekat erlotiniba na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ukupno preživlјavanje bio je sličan kod pacijenata koji su imali performans status (E</w:t>
      </w:r>
      <w:r>
        <w:rPr>
          <w:rFonts w:ascii="Microsoft Sans Serif" w:hAnsi="Microsoft Sans Serif" w:cs="Microsoft Sans Serif"/>
          <w:bCs/>
          <w:sz w:val="20"/>
          <w:szCs w:val="20"/>
          <w:lang w:val="sr-Latn-RS"/>
        </w:rPr>
        <w:t>COG</w:t>
      </w:r>
      <w:r>
        <w:rPr>
          <w:rFonts w:ascii="Microsoft Sans Serif" w:hAnsi="Microsoft Sans Serif" w:cs="Microsoft Sans Serif"/>
          <w:bCs/>
          <w:sz w:val="20"/>
          <w:szCs w:val="20"/>
          <w:lang w:val="sr-Cyrl-RS"/>
        </w:rPr>
        <w:t xml:space="preserve"> na početku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liječenja između 2 i 3 (</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 xml:space="preserve">=0,77, 95% </w:t>
      </w:r>
      <w:r>
        <w:rPr>
          <w:rFonts w:ascii="Microsoft Sans Serif" w:hAnsi="Microsoft Sans Serif" w:cs="Microsoft Sans Serif"/>
          <w:bCs/>
          <w:sz w:val="20"/>
          <w:szCs w:val="20"/>
          <w:lang w:val="sr-Latn-RS"/>
        </w:rPr>
        <w:t xml:space="preserve">CI </w:t>
      </w:r>
      <w:r>
        <w:rPr>
          <w:rFonts w:ascii="Microsoft Sans Serif" w:hAnsi="Microsoft Sans Serif" w:cs="Microsoft Sans Serif"/>
          <w:bCs/>
          <w:sz w:val="20"/>
          <w:szCs w:val="20"/>
          <w:lang w:val="sr-Cyrl-RS"/>
        </w:rPr>
        <w:t xml:space="preserve"> 0,6-1,0) i između 0 i 1 (</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 xml:space="preserve">=0,73, 95% </w:t>
      </w:r>
      <w:r>
        <w:rPr>
          <w:rFonts w:ascii="Microsoft Sans Serif" w:hAnsi="Microsoft Sans Serif" w:cs="Microsoft Sans Serif"/>
          <w:bCs/>
          <w:sz w:val="20"/>
          <w:szCs w:val="20"/>
          <w:lang w:val="sr-Latn-RS"/>
        </w:rPr>
        <w:t>CI</w:t>
      </w:r>
      <w:r>
        <w:rPr>
          <w:rFonts w:ascii="Microsoft Sans Serif" w:hAnsi="Microsoft Sans Serif" w:cs="Microsoft Sans Serif"/>
          <w:bCs/>
          <w:sz w:val="20"/>
          <w:szCs w:val="20"/>
          <w:lang w:val="sr-Cyrl-RS"/>
        </w:rPr>
        <w:t xml:space="preserve"> 0,6- 0,9), kod muškaraca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 xml:space="preserve">=0,76, 95% </w:t>
      </w:r>
      <w:r>
        <w:rPr>
          <w:rFonts w:ascii="Microsoft Sans Serif" w:hAnsi="Microsoft Sans Serif" w:cs="Microsoft Sans Serif"/>
          <w:bCs/>
          <w:sz w:val="20"/>
          <w:szCs w:val="20"/>
          <w:lang w:val="sr-Latn-RS"/>
        </w:rPr>
        <w:t>CI</w:t>
      </w:r>
      <w:r>
        <w:rPr>
          <w:rFonts w:ascii="Microsoft Sans Serif" w:hAnsi="Microsoft Sans Serif" w:cs="Microsoft Sans Serif"/>
          <w:bCs/>
          <w:sz w:val="20"/>
          <w:szCs w:val="20"/>
          <w:lang w:val="sr-Cyrl-RS"/>
        </w:rPr>
        <w:t xml:space="preserve"> 0,6-0,9) i žena (</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 xml:space="preserve">=0,8, 95% </w:t>
      </w:r>
      <w:r>
        <w:rPr>
          <w:rFonts w:ascii="Microsoft Sans Serif" w:hAnsi="Microsoft Sans Serif" w:cs="Microsoft Sans Serif"/>
          <w:bCs/>
          <w:sz w:val="20"/>
          <w:szCs w:val="20"/>
          <w:lang w:val="sr-Latn-RS"/>
        </w:rPr>
        <w:t>CI</w:t>
      </w:r>
      <w:r>
        <w:rPr>
          <w:rFonts w:ascii="Microsoft Sans Serif" w:hAnsi="Microsoft Sans Serif" w:cs="Microsoft Sans Serif"/>
          <w:bCs/>
          <w:sz w:val="20"/>
          <w:szCs w:val="20"/>
          <w:lang w:val="sr-Cyrl-RS"/>
        </w:rPr>
        <w:t xml:space="preserve"> 0,6-1,1), pacijenata mlađih od 65 godina (</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 xml:space="preserve">=0,75, 95% </w:t>
      </w:r>
      <w:r>
        <w:rPr>
          <w:rFonts w:ascii="Microsoft Sans Serif" w:hAnsi="Microsoft Sans Serif" w:cs="Microsoft Sans Serif"/>
          <w:bCs/>
          <w:sz w:val="20"/>
          <w:szCs w:val="20"/>
          <w:lang w:val="sr-Latn-RS"/>
        </w:rPr>
        <w:t xml:space="preserve">CI </w:t>
      </w:r>
      <w:r>
        <w:rPr>
          <w:rFonts w:ascii="Microsoft Sans Serif" w:hAnsi="Microsoft Sans Serif" w:cs="Microsoft Sans Serif"/>
          <w:bCs/>
          <w:sz w:val="20"/>
          <w:szCs w:val="20"/>
          <w:lang w:val="sr-Cyrl-RS"/>
        </w:rPr>
        <w:t>0,6-0,9) i</w:t>
      </w:r>
      <w:r>
        <w:rPr>
          <w:rFonts w:ascii="Microsoft Sans Serif" w:hAnsi="Microsoft Sans Serif" w:cs="Microsoft Sans Serif"/>
          <w:bCs/>
          <w:sz w:val="20"/>
          <w:szCs w:val="20"/>
        </w:rPr>
        <w:t>li</w:t>
      </w:r>
      <w:r>
        <w:rPr>
          <w:rFonts w:ascii="Microsoft Sans Serif" w:hAnsi="Microsoft Sans Serif" w:cs="Microsoft Sans Serif"/>
          <w:bCs/>
          <w:sz w:val="20"/>
          <w:szCs w:val="20"/>
          <w:lang w:val="sr-Cyrl-RS"/>
        </w:rPr>
        <w:t xml:space="preserve"> starijih pacijenata (</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 xml:space="preserve">=0,79, 95% </w:t>
      </w:r>
      <w:r>
        <w:rPr>
          <w:rFonts w:ascii="Microsoft Sans Serif" w:hAnsi="Microsoft Sans Serif" w:cs="Microsoft Sans Serif"/>
          <w:bCs/>
          <w:sz w:val="20"/>
          <w:szCs w:val="20"/>
          <w:lang w:val="sr-Latn-RS"/>
        </w:rPr>
        <w:t>CI</w:t>
      </w:r>
      <w:r>
        <w:rPr>
          <w:rFonts w:ascii="Microsoft Sans Serif" w:hAnsi="Microsoft Sans Serif" w:cs="Microsoft Sans Serif"/>
          <w:bCs/>
          <w:sz w:val="20"/>
          <w:szCs w:val="20"/>
          <w:lang w:val="sr-Cyrl-RS"/>
        </w:rPr>
        <w:t xml:space="preserve"> 0,6-1,0), pacijenata koji su prethodno primali jedan</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terapijski režim (</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 xml:space="preserve">=0,76, 95% </w:t>
      </w:r>
      <w:r>
        <w:rPr>
          <w:rFonts w:ascii="Microsoft Sans Serif" w:hAnsi="Microsoft Sans Serif" w:cs="Microsoft Sans Serif"/>
          <w:bCs/>
          <w:sz w:val="20"/>
          <w:szCs w:val="20"/>
          <w:lang w:val="sr-Latn-RS"/>
        </w:rPr>
        <w:t>CI</w:t>
      </w:r>
      <w:r>
        <w:rPr>
          <w:rFonts w:ascii="Microsoft Sans Serif" w:hAnsi="Microsoft Sans Serif" w:cs="Microsoft Sans Serif"/>
          <w:bCs/>
          <w:sz w:val="20"/>
          <w:szCs w:val="20"/>
          <w:lang w:val="sr-Cyrl-RS"/>
        </w:rPr>
        <w:t xml:space="preserve"> 0,6-1,0) i</w:t>
      </w:r>
      <w:r>
        <w:rPr>
          <w:rFonts w:ascii="Microsoft Sans Serif" w:hAnsi="Microsoft Sans Serif" w:cs="Microsoft Sans Serif"/>
          <w:bCs/>
          <w:sz w:val="20"/>
          <w:szCs w:val="20"/>
        </w:rPr>
        <w:t>li</w:t>
      </w:r>
      <w:r>
        <w:rPr>
          <w:rFonts w:ascii="Microsoft Sans Serif" w:hAnsi="Microsoft Sans Serif" w:cs="Microsoft Sans Serif"/>
          <w:bCs/>
          <w:sz w:val="20"/>
          <w:szCs w:val="20"/>
          <w:lang w:val="sr-Cyrl-RS"/>
        </w:rPr>
        <w:t xml:space="preserve"> više od jednog prethodnog režima (</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 xml:space="preserve">=0,75, 95% </w:t>
      </w:r>
      <w:r>
        <w:rPr>
          <w:rFonts w:ascii="Microsoft Sans Serif" w:hAnsi="Microsoft Sans Serif" w:cs="Microsoft Sans Serif"/>
          <w:bCs/>
          <w:sz w:val="20"/>
          <w:szCs w:val="20"/>
          <w:lang w:val="sr-Latn-RS"/>
        </w:rPr>
        <w:t>CI</w:t>
      </w:r>
      <w:r>
        <w:rPr>
          <w:rFonts w:ascii="Microsoft Sans Serif" w:hAnsi="Microsoft Sans Serif" w:cs="Microsoft Sans Serif"/>
          <w:bCs/>
          <w:sz w:val="20"/>
          <w:szCs w:val="20"/>
          <w:lang w:val="sr-Cyrl-RS"/>
        </w:rPr>
        <w:t xml:space="preserve"> 0,6-1,0),</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b</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elaca (</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 xml:space="preserve">=0,79; 95% </w:t>
      </w:r>
      <w:r>
        <w:rPr>
          <w:rFonts w:ascii="Microsoft Sans Serif" w:hAnsi="Microsoft Sans Serif" w:cs="Microsoft Sans Serif"/>
          <w:bCs/>
          <w:sz w:val="20"/>
          <w:szCs w:val="20"/>
          <w:lang w:val="sr-Latn-RS"/>
        </w:rPr>
        <w:t>CI</w:t>
      </w:r>
      <w:r>
        <w:rPr>
          <w:rFonts w:ascii="Microsoft Sans Serif" w:hAnsi="Microsoft Sans Serif" w:cs="Microsoft Sans Serif"/>
          <w:bCs/>
          <w:sz w:val="20"/>
          <w:szCs w:val="20"/>
          <w:lang w:val="sr-Cyrl-RS"/>
        </w:rPr>
        <w:t xml:space="preserve"> 0,6-1,0) i</w:t>
      </w:r>
      <w:r>
        <w:rPr>
          <w:rFonts w:ascii="Microsoft Sans Serif" w:hAnsi="Microsoft Sans Serif" w:cs="Microsoft Sans Serif"/>
          <w:bCs/>
          <w:sz w:val="20"/>
          <w:szCs w:val="20"/>
        </w:rPr>
        <w:t>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pacijenata azijskog porijekla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 xml:space="preserve">=0,61, 95% </w:t>
      </w:r>
      <w:r>
        <w:rPr>
          <w:rFonts w:ascii="Microsoft Sans Serif" w:hAnsi="Microsoft Sans Serif" w:cs="Microsoft Sans Serif"/>
          <w:bCs/>
          <w:sz w:val="20"/>
          <w:szCs w:val="20"/>
          <w:lang w:val="sr-Latn-RS"/>
        </w:rPr>
        <w:t>CI</w:t>
      </w:r>
      <w:r>
        <w:rPr>
          <w:rFonts w:ascii="Microsoft Sans Serif" w:hAnsi="Microsoft Sans Serif" w:cs="Microsoft Sans Serif"/>
          <w:bCs/>
          <w:sz w:val="20"/>
          <w:szCs w:val="20"/>
          <w:lang w:val="sr-Cyrl-RS"/>
        </w:rPr>
        <w:t xml:space="preserve"> 0,4-1,0), pacijenata sa adenokarcinomom</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 xml:space="preserve">=0,71, 95% </w:t>
      </w:r>
      <w:r>
        <w:rPr>
          <w:rFonts w:ascii="Microsoft Sans Serif" w:hAnsi="Microsoft Sans Serif" w:cs="Microsoft Sans Serif"/>
          <w:bCs/>
          <w:sz w:val="20"/>
          <w:szCs w:val="20"/>
          <w:lang w:val="sr-Latn-RS"/>
        </w:rPr>
        <w:t>CI</w:t>
      </w:r>
      <w:r>
        <w:rPr>
          <w:rFonts w:ascii="Microsoft Sans Serif" w:hAnsi="Microsoft Sans Serif" w:cs="Microsoft Sans Serif"/>
          <w:bCs/>
          <w:sz w:val="20"/>
          <w:szCs w:val="20"/>
          <w:lang w:val="sr-Cyrl-RS"/>
        </w:rPr>
        <w:t xml:space="preserve"> 0,6-0,9) i</w:t>
      </w:r>
      <w:r>
        <w:rPr>
          <w:rFonts w:ascii="Microsoft Sans Serif" w:hAnsi="Microsoft Sans Serif" w:cs="Microsoft Sans Serif"/>
          <w:bCs/>
          <w:sz w:val="20"/>
          <w:szCs w:val="20"/>
        </w:rPr>
        <w:t>li</w:t>
      </w:r>
      <w:r>
        <w:rPr>
          <w:rFonts w:ascii="Microsoft Sans Serif" w:hAnsi="Microsoft Sans Serif" w:cs="Microsoft Sans Serif"/>
          <w:bCs/>
          <w:sz w:val="20"/>
          <w:szCs w:val="20"/>
          <w:lang w:val="sr-Cyrl-RS"/>
        </w:rPr>
        <w:t xml:space="preserve"> karcinomom skvamoznih ćelija (</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 xml:space="preserve">=0,67, 95% </w:t>
      </w:r>
      <w:r>
        <w:rPr>
          <w:rFonts w:ascii="Microsoft Sans Serif" w:hAnsi="Microsoft Sans Serif" w:cs="Microsoft Sans Serif"/>
          <w:bCs/>
          <w:sz w:val="20"/>
          <w:szCs w:val="20"/>
          <w:lang w:val="sr-Latn-RS"/>
        </w:rPr>
        <w:t>CI</w:t>
      </w:r>
      <w:r>
        <w:rPr>
          <w:rFonts w:ascii="Microsoft Sans Serif" w:hAnsi="Microsoft Sans Serif" w:cs="Microsoft Sans Serif"/>
          <w:bCs/>
          <w:sz w:val="20"/>
          <w:szCs w:val="20"/>
          <w:lang w:val="sr-Cyrl-RS"/>
        </w:rPr>
        <w:t xml:space="preserve"> 0,5-0,9), ali ne i kod</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pacijenata sa drugim histološkim tipom tumora (</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 xml:space="preserve">=1,04, 95% </w:t>
      </w:r>
      <w:r>
        <w:rPr>
          <w:rFonts w:ascii="Microsoft Sans Serif" w:hAnsi="Microsoft Sans Serif" w:cs="Microsoft Sans Serif"/>
          <w:bCs/>
          <w:sz w:val="20"/>
          <w:szCs w:val="20"/>
          <w:lang w:val="sr-Latn-RS"/>
        </w:rPr>
        <w:t>CI</w:t>
      </w:r>
      <w:r>
        <w:rPr>
          <w:rFonts w:ascii="Microsoft Sans Serif" w:hAnsi="Microsoft Sans Serif" w:cs="Microsoft Sans Serif"/>
          <w:bCs/>
          <w:sz w:val="20"/>
          <w:szCs w:val="20"/>
          <w:lang w:val="sr-Cyrl-RS"/>
        </w:rPr>
        <w:t xml:space="preserve"> 0,7-1,5), pacijenata u </w:t>
      </w:r>
      <w:r>
        <w:rPr>
          <w:rFonts w:ascii="Microsoft Sans Serif" w:hAnsi="Microsoft Sans Serif" w:cs="Microsoft Sans Serif"/>
          <w:bCs/>
          <w:sz w:val="20"/>
          <w:szCs w:val="20"/>
          <w:lang w:val="sr-Latn-RS"/>
        </w:rPr>
        <w:t>IV</w:t>
      </w:r>
      <w:r>
        <w:rPr>
          <w:rFonts w:ascii="Microsoft Sans Serif" w:hAnsi="Microsoft Sans Serif" w:cs="Microsoft Sans Serif"/>
          <w:bCs/>
          <w:sz w:val="20"/>
          <w:szCs w:val="20"/>
          <w:lang w:val="sr-Cyrl-RS"/>
        </w:rPr>
        <w:t xml:space="preserve"> stadijumu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bolesti pri postavlјanju dijagnoze (</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 xml:space="preserve">=0,92, 95% </w:t>
      </w:r>
      <w:r>
        <w:rPr>
          <w:rFonts w:ascii="Microsoft Sans Serif" w:hAnsi="Microsoft Sans Serif" w:cs="Microsoft Sans Serif"/>
          <w:bCs/>
          <w:sz w:val="20"/>
          <w:szCs w:val="20"/>
          <w:lang w:val="sr-Latn-RS"/>
        </w:rPr>
        <w:t>CI</w:t>
      </w:r>
      <w:r>
        <w:rPr>
          <w:rFonts w:ascii="Microsoft Sans Serif" w:hAnsi="Microsoft Sans Serif" w:cs="Microsoft Sans Serif"/>
          <w:bCs/>
          <w:sz w:val="20"/>
          <w:szCs w:val="20"/>
          <w:lang w:val="sr-Cyrl-RS"/>
        </w:rPr>
        <w:t xml:space="preserve"> 0,7-1,2) ili stadijumu bolesti &lt; </w:t>
      </w:r>
      <w:r>
        <w:rPr>
          <w:rFonts w:ascii="Microsoft Sans Serif" w:hAnsi="Microsoft Sans Serif" w:cs="Microsoft Sans Serif"/>
          <w:bCs/>
          <w:sz w:val="20"/>
          <w:szCs w:val="20"/>
          <w:lang w:val="sr-Latn-RS"/>
        </w:rPr>
        <w:t>IV</w:t>
      </w:r>
      <w:r>
        <w:rPr>
          <w:rFonts w:ascii="Microsoft Sans Serif" w:hAnsi="Microsoft Sans Serif" w:cs="Microsoft Sans Serif"/>
          <w:bCs/>
          <w:sz w:val="20"/>
          <w:szCs w:val="20"/>
          <w:lang w:val="sr-Cyrl-RS"/>
        </w:rPr>
        <w:t xml:space="preserve"> pri postavlјanju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dijagnoze (</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 xml:space="preserve">=0,65, 95% </w:t>
      </w:r>
      <w:r>
        <w:rPr>
          <w:rFonts w:ascii="Microsoft Sans Serif" w:hAnsi="Microsoft Sans Serif" w:cs="Microsoft Sans Serif"/>
          <w:bCs/>
          <w:sz w:val="20"/>
          <w:szCs w:val="20"/>
          <w:lang w:val="sr-Latn-RS"/>
        </w:rPr>
        <w:t xml:space="preserve">CI </w:t>
      </w:r>
      <w:r>
        <w:rPr>
          <w:rFonts w:ascii="Microsoft Sans Serif" w:hAnsi="Microsoft Sans Serif" w:cs="Microsoft Sans Serif"/>
          <w:bCs/>
          <w:sz w:val="20"/>
          <w:szCs w:val="20"/>
          <w:lang w:val="sr-Cyrl-RS"/>
        </w:rPr>
        <w:t>0,5-0,8). Pacijenti koji nikada nisu pušili imali su mnogo veću korist od</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terapije erlotinibom (preživlјavanje </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=0,42, 95% CI 0,28-0,64) u poređenju sa onima koji puše ili su pušili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(HR=0,87, 95% CI 0,71-1,05).</w:t>
      </w:r>
    </w:p>
    <w:p w14:paraId="0AA74DCF">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Kod 45% pacijenata sa poznatim statusom EGFR ekspresije, HR je iznosio 0,68 (95% CI 0,49-0,94) kod</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pacijenata sa EGFR pozitivnim tumorima i 0,93 (95% CI 0,63-1,36) kod pacijenata sa EGFR negativnim</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tumorima (koji su određeni imunohistohemijski korišćenjem EGFR </w:t>
      </w:r>
      <w:r>
        <w:rPr>
          <w:rFonts w:ascii="Microsoft Sans Serif" w:hAnsi="Microsoft Sans Serif" w:cs="Microsoft Sans Serif"/>
          <w:bCs/>
          <w:sz w:val="20"/>
          <w:szCs w:val="20"/>
          <w:lang w:val="sr-Latn-RS"/>
        </w:rPr>
        <w:t>pharmDx</w:t>
      </w:r>
      <w:r>
        <w:rPr>
          <w:rFonts w:ascii="Microsoft Sans Serif" w:hAnsi="Microsoft Sans Serif" w:cs="Microsoft Sans Serif"/>
          <w:bCs/>
          <w:sz w:val="20"/>
          <w:szCs w:val="20"/>
          <w:lang w:val="sr-Cyrl-RS"/>
        </w:rPr>
        <w:t xml:space="preserve"> kita i koji su definisani kao</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E</w:t>
      </w:r>
      <w:r>
        <w:rPr>
          <w:rFonts w:ascii="Microsoft Sans Serif" w:hAnsi="Microsoft Sans Serif" w:cs="Microsoft Sans Serif"/>
          <w:bCs/>
          <w:sz w:val="20"/>
          <w:szCs w:val="20"/>
          <w:lang w:val="sr-Latn-RS"/>
        </w:rPr>
        <w:t>GFR</w:t>
      </w:r>
      <w:r>
        <w:rPr>
          <w:rFonts w:ascii="Microsoft Sans Serif" w:hAnsi="Microsoft Sans Serif" w:cs="Microsoft Sans Serif"/>
          <w:bCs/>
          <w:sz w:val="20"/>
          <w:szCs w:val="20"/>
          <w:lang w:val="sr-Cyrl-RS"/>
        </w:rPr>
        <w:t xml:space="preserve"> negativni ukoliko je obojeno manje od 10% tumorskih ćelija). Kod preostalih 55% pacijenata sa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nepoznatim statusom E</w:t>
      </w:r>
      <w:r>
        <w:rPr>
          <w:rFonts w:ascii="Microsoft Sans Serif" w:hAnsi="Microsoft Sans Serif" w:cs="Microsoft Sans Serif"/>
          <w:bCs/>
          <w:sz w:val="20"/>
          <w:szCs w:val="20"/>
          <w:lang w:val="sr-Latn-RS"/>
        </w:rPr>
        <w:t>GFR</w:t>
      </w:r>
      <w:r>
        <w:rPr>
          <w:rFonts w:ascii="Microsoft Sans Serif" w:hAnsi="Microsoft Sans Serif" w:cs="Microsoft Sans Serif"/>
          <w:bCs/>
          <w:sz w:val="20"/>
          <w:szCs w:val="20"/>
          <w:lang w:val="sr-Cyrl-RS"/>
        </w:rPr>
        <w:t xml:space="preserve"> ekspresije, </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 xml:space="preserve"> je iznosio 0,77 (95% </w:t>
      </w:r>
      <w:r>
        <w:rPr>
          <w:rFonts w:ascii="Microsoft Sans Serif" w:hAnsi="Microsoft Sans Serif" w:cs="Microsoft Sans Serif"/>
          <w:bCs/>
          <w:sz w:val="20"/>
          <w:szCs w:val="20"/>
          <w:lang w:val="sr-Latn-RS"/>
        </w:rPr>
        <w:t>CI</w:t>
      </w:r>
      <w:r>
        <w:rPr>
          <w:rFonts w:ascii="Microsoft Sans Serif" w:hAnsi="Microsoft Sans Serif" w:cs="Microsoft Sans Serif"/>
          <w:bCs/>
          <w:sz w:val="20"/>
          <w:szCs w:val="20"/>
          <w:lang w:val="sr-Cyrl-RS"/>
        </w:rPr>
        <w:t>, 0,61-0,98).</w:t>
      </w:r>
    </w:p>
    <w:p w14:paraId="48DE78BE">
      <w:pPr>
        <w:rPr>
          <w:rFonts w:ascii="Microsoft Sans Serif" w:hAnsi="Microsoft Sans Serif" w:cs="Microsoft Sans Serif"/>
          <w:bCs/>
          <w:sz w:val="20"/>
          <w:szCs w:val="20"/>
          <w:lang w:val="sr-Cyrl-RS"/>
        </w:rPr>
      </w:pPr>
    </w:p>
    <w:p w14:paraId="4DA97335">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Medijana </w:t>
      </w:r>
      <w:r>
        <w:rPr>
          <w:rFonts w:ascii="Microsoft Sans Serif" w:hAnsi="Microsoft Sans Serif" w:cs="Microsoft Sans Serif"/>
          <w:bCs/>
          <w:sz w:val="20"/>
          <w:szCs w:val="20"/>
          <w:lang w:val="sr-Latn-RS"/>
        </w:rPr>
        <w:t>PFS</w:t>
      </w:r>
      <w:r>
        <w:rPr>
          <w:rFonts w:ascii="Microsoft Sans Serif" w:hAnsi="Microsoft Sans Serif" w:cs="Microsoft Sans Serif"/>
          <w:bCs/>
          <w:sz w:val="20"/>
          <w:szCs w:val="20"/>
          <w:lang w:val="sr-Cyrl-RS"/>
        </w:rPr>
        <w:t xml:space="preserve"> iznosila je 9,7 nedelјa u erlotinib grupi pacijenata (95% </w:t>
      </w:r>
      <w:r>
        <w:rPr>
          <w:rFonts w:ascii="Microsoft Sans Serif" w:hAnsi="Microsoft Sans Serif" w:cs="Microsoft Sans Serif"/>
          <w:bCs/>
          <w:sz w:val="20"/>
          <w:szCs w:val="20"/>
          <w:lang w:val="sr-Latn-RS"/>
        </w:rPr>
        <w:t>CI</w:t>
      </w:r>
      <w:r>
        <w:rPr>
          <w:rFonts w:ascii="Microsoft Sans Serif" w:hAnsi="Microsoft Sans Serif" w:cs="Microsoft Sans Serif"/>
          <w:bCs/>
          <w:sz w:val="20"/>
          <w:szCs w:val="20"/>
          <w:lang w:val="sr-Cyrl-RS"/>
        </w:rPr>
        <w:t>, 8,4 do 12,4 nedelјe) u odnosu na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8,0 nedelјa u placebo grupi pacijenata (95% </w:t>
      </w:r>
      <w:r>
        <w:rPr>
          <w:rFonts w:ascii="Microsoft Sans Serif" w:hAnsi="Microsoft Sans Serif" w:cs="Microsoft Sans Serif"/>
          <w:bCs/>
          <w:sz w:val="20"/>
          <w:szCs w:val="20"/>
          <w:lang w:val="sr-Latn-RS"/>
        </w:rPr>
        <w:t>CI</w:t>
      </w:r>
      <w:r>
        <w:rPr>
          <w:rFonts w:ascii="Microsoft Sans Serif" w:hAnsi="Microsoft Sans Serif" w:cs="Microsoft Sans Serif"/>
          <w:bCs/>
          <w:sz w:val="20"/>
          <w:szCs w:val="20"/>
          <w:lang w:val="sr-Cyrl-RS"/>
        </w:rPr>
        <w:t>, 7,9 - 8,1 nedelјa).</w:t>
      </w:r>
    </w:p>
    <w:p w14:paraId="7800214E">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Objektivna stopa odgovora po </w:t>
      </w:r>
      <w:r>
        <w:rPr>
          <w:rFonts w:ascii="Microsoft Sans Serif" w:hAnsi="Microsoft Sans Serif" w:cs="Microsoft Sans Serif"/>
          <w:bCs/>
          <w:sz w:val="20"/>
          <w:szCs w:val="20"/>
          <w:lang w:val="sr-Latn-RS"/>
        </w:rPr>
        <w:t>RECIST</w:t>
      </w:r>
      <w:r>
        <w:rPr>
          <w:rFonts w:ascii="Microsoft Sans Serif" w:hAnsi="Microsoft Sans Serif" w:cs="Microsoft Sans Serif"/>
          <w:bCs/>
          <w:sz w:val="20"/>
          <w:szCs w:val="20"/>
          <w:lang w:val="sr-Cyrl-RS"/>
        </w:rPr>
        <w:t xml:space="preserve"> kriterijumima u grupi koja je primala erlotinib bila je 8,9% (95% </w:t>
      </w:r>
      <w:r>
        <w:rPr>
          <w:rFonts w:ascii="Microsoft Sans Serif" w:hAnsi="Microsoft Sans Serif" w:cs="Microsoft Sans Serif"/>
          <w:bCs/>
          <w:sz w:val="20"/>
          <w:szCs w:val="20"/>
          <w:lang w:val="sr-Latn-RS"/>
        </w:rPr>
        <w:t>CI</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6,4 do 12,0). Kod prvih 330 pacijenata stopu odgovora proc</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enila je nezavisna centralna komisija (stopa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odgovora 6,2%), a kod 401 pacijenta stopu odgovora proc</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enio je istraživač (stopa odgovora 11,2%).</w:t>
      </w:r>
    </w:p>
    <w:p w14:paraId="5EBBE0E1">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Medijana trajanja odgovora iznosila je 34,3 nedelјe, i kretala se u opsegu od 9,7 do 57,6+ nedelјa. Ud</w:t>
      </w:r>
      <w:r>
        <w:rPr>
          <w:rFonts w:ascii="Microsoft Sans Serif" w:hAnsi="Microsoft Sans Serif" w:cs="Microsoft Sans Serif"/>
          <w:bCs/>
          <w:sz w:val="20"/>
          <w:szCs w:val="20"/>
          <w:lang w:val="sr-Latn-RS"/>
        </w:rPr>
        <w:t>i</w:t>
      </w:r>
      <w:r>
        <w:rPr>
          <w:rFonts w:ascii="Microsoft Sans Serif" w:hAnsi="Microsoft Sans Serif" w:cs="Microsoft Sans Serif"/>
          <w:bCs/>
          <w:sz w:val="20"/>
          <w:szCs w:val="20"/>
          <w:lang w:val="sr-Cyrl-RS"/>
        </w:rPr>
        <w:t>o</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pacijenata koji su ostvarili potpun odgovor, parcijalan odgovor ili stabilizaciju bolesti bio je 44,0% 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erlotinib grupi u odnosu na 27,5% u grupi pacijenata </w:t>
      </w:r>
      <w:r>
        <w:rPr>
          <w:rFonts w:ascii="Microsoft Sans Serif" w:hAnsi="Microsoft Sans Serif" w:cs="Microsoft Sans Serif"/>
          <w:bCs/>
          <w:sz w:val="20"/>
          <w:szCs w:val="20"/>
        </w:rPr>
        <w:t xml:space="preserve">koja su dobijala placebo </w:t>
      </w:r>
      <w:r>
        <w:rPr>
          <w:rFonts w:ascii="Microsoft Sans Serif" w:hAnsi="Microsoft Sans Serif" w:cs="Microsoft Sans Serif"/>
          <w:bCs/>
          <w:sz w:val="20"/>
          <w:szCs w:val="20"/>
          <w:lang w:val="sr-Cyrl-RS"/>
        </w:rPr>
        <w:t>(p=0,004).</w:t>
      </w:r>
    </w:p>
    <w:p w14:paraId="34A26DB0">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Prednost u preživlјavanju sa erlotinibom takođe je primjećena kod pacijenata koji nisu postigli objektivan</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tumorski odgovor (prema </w:t>
      </w:r>
      <w:r>
        <w:rPr>
          <w:rFonts w:ascii="Microsoft Sans Serif" w:hAnsi="Microsoft Sans Serif" w:cs="Microsoft Sans Serif"/>
          <w:bCs/>
          <w:sz w:val="20"/>
          <w:szCs w:val="20"/>
          <w:lang w:val="sr-Latn-RS"/>
        </w:rPr>
        <w:t>RECIST</w:t>
      </w:r>
      <w:r>
        <w:rPr>
          <w:rFonts w:ascii="Microsoft Sans Serif" w:hAnsi="Microsoft Sans Serif" w:cs="Microsoft Sans Serif"/>
          <w:bCs/>
          <w:sz w:val="20"/>
          <w:szCs w:val="20"/>
          <w:lang w:val="sr-Cyrl-RS"/>
        </w:rPr>
        <w:t>). Ovo je pokazano vr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 xml:space="preserve">ednošću </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 xml:space="preserve"> za smrtni ishod od 0,82 (95% </w:t>
      </w:r>
      <w:r>
        <w:rPr>
          <w:rFonts w:ascii="Microsoft Sans Serif" w:hAnsi="Microsoft Sans Serif" w:cs="Microsoft Sans Serif"/>
          <w:bCs/>
          <w:sz w:val="20"/>
          <w:szCs w:val="20"/>
          <w:lang w:val="sr-Latn-RS"/>
        </w:rPr>
        <w:t>CI</w:t>
      </w:r>
      <w:r>
        <w:rPr>
          <w:rFonts w:ascii="Microsoft Sans Serif" w:hAnsi="Microsoft Sans Serif" w:cs="Microsoft Sans Serif"/>
          <w:bCs/>
          <w:sz w:val="20"/>
          <w:szCs w:val="20"/>
          <w:lang w:val="sr-Cyrl-RS"/>
        </w:rPr>
        <w:t>, 0,68</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do 0,99) među pacijentima čiji je najbolјi odgovor bio stabilna bolest ili progresija bolesti.</w:t>
      </w:r>
    </w:p>
    <w:p w14:paraId="59EFA456">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Primjena erlotiniba dovela je do pobolјšanja u pogledu simptoma tako što je značajno prolongirala vr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eme do</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pogoršanja kašlјa, dispnee i bola u odnosu na placebo.</w:t>
      </w:r>
    </w:p>
    <w:p w14:paraId="47113BE3">
      <w:pPr>
        <w:rPr>
          <w:rFonts w:ascii="Microsoft Sans Serif" w:hAnsi="Microsoft Sans Serif" w:cs="Microsoft Sans Serif"/>
          <w:bCs/>
          <w:sz w:val="20"/>
          <w:szCs w:val="20"/>
          <w:lang w:val="sr-Cyrl-RS"/>
        </w:rPr>
      </w:pPr>
    </w:p>
    <w:p w14:paraId="0DEC730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U dvostruko sl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 xml:space="preserve">epom, randomizovanom ispitivanju faze </w:t>
      </w:r>
      <w:r>
        <w:rPr>
          <w:rFonts w:ascii="Microsoft Sans Serif" w:hAnsi="Microsoft Sans Serif" w:cs="Microsoft Sans Serif"/>
          <w:bCs/>
          <w:sz w:val="20"/>
          <w:szCs w:val="20"/>
          <w:lang w:val="sr-Latn-RS"/>
        </w:rPr>
        <w:t>III</w:t>
      </w:r>
      <w:r>
        <w:rPr>
          <w:rFonts w:ascii="Microsoft Sans Serif" w:hAnsi="Microsoft Sans Serif" w:cs="Microsoft Sans Serif"/>
          <w:bCs/>
          <w:sz w:val="20"/>
          <w:szCs w:val="20"/>
          <w:lang w:val="sr-Cyrl-RS"/>
        </w:rPr>
        <w:t xml:space="preserve"> (MO22162, </w:t>
      </w:r>
      <w:r>
        <w:rPr>
          <w:rFonts w:ascii="Microsoft Sans Serif" w:hAnsi="Microsoft Sans Serif" w:cs="Microsoft Sans Serif"/>
          <w:bCs/>
          <w:sz w:val="20"/>
          <w:szCs w:val="20"/>
          <w:lang w:val="sr-Latn-RS"/>
        </w:rPr>
        <w:t>CURRENTS</w:t>
      </w:r>
      <w:r>
        <w:rPr>
          <w:rFonts w:ascii="Microsoft Sans Serif" w:hAnsi="Microsoft Sans Serif" w:cs="Microsoft Sans Serif"/>
          <w:bCs/>
          <w:sz w:val="20"/>
          <w:szCs w:val="20"/>
          <w:lang w:val="sr-Cyrl-RS"/>
        </w:rPr>
        <w:t>) kojim su upoređivane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dv</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 doze erlotiniba (300 mg nasuprot 150 mg) kod pacijenata pušača (srednja vrijednost 38 kutija/godina) sa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lokalno uznapredovalim ili metastatskim </w:t>
      </w:r>
      <w:r>
        <w:rPr>
          <w:rFonts w:ascii="Microsoft Sans Serif" w:hAnsi="Microsoft Sans Serif" w:cs="Microsoft Sans Serif"/>
          <w:bCs/>
          <w:sz w:val="20"/>
          <w:szCs w:val="20"/>
          <w:lang w:val="sr-Latn-RS"/>
        </w:rPr>
        <w:t>NSCLC</w:t>
      </w:r>
      <w:r>
        <w:rPr>
          <w:rFonts w:ascii="Microsoft Sans Serif" w:hAnsi="Microsoft Sans Serif" w:cs="Microsoft Sans Serif"/>
          <w:bCs/>
          <w:sz w:val="20"/>
          <w:szCs w:val="20"/>
          <w:lang w:val="sr-Cyrl-RS"/>
        </w:rPr>
        <w:t xml:space="preserve"> u drugoj liniji terapije nakon neuspeha hemioterapije, doza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erlotiniba od 300 mg nije ostvarila benefit na </w:t>
      </w:r>
      <w:r>
        <w:rPr>
          <w:rFonts w:ascii="Microsoft Sans Serif" w:hAnsi="Microsoft Sans Serif" w:cs="Microsoft Sans Serif"/>
          <w:bCs/>
          <w:sz w:val="20"/>
          <w:szCs w:val="20"/>
          <w:lang w:val="sr-Latn-RS"/>
        </w:rPr>
        <w:t>PFS</w:t>
      </w:r>
      <w:r>
        <w:rPr>
          <w:rFonts w:ascii="Microsoft Sans Serif" w:hAnsi="Microsoft Sans Serif" w:cs="Microsoft Sans Serif"/>
          <w:bCs/>
          <w:sz w:val="20"/>
          <w:szCs w:val="20"/>
          <w:lang w:val="sr-Cyrl-RS"/>
        </w:rPr>
        <w:t xml:space="preserve"> u odnosu na preporučenu dozu (7,00 nasuprot 6,86</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nedelјa).</w:t>
      </w:r>
    </w:p>
    <w:p w14:paraId="6109F086">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Svi sekundarni parametri praćenja ishoda bili su u skladu sa primarnim parametrima praćenja ishoda, i nije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uočena razlika u O</w:t>
      </w:r>
      <w:r>
        <w:rPr>
          <w:rFonts w:ascii="Microsoft Sans Serif" w:hAnsi="Microsoft Sans Serif" w:cs="Microsoft Sans Serif"/>
          <w:bCs/>
          <w:sz w:val="20"/>
          <w:szCs w:val="20"/>
          <w:lang w:val="sr-Latn-RS"/>
        </w:rPr>
        <w:t>S</w:t>
      </w:r>
      <w:r>
        <w:rPr>
          <w:rFonts w:ascii="Microsoft Sans Serif" w:hAnsi="Microsoft Sans Serif" w:cs="Microsoft Sans Serif"/>
          <w:bCs/>
          <w:sz w:val="20"/>
          <w:szCs w:val="20"/>
          <w:lang w:val="sr-Cyrl-RS"/>
        </w:rPr>
        <w:t xml:space="preserve"> između pacijenata na terapiji erlotinibom u dozi od 300 </w:t>
      </w:r>
      <w:r>
        <w:rPr>
          <w:rFonts w:ascii="Microsoft Sans Serif" w:hAnsi="Microsoft Sans Serif" w:cs="Microsoft Sans Serif"/>
          <w:bCs/>
          <w:sz w:val="20"/>
          <w:szCs w:val="20"/>
          <w:lang w:val="sr-Latn-RS"/>
        </w:rPr>
        <w:t>mg</w:t>
      </w:r>
      <w:r>
        <w:rPr>
          <w:rFonts w:ascii="Microsoft Sans Serif" w:hAnsi="Microsoft Sans Serif" w:cs="Microsoft Sans Serif"/>
          <w:bCs/>
          <w:sz w:val="20"/>
          <w:szCs w:val="20"/>
          <w:lang w:val="sr-Cyrl-RS"/>
        </w:rPr>
        <w:t>/dan i onih na terapiji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erlotinibom u dozi od 150 mg/dan (</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 xml:space="preserve"> 1,03, 95% </w:t>
      </w:r>
      <w:r>
        <w:rPr>
          <w:rFonts w:ascii="Microsoft Sans Serif" w:hAnsi="Microsoft Sans Serif" w:cs="Microsoft Sans Serif"/>
          <w:bCs/>
          <w:sz w:val="20"/>
          <w:szCs w:val="20"/>
          <w:lang w:val="sr-Latn-RS"/>
        </w:rPr>
        <w:t>CI</w:t>
      </w:r>
      <w:r>
        <w:rPr>
          <w:rFonts w:ascii="Microsoft Sans Serif" w:hAnsi="Microsoft Sans Serif" w:cs="Microsoft Sans Serif"/>
          <w:bCs/>
          <w:sz w:val="20"/>
          <w:szCs w:val="20"/>
          <w:lang w:val="sr-Cyrl-RS"/>
        </w:rPr>
        <w:t xml:space="preserve"> 0,80 do 1,32). Bezb</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ednosni podaci za doze od 300 mg 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150 mg bili su uporedivi; međutim, kod pacijenata koji su primali višu dozu erlotiniba zabilježeno je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brojčano povećanje incidence osipa, intersticij</w:t>
      </w:r>
      <w:r>
        <w:rPr>
          <w:rFonts w:ascii="Microsoft Sans Serif" w:hAnsi="Microsoft Sans Serif" w:cs="Microsoft Sans Serif"/>
          <w:bCs/>
          <w:sz w:val="20"/>
          <w:szCs w:val="20"/>
        </w:rPr>
        <w:t>ske</w:t>
      </w:r>
      <w:r>
        <w:rPr>
          <w:rFonts w:ascii="Microsoft Sans Serif" w:hAnsi="Microsoft Sans Serif" w:cs="Microsoft Sans Serif"/>
          <w:bCs/>
          <w:sz w:val="20"/>
          <w:szCs w:val="20"/>
          <w:lang w:val="sr-Cyrl-RS"/>
        </w:rPr>
        <w:t xml:space="preserve"> bolesti pluća i dijareje. Na osnovu podataka </w:t>
      </w:r>
      <w:r>
        <w:rPr>
          <w:rFonts w:ascii="Microsoft Sans Serif" w:hAnsi="Microsoft Sans Serif" w:cs="Microsoft Sans Serif"/>
          <w:bCs/>
          <w:sz w:val="20"/>
          <w:szCs w:val="20"/>
          <w:lang w:val="sr-Latn-RS"/>
        </w:rPr>
        <w:t xml:space="preserve">CURRENTS </w:t>
      </w:r>
      <w:r>
        <w:rPr>
          <w:rFonts w:ascii="Microsoft Sans Serif" w:hAnsi="Microsoft Sans Serif" w:cs="Microsoft Sans Serif"/>
          <w:bCs/>
          <w:sz w:val="20"/>
          <w:szCs w:val="20"/>
          <w:lang w:val="sr-Cyrl-RS"/>
        </w:rPr>
        <w:t>studije, nije bilo dokaza da je korist terapije kod aktivnih pušača veća pri primjeni više doze erlotiniba od 300</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mg u poređenju sa primjenom preporučene doze od 150 mg.</w:t>
      </w:r>
    </w:p>
    <w:p w14:paraId="043E9566">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U ovom ispitivanju pacijenti nisu bili odabrani na osnovu statusa E</w:t>
      </w:r>
      <w:r>
        <w:rPr>
          <w:rFonts w:ascii="Microsoft Sans Serif" w:hAnsi="Microsoft Sans Serif" w:cs="Microsoft Sans Serif"/>
          <w:bCs/>
          <w:sz w:val="20"/>
          <w:szCs w:val="20"/>
          <w:lang w:val="sr-Latn-RS"/>
        </w:rPr>
        <w:t>GFR</w:t>
      </w:r>
      <w:r>
        <w:rPr>
          <w:rFonts w:ascii="Microsoft Sans Serif" w:hAnsi="Microsoft Sans Serif" w:cs="Microsoft Sans Serif"/>
          <w:bCs/>
          <w:sz w:val="20"/>
          <w:szCs w:val="20"/>
          <w:lang w:val="sr-Cyrl-RS"/>
        </w:rPr>
        <w:t xml:space="preserve"> mutacije. Pogledati dijelove 4.2, 4.4, 4.5</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i 5.2.</w:t>
      </w:r>
    </w:p>
    <w:p w14:paraId="521ACD1A">
      <w:pPr>
        <w:rPr>
          <w:rFonts w:ascii="Microsoft Sans Serif" w:hAnsi="Microsoft Sans Serif" w:cs="Microsoft Sans Serif"/>
          <w:bCs/>
          <w:i/>
          <w:sz w:val="20"/>
          <w:szCs w:val="20"/>
          <w:u w:val="single"/>
          <w:lang w:val="sr-Cyrl-RS"/>
        </w:rPr>
      </w:pPr>
    </w:p>
    <w:p w14:paraId="6FF6100A">
      <w:pPr>
        <w:rPr>
          <w:rFonts w:ascii="Microsoft Sans Serif" w:hAnsi="Microsoft Sans Serif" w:cs="Microsoft Sans Serif"/>
          <w:bCs/>
          <w:i/>
          <w:sz w:val="20"/>
          <w:szCs w:val="20"/>
          <w:u w:val="single"/>
          <w:lang w:val="sr-Cyrl-RS"/>
        </w:rPr>
      </w:pPr>
      <w:r>
        <w:rPr>
          <w:rFonts w:ascii="Microsoft Sans Serif" w:hAnsi="Microsoft Sans Serif" w:cs="Microsoft Sans Serif"/>
          <w:bCs/>
          <w:i/>
          <w:sz w:val="20"/>
          <w:szCs w:val="20"/>
          <w:u w:val="single"/>
          <w:lang w:val="sr-Cyrl-RS"/>
        </w:rPr>
        <w:t xml:space="preserve">Karcinom pankreasa (erlotinib primenjen istovremeno sa gemcitabinom u studiji </w:t>
      </w:r>
      <w:r>
        <w:rPr>
          <w:rFonts w:ascii="Microsoft Sans Serif" w:hAnsi="Microsoft Sans Serif" w:cs="Microsoft Sans Serif"/>
          <w:bCs/>
          <w:i/>
          <w:sz w:val="20"/>
          <w:szCs w:val="20"/>
          <w:u w:val="single"/>
          <w:lang w:val="sr-Latn-RS"/>
        </w:rPr>
        <w:t>P</w:t>
      </w:r>
      <w:r>
        <w:rPr>
          <w:rFonts w:ascii="Microsoft Sans Serif" w:hAnsi="Microsoft Sans Serif" w:cs="Microsoft Sans Serif"/>
          <w:bCs/>
          <w:i/>
          <w:sz w:val="20"/>
          <w:szCs w:val="20"/>
          <w:u w:val="single"/>
          <w:lang w:val="sr-Cyrl-RS"/>
        </w:rPr>
        <w:t>A.3)</w:t>
      </w:r>
    </w:p>
    <w:p w14:paraId="4B49064F">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Efikasnost i bezbjednost erlotiniba u kombinaciji sa gemcitabinom kao prve linije terapije proc</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enjene su 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randomizovanoj, dvostruko slijepoj, placebo kontrolisanoj studiji kod pacijenata sa lokalno uznapredovalim,</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neresektabilnim ili metastatskim karcinomom pankreasa. Pacijenti su bili randomizovani da primaju erlotinib</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ili placebo jednom dnevno po kontinuiranom rasporedu zajedno sa gemcitabinom </w:t>
      </w:r>
      <w:r>
        <w:rPr>
          <w:rFonts w:ascii="Microsoft Sans Serif" w:hAnsi="Microsoft Sans Serif" w:cs="Microsoft Sans Serif"/>
          <w:bCs/>
          <w:sz w:val="20"/>
          <w:szCs w:val="20"/>
          <w:lang w:val="sr-Latn-RS"/>
        </w:rPr>
        <w:t>IV</w:t>
      </w:r>
      <w:r>
        <w:rPr>
          <w:rFonts w:ascii="Microsoft Sans Serif" w:hAnsi="Microsoft Sans Serif" w:cs="Microsoft Sans Serif"/>
          <w:bCs/>
          <w:sz w:val="20"/>
          <w:szCs w:val="20"/>
          <w:lang w:val="sr-Cyrl-RS"/>
        </w:rPr>
        <w:t xml:space="preserve"> (1000 mg/m</w:t>
      </w:r>
      <w:r>
        <w:rPr>
          <w:rFonts w:ascii="Microsoft Sans Serif" w:hAnsi="Microsoft Sans Serif" w:cs="Microsoft Sans Serif"/>
          <w:bCs/>
          <w:sz w:val="20"/>
          <w:szCs w:val="20"/>
          <w:vertAlign w:val="superscript"/>
          <w:lang w:val="sr-Cyrl-RS"/>
        </w:rPr>
        <w:t>2</w:t>
      </w:r>
      <w:r>
        <w:rPr>
          <w:rFonts w:ascii="Microsoft Sans Serif" w:hAnsi="Microsoft Sans Serif" w:cs="Microsoft Sans Serif"/>
          <w:bCs/>
          <w:sz w:val="20"/>
          <w:szCs w:val="20"/>
          <w:lang w:val="sr-Cyrl-RS"/>
        </w:rPr>
        <w:t>, ciklus 1</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dani 1, 8, 15, 22, 29, 36 i 43 tokom osmonedelјnog ciklusa; ciklus 2 i naredni ciklusi - dani 1, 8 i 15 tokom</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četvoronedelјnog ciklusa [za odobrene doze i režim doziranja za karcinom pankreasa pogledati Sažetak</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karakteristika lijeka za gemcitabin]). Erlotinib ili placebo primenjeni su oralno jednom dnevno do progresije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bolesti ili neprihvatlјive toksičnosti. Primarni parametar praćenja ishoda bio je ukupno preživlјavanje.</w:t>
      </w:r>
    </w:p>
    <w:p w14:paraId="049ED64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Demografske i karakteristike bolesti pacijenata na početku ispitivanja bile su slične u obe grupe, 100 mg</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erlotiniba plus gemcitabin ili placebo plus gemcitabin, izuzev što je u grupi erlotinib/gemcitabin bio</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neznatno veći udeo žena u odnosu na grupu placebo/gemcitabin:</w:t>
      </w:r>
    </w:p>
    <w:p w14:paraId="04AC39EF">
      <w:pPr>
        <w:rPr>
          <w:rFonts w:ascii="Microsoft Sans Serif" w:hAnsi="Microsoft Sans Serif" w:cs="Microsoft Sans Serif"/>
          <w:bCs/>
          <w:sz w:val="20"/>
          <w:szCs w:val="20"/>
          <w:lang w:val="sr-Cyrl-RS"/>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5"/>
        <w:gridCol w:w="1559"/>
        <w:gridCol w:w="1418"/>
      </w:tblGrid>
      <w:tr w14:paraId="04A44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shd w:val="clear" w:color="auto" w:fill="auto"/>
          </w:tcPr>
          <w:p w14:paraId="78E5864E">
            <w:pPr>
              <w:tabs>
                <w:tab w:val="left" w:pos="567"/>
                <w:tab w:val="clear" w:pos="284"/>
              </w:tabs>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Na početku ispitivanja</w:t>
            </w:r>
          </w:p>
        </w:tc>
        <w:tc>
          <w:tcPr>
            <w:tcW w:w="1559" w:type="dxa"/>
            <w:shd w:val="clear" w:color="auto" w:fill="auto"/>
          </w:tcPr>
          <w:p w14:paraId="185E48BD">
            <w:pPr>
              <w:tabs>
                <w:tab w:val="left" w:pos="567"/>
                <w:tab w:val="clear" w:pos="284"/>
              </w:tabs>
              <w:rPr>
                <w:rFonts w:ascii="Microsoft Sans Serif" w:hAnsi="Microsoft Sans Serif" w:cs="Microsoft Sans Serif"/>
                <w:b/>
                <w:sz w:val="20"/>
                <w:szCs w:val="20"/>
              </w:rPr>
            </w:pPr>
            <w:r>
              <w:rPr>
                <w:rFonts w:ascii="Microsoft Sans Serif" w:hAnsi="Microsoft Sans Serif" w:cs="Microsoft Sans Serif"/>
                <w:b/>
                <w:sz w:val="20"/>
                <w:szCs w:val="20"/>
              </w:rPr>
              <w:t>Erlotinib</w:t>
            </w:r>
          </w:p>
        </w:tc>
        <w:tc>
          <w:tcPr>
            <w:tcW w:w="1418" w:type="dxa"/>
            <w:shd w:val="clear" w:color="auto" w:fill="auto"/>
          </w:tcPr>
          <w:p w14:paraId="74192B70">
            <w:pPr>
              <w:tabs>
                <w:tab w:val="left" w:pos="567"/>
                <w:tab w:val="clear" w:pos="284"/>
              </w:tabs>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Placebo</w:t>
            </w:r>
          </w:p>
        </w:tc>
      </w:tr>
      <w:tr w14:paraId="6D8E9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shd w:val="clear" w:color="auto" w:fill="auto"/>
          </w:tcPr>
          <w:p w14:paraId="2DDFB971">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Žene</w:t>
            </w:r>
          </w:p>
        </w:tc>
        <w:tc>
          <w:tcPr>
            <w:tcW w:w="1559" w:type="dxa"/>
            <w:shd w:val="clear" w:color="auto" w:fill="auto"/>
          </w:tcPr>
          <w:p w14:paraId="7AD9F2B9">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51%</w:t>
            </w:r>
          </w:p>
        </w:tc>
        <w:tc>
          <w:tcPr>
            <w:tcW w:w="1418" w:type="dxa"/>
            <w:shd w:val="clear" w:color="auto" w:fill="auto"/>
          </w:tcPr>
          <w:p w14:paraId="164198C6">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44%</w:t>
            </w:r>
          </w:p>
        </w:tc>
      </w:tr>
      <w:tr w14:paraId="4467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shd w:val="clear" w:color="auto" w:fill="auto"/>
          </w:tcPr>
          <w:p w14:paraId="124D82B7">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Početni</w:t>
            </w:r>
            <w:r>
              <w:rPr>
                <w:rFonts w:ascii="Microsoft Sans Serif" w:hAnsi="Microsoft Sans Serif" w:cs="Microsoft Sans Serif"/>
                <w:sz w:val="20"/>
                <w:szCs w:val="20"/>
              </w:rPr>
              <w:t xml:space="preserve"> ECOG performans status (PS) = 0</w:t>
            </w:r>
          </w:p>
        </w:tc>
        <w:tc>
          <w:tcPr>
            <w:tcW w:w="1559" w:type="dxa"/>
            <w:shd w:val="clear" w:color="auto" w:fill="auto"/>
          </w:tcPr>
          <w:p w14:paraId="429C61C0">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31%</w:t>
            </w:r>
          </w:p>
        </w:tc>
        <w:tc>
          <w:tcPr>
            <w:tcW w:w="1418" w:type="dxa"/>
            <w:shd w:val="clear" w:color="auto" w:fill="auto"/>
          </w:tcPr>
          <w:p w14:paraId="045ED03B">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32%</w:t>
            </w:r>
          </w:p>
        </w:tc>
      </w:tr>
      <w:tr w14:paraId="2EE5F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shd w:val="clear" w:color="auto" w:fill="auto"/>
          </w:tcPr>
          <w:p w14:paraId="4171FA79">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Početni</w:t>
            </w:r>
            <w:r>
              <w:rPr>
                <w:rFonts w:ascii="Microsoft Sans Serif" w:hAnsi="Microsoft Sans Serif" w:cs="Microsoft Sans Serif"/>
                <w:sz w:val="20"/>
                <w:szCs w:val="20"/>
              </w:rPr>
              <w:t xml:space="preserve"> ECOG performans status (PS) = 1</w:t>
            </w:r>
          </w:p>
        </w:tc>
        <w:tc>
          <w:tcPr>
            <w:tcW w:w="1559" w:type="dxa"/>
            <w:shd w:val="clear" w:color="auto" w:fill="auto"/>
          </w:tcPr>
          <w:p w14:paraId="4CA2D118">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51%</w:t>
            </w:r>
          </w:p>
        </w:tc>
        <w:tc>
          <w:tcPr>
            <w:tcW w:w="1418" w:type="dxa"/>
            <w:shd w:val="clear" w:color="auto" w:fill="auto"/>
          </w:tcPr>
          <w:p w14:paraId="1D3C5718">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51%</w:t>
            </w:r>
          </w:p>
        </w:tc>
      </w:tr>
      <w:tr w14:paraId="117BE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shd w:val="clear" w:color="auto" w:fill="auto"/>
          </w:tcPr>
          <w:p w14:paraId="46646982">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Početni</w:t>
            </w:r>
            <w:r>
              <w:rPr>
                <w:rFonts w:ascii="Microsoft Sans Serif" w:hAnsi="Microsoft Sans Serif" w:cs="Microsoft Sans Serif"/>
                <w:sz w:val="20"/>
                <w:szCs w:val="20"/>
              </w:rPr>
              <w:t xml:space="preserve"> ECOG performans status (PS) = 2</w:t>
            </w:r>
          </w:p>
        </w:tc>
        <w:tc>
          <w:tcPr>
            <w:tcW w:w="1559" w:type="dxa"/>
            <w:shd w:val="clear" w:color="auto" w:fill="auto"/>
          </w:tcPr>
          <w:p w14:paraId="15306A7C">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17%</w:t>
            </w:r>
          </w:p>
        </w:tc>
        <w:tc>
          <w:tcPr>
            <w:tcW w:w="1418" w:type="dxa"/>
            <w:shd w:val="clear" w:color="auto" w:fill="auto"/>
          </w:tcPr>
          <w:p w14:paraId="7D71CABE">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17%</w:t>
            </w:r>
          </w:p>
        </w:tc>
      </w:tr>
      <w:tr w14:paraId="1A01F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shd w:val="clear" w:color="auto" w:fill="auto"/>
          </w:tcPr>
          <w:p w14:paraId="597EBBD5">
            <w:pPr>
              <w:tabs>
                <w:tab w:val="left" w:pos="567"/>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rPr>
              <w:t>Metasta</w:t>
            </w:r>
            <w:r>
              <w:rPr>
                <w:rFonts w:ascii="Microsoft Sans Serif" w:hAnsi="Microsoft Sans Serif" w:cs="Microsoft Sans Serif"/>
                <w:sz w:val="20"/>
                <w:szCs w:val="20"/>
                <w:lang w:val="sr-Cyrl-RS"/>
              </w:rPr>
              <w:t>t</w:t>
            </w:r>
            <w:r>
              <w:rPr>
                <w:rFonts w:ascii="Microsoft Sans Serif" w:hAnsi="Microsoft Sans Serif" w:cs="Microsoft Sans Serif"/>
                <w:sz w:val="20"/>
                <w:szCs w:val="20"/>
              </w:rPr>
              <w:t>ska bolest</w:t>
            </w:r>
            <w:r>
              <w:rPr>
                <w:rFonts w:ascii="Microsoft Sans Serif" w:hAnsi="Microsoft Sans Serif" w:cs="Microsoft Sans Serif"/>
                <w:sz w:val="20"/>
                <w:szCs w:val="20"/>
                <w:lang w:val="sr-Cyrl-RS"/>
              </w:rPr>
              <w:t xml:space="preserve"> na početku ispitivanja</w:t>
            </w:r>
          </w:p>
        </w:tc>
        <w:tc>
          <w:tcPr>
            <w:tcW w:w="1559" w:type="dxa"/>
            <w:shd w:val="clear" w:color="auto" w:fill="auto"/>
          </w:tcPr>
          <w:p w14:paraId="6DF8B0B2">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77%</w:t>
            </w:r>
          </w:p>
        </w:tc>
        <w:tc>
          <w:tcPr>
            <w:tcW w:w="1418" w:type="dxa"/>
            <w:shd w:val="clear" w:color="auto" w:fill="auto"/>
          </w:tcPr>
          <w:p w14:paraId="789F8017">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76%</w:t>
            </w:r>
          </w:p>
        </w:tc>
      </w:tr>
    </w:tbl>
    <w:p w14:paraId="04F1EF6E">
      <w:pPr>
        <w:rPr>
          <w:rFonts w:ascii="Microsoft Sans Serif" w:hAnsi="Microsoft Sans Serif" w:cs="Microsoft Sans Serif"/>
          <w:bCs/>
          <w:sz w:val="20"/>
          <w:szCs w:val="20"/>
          <w:lang w:val="sr-Cyrl-RS"/>
        </w:rPr>
      </w:pPr>
    </w:p>
    <w:p w14:paraId="3AB2756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Preživlјavanje je proc</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enjeno u populaciji predviđenoj za liječenje (</w:t>
      </w:r>
      <w:r>
        <w:rPr>
          <w:rFonts w:ascii="Microsoft Sans Serif" w:hAnsi="Microsoft Sans Serif" w:cs="Microsoft Sans Serif"/>
          <w:bCs/>
          <w:sz w:val="20"/>
          <w:szCs w:val="20"/>
          <w:lang w:val="sr-Latn-RS"/>
        </w:rPr>
        <w:t>ITT</w:t>
      </w:r>
      <w:r>
        <w:rPr>
          <w:rFonts w:ascii="Microsoft Sans Serif" w:hAnsi="Microsoft Sans Serif" w:cs="Microsoft Sans Serif"/>
          <w:bCs/>
          <w:sz w:val="20"/>
          <w:szCs w:val="20"/>
          <w:lang w:val="sr-Cyrl-RS"/>
        </w:rPr>
        <w:t xml:space="preserve"> - engl. </w:t>
      </w:r>
      <w:r>
        <w:rPr>
          <w:rFonts w:ascii="Microsoft Sans Serif" w:hAnsi="Microsoft Sans Serif" w:cs="Microsoft Sans Serif"/>
          <w:bCs/>
          <w:i/>
          <w:sz w:val="20"/>
          <w:szCs w:val="20"/>
          <w:lang w:val="sr-Cyrl-RS"/>
        </w:rPr>
        <w:t>i</w:t>
      </w:r>
      <w:r>
        <w:rPr>
          <w:rFonts w:ascii="Microsoft Sans Serif" w:hAnsi="Microsoft Sans Serif" w:cs="Microsoft Sans Serif"/>
          <w:bCs/>
          <w:i/>
          <w:sz w:val="20"/>
          <w:szCs w:val="20"/>
          <w:lang w:val="sr-Latn-RS"/>
        </w:rPr>
        <w:t>ntent-to-treat</w:t>
      </w:r>
      <w:r>
        <w:rPr>
          <w:rFonts w:ascii="Microsoft Sans Serif" w:hAnsi="Microsoft Sans Serif" w:cs="Microsoft Sans Serif"/>
          <w:bCs/>
          <w:sz w:val="20"/>
          <w:szCs w:val="20"/>
          <w:lang w:val="sr-Cyrl-RS"/>
        </w:rPr>
        <w:t>), na osnovu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podataka o preživlјavanju dobijenih tokom praćenja. Rezultati su prikazani u sledećoj tabeli (rezultati grupe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pacijenata sa metastatskim i lokalno uznapredovalim karcinomom izvedeni su iz eksploratorne analize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podgrupa).</w:t>
      </w:r>
    </w:p>
    <w:p w14:paraId="6071A61F">
      <w:pPr>
        <w:rPr>
          <w:rFonts w:ascii="Microsoft Sans Serif" w:hAnsi="Microsoft Sans Serif" w:cs="Microsoft Sans Serif"/>
          <w:bCs/>
          <w:sz w:val="20"/>
          <w:szCs w:val="20"/>
          <w:lang w:val="sr-Cyrl-RS"/>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134"/>
        <w:gridCol w:w="1134"/>
        <w:gridCol w:w="1134"/>
        <w:gridCol w:w="1134"/>
        <w:gridCol w:w="709"/>
        <w:gridCol w:w="1088"/>
        <w:gridCol w:w="720"/>
      </w:tblGrid>
      <w:tr w14:paraId="1357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tcPr>
          <w:p w14:paraId="23B26B64">
            <w:pPr>
              <w:tabs>
                <w:tab w:val="left" w:pos="567"/>
                <w:tab w:val="clear" w:pos="284"/>
              </w:tabs>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Ishod</w:t>
            </w:r>
          </w:p>
        </w:tc>
        <w:tc>
          <w:tcPr>
            <w:tcW w:w="1134" w:type="dxa"/>
            <w:shd w:val="clear" w:color="auto" w:fill="auto"/>
          </w:tcPr>
          <w:p w14:paraId="0ECEAF1A">
            <w:pPr>
              <w:tabs>
                <w:tab w:val="left" w:pos="567"/>
                <w:tab w:val="clear" w:pos="284"/>
              </w:tabs>
              <w:rPr>
                <w:rFonts w:ascii="Microsoft Sans Serif" w:hAnsi="Microsoft Sans Serif" w:cs="Microsoft Sans Serif"/>
                <w:b/>
                <w:sz w:val="20"/>
                <w:szCs w:val="20"/>
              </w:rPr>
            </w:pPr>
            <w:r>
              <w:rPr>
                <w:rFonts w:ascii="Microsoft Sans Serif" w:hAnsi="Microsoft Sans Serif" w:cs="Microsoft Sans Serif"/>
                <w:b/>
                <w:sz w:val="20"/>
                <w:szCs w:val="20"/>
              </w:rPr>
              <w:t xml:space="preserve">Erlotinib </w:t>
            </w:r>
            <w:r>
              <w:rPr>
                <w:rFonts w:ascii="Microsoft Sans Serif" w:hAnsi="Microsoft Sans Serif" w:cs="Microsoft Sans Serif"/>
                <w:b/>
                <w:sz w:val="20"/>
                <w:szCs w:val="20"/>
                <w:lang w:val="sr-Cyrl-RS"/>
              </w:rPr>
              <w:t>(m</w:t>
            </w:r>
            <w:r>
              <w:rPr>
                <w:rFonts w:ascii="Microsoft Sans Serif" w:hAnsi="Microsoft Sans Serif" w:cs="Microsoft Sans Serif"/>
                <w:b/>
                <w:sz w:val="20"/>
                <w:szCs w:val="20"/>
                <w:lang w:val="sr-Latn-RS"/>
              </w:rPr>
              <w:t>j</w:t>
            </w:r>
            <w:r>
              <w:rPr>
                <w:rFonts w:ascii="Microsoft Sans Serif" w:hAnsi="Microsoft Sans Serif" w:cs="Microsoft Sans Serif"/>
                <w:b/>
                <w:sz w:val="20"/>
                <w:szCs w:val="20"/>
                <w:lang w:val="sr-Cyrl-RS"/>
              </w:rPr>
              <w:t>eseci</w:t>
            </w:r>
            <w:r>
              <w:rPr>
                <w:rFonts w:ascii="Microsoft Sans Serif" w:hAnsi="Microsoft Sans Serif" w:cs="Microsoft Sans Serif"/>
                <w:b/>
                <w:sz w:val="20"/>
                <w:szCs w:val="20"/>
              </w:rPr>
              <w:t>)</w:t>
            </w:r>
          </w:p>
        </w:tc>
        <w:tc>
          <w:tcPr>
            <w:tcW w:w="1134" w:type="dxa"/>
            <w:shd w:val="clear" w:color="auto" w:fill="auto"/>
          </w:tcPr>
          <w:p w14:paraId="2A202EC5">
            <w:pPr>
              <w:tabs>
                <w:tab w:val="left" w:pos="567"/>
                <w:tab w:val="clear" w:pos="284"/>
              </w:tabs>
              <w:rPr>
                <w:rFonts w:ascii="Microsoft Sans Serif" w:hAnsi="Microsoft Sans Serif" w:cs="Microsoft Sans Serif"/>
                <w:b/>
                <w:sz w:val="20"/>
                <w:szCs w:val="20"/>
              </w:rPr>
            </w:pPr>
            <w:r>
              <w:rPr>
                <w:rFonts w:ascii="Microsoft Sans Serif" w:hAnsi="Microsoft Sans Serif" w:cs="Microsoft Sans Serif"/>
                <w:b/>
                <w:sz w:val="20"/>
                <w:szCs w:val="20"/>
                <w:lang w:val="sr-Cyrl-RS"/>
              </w:rPr>
              <w:t>Placebo</w:t>
            </w:r>
            <w:r>
              <w:rPr>
                <w:rFonts w:ascii="Microsoft Sans Serif" w:hAnsi="Microsoft Sans Serif" w:cs="Microsoft Sans Serif"/>
                <w:b/>
                <w:sz w:val="20"/>
                <w:szCs w:val="20"/>
              </w:rPr>
              <w:t xml:space="preserve"> (mjeseci)</w:t>
            </w:r>
          </w:p>
        </w:tc>
        <w:tc>
          <w:tcPr>
            <w:tcW w:w="1134" w:type="dxa"/>
            <w:shd w:val="clear" w:color="auto" w:fill="auto"/>
          </w:tcPr>
          <w:p w14:paraId="2FAF097E">
            <w:pPr>
              <w:tabs>
                <w:tab w:val="left" w:pos="567"/>
                <w:tab w:val="clear" w:pos="284"/>
              </w:tabs>
              <w:rPr>
                <w:rFonts w:ascii="Microsoft Sans Serif" w:hAnsi="Microsoft Sans Serif" w:cs="Microsoft Sans Serif"/>
                <w:b/>
                <w:sz w:val="20"/>
                <w:szCs w:val="20"/>
              </w:rPr>
            </w:pPr>
            <w:r>
              <w:rPr>
                <w:rFonts w:ascii="Microsoft Sans Serif" w:hAnsi="Microsoft Sans Serif" w:cs="Microsoft Sans Serif"/>
                <w:b/>
                <w:sz w:val="20"/>
                <w:szCs w:val="20"/>
              </w:rPr>
              <w:t>Δ (mjeseci)</w:t>
            </w:r>
          </w:p>
        </w:tc>
        <w:tc>
          <w:tcPr>
            <w:tcW w:w="1134" w:type="dxa"/>
            <w:shd w:val="clear" w:color="auto" w:fill="auto"/>
          </w:tcPr>
          <w:p w14:paraId="690BFD04">
            <w:pPr>
              <w:tabs>
                <w:tab w:val="left" w:pos="567"/>
                <w:tab w:val="clear" w:pos="284"/>
              </w:tabs>
              <w:rPr>
                <w:rFonts w:ascii="Microsoft Sans Serif" w:hAnsi="Microsoft Sans Serif" w:cs="Microsoft Sans Serif"/>
                <w:b/>
                <w:sz w:val="20"/>
                <w:szCs w:val="20"/>
              </w:rPr>
            </w:pPr>
            <w:r>
              <w:rPr>
                <w:rFonts w:ascii="Microsoft Sans Serif" w:hAnsi="Microsoft Sans Serif" w:cs="Microsoft Sans Serif"/>
                <w:b/>
                <w:sz w:val="20"/>
                <w:szCs w:val="20"/>
              </w:rPr>
              <w:t>CI za Δ</w:t>
            </w:r>
          </w:p>
        </w:tc>
        <w:tc>
          <w:tcPr>
            <w:tcW w:w="709" w:type="dxa"/>
            <w:shd w:val="clear" w:color="auto" w:fill="auto"/>
          </w:tcPr>
          <w:p w14:paraId="0BF65EEB">
            <w:pPr>
              <w:tabs>
                <w:tab w:val="left" w:pos="567"/>
                <w:tab w:val="clear" w:pos="284"/>
              </w:tabs>
              <w:rPr>
                <w:rFonts w:ascii="Microsoft Sans Serif" w:hAnsi="Microsoft Sans Serif" w:cs="Microsoft Sans Serif"/>
                <w:b/>
                <w:sz w:val="20"/>
                <w:szCs w:val="20"/>
              </w:rPr>
            </w:pPr>
            <w:r>
              <w:rPr>
                <w:rFonts w:ascii="Microsoft Sans Serif" w:hAnsi="Microsoft Sans Serif" w:cs="Microsoft Sans Serif"/>
                <w:b/>
                <w:sz w:val="20"/>
                <w:szCs w:val="20"/>
              </w:rPr>
              <w:t>HR</w:t>
            </w:r>
          </w:p>
        </w:tc>
        <w:tc>
          <w:tcPr>
            <w:tcW w:w="1088" w:type="dxa"/>
            <w:shd w:val="clear" w:color="auto" w:fill="auto"/>
          </w:tcPr>
          <w:p w14:paraId="05A41665">
            <w:pPr>
              <w:tabs>
                <w:tab w:val="left" w:pos="567"/>
                <w:tab w:val="clear" w:pos="284"/>
              </w:tabs>
              <w:rPr>
                <w:rFonts w:ascii="Microsoft Sans Serif" w:hAnsi="Microsoft Sans Serif" w:cs="Microsoft Sans Serif"/>
                <w:b/>
                <w:sz w:val="20"/>
                <w:szCs w:val="20"/>
              </w:rPr>
            </w:pPr>
            <w:r>
              <w:rPr>
                <w:rFonts w:ascii="Microsoft Sans Serif" w:hAnsi="Microsoft Sans Serif" w:cs="Microsoft Sans Serif"/>
                <w:b/>
                <w:sz w:val="20"/>
                <w:szCs w:val="20"/>
              </w:rPr>
              <w:t>CI za HR</w:t>
            </w:r>
          </w:p>
        </w:tc>
        <w:tc>
          <w:tcPr>
            <w:tcW w:w="720" w:type="dxa"/>
            <w:shd w:val="clear" w:color="auto" w:fill="auto"/>
          </w:tcPr>
          <w:p w14:paraId="02FBDCF0">
            <w:pPr>
              <w:tabs>
                <w:tab w:val="left" w:pos="567"/>
                <w:tab w:val="clear" w:pos="284"/>
              </w:tabs>
              <w:rPr>
                <w:rFonts w:ascii="Microsoft Sans Serif" w:hAnsi="Microsoft Sans Serif" w:cs="Microsoft Sans Serif"/>
                <w:b/>
                <w:sz w:val="20"/>
                <w:szCs w:val="20"/>
              </w:rPr>
            </w:pPr>
            <w:r>
              <w:rPr>
                <w:rFonts w:ascii="Microsoft Sans Serif" w:hAnsi="Microsoft Sans Serif" w:cs="Microsoft Sans Serif"/>
                <w:b/>
                <w:i/>
                <w:sz w:val="20"/>
                <w:szCs w:val="20"/>
                <w:lang w:val="sr-Latn-RS"/>
              </w:rPr>
              <w:t>p</w:t>
            </w:r>
            <w:r>
              <w:rPr>
                <w:rFonts w:ascii="Microsoft Sans Serif" w:hAnsi="Microsoft Sans Serif" w:cs="Microsoft Sans Serif"/>
                <w:b/>
                <w:i/>
                <w:sz w:val="20"/>
                <w:szCs w:val="20"/>
              </w:rPr>
              <w:t>-</w:t>
            </w:r>
            <w:r>
              <w:rPr>
                <w:rFonts w:ascii="Microsoft Sans Serif" w:hAnsi="Microsoft Sans Serif" w:cs="Microsoft Sans Serif"/>
                <w:b/>
                <w:sz w:val="20"/>
                <w:szCs w:val="20"/>
              </w:rPr>
              <w:t xml:space="preserve"> vrijednost</w:t>
            </w:r>
          </w:p>
        </w:tc>
      </w:tr>
      <w:tr w14:paraId="082BB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8"/>
            <w:shd w:val="clear" w:color="auto" w:fill="auto"/>
          </w:tcPr>
          <w:p w14:paraId="227546D9">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Ukupna populacija</w:t>
            </w:r>
          </w:p>
        </w:tc>
      </w:tr>
      <w:tr w14:paraId="12040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tcPr>
          <w:p w14:paraId="101EB947">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Medijana ukupnog preživlјavanja</w:t>
            </w:r>
          </w:p>
        </w:tc>
        <w:tc>
          <w:tcPr>
            <w:tcW w:w="1134" w:type="dxa"/>
            <w:shd w:val="clear" w:color="auto" w:fill="auto"/>
          </w:tcPr>
          <w:p w14:paraId="05B6854E">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6.4</w:t>
            </w:r>
          </w:p>
        </w:tc>
        <w:tc>
          <w:tcPr>
            <w:tcW w:w="1134" w:type="dxa"/>
            <w:shd w:val="clear" w:color="auto" w:fill="auto"/>
          </w:tcPr>
          <w:p w14:paraId="4624B0C4">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6.0</w:t>
            </w:r>
          </w:p>
        </w:tc>
        <w:tc>
          <w:tcPr>
            <w:tcW w:w="1134" w:type="dxa"/>
            <w:shd w:val="clear" w:color="auto" w:fill="auto"/>
          </w:tcPr>
          <w:p w14:paraId="089E2839">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0.41</w:t>
            </w:r>
          </w:p>
        </w:tc>
        <w:tc>
          <w:tcPr>
            <w:tcW w:w="1134" w:type="dxa"/>
            <w:shd w:val="clear" w:color="auto" w:fill="auto"/>
          </w:tcPr>
          <w:p w14:paraId="3679BE17">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-0.54-1.64</w:t>
            </w:r>
          </w:p>
        </w:tc>
        <w:tc>
          <w:tcPr>
            <w:tcW w:w="709" w:type="dxa"/>
            <w:vMerge w:val="restart"/>
            <w:shd w:val="clear" w:color="auto" w:fill="auto"/>
          </w:tcPr>
          <w:p w14:paraId="777E58B6">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0.82</w:t>
            </w:r>
          </w:p>
        </w:tc>
        <w:tc>
          <w:tcPr>
            <w:tcW w:w="1088" w:type="dxa"/>
            <w:vMerge w:val="restart"/>
            <w:shd w:val="clear" w:color="auto" w:fill="auto"/>
          </w:tcPr>
          <w:p w14:paraId="451E2E96">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0.69-0.98</w:t>
            </w:r>
          </w:p>
        </w:tc>
        <w:tc>
          <w:tcPr>
            <w:tcW w:w="720" w:type="dxa"/>
            <w:vMerge w:val="restart"/>
            <w:shd w:val="clear" w:color="auto" w:fill="auto"/>
          </w:tcPr>
          <w:p w14:paraId="31EDFCB2">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0.028</w:t>
            </w:r>
          </w:p>
        </w:tc>
      </w:tr>
      <w:tr w14:paraId="1A713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tcPr>
          <w:p w14:paraId="3FB72283">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Srednja vrijednost ukupnog preživlјavanja</w:t>
            </w:r>
          </w:p>
        </w:tc>
        <w:tc>
          <w:tcPr>
            <w:tcW w:w="1134" w:type="dxa"/>
            <w:shd w:val="clear" w:color="auto" w:fill="auto"/>
          </w:tcPr>
          <w:p w14:paraId="6FB3D25B">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8.8</w:t>
            </w:r>
          </w:p>
        </w:tc>
        <w:tc>
          <w:tcPr>
            <w:tcW w:w="1134" w:type="dxa"/>
            <w:shd w:val="clear" w:color="auto" w:fill="auto"/>
          </w:tcPr>
          <w:p w14:paraId="6099D3EF">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7.6</w:t>
            </w:r>
          </w:p>
        </w:tc>
        <w:tc>
          <w:tcPr>
            <w:tcW w:w="1134" w:type="dxa"/>
            <w:shd w:val="clear" w:color="auto" w:fill="auto"/>
          </w:tcPr>
          <w:p w14:paraId="086460CD">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1.16</w:t>
            </w:r>
          </w:p>
        </w:tc>
        <w:tc>
          <w:tcPr>
            <w:tcW w:w="1134" w:type="dxa"/>
            <w:shd w:val="clear" w:color="auto" w:fill="auto"/>
          </w:tcPr>
          <w:p w14:paraId="0DE25E4F">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-0.05-2.34</w:t>
            </w:r>
          </w:p>
        </w:tc>
        <w:tc>
          <w:tcPr>
            <w:tcW w:w="709" w:type="dxa"/>
            <w:vMerge w:val="continue"/>
            <w:shd w:val="clear" w:color="auto" w:fill="auto"/>
          </w:tcPr>
          <w:p w14:paraId="4048BB44">
            <w:pPr>
              <w:tabs>
                <w:tab w:val="left" w:pos="567"/>
                <w:tab w:val="clear" w:pos="284"/>
              </w:tabs>
              <w:rPr>
                <w:rFonts w:ascii="Microsoft Sans Serif" w:hAnsi="Microsoft Sans Serif" w:cs="Microsoft Sans Serif"/>
                <w:sz w:val="20"/>
                <w:szCs w:val="20"/>
              </w:rPr>
            </w:pPr>
          </w:p>
        </w:tc>
        <w:tc>
          <w:tcPr>
            <w:tcW w:w="1088" w:type="dxa"/>
            <w:vMerge w:val="continue"/>
            <w:shd w:val="clear" w:color="auto" w:fill="auto"/>
          </w:tcPr>
          <w:p w14:paraId="4144ECE1">
            <w:pPr>
              <w:tabs>
                <w:tab w:val="left" w:pos="567"/>
                <w:tab w:val="clear" w:pos="284"/>
              </w:tabs>
              <w:rPr>
                <w:rFonts w:ascii="Microsoft Sans Serif" w:hAnsi="Microsoft Sans Serif" w:cs="Microsoft Sans Serif"/>
                <w:sz w:val="20"/>
                <w:szCs w:val="20"/>
              </w:rPr>
            </w:pPr>
          </w:p>
        </w:tc>
        <w:tc>
          <w:tcPr>
            <w:tcW w:w="720" w:type="dxa"/>
            <w:vMerge w:val="continue"/>
            <w:shd w:val="clear" w:color="auto" w:fill="auto"/>
          </w:tcPr>
          <w:p w14:paraId="0C405107">
            <w:pPr>
              <w:tabs>
                <w:tab w:val="left" w:pos="567"/>
                <w:tab w:val="clear" w:pos="284"/>
              </w:tabs>
              <w:rPr>
                <w:rFonts w:ascii="Microsoft Sans Serif" w:hAnsi="Microsoft Sans Serif" w:cs="Microsoft Sans Serif"/>
                <w:sz w:val="20"/>
                <w:szCs w:val="20"/>
              </w:rPr>
            </w:pPr>
          </w:p>
        </w:tc>
      </w:tr>
      <w:tr w14:paraId="48BCC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8"/>
            <w:shd w:val="clear" w:color="auto" w:fill="auto"/>
          </w:tcPr>
          <w:p w14:paraId="03AAC10D">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Populacija sa metastazama</w:t>
            </w:r>
          </w:p>
        </w:tc>
      </w:tr>
      <w:tr w14:paraId="79478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tcPr>
          <w:p w14:paraId="0D70E381">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Medijana ukupnog preživlјavanja</w:t>
            </w:r>
          </w:p>
        </w:tc>
        <w:tc>
          <w:tcPr>
            <w:tcW w:w="1134" w:type="dxa"/>
            <w:shd w:val="clear" w:color="auto" w:fill="auto"/>
          </w:tcPr>
          <w:p w14:paraId="3ED47CB8">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5.9</w:t>
            </w:r>
          </w:p>
        </w:tc>
        <w:tc>
          <w:tcPr>
            <w:tcW w:w="1134" w:type="dxa"/>
            <w:shd w:val="clear" w:color="auto" w:fill="auto"/>
          </w:tcPr>
          <w:p w14:paraId="78C162CD">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5.1</w:t>
            </w:r>
          </w:p>
        </w:tc>
        <w:tc>
          <w:tcPr>
            <w:tcW w:w="1134" w:type="dxa"/>
            <w:shd w:val="clear" w:color="auto" w:fill="auto"/>
          </w:tcPr>
          <w:p w14:paraId="2DF84903">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0.87</w:t>
            </w:r>
          </w:p>
        </w:tc>
        <w:tc>
          <w:tcPr>
            <w:tcW w:w="1134" w:type="dxa"/>
            <w:shd w:val="clear" w:color="auto" w:fill="auto"/>
          </w:tcPr>
          <w:p w14:paraId="2915B95B">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-0.26-1.56</w:t>
            </w:r>
          </w:p>
        </w:tc>
        <w:tc>
          <w:tcPr>
            <w:tcW w:w="709" w:type="dxa"/>
            <w:vMerge w:val="restart"/>
            <w:shd w:val="clear" w:color="auto" w:fill="auto"/>
          </w:tcPr>
          <w:p w14:paraId="4174938D">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0.80</w:t>
            </w:r>
          </w:p>
        </w:tc>
        <w:tc>
          <w:tcPr>
            <w:tcW w:w="1088" w:type="dxa"/>
            <w:vMerge w:val="restart"/>
            <w:shd w:val="clear" w:color="auto" w:fill="auto"/>
          </w:tcPr>
          <w:p w14:paraId="304D6A9B">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0.66-0.98</w:t>
            </w:r>
          </w:p>
        </w:tc>
        <w:tc>
          <w:tcPr>
            <w:tcW w:w="720" w:type="dxa"/>
            <w:vMerge w:val="restart"/>
            <w:shd w:val="clear" w:color="auto" w:fill="auto"/>
          </w:tcPr>
          <w:p w14:paraId="24FF82BE">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0.029</w:t>
            </w:r>
          </w:p>
        </w:tc>
      </w:tr>
      <w:tr w14:paraId="7386C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tcPr>
          <w:p w14:paraId="47785D07">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Srednja vrijednost ukupnog preživlјavanja</w:t>
            </w:r>
          </w:p>
        </w:tc>
        <w:tc>
          <w:tcPr>
            <w:tcW w:w="1134" w:type="dxa"/>
            <w:shd w:val="clear" w:color="auto" w:fill="auto"/>
          </w:tcPr>
          <w:p w14:paraId="6F95B5F9">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8.1</w:t>
            </w:r>
          </w:p>
        </w:tc>
        <w:tc>
          <w:tcPr>
            <w:tcW w:w="1134" w:type="dxa"/>
            <w:shd w:val="clear" w:color="auto" w:fill="auto"/>
          </w:tcPr>
          <w:p w14:paraId="5D7308E4">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6.7</w:t>
            </w:r>
          </w:p>
        </w:tc>
        <w:tc>
          <w:tcPr>
            <w:tcW w:w="1134" w:type="dxa"/>
            <w:shd w:val="clear" w:color="auto" w:fill="auto"/>
          </w:tcPr>
          <w:p w14:paraId="21290159">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1.43</w:t>
            </w:r>
          </w:p>
        </w:tc>
        <w:tc>
          <w:tcPr>
            <w:tcW w:w="1134" w:type="dxa"/>
            <w:shd w:val="clear" w:color="auto" w:fill="auto"/>
          </w:tcPr>
          <w:p w14:paraId="3D258A19">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0.17-2.66</w:t>
            </w:r>
          </w:p>
        </w:tc>
        <w:tc>
          <w:tcPr>
            <w:tcW w:w="709" w:type="dxa"/>
            <w:vMerge w:val="continue"/>
            <w:shd w:val="clear" w:color="auto" w:fill="auto"/>
          </w:tcPr>
          <w:p w14:paraId="642FC7F5">
            <w:pPr>
              <w:tabs>
                <w:tab w:val="left" w:pos="567"/>
                <w:tab w:val="clear" w:pos="284"/>
              </w:tabs>
              <w:rPr>
                <w:rFonts w:ascii="Microsoft Sans Serif" w:hAnsi="Microsoft Sans Serif" w:cs="Microsoft Sans Serif"/>
                <w:sz w:val="20"/>
                <w:szCs w:val="20"/>
              </w:rPr>
            </w:pPr>
          </w:p>
        </w:tc>
        <w:tc>
          <w:tcPr>
            <w:tcW w:w="1088" w:type="dxa"/>
            <w:vMerge w:val="continue"/>
            <w:shd w:val="clear" w:color="auto" w:fill="auto"/>
          </w:tcPr>
          <w:p w14:paraId="1816EAE8">
            <w:pPr>
              <w:tabs>
                <w:tab w:val="left" w:pos="567"/>
                <w:tab w:val="clear" w:pos="284"/>
              </w:tabs>
              <w:rPr>
                <w:rFonts w:ascii="Microsoft Sans Serif" w:hAnsi="Microsoft Sans Serif" w:cs="Microsoft Sans Serif"/>
                <w:sz w:val="20"/>
                <w:szCs w:val="20"/>
              </w:rPr>
            </w:pPr>
          </w:p>
        </w:tc>
        <w:tc>
          <w:tcPr>
            <w:tcW w:w="720" w:type="dxa"/>
            <w:vMerge w:val="continue"/>
            <w:shd w:val="clear" w:color="auto" w:fill="auto"/>
          </w:tcPr>
          <w:p w14:paraId="423E8525">
            <w:pPr>
              <w:tabs>
                <w:tab w:val="left" w:pos="567"/>
                <w:tab w:val="clear" w:pos="284"/>
              </w:tabs>
              <w:rPr>
                <w:rFonts w:ascii="Microsoft Sans Serif" w:hAnsi="Microsoft Sans Serif" w:cs="Microsoft Sans Serif"/>
                <w:sz w:val="20"/>
                <w:szCs w:val="20"/>
              </w:rPr>
            </w:pPr>
          </w:p>
        </w:tc>
      </w:tr>
      <w:tr w14:paraId="58BA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8"/>
            <w:shd w:val="clear" w:color="auto" w:fill="auto"/>
          </w:tcPr>
          <w:p w14:paraId="14533F94">
            <w:pPr>
              <w:tabs>
                <w:tab w:val="left" w:pos="567"/>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Populacija sa lokalno uznapredovalom bolešću</w:t>
            </w:r>
          </w:p>
        </w:tc>
      </w:tr>
      <w:tr w14:paraId="71D4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tcPr>
          <w:p w14:paraId="1115840B">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Medijana ukupnog preživlјavanja</w:t>
            </w:r>
          </w:p>
        </w:tc>
        <w:tc>
          <w:tcPr>
            <w:tcW w:w="1134" w:type="dxa"/>
            <w:shd w:val="clear" w:color="auto" w:fill="auto"/>
          </w:tcPr>
          <w:p w14:paraId="01774948">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8.5</w:t>
            </w:r>
          </w:p>
        </w:tc>
        <w:tc>
          <w:tcPr>
            <w:tcW w:w="1134" w:type="dxa"/>
            <w:shd w:val="clear" w:color="auto" w:fill="auto"/>
          </w:tcPr>
          <w:p w14:paraId="5842F3DF">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8.2</w:t>
            </w:r>
          </w:p>
        </w:tc>
        <w:tc>
          <w:tcPr>
            <w:tcW w:w="1134" w:type="dxa"/>
            <w:shd w:val="clear" w:color="auto" w:fill="auto"/>
          </w:tcPr>
          <w:p w14:paraId="1B928C01">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0.36</w:t>
            </w:r>
          </w:p>
        </w:tc>
        <w:tc>
          <w:tcPr>
            <w:tcW w:w="1134" w:type="dxa"/>
            <w:shd w:val="clear" w:color="auto" w:fill="auto"/>
          </w:tcPr>
          <w:p w14:paraId="6011C712">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-2.43-2.96</w:t>
            </w:r>
          </w:p>
        </w:tc>
        <w:tc>
          <w:tcPr>
            <w:tcW w:w="709" w:type="dxa"/>
            <w:vMerge w:val="restart"/>
            <w:shd w:val="clear" w:color="auto" w:fill="auto"/>
          </w:tcPr>
          <w:p w14:paraId="250EED09">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0.93</w:t>
            </w:r>
          </w:p>
        </w:tc>
        <w:tc>
          <w:tcPr>
            <w:tcW w:w="1088" w:type="dxa"/>
            <w:vMerge w:val="restart"/>
            <w:shd w:val="clear" w:color="auto" w:fill="auto"/>
          </w:tcPr>
          <w:p w14:paraId="48A83089">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0.65-1.35</w:t>
            </w:r>
          </w:p>
        </w:tc>
        <w:tc>
          <w:tcPr>
            <w:tcW w:w="720" w:type="dxa"/>
            <w:vMerge w:val="restart"/>
            <w:shd w:val="clear" w:color="auto" w:fill="auto"/>
          </w:tcPr>
          <w:p w14:paraId="775ACF6F">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0.713</w:t>
            </w:r>
          </w:p>
        </w:tc>
      </w:tr>
      <w:tr w14:paraId="54438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tcPr>
          <w:p w14:paraId="0A4D4D9C">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Srednja vrijednost ukupnog preživlјavanja</w:t>
            </w:r>
          </w:p>
        </w:tc>
        <w:tc>
          <w:tcPr>
            <w:tcW w:w="1134" w:type="dxa"/>
            <w:shd w:val="clear" w:color="auto" w:fill="auto"/>
          </w:tcPr>
          <w:p w14:paraId="52A6FDB6">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10.7</w:t>
            </w:r>
          </w:p>
        </w:tc>
        <w:tc>
          <w:tcPr>
            <w:tcW w:w="1134" w:type="dxa"/>
            <w:shd w:val="clear" w:color="auto" w:fill="auto"/>
          </w:tcPr>
          <w:p w14:paraId="6B60171E">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10.5</w:t>
            </w:r>
          </w:p>
        </w:tc>
        <w:tc>
          <w:tcPr>
            <w:tcW w:w="1134" w:type="dxa"/>
            <w:shd w:val="clear" w:color="auto" w:fill="auto"/>
          </w:tcPr>
          <w:p w14:paraId="6063B83B">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0.19</w:t>
            </w:r>
          </w:p>
        </w:tc>
        <w:tc>
          <w:tcPr>
            <w:tcW w:w="1134" w:type="dxa"/>
            <w:shd w:val="clear" w:color="auto" w:fill="auto"/>
          </w:tcPr>
          <w:p w14:paraId="6C9FA3A5">
            <w:pPr>
              <w:tabs>
                <w:tab w:val="left" w:pos="56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-2.43-2.69</w:t>
            </w:r>
          </w:p>
        </w:tc>
        <w:tc>
          <w:tcPr>
            <w:tcW w:w="709" w:type="dxa"/>
            <w:vMerge w:val="continue"/>
            <w:shd w:val="clear" w:color="auto" w:fill="auto"/>
          </w:tcPr>
          <w:p w14:paraId="4355E694">
            <w:pPr>
              <w:tabs>
                <w:tab w:val="left" w:pos="567"/>
                <w:tab w:val="clear" w:pos="284"/>
              </w:tabs>
              <w:rPr>
                <w:rFonts w:ascii="Microsoft Sans Serif" w:hAnsi="Microsoft Sans Serif" w:cs="Microsoft Sans Serif"/>
                <w:sz w:val="20"/>
                <w:szCs w:val="20"/>
              </w:rPr>
            </w:pPr>
          </w:p>
        </w:tc>
        <w:tc>
          <w:tcPr>
            <w:tcW w:w="1088" w:type="dxa"/>
            <w:vMerge w:val="continue"/>
            <w:shd w:val="clear" w:color="auto" w:fill="auto"/>
          </w:tcPr>
          <w:p w14:paraId="517B9C7F">
            <w:pPr>
              <w:tabs>
                <w:tab w:val="left" w:pos="567"/>
                <w:tab w:val="clear" w:pos="284"/>
              </w:tabs>
              <w:rPr>
                <w:rFonts w:ascii="Microsoft Sans Serif" w:hAnsi="Microsoft Sans Serif" w:cs="Microsoft Sans Serif"/>
                <w:sz w:val="20"/>
                <w:szCs w:val="20"/>
              </w:rPr>
            </w:pPr>
          </w:p>
        </w:tc>
        <w:tc>
          <w:tcPr>
            <w:tcW w:w="720" w:type="dxa"/>
            <w:vMerge w:val="continue"/>
            <w:shd w:val="clear" w:color="auto" w:fill="auto"/>
          </w:tcPr>
          <w:p w14:paraId="0E2FA116">
            <w:pPr>
              <w:tabs>
                <w:tab w:val="left" w:pos="567"/>
                <w:tab w:val="clear" w:pos="284"/>
              </w:tabs>
              <w:rPr>
                <w:rFonts w:ascii="Microsoft Sans Serif" w:hAnsi="Microsoft Sans Serif" w:cs="Microsoft Sans Serif"/>
                <w:sz w:val="20"/>
                <w:szCs w:val="20"/>
              </w:rPr>
            </w:pPr>
          </w:p>
        </w:tc>
      </w:tr>
    </w:tbl>
    <w:p w14:paraId="240D39A4">
      <w:pPr>
        <w:rPr>
          <w:rFonts w:ascii="Microsoft Sans Serif" w:hAnsi="Microsoft Sans Serif" w:cs="Microsoft Sans Serif"/>
          <w:bCs/>
          <w:sz w:val="20"/>
          <w:szCs w:val="20"/>
          <w:lang w:val="sr-Cyrl-RS"/>
        </w:rPr>
      </w:pPr>
    </w:p>
    <w:p w14:paraId="0E01F607">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drawing>
          <wp:inline distT="0" distB="0" distL="0" distR="0">
            <wp:extent cx="5598795" cy="408432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99176" cy="4084320"/>
                    </a:xfrm>
                    <a:prstGeom prst="rect">
                      <a:avLst/>
                    </a:prstGeom>
                  </pic:spPr>
                </pic:pic>
              </a:graphicData>
            </a:graphic>
          </wp:inline>
        </w:drawing>
      </w:r>
    </w:p>
    <w:p w14:paraId="1DDE9A1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drawing>
          <wp:inline distT="0" distB="0" distL="0" distR="0">
            <wp:extent cx="5836920" cy="38373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36920" cy="3837432"/>
                    </a:xfrm>
                    <a:prstGeom prst="rect">
                      <a:avLst/>
                    </a:prstGeom>
                  </pic:spPr>
                </pic:pic>
              </a:graphicData>
            </a:graphic>
          </wp:inline>
        </w:drawing>
      </w:r>
    </w:p>
    <w:p w14:paraId="223947E6">
      <w:pPr>
        <w:rPr>
          <w:rFonts w:ascii="Microsoft Sans Serif" w:hAnsi="Microsoft Sans Serif" w:cs="Microsoft Sans Serif"/>
          <w:bCs/>
          <w:i/>
          <w:sz w:val="20"/>
          <w:szCs w:val="20"/>
          <w:lang w:val="sr-Latn-RS"/>
        </w:rPr>
      </w:pPr>
    </w:p>
    <w:p w14:paraId="71FDF5B9">
      <w:pPr>
        <w:rPr>
          <w:rFonts w:ascii="Microsoft Sans Serif" w:hAnsi="Microsoft Sans Serif" w:cs="Microsoft Sans Serif"/>
          <w:bCs/>
          <w:sz w:val="20"/>
          <w:szCs w:val="20"/>
          <w:lang w:val="sr-Cyrl-RS"/>
        </w:rPr>
      </w:pPr>
      <w:r>
        <w:rPr>
          <w:rFonts w:ascii="Microsoft Sans Serif" w:hAnsi="Microsoft Sans Serif" w:cs="Microsoft Sans Serif"/>
          <w:bCs/>
          <w:i/>
          <w:sz w:val="20"/>
          <w:szCs w:val="20"/>
          <w:lang w:val="sr-Latn-RS"/>
        </w:rPr>
        <w:t>Post</w:t>
      </w:r>
      <w:r>
        <w:rPr>
          <w:rFonts w:ascii="Microsoft Sans Serif" w:hAnsi="Microsoft Sans Serif" w:cs="Microsoft Sans Serif"/>
          <w:bCs/>
          <w:i/>
          <w:sz w:val="20"/>
          <w:szCs w:val="20"/>
          <w:lang w:val="sr-Cyrl-RS"/>
        </w:rPr>
        <w:t>-hoc</w:t>
      </w:r>
      <w:r>
        <w:rPr>
          <w:rFonts w:ascii="Microsoft Sans Serif" w:hAnsi="Microsoft Sans Serif" w:cs="Microsoft Sans Serif"/>
          <w:bCs/>
          <w:sz w:val="20"/>
          <w:szCs w:val="20"/>
          <w:lang w:val="sr-Cyrl-RS"/>
        </w:rPr>
        <w:t xml:space="preserve"> analizom je pokazano da pacijenti sa povolјnim kliničkim statusom na početku ispitivanja (nizak</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intenzitet bola, dobar kvalitet života i dobro funkcionalno stanje) imaju više koristi od primjene erlotiniba.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Ova prednost proizilazi najčešće od prisustva bola niskog intenziteta.</w:t>
      </w:r>
    </w:p>
    <w:p w14:paraId="6AD563E1">
      <w:pPr>
        <w:rPr>
          <w:rFonts w:ascii="Microsoft Sans Serif" w:hAnsi="Microsoft Sans Serif" w:cs="Microsoft Sans Serif"/>
          <w:bCs/>
          <w:sz w:val="20"/>
          <w:szCs w:val="20"/>
          <w:lang w:val="sr-Cyrl-RS"/>
        </w:rPr>
      </w:pPr>
      <w:r>
        <w:rPr>
          <w:rFonts w:ascii="Microsoft Sans Serif" w:hAnsi="Microsoft Sans Serif" w:cs="Microsoft Sans Serif"/>
          <w:bCs/>
          <w:i/>
          <w:sz w:val="20"/>
          <w:szCs w:val="20"/>
          <w:lang w:val="sr-Latn-RS"/>
        </w:rPr>
        <w:t>Post</w:t>
      </w:r>
      <w:r>
        <w:rPr>
          <w:rFonts w:ascii="Microsoft Sans Serif" w:hAnsi="Microsoft Sans Serif" w:cs="Microsoft Sans Serif"/>
          <w:bCs/>
          <w:i/>
          <w:sz w:val="20"/>
          <w:szCs w:val="20"/>
          <w:lang w:val="sr-Cyrl-RS"/>
        </w:rPr>
        <w:t>-hoc</w:t>
      </w:r>
      <w:r>
        <w:rPr>
          <w:rFonts w:ascii="Microsoft Sans Serif" w:hAnsi="Microsoft Sans Serif" w:cs="Microsoft Sans Serif"/>
          <w:bCs/>
          <w:sz w:val="20"/>
          <w:szCs w:val="20"/>
          <w:lang w:val="sr-Cyrl-RS"/>
        </w:rPr>
        <w:t xml:space="preserve"> analiza je takođe pokazala da su pacijenti koji su bili na terapiji erlotinibom i kod kojih se razvio</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osip imali duže vreme ukupnog preživlјavanja (O</w:t>
      </w:r>
      <w:r>
        <w:rPr>
          <w:rFonts w:ascii="Microsoft Sans Serif" w:hAnsi="Microsoft Sans Serif" w:cs="Microsoft Sans Serif"/>
          <w:bCs/>
          <w:sz w:val="20"/>
          <w:szCs w:val="20"/>
          <w:lang w:val="sr-Latn-RS"/>
        </w:rPr>
        <w:t>S</w:t>
      </w:r>
      <w:r>
        <w:rPr>
          <w:rFonts w:ascii="Microsoft Sans Serif" w:hAnsi="Microsoft Sans Serif" w:cs="Microsoft Sans Serif"/>
          <w:bCs/>
          <w:sz w:val="20"/>
          <w:szCs w:val="20"/>
          <w:lang w:val="sr-Cyrl-RS"/>
        </w:rPr>
        <w:t>) u poređenju sa pacijentima kod kojih nije došlo do</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razvoja osipa (medijana O</w:t>
      </w:r>
      <w:r>
        <w:rPr>
          <w:rFonts w:ascii="Microsoft Sans Serif" w:hAnsi="Microsoft Sans Serif" w:cs="Microsoft Sans Serif"/>
          <w:bCs/>
          <w:sz w:val="20"/>
          <w:szCs w:val="20"/>
          <w:lang w:val="sr-Latn-RS"/>
        </w:rPr>
        <w:t>S</w:t>
      </w:r>
      <w:r>
        <w:rPr>
          <w:rFonts w:ascii="Microsoft Sans Serif" w:hAnsi="Microsoft Sans Serif" w:cs="Microsoft Sans Serif"/>
          <w:bCs/>
          <w:sz w:val="20"/>
          <w:szCs w:val="20"/>
          <w:lang w:val="sr-Cyrl-RS"/>
        </w:rPr>
        <w:t xml:space="preserve"> 7,2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w:t>
      </w:r>
      <w:r>
        <w:rPr>
          <w:rFonts w:ascii="Microsoft Sans Serif" w:hAnsi="Microsoft Sans Serif" w:cs="Microsoft Sans Serif"/>
          <w:bCs/>
          <w:sz w:val="20"/>
          <w:szCs w:val="20"/>
          <w:lang w:val="sr-Latn-RS"/>
        </w:rPr>
        <w:t>i</w:t>
      </w:r>
      <w:r>
        <w:rPr>
          <w:rFonts w:ascii="Microsoft Sans Serif" w:hAnsi="Microsoft Sans Serif" w:cs="Microsoft Sans Serif"/>
          <w:bCs/>
          <w:sz w:val="20"/>
          <w:szCs w:val="20"/>
          <w:lang w:val="sr-Cyrl-RS"/>
        </w:rPr>
        <w:t xml:space="preserve"> u odnosu na 5 mjeseci, </w:t>
      </w:r>
      <w:r>
        <w:rPr>
          <w:rFonts w:ascii="Microsoft Sans Serif" w:hAnsi="Microsoft Sans Serif" w:cs="Microsoft Sans Serif"/>
          <w:bCs/>
          <w:sz w:val="20"/>
          <w:szCs w:val="20"/>
          <w:lang w:val="sr-Latn-RS"/>
        </w:rPr>
        <w:t>HR</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0,61). </w:t>
      </w:r>
    </w:p>
    <w:p w14:paraId="2C9B808C">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Kod 90% pacijenata koji su bili na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terapiji erlotinibom osip se razvio u prva 44 dana. Medijana vremena do pojave osipa bila je 10 dana.</w:t>
      </w:r>
    </w:p>
    <w:p w14:paraId="068C7666">
      <w:pPr>
        <w:rPr>
          <w:rFonts w:ascii="Microsoft Sans Serif" w:hAnsi="Microsoft Sans Serif" w:cs="Microsoft Sans Serif"/>
          <w:bCs/>
          <w:sz w:val="20"/>
          <w:szCs w:val="20"/>
          <w:lang w:val="sr-Cyrl-RS"/>
        </w:rPr>
      </w:pPr>
    </w:p>
    <w:p w14:paraId="649F4EED">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Pedijatrijska populacija</w:t>
      </w:r>
    </w:p>
    <w:p w14:paraId="217E06F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Evropska agencija za lijekove je izuzela obavezu dostavlјanja rezultata ispitivanja erlotiniba u svim</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podgrupama pedijatrijske populacije u indikacijama </w:t>
      </w:r>
      <w:r>
        <w:rPr>
          <w:rFonts w:ascii="Microsoft Sans Serif" w:hAnsi="Microsoft Sans Serif" w:cs="Microsoft Sans Serif"/>
          <w:bCs/>
          <w:sz w:val="20"/>
          <w:szCs w:val="20"/>
          <w:lang w:val="sr-Latn-RS"/>
        </w:rPr>
        <w:t>NSCLC</w:t>
      </w:r>
      <w:r>
        <w:rPr>
          <w:rFonts w:ascii="Microsoft Sans Serif" w:hAnsi="Microsoft Sans Serif" w:cs="Microsoft Sans Serif"/>
          <w:bCs/>
          <w:sz w:val="20"/>
          <w:szCs w:val="20"/>
          <w:lang w:val="sr-Cyrl-RS"/>
        </w:rPr>
        <w:t xml:space="preserve"> i karcinom pankreasa (pogledati dio 4.2 za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informacije o upotrebi u pedijatrijskoj populaciji).</w:t>
      </w:r>
    </w:p>
    <w:p w14:paraId="627E5405">
      <w:pPr>
        <w:rPr>
          <w:rFonts w:ascii="Microsoft Sans Serif" w:hAnsi="Microsoft Sans Serif" w:cs="Microsoft Sans Serif"/>
          <w:sz w:val="20"/>
          <w:szCs w:val="20"/>
        </w:rPr>
      </w:pPr>
    </w:p>
    <w:p w14:paraId="50A070A6">
      <w:pPr>
        <w:rPr>
          <w:rFonts w:ascii="Microsoft Sans Serif" w:hAnsi="Microsoft Sans Serif" w:cs="Microsoft Sans Serif"/>
          <w:b/>
          <w:bCs/>
          <w:sz w:val="20"/>
          <w:szCs w:val="20"/>
        </w:rPr>
      </w:pPr>
      <w:r>
        <w:rPr>
          <w:rFonts w:ascii="Microsoft Sans Serif" w:hAnsi="Microsoft Sans Serif" w:cs="Microsoft Sans Serif"/>
          <w:b/>
          <w:bCs/>
          <w:sz w:val="20"/>
          <w:szCs w:val="20"/>
        </w:rPr>
        <w:t>5.2. Farmakokinetički podaci</w:t>
      </w:r>
    </w:p>
    <w:p w14:paraId="360E808C">
      <w:pPr>
        <w:rPr>
          <w:rFonts w:ascii="Microsoft Sans Serif" w:hAnsi="Microsoft Sans Serif" w:cs="Microsoft Sans Serif"/>
          <w:b/>
          <w:bCs/>
          <w:sz w:val="20"/>
          <w:szCs w:val="20"/>
        </w:rPr>
      </w:pPr>
    </w:p>
    <w:p w14:paraId="09897B44">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Resorpcija</w:t>
      </w:r>
    </w:p>
    <w:p w14:paraId="14DA9DD3">
      <w:pPr>
        <w:rPr>
          <w:rFonts w:ascii="Microsoft Sans Serif" w:hAnsi="Microsoft Sans Serif" w:cs="Microsoft Sans Serif"/>
          <w:bCs/>
          <w:sz w:val="20"/>
          <w:szCs w:val="20"/>
        </w:rPr>
      </w:pPr>
      <w:r>
        <w:rPr>
          <w:rFonts w:ascii="Microsoft Sans Serif" w:hAnsi="Microsoft Sans Serif" w:cs="Microsoft Sans Serif"/>
          <w:bCs/>
          <w:sz w:val="20"/>
          <w:szCs w:val="20"/>
        </w:rPr>
        <w:t>Nakon oralne primjene, maksimalna koncentracija erlotiniba u plazmi postiže se za približno 4 sata. Ispitivanjem na zdravim dobrovolјcima, dobijena je procjena apsolutne bioraspoloživosti od 59%. Izloženost se nakon oralne primjene može povećati uzimanjem hrane.</w:t>
      </w:r>
    </w:p>
    <w:p w14:paraId="60E32A9B">
      <w:pPr>
        <w:rPr>
          <w:rFonts w:ascii="Microsoft Sans Serif" w:hAnsi="Microsoft Sans Serif" w:cs="Microsoft Sans Serif"/>
          <w:bCs/>
          <w:sz w:val="20"/>
          <w:szCs w:val="20"/>
        </w:rPr>
      </w:pPr>
    </w:p>
    <w:p w14:paraId="21E566BE">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Distribucija</w:t>
      </w:r>
    </w:p>
    <w:p w14:paraId="34DD8932">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Erlotinib ima prosječan prividni volumen distribucije od 232 l i distribuira se u tumorsko tkivo kod lјudi. U studiji na 4 pacijenta (3 sa NSCLC i 1 sa karcinomom larinksa) koji su oralno primali 150 mg/dan erlotiniba, uzorci tkiva tumora dobijeni nakon hiruške ekscizije devetog dana terapije pokazali su da je prosječna koncentracija erlotiniba u tumorskom tkivu 1185 nanograma/g </w:t>
      </w:r>
      <w:r>
        <w:rPr>
          <w:rFonts w:ascii="Microsoft Sans Serif" w:hAnsi="Microsoft Sans Serif" w:cs="Microsoft Sans Serif"/>
          <w:bCs/>
          <w:sz w:val="20"/>
          <w:szCs w:val="20"/>
          <w:lang w:val="mk-MK"/>
        </w:rPr>
        <w:t>tkiva</w:t>
      </w:r>
      <w:r>
        <w:rPr>
          <w:rFonts w:ascii="Microsoft Sans Serif" w:hAnsi="Microsoft Sans Serif" w:cs="Microsoft Sans Serif"/>
          <w:bCs/>
          <w:sz w:val="20"/>
          <w:szCs w:val="20"/>
        </w:rPr>
        <w:t xml:space="preserve">. Ovo je odgovaralo ukupnom prosjeku od 63% (opseg 5-161%) uočenih maksimalnih koncentracija u plazmi u stanju ravnoteže. Primarni aktivni metaboliti bili su prisutni u tumoru u prosječnoj koncentraciji od 160 </w:t>
      </w:r>
      <w:r>
        <w:rPr>
          <w:rFonts w:ascii="Microsoft Sans Serif" w:hAnsi="Microsoft Sans Serif" w:cs="Microsoft Sans Serif"/>
          <w:bCs/>
          <w:sz w:val="20"/>
          <w:szCs w:val="20"/>
          <w:lang w:val="hr-BA"/>
        </w:rPr>
        <w:t>n</w:t>
      </w:r>
      <w:r>
        <w:rPr>
          <w:rFonts w:ascii="Microsoft Sans Serif" w:hAnsi="Microsoft Sans Serif" w:cs="Microsoft Sans Serif"/>
          <w:bCs/>
          <w:sz w:val="20"/>
          <w:szCs w:val="20"/>
        </w:rPr>
        <w:t>anograma/g tkiva, što odgovara ukupnom prosjeku od 113% (opseg 88-130%) uočenih maksimalnih koncentracija u plazmi u stanju ravnoteže.</w:t>
      </w:r>
    </w:p>
    <w:p w14:paraId="3B7A1959">
      <w:pPr>
        <w:rPr>
          <w:rFonts w:ascii="Microsoft Sans Serif" w:hAnsi="Microsoft Sans Serif" w:cs="Microsoft Sans Serif"/>
          <w:bCs/>
          <w:sz w:val="20"/>
          <w:szCs w:val="20"/>
        </w:rPr>
      </w:pPr>
      <w:r>
        <w:rPr>
          <w:rFonts w:ascii="Microsoft Sans Serif" w:hAnsi="Microsoft Sans Serif" w:cs="Microsoft Sans Serif"/>
          <w:bCs/>
          <w:sz w:val="20"/>
          <w:szCs w:val="20"/>
        </w:rPr>
        <w:t>Vezivanje za proteine plazme je u prosjeku 95%. Erlotinib se vezuje za serumski albumin i alfa-1 kiseli glikoprotein (AAG – engl.</w:t>
      </w:r>
      <w:r>
        <w:rPr>
          <w:rFonts w:ascii="Microsoft Sans Serif" w:hAnsi="Microsoft Sans Serif" w:cs="Microsoft Sans Serif"/>
          <w:sz w:val="20"/>
          <w:szCs w:val="20"/>
        </w:rPr>
        <w:t xml:space="preserve"> </w:t>
      </w:r>
      <w:r>
        <w:rPr>
          <w:rFonts w:ascii="Microsoft Sans Serif" w:hAnsi="Microsoft Sans Serif" w:cs="Microsoft Sans Serif"/>
          <w:i/>
          <w:sz w:val="20"/>
          <w:szCs w:val="20"/>
        </w:rPr>
        <w:t>alpha-1 acid glycoprotein</w:t>
      </w:r>
      <w:r>
        <w:rPr>
          <w:rFonts w:ascii="Microsoft Sans Serif" w:hAnsi="Microsoft Sans Serif" w:cs="Microsoft Sans Serif"/>
          <w:bCs/>
          <w:sz w:val="20"/>
          <w:szCs w:val="20"/>
        </w:rPr>
        <w:t>).</w:t>
      </w:r>
    </w:p>
    <w:p w14:paraId="6D338BF1">
      <w:pPr>
        <w:rPr>
          <w:rFonts w:ascii="Microsoft Sans Serif" w:hAnsi="Microsoft Sans Serif" w:cs="Microsoft Sans Serif"/>
          <w:bCs/>
          <w:sz w:val="20"/>
          <w:szCs w:val="20"/>
        </w:rPr>
      </w:pPr>
    </w:p>
    <w:p w14:paraId="562B4C37">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Biotransformacija</w:t>
      </w:r>
    </w:p>
    <w:p w14:paraId="42F00FAA">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Erlotinib se kod lјudi metaboliše u jetri putem citohroma, prvenstveno preko CYP3A4 i u manjem obimu preko CYP1A2. Metaboličkom klirensu erlotiniba potencijalno doprinosi ekstrahepatični metabolizam preko CYP3A4 u crijevima, CYP1A1 u plućima i 1B1 u tumorskom tkivu. Identifikovana su tri glavna metabolička puta: 1) O-demetilacija jednog ili oba bočna lanca, praćena oksidacijom do karboksilnih kiselina; 2) oksidacija acetilenskog dijela praćena hidrolizom do aril karboksilne kiseline i 3) aromatična hidroksilacija fenil-acetilenskog dela. Primarni metaboliti OSI-420 i OSI-413 erlotiniba dobijeni O-demetilacijom bilo kog bočnog lanca imaju uporedivu aktivnost u odnosu na erlotinib u pretkliničkim </w:t>
      </w:r>
      <w:r>
        <w:rPr>
          <w:rFonts w:ascii="Microsoft Sans Serif" w:hAnsi="Microsoft Sans Serif" w:cs="Microsoft Sans Serif"/>
          <w:bCs/>
          <w:i/>
          <w:sz w:val="20"/>
          <w:szCs w:val="20"/>
        </w:rPr>
        <w:t>in vitro</w:t>
      </w:r>
      <w:r>
        <w:rPr>
          <w:rFonts w:ascii="Microsoft Sans Serif" w:hAnsi="Microsoft Sans Serif" w:cs="Microsoft Sans Serif"/>
          <w:bCs/>
          <w:sz w:val="20"/>
          <w:szCs w:val="20"/>
        </w:rPr>
        <w:t xml:space="preserve"> analizama i </w:t>
      </w:r>
      <w:r>
        <w:rPr>
          <w:rFonts w:ascii="Microsoft Sans Serif" w:hAnsi="Microsoft Sans Serif" w:cs="Microsoft Sans Serif"/>
          <w:bCs/>
          <w:i/>
          <w:sz w:val="20"/>
          <w:szCs w:val="20"/>
        </w:rPr>
        <w:t>in vivo</w:t>
      </w:r>
      <w:r>
        <w:rPr>
          <w:rFonts w:ascii="Microsoft Sans Serif" w:hAnsi="Microsoft Sans Serif" w:cs="Microsoft Sans Serif"/>
          <w:bCs/>
          <w:sz w:val="20"/>
          <w:szCs w:val="20"/>
        </w:rPr>
        <w:t xml:space="preserve"> tumorskim modelima. Prisutni su u plazmi u nivoima ispod 10% od nivoa erlotiniba i pokazuju sličnu farmakokinetiku kao i erlotinib.</w:t>
      </w:r>
    </w:p>
    <w:p w14:paraId="1F5C5927">
      <w:pPr>
        <w:rPr>
          <w:rFonts w:ascii="Microsoft Sans Serif" w:hAnsi="Microsoft Sans Serif" w:cs="Microsoft Sans Serif"/>
          <w:bCs/>
          <w:sz w:val="20"/>
          <w:szCs w:val="20"/>
        </w:rPr>
      </w:pPr>
    </w:p>
    <w:p w14:paraId="0E95D031">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Eliminacija</w:t>
      </w:r>
    </w:p>
    <w:p w14:paraId="6DACD0F4">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Erlotinib se predominantno izlučuje u obliku metabolita putem fecesa (&gt;90%), dok se </w:t>
      </w:r>
      <w:r>
        <w:rPr>
          <w:rFonts w:ascii="Microsoft Sans Serif" w:hAnsi="Microsoft Sans Serif" w:cs="Microsoft Sans Serif"/>
          <w:bCs/>
          <w:sz w:val="20"/>
          <w:szCs w:val="20"/>
          <w:lang w:val="sr-Cyrl-RS"/>
        </w:rPr>
        <w:t xml:space="preserve">samo </w:t>
      </w:r>
      <w:r>
        <w:rPr>
          <w:rFonts w:ascii="Microsoft Sans Serif" w:hAnsi="Microsoft Sans Serif" w:cs="Microsoft Sans Serif"/>
          <w:bCs/>
          <w:sz w:val="20"/>
          <w:szCs w:val="20"/>
        </w:rPr>
        <w:t xml:space="preserve">mali dio eliminiše putem bubrega (približno 9%) </w:t>
      </w:r>
      <w:r>
        <w:rPr>
          <w:rFonts w:ascii="Microsoft Sans Serif" w:hAnsi="Microsoft Sans Serif" w:cs="Microsoft Sans Serif"/>
          <w:bCs/>
          <w:sz w:val="20"/>
          <w:szCs w:val="20"/>
          <w:lang w:val="sr-Cyrl-RS"/>
        </w:rPr>
        <w:t xml:space="preserve">nakon </w:t>
      </w:r>
      <w:r>
        <w:rPr>
          <w:rFonts w:ascii="Microsoft Sans Serif" w:hAnsi="Microsoft Sans Serif" w:cs="Microsoft Sans Serif"/>
          <w:bCs/>
          <w:sz w:val="20"/>
          <w:szCs w:val="20"/>
        </w:rPr>
        <w:t>oralno primjenjene doze. Manje od 2% oralno primjenjene doze se izlučuje u nepromenjenom obliku. Populaciona farmakokinetička analiza sprovedena na 591 pacijent</w:t>
      </w:r>
      <w:r>
        <w:rPr>
          <w:rFonts w:ascii="Microsoft Sans Serif" w:hAnsi="Microsoft Sans Serif" w:cs="Microsoft Sans Serif"/>
          <w:bCs/>
          <w:sz w:val="20"/>
          <w:szCs w:val="20"/>
          <w:lang w:val="sr-Cyrl-RS"/>
        </w:rPr>
        <w:t>u</w:t>
      </w:r>
      <w:r>
        <w:rPr>
          <w:rFonts w:ascii="Microsoft Sans Serif" w:hAnsi="Microsoft Sans Serif" w:cs="Microsoft Sans Serif"/>
          <w:bCs/>
          <w:sz w:val="20"/>
          <w:szCs w:val="20"/>
        </w:rPr>
        <w:t xml:space="preserve"> na monoterapiji erlotinibom pokazala je prosječan prividni klirens od 4,47 l/sat i medijanu poluvremena eliminacije od 36,2 sata. Stoga, postizanje ravnotežne koncentracije u plazmi treba očekivati za približno 7-8 dana.</w:t>
      </w:r>
    </w:p>
    <w:p w14:paraId="06FC4D25">
      <w:pPr>
        <w:rPr>
          <w:rFonts w:ascii="Microsoft Sans Serif" w:hAnsi="Microsoft Sans Serif" w:cs="Microsoft Sans Serif"/>
          <w:bCs/>
          <w:sz w:val="20"/>
          <w:szCs w:val="20"/>
        </w:rPr>
      </w:pPr>
    </w:p>
    <w:p w14:paraId="19D9251E">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Farmakokinetika u posebnim populacijama</w:t>
      </w:r>
    </w:p>
    <w:p w14:paraId="16F68546">
      <w:pPr>
        <w:rPr>
          <w:rFonts w:ascii="Microsoft Sans Serif" w:hAnsi="Microsoft Sans Serif" w:cs="Microsoft Sans Serif"/>
          <w:bCs/>
          <w:sz w:val="20"/>
          <w:szCs w:val="20"/>
        </w:rPr>
      </w:pPr>
      <w:r>
        <w:rPr>
          <w:rFonts w:ascii="Microsoft Sans Serif" w:hAnsi="Microsoft Sans Serif" w:cs="Microsoft Sans Serif"/>
          <w:bCs/>
          <w:sz w:val="20"/>
          <w:szCs w:val="20"/>
        </w:rPr>
        <w:t>Na osnovu populacione farmakokinetičke analize, nije primjećen klinički značajan odnos između predviđenog prividnog klirensa i starosnog doba pacijenta, tjelesne mase, pola i etničke pripadnosti. Faktori samog pacijenta koji su u korelaciji sa farmakokinetikom erlotiniba bili su ukupni serumski bilirubin, AAG i pušenje. Povišene koncentracije ukupnog bilirubina i AAG u serumu bile su povezane sa smanjenim klirensom erlotiniba. Kliničk</w:t>
      </w:r>
      <w:r>
        <w:rPr>
          <w:rFonts w:ascii="Microsoft Sans Serif" w:hAnsi="Microsoft Sans Serif" w:cs="Microsoft Sans Serif"/>
          <w:bCs/>
          <w:sz w:val="20"/>
          <w:szCs w:val="20"/>
          <w:lang w:val="sr-Cyrl-RS"/>
        </w:rPr>
        <w:t>i</w:t>
      </w:r>
      <w:r>
        <w:rPr>
          <w:rFonts w:ascii="Microsoft Sans Serif" w:hAnsi="Microsoft Sans Serif" w:cs="Microsoft Sans Serif"/>
          <w:bCs/>
          <w:sz w:val="20"/>
          <w:szCs w:val="20"/>
        </w:rPr>
        <w:t xml:space="preserve"> značaj ovih razlika nije razjašnjen. Međutim, pušači su imali povišen stepen klirensa erlotiniba. Ovo je potvrđeno u farmakokinetičkoj studiji, ispitivanjem na zdravim dobrovolјacima, nepušačima i pušačima, koji su primili jednokratnu oralnu dozu erlotiniba od 150 mg. Geometrijska sredina C</w:t>
      </w:r>
      <w:r>
        <w:rPr>
          <w:rFonts w:ascii="Microsoft Sans Serif" w:hAnsi="Microsoft Sans Serif" w:cs="Microsoft Sans Serif"/>
          <w:bCs/>
          <w:sz w:val="20"/>
          <w:szCs w:val="20"/>
          <w:vertAlign w:val="subscript"/>
        </w:rPr>
        <w:t>max</w:t>
      </w:r>
      <w:r>
        <w:rPr>
          <w:rFonts w:ascii="Microsoft Sans Serif" w:hAnsi="Microsoft Sans Serif" w:cs="Microsoft Sans Serif"/>
          <w:bCs/>
          <w:sz w:val="20"/>
          <w:szCs w:val="20"/>
        </w:rPr>
        <w:t xml:space="preserve"> bila je 1056 nanograma/ml kod nepušača i 689 nanograma/ml kod pušača, uz srednji odnos vrijednosti kod pušača prema nepušačima od 65,2% (95% CI: 44,3 do 95,9; p=0,031). Geometrijska sredina </w:t>
      </w:r>
      <w:r>
        <w:rPr>
          <w:rFonts w:ascii="Microsoft Sans Serif" w:hAnsi="Microsoft Sans Serif" w:cs="Microsoft Sans Serif"/>
          <w:bCs/>
          <w:sz w:val="20"/>
          <w:szCs w:val="20"/>
          <w:lang w:val="sr-Latn-RS"/>
        </w:rPr>
        <w:t>PIK</w:t>
      </w:r>
      <w:r>
        <w:rPr>
          <w:rFonts w:ascii="Microsoft Sans Serif" w:hAnsi="Microsoft Sans Serif" w:cs="Microsoft Sans Serif"/>
          <w:bCs/>
          <w:sz w:val="20"/>
          <w:szCs w:val="20"/>
          <w:vertAlign w:val="subscript"/>
        </w:rPr>
        <w:t xml:space="preserve">0-inf </w:t>
      </w:r>
      <w:r>
        <w:rPr>
          <w:rFonts w:ascii="Microsoft Sans Serif" w:hAnsi="Microsoft Sans Serif" w:cs="Microsoft Sans Serif"/>
          <w:bCs/>
          <w:sz w:val="20"/>
          <w:szCs w:val="20"/>
        </w:rPr>
        <w:t>bila je 18726 nanograma·h/ml kod nepušača i 6718 nanograma·h/ml kod pušača sa srednjim odnosom od 35,9% (95% CI: 23,7 do 54,3; p&lt;0,0001). Geometrijska sredina C</w:t>
      </w:r>
      <w:r>
        <w:rPr>
          <w:rFonts w:ascii="Microsoft Sans Serif" w:hAnsi="Microsoft Sans Serif" w:cs="Microsoft Sans Serif"/>
          <w:bCs/>
          <w:sz w:val="20"/>
          <w:szCs w:val="20"/>
          <w:vertAlign w:val="subscript"/>
        </w:rPr>
        <w:t>24h</w:t>
      </w:r>
      <w:r>
        <w:rPr>
          <w:rFonts w:ascii="Microsoft Sans Serif" w:hAnsi="Microsoft Sans Serif" w:cs="Microsoft Sans Serif"/>
          <w:bCs/>
          <w:sz w:val="20"/>
          <w:szCs w:val="20"/>
        </w:rPr>
        <w:t xml:space="preserve"> bila je 288 naograma/ml kod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nepušača i 34,8 nanograma/</w:t>
      </w:r>
      <w:r>
        <w:rPr>
          <w:rFonts w:ascii="Microsoft Sans Serif" w:hAnsi="Microsoft Sans Serif" w:cs="Microsoft Sans Serif"/>
          <w:bCs/>
          <w:sz w:val="20"/>
          <w:szCs w:val="20"/>
          <w:lang w:val="sr-Latn-RS"/>
        </w:rPr>
        <w:t>ml</w:t>
      </w:r>
      <w:r>
        <w:rPr>
          <w:rFonts w:ascii="Microsoft Sans Serif" w:hAnsi="Microsoft Sans Serif" w:cs="Microsoft Sans Serif"/>
          <w:bCs/>
          <w:sz w:val="20"/>
          <w:szCs w:val="20"/>
        </w:rPr>
        <w:t xml:space="preserve"> kod pušača sa srednjim odnosom od 12,1% (95% CI: 4,82 do 30,2; p=0,0001). U pivotalnom ispitivanju faze III NSCLC, pušači su </w:t>
      </w:r>
      <w:r>
        <w:rPr>
          <w:rFonts w:ascii="Microsoft Sans Serif" w:hAnsi="Microsoft Sans Serif" w:cs="Microsoft Sans Serif"/>
          <w:bCs/>
          <w:sz w:val="20"/>
          <w:szCs w:val="20"/>
          <w:lang w:val="mk-MK"/>
        </w:rPr>
        <w:t>ostvarili koncentraciju erlotiniba u plazmi neposredno pred primjenu naredne doze, u stanju</w:t>
      </w:r>
      <w:r>
        <w:rPr>
          <w:rFonts w:ascii="Microsoft Sans Serif" w:hAnsi="Microsoft Sans Serif" w:cs="Microsoft Sans Serif"/>
          <w:bCs/>
          <w:sz w:val="20"/>
          <w:szCs w:val="20"/>
        </w:rPr>
        <w:t xml:space="preserve"> ravnotežne</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rPr>
        <w:t xml:space="preserve"> od 0,65 mikrograma/ml (n=16), što je približno dva puta manje u odnosu na bivše pušače ili pacijente koji nikada nisu pušili (1,28 mikrograma/ml, n=108). Ovaj efekat bio je udružen sa povećanjem od 24% u prividnom plazma klirensu erlotiniba. U ispitivanju faze I povećavanja doze kod NSCLC pacijenata koji su pušači, farmakokinetičke analize u stanju ravnoteže ukazale su na dozno propocionalno povećanje izloženosti erlotinibu kada je doza povećana sa 150 mg do maksimalne podnošlјive doze od 300 mg. </w:t>
      </w:r>
      <w:r>
        <w:rPr>
          <w:rFonts w:ascii="Microsoft Sans Serif" w:hAnsi="Microsoft Sans Serif" w:cs="Microsoft Sans Serif"/>
          <w:bCs/>
          <w:sz w:val="20"/>
          <w:szCs w:val="20"/>
          <w:lang w:val="mk-MK"/>
        </w:rPr>
        <w:t>K</w:t>
      </w:r>
      <w:r>
        <w:rPr>
          <w:rFonts w:ascii="Microsoft Sans Serif" w:hAnsi="Microsoft Sans Serif" w:cs="Microsoft Sans Serif"/>
          <w:bCs/>
          <w:sz w:val="20"/>
          <w:szCs w:val="20"/>
        </w:rPr>
        <w:t xml:space="preserve">oncentracija u </w:t>
      </w:r>
      <w:r>
        <w:rPr>
          <w:rFonts w:ascii="Microsoft Sans Serif" w:hAnsi="Microsoft Sans Serif" w:cs="Microsoft Sans Serif"/>
          <w:bCs/>
          <w:sz w:val="20"/>
          <w:szCs w:val="20"/>
          <w:lang w:val="mk-MK"/>
        </w:rPr>
        <w:t xml:space="preserve">plazmi neposredno pred primjenu naredne doze u </w:t>
      </w:r>
      <w:r>
        <w:rPr>
          <w:rFonts w:ascii="Microsoft Sans Serif" w:hAnsi="Microsoft Sans Serif" w:cs="Microsoft Sans Serif"/>
          <w:bCs/>
          <w:sz w:val="20"/>
          <w:szCs w:val="20"/>
        </w:rPr>
        <w:t>stanju ravnoteže pri dozi od 300 mg kod pušača</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rPr>
        <w:t xml:space="preserve"> u ovoj studiji</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rPr>
        <w:t xml:space="preserve"> iznosila je 1,22 mikrograma/ml (n=17). Pogledati dijelove 4.2, 4.4, 4.5 i 5.1.</w:t>
      </w:r>
    </w:p>
    <w:p w14:paraId="49C74498">
      <w:pPr>
        <w:rPr>
          <w:rFonts w:ascii="Microsoft Sans Serif" w:hAnsi="Microsoft Sans Serif" w:cs="Microsoft Sans Serif"/>
          <w:bCs/>
          <w:sz w:val="20"/>
          <w:szCs w:val="20"/>
        </w:rPr>
      </w:pPr>
    </w:p>
    <w:p w14:paraId="29DF8BE6">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Na osnovu rezultata farmakokinetičkih studija, pacijentima koji puše treba savjetovati da prestanu sa pušenjem dok su na terapiji erlotinibom, jer </w:t>
      </w:r>
      <w:r>
        <w:rPr>
          <w:rFonts w:ascii="Microsoft Sans Serif" w:hAnsi="Microsoft Sans Serif" w:cs="Microsoft Sans Serif"/>
          <w:bCs/>
          <w:sz w:val="20"/>
          <w:szCs w:val="20"/>
          <w:lang w:val="mk-MK"/>
        </w:rPr>
        <w:t>pušenje smanjuje koncentracije erlotiniba</w:t>
      </w:r>
      <w:r>
        <w:rPr>
          <w:rFonts w:ascii="Microsoft Sans Serif" w:hAnsi="Microsoft Sans Serif" w:cs="Microsoft Sans Serif"/>
          <w:bCs/>
          <w:sz w:val="20"/>
          <w:szCs w:val="20"/>
        </w:rPr>
        <w:t xml:space="preserve"> u plazmi.</w:t>
      </w:r>
    </w:p>
    <w:p w14:paraId="1DDAA25F">
      <w:pPr>
        <w:rPr>
          <w:rFonts w:ascii="Microsoft Sans Serif" w:hAnsi="Microsoft Sans Serif" w:cs="Microsoft Sans Serif"/>
          <w:bCs/>
          <w:sz w:val="20"/>
          <w:szCs w:val="20"/>
        </w:rPr>
      </w:pPr>
      <w:r>
        <w:rPr>
          <w:rFonts w:ascii="Microsoft Sans Serif" w:hAnsi="Microsoft Sans Serif" w:cs="Microsoft Sans Serif"/>
          <w:bCs/>
          <w:sz w:val="20"/>
          <w:szCs w:val="20"/>
        </w:rPr>
        <w:t>Na osnovu populacione farmakokinetičke analize, izgleda da prisustvo opioida povećava izloženost erlotinibu za oko 11%.</w:t>
      </w:r>
    </w:p>
    <w:p w14:paraId="0472D7C4">
      <w:pPr>
        <w:rPr>
          <w:rFonts w:ascii="Microsoft Sans Serif" w:hAnsi="Microsoft Sans Serif" w:cs="Microsoft Sans Serif"/>
          <w:bCs/>
          <w:sz w:val="20"/>
          <w:szCs w:val="20"/>
        </w:rPr>
      </w:pPr>
      <w:r>
        <w:rPr>
          <w:rFonts w:ascii="Microsoft Sans Serif" w:hAnsi="Microsoft Sans Serif" w:cs="Microsoft Sans Serif"/>
          <w:bCs/>
          <w:sz w:val="20"/>
          <w:szCs w:val="20"/>
        </w:rPr>
        <w:t>Sprovedena je druga populaciona farmakokinetička analiza koja je uklјučila podatke o erlotinibu prikuplјene od 204 pacijenta sa karcinomom pankreasa koji su bili na terapiji erlotinibom i gemcitabinom. Ova studija je pokazala da su kovarijanse koje utiču na klirens erlotiniba kod pacijenata sa karcinomom pankreasa veoma slične onima koje su već uočene u prethodnoj farmakokinetičkoj analizi monoterapije erlotinibom. Nisu otkriveni novi efekti kovarijansi. Istovremena primjena gemcitabina nije imala efekat na plazma klirens erlotiniba.</w:t>
      </w:r>
    </w:p>
    <w:p w14:paraId="395A63BA">
      <w:pPr>
        <w:rPr>
          <w:rFonts w:ascii="Microsoft Sans Serif" w:hAnsi="Microsoft Sans Serif" w:cs="Microsoft Sans Serif"/>
          <w:bCs/>
          <w:sz w:val="20"/>
          <w:szCs w:val="20"/>
          <w:u w:val="single"/>
        </w:rPr>
      </w:pPr>
    </w:p>
    <w:p w14:paraId="44CC3BB1">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Pedijatrijska populacija</w:t>
      </w:r>
    </w:p>
    <w:p w14:paraId="6A1AC5B2">
      <w:pPr>
        <w:rPr>
          <w:rFonts w:ascii="Microsoft Sans Serif" w:hAnsi="Microsoft Sans Serif" w:cs="Microsoft Sans Serif"/>
          <w:bCs/>
          <w:sz w:val="20"/>
          <w:szCs w:val="20"/>
        </w:rPr>
      </w:pPr>
      <w:r>
        <w:rPr>
          <w:rFonts w:ascii="Microsoft Sans Serif" w:hAnsi="Microsoft Sans Serif" w:cs="Microsoft Sans Serif"/>
          <w:bCs/>
          <w:sz w:val="20"/>
          <w:szCs w:val="20"/>
        </w:rPr>
        <w:t>Nisu sprovedene posebne studije na pedijatrijskim pacijentima.</w:t>
      </w:r>
    </w:p>
    <w:p w14:paraId="23304C0B">
      <w:pPr>
        <w:rPr>
          <w:rFonts w:ascii="Microsoft Sans Serif" w:hAnsi="Microsoft Sans Serif" w:cs="Microsoft Sans Serif"/>
          <w:bCs/>
          <w:sz w:val="20"/>
          <w:szCs w:val="20"/>
        </w:rPr>
      </w:pPr>
    </w:p>
    <w:p w14:paraId="201F3A0C">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Starije osobe</w:t>
      </w:r>
    </w:p>
    <w:p w14:paraId="6902A5EA">
      <w:pPr>
        <w:rPr>
          <w:rFonts w:ascii="Microsoft Sans Serif" w:hAnsi="Microsoft Sans Serif" w:cs="Microsoft Sans Serif"/>
          <w:bCs/>
          <w:sz w:val="20"/>
          <w:szCs w:val="20"/>
        </w:rPr>
      </w:pPr>
      <w:r>
        <w:rPr>
          <w:rFonts w:ascii="Microsoft Sans Serif" w:hAnsi="Microsoft Sans Serif" w:cs="Microsoft Sans Serif"/>
          <w:bCs/>
          <w:sz w:val="20"/>
          <w:szCs w:val="20"/>
        </w:rPr>
        <w:t>Nisu sprovedene posebne studije na starijim pacijentima.</w:t>
      </w:r>
    </w:p>
    <w:p w14:paraId="12333F5A">
      <w:pPr>
        <w:rPr>
          <w:rFonts w:ascii="Microsoft Sans Serif" w:hAnsi="Microsoft Sans Serif" w:cs="Microsoft Sans Serif"/>
          <w:bCs/>
          <w:sz w:val="20"/>
          <w:szCs w:val="20"/>
        </w:rPr>
      </w:pPr>
    </w:p>
    <w:p w14:paraId="25A3EDC2">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Oštećenje funkcije jetre</w:t>
      </w:r>
    </w:p>
    <w:p w14:paraId="79F06B41">
      <w:pPr>
        <w:rPr>
          <w:rFonts w:ascii="Microsoft Sans Serif" w:hAnsi="Microsoft Sans Serif" w:cs="Microsoft Sans Serif"/>
          <w:bCs/>
          <w:sz w:val="20"/>
          <w:szCs w:val="20"/>
        </w:rPr>
      </w:pPr>
      <w:r>
        <w:rPr>
          <w:rFonts w:ascii="Microsoft Sans Serif" w:hAnsi="Microsoft Sans Serif" w:cs="Microsoft Sans Serif"/>
          <w:bCs/>
          <w:sz w:val="20"/>
          <w:szCs w:val="20"/>
        </w:rPr>
        <w:t>Erlotinib se primarno eliminiše putem jetre. Kod pacijenata sa solidnim tumorima i sa umjerenim oštećenjem funkcije jetre (Child-Pugh score 7-9), geometrijska sredina PIK</w:t>
      </w:r>
      <w:r>
        <w:rPr>
          <w:rFonts w:ascii="Microsoft Sans Serif" w:hAnsi="Microsoft Sans Serif" w:cs="Microsoft Sans Serif"/>
          <w:bCs/>
          <w:sz w:val="20"/>
          <w:szCs w:val="20"/>
          <w:vertAlign w:val="subscript"/>
        </w:rPr>
        <w:t>0-</w:t>
      </w:r>
      <w:r>
        <w:rPr>
          <w:rFonts w:ascii="Microsoft Sans Serif" w:hAnsi="Microsoft Sans Serif" w:cs="Microsoft Sans Serif"/>
          <w:bCs/>
          <w:sz w:val="20"/>
          <w:szCs w:val="20"/>
          <w:vertAlign w:val="subscript"/>
          <w:lang w:val="sr-Latn-RS"/>
        </w:rPr>
        <w:t>t</w:t>
      </w:r>
      <w:r>
        <w:rPr>
          <w:rFonts w:ascii="Microsoft Sans Serif" w:hAnsi="Microsoft Sans Serif" w:cs="Microsoft Sans Serif"/>
          <w:bCs/>
          <w:sz w:val="20"/>
          <w:szCs w:val="20"/>
        </w:rPr>
        <w:t xml:space="preserve"> i C</w:t>
      </w:r>
      <w:r>
        <w:rPr>
          <w:rFonts w:ascii="Microsoft Sans Serif" w:hAnsi="Microsoft Sans Serif" w:cs="Microsoft Sans Serif"/>
          <w:bCs/>
          <w:sz w:val="20"/>
          <w:szCs w:val="20"/>
          <w:vertAlign w:val="subscript"/>
        </w:rPr>
        <w:t xml:space="preserve">max </w:t>
      </w:r>
      <w:r>
        <w:rPr>
          <w:rFonts w:ascii="Microsoft Sans Serif" w:hAnsi="Microsoft Sans Serif" w:cs="Microsoft Sans Serif"/>
          <w:bCs/>
          <w:sz w:val="20"/>
          <w:szCs w:val="20"/>
        </w:rPr>
        <w:t>erlotiniba bila je 27000 nanograma·h/ml odnosno 805 nanograma/ml, u poređenju sa 29300 nanograma/h/ml odnosno 1090 nanograma/ml, kod pacijenata sa odgovarajućom funkcijom jetre uklјučujući pacijente sa primarnim karcinomom jetre ili sa metastazama u jetri. Iako je C</w:t>
      </w:r>
      <w:r>
        <w:rPr>
          <w:rFonts w:ascii="Microsoft Sans Serif" w:hAnsi="Microsoft Sans Serif" w:cs="Microsoft Sans Serif"/>
          <w:bCs/>
          <w:sz w:val="20"/>
          <w:szCs w:val="20"/>
          <w:vertAlign w:val="subscript"/>
        </w:rPr>
        <w:t>max</w:t>
      </w:r>
      <w:r>
        <w:rPr>
          <w:rFonts w:ascii="Microsoft Sans Serif" w:hAnsi="Microsoft Sans Serif" w:cs="Microsoft Sans Serif"/>
          <w:bCs/>
          <w:sz w:val="20"/>
          <w:szCs w:val="20"/>
        </w:rPr>
        <w:t xml:space="preserve"> bila statistički značajno niža kod pacijenata sa umjerenim oštećenjem funkcije jetre, ova razlika se ne smatra klinički značajnom. Nema dostupnih podataka o uticaju teške disfunkcije jetre na farmakokinetiku erlotiniba. U populacionoj farmakokinetičkoj analizi, povećane serumske koncentracije ukupnog bilirubina bile su udružene sa smanjenim stepenom klirensa erlotiniba.</w:t>
      </w:r>
    </w:p>
    <w:p w14:paraId="574A82B1">
      <w:pPr>
        <w:rPr>
          <w:rFonts w:ascii="Microsoft Sans Serif" w:hAnsi="Microsoft Sans Serif" w:cs="Microsoft Sans Serif"/>
          <w:bCs/>
          <w:sz w:val="20"/>
          <w:szCs w:val="20"/>
          <w:u w:val="single"/>
        </w:rPr>
      </w:pPr>
    </w:p>
    <w:p w14:paraId="174F8A50">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Oštećenje funkcije bubrega</w:t>
      </w:r>
    </w:p>
    <w:p w14:paraId="3AB9013A">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Erlotinib i njegovi metaboliti se ne izlučuju u značajnoj meri preko bubrega, jer se manje od 9% pojedinačne doze izluči urinom. U populacionoj farmakokinetičkoj analizi, nije uočena klinički značajna veza između klirensa erlotiniba i klirensa kreatinina, ali nema dostupnih podataka za pacijenate sa klirensom kreatinina </w:t>
      </w:r>
      <w:r>
        <w:rPr>
          <w:rFonts w:ascii="Microsoft Sans Serif" w:hAnsi="Microsoft Sans Serif" w:cs="Microsoft Sans Serif"/>
          <w:sz w:val="20"/>
          <w:szCs w:val="20"/>
        </w:rPr>
        <w:t>&lt;</w:t>
      </w:r>
      <w:r>
        <w:rPr>
          <w:rFonts w:ascii="Microsoft Sans Serif" w:hAnsi="Microsoft Sans Serif" w:cs="Microsoft Sans Serif"/>
          <w:sz w:val="20"/>
          <w:szCs w:val="20"/>
          <w:lang w:val="sr-Cyrl-RS"/>
        </w:rPr>
        <w:t xml:space="preserve"> </w:t>
      </w:r>
      <w:r>
        <w:rPr>
          <w:rFonts w:ascii="Microsoft Sans Serif" w:hAnsi="Microsoft Sans Serif" w:cs="Microsoft Sans Serif"/>
          <w:bCs/>
          <w:sz w:val="20"/>
          <w:szCs w:val="20"/>
        </w:rPr>
        <w:t>15 ml/min.</w:t>
      </w:r>
    </w:p>
    <w:p w14:paraId="066C68B2">
      <w:pPr>
        <w:rPr>
          <w:rFonts w:ascii="Microsoft Sans Serif" w:hAnsi="Microsoft Sans Serif" w:cs="Microsoft Sans Serif"/>
          <w:sz w:val="20"/>
          <w:szCs w:val="20"/>
          <w:u w:color="000000"/>
        </w:rPr>
      </w:pPr>
    </w:p>
    <w:p w14:paraId="07F92093">
      <w:pPr>
        <w:rPr>
          <w:rFonts w:ascii="Microsoft Sans Serif" w:hAnsi="Microsoft Sans Serif" w:cs="Microsoft Sans Serif"/>
          <w:b/>
          <w:bCs/>
          <w:sz w:val="20"/>
          <w:szCs w:val="20"/>
          <w:lang w:val="ru-RU"/>
        </w:rPr>
      </w:pPr>
      <w:r>
        <w:rPr>
          <w:rFonts w:ascii="Microsoft Sans Serif" w:hAnsi="Microsoft Sans Serif" w:cs="Microsoft Sans Serif"/>
          <w:b/>
          <w:bCs/>
          <w:sz w:val="20"/>
          <w:szCs w:val="20"/>
          <w:lang w:val="ru-RU"/>
        </w:rPr>
        <w:t>5.3. Pretklinički podaci o bezbjednosti lijeka</w:t>
      </w:r>
    </w:p>
    <w:p w14:paraId="0CC1A4C5">
      <w:pPr>
        <w:rPr>
          <w:rFonts w:ascii="Microsoft Sans Serif" w:hAnsi="Microsoft Sans Serif" w:cs="Microsoft Sans Serif"/>
          <w:b/>
          <w:bCs/>
          <w:sz w:val="20"/>
          <w:szCs w:val="20"/>
          <w:lang w:val="ru-RU"/>
        </w:rPr>
      </w:pPr>
    </w:p>
    <w:p w14:paraId="1641530C">
      <w:pPr>
        <w:rPr>
          <w:rFonts w:ascii="Microsoft Sans Serif" w:hAnsi="Microsoft Sans Serif" w:cs="Microsoft Sans Serif"/>
          <w:bCs/>
          <w:sz w:val="20"/>
          <w:szCs w:val="20"/>
          <w:lang w:val="ru-RU"/>
        </w:rPr>
      </w:pPr>
      <w:r>
        <w:rPr>
          <w:rFonts w:ascii="Microsoft Sans Serif" w:hAnsi="Microsoft Sans Serif" w:cs="Microsoft Sans Serif"/>
          <w:bCs/>
          <w:sz w:val="20"/>
          <w:szCs w:val="20"/>
          <w:lang w:val="ru-RU"/>
        </w:rPr>
        <w:t>Efekti hronične primjene zab</w:t>
      </w:r>
      <w:r>
        <w:rPr>
          <w:rFonts w:ascii="Microsoft Sans Serif" w:hAnsi="Microsoft Sans Serif" w:cs="Microsoft Sans Serif"/>
          <w:bCs/>
          <w:sz w:val="20"/>
          <w:szCs w:val="20"/>
          <w:lang w:val="sr-Latn-RS"/>
        </w:rPr>
        <w:t>i</w:t>
      </w:r>
      <w:r>
        <w:rPr>
          <w:rFonts w:ascii="Microsoft Sans Serif" w:hAnsi="Microsoft Sans Serif" w:cs="Microsoft Sans Serif"/>
          <w:bCs/>
          <w:sz w:val="20"/>
          <w:szCs w:val="20"/>
          <w:lang w:val="ru-RU"/>
        </w:rPr>
        <w:t>l</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eženi kod najmanje jedne životinjske vrste ili u studiji, uklјučuju promjene na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rožnjači (atrofija, ulceracije), koži (degeneracija i inflamacija folikula, crvenilo, i alopecija), jajnicima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(atrofija), jetri (nekroza jetre), bubrezima (bubrežna papilarna nekroza i tubularna dilatacija) 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gastrointestinalnom traktu (usporeno pražnjenje želuca i dijareja). Parametri eritrocita bili su sniženi, dok su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leukociti, prvenstveno neutrofili, bili povišeni. Kao posljedica primjenjene terapije, za</w:t>
      </w:r>
      <w:r>
        <w:rPr>
          <w:rFonts w:ascii="Microsoft Sans Serif" w:hAnsi="Microsoft Sans Serif" w:cs="Microsoft Sans Serif"/>
          <w:bCs/>
          <w:sz w:val="20"/>
          <w:szCs w:val="20"/>
          <w:lang w:val="sr-Latn-RS"/>
        </w:rPr>
        <w:t>bi</w:t>
      </w:r>
      <w:r>
        <w:rPr>
          <w:rFonts w:ascii="Microsoft Sans Serif" w:hAnsi="Microsoft Sans Serif" w:cs="Microsoft Sans Serif"/>
          <w:bCs/>
          <w:sz w:val="20"/>
          <w:szCs w:val="20"/>
          <w:lang w:val="ru-RU"/>
        </w:rPr>
        <w:t>l</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ežene su i povišene vrijednosti A</w:t>
      </w:r>
      <w:r>
        <w:rPr>
          <w:rFonts w:ascii="Microsoft Sans Serif" w:hAnsi="Microsoft Sans Serif" w:cs="Microsoft Sans Serif"/>
          <w:bCs/>
          <w:sz w:val="20"/>
          <w:szCs w:val="20"/>
          <w:lang w:val="sr-Latn-RS"/>
        </w:rPr>
        <w:t>LT</w:t>
      </w:r>
      <w:r>
        <w:rPr>
          <w:rFonts w:ascii="Microsoft Sans Serif" w:hAnsi="Microsoft Sans Serif" w:cs="Microsoft Sans Serif"/>
          <w:bCs/>
          <w:sz w:val="20"/>
          <w:szCs w:val="20"/>
          <w:lang w:val="ru-RU"/>
        </w:rPr>
        <w:t>, A</w:t>
      </w:r>
      <w:r>
        <w:rPr>
          <w:rFonts w:ascii="Microsoft Sans Serif" w:hAnsi="Microsoft Sans Serif" w:cs="Microsoft Sans Serif"/>
          <w:bCs/>
          <w:sz w:val="20"/>
          <w:szCs w:val="20"/>
          <w:lang w:val="sr-Latn-RS"/>
        </w:rPr>
        <w:t>ST</w:t>
      </w:r>
      <w:r>
        <w:rPr>
          <w:rFonts w:ascii="Microsoft Sans Serif" w:hAnsi="Microsoft Sans Serif" w:cs="Microsoft Sans Serif"/>
          <w:bCs/>
          <w:sz w:val="20"/>
          <w:szCs w:val="20"/>
          <w:lang w:val="ru-RU"/>
        </w:rPr>
        <w:t xml:space="preserve"> 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bilirubina. Ovi nalazi uočeni su pri izloženostima značajno nižim od klinički relevantnih izloženosti.</w:t>
      </w:r>
    </w:p>
    <w:p w14:paraId="6C58C440">
      <w:pPr>
        <w:rPr>
          <w:rFonts w:ascii="Microsoft Sans Serif" w:hAnsi="Microsoft Sans Serif" w:cs="Microsoft Sans Serif"/>
          <w:bCs/>
          <w:sz w:val="20"/>
          <w:szCs w:val="20"/>
          <w:lang w:val="ru-RU"/>
        </w:rPr>
      </w:pPr>
      <w:r>
        <w:rPr>
          <w:rFonts w:ascii="Microsoft Sans Serif" w:hAnsi="Microsoft Sans Serif" w:cs="Microsoft Sans Serif"/>
          <w:bCs/>
          <w:sz w:val="20"/>
          <w:szCs w:val="20"/>
          <w:lang w:val="ru-RU"/>
        </w:rPr>
        <w:t>Na osnovu mehanizma djelovanja, erlotinib je potencijalno teratogen. Podaci iz studija reproduktivne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toksičnosti na pacovima i kunićima pri dozama blizu maksimalne podnošlјive doze i/ili dozama toksičnim za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majku, pokazali su reproduktivnu (embriotoksičnost kod pacova, resorpciju embriona i fetotoksičnost kod</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kunića) i razvojnu toksičnost (sporiji rast mladunca i smanjeno preživlјavanje pacova), ali nisu pokazali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teratogenost niti štetan uticaj na plodnost. Ovi nalazi zapaženi su pri klinički relevantnim izloženostima.</w:t>
      </w:r>
    </w:p>
    <w:p w14:paraId="466F43B2">
      <w:pPr>
        <w:rPr>
          <w:rFonts w:ascii="Microsoft Sans Serif" w:hAnsi="Microsoft Sans Serif" w:cs="Microsoft Sans Serif"/>
          <w:bCs/>
          <w:sz w:val="20"/>
          <w:szCs w:val="20"/>
          <w:lang w:val="ru-RU"/>
        </w:rPr>
      </w:pPr>
      <w:r>
        <w:rPr>
          <w:rFonts w:ascii="Microsoft Sans Serif" w:hAnsi="Microsoft Sans Serif" w:cs="Microsoft Sans Serif"/>
          <w:bCs/>
          <w:sz w:val="20"/>
          <w:szCs w:val="20"/>
          <w:lang w:val="ru-RU"/>
        </w:rPr>
        <w:t>Konvencionalna ispitivanja genotoksičnosti erlotiniba su dala negativan rezultat. Dvogodišnja ispitivanja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ka</w:t>
      </w:r>
      <w:r>
        <w:rPr>
          <w:rFonts w:ascii="Microsoft Sans Serif" w:hAnsi="Microsoft Sans Serif" w:cs="Microsoft Sans Serif"/>
          <w:bCs/>
          <w:sz w:val="20"/>
          <w:szCs w:val="20"/>
          <w:lang w:val="sr-Latn-RS"/>
        </w:rPr>
        <w:t>ncer</w:t>
      </w:r>
      <w:r>
        <w:rPr>
          <w:rFonts w:ascii="Microsoft Sans Serif" w:hAnsi="Microsoft Sans Serif" w:cs="Microsoft Sans Serif"/>
          <w:bCs/>
          <w:sz w:val="20"/>
          <w:szCs w:val="20"/>
          <w:lang w:val="ru-RU"/>
        </w:rPr>
        <w:t>ogenosti erlotiniba sprovedena na pacovima i miševima su dala negativan rezultat sve do izloženosti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 xml:space="preserve">koje prevazilaze terapijsku izloženost kod lјudi (do 2 odnosno 10 puta više, redom, bazirano na </w:t>
      </w:r>
      <w:r>
        <w:rPr>
          <w:rFonts w:ascii="Microsoft Sans Serif" w:hAnsi="Microsoft Sans Serif" w:cs="Microsoft Sans Serif"/>
          <w:bCs/>
          <w:sz w:val="20"/>
          <w:szCs w:val="20"/>
          <w:lang w:val="sr-Latn-RS"/>
        </w:rPr>
        <w:t>C</w:t>
      </w:r>
      <w:r>
        <w:rPr>
          <w:rFonts w:ascii="Microsoft Sans Serif" w:hAnsi="Microsoft Sans Serif" w:cs="Microsoft Sans Serif"/>
          <w:bCs/>
          <w:sz w:val="20"/>
          <w:szCs w:val="20"/>
          <w:vertAlign w:val="subscript"/>
          <w:lang w:val="sr-Latn-RS"/>
        </w:rPr>
        <w:t>max</w:t>
      </w:r>
      <w:r>
        <w:rPr>
          <w:rFonts w:ascii="Microsoft Sans Serif" w:hAnsi="Microsoft Sans Serif" w:cs="Microsoft Sans Serif"/>
          <w:bCs/>
          <w:sz w:val="20"/>
          <w:szCs w:val="20"/>
          <w:lang w:val="ru-RU"/>
        </w:rPr>
        <w:t xml:space="preserve"> i/ili</w:t>
      </w:r>
      <w:r>
        <w:rPr>
          <w:rFonts w:ascii="Microsoft Sans Serif" w:hAnsi="Microsoft Sans Serif" w:cs="Microsoft Sans Serif"/>
          <w:bCs/>
          <w:sz w:val="20"/>
          <w:szCs w:val="20"/>
          <w:lang w:val="sr-Latn-RS"/>
        </w:rPr>
        <w:t xml:space="preserve"> PIK</w:t>
      </w:r>
      <w:r>
        <w:rPr>
          <w:rFonts w:ascii="Microsoft Sans Serif" w:hAnsi="Microsoft Sans Serif" w:cs="Microsoft Sans Serif"/>
          <w:bCs/>
          <w:sz w:val="20"/>
          <w:szCs w:val="20"/>
          <w:lang w:val="ru-RU"/>
        </w:rPr>
        <w:t>).</w:t>
      </w:r>
    </w:p>
    <w:p w14:paraId="1F1BC38D">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ru-RU"/>
        </w:rPr>
        <w:t>Zab</w:t>
      </w:r>
      <w:r>
        <w:rPr>
          <w:rFonts w:ascii="Microsoft Sans Serif" w:hAnsi="Microsoft Sans Serif" w:cs="Microsoft Sans Serif"/>
          <w:bCs/>
          <w:sz w:val="20"/>
          <w:szCs w:val="20"/>
          <w:lang w:val="sr-Latn-RS"/>
        </w:rPr>
        <w:t>ilj</w:t>
      </w:r>
      <w:r>
        <w:rPr>
          <w:rFonts w:ascii="Microsoft Sans Serif" w:hAnsi="Microsoft Sans Serif" w:cs="Microsoft Sans Serif"/>
          <w:bCs/>
          <w:sz w:val="20"/>
          <w:szCs w:val="20"/>
          <w:lang w:val="ru-RU"/>
        </w:rPr>
        <w:t xml:space="preserve">ežena je blaga fototoksična reakcija na koži pacova nakon izlaganja </w:t>
      </w:r>
      <w:r>
        <w:rPr>
          <w:rFonts w:ascii="Microsoft Sans Serif" w:hAnsi="Microsoft Sans Serif" w:cs="Microsoft Sans Serif"/>
          <w:bCs/>
          <w:sz w:val="20"/>
          <w:szCs w:val="20"/>
          <w:lang w:val="sr-Latn-RS"/>
        </w:rPr>
        <w:t>UV</w:t>
      </w:r>
      <w:r>
        <w:rPr>
          <w:rFonts w:ascii="Microsoft Sans Serif" w:hAnsi="Microsoft Sans Serif" w:cs="Microsoft Sans Serif"/>
          <w:bCs/>
          <w:sz w:val="20"/>
          <w:szCs w:val="20"/>
          <w:lang w:val="ru-RU"/>
        </w:rPr>
        <w:t xml:space="preserve"> zračenju</w:t>
      </w:r>
      <w:r>
        <w:rPr>
          <w:rFonts w:ascii="Microsoft Sans Serif" w:hAnsi="Microsoft Sans Serif" w:cs="Microsoft Sans Serif"/>
          <w:bCs/>
          <w:sz w:val="20"/>
          <w:szCs w:val="20"/>
          <w:lang w:val="sr-Latn-RS"/>
        </w:rPr>
        <w:t>.</w:t>
      </w:r>
    </w:p>
    <w:p w14:paraId="673F0615">
      <w:pPr>
        <w:rPr>
          <w:rFonts w:ascii="Microsoft Sans Serif" w:hAnsi="Microsoft Sans Serif" w:cs="Microsoft Sans Serif"/>
          <w:bCs/>
          <w:sz w:val="20"/>
          <w:szCs w:val="20"/>
          <w:lang w:val="ru-RU"/>
        </w:rPr>
      </w:pPr>
    </w:p>
    <w:p w14:paraId="09792275">
      <w:pPr>
        <w:rPr>
          <w:rFonts w:ascii="Microsoft Sans Serif" w:hAnsi="Microsoft Sans Serif" w:cs="Microsoft Sans Serif"/>
          <w:bCs/>
          <w:sz w:val="20"/>
          <w:szCs w:val="20"/>
          <w:lang w:val="ru-RU"/>
        </w:rPr>
      </w:pPr>
    </w:p>
    <w:p w14:paraId="12BED8DC">
      <w:pPr>
        <w:rPr>
          <w:rFonts w:ascii="Microsoft Sans Serif" w:hAnsi="Microsoft Sans Serif" w:cs="Microsoft Sans Serif"/>
          <w:bCs/>
          <w:sz w:val="20"/>
          <w:szCs w:val="20"/>
          <w:lang w:val="ru-RU"/>
        </w:rPr>
      </w:pPr>
    </w:p>
    <w:p w14:paraId="0A7B4E2A">
      <w:pPr>
        <w:rPr>
          <w:rFonts w:ascii="Microsoft Sans Serif" w:hAnsi="Microsoft Sans Serif" w:cs="Microsoft Sans Serif"/>
          <w:bCs/>
          <w:sz w:val="20"/>
          <w:szCs w:val="20"/>
          <w:lang w:val="ru-RU"/>
        </w:rPr>
      </w:pPr>
    </w:p>
    <w:p w14:paraId="58424E67">
      <w:pPr>
        <w:rPr>
          <w:rFonts w:ascii="Microsoft Sans Serif" w:hAnsi="Microsoft Sans Serif" w:cs="Microsoft Sans Serif"/>
          <w:b/>
          <w:sz w:val="20"/>
          <w:szCs w:val="20"/>
        </w:rPr>
      </w:pPr>
      <w:r>
        <w:rPr>
          <w:rFonts w:ascii="Microsoft Sans Serif" w:hAnsi="Microsoft Sans Serif" w:cs="Microsoft Sans Serif"/>
          <w:b/>
          <w:sz w:val="20"/>
          <w:szCs w:val="20"/>
        </w:rPr>
        <w:t>6. FARMACEUTSKI PODACI</w:t>
      </w:r>
    </w:p>
    <w:p w14:paraId="3246108B">
      <w:pPr>
        <w:rPr>
          <w:rFonts w:ascii="Microsoft Sans Serif" w:hAnsi="Microsoft Sans Serif" w:cs="Microsoft Sans Serif"/>
          <w:b/>
          <w:sz w:val="20"/>
          <w:szCs w:val="20"/>
        </w:rPr>
      </w:pPr>
    </w:p>
    <w:p w14:paraId="02C6A568">
      <w:pPr>
        <w:rPr>
          <w:rFonts w:ascii="Microsoft Sans Serif" w:hAnsi="Microsoft Sans Serif" w:cs="Microsoft Sans Serif"/>
          <w:b/>
          <w:sz w:val="20"/>
          <w:szCs w:val="20"/>
        </w:rPr>
      </w:pPr>
      <w:r>
        <w:rPr>
          <w:rFonts w:ascii="Microsoft Sans Serif" w:hAnsi="Microsoft Sans Serif" w:cs="Microsoft Sans Serif"/>
          <w:b/>
          <w:sz w:val="20"/>
          <w:szCs w:val="20"/>
        </w:rPr>
        <w:t>6.1. Lista pomoćnih supstanci</w:t>
      </w:r>
    </w:p>
    <w:p w14:paraId="19C42E0C">
      <w:pPr>
        <w:rPr>
          <w:rFonts w:ascii="Microsoft Sans Serif" w:hAnsi="Microsoft Sans Serif" w:cs="Microsoft Sans Serif"/>
          <w:sz w:val="20"/>
          <w:szCs w:val="20"/>
        </w:rPr>
      </w:pPr>
    </w:p>
    <w:p w14:paraId="16273CBC">
      <w:pPr>
        <w:rPr>
          <w:rFonts w:ascii="Microsoft Sans Serif" w:hAnsi="Microsoft Sans Serif" w:cs="Microsoft Sans Serif"/>
          <w:i/>
          <w:sz w:val="20"/>
          <w:szCs w:val="20"/>
          <w:u w:val="single"/>
        </w:rPr>
      </w:pPr>
      <w:r>
        <w:rPr>
          <w:rFonts w:ascii="Microsoft Sans Serif" w:hAnsi="Microsoft Sans Serif" w:cs="Microsoft Sans Serif"/>
          <w:i/>
          <w:sz w:val="20"/>
          <w:szCs w:val="20"/>
          <w:u w:val="single"/>
          <w:lang w:val="sr-Cyrl-RS"/>
        </w:rPr>
        <w:t>Jezgro tablete</w:t>
      </w:r>
      <w:r>
        <w:rPr>
          <w:rFonts w:ascii="Microsoft Sans Serif" w:hAnsi="Microsoft Sans Serif" w:cs="Microsoft Sans Serif"/>
          <w:i/>
          <w:sz w:val="20"/>
          <w:szCs w:val="20"/>
          <w:u w:val="single"/>
        </w:rPr>
        <w:t>:</w:t>
      </w:r>
    </w:p>
    <w:p w14:paraId="090A877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Laktoza</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monohidrat</w:t>
      </w:r>
    </w:p>
    <w:p w14:paraId="7039D6B0">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Celuloza, mikrokristalna i kalcijum</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hidrogenfosfat</w:t>
      </w:r>
    </w:p>
    <w:p w14:paraId="2480C2C1">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Natrijum-skrobglikolat</w:t>
      </w:r>
    </w:p>
    <w:p w14:paraId="5BD70D70">
      <w:pPr>
        <w:rPr>
          <w:rFonts w:ascii="Microsoft Sans Serif" w:hAnsi="Microsoft Sans Serif" w:cs="Microsoft Sans Serif"/>
          <w:sz w:val="20"/>
          <w:szCs w:val="20"/>
        </w:rPr>
      </w:pPr>
      <w:r>
        <w:rPr>
          <w:rFonts w:ascii="Microsoft Sans Serif" w:hAnsi="Microsoft Sans Serif" w:cs="Microsoft Sans Serif"/>
          <w:sz w:val="20"/>
          <w:szCs w:val="20"/>
          <w:lang w:val="sr-Cyrl-RS"/>
        </w:rPr>
        <w:t xml:space="preserve">Silicijum-dioksid, koloidni, </w:t>
      </w:r>
      <w:r>
        <w:rPr>
          <w:rFonts w:ascii="Microsoft Sans Serif" w:hAnsi="Microsoft Sans Serif" w:cs="Microsoft Sans Serif"/>
          <w:bCs/>
          <w:sz w:val="20"/>
          <w:szCs w:val="20"/>
        </w:rPr>
        <w:t>bezvodni</w:t>
      </w:r>
    </w:p>
    <w:p w14:paraId="63784BEF">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Celuloza, mikrokristalna</w:t>
      </w:r>
    </w:p>
    <w:p w14:paraId="6DFEF3CA">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Natrijum-laurilsulfat</w:t>
      </w:r>
    </w:p>
    <w:p w14:paraId="4FB91428">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Magnezijum-stearat</w:t>
      </w:r>
    </w:p>
    <w:p w14:paraId="0949364F">
      <w:pPr>
        <w:rPr>
          <w:rFonts w:ascii="Microsoft Sans Serif" w:hAnsi="Microsoft Sans Serif" w:cs="Microsoft Sans Serif"/>
          <w:sz w:val="20"/>
          <w:szCs w:val="20"/>
        </w:rPr>
      </w:pPr>
    </w:p>
    <w:p w14:paraId="303369B4">
      <w:pPr>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Film obloga</w:t>
      </w:r>
      <w:r>
        <w:rPr>
          <w:rFonts w:ascii="Microsoft Sans Serif" w:hAnsi="Microsoft Sans Serif" w:cs="Microsoft Sans Serif"/>
          <w:i/>
          <w:sz w:val="20"/>
          <w:szCs w:val="20"/>
          <w:u w:val="single"/>
          <w:lang w:val="sr-Cyrl-RS"/>
        </w:rPr>
        <w:t xml:space="preserve"> tablete</w:t>
      </w:r>
      <w:r>
        <w:rPr>
          <w:rFonts w:ascii="Microsoft Sans Serif" w:hAnsi="Microsoft Sans Serif" w:cs="Microsoft Sans Serif"/>
          <w:i/>
          <w:sz w:val="20"/>
          <w:szCs w:val="20"/>
          <w:u w:val="single"/>
        </w:rPr>
        <w:t>:</w:t>
      </w:r>
    </w:p>
    <w:p w14:paraId="58B524CD">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Hipromeloza  </w:t>
      </w:r>
    </w:p>
    <w:p w14:paraId="035F5316">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Hidroksipropilceluloza</w:t>
      </w:r>
    </w:p>
    <w:p w14:paraId="172219A1">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Titan-dioksid (E171)</w:t>
      </w:r>
    </w:p>
    <w:p w14:paraId="39EAFC35">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Makrogol</w:t>
      </w:r>
    </w:p>
    <w:p w14:paraId="21F0F68F">
      <w:pPr>
        <w:rPr>
          <w:rFonts w:ascii="Microsoft Sans Serif" w:hAnsi="Microsoft Sans Serif" w:cs="Microsoft Sans Serif"/>
          <w:sz w:val="20"/>
          <w:szCs w:val="20"/>
        </w:rPr>
      </w:pPr>
    </w:p>
    <w:p w14:paraId="342F9BD3">
      <w:pPr>
        <w:rPr>
          <w:rFonts w:ascii="Microsoft Sans Serif" w:hAnsi="Microsoft Sans Serif" w:cs="Microsoft Sans Serif"/>
          <w:b/>
          <w:bCs/>
          <w:sz w:val="20"/>
          <w:szCs w:val="20"/>
        </w:rPr>
      </w:pPr>
      <w:r>
        <w:rPr>
          <w:rFonts w:ascii="Microsoft Sans Serif" w:hAnsi="Microsoft Sans Serif" w:cs="Microsoft Sans Serif"/>
          <w:b/>
          <w:bCs/>
          <w:sz w:val="20"/>
          <w:szCs w:val="20"/>
        </w:rPr>
        <w:t>6.2. Inkompatibilnost</w:t>
      </w:r>
    </w:p>
    <w:p w14:paraId="2179B942">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 </w:t>
      </w:r>
    </w:p>
    <w:p w14:paraId="55C4D704">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Nije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enjivo.</w:t>
      </w:r>
    </w:p>
    <w:p w14:paraId="7B799D93">
      <w:pPr>
        <w:rPr>
          <w:rFonts w:ascii="Microsoft Sans Serif" w:hAnsi="Microsoft Sans Serif" w:cs="Microsoft Sans Serif"/>
          <w:sz w:val="20"/>
          <w:szCs w:val="20"/>
          <w:lang w:val="sr-Cyrl-RS"/>
        </w:rPr>
      </w:pPr>
    </w:p>
    <w:p w14:paraId="039F0A8A">
      <w:pPr>
        <w:rPr>
          <w:rFonts w:ascii="Microsoft Sans Serif" w:hAnsi="Microsoft Sans Serif" w:cs="Microsoft Sans Serif"/>
          <w:b/>
          <w:bCs/>
          <w:sz w:val="20"/>
          <w:szCs w:val="20"/>
        </w:rPr>
      </w:pPr>
      <w:r>
        <w:rPr>
          <w:rFonts w:ascii="Microsoft Sans Serif" w:hAnsi="Microsoft Sans Serif" w:cs="Microsoft Sans Serif"/>
          <w:b/>
          <w:bCs/>
          <w:sz w:val="20"/>
          <w:szCs w:val="20"/>
        </w:rPr>
        <w:t>6.3. Rok upotrebe</w:t>
      </w:r>
    </w:p>
    <w:p w14:paraId="0764069C">
      <w:pPr>
        <w:rPr>
          <w:rFonts w:ascii="Microsoft Sans Serif" w:hAnsi="Microsoft Sans Serif" w:cs="Microsoft Sans Serif"/>
          <w:bCs/>
          <w:sz w:val="20"/>
          <w:szCs w:val="20"/>
          <w:lang w:val="sr-Cyrl-RS"/>
        </w:rPr>
      </w:pPr>
    </w:p>
    <w:p w14:paraId="235E442C">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2 godine.</w:t>
      </w:r>
    </w:p>
    <w:p w14:paraId="726A19FB">
      <w:pPr>
        <w:rPr>
          <w:rFonts w:ascii="Microsoft Sans Serif" w:hAnsi="Microsoft Sans Serif" w:cs="Microsoft Sans Serif"/>
          <w:bCs/>
          <w:sz w:val="20"/>
          <w:szCs w:val="20"/>
          <w:lang w:val="sr-Cyrl-RS"/>
        </w:rPr>
      </w:pPr>
    </w:p>
    <w:p w14:paraId="6B73B5C1">
      <w:pPr>
        <w:rPr>
          <w:rFonts w:ascii="Microsoft Sans Serif" w:hAnsi="Microsoft Sans Serif" w:cs="Microsoft Sans Serif"/>
          <w:b/>
          <w:bCs/>
          <w:sz w:val="20"/>
          <w:szCs w:val="20"/>
          <w:lang w:val="ru-RU"/>
        </w:rPr>
      </w:pPr>
      <w:r>
        <w:rPr>
          <w:rFonts w:ascii="Microsoft Sans Serif" w:hAnsi="Microsoft Sans Serif" w:cs="Microsoft Sans Serif"/>
          <w:b/>
          <w:bCs/>
          <w:sz w:val="20"/>
          <w:szCs w:val="20"/>
          <w:lang w:val="ru-RU"/>
        </w:rPr>
        <w:t xml:space="preserve">6.4. Posebne mjere </w:t>
      </w:r>
      <w:r>
        <w:rPr>
          <w:rFonts w:ascii="Microsoft Sans Serif" w:hAnsi="Microsoft Sans Serif" w:cs="Microsoft Sans Serif"/>
          <w:b/>
          <w:bCs/>
          <w:sz w:val="20"/>
          <w:szCs w:val="20"/>
        </w:rPr>
        <w:t xml:space="preserve">opreza </w:t>
      </w:r>
      <w:r>
        <w:rPr>
          <w:rFonts w:ascii="Microsoft Sans Serif" w:hAnsi="Microsoft Sans Serif" w:cs="Microsoft Sans Serif"/>
          <w:b/>
          <w:bCs/>
          <w:sz w:val="20"/>
          <w:szCs w:val="20"/>
          <w:lang w:val="ru-RU"/>
        </w:rPr>
        <w:t>pri čuvanju</w:t>
      </w:r>
    </w:p>
    <w:p w14:paraId="5110ABD1">
      <w:pPr>
        <w:rPr>
          <w:rFonts w:ascii="Microsoft Sans Serif" w:hAnsi="Microsoft Sans Serif" w:cs="Microsoft Sans Serif"/>
          <w:sz w:val="20"/>
          <w:szCs w:val="20"/>
          <w:lang w:val="de-DE"/>
        </w:rPr>
      </w:pPr>
    </w:p>
    <w:p w14:paraId="4E869787">
      <w:pPr>
        <w:rPr>
          <w:rFonts w:ascii="Microsoft Sans Serif" w:hAnsi="Microsoft Sans Serif" w:cs="Microsoft Sans Serif"/>
          <w:sz w:val="20"/>
          <w:szCs w:val="20"/>
          <w:lang w:val="sr-Latn-RS"/>
        </w:rPr>
      </w:pPr>
      <w:r>
        <w:rPr>
          <w:rFonts w:ascii="Microsoft Sans Serif" w:hAnsi="Microsoft Sans Serif" w:cs="Microsoft Sans Serif"/>
          <w:sz w:val="20"/>
          <w:szCs w:val="20"/>
        </w:rPr>
        <w:t xml:space="preserve">Lijek treba </w:t>
      </w:r>
      <w:r>
        <w:rPr>
          <w:rFonts w:ascii="Microsoft Sans Serif" w:hAnsi="Microsoft Sans Serif" w:cs="Microsoft Sans Serif"/>
          <w:sz w:val="20"/>
          <w:szCs w:val="20"/>
          <w:lang w:val="sr-Latn-RS"/>
        </w:rPr>
        <w:t>čuvati na temperaturi do 30⁰C.</w:t>
      </w:r>
    </w:p>
    <w:p w14:paraId="393B633D">
      <w:pPr>
        <w:rPr>
          <w:rFonts w:ascii="Microsoft Sans Serif" w:hAnsi="Microsoft Sans Serif" w:cs="Microsoft Sans Serif"/>
          <w:sz w:val="20"/>
          <w:szCs w:val="20"/>
          <w:lang w:val="sr-Cyrl-RS"/>
        </w:rPr>
      </w:pPr>
    </w:p>
    <w:p w14:paraId="44FB0C04">
      <w:pPr>
        <w:rPr>
          <w:rFonts w:ascii="Microsoft Sans Serif" w:hAnsi="Microsoft Sans Serif" w:cs="Microsoft Sans Serif"/>
          <w:b/>
          <w:bCs/>
          <w:sz w:val="20"/>
          <w:szCs w:val="20"/>
        </w:rPr>
      </w:pPr>
      <w:r>
        <w:rPr>
          <w:rFonts w:ascii="Microsoft Sans Serif" w:hAnsi="Microsoft Sans Serif" w:cs="Microsoft Sans Serif"/>
          <w:b/>
          <w:bCs/>
          <w:sz w:val="20"/>
          <w:szCs w:val="20"/>
          <w:lang w:val="sr-Latn-CS"/>
        </w:rPr>
        <w:t>6.5. Priroda i sadržaj pakovanja</w:t>
      </w:r>
      <w:r>
        <w:rPr>
          <w:rFonts w:ascii="Microsoft Sans Serif" w:hAnsi="Microsoft Sans Serif" w:cs="Microsoft Sans Serif"/>
          <w:b/>
          <w:bCs/>
          <w:sz w:val="20"/>
          <w:szCs w:val="20"/>
        </w:rPr>
        <w:t xml:space="preserve"> </w:t>
      </w:r>
    </w:p>
    <w:p w14:paraId="180D2C67">
      <w:pPr>
        <w:rPr>
          <w:rFonts w:ascii="Microsoft Sans Serif" w:hAnsi="Microsoft Sans Serif" w:cs="Microsoft Sans Serif"/>
          <w:b/>
          <w:bCs/>
          <w:sz w:val="20"/>
          <w:szCs w:val="20"/>
        </w:rPr>
      </w:pPr>
    </w:p>
    <w:p w14:paraId="6E08E1A6">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Unutrašnje pakovanje lijeka </w:t>
      </w:r>
      <w:r>
        <w:rPr>
          <w:rFonts w:ascii="Microsoft Sans Serif" w:hAnsi="Microsoft Sans Serif" w:cs="Microsoft Sans Serif"/>
          <w:sz w:val="20"/>
          <w:szCs w:val="20"/>
          <w:lang w:val="sr-Latn-RS"/>
        </w:rPr>
        <w:t xml:space="preserve">je </w:t>
      </w:r>
      <w:r>
        <w:rPr>
          <w:rFonts w:ascii="Microsoft Sans Serif" w:hAnsi="Microsoft Sans Serif" w:cs="Microsoft Sans Serif"/>
          <w:sz w:val="20"/>
          <w:szCs w:val="20"/>
        </w:rPr>
        <w:t>oPA/Al/PVC/Al</w:t>
      </w:r>
      <w:r>
        <w:rPr>
          <w:rFonts w:ascii="Microsoft Sans Serif" w:hAnsi="Microsoft Sans Serif" w:cs="Microsoft Sans Serif"/>
          <w:sz w:val="20"/>
          <w:szCs w:val="20"/>
          <w:lang w:val="sr-Cyrl-RS"/>
        </w:rPr>
        <w:t xml:space="preserve"> blister. Svaki blister sadrži 6 tableta.</w:t>
      </w:r>
    </w:p>
    <w:p w14:paraId="5F28661A">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lijeka je kartonska kutija koja sadrži 30 tableta (5 blistera po 6 tableta)</w:t>
      </w:r>
      <w:r>
        <w:rPr>
          <w:rFonts w:ascii="Microsoft Sans Serif" w:hAnsi="Microsoft Sans Serif" w:cs="Microsoft Sans Serif"/>
          <w:sz w:val="20"/>
          <w:szCs w:val="20"/>
        </w:rPr>
        <w:t xml:space="preserve">, uz </w:t>
      </w:r>
      <w:r>
        <w:rPr>
          <w:rFonts w:ascii="Microsoft Sans Serif" w:hAnsi="Microsoft Sans Serif" w:cs="Microsoft Sans Serif"/>
          <w:sz w:val="20"/>
          <w:szCs w:val="20"/>
          <w:lang w:val="sr-Latn-RS"/>
        </w:rPr>
        <w:t xml:space="preserve">priloženo </w:t>
      </w:r>
      <w:r>
        <w:rPr>
          <w:rFonts w:ascii="Microsoft Sans Serif" w:hAnsi="Microsoft Sans Serif" w:cs="Microsoft Sans Serif"/>
          <w:sz w:val="20"/>
          <w:szCs w:val="20"/>
          <w:lang w:val="sr-Cyrl-RS"/>
        </w:rPr>
        <w:t xml:space="preserve">Uputstvo za </w:t>
      </w:r>
      <w:r>
        <w:rPr>
          <w:rFonts w:ascii="Microsoft Sans Serif" w:hAnsi="Microsoft Sans Serif" w:cs="Microsoft Sans Serif"/>
          <w:sz w:val="20"/>
          <w:szCs w:val="20"/>
        </w:rPr>
        <w:t>pacijenta</w:t>
      </w:r>
      <w:r>
        <w:rPr>
          <w:rFonts w:ascii="Microsoft Sans Serif" w:hAnsi="Microsoft Sans Serif" w:cs="Microsoft Sans Serif"/>
          <w:sz w:val="20"/>
          <w:szCs w:val="20"/>
          <w:lang w:val="sr-Cyrl-RS"/>
        </w:rPr>
        <w:t>.</w:t>
      </w:r>
    </w:p>
    <w:p w14:paraId="6528819D">
      <w:pPr>
        <w:rPr>
          <w:rFonts w:ascii="Microsoft Sans Serif" w:hAnsi="Microsoft Sans Serif" w:cs="Microsoft Sans Serif"/>
          <w:sz w:val="20"/>
          <w:szCs w:val="20"/>
        </w:rPr>
      </w:pPr>
    </w:p>
    <w:p w14:paraId="5E013F39">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ru-RU"/>
        </w:rPr>
        <w:t xml:space="preserve">6.6. Posebne mjere opreza pri odlaganju materijala koji treba odbaciti nakon primjene lijeka </w:t>
      </w:r>
      <w:r>
        <w:rPr>
          <w:rFonts w:ascii="Microsoft Sans Serif" w:hAnsi="Microsoft Sans Serif" w:cs="Microsoft Sans Serif"/>
          <w:b/>
          <w:bCs/>
          <w:sz w:val="20"/>
          <w:szCs w:val="20"/>
          <w:lang w:val="sr-Latn-CS"/>
        </w:rPr>
        <w:t>(i druga uputstva za rukovanje lijekom)</w:t>
      </w:r>
    </w:p>
    <w:p w14:paraId="70E349B7">
      <w:pPr>
        <w:rPr>
          <w:rFonts w:ascii="Microsoft Sans Serif" w:hAnsi="Microsoft Sans Serif" w:cs="Microsoft Sans Serif"/>
          <w:sz w:val="20"/>
          <w:szCs w:val="20"/>
          <w:lang w:val="sr-Cyrl-CS"/>
        </w:rPr>
      </w:pPr>
    </w:p>
    <w:p w14:paraId="5F8814B3">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Cyrl-CS"/>
        </w:rPr>
        <w:t>Svu neiskoriš</w:t>
      </w:r>
      <w:r>
        <w:rPr>
          <w:rFonts w:ascii="Microsoft Sans Serif" w:hAnsi="Microsoft Sans Serif" w:cs="Microsoft Sans Serif"/>
          <w:sz w:val="20"/>
          <w:szCs w:val="20"/>
          <w:lang w:val="sr-Latn-RS"/>
        </w:rPr>
        <w:t>t</w:t>
      </w:r>
      <w:r>
        <w:rPr>
          <w:rFonts w:ascii="Microsoft Sans Serif" w:hAnsi="Microsoft Sans Serif" w:cs="Microsoft Sans Serif"/>
          <w:sz w:val="20"/>
          <w:szCs w:val="20"/>
          <w:lang w:val="sr-Cyrl-CS"/>
        </w:rPr>
        <w:t>enu količinu lijeka ili otpadnog materijala nakon njegove upotrebe treba ukloniti u skladu sa važećim propisima.</w:t>
      </w:r>
    </w:p>
    <w:p w14:paraId="143CF4E3">
      <w:pPr>
        <w:rPr>
          <w:rFonts w:ascii="Microsoft Sans Serif" w:hAnsi="Microsoft Sans Serif" w:cs="Microsoft Sans Serif"/>
          <w:sz w:val="20"/>
          <w:szCs w:val="20"/>
          <w:lang w:val="sr-Latn-RS"/>
        </w:rPr>
      </w:pPr>
    </w:p>
    <w:p w14:paraId="652D839F">
      <w:pPr>
        <w:tabs>
          <w:tab w:val="clear" w:pos="284"/>
        </w:tabs>
        <w:autoSpaceDE w:val="0"/>
        <w:autoSpaceDN w:val="0"/>
        <w:adjustRightInd w:val="0"/>
        <w:jc w:val="left"/>
        <w:rPr>
          <w:rFonts w:ascii="Microsoft Sans Serif" w:hAnsi="Microsoft Sans Serif" w:cs="Microsoft Sans Serif"/>
          <w:b/>
          <w:sz w:val="20"/>
          <w:szCs w:val="20"/>
          <w:lang w:val="sr-Cyrl-CS"/>
        </w:rPr>
      </w:pPr>
      <w:r>
        <w:rPr>
          <w:rFonts w:ascii="Microsoft Sans Serif" w:hAnsi="Microsoft Sans Serif" w:cs="Microsoft Sans Serif"/>
          <w:b/>
          <w:sz w:val="20"/>
          <w:szCs w:val="20"/>
          <w:lang w:val="sr-Cyrl-CS"/>
        </w:rPr>
        <w:t>6.7. Režim izdavanja lijeka</w:t>
      </w:r>
    </w:p>
    <w:p w14:paraId="018B6443">
      <w:pPr>
        <w:tabs>
          <w:tab w:val="clear" w:pos="284"/>
        </w:tabs>
        <w:autoSpaceDE w:val="0"/>
        <w:autoSpaceDN w:val="0"/>
        <w:adjustRightInd w:val="0"/>
        <w:jc w:val="left"/>
        <w:rPr>
          <w:rFonts w:ascii="Microsoft Sans Serif" w:hAnsi="Microsoft Sans Serif" w:cs="Microsoft Sans Serif"/>
          <w:sz w:val="20"/>
          <w:szCs w:val="20"/>
          <w:lang w:val="sr-Cyrl-CS"/>
        </w:rPr>
      </w:pPr>
      <w:r>
        <w:rPr>
          <w:rFonts w:ascii="Microsoft Sans Serif" w:hAnsi="Microsoft Sans Serif" w:cs="Microsoft Sans Serif"/>
          <w:sz w:val="20"/>
          <w:szCs w:val="20"/>
          <w:lang w:val="sr-Cyrl-CS"/>
        </w:rPr>
        <w:t>Lijek se upotrebljava u zdravstvenoj ustanovi sekundarnog ili tercijarnog nivoa; izuzetno se</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CS"/>
        </w:rPr>
        <w:t>izdaje uz recept za potrebe nastavka bolničkog liječenja.</w:t>
      </w:r>
    </w:p>
    <w:p w14:paraId="028EF717">
      <w:pPr>
        <w:rPr>
          <w:rFonts w:ascii="Microsoft Sans Serif" w:hAnsi="Microsoft Sans Serif" w:cs="Microsoft Sans Serif"/>
          <w:sz w:val="20"/>
          <w:szCs w:val="20"/>
          <w:lang w:val="sr-Cyrl-CS"/>
        </w:rPr>
      </w:pPr>
    </w:p>
    <w:p w14:paraId="7B9DCFB0">
      <w:pPr>
        <w:tabs>
          <w:tab w:val="left" w:pos="709"/>
        </w:tabs>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7.</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 xml:space="preserve">PROIZVOĐAČ </w:t>
      </w:r>
    </w:p>
    <w:p w14:paraId="70357F5B">
      <w:pPr>
        <w:rPr>
          <w:rFonts w:ascii="Microsoft Sans Serif" w:hAnsi="Microsoft Sans Serif" w:cs="Microsoft Sans Serif"/>
          <w:sz w:val="20"/>
          <w:szCs w:val="20"/>
          <w:lang w:val="hr-HR"/>
        </w:rPr>
      </w:pPr>
    </w:p>
    <w:p w14:paraId="4F63BFF7">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757B1F29">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 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606FCF88">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3C798BC4">
      <w:pPr>
        <w:rPr>
          <w:rFonts w:ascii="Microsoft Sans Serif" w:hAnsi="Microsoft Sans Serif" w:cs="Microsoft Sans Serif"/>
          <w:sz w:val="20"/>
          <w:szCs w:val="20"/>
          <w:lang w:val="hr-HR"/>
        </w:rPr>
      </w:pPr>
    </w:p>
    <w:p w14:paraId="1DF3C59B">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Proizvođač gotovog lijeka </w:t>
      </w:r>
    </w:p>
    <w:p w14:paraId="2BF09843">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480E0AB8">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 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5DBE2084">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61F24277">
      <w:pPr>
        <w:rPr>
          <w:rFonts w:ascii="Microsoft Sans Serif" w:hAnsi="Microsoft Sans Serif" w:cs="Microsoft Sans Serif"/>
          <w:sz w:val="20"/>
          <w:szCs w:val="20"/>
          <w:lang w:val="sr-Latn-BA"/>
        </w:rPr>
      </w:pPr>
    </w:p>
    <w:p w14:paraId="25ECB942">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Nositelj dozvole za stavljanje gotovog lijeka u promet </w:t>
      </w:r>
    </w:p>
    <w:p w14:paraId="058BCD48">
      <w:pPr>
        <w:pStyle w:val="13"/>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ALKALOID d.o.o. Sarajevo </w:t>
      </w:r>
    </w:p>
    <w:p w14:paraId="5F4EEE63">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Isevića sokak 6, Sarajevo</w:t>
      </w:r>
    </w:p>
    <w:p w14:paraId="721C44BF">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Bosna i Hercegovina</w:t>
      </w:r>
    </w:p>
    <w:p w14:paraId="771168FE">
      <w:pPr>
        <w:widowControl w:val="0"/>
        <w:autoSpaceDE w:val="0"/>
        <w:autoSpaceDN w:val="0"/>
        <w:rPr>
          <w:rFonts w:ascii="Microsoft Sans Serif" w:hAnsi="Microsoft Sans Serif" w:cs="Microsoft Sans Serif"/>
          <w:sz w:val="20"/>
          <w:szCs w:val="20"/>
          <w:lang w:val="mk-MK"/>
        </w:rPr>
      </w:pPr>
    </w:p>
    <w:p w14:paraId="5526AF2B">
      <w:pPr>
        <w:tabs>
          <w:tab w:val="left" w:pos="567"/>
        </w:tabs>
        <w:rPr>
          <w:rFonts w:ascii="Microsoft Sans Serif" w:hAnsi="Microsoft Sans Serif" w:cs="Microsoft Sans Serif"/>
          <w:sz w:val="20"/>
          <w:szCs w:val="20"/>
          <w:lang w:val="sr-Latn-BA"/>
        </w:rPr>
      </w:pPr>
    </w:p>
    <w:p w14:paraId="481AFADC">
      <w:pPr>
        <w:tabs>
          <w:tab w:val="left" w:pos="360"/>
        </w:tabs>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8.</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BROJ I DATUM RJEŠENJA O DOZVOLI ZA STAVLJANJE GOTOVOG LIJEKA U PROMET</w:t>
      </w:r>
    </w:p>
    <w:p w14:paraId="44CEB688">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Fokleros, film tablete, 100 mg: 04-07.3-1-11635/20 od 05.09.2022.god.</w:t>
      </w:r>
    </w:p>
    <w:p w14:paraId="598E3C50">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Fokleros, film tablete, 150 mg: 04-07.3-1-11637/20 od 05.09.2022.god</w:t>
      </w:r>
    </w:p>
    <w:p w14:paraId="3C9CF292">
      <w:pPr>
        <w:rPr>
          <w:rFonts w:ascii="Microsoft Sans Serif" w:hAnsi="Microsoft Sans Serif" w:cs="Microsoft Sans Serif"/>
          <w:bCs/>
          <w:sz w:val="20"/>
          <w:szCs w:val="20"/>
          <w:lang w:val="sr-Latn-CS"/>
        </w:rPr>
      </w:pPr>
    </w:p>
    <w:p w14:paraId="63A36E72">
      <w:pPr>
        <w:tabs>
          <w:tab w:val="left" w:pos="360"/>
        </w:tabs>
        <w:rPr>
          <w:rFonts w:ascii="Microsoft Sans Serif" w:hAnsi="Microsoft Sans Serif" w:cs="Microsoft Sans Serif"/>
          <w:sz w:val="20"/>
          <w:szCs w:val="20"/>
          <w:lang w:val="sr-Latn-BA"/>
        </w:rPr>
      </w:pPr>
      <w:r>
        <w:rPr>
          <w:rFonts w:ascii="Microsoft Sans Serif" w:hAnsi="Microsoft Sans Serif" w:cs="Microsoft Sans Serif"/>
          <w:b/>
          <w:sz w:val="20"/>
          <w:szCs w:val="20"/>
          <w:lang w:val="sr-Latn-BA"/>
        </w:rPr>
        <w:t>9.</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 xml:space="preserve">DATUM REVIZIJE SAŽETKA KARAKTERISTIKA LIJEKA </w:t>
      </w:r>
    </w:p>
    <w:p w14:paraId="0FD0EABA">
      <w:pPr>
        <w:pStyle w:val="13"/>
        <w:rPr>
          <w:rFonts w:ascii="Microsoft Sans Serif" w:hAnsi="Microsoft Sans Serif" w:cs="Microsoft Sans Serif"/>
          <w:sz w:val="20"/>
          <w:szCs w:val="20"/>
          <w:lang w:val="sr-Latn-BA"/>
        </w:rPr>
      </w:pPr>
    </w:p>
    <w:p w14:paraId="7849968F">
      <w:pPr>
        <w:rPr>
          <w:rFonts w:ascii="Microsoft Sans Serif" w:hAnsi="Microsoft Sans Serif" w:cs="Microsoft Sans Serif"/>
          <w:bCs/>
          <w:sz w:val="20"/>
          <w:szCs w:val="20"/>
          <w:lang w:val="sr-Latn-CS"/>
        </w:rPr>
      </w:pPr>
      <w:r>
        <w:rPr>
          <w:rFonts w:ascii="Microsoft Sans Serif" w:hAnsi="Microsoft Sans Serif" w:cs="Microsoft Sans Serif"/>
          <w:sz w:val="20"/>
          <w:szCs w:val="20"/>
          <w:lang w:val="sr-Latn-BA"/>
        </w:rPr>
        <w:t>Novembar, 2023. g</w:t>
      </w:r>
    </w:p>
    <w:sectPr>
      <w:pgSz w:w="12240" w:h="15840"/>
      <w:pgMar w:top="2552" w:right="1134" w:bottom="1134"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AC C Swiss">
    <w:altName w:val="Segoe Print"/>
    <w:panose1 w:val="00000000000000000000"/>
    <w:charset w:val="00"/>
    <w:family w:val="swiss"/>
    <w:pitch w:val="default"/>
    <w:sig w:usb0="00000000" w:usb1="00000000" w:usb2="00000000" w:usb3="00000000" w:csb0="00000009"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5D1"/>
    <w:rsid w:val="00001453"/>
    <w:rsid w:val="00003ADC"/>
    <w:rsid w:val="00003E4B"/>
    <w:rsid w:val="000113F8"/>
    <w:rsid w:val="00011F13"/>
    <w:rsid w:val="00012F11"/>
    <w:rsid w:val="0002724E"/>
    <w:rsid w:val="000305BC"/>
    <w:rsid w:val="000360E9"/>
    <w:rsid w:val="00036F02"/>
    <w:rsid w:val="00056D73"/>
    <w:rsid w:val="00056D79"/>
    <w:rsid w:val="0006015E"/>
    <w:rsid w:val="00060276"/>
    <w:rsid w:val="00061715"/>
    <w:rsid w:val="00077C82"/>
    <w:rsid w:val="000918E2"/>
    <w:rsid w:val="00093E77"/>
    <w:rsid w:val="00096200"/>
    <w:rsid w:val="0009620D"/>
    <w:rsid w:val="000A4BB6"/>
    <w:rsid w:val="000B1C48"/>
    <w:rsid w:val="000C45D1"/>
    <w:rsid w:val="000C783F"/>
    <w:rsid w:val="000D5D35"/>
    <w:rsid w:val="000D63ED"/>
    <w:rsid w:val="000E568F"/>
    <w:rsid w:val="000E5B8D"/>
    <w:rsid w:val="000E71B2"/>
    <w:rsid w:val="000E7814"/>
    <w:rsid w:val="000F0A6E"/>
    <w:rsid w:val="000F46E3"/>
    <w:rsid w:val="0010058D"/>
    <w:rsid w:val="0011602F"/>
    <w:rsid w:val="001264B8"/>
    <w:rsid w:val="001300F2"/>
    <w:rsid w:val="001350EA"/>
    <w:rsid w:val="001356BA"/>
    <w:rsid w:val="0013776A"/>
    <w:rsid w:val="00137CFF"/>
    <w:rsid w:val="00140A46"/>
    <w:rsid w:val="00153051"/>
    <w:rsid w:val="00171D8F"/>
    <w:rsid w:val="0017400A"/>
    <w:rsid w:val="00175B6F"/>
    <w:rsid w:val="00182BD8"/>
    <w:rsid w:val="001A551A"/>
    <w:rsid w:val="001C45B6"/>
    <w:rsid w:val="001E7B65"/>
    <w:rsid w:val="001F43C3"/>
    <w:rsid w:val="001F4DE6"/>
    <w:rsid w:val="001F5D3E"/>
    <w:rsid w:val="001F7B3D"/>
    <w:rsid w:val="00202B8B"/>
    <w:rsid w:val="002266FD"/>
    <w:rsid w:val="002311E9"/>
    <w:rsid w:val="00232FE5"/>
    <w:rsid w:val="00233BEB"/>
    <w:rsid w:val="00240FD0"/>
    <w:rsid w:val="00246FC0"/>
    <w:rsid w:val="00257563"/>
    <w:rsid w:val="00262836"/>
    <w:rsid w:val="00263CEB"/>
    <w:rsid w:val="002654F6"/>
    <w:rsid w:val="00265F4A"/>
    <w:rsid w:val="00266C74"/>
    <w:rsid w:val="00267D13"/>
    <w:rsid w:val="002804FA"/>
    <w:rsid w:val="00282C9C"/>
    <w:rsid w:val="002A41B3"/>
    <w:rsid w:val="002B578B"/>
    <w:rsid w:val="002D20DD"/>
    <w:rsid w:val="002D6FF9"/>
    <w:rsid w:val="002F0BA2"/>
    <w:rsid w:val="002F129F"/>
    <w:rsid w:val="002F54B1"/>
    <w:rsid w:val="00301BE2"/>
    <w:rsid w:val="00303BDB"/>
    <w:rsid w:val="00314477"/>
    <w:rsid w:val="00336D30"/>
    <w:rsid w:val="00340F9F"/>
    <w:rsid w:val="00363401"/>
    <w:rsid w:val="00376AE2"/>
    <w:rsid w:val="00387332"/>
    <w:rsid w:val="00397928"/>
    <w:rsid w:val="003A15E3"/>
    <w:rsid w:val="003A461F"/>
    <w:rsid w:val="003B0AC7"/>
    <w:rsid w:val="003B59D2"/>
    <w:rsid w:val="003B717B"/>
    <w:rsid w:val="003C1825"/>
    <w:rsid w:val="003E153E"/>
    <w:rsid w:val="003F643F"/>
    <w:rsid w:val="00400EBD"/>
    <w:rsid w:val="00401B13"/>
    <w:rsid w:val="00424BD6"/>
    <w:rsid w:val="00427F3E"/>
    <w:rsid w:val="00431C1A"/>
    <w:rsid w:val="00442842"/>
    <w:rsid w:val="00445998"/>
    <w:rsid w:val="0049000B"/>
    <w:rsid w:val="004929B6"/>
    <w:rsid w:val="004942E7"/>
    <w:rsid w:val="00495E21"/>
    <w:rsid w:val="0049775E"/>
    <w:rsid w:val="004A08F7"/>
    <w:rsid w:val="004A18DE"/>
    <w:rsid w:val="004A5A6D"/>
    <w:rsid w:val="004A6612"/>
    <w:rsid w:val="004B3E23"/>
    <w:rsid w:val="004B4E73"/>
    <w:rsid w:val="004C7AEA"/>
    <w:rsid w:val="004E652F"/>
    <w:rsid w:val="004F4A1D"/>
    <w:rsid w:val="00540FA1"/>
    <w:rsid w:val="005427F4"/>
    <w:rsid w:val="005436B9"/>
    <w:rsid w:val="005577C6"/>
    <w:rsid w:val="00565509"/>
    <w:rsid w:val="00587111"/>
    <w:rsid w:val="005A0ED5"/>
    <w:rsid w:val="005A15D1"/>
    <w:rsid w:val="005D70AF"/>
    <w:rsid w:val="005F2E18"/>
    <w:rsid w:val="005F3612"/>
    <w:rsid w:val="0060347E"/>
    <w:rsid w:val="006050A0"/>
    <w:rsid w:val="0061132A"/>
    <w:rsid w:val="00611CBE"/>
    <w:rsid w:val="00624A38"/>
    <w:rsid w:val="00630289"/>
    <w:rsid w:val="006331C7"/>
    <w:rsid w:val="00635137"/>
    <w:rsid w:val="00642F07"/>
    <w:rsid w:val="00646D32"/>
    <w:rsid w:val="00660009"/>
    <w:rsid w:val="00660962"/>
    <w:rsid w:val="006643E0"/>
    <w:rsid w:val="006730F4"/>
    <w:rsid w:val="006972BA"/>
    <w:rsid w:val="006B04ED"/>
    <w:rsid w:val="006B3385"/>
    <w:rsid w:val="006B7F7F"/>
    <w:rsid w:val="006C3534"/>
    <w:rsid w:val="006C5576"/>
    <w:rsid w:val="006D0FAE"/>
    <w:rsid w:val="006D7F51"/>
    <w:rsid w:val="006E19B0"/>
    <w:rsid w:val="006E4883"/>
    <w:rsid w:val="007022E5"/>
    <w:rsid w:val="007102A6"/>
    <w:rsid w:val="007129AF"/>
    <w:rsid w:val="00715997"/>
    <w:rsid w:val="007237E8"/>
    <w:rsid w:val="00731EEA"/>
    <w:rsid w:val="00741B0E"/>
    <w:rsid w:val="00764E69"/>
    <w:rsid w:val="0076707D"/>
    <w:rsid w:val="0076768D"/>
    <w:rsid w:val="00781EE0"/>
    <w:rsid w:val="007938B0"/>
    <w:rsid w:val="007A062F"/>
    <w:rsid w:val="007A5B8B"/>
    <w:rsid w:val="007A6D98"/>
    <w:rsid w:val="007B6D23"/>
    <w:rsid w:val="007D2417"/>
    <w:rsid w:val="007F1EB6"/>
    <w:rsid w:val="007F6D04"/>
    <w:rsid w:val="007F7F90"/>
    <w:rsid w:val="00801DD0"/>
    <w:rsid w:val="00805BC7"/>
    <w:rsid w:val="008223FA"/>
    <w:rsid w:val="00840F6B"/>
    <w:rsid w:val="00843376"/>
    <w:rsid w:val="00844651"/>
    <w:rsid w:val="00851EA1"/>
    <w:rsid w:val="00854A5B"/>
    <w:rsid w:val="00863EB8"/>
    <w:rsid w:val="008715F1"/>
    <w:rsid w:val="00876B4E"/>
    <w:rsid w:val="00894106"/>
    <w:rsid w:val="008C7DFF"/>
    <w:rsid w:val="008D305E"/>
    <w:rsid w:val="008D42EB"/>
    <w:rsid w:val="008D4FA6"/>
    <w:rsid w:val="008F0DAB"/>
    <w:rsid w:val="008F70AA"/>
    <w:rsid w:val="008F74EE"/>
    <w:rsid w:val="00903DF4"/>
    <w:rsid w:val="00911085"/>
    <w:rsid w:val="00915356"/>
    <w:rsid w:val="00920AE7"/>
    <w:rsid w:val="00924FF1"/>
    <w:rsid w:val="00930EDE"/>
    <w:rsid w:val="009378D8"/>
    <w:rsid w:val="00947078"/>
    <w:rsid w:val="0098410F"/>
    <w:rsid w:val="00987998"/>
    <w:rsid w:val="00993066"/>
    <w:rsid w:val="009A0FE8"/>
    <w:rsid w:val="009C0A94"/>
    <w:rsid w:val="009C6583"/>
    <w:rsid w:val="009C6B72"/>
    <w:rsid w:val="009D6E67"/>
    <w:rsid w:val="009E1697"/>
    <w:rsid w:val="00A24A78"/>
    <w:rsid w:val="00A26BC0"/>
    <w:rsid w:val="00A273E4"/>
    <w:rsid w:val="00A37934"/>
    <w:rsid w:val="00A436B0"/>
    <w:rsid w:val="00A47DF3"/>
    <w:rsid w:val="00A61B4C"/>
    <w:rsid w:val="00A70B69"/>
    <w:rsid w:val="00A70BE4"/>
    <w:rsid w:val="00A77BAB"/>
    <w:rsid w:val="00A80DDA"/>
    <w:rsid w:val="00AA1445"/>
    <w:rsid w:val="00AA4EB9"/>
    <w:rsid w:val="00AC3EBA"/>
    <w:rsid w:val="00AE0A98"/>
    <w:rsid w:val="00AE4BC0"/>
    <w:rsid w:val="00AF15BB"/>
    <w:rsid w:val="00B06093"/>
    <w:rsid w:val="00B07713"/>
    <w:rsid w:val="00B211B4"/>
    <w:rsid w:val="00B43DB7"/>
    <w:rsid w:val="00B47278"/>
    <w:rsid w:val="00B5020B"/>
    <w:rsid w:val="00B61672"/>
    <w:rsid w:val="00B62A17"/>
    <w:rsid w:val="00B64C03"/>
    <w:rsid w:val="00B71E9B"/>
    <w:rsid w:val="00B84D29"/>
    <w:rsid w:val="00B95DB4"/>
    <w:rsid w:val="00BC6287"/>
    <w:rsid w:val="00BE2E55"/>
    <w:rsid w:val="00BE2F54"/>
    <w:rsid w:val="00BF1528"/>
    <w:rsid w:val="00BF533E"/>
    <w:rsid w:val="00C03D53"/>
    <w:rsid w:val="00C1436D"/>
    <w:rsid w:val="00C2012B"/>
    <w:rsid w:val="00C20ABC"/>
    <w:rsid w:val="00C32F02"/>
    <w:rsid w:val="00C33AED"/>
    <w:rsid w:val="00C3479C"/>
    <w:rsid w:val="00C364D1"/>
    <w:rsid w:val="00C36EC6"/>
    <w:rsid w:val="00C52AAE"/>
    <w:rsid w:val="00C54943"/>
    <w:rsid w:val="00C64695"/>
    <w:rsid w:val="00C67817"/>
    <w:rsid w:val="00C72B09"/>
    <w:rsid w:val="00C83700"/>
    <w:rsid w:val="00C84666"/>
    <w:rsid w:val="00CA06AE"/>
    <w:rsid w:val="00CA1866"/>
    <w:rsid w:val="00CB3B40"/>
    <w:rsid w:val="00CC603C"/>
    <w:rsid w:val="00CD67F3"/>
    <w:rsid w:val="00CE33C0"/>
    <w:rsid w:val="00CE7BD0"/>
    <w:rsid w:val="00D04F0C"/>
    <w:rsid w:val="00D10DD4"/>
    <w:rsid w:val="00D213ED"/>
    <w:rsid w:val="00D30FD1"/>
    <w:rsid w:val="00D31499"/>
    <w:rsid w:val="00D31B5B"/>
    <w:rsid w:val="00D42826"/>
    <w:rsid w:val="00D44A24"/>
    <w:rsid w:val="00D57A68"/>
    <w:rsid w:val="00D67D22"/>
    <w:rsid w:val="00D806B8"/>
    <w:rsid w:val="00D90F0A"/>
    <w:rsid w:val="00D968F5"/>
    <w:rsid w:val="00DB01B8"/>
    <w:rsid w:val="00DB2817"/>
    <w:rsid w:val="00DC3223"/>
    <w:rsid w:val="00DD7071"/>
    <w:rsid w:val="00DE167F"/>
    <w:rsid w:val="00DE51C2"/>
    <w:rsid w:val="00DF5A07"/>
    <w:rsid w:val="00E1075A"/>
    <w:rsid w:val="00E344FA"/>
    <w:rsid w:val="00E410AA"/>
    <w:rsid w:val="00E43E03"/>
    <w:rsid w:val="00E54D5B"/>
    <w:rsid w:val="00E71E1B"/>
    <w:rsid w:val="00E828AB"/>
    <w:rsid w:val="00EA1835"/>
    <w:rsid w:val="00EB155D"/>
    <w:rsid w:val="00EE2FF4"/>
    <w:rsid w:val="00EF0850"/>
    <w:rsid w:val="00EF24CC"/>
    <w:rsid w:val="00EF2C31"/>
    <w:rsid w:val="00F12901"/>
    <w:rsid w:val="00F13052"/>
    <w:rsid w:val="00F27D41"/>
    <w:rsid w:val="00F34B4C"/>
    <w:rsid w:val="00F3702B"/>
    <w:rsid w:val="00F37B33"/>
    <w:rsid w:val="00F56B7C"/>
    <w:rsid w:val="00F57912"/>
    <w:rsid w:val="00F604E3"/>
    <w:rsid w:val="00F74F42"/>
    <w:rsid w:val="00F80D20"/>
    <w:rsid w:val="00F82810"/>
    <w:rsid w:val="00F929A5"/>
    <w:rsid w:val="00FA36CF"/>
    <w:rsid w:val="00FA5F0E"/>
    <w:rsid w:val="00FA6B5B"/>
    <w:rsid w:val="00FB3F96"/>
    <w:rsid w:val="00FC4BA2"/>
    <w:rsid w:val="00FC764A"/>
    <w:rsid w:val="00FD7117"/>
    <w:rsid w:val="00FF082D"/>
    <w:rsid w:val="18C744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spacing w:after="0" w:line="240" w:lineRule="auto"/>
      <w:jc w:val="both"/>
    </w:pPr>
    <w:rPr>
      <w:rFonts w:ascii="Times New Roman" w:hAnsi="Times New Roman" w:eastAsia="Times New Roman" w:cs="Times New Roman"/>
      <w:sz w:val="22"/>
      <w:szCs w:val="24"/>
      <w:lang w:val="en-US" w:eastAsia="en-US" w:bidi="ar-SA"/>
    </w:rPr>
  </w:style>
  <w:style w:type="paragraph" w:styleId="2">
    <w:name w:val="heading 1"/>
    <w:basedOn w:val="1"/>
    <w:next w:val="1"/>
    <w:link w:val="17"/>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link w:val="18"/>
    <w:qFormat/>
    <w:uiPriority w:val="0"/>
    <w:pPr>
      <w:keepNext/>
      <w:jc w:val="center"/>
      <w:outlineLvl w:val="1"/>
    </w:pPr>
    <w:rPr>
      <w:rFonts w:ascii="Arial" w:hAnsi="Arial" w:cs="Arial"/>
      <w:i/>
      <w:iCs/>
      <w:color w:val="999999"/>
      <w:sz w:val="18"/>
    </w:rPr>
  </w:style>
  <w:style w:type="paragraph" w:styleId="4">
    <w:name w:val="heading 3"/>
    <w:basedOn w:val="1"/>
    <w:next w:val="1"/>
    <w:link w:val="19"/>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link w:val="20"/>
    <w:qFormat/>
    <w:uiPriority w:val="0"/>
    <w:pPr>
      <w:keepNext/>
      <w:ind w:right="265"/>
      <w:jc w:val="right"/>
      <w:outlineLvl w:val="3"/>
    </w:pPr>
    <w:rPr>
      <w:rFonts w:ascii="Arial" w:hAnsi="Arial" w:cs="Arial"/>
      <w:i/>
      <w:iCs/>
      <w:color w:val="999999"/>
      <w:sz w:val="16"/>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25"/>
    <w:semiHidden/>
    <w:qFormat/>
    <w:uiPriority w:val="0"/>
    <w:rPr>
      <w:rFonts w:ascii="Tahoma" w:hAnsi="Tahoma" w:cs="Tahoma"/>
      <w:sz w:val="16"/>
      <w:szCs w:val="16"/>
    </w:rPr>
  </w:style>
  <w:style w:type="character" w:styleId="9">
    <w:name w:val="annotation reference"/>
    <w:qFormat/>
    <w:uiPriority w:val="0"/>
    <w:rPr>
      <w:sz w:val="16"/>
      <w:szCs w:val="16"/>
    </w:rPr>
  </w:style>
  <w:style w:type="paragraph" w:styleId="10">
    <w:name w:val="annotation text"/>
    <w:basedOn w:val="1"/>
    <w:link w:val="23"/>
    <w:semiHidden/>
    <w:qFormat/>
    <w:uiPriority w:val="0"/>
    <w:rPr>
      <w:sz w:val="20"/>
      <w:szCs w:val="20"/>
    </w:rPr>
  </w:style>
  <w:style w:type="paragraph" w:styleId="11">
    <w:name w:val="annotation subject"/>
    <w:basedOn w:val="10"/>
    <w:next w:val="10"/>
    <w:link w:val="24"/>
    <w:semiHidden/>
    <w:uiPriority w:val="0"/>
    <w:rPr>
      <w:b/>
      <w:bCs/>
    </w:rPr>
  </w:style>
  <w:style w:type="paragraph" w:styleId="12">
    <w:name w:val="footer"/>
    <w:basedOn w:val="1"/>
    <w:link w:val="22"/>
    <w:qFormat/>
    <w:uiPriority w:val="99"/>
    <w:pPr>
      <w:tabs>
        <w:tab w:val="center" w:pos="4536"/>
        <w:tab w:val="right" w:pos="9072"/>
        <w:tab w:val="clear" w:pos="284"/>
      </w:tabs>
    </w:pPr>
  </w:style>
  <w:style w:type="paragraph" w:styleId="13">
    <w:name w:val="header"/>
    <w:basedOn w:val="1"/>
    <w:link w:val="21"/>
    <w:qFormat/>
    <w:uiPriority w:val="0"/>
    <w:pPr>
      <w:tabs>
        <w:tab w:val="center" w:pos="4536"/>
        <w:tab w:val="right" w:pos="9072"/>
        <w:tab w:val="clear" w:pos="284"/>
      </w:tabs>
    </w:pPr>
  </w:style>
  <w:style w:type="character" w:styleId="14">
    <w:name w:val="Hyperlink"/>
    <w:basedOn w:val="6"/>
    <w:qFormat/>
    <w:uiPriority w:val="0"/>
    <w:rPr>
      <w:color w:val="0563C1" w:themeColor="hyperlink"/>
      <w:u w:val="single"/>
      <w14:textFill>
        <w14:solidFill>
          <w14:schemeClr w14:val="hlink"/>
        </w14:solidFill>
      </w14:textFill>
    </w:rPr>
  </w:style>
  <w:style w:type="character" w:styleId="15">
    <w:name w:val="page number"/>
    <w:basedOn w:val="6"/>
    <w:qFormat/>
    <w:uiPriority w:val="0"/>
  </w:style>
  <w:style w:type="table" w:styleId="16">
    <w:name w:val="Table Grid"/>
    <w:basedOn w:val="7"/>
    <w:qFormat/>
    <w:uiPriority w:val="5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Heading 1 Char"/>
    <w:basedOn w:val="6"/>
    <w:link w:val="2"/>
    <w:qFormat/>
    <w:uiPriority w:val="0"/>
    <w:rPr>
      <w:rFonts w:ascii="Arial (W1)" w:hAnsi="Arial (W1)" w:eastAsia="Times New Roman" w:cs="Arial"/>
      <w:b/>
      <w:bCs/>
      <w:i/>
      <w:iCs/>
      <w:sz w:val="32"/>
      <w:szCs w:val="24"/>
      <w:u w:val="single"/>
      <w:lang w:val="sr-Latn-CS"/>
    </w:rPr>
  </w:style>
  <w:style w:type="character" w:customStyle="1" w:styleId="18">
    <w:name w:val="Heading 2 Char"/>
    <w:basedOn w:val="6"/>
    <w:link w:val="3"/>
    <w:qFormat/>
    <w:uiPriority w:val="0"/>
    <w:rPr>
      <w:rFonts w:ascii="Arial" w:hAnsi="Arial" w:eastAsia="Times New Roman" w:cs="Arial"/>
      <w:i/>
      <w:iCs/>
      <w:color w:val="999999"/>
      <w:sz w:val="18"/>
      <w:szCs w:val="24"/>
    </w:rPr>
  </w:style>
  <w:style w:type="character" w:customStyle="1" w:styleId="19">
    <w:name w:val="Heading 3 Char"/>
    <w:basedOn w:val="6"/>
    <w:link w:val="4"/>
    <w:qFormat/>
    <w:uiPriority w:val="0"/>
    <w:rPr>
      <w:rFonts w:ascii="Arial" w:hAnsi="Arial" w:eastAsia="Times New Roman" w:cs="Arial"/>
      <w:i/>
      <w:iCs/>
      <w:color w:val="999999"/>
      <w:sz w:val="18"/>
      <w:szCs w:val="24"/>
    </w:rPr>
  </w:style>
  <w:style w:type="character" w:customStyle="1" w:styleId="20">
    <w:name w:val="Heading 4 Char"/>
    <w:basedOn w:val="6"/>
    <w:link w:val="5"/>
    <w:qFormat/>
    <w:uiPriority w:val="0"/>
    <w:rPr>
      <w:rFonts w:ascii="Arial" w:hAnsi="Arial" w:eastAsia="Times New Roman" w:cs="Arial"/>
      <w:i/>
      <w:iCs/>
      <w:color w:val="999999"/>
      <w:sz w:val="16"/>
      <w:szCs w:val="24"/>
    </w:rPr>
  </w:style>
  <w:style w:type="character" w:customStyle="1" w:styleId="21">
    <w:name w:val="Header Char"/>
    <w:basedOn w:val="6"/>
    <w:link w:val="13"/>
    <w:qFormat/>
    <w:uiPriority w:val="99"/>
    <w:rPr>
      <w:rFonts w:ascii="Times New Roman" w:hAnsi="Times New Roman" w:eastAsia="Times New Roman" w:cs="Times New Roman"/>
      <w:szCs w:val="24"/>
    </w:rPr>
  </w:style>
  <w:style w:type="character" w:customStyle="1" w:styleId="22">
    <w:name w:val="Footer Char"/>
    <w:basedOn w:val="6"/>
    <w:link w:val="12"/>
    <w:qFormat/>
    <w:uiPriority w:val="99"/>
    <w:rPr>
      <w:rFonts w:ascii="Times New Roman" w:hAnsi="Times New Roman" w:eastAsia="Times New Roman" w:cs="Times New Roman"/>
      <w:szCs w:val="24"/>
    </w:rPr>
  </w:style>
  <w:style w:type="character" w:customStyle="1" w:styleId="23">
    <w:name w:val="Comment Text Char"/>
    <w:basedOn w:val="6"/>
    <w:link w:val="10"/>
    <w:semiHidden/>
    <w:qFormat/>
    <w:uiPriority w:val="0"/>
    <w:rPr>
      <w:rFonts w:ascii="Times New Roman" w:hAnsi="Times New Roman" w:eastAsia="Times New Roman" w:cs="Times New Roman"/>
      <w:sz w:val="20"/>
      <w:szCs w:val="20"/>
    </w:rPr>
  </w:style>
  <w:style w:type="character" w:customStyle="1" w:styleId="24">
    <w:name w:val="Comment Subject Char"/>
    <w:basedOn w:val="23"/>
    <w:link w:val="11"/>
    <w:semiHidden/>
    <w:qFormat/>
    <w:uiPriority w:val="0"/>
    <w:rPr>
      <w:rFonts w:ascii="Times New Roman" w:hAnsi="Times New Roman" w:eastAsia="Times New Roman" w:cs="Times New Roman"/>
      <w:b/>
      <w:bCs/>
      <w:sz w:val="20"/>
      <w:szCs w:val="20"/>
    </w:rPr>
  </w:style>
  <w:style w:type="character" w:customStyle="1" w:styleId="25">
    <w:name w:val="Balloon Text Char"/>
    <w:basedOn w:val="6"/>
    <w:link w:val="8"/>
    <w:semiHidden/>
    <w:qFormat/>
    <w:uiPriority w:val="0"/>
    <w:rPr>
      <w:rFonts w:ascii="Tahoma" w:hAnsi="Tahoma" w:eastAsia="Times New Roman" w:cs="Tahoma"/>
      <w:sz w:val="16"/>
      <w:szCs w:val="16"/>
    </w:rPr>
  </w:style>
  <w:style w:type="paragraph" w:customStyle="1" w:styleId="26">
    <w:name w:val="NASLOV 123"/>
    <w:basedOn w:val="1"/>
    <w:qFormat/>
    <w:uiPriority w:val="0"/>
    <w:pPr>
      <w:spacing w:before="200" w:after="200"/>
      <w:jc w:val="left"/>
    </w:pPr>
    <w:rPr>
      <w:b/>
      <w:szCs w:val="22"/>
    </w:rPr>
  </w:style>
  <w:style w:type="paragraph" w:customStyle="1" w:styleId="27">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 w:type="paragraph" w:customStyle="1" w:styleId="28">
    <w:name w:val="Revision"/>
    <w:hidden/>
    <w:semiHidden/>
    <w:uiPriority w:val="99"/>
    <w:pPr>
      <w:spacing w:after="0" w:line="240" w:lineRule="auto"/>
    </w:pPr>
    <w:rPr>
      <w:rFonts w:ascii="Times New Roman" w:hAnsi="Times New Roman" w:eastAsia="Times New Roman" w:cs="Times New Roman"/>
      <w:sz w:val="22"/>
      <w:szCs w:val="24"/>
      <w:lang w:val="en-US" w:eastAsia="en-US" w:bidi="ar-SA"/>
    </w:rPr>
  </w:style>
  <w:style w:type="character" w:customStyle="1" w:styleId="29">
    <w:name w:val="Header Char1"/>
    <w:semiHidden/>
    <w:qFormat/>
    <w:locked/>
    <w:uiPriority w:val="0"/>
    <w:rPr>
      <w:rFonts w:ascii="MAC C Swiss" w:hAnsi="MAC C Swiss"/>
      <w:sz w:val="24"/>
      <w:lang w:val="en-US" w:eastAsia="en-US" w:bidi="ar-SA"/>
    </w:rPr>
  </w:style>
  <w:style w:type="paragraph" w:styleId="3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D1659-AEA4-4DDB-926D-BFCB209E1D2E}">
  <ds:schemaRefs/>
</ds:datastoreItem>
</file>

<file path=docProps/app.xml><?xml version="1.0" encoding="utf-8"?>
<Properties xmlns="http://schemas.openxmlformats.org/officeDocument/2006/extended-properties" xmlns:vt="http://schemas.openxmlformats.org/officeDocument/2006/docPropsVTypes">
  <Template>Normal</Template>
  <Pages>20</Pages>
  <Words>9654</Words>
  <Characters>55029</Characters>
  <Lines>458</Lines>
  <Paragraphs>129</Paragraphs>
  <TotalTime>0</TotalTime>
  <ScaleCrop>false</ScaleCrop>
  <LinksUpToDate>false</LinksUpToDate>
  <CharactersWithSpaces>64554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2023-12-04T11:10:00Z</dcterms:created>
  <dc:creator>Elena EP. Popovski</dc:creator>
  <cp:lastModifiedBy>Haris</cp:lastModifiedBy>
  <dcterms:modified xsi:type="dcterms:W3CDTF">2025-02-21T14:49:06Z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12566BA70D5F43B2AB84820E1C53F2AD_13</vt:lpwstr>
  </property>
</Properties>
</file>