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E04F">
      <w:pPr>
        <w:pStyle w:val="26"/>
        <w:rPr>
          <w:rFonts w:ascii="Microsoft Sans Serif" w:hAnsi="Microsoft Sans Serif" w:cs="Microsoft Sans Serif"/>
          <w:sz w:val="20"/>
          <w:szCs w:val="20"/>
          <w:lang w:val="sr-Latn-BA"/>
        </w:rPr>
      </w:pPr>
      <w:bookmarkStart w:id="0" w:name="_GoBack"/>
      <w:bookmarkEnd w:id="0"/>
      <w:r>
        <w:rPr>
          <w:rFonts w:ascii="Microsoft Sans Serif" w:hAnsi="Microsoft Sans Serif" w:cs="Microsoft Sans Serif"/>
          <w:sz w:val="20"/>
          <w:szCs w:val="20"/>
          <w:lang w:val="sr-Latn-BA"/>
        </w:rPr>
        <w:t>SAŽETAK KARAKTERISTIKA LIJEKA</w:t>
      </w:r>
    </w:p>
    <w:p w14:paraId="695513AF">
      <w:pPr>
        <w:jc w:val="both"/>
        <w:rPr>
          <w:rFonts w:ascii="Microsoft Sans Serif" w:hAnsi="Microsoft Sans Serif" w:cs="Microsoft Sans Serif"/>
          <w:sz w:val="20"/>
          <w:lang w:val="sr-Latn-BA"/>
        </w:rPr>
      </w:pPr>
    </w:p>
    <w:p w14:paraId="7FE10A5F">
      <w:pPr>
        <w:jc w:val="both"/>
        <w:rPr>
          <w:rFonts w:ascii="Microsoft Sans Serif" w:hAnsi="Microsoft Sans Serif" w:cs="Microsoft Sans Serif"/>
          <w:sz w:val="20"/>
          <w:lang w:val="sr-Latn-BA"/>
        </w:rPr>
      </w:pPr>
    </w:p>
    <w:p w14:paraId="7757CAA1">
      <w:pPr>
        <w:jc w:val="both"/>
        <w:rPr>
          <w:rFonts w:ascii="Microsoft Sans Serif" w:hAnsi="Microsoft Sans Serif" w:cs="Microsoft Sans Serif"/>
          <w:sz w:val="20"/>
          <w:lang w:val="sr-Latn-BA"/>
        </w:rPr>
      </w:pPr>
    </w:p>
    <w:p w14:paraId="7E0586E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1.      NAZIV GOTOVOG LIJEKA </w:t>
      </w:r>
    </w:p>
    <w:p w14:paraId="35148ACE">
      <w:pPr>
        <w:jc w:val="both"/>
        <w:rPr>
          <w:rFonts w:ascii="Microsoft Sans Serif" w:hAnsi="Microsoft Sans Serif" w:cs="Microsoft Sans Serif"/>
          <w:b/>
          <w:sz w:val="20"/>
          <w:lang w:val="sr-Latn-BA"/>
        </w:rPr>
      </w:pPr>
    </w:p>
    <w:p w14:paraId="701DE0A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p>
    <w:p w14:paraId="4540E62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65CB0F1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10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3A0F78F1">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tableta</w:t>
      </w:r>
    </w:p>
    <w:p w14:paraId="7E9F923C">
      <w:pPr>
        <w:jc w:val="both"/>
        <w:rPr>
          <w:rFonts w:ascii="Microsoft Sans Serif" w:hAnsi="Microsoft Sans Serif" w:cs="Microsoft Sans Serif"/>
          <w:sz w:val="20"/>
        </w:rPr>
      </w:pPr>
      <w:r>
        <w:rPr>
          <w:rFonts w:ascii="Microsoft Sans Serif" w:hAnsi="Microsoft Sans Serif" w:cs="Microsoft Sans Serif"/>
          <w:sz w:val="20"/>
        </w:rPr>
        <w:t>lizinopril</w:t>
      </w:r>
    </w:p>
    <w:p w14:paraId="4AB9FC16">
      <w:pPr>
        <w:jc w:val="both"/>
        <w:rPr>
          <w:rFonts w:ascii="Microsoft Sans Serif" w:hAnsi="Microsoft Sans Serif" w:cs="Microsoft Sans Serif"/>
          <w:b/>
          <w:sz w:val="20"/>
        </w:rPr>
      </w:pPr>
    </w:p>
    <w:p w14:paraId="5C08AE3C">
      <w:pPr>
        <w:jc w:val="both"/>
        <w:rPr>
          <w:rFonts w:ascii="Microsoft Sans Serif" w:hAnsi="Microsoft Sans Serif" w:cs="Microsoft Sans Serif"/>
          <w:b/>
          <w:sz w:val="20"/>
        </w:rPr>
      </w:pPr>
    </w:p>
    <w:p w14:paraId="54111042">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2.      KVALITATIVNI I KVANTITATIVNI SASTAV </w:t>
      </w:r>
    </w:p>
    <w:p w14:paraId="2DA9935D">
      <w:pPr>
        <w:jc w:val="both"/>
        <w:rPr>
          <w:rFonts w:ascii="Microsoft Sans Serif" w:hAnsi="Microsoft Sans Serif" w:cs="Microsoft Sans Serif"/>
          <w:sz w:val="20"/>
          <w:lang w:val="mk-MK"/>
        </w:rPr>
      </w:pPr>
    </w:p>
    <w:p w14:paraId="5D871307">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5 mg lizinoprila (u obliku lizinopril, dihidrata).</w:t>
      </w:r>
    </w:p>
    <w:p w14:paraId="21F1CE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10 mg lizinoprila (u obliku lizinopril, dihidrata).</w:t>
      </w:r>
    </w:p>
    <w:p w14:paraId="549A77B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Jedna tableta sadrži 20 mg lizinoprila (u obliku lizinopril, dihidrata).</w:t>
      </w:r>
    </w:p>
    <w:p w14:paraId="44EE6EA2">
      <w:pPr>
        <w:jc w:val="both"/>
        <w:rPr>
          <w:rFonts w:ascii="Microsoft Sans Serif" w:hAnsi="Microsoft Sans Serif" w:cs="Microsoft Sans Serif"/>
          <w:sz w:val="20"/>
          <w:lang w:val="bs-Latn-BA"/>
        </w:rPr>
      </w:pPr>
    </w:p>
    <w:p w14:paraId="0A17129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32303D16">
      <w:pPr>
        <w:jc w:val="both"/>
        <w:rPr>
          <w:rFonts w:ascii="Microsoft Sans Serif" w:hAnsi="Microsoft Sans Serif" w:cs="Microsoft Sans Serif"/>
          <w:sz w:val="20"/>
          <w:lang w:val="mk-MK"/>
        </w:rPr>
      </w:pPr>
    </w:p>
    <w:p w14:paraId="7FA44ADB">
      <w:pPr>
        <w:pStyle w:val="19"/>
        <w:tabs>
          <w:tab w:val="clear" w:pos="4320"/>
          <w:tab w:val="clear" w:pos="8640"/>
        </w:tabs>
        <w:jc w:val="both"/>
        <w:rPr>
          <w:rFonts w:ascii="Microsoft Sans Serif" w:hAnsi="Microsoft Sans Serif" w:cs="Microsoft Sans Serif"/>
          <w:sz w:val="20"/>
          <w:lang w:val="mk-MK"/>
        </w:rPr>
      </w:pPr>
    </w:p>
    <w:p w14:paraId="5CD8B9E7">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3.      FARMACEUTSKI OBLIK</w:t>
      </w:r>
    </w:p>
    <w:p w14:paraId="0160C6FC">
      <w:pPr>
        <w:jc w:val="both"/>
        <w:rPr>
          <w:rFonts w:ascii="Microsoft Sans Serif" w:hAnsi="Microsoft Sans Serif" w:cs="Microsoft Sans Serif"/>
          <w:sz w:val="20"/>
          <w:lang w:val="pl-PL"/>
        </w:rPr>
      </w:pPr>
      <w:r>
        <w:rPr>
          <w:rFonts w:ascii="Microsoft Sans Serif" w:hAnsi="Microsoft Sans Serif" w:cs="Microsoft Sans Serif"/>
          <w:sz w:val="20"/>
          <w:lang w:val="pl-PL"/>
        </w:rPr>
        <w:tab/>
      </w:r>
    </w:p>
    <w:p w14:paraId="78BE72E2">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Tableta.</w:t>
      </w:r>
    </w:p>
    <w:p w14:paraId="3D4A30EE">
      <w:pPr>
        <w:jc w:val="both"/>
        <w:rPr>
          <w:rFonts w:ascii="Microsoft Sans Serif" w:hAnsi="Microsoft Sans Serif" w:cs="Microsoft Sans Serif"/>
          <w:sz w:val="20"/>
          <w:lang w:val="bs-Latn-BA" w:eastAsia="en-GB"/>
        </w:rPr>
      </w:pPr>
    </w:p>
    <w:p w14:paraId="6243DDF8">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 xml:space="preserve">Skopryl 5 mg tableta. </w:t>
      </w:r>
    </w:p>
    <w:p w14:paraId="60A7662F">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ravna tableta s prelomnom crtom na jednoj strani.</w:t>
      </w:r>
    </w:p>
    <w:p w14:paraId="1107F2EB">
      <w:pPr>
        <w:jc w:val="both"/>
        <w:rPr>
          <w:rFonts w:ascii="Microsoft Sans Serif" w:hAnsi="Microsoft Sans Serif" w:cs="Microsoft Sans Serif"/>
          <w:sz w:val="20"/>
          <w:lang w:val="bs-Latn-BA" w:eastAsia="en-GB"/>
        </w:rPr>
      </w:pPr>
    </w:p>
    <w:p w14:paraId="78FECCAD">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Skopryl 10 mg tableta</w:t>
      </w:r>
    </w:p>
    <w:p w14:paraId="61FF0899">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Blijedožuta, okrugla, bikonveksna tableta s prelomnom crtom na jednoj strani.</w:t>
      </w:r>
    </w:p>
    <w:p w14:paraId="0FF9CA40">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sz w:val="20"/>
          <w:u w:val="single"/>
          <w:lang w:val="bs-Latn-BA" w:eastAsia="en-GB"/>
        </w:rPr>
        <w:t>Skopryl 20 mg tableta</w:t>
      </w:r>
    </w:p>
    <w:p w14:paraId="7CD0A59B">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Svijetloružičasta, okrugla, bikonveksna tableta s prelomnom crtom na jednoj strani.</w:t>
      </w:r>
    </w:p>
    <w:p w14:paraId="6B6E1987">
      <w:pPr>
        <w:jc w:val="both"/>
        <w:rPr>
          <w:rFonts w:ascii="Microsoft Sans Serif" w:hAnsi="Microsoft Sans Serif" w:cs="Microsoft Sans Serif"/>
          <w:b/>
          <w:sz w:val="20"/>
          <w:lang w:val="hr-HR"/>
        </w:rPr>
      </w:pPr>
    </w:p>
    <w:p w14:paraId="79D6315F">
      <w:pPr>
        <w:jc w:val="both"/>
        <w:rPr>
          <w:rFonts w:ascii="Microsoft Sans Serif" w:hAnsi="Microsoft Sans Serif" w:cs="Microsoft Sans Serif"/>
          <w:b/>
          <w:sz w:val="20"/>
          <w:lang w:val="hr-HR"/>
        </w:rPr>
      </w:pPr>
    </w:p>
    <w:p w14:paraId="293107E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KLINIČKI PODACI  </w:t>
      </w:r>
    </w:p>
    <w:p w14:paraId="59098654">
      <w:pPr>
        <w:jc w:val="both"/>
        <w:rPr>
          <w:rFonts w:ascii="Microsoft Sans Serif" w:hAnsi="Microsoft Sans Serif" w:cs="Microsoft Sans Serif"/>
          <w:b/>
          <w:sz w:val="20"/>
          <w:lang w:val="sr-Latn-BA"/>
        </w:rPr>
      </w:pPr>
    </w:p>
    <w:p w14:paraId="5D733B0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Terapijske indikacije </w:t>
      </w:r>
    </w:p>
    <w:p w14:paraId="28AD4933">
      <w:pPr>
        <w:tabs>
          <w:tab w:val="left" w:pos="5040"/>
        </w:tabs>
        <w:jc w:val="both"/>
        <w:rPr>
          <w:rFonts w:ascii="Microsoft Sans Serif" w:hAnsi="Microsoft Sans Serif" w:cs="Microsoft Sans Serif"/>
          <w:b/>
          <w:sz w:val="20"/>
          <w:lang w:val="hr-HR"/>
        </w:rPr>
      </w:pPr>
    </w:p>
    <w:p w14:paraId="1ADDFD73">
      <w:pPr>
        <w:jc w:val="both"/>
        <w:rPr>
          <w:rFonts w:ascii="Microsoft Sans Serif" w:hAnsi="Microsoft Sans Serif" w:cs="Microsoft Sans Serif"/>
          <w:sz w:val="20"/>
          <w:lang w:val="bs-Latn-BA" w:eastAsia="en-GB"/>
        </w:rPr>
      </w:pPr>
      <w:r>
        <w:rPr>
          <w:rFonts w:ascii="Microsoft Sans Serif" w:hAnsi="Microsoft Sans Serif" w:cs="Microsoft Sans Serif"/>
          <w:b/>
          <w:sz w:val="20"/>
          <w:lang w:val="bs-Latn-BA" w:eastAsia="en-GB"/>
        </w:rPr>
        <w:t>Hipertenzija</w:t>
      </w:r>
      <w:r>
        <w:rPr>
          <w:rFonts w:ascii="Microsoft Sans Serif" w:hAnsi="Microsoft Sans Serif" w:cs="Microsoft Sans Serif"/>
          <w:b/>
          <w:sz w:val="20"/>
          <w:lang w:val="bs-Latn-BA" w:eastAsia="en-GB"/>
        </w:rPr>
        <w:br w:type="textWrapping"/>
      </w:r>
      <w:r>
        <w:rPr>
          <w:rFonts w:ascii="Microsoft Sans Serif" w:hAnsi="Microsoft Sans Serif" w:cs="Microsoft Sans Serif"/>
          <w:sz w:val="20"/>
          <w:lang w:val="bs-Latn-BA" w:eastAsia="en-GB"/>
        </w:rPr>
        <w:t>Terapija hipertenzije.</w:t>
      </w:r>
    </w:p>
    <w:p w14:paraId="5150E909">
      <w:pPr>
        <w:jc w:val="both"/>
        <w:rPr>
          <w:rFonts w:ascii="Microsoft Sans Serif" w:hAnsi="Microsoft Sans Serif" w:cs="Microsoft Sans Serif"/>
          <w:b/>
          <w:sz w:val="20"/>
          <w:lang w:val="bs-Latn-BA" w:eastAsia="en-GB"/>
        </w:rPr>
      </w:pPr>
      <w:r>
        <w:rPr>
          <w:rFonts w:ascii="Microsoft Sans Serif" w:hAnsi="Microsoft Sans Serif" w:cs="Microsoft Sans Serif"/>
          <w:sz w:val="20"/>
          <w:lang w:val="bs-Latn-BA" w:eastAsia="en-GB"/>
        </w:rPr>
        <w:br w:type="textWrapping"/>
      </w:r>
      <w:r>
        <w:rPr>
          <w:rFonts w:ascii="Microsoft Sans Serif" w:hAnsi="Microsoft Sans Serif" w:cs="Microsoft Sans Serif"/>
          <w:b/>
          <w:sz w:val="20"/>
          <w:lang w:val="bs-Latn-BA" w:eastAsia="en-GB"/>
        </w:rPr>
        <w:t>Srčana insuficijencija</w:t>
      </w:r>
    </w:p>
    <w:p w14:paraId="2808EA51">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Terapija simptomatske insuficijencije srca.</w:t>
      </w:r>
    </w:p>
    <w:p w14:paraId="7911FC6A">
      <w:pPr>
        <w:tabs>
          <w:tab w:val="left" w:pos="5040"/>
        </w:tabs>
        <w:jc w:val="both"/>
        <w:rPr>
          <w:rFonts w:ascii="Microsoft Sans Serif" w:hAnsi="Microsoft Sans Serif" w:cs="Microsoft Sans Serif"/>
          <w:sz w:val="20"/>
          <w:lang w:val="bs-Latn-BA"/>
        </w:rPr>
      </w:pPr>
    </w:p>
    <w:p w14:paraId="420D6A4A">
      <w:pPr>
        <w:tabs>
          <w:tab w:val="left" w:pos="5040"/>
        </w:tabs>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Akutni</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infarkt</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miokarda</w:t>
      </w:r>
    </w:p>
    <w:p w14:paraId="17B3756C">
      <w:pPr>
        <w:tabs>
          <w:tab w:val="left" w:pos="5040"/>
        </w:tabs>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eastAsia="en-GB"/>
        </w:rPr>
        <w:t xml:space="preserve">Kratkotrajna terapija (šest sedmica) </w:t>
      </w:r>
      <w:r>
        <w:rPr>
          <w:rStyle w:val="41"/>
          <w:rFonts w:ascii="Microsoft Sans Serif" w:hAnsi="Microsoft Sans Serif" w:cs="Microsoft Sans Serif"/>
          <w:sz w:val="20"/>
          <w:lang w:val="bs-Latn-BA"/>
        </w:rPr>
        <w:t>hemodinamski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stabilnih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roku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24 sata 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akutnog 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w:t>
      </w:r>
    </w:p>
    <w:p w14:paraId="5AAC7039">
      <w:pPr>
        <w:jc w:val="both"/>
        <w:rPr>
          <w:rFonts w:ascii="Microsoft Sans Serif" w:hAnsi="Microsoft Sans Serif" w:cs="Microsoft Sans Serif"/>
          <w:sz w:val="20"/>
          <w:lang w:val="bs-Latn-BA"/>
        </w:rPr>
      </w:pPr>
    </w:p>
    <w:p w14:paraId="245A1932">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Renalne komplikacije šećerne bolesti</w:t>
      </w:r>
    </w:p>
    <w:p w14:paraId="2F85488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Terapija bubrežnih komplikacija kod hipertenzivnih pacijenata sa</w:t>
      </w:r>
      <w:r>
        <w:rPr>
          <w:rFonts w:ascii="Microsoft Sans Serif" w:hAnsi="Microsoft Sans Serif" w:cs="Microsoft Sans Serif"/>
          <w:sz w:val="20"/>
        </w:rPr>
        <w:t xml:space="preserve"> </w:t>
      </w:r>
      <w:r>
        <w:rPr>
          <w:rFonts w:ascii="Microsoft Sans Serif" w:hAnsi="Microsoft Sans Serif" w:cs="Microsoft Sans Serif"/>
          <w:color w:val="000000"/>
          <w:sz w:val="20"/>
        </w:rPr>
        <w:t>dijabetesom tipa 2 i početnom nefropatijom (pogledati dio 5.1).</w:t>
      </w:r>
    </w:p>
    <w:p w14:paraId="273BB005">
      <w:pPr>
        <w:shd w:val="clear" w:color="auto" w:fill="FFFFFF"/>
        <w:jc w:val="both"/>
        <w:rPr>
          <w:rFonts w:ascii="Microsoft Sans Serif" w:hAnsi="Microsoft Sans Serif" w:cs="Microsoft Sans Serif"/>
          <w:color w:val="000000"/>
          <w:sz w:val="20"/>
        </w:rPr>
      </w:pPr>
    </w:p>
    <w:p w14:paraId="37DC6EE8">
      <w:pPr>
        <w:numPr>
          <w:ilvl w:val="1"/>
          <w:numId w:val="1"/>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Doziranje i način primjene  </w:t>
      </w:r>
    </w:p>
    <w:p w14:paraId="1E9791E0">
      <w:pPr>
        <w:jc w:val="both"/>
        <w:rPr>
          <w:rFonts w:ascii="Microsoft Sans Serif" w:hAnsi="Microsoft Sans Serif" w:cs="Microsoft Sans Serif"/>
          <w:b/>
          <w:sz w:val="20"/>
        </w:rPr>
      </w:pPr>
    </w:p>
    <w:p w14:paraId="37C3FED0">
      <w:pPr>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7513537E">
      <w:pPr>
        <w:jc w:val="both"/>
        <w:rPr>
          <w:rStyle w:val="40"/>
          <w:rFonts w:ascii="Microsoft Sans Serif" w:hAnsi="Microsoft Sans Serif" w:cs="Microsoft Sans Serif"/>
          <w:sz w:val="20"/>
          <w:shd w:val="clear" w:color="auto" w:fill="FFFFFF"/>
          <w:lang w:val="bs-Latn-BA"/>
        </w:rPr>
      </w:pPr>
    </w:p>
    <w:p w14:paraId="4B337816">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Lizinopril bi trebalo da bude primijenjen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Kao i svi ostali preparati koji se primjenjuju kao po</w:t>
      </w:r>
      <w:r>
        <w:rPr>
          <w:rStyle w:val="40"/>
          <w:rFonts w:ascii="Microsoft Sans Serif" w:hAnsi="Microsoft Sans Serif" w:cs="Microsoft Sans Serif"/>
          <w:sz w:val="20"/>
          <w:lang w:val="bs-Latn-BA"/>
        </w:rPr>
        <w:t>jedinačna dnevna doza</w:t>
      </w:r>
      <w:r>
        <w:rPr>
          <w:rStyle w:val="40"/>
          <w:rFonts w:ascii="Microsoft Sans Serif" w:hAnsi="Microsoft Sans Serif" w:cs="Microsoft Sans Serif"/>
          <w:sz w:val="20"/>
          <w:shd w:val="clear" w:color="auto" w:fill="FFFFFF"/>
          <w:lang w:val="bs-Latn-BA"/>
        </w:rPr>
        <w:t xml:space="preserve"> i lijek Skopryl treba uzimati otprilike u isto vrijeme svaki dan. Dozu treba odrediti individualno prema profilu pacijenata i vrijednostima krvnog pritiska kao odgovor na terapiju (pogledati dio 4.4).</w:t>
      </w:r>
    </w:p>
    <w:p w14:paraId="1092C242">
      <w:pPr>
        <w:jc w:val="both"/>
        <w:rPr>
          <w:rFonts w:ascii="Microsoft Sans Serif" w:hAnsi="Microsoft Sans Serif" w:cs="Microsoft Sans Serif"/>
          <w:sz w:val="20"/>
          <w:lang w:val="bs-Latn-BA"/>
        </w:rPr>
      </w:pPr>
    </w:p>
    <w:p w14:paraId="693309E2">
      <w:pPr>
        <w:shd w:val="clear" w:color="auto" w:fill="FFFFFF"/>
        <w:jc w:val="both"/>
        <w:rPr>
          <w:rStyle w:val="40"/>
          <w:rFonts w:ascii="Microsoft Sans Serif" w:hAnsi="Microsoft Sans Serif" w:cs="Microsoft Sans Serif"/>
          <w:b/>
          <w:sz w:val="20"/>
          <w:lang w:val="bs-Latn-BA"/>
        </w:rPr>
      </w:pPr>
      <w:r>
        <w:rPr>
          <w:rStyle w:val="41"/>
          <w:rFonts w:ascii="Microsoft Sans Serif" w:hAnsi="Microsoft Sans Serif" w:cs="Microsoft Sans Serif"/>
          <w:b/>
          <w:sz w:val="20"/>
          <w:lang w:val="bs-Latn-BA"/>
        </w:rPr>
        <w:t>Hipertenzija</w:t>
      </w:r>
      <w:r>
        <w:rPr>
          <w:rStyle w:val="40"/>
          <w:rFonts w:ascii="Microsoft Sans Serif" w:hAnsi="Microsoft Sans Serif" w:cs="Microsoft Sans Serif"/>
          <w:b/>
          <w:sz w:val="20"/>
          <w:lang w:val="bs-Latn-BA"/>
        </w:rPr>
        <w:t xml:space="preserve"> </w:t>
      </w:r>
    </w:p>
    <w:p w14:paraId="660F0DD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Lijek Skopryl se može primjenjivati kao monoterapija ili u kombinaciji sa drugim antihipertenzivima </w:t>
      </w:r>
      <w:r>
        <w:rPr>
          <w:rFonts w:ascii="Microsoft Sans Serif" w:hAnsi="Microsoft Sans Serif" w:cs="Microsoft Sans Serif"/>
          <w:iCs/>
          <w:sz w:val="20"/>
        </w:rPr>
        <w:t>(pogledati dijelove 4.3, 4.4, 4.5 i 5.1)</w:t>
      </w:r>
      <w:r>
        <w:rPr>
          <w:rFonts w:ascii="Microsoft Sans Serif" w:hAnsi="Microsoft Sans Serif" w:cs="Microsoft Sans Serif"/>
          <w:color w:val="000000"/>
          <w:sz w:val="20"/>
        </w:rPr>
        <w:t>.</w:t>
      </w:r>
    </w:p>
    <w:p w14:paraId="6A941DFE">
      <w:pPr>
        <w:shd w:val="clear" w:color="auto" w:fill="FFFFFF"/>
        <w:rPr>
          <w:rFonts w:ascii="Microsoft Sans Serif" w:hAnsi="Microsoft Sans Serif" w:cs="Microsoft Sans Serif"/>
          <w:iCs/>
          <w:color w:val="000000"/>
          <w:sz w:val="20"/>
          <w:u w:val="single"/>
        </w:rPr>
      </w:pPr>
    </w:p>
    <w:p w14:paraId="4F4F8E63">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w:t>
      </w:r>
    </w:p>
    <w:p w14:paraId="3A164222">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hipertenzijom preporučuje se liječenje započeti dozom od 10 mg na dan. Kod pacijenata sa snažnijom aktivacijom sistema renin-angiotenzin-aldosteron (naročito onih sa renovaskularnom hipertenzijom, deplecijom soli i/ili volumena krvi, dekompenzacijom srca ili teškom hipertenzijom) nakon primjene inicijalne doze može doći do značajnog pada krvnog pritiska. Kod ovih pacijenata preporučena početna doza je 2,5 mg/dan do 5 mg/dan, a terapiju treba započeti pod pažljivim nadzorom ljekara. Kod pacijenata sa insuficijencijom bubrega liječenje se treba započeti nižom početnom dozom (pogledati Tabelu 1.).</w:t>
      </w:r>
    </w:p>
    <w:p w14:paraId="02F3E7D9">
      <w:pPr>
        <w:jc w:val="both"/>
        <w:rPr>
          <w:rFonts w:ascii="Microsoft Sans Serif" w:hAnsi="Microsoft Sans Serif" w:cs="Microsoft Sans Serif"/>
          <w:b/>
          <w:sz w:val="20"/>
          <w:lang w:val="bs-Latn-BA"/>
        </w:rPr>
      </w:pPr>
    </w:p>
    <w:p w14:paraId="62122CF9">
      <w:pPr>
        <w:shd w:val="clear" w:color="auto" w:fill="FFFFFF"/>
        <w:jc w:val="both"/>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6E542EB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Uobičajena efektivna doza održavanja je 20 mg, primijenjena kao jednokratna dnevna doza. Uopšteno, ukoliko zadovoljavajući terapijski efekat se ne može postići sa određenom dozom u periodu od 2 do 4 sedmice, dozu treba postepeno povećati. Maksimalna doza lizinoprila koja se primjenjivala tokom dugotrajnih kontroliranih kliničkih ispitivanja iznosila je 80 mg na dan.</w:t>
      </w:r>
    </w:p>
    <w:p w14:paraId="2E900BCD">
      <w:pPr>
        <w:jc w:val="both"/>
        <w:rPr>
          <w:rFonts w:ascii="Microsoft Sans Serif" w:hAnsi="Microsoft Sans Serif" w:cs="Microsoft Sans Serif"/>
          <w:b/>
          <w:sz w:val="20"/>
          <w:lang w:val="bs-Latn-BA"/>
        </w:rPr>
      </w:pPr>
    </w:p>
    <w:p w14:paraId="672186AB">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Pacijenti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liječeni</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diureticima</w:t>
      </w:r>
    </w:p>
    <w:p w14:paraId="0C384E1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Moguća je 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w:t>
      </w:r>
      <w:r>
        <w:rPr>
          <w:rStyle w:val="41"/>
          <w:rFonts w:ascii="Microsoft Sans Serif" w:hAnsi="Microsoft Sans Serif" w:cs="Microsoft Sans Serif"/>
          <w:sz w:val="20"/>
          <w:lang w:val="bs-Cyrl-BA"/>
        </w:rPr>
        <w:t>е</w:t>
      </w:r>
      <w:r>
        <w:rPr>
          <w:rStyle w:val="40"/>
          <w:rFonts w:ascii="Microsoft Sans Serif" w:hAnsi="Microsoft Sans Serif" w:cs="Microsoft Sans Serif"/>
          <w:sz w:val="20"/>
          <w:lang w:val="bs-Latn-BA"/>
        </w:rPr>
        <w:t xml:space="preserve"> prilikom započinjanje terapije sa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vjerovatnije dogoditi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pacijenata koji su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diureticima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Potrebno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obratiti pažnju</w:t>
      </w:r>
      <w:r>
        <w:rPr>
          <w:rStyle w:val="40"/>
          <w:rFonts w:ascii="Microsoft Sans Serif" w:hAnsi="Microsoft Sans Serif" w:cs="Microsoft Sans Serif"/>
          <w:sz w:val="20"/>
          <w:lang w:val="bs-Latn-BA"/>
        </w:rPr>
        <w:t xml:space="preserve">, jer </w:t>
      </w:r>
      <w:r>
        <w:rPr>
          <w:rStyle w:val="41"/>
          <w:rFonts w:ascii="Microsoft Sans Serif" w:hAnsi="Microsoft Sans Serif" w:cs="Microsoft Sans Serif"/>
          <w:sz w:val="20"/>
          <w:lang w:val="bs-Latn-BA"/>
        </w:rPr>
        <w:t>kod 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doći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gubitka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tekućine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soli</w:t>
      </w:r>
      <w:r>
        <w:rPr>
          <w:rStyle w:val="40"/>
          <w:rFonts w:ascii="Microsoft Sans Serif" w:hAnsi="Microsoft Sans Serif" w:cs="Microsoft Sans Serif"/>
          <w:sz w:val="20"/>
          <w:lang w:val="bs-Latn-BA"/>
        </w:rPr>
        <w:t>.</w:t>
      </w:r>
    </w:p>
    <w:p w14:paraId="6718F836">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moguće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diuretik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 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dva do tri dana 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lijekom </w:t>
      </w:r>
      <w:r>
        <w:rPr>
          <w:rStyle w:val="41"/>
          <w:rFonts w:ascii="Microsoft Sans Serif" w:hAnsi="Microsoft Sans Serif" w:cs="Microsoft Sans Serif"/>
          <w:sz w:val="20"/>
          <w:lang w:val="bs-Latn-BA"/>
        </w:rPr>
        <w:t>Skopryl</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Kod hipertenzivnih pacijenata kod kojih primjenu diuretika nije moguće prekinuti, liječenje sa lijekom Skopryl treba započeti dozom od 5 mg na dan. Potrebno je pratiti renalnu funkciju i koncentracije kalijuma u serumu. Daljnje doziranje treba prilagoditi prema vrijednostima krvnog pritiska kao odgovor terapiji. Ukoliko je potrebno, može se ponovo započeti sa primjenom diuretika (pogledati dijelove 4.4 i 4.5</w:t>
      </w:r>
      <w:r>
        <w:rPr>
          <w:rFonts w:ascii="Microsoft Sans Serif" w:hAnsi="Microsoft Sans Serif" w:cs="Microsoft Sans Serif"/>
          <w:iCs/>
          <w:color w:val="000000"/>
          <w:sz w:val="20"/>
        </w:rPr>
        <w:t>).</w:t>
      </w:r>
    </w:p>
    <w:p w14:paraId="43F7155F">
      <w:pPr>
        <w:jc w:val="both"/>
        <w:rPr>
          <w:rFonts w:ascii="Microsoft Sans Serif" w:hAnsi="Microsoft Sans Serif" w:cs="Microsoft Sans Serif"/>
          <w:sz w:val="20"/>
          <w:lang w:val="bs-Latn-BA"/>
        </w:rPr>
      </w:pPr>
    </w:p>
    <w:p w14:paraId="78FBAA9C">
      <w:pPr>
        <w:shd w:val="clear" w:color="auto" w:fill="FFFFFF"/>
        <w:rPr>
          <w:rFonts w:ascii="Microsoft Sans Serif" w:hAnsi="Microsoft Sans Serif" w:cs="Microsoft Sans Serif"/>
          <w:sz w:val="20"/>
          <w:u w:val="single"/>
        </w:rPr>
      </w:pPr>
      <w:r>
        <w:rPr>
          <w:rFonts w:ascii="Microsoft Sans Serif" w:hAnsi="Microsoft Sans Serif" w:cs="Microsoft Sans Serif"/>
          <w:iCs/>
          <w:color w:val="000000"/>
          <w:sz w:val="20"/>
          <w:u w:val="single"/>
        </w:rPr>
        <w:t>Pacijenti sa poremećenom funkcijom bubrega</w:t>
      </w:r>
    </w:p>
    <w:p w14:paraId="69CD1F5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Doziranje kod pacijenata sa poremećenom funkcijom bubrega treba prilagoditi na temelju vrijednosti klirensa kreatinina kao sto je prikazano u Tabeli 1:</w:t>
      </w:r>
    </w:p>
    <w:p w14:paraId="7D38A31F">
      <w:pPr>
        <w:shd w:val="clear" w:color="auto" w:fill="FFFFFF"/>
        <w:jc w:val="both"/>
        <w:rPr>
          <w:rFonts w:ascii="Microsoft Sans Serif" w:hAnsi="Microsoft Sans Serif" w:cs="Microsoft Sans Serif"/>
          <w:color w:val="000000"/>
          <w:sz w:val="20"/>
        </w:rPr>
      </w:pPr>
    </w:p>
    <w:p w14:paraId="00D6DDE4">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Tabela 1. Doziranje kod pacijenata sa poremećenom funkcijom bubrega</w:t>
      </w:r>
    </w:p>
    <w:p w14:paraId="4E0B3098">
      <w:pPr>
        <w:shd w:val="clear" w:color="auto" w:fill="FFFFFF"/>
        <w:jc w:val="both"/>
        <w:rPr>
          <w:rFonts w:ascii="Microsoft Sans Serif" w:hAnsi="Microsoft Sans Serif" w:cs="Microsoft Sans Serif"/>
          <w:color w:val="000000"/>
          <w:sz w:val="20"/>
        </w:rPr>
      </w:pPr>
    </w:p>
    <w:tbl>
      <w:tblPr>
        <w:tblStyle w:val="8"/>
        <w:tblW w:w="0" w:type="auto"/>
        <w:tblInd w:w="40" w:type="dxa"/>
        <w:tblLayout w:type="fixed"/>
        <w:tblCellMar>
          <w:top w:w="0" w:type="dxa"/>
          <w:left w:w="40" w:type="dxa"/>
          <w:bottom w:w="0" w:type="dxa"/>
          <w:right w:w="40" w:type="dxa"/>
        </w:tblCellMar>
      </w:tblPr>
      <w:tblGrid>
        <w:gridCol w:w="5002"/>
        <w:gridCol w:w="3235"/>
      </w:tblGrid>
      <w:tr w14:paraId="3B12957B">
        <w:tblPrEx>
          <w:tblCellMar>
            <w:top w:w="0" w:type="dxa"/>
            <w:left w:w="40" w:type="dxa"/>
            <w:bottom w:w="0" w:type="dxa"/>
            <w:right w:w="40" w:type="dxa"/>
          </w:tblCellMar>
        </w:tblPrEx>
        <w:trPr>
          <w:trHeight w:val="576"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E541CFA">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Klirens kreatinina (ml/min)</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1BE85506">
            <w:pPr>
              <w:shd w:val="clear" w:color="auto" w:fill="FFFFFF"/>
              <w:rPr>
                <w:rFonts w:ascii="Microsoft Sans Serif" w:hAnsi="Microsoft Sans Serif" w:cs="Microsoft Sans Serif"/>
                <w:b/>
                <w:sz w:val="20"/>
              </w:rPr>
            </w:pPr>
            <w:r>
              <w:rPr>
                <w:rFonts w:ascii="Microsoft Sans Serif" w:hAnsi="Microsoft Sans Serif" w:cs="Microsoft Sans Serif"/>
                <w:b/>
                <w:bCs/>
                <w:iCs/>
                <w:color w:val="000000"/>
                <w:sz w:val="20"/>
              </w:rPr>
              <w:t>Početna doza (mg/dan)</w:t>
            </w:r>
          </w:p>
        </w:tc>
      </w:tr>
      <w:tr w14:paraId="028D097A">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52FD6267">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 xml:space="preserve">&lt; </w:t>
            </w:r>
            <w:r>
              <w:rPr>
                <w:rFonts w:ascii="Microsoft Sans Serif" w:hAnsi="Microsoft Sans Serif" w:cs="Microsoft Sans Serif"/>
                <w:bCs/>
                <w:color w:val="000000"/>
                <w:sz w:val="20"/>
              </w:rPr>
              <w:t>10 (uključujući i pacijente na dijalizi)</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5DB4F7A3">
            <w:pPr>
              <w:shd w:val="clear" w:color="auto" w:fill="FFFFFF"/>
              <w:rPr>
                <w:rFonts w:ascii="Microsoft Sans Serif" w:hAnsi="Microsoft Sans Serif" w:cs="Microsoft Sans Serif"/>
                <w:sz w:val="20"/>
              </w:rPr>
            </w:pPr>
            <w:r>
              <w:rPr>
                <w:rFonts w:ascii="Microsoft Sans Serif" w:hAnsi="Microsoft Sans Serif" w:cs="Microsoft Sans Serif"/>
                <w:color w:val="000000"/>
                <w:sz w:val="20"/>
              </w:rPr>
              <w:t>2,5 mg*</w:t>
            </w:r>
          </w:p>
        </w:tc>
      </w:tr>
      <w:tr w14:paraId="2C965107">
        <w:tblPrEx>
          <w:tblCellMar>
            <w:top w:w="0" w:type="dxa"/>
            <w:left w:w="40" w:type="dxa"/>
            <w:bottom w:w="0" w:type="dxa"/>
            <w:right w:w="40" w:type="dxa"/>
          </w:tblCellMar>
        </w:tblPrEx>
        <w:trPr>
          <w:trHeight w:val="298"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77B137F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10-30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4BC730B">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2,5-5 mg</w:t>
            </w:r>
          </w:p>
        </w:tc>
      </w:tr>
      <w:tr w14:paraId="4760695B">
        <w:tblPrEx>
          <w:tblCellMar>
            <w:top w:w="0" w:type="dxa"/>
            <w:left w:w="40" w:type="dxa"/>
            <w:bottom w:w="0" w:type="dxa"/>
            <w:right w:w="40" w:type="dxa"/>
          </w:tblCellMar>
        </w:tblPrEx>
        <w:trPr>
          <w:trHeight w:val="307" w:hRule="exact"/>
        </w:trPr>
        <w:tc>
          <w:tcPr>
            <w:tcW w:w="5002" w:type="dxa"/>
            <w:tcBorders>
              <w:top w:val="single" w:color="auto" w:sz="6" w:space="0"/>
              <w:left w:val="single" w:color="auto" w:sz="6" w:space="0"/>
              <w:bottom w:val="single" w:color="auto" w:sz="6" w:space="0"/>
              <w:right w:val="single" w:color="auto" w:sz="6" w:space="0"/>
            </w:tcBorders>
            <w:shd w:val="clear" w:color="auto" w:fill="FFFFFF"/>
          </w:tcPr>
          <w:p w14:paraId="1DAF3FD4">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31-80</w:t>
            </w:r>
          </w:p>
        </w:tc>
        <w:tc>
          <w:tcPr>
            <w:tcW w:w="3235" w:type="dxa"/>
            <w:tcBorders>
              <w:top w:val="single" w:color="auto" w:sz="6" w:space="0"/>
              <w:left w:val="single" w:color="auto" w:sz="6" w:space="0"/>
              <w:bottom w:val="single" w:color="auto" w:sz="6" w:space="0"/>
              <w:right w:val="single" w:color="auto" w:sz="6" w:space="0"/>
            </w:tcBorders>
            <w:shd w:val="clear" w:color="auto" w:fill="FFFFFF"/>
          </w:tcPr>
          <w:p w14:paraId="67306A06">
            <w:pPr>
              <w:shd w:val="clear" w:color="auto" w:fill="FFFFFF"/>
              <w:rPr>
                <w:rFonts w:ascii="Microsoft Sans Serif" w:hAnsi="Microsoft Sans Serif" w:cs="Microsoft Sans Serif"/>
                <w:sz w:val="20"/>
              </w:rPr>
            </w:pPr>
            <w:r>
              <w:rPr>
                <w:rFonts w:ascii="Microsoft Sans Serif" w:hAnsi="Microsoft Sans Serif" w:cs="Microsoft Sans Serif"/>
                <w:bCs/>
                <w:color w:val="000000"/>
                <w:sz w:val="20"/>
              </w:rPr>
              <w:t>5-10 mg</w:t>
            </w:r>
          </w:p>
        </w:tc>
      </w:tr>
    </w:tbl>
    <w:p w14:paraId="58B6A797">
      <w:pPr>
        <w:shd w:val="clear" w:color="auto" w:fill="FFFFFF"/>
        <w:jc w:val="both"/>
        <w:rPr>
          <w:rFonts w:ascii="Microsoft Sans Serif" w:hAnsi="Microsoft Sans Serif" w:cs="Microsoft Sans Serif"/>
          <w:b/>
          <w:bCs/>
          <w:color w:val="000000"/>
          <w:sz w:val="20"/>
        </w:rPr>
      </w:pPr>
      <w:r>
        <w:rPr>
          <w:rFonts w:ascii="Microsoft Sans Serif" w:hAnsi="Microsoft Sans Serif" w:cs="Microsoft Sans Serif"/>
          <w:color w:val="000000"/>
          <w:sz w:val="20"/>
        </w:rPr>
        <w:t>* Doziranje i/ili učestalost primjene treba prilagoditi u skladu sa vrijednostima krvnog pritiska.</w:t>
      </w:r>
    </w:p>
    <w:p w14:paraId="72483C6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Doza se može povećavati sve dok se ne uspostavi kontrola krvnog pritiska ili do najviše 40 mg na dan.</w:t>
      </w:r>
    </w:p>
    <w:p w14:paraId="5841E826">
      <w:pPr>
        <w:shd w:val="clear" w:color="auto" w:fill="FFFFFF"/>
        <w:rPr>
          <w:rFonts w:ascii="Microsoft Sans Serif" w:hAnsi="Microsoft Sans Serif" w:cs="Microsoft Sans Serif"/>
          <w:b/>
          <w:bCs/>
          <w:color w:val="000000"/>
          <w:sz w:val="20"/>
        </w:rPr>
      </w:pPr>
    </w:p>
    <w:p w14:paraId="7373E493">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Upotreba kod hipertenzivnih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pedijatrijskih</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pacijenata uzrasta od</w:t>
      </w:r>
      <w:r>
        <w:rPr>
          <w:rStyle w:val="40"/>
          <w:rFonts w:ascii="Microsoft Sans Serif" w:hAnsi="Microsoft Sans Serif" w:cs="Microsoft Sans Serif"/>
          <w:sz w:val="20"/>
          <w:u w:val="single"/>
          <w:lang w:val="bs-Latn-BA"/>
        </w:rPr>
        <w:t xml:space="preserve"> </w:t>
      </w:r>
      <w:r>
        <w:rPr>
          <w:rStyle w:val="41"/>
          <w:rFonts w:ascii="Microsoft Sans Serif" w:hAnsi="Microsoft Sans Serif" w:cs="Microsoft Sans Serif"/>
          <w:sz w:val="20"/>
          <w:u w:val="single"/>
          <w:lang w:val="bs-Latn-BA"/>
        </w:rPr>
        <w:t>6 do 16 godina</w:t>
      </w:r>
    </w:p>
    <w:p w14:paraId="4A67C0B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Preporučena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početna doza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 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jedanput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individualno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prilagoditi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maksimalno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dnevno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tjelesne </w:t>
      </w:r>
      <w:r>
        <w:rPr>
          <w:rStyle w:val="41"/>
          <w:rFonts w:ascii="Microsoft Sans Serif" w:hAnsi="Microsoft Sans Serif" w:cs="Microsoft Sans Serif"/>
          <w:sz w:val="20"/>
          <w:lang w:val="bs-Latn-BA"/>
        </w:rPr>
        <w:t>težine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 20 kg do</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 xml:space="preserve">50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sa tjelesnom težinom </w:t>
      </w:r>
      <w:r>
        <w:rPr>
          <w:rStyle w:val="41"/>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veće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0,61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ili </w:t>
      </w:r>
      <w:r>
        <w:rPr>
          <w:rStyle w:val="41"/>
          <w:rFonts w:ascii="Microsoft Sans Serif" w:hAnsi="Microsoft Sans Serif" w:cs="Microsoft Sans Serif"/>
          <w:sz w:val="20"/>
          <w:lang w:val="bs-Latn-BA"/>
        </w:rPr>
        <w:t>40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nisu </w:t>
      </w:r>
      <w:r>
        <w:rPr>
          <w:rStyle w:val="41"/>
          <w:rFonts w:ascii="Microsoft Sans Serif" w:hAnsi="Microsoft Sans Serif" w:cs="Microsoft Sans Serif"/>
          <w:sz w:val="20"/>
          <w:lang w:val="bs-Latn-BA"/>
        </w:rPr>
        <w:t>ispitivane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p>
    <w:p w14:paraId="4014D563">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smanjenom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zahtijevaju</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niže početne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interval između doza.</w:t>
      </w:r>
    </w:p>
    <w:p w14:paraId="7A4B05B6">
      <w:pPr>
        <w:jc w:val="both"/>
        <w:rPr>
          <w:rFonts w:ascii="Microsoft Sans Serif" w:hAnsi="Microsoft Sans Serif" w:cs="Microsoft Sans Serif"/>
          <w:sz w:val="20"/>
          <w:lang w:val="bs-Latn-BA"/>
        </w:rPr>
      </w:pPr>
    </w:p>
    <w:p w14:paraId="2B2713A6">
      <w:pPr>
        <w:jc w:val="both"/>
        <w:rPr>
          <w:rStyle w:val="40"/>
          <w:rFonts w:ascii="Microsoft Sans Serif" w:hAnsi="Microsoft Sans Serif" w:cs="Microsoft Sans Serif"/>
          <w:b/>
          <w:sz w:val="20"/>
          <w:lang w:val="bs-Latn-BA"/>
        </w:rPr>
      </w:pPr>
      <w:r>
        <w:rPr>
          <w:rFonts w:ascii="Microsoft Sans Serif" w:hAnsi="Microsoft Sans Serif" w:cs="Microsoft Sans Serif"/>
          <w:b/>
          <w:bCs/>
          <w:iCs/>
          <w:color w:val="000000"/>
          <w:sz w:val="20"/>
        </w:rPr>
        <w:t xml:space="preserve">Insuficijencija </w:t>
      </w:r>
      <w:r>
        <w:rPr>
          <w:rStyle w:val="40"/>
          <w:rFonts w:ascii="Microsoft Sans Serif" w:hAnsi="Microsoft Sans Serif" w:cs="Microsoft Sans Serif"/>
          <w:b/>
          <w:sz w:val="20"/>
          <w:lang w:val="bs-Latn-BA"/>
        </w:rPr>
        <w:t>srca</w:t>
      </w:r>
    </w:p>
    <w:p w14:paraId="15299CF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Kod pacijenata sa simptomatskom insuficijencijom srca lizinopril se treba primjenjivati zajedno sa diureticima te, ukoliko je potrebno, digitalisom ili beta-blokatorima. Uobičajena početna doza, koja se mora primijeniti pod ljekarskim nadzorom kako bi se odredio početni efekat na krvni pritisak, iznosi 2,5 mg jednom na dan.</w:t>
      </w:r>
    </w:p>
    <w:p w14:paraId="7876E15A">
      <w:pPr>
        <w:shd w:val="clear" w:color="auto" w:fill="FFFFFF"/>
        <w:jc w:val="both"/>
        <w:rPr>
          <w:rFonts w:ascii="Microsoft Sans Serif" w:hAnsi="Microsoft Sans Serif" w:cs="Microsoft Sans Serif"/>
          <w:sz w:val="20"/>
        </w:rPr>
      </w:pPr>
    </w:p>
    <w:p w14:paraId="03B03A0D">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Kasnije se doza može povećavati na sljedeći način:</w:t>
      </w:r>
    </w:p>
    <w:p w14:paraId="1AAFBE0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za najviše 10 mg odjednom,</w:t>
      </w:r>
    </w:p>
    <w:p w14:paraId="631A841C">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sz w:val="20"/>
        </w:rPr>
      </w:pPr>
      <w:r>
        <w:rPr>
          <w:rFonts w:ascii="Microsoft Sans Serif" w:hAnsi="Microsoft Sans Serif" w:cs="Microsoft Sans Serif"/>
          <w:color w:val="000000"/>
          <w:sz w:val="20"/>
        </w:rPr>
        <w:t>u intervalima koji ne smiju biti kraći od 2 sedmice,</w:t>
      </w:r>
    </w:p>
    <w:p w14:paraId="0B4B1764">
      <w:pPr>
        <w:widowControl w:val="0"/>
        <w:numPr>
          <w:ilvl w:val="0"/>
          <w:numId w:val="2"/>
        </w:numPr>
        <w:shd w:val="clear" w:color="auto" w:fill="FFFFFF"/>
        <w:autoSpaceDE w:val="0"/>
        <w:autoSpaceDN w:val="0"/>
        <w:adjustRightInd w:val="0"/>
        <w:ind w:left="0" w:firstLine="0"/>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do najveće doze koju pacijent podnosi, odnosno do maksimalno 35 mg na dan. </w:t>
      </w:r>
    </w:p>
    <w:p w14:paraId="5ACD1C69">
      <w:pPr>
        <w:shd w:val="clear" w:color="auto" w:fill="FFFFFF"/>
        <w:jc w:val="both"/>
        <w:rPr>
          <w:rFonts w:ascii="Microsoft Sans Serif" w:hAnsi="Microsoft Sans Serif" w:cs="Microsoft Sans Serif"/>
          <w:color w:val="000000"/>
          <w:sz w:val="20"/>
        </w:rPr>
      </w:pPr>
    </w:p>
    <w:p w14:paraId="09C7D41F">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Prilagođavanje doze treba temeljiti na kliničkom odgovoru kod svakog pacijenta posebno.</w:t>
      </w:r>
    </w:p>
    <w:p w14:paraId="522152E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kod kojih postoji visoki rizik od pojave simptomatske hipotenzije, tj. kod onih kod kojih postoji gubitak soli sa ili bez hiponatrijemije, pacijenti sa hipovolemijom ili kod onih koji su uzimali velike doze diuretika, spomenuta stanja treba korigovati, ako je moguće, prije početka liječenja lizinoprilom. Potrebno je kontrolirati funkciju bubrega te vrijednosti kalijuma u serumu (pogledati dio 4.4).</w:t>
      </w:r>
    </w:p>
    <w:p w14:paraId="63770146">
      <w:pPr>
        <w:jc w:val="both"/>
        <w:rPr>
          <w:rFonts w:ascii="Microsoft Sans Serif" w:hAnsi="Microsoft Sans Serif" w:cs="Microsoft Sans Serif"/>
          <w:sz w:val="20"/>
          <w:u w:val="single"/>
          <w:lang w:val="hr-HR"/>
        </w:rPr>
      </w:pPr>
    </w:p>
    <w:p w14:paraId="6778B697">
      <w:pPr>
        <w:jc w:val="both"/>
        <w:rPr>
          <w:rStyle w:val="40"/>
          <w:rFonts w:ascii="Microsoft Sans Serif" w:hAnsi="Microsoft Sans Serif" w:cs="Microsoft Sans Serif"/>
          <w:b/>
          <w:sz w:val="20"/>
          <w:lang w:val="bs-Latn-BA"/>
        </w:rPr>
      </w:pPr>
      <w:r>
        <w:rPr>
          <w:rStyle w:val="40"/>
          <w:rFonts w:ascii="Microsoft Sans Serif" w:hAnsi="Microsoft Sans Serif" w:cs="Microsoft Sans Serif"/>
          <w:b/>
          <w:sz w:val="20"/>
          <w:lang w:val="bs-Latn-BA"/>
        </w:rPr>
        <w:t>Upotreba kod akutnog infarkta miokarda</w:t>
      </w:r>
    </w:p>
    <w:p w14:paraId="1D01A8B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Pacijenti moraju uzimati uobičajenu standardnu preporučenu terapiju koja se sastoji od trombolitika, acetilsalicilne kiseline i beta-blokatora. Gliceriltrinitrat u intravenskom ili transdermalnom obliku može se primjenjivati istovremeno sa lizinoprilom.</w:t>
      </w:r>
    </w:p>
    <w:p w14:paraId="63B2DAA9">
      <w:pPr>
        <w:shd w:val="clear" w:color="auto" w:fill="FFFFFF"/>
        <w:rPr>
          <w:rFonts w:ascii="Microsoft Sans Serif" w:hAnsi="Microsoft Sans Serif" w:cs="Microsoft Sans Serif"/>
          <w:iCs/>
          <w:color w:val="000000"/>
          <w:sz w:val="20"/>
          <w:u w:val="single"/>
        </w:rPr>
      </w:pPr>
    </w:p>
    <w:p w14:paraId="5F7B5F3B">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Početna doza (prva 3 dana nakon infarkta miokarda)</w:t>
      </w:r>
    </w:p>
    <w:p w14:paraId="1B015279">
      <w:pPr>
        <w:jc w:val="both"/>
        <w:rPr>
          <w:rStyle w:val="40"/>
          <w:rFonts w:ascii="Microsoft Sans Serif" w:hAnsi="Microsoft Sans Serif" w:cs="Microsoft Sans Serif"/>
          <w:sz w:val="20"/>
          <w:lang w:val="bs-Latn-BA"/>
        </w:rPr>
      </w:pPr>
      <w:r>
        <w:rPr>
          <w:rFonts w:ascii="Microsoft Sans Serif" w:hAnsi="Microsoft Sans Serif" w:cs="Microsoft Sans Serif"/>
          <w:sz w:val="20"/>
          <w:lang w:val="bs-Latn-BA"/>
        </w:rPr>
        <w:t>T</w:t>
      </w:r>
      <w:r>
        <w:rPr>
          <w:rStyle w:val="40"/>
          <w:rFonts w:ascii="Microsoft Sans Serif" w:hAnsi="Microsoft Sans Serif" w:cs="Microsoft Sans Serif"/>
          <w:sz w:val="20"/>
          <w:lang w:val="bs-Latn-BA"/>
        </w:rPr>
        <w:t xml:space="preserve">erapija lijekom Skopryl može početi u roku od 24 sata od početka simptoma. </w:t>
      </w:r>
      <w:r>
        <w:rPr>
          <w:rFonts w:ascii="Microsoft Sans Serif" w:hAnsi="Microsoft Sans Serif" w:cs="Microsoft Sans Serif"/>
          <w:color w:val="000000"/>
          <w:sz w:val="20"/>
        </w:rPr>
        <w:t>Lizinopril se</w:t>
      </w:r>
      <w:r>
        <w:rPr>
          <w:rFonts w:ascii="Microsoft Sans Serif" w:hAnsi="Microsoft Sans Serif" w:cs="Microsoft Sans Serif"/>
          <w:sz w:val="20"/>
        </w:rPr>
        <w:t xml:space="preserve"> </w:t>
      </w:r>
      <w:r>
        <w:rPr>
          <w:rFonts w:ascii="Microsoft Sans Serif" w:hAnsi="Microsoft Sans Serif" w:cs="Microsoft Sans Serif"/>
          <w:color w:val="000000"/>
          <w:sz w:val="20"/>
        </w:rPr>
        <w:t xml:space="preserve">ne smije primijeniti ukoliko je sistolni krvni pritisak niži od 100 mm Hg. </w:t>
      </w:r>
      <w:r>
        <w:rPr>
          <w:rStyle w:val="40"/>
          <w:rFonts w:ascii="Microsoft Sans Serif" w:hAnsi="Microsoft Sans Serif" w:cs="Microsoft Sans Serif"/>
          <w:sz w:val="20"/>
          <w:lang w:val="bs-Latn-BA"/>
        </w:rPr>
        <w:t xml:space="preserve">Prva doza lizinoprila je 5 mg oralno, nakon čega slijedi još 5 mg nakon 24 sata, 10 mg nakon 48 sati i dalje 10 mg jednom dnevno. </w:t>
      </w:r>
      <w:r>
        <w:rPr>
          <w:rFonts w:ascii="Microsoft Sans Serif" w:hAnsi="Microsoft Sans Serif" w:cs="Microsoft Sans Serif"/>
          <w:color w:val="000000"/>
          <w:sz w:val="20"/>
        </w:rPr>
        <w:t xml:space="preserve">Na početku liječenja ili tokom prva tri dana nakon infarkta, </w:t>
      </w:r>
      <w:r>
        <w:rPr>
          <w:rStyle w:val="40"/>
          <w:rFonts w:ascii="Microsoft Sans Serif" w:hAnsi="Microsoft Sans Serif" w:cs="Microsoft Sans Serif"/>
          <w:sz w:val="20"/>
          <w:lang w:val="bs-Latn-BA"/>
        </w:rPr>
        <w:t>pacijentima sa niskim sistolnim krvnim pritiskom (120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ili niži) treba dati manje doze – 2,5 mg (pogledati dio 4.4).</w:t>
      </w:r>
    </w:p>
    <w:p w14:paraId="1CC59EF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(klirens kreatinina &lt;80 ml/min), početnu</w:t>
      </w:r>
      <w:r>
        <w:rPr>
          <w:rFonts w:ascii="Microsoft Sans Serif" w:hAnsi="Microsoft Sans Serif" w:cs="Microsoft Sans Serif"/>
          <w:sz w:val="20"/>
        </w:rPr>
        <w:t xml:space="preserve"> </w:t>
      </w:r>
      <w:r>
        <w:rPr>
          <w:rFonts w:ascii="Microsoft Sans Serif" w:hAnsi="Microsoft Sans Serif" w:cs="Microsoft Sans Serif"/>
          <w:color w:val="000000"/>
          <w:sz w:val="20"/>
        </w:rPr>
        <w:t>dozu lizinoprila treba uskladiti sa vrijednostima klirensa kreatinina (pogledati Tabelu 1).</w:t>
      </w:r>
    </w:p>
    <w:p w14:paraId="6470F7C5">
      <w:pPr>
        <w:jc w:val="both"/>
        <w:rPr>
          <w:rStyle w:val="40"/>
          <w:rFonts w:ascii="Microsoft Sans Serif" w:hAnsi="Microsoft Sans Serif" w:cs="Microsoft Sans Serif"/>
          <w:sz w:val="20"/>
          <w:lang w:val="bs-Latn-BA"/>
        </w:rPr>
      </w:pPr>
    </w:p>
    <w:p w14:paraId="5CDE32AE">
      <w:pPr>
        <w:shd w:val="clear" w:color="auto" w:fill="FFFFFF"/>
        <w:rPr>
          <w:rFonts w:ascii="Microsoft Sans Serif" w:hAnsi="Microsoft Sans Serif" w:cs="Microsoft Sans Serif"/>
          <w:sz w:val="20"/>
        </w:rPr>
      </w:pPr>
      <w:r>
        <w:rPr>
          <w:rFonts w:ascii="Microsoft Sans Serif" w:hAnsi="Microsoft Sans Serif" w:cs="Microsoft Sans Serif"/>
          <w:iCs/>
          <w:color w:val="000000"/>
          <w:sz w:val="20"/>
          <w:u w:val="single"/>
        </w:rPr>
        <w:t>Doza održavanja</w:t>
      </w:r>
    </w:p>
    <w:p w14:paraId="534B2F8D">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Uobičajena doza održavanja je 10 mg lizinoprila jedanput na dan. </w:t>
      </w:r>
      <w:r>
        <w:rPr>
          <w:rStyle w:val="40"/>
          <w:rFonts w:ascii="Microsoft Sans Serif" w:hAnsi="Microsoft Sans Serif" w:cs="Microsoft Sans Serif"/>
          <w:sz w:val="20"/>
          <w:lang w:val="bs-Latn-BA"/>
        </w:rPr>
        <w:t>Pojava hipotenzije (sistolni krvni pritisak 100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 xml:space="preserve">Hg ili niži) dnevna doza održavanja od 5 mg može se privremeno smanjiti na 2,5 mg, ako je potrebno. </w:t>
      </w:r>
      <w:r>
        <w:rPr>
          <w:rFonts w:ascii="Microsoft Sans Serif" w:hAnsi="Microsoft Sans Serif" w:cs="Microsoft Sans Serif"/>
          <w:sz w:val="20"/>
          <w:lang w:val="bs-Latn-BA"/>
        </w:rPr>
        <w:t>Pri p</w:t>
      </w:r>
      <w:r>
        <w:rPr>
          <w:rStyle w:val="40"/>
          <w:rFonts w:ascii="Microsoft Sans Serif" w:hAnsi="Microsoft Sans Serif" w:cs="Microsoft Sans Serif"/>
          <w:sz w:val="20"/>
          <w:lang w:val="bs-Latn-BA"/>
        </w:rPr>
        <w:t>ojavi produžene hipotenzije (sistolni pritisak niži od 90 mm</w:t>
      </w:r>
      <w:r>
        <w:rPr>
          <w:rStyle w:val="40"/>
          <w:rFonts w:ascii="Microsoft Sans Serif" w:hAnsi="Microsoft Sans Serif" w:cs="Microsoft Sans Serif"/>
          <w:sz w:val="20"/>
          <w:lang w:val="bs-Cyrl-BA"/>
        </w:rPr>
        <w:t xml:space="preserve"> </w:t>
      </w:r>
      <w:r>
        <w:rPr>
          <w:rStyle w:val="40"/>
          <w:rFonts w:ascii="Microsoft Sans Serif" w:hAnsi="Microsoft Sans Serif" w:cs="Microsoft Sans Serif"/>
          <w:sz w:val="20"/>
          <w:lang w:val="bs-Latn-BA"/>
        </w:rPr>
        <w:t>Hg duže od sat vremena) Skopryl treba ukinuti.</w:t>
      </w:r>
    </w:p>
    <w:p w14:paraId="066C151C">
      <w:pPr>
        <w:shd w:val="clear" w:color="auto" w:fill="FFFFFF"/>
        <w:jc w:val="both"/>
        <w:rPr>
          <w:rStyle w:val="40"/>
          <w:rFonts w:ascii="Microsoft Sans Serif" w:hAnsi="Microsoft Sans Serif" w:cs="Microsoft Sans Serif"/>
          <w:sz w:val="20"/>
        </w:rPr>
      </w:pPr>
      <w:r>
        <w:rPr>
          <w:rStyle w:val="40"/>
          <w:rFonts w:ascii="Microsoft Sans Serif" w:hAnsi="Microsoft Sans Serif" w:cs="Microsoft Sans Serif"/>
          <w:sz w:val="20"/>
          <w:lang w:val="bs-Latn-BA"/>
        </w:rPr>
        <w:t xml:space="preserve">Doziranje kod pacijenata sa akutnim infarktom miokarda treba da traje šest sedmica, </w:t>
      </w:r>
      <w:r>
        <w:rPr>
          <w:rFonts w:ascii="Microsoft Sans Serif" w:hAnsi="Microsoft Sans Serif" w:cs="Microsoft Sans Serif"/>
          <w:color w:val="000000"/>
          <w:sz w:val="20"/>
        </w:rPr>
        <w:t>a zatim treba načiniti ponovnu evaluaciju stanja pacijenta</w:t>
      </w:r>
      <w:r>
        <w:rPr>
          <w:rStyle w:val="40"/>
          <w:rFonts w:ascii="Microsoft Sans Serif" w:hAnsi="Microsoft Sans Serif" w:cs="Microsoft Sans Serif"/>
          <w:sz w:val="20"/>
          <w:lang w:val="bs-Latn-BA"/>
        </w:rPr>
        <w:t xml:space="preserve">. Pacijenti kod koji se razviju simptomi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lang w:val="bs-Latn-BA"/>
        </w:rPr>
        <w:t xml:space="preserve">srca, </w:t>
      </w:r>
      <w:r>
        <w:rPr>
          <w:rFonts w:ascii="Microsoft Sans Serif" w:hAnsi="Microsoft Sans Serif" w:cs="Microsoft Sans Serif"/>
          <w:color w:val="000000"/>
          <w:sz w:val="20"/>
        </w:rPr>
        <w:t>trebaju nastaviti sa primjenom lizinoprila (</w:t>
      </w:r>
      <w:r>
        <w:rPr>
          <w:rStyle w:val="40"/>
          <w:rFonts w:ascii="Microsoft Sans Serif" w:hAnsi="Microsoft Sans Serif" w:cs="Microsoft Sans Serif"/>
          <w:sz w:val="20"/>
          <w:lang w:val="bs-Latn-BA"/>
        </w:rPr>
        <w:t>pogledati dio 4.2 ).</w:t>
      </w:r>
    </w:p>
    <w:p w14:paraId="7B728153">
      <w:pPr>
        <w:jc w:val="both"/>
        <w:rPr>
          <w:rFonts w:ascii="Microsoft Sans Serif" w:hAnsi="Microsoft Sans Serif" w:cs="Microsoft Sans Serif"/>
          <w:sz w:val="20"/>
        </w:rPr>
      </w:pPr>
    </w:p>
    <w:p w14:paraId="72D84928">
      <w:pPr>
        <w:shd w:val="clear" w:color="auto" w:fill="FFFFFF"/>
        <w:jc w:val="both"/>
        <w:rPr>
          <w:rFonts w:ascii="Microsoft Sans Serif" w:hAnsi="Microsoft Sans Serif" w:cs="Microsoft Sans Serif"/>
          <w:b/>
          <w:iCs/>
          <w:color w:val="000000"/>
          <w:sz w:val="20"/>
        </w:rPr>
      </w:pPr>
      <w:r>
        <w:rPr>
          <w:rFonts w:ascii="Microsoft Sans Serif" w:hAnsi="Microsoft Sans Serif" w:cs="Microsoft Sans Serif"/>
          <w:b/>
          <w:iCs/>
          <w:color w:val="000000"/>
          <w:sz w:val="20"/>
        </w:rPr>
        <w:t>Renalne komplikacije šećerne bolesti</w:t>
      </w:r>
    </w:p>
    <w:p w14:paraId="6E7B750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hipertenzivnih pacijenata sa dijabetesom tipa 2 i početnom nefropatijom uobičajena doza lizinoprila iznosi 10 mg jedanput na dan. Doza se može, prema potrebi, povećati na 20 mg jedanput na dan, kako bi se postigle vrijednosti dijastolnog krvnog pritiska u sjedećem položaju ispod 90 mm Hg.</w:t>
      </w:r>
    </w:p>
    <w:p w14:paraId="11462E65">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Kod pacijenata sa poremećenom funkcijom bubrega (klirens kreatinina &lt;80 ml/min), početnu dozu lizinoprila treba uskladiti sa vrijednostima klirensa kreatinina (pogledati Tabelu 1).</w:t>
      </w:r>
    </w:p>
    <w:p w14:paraId="4C6E94DC">
      <w:pPr>
        <w:jc w:val="both"/>
        <w:rPr>
          <w:rFonts w:ascii="Microsoft Sans Serif" w:hAnsi="Microsoft Sans Serif" w:cs="Microsoft Sans Serif"/>
          <w:b/>
          <w:sz w:val="20"/>
          <w:lang w:val="mk-MK"/>
        </w:rPr>
      </w:pPr>
    </w:p>
    <w:p w14:paraId="4951904A">
      <w:pPr>
        <w:jc w:val="both"/>
        <w:rPr>
          <w:rFonts w:ascii="Microsoft Sans Serif" w:hAnsi="Microsoft Sans Serif" w:cs="Microsoft Sans Serif"/>
          <w:b/>
          <w:sz w:val="20"/>
        </w:rPr>
      </w:pPr>
      <w:r>
        <w:rPr>
          <w:rFonts w:ascii="Microsoft Sans Serif" w:hAnsi="Microsoft Sans Serif" w:cs="Microsoft Sans Serif"/>
          <w:b/>
          <w:sz w:val="20"/>
        </w:rPr>
        <w:t>Pedijatrijska populacija</w:t>
      </w:r>
    </w:p>
    <w:p w14:paraId="591954F4">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Postoji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ograničeno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efikasnosti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sigurnosti prilikom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upotrebe 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 hipertenzivne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starije od šest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 ne 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iskustvo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korištenja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5.1)</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indikacijama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nego samo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hipertenziju</w:t>
      </w:r>
      <w:r>
        <w:rPr>
          <w:rStyle w:val="40"/>
          <w:rFonts w:ascii="Microsoft Sans Serif" w:hAnsi="Microsoft Sans Serif" w:cs="Microsoft Sans Serif"/>
          <w:sz w:val="20"/>
          <w:lang w:val="bs-Latn-BA"/>
        </w:rPr>
        <w:t>.</w:t>
      </w:r>
    </w:p>
    <w:p w14:paraId="3BDCE7F6">
      <w:pPr>
        <w:jc w:val="both"/>
        <w:rPr>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Lizinopril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mlađu od 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teškom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bubrežnom insuficijencijom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GFR </w:t>
      </w:r>
      <w:r>
        <w:rPr>
          <w:rStyle w:val="44"/>
          <w:rFonts w:ascii="Microsoft Sans Serif" w:hAnsi="Microsoft Sans Serif" w:cs="Microsoft Sans Serif"/>
          <w:sz w:val="20"/>
          <w:lang w:val="bs-Latn-BA"/>
        </w:rPr>
        <w:t xml:space="preserve">&lt; </w:t>
      </w:r>
      <w:r>
        <w:rPr>
          <w:rStyle w:val="40"/>
          <w:rFonts w:ascii="Microsoft Sans Serif" w:hAnsi="Microsoft Sans Serif" w:cs="Microsoft Sans Serif"/>
          <w:sz w:val="20"/>
          <w:lang w:val="bs-Latn-BA"/>
        </w:rPr>
        <w:t>30 ml/min/1,73m²</w:t>
      </w:r>
      <w:r>
        <w:rPr>
          <w:rStyle w:val="42"/>
          <w:rFonts w:ascii="Microsoft Sans Serif" w:hAnsi="Microsoft Sans Serif" w:cs="Microsoft Sans Serif"/>
          <w:sz w:val="20"/>
          <w:lang w:val="bs-Latn-BA"/>
        </w:rPr>
        <w:t>), (</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5.2)</w:t>
      </w:r>
      <w:r>
        <w:rPr>
          <w:rStyle w:val="40"/>
          <w:rFonts w:ascii="Microsoft Sans Serif" w:hAnsi="Microsoft Sans Serif" w:cs="Microsoft Sans Serif"/>
          <w:sz w:val="20"/>
          <w:lang w:val="bs-Latn-BA"/>
        </w:rPr>
        <w:t>.</w:t>
      </w:r>
    </w:p>
    <w:p w14:paraId="24BBA19C">
      <w:pPr>
        <w:jc w:val="both"/>
        <w:rPr>
          <w:rFonts w:ascii="Microsoft Sans Serif" w:hAnsi="Microsoft Sans Serif" w:cs="Microsoft Sans Serif"/>
          <w:sz w:val="20"/>
          <w:lang w:val="hr-HR"/>
        </w:rPr>
      </w:pPr>
    </w:p>
    <w:p w14:paraId="64143C16">
      <w:pPr>
        <w:shd w:val="clear" w:color="auto" w:fill="FFFFFF"/>
        <w:jc w:val="both"/>
        <w:rPr>
          <w:rFonts w:ascii="Microsoft Sans Serif" w:hAnsi="Microsoft Sans Serif" w:cs="Microsoft Sans Serif"/>
          <w:b/>
          <w:bCs/>
          <w:color w:val="000000"/>
          <w:sz w:val="20"/>
        </w:rPr>
      </w:pPr>
    </w:p>
    <w:p w14:paraId="1F9D1432">
      <w:pPr>
        <w:shd w:val="clear" w:color="auto" w:fill="FFFFFF"/>
        <w:jc w:val="both"/>
        <w:rPr>
          <w:rFonts w:ascii="Microsoft Sans Serif" w:hAnsi="Microsoft Sans Serif" w:cs="Microsoft Sans Serif"/>
          <w:b/>
          <w:bCs/>
          <w:color w:val="000000"/>
          <w:sz w:val="20"/>
        </w:rPr>
      </w:pPr>
    </w:p>
    <w:p w14:paraId="4D339DF6">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Stariji pacijenti</w:t>
      </w:r>
    </w:p>
    <w:p w14:paraId="503FBA5C">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Tokom kliničkih ispitivanja nije bilo promjena efikasnosti i sigurnosti primjene lijeka u odnosu na uzrast pacijenta. Ipak, ako je starost pacijenta povezana sa smanjenom funkcijom bubrega, treba primijeniti smjernice iz Tabele 1, kako bi se odredila početna doza lijeka Skopryl. Nakon toga dozu treba uskladiti sa vrijednostima krvnog pritiska kao odgovor na terapiju.</w:t>
      </w:r>
    </w:p>
    <w:p w14:paraId="37DD4D04">
      <w:pPr>
        <w:jc w:val="both"/>
        <w:rPr>
          <w:rFonts w:ascii="Microsoft Sans Serif" w:hAnsi="Microsoft Sans Serif" w:cs="Microsoft Sans Serif"/>
          <w:sz w:val="20"/>
          <w:lang w:val="hr-HR"/>
        </w:rPr>
      </w:pPr>
    </w:p>
    <w:p w14:paraId="3FE05404">
      <w:pPr>
        <w:shd w:val="clear" w:color="auto" w:fill="FFFFFF"/>
        <w:jc w:val="both"/>
        <w:rPr>
          <w:rFonts w:ascii="Microsoft Sans Serif" w:hAnsi="Microsoft Sans Serif" w:cs="Microsoft Sans Serif"/>
          <w:sz w:val="20"/>
        </w:rPr>
      </w:pPr>
      <w:r>
        <w:rPr>
          <w:rFonts w:ascii="Microsoft Sans Serif" w:hAnsi="Microsoft Sans Serif" w:cs="Microsoft Sans Serif"/>
          <w:b/>
          <w:bCs/>
          <w:color w:val="000000"/>
          <w:sz w:val="20"/>
        </w:rPr>
        <w:t>Pacijenti sa transplantiranim bubregom</w:t>
      </w:r>
    </w:p>
    <w:p w14:paraId="1C03F4D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Nema dovoljno iskustva za primjenu lizinoprila kod pacijenata sa transplantiranim bubregom, stoga se njegova primjena kod ovih pacijenata ne preporučuje.</w:t>
      </w:r>
    </w:p>
    <w:p w14:paraId="5ED3EE2F">
      <w:pPr>
        <w:rPr>
          <w:rFonts w:ascii="Microsoft Sans Serif" w:hAnsi="Microsoft Sans Serif" w:cs="Microsoft Sans Serif"/>
          <w:sz w:val="20"/>
          <w:lang w:val="en"/>
        </w:rPr>
      </w:pPr>
    </w:p>
    <w:p w14:paraId="03656F5F">
      <w:pPr>
        <w:rPr>
          <w:rFonts w:ascii="Microsoft Sans Serif" w:hAnsi="Microsoft Sans Serif" w:cs="Microsoft Sans Serif"/>
          <w:sz w:val="20"/>
          <w:u w:val="single"/>
        </w:rPr>
      </w:pPr>
      <w:r>
        <w:rPr>
          <w:rFonts w:ascii="Microsoft Sans Serif" w:hAnsi="Microsoft Sans Serif" w:cs="Microsoft Sans Serif"/>
          <w:sz w:val="20"/>
          <w:u w:val="single"/>
        </w:rPr>
        <w:t>Način primjene</w:t>
      </w:r>
    </w:p>
    <w:p w14:paraId="656E515F">
      <w:pPr>
        <w:jc w:val="both"/>
        <w:rPr>
          <w:rStyle w:val="40"/>
          <w:rFonts w:ascii="Microsoft Sans Serif" w:hAnsi="Microsoft Sans Serif" w:cs="Microsoft Sans Serif"/>
          <w:sz w:val="20"/>
          <w:shd w:val="clear" w:color="auto" w:fill="FFFFFF"/>
          <w:lang w:val="bs-Latn-BA"/>
        </w:rPr>
      </w:pPr>
    </w:p>
    <w:p w14:paraId="54349CC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Skopryl tablete namijenjene su za oralnu upotrebu.</w:t>
      </w:r>
    </w:p>
    <w:p w14:paraId="016E5988">
      <w:pPr>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Hrana ne utiče na apsorpciju lizinoprila i mogu se koristiti prije, poslije i za vrijeme obroka. </w:t>
      </w:r>
    </w:p>
    <w:p w14:paraId="016D597A">
      <w:pPr>
        <w:jc w:val="both"/>
        <w:rPr>
          <w:rFonts w:ascii="Microsoft Sans Serif" w:hAnsi="Microsoft Sans Serif" w:cs="Microsoft Sans Serif"/>
          <w:sz w:val="20"/>
          <w:lang w:val="hr-HR"/>
        </w:rPr>
      </w:pPr>
    </w:p>
    <w:p w14:paraId="5B0E5118">
      <w:pPr>
        <w:numPr>
          <w:ilvl w:val="1"/>
          <w:numId w:val="3"/>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Kontraindikacije</w:t>
      </w:r>
    </w:p>
    <w:p w14:paraId="4F49FEC3">
      <w:pPr>
        <w:jc w:val="both"/>
        <w:rPr>
          <w:rFonts w:ascii="Microsoft Sans Serif" w:hAnsi="Microsoft Sans Serif" w:cs="Microsoft Sans Serif"/>
          <w:b/>
          <w:sz w:val="20"/>
        </w:rPr>
      </w:pPr>
    </w:p>
    <w:p w14:paraId="64BF65CA">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preosjetljivost na lizinopril </w:t>
      </w:r>
      <w:r>
        <w:rPr>
          <w:rFonts w:ascii="Microsoft Sans Serif" w:hAnsi="Microsoft Sans Serif" w:cs="Microsoft Sans Serif"/>
          <w:sz w:val="20"/>
          <w:lang w:val="bs-Latn-BA"/>
        </w:rPr>
        <w:t>ili pomo</w:t>
      </w:r>
      <w:r>
        <w:rPr>
          <w:rFonts w:ascii="Microsoft Sans Serif" w:hAnsi="Microsoft Sans Serif" w:cs="Microsoft Sans Serif"/>
          <w:sz w:val="20"/>
          <w:lang w:val="hr-BA"/>
        </w:rPr>
        <w:t>ćne supstanci ovog</w:t>
      </w:r>
      <w:r>
        <w:rPr>
          <w:rFonts w:ascii="Microsoft Sans Serif" w:hAnsi="Microsoft Sans Serif" w:cs="Microsoft Sans Serif"/>
          <w:sz w:val="20"/>
          <w:lang w:val="bs-Latn-BA"/>
        </w:rPr>
        <w:t xml:space="preserve"> lijeka navedenih u dijelu 6.1 ili na neki drugi lijek iz grupe ACE-inhibitora;</w:t>
      </w:r>
      <w:r>
        <w:rPr>
          <w:rStyle w:val="40"/>
          <w:rFonts w:ascii="Microsoft Sans Serif" w:hAnsi="Microsoft Sans Serif" w:cs="Microsoft Sans Serif"/>
          <w:sz w:val="20"/>
          <w:shd w:val="clear" w:color="auto" w:fill="FFFFFF"/>
          <w:lang w:val="bs-Latn-BA"/>
        </w:rPr>
        <w:t xml:space="preserve"> </w:t>
      </w:r>
    </w:p>
    <w:p w14:paraId="1DB0E641">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 xml:space="preserve">kod pacijenata sa istorijom angioedema povezan sa prethodnom upotrebom ACE-inhibitora; </w:t>
      </w:r>
    </w:p>
    <w:p w14:paraId="267E065C">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xml:space="preserve">• </w:t>
      </w:r>
      <w:r>
        <w:rPr>
          <w:rStyle w:val="40"/>
          <w:rFonts w:ascii="Microsoft Sans Serif" w:hAnsi="Microsoft Sans Serif" w:cs="Microsoft Sans Serif"/>
          <w:sz w:val="20"/>
          <w:shd w:val="clear" w:color="auto" w:fill="FFFFFF"/>
          <w:lang w:val="bs-Latn-BA"/>
        </w:rPr>
        <w:t>kod pacijenata sa nasljednim ili idiopatskim angioedemom;</w:t>
      </w:r>
    </w:p>
    <w:p w14:paraId="4BC6BA7B">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sz w:val="20"/>
          <w:lang w:val="en"/>
        </w:rPr>
        <w:t>• drugi i treći trimestar trudnoće (pogledati dijelove 4.4 i 4.6);</w:t>
      </w:r>
    </w:p>
    <w:p w14:paraId="21ECF054">
      <w:pPr>
        <w:widowControl w:val="0"/>
        <w:shd w:val="clear" w:color="auto" w:fill="FFFFFF"/>
        <w:autoSpaceDE w:val="0"/>
        <w:autoSpaceDN w:val="0"/>
        <w:adjustRightInd w:val="0"/>
        <w:jc w:val="both"/>
        <w:rPr>
          <w:rFonts w:ascii="Microsoft Sans Serif" w:hAnsi="Microsoft Sans Serif" w:cs="Microsoft Sans Serif"/>
          <w:iCs/>
          <w:color w:val="000000"/>
          <w:sz w:val="20"/>
        </w:rPr>
      </w:pPr>
      <w:r>
        <w:rPr>
          <w:rFonts w:ascii="Microsoft Sans Serif" w:hAnsi="Microsoft Sans Serif" w:cs="Microsoft Sans Serif"/>
          <w:sz w:val="20"/>
          <w:lang w:val="en"/>
        </w:rPr>
        <w:t>• i</w:t>
      </w:r>
      <w:r>
        <w:rPr>
          <w:rFonts w:ascii="Microsoft Sans Serif" w:hAnsi="Microsoft Sans Serif" w:cs="Microsoft Sans Serif"/>
          <w:iCs/>
          <w:sz w:val="20"/>
        </w:rPr>
        <w:t>stovremena primjena lijeka Skopryl sa lijekovima koji sadrže aliskiren je kontraindikovana kod</w:t>
      </w:r>
      <w:r>
        <w:rPr>
          <w:rFonts w:ascii="Microsoft Sans Serif" w:hAnsi="Microsoft Sans Serif" w:cs="Microsoft Sans Serif"/>
          <w:iCs/>
          <w:sz w:val="20"/>
        </w:rPr>
        <w:br w:type="textWrapping"/>
      </w:r>
      <w:r>
        <w:rPr>
          <w:rFonts w:ascii="Microsoft Sans Serif" w:hAnsi="Microsoft Sans Serif" w:cs="Microsoft Sans Serif"/>
          <w:iCs/>
          <w:sz w:val="20"/>
        </w:rPr>
        <w:t>pacijenata sa dijabetesom ili oštećenjem bubrega (GFR &lt; 60 ml/min/1,73 m</w:t>
      </w:r>
      <w:r>
        <w:rPr>
          <w:rFonts w:ascii="Microsoft Sans Serif" w:hAnsi="Microsoft Sans Serif" w:cs="Microsoft Sans Serif"/>
          <w:iCs/>
          <w:sz w:val="20"/>
          <w:vertAlign w:val="superscript"/>
        </w:rPr>
        <w:t>2</w:t>
      </w:r>
      <w:r>
        <w:rPr>
          <w:rFonts w:ascii="Microsoft Sans Serif" w:hAnsi="Microsoft Sans Serif" w:cs="Microsoft Sans Serif"/>
          <w:iCs/>
          <w:sz w:val="20"/>
        </w:rPr>
        <w:t>) (pogledati dijelove 4.5 i 5.1)</w:t>
      </w:r>
      <w:r>
        <w:rPr>
          <w:rFonts w:ascii="Microsoft Sans Serif" w:hAnsi="Microsoft Sans Serif" w:cs="Microsoft Sans Serif"/>
          <w:iCs/>
          <w:color w:val="000000"/>
          <w:sz w:val="20"/>
        </w:rPr>
        <w:t>;</w:t>
      </w:r>
    </w:p>
    <w:p w14:paraId="19CC92B8">
      <w:pPr>
        <w:widowControl w:val="0"/>
        <w:shd w:val="clear" w:color="auto" w:fill="FFFFFF"/>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lang w:val="en"/>
        </w:rPr>
        <w:t>• istovremena upotreba sa sakubitril/valsartan terapijom. Skopryl</w:t>
      </w:r>
      <w:r>
        <w:rPr>
          <w:rFonts w:ascii="Microsoft Sans Serif" w:hAnsi="Microsoft Sans Serif" w:cs="Microsoft Sans Serif"/>
          <w:color w:val="222222"/>
          <w:sz w:val="20"/>
        </w:rPr>
        <w:t xml:space="preserve"> se ne smije početi davati prije isteka 36 sati od posljednje doze sakubitril/valsartan </w:t>
      </w:r>
      <w:r>
        <w:rPr>
          <w:rFonts w:ascii="Microsoft Sans Serif" w:hAnsi="Microsoft Sans Serif" w:cs="Microsoft Sans Serif"/>
          <w:sz w:val="20"/>
          <w:lang w:val="en"/>
        </w:rPr>
        <w:t>(pogledati dijelove 4.4 i 4.5).</w:t>
      </w:r>
    </w:p>
    <w:p w14:paraId="58256C44">
      <w:pPr>
        <w:jc w:val="both"/>
        <w:rPr>
          <w:rFonts w:ascii="Microsoft Sans Serif" w:hAnsi="Microsoft Sans Serif" w:cs="Microsoft Sans Serif"/>
          <w:sz w:val="20"/>
        </w:rPr>
      </w:pPr>
    </w:p>
    <w:p w14:paraId="2EB75B39">
      <w:pPr>
        <w:jc w:val="both"/>
        <w:rPr>
          <w:rFonts w:ascii="Microsoft Sans Serif" w:hAnsi="Microsoft Sans Serif" w:cs="Microsoft Sans Serif"/>
          <w:sz w:val="20"/>
          <w:lang w:val="sr-Latn-BA"/>
        </w:rPr>
      </w:pPr>
      <w:r>
        <w:rPr>
          <w:rFonts w:ascii="Microsoft Sans Serif" w:hAnsi="Microsoft Sans Serif" w:cs="Microsoft Sans Serif"/>
          <w:b/>
          <w:sz w:val="20"/>
          <w:lang w:val="sr-Latn-BA"/>
        </w:rPr>
        <w:t xml:space="preserve">4.4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Posebna upozorenja i mjere opreza pri upotrebi </w:t>
      </w:r>
    </w:p>
    <w:p w14:paraId="4B337079">
      <w:pPr>
        <w:jc w:val="both"/>
        <w:rPr>
          <w:rFonts w:ascii="Microsoft Sans Serif" w:hAnsi="Microsoft Sans Serif" w:cs="Microsoft Sans Serif"/>
          <w:b/>
          <w:sz w:val="20"/>
          <w:lang w:val="sr-Latn-BA"/>
        </w:rPr>
      </w:pPr>
    </w:p>
    <w:p w14:paraId="0F6EB8D6">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Simptomatska hipotenzija</w:t>
      </w:r>
      <w:r>
        <w:rPr>
          <w:rStyle w:val="40"/>
          <w:rFonts w:ascii="Microsoft Sans Serif" w:hAnsi="Microsoft Sans Serif" w:cs="Microsoft Sans Serif"/>
          <w:sz w:val="20"/>
          <w:lang w:val="bs-Latn-BA"/>
        </w:rPr>
        <w:t xml:space="preserve"> </w:t>
      </w:r>
    </w:p>
    <w:p w14:paraId="25B5AC48">
      <w:pPr>
        <w:shd w:val="clear" w:color="auto" w:fill="FFFFFF"/>
        <w:jc w:val="both"/>
        <w:rPr>
          <w:rFonts w:ascii="Microsoft Sans Serif" w:hAnsi="Microsoft Sans Serif" w:cs="Microsoft Sans Serif"/>
          <w:color w:val="000000"/>
          <w:sz w:val="20"/>
        </w:rPr>
      </w:pPr>
      <w:r>
        <w:rPr>
          <w:rStyle w:val="40"/>
          <w:rFonts w:ascii="Microsoft Sans Serif" w:hAnsi="Microsoft Sans Serif" w:cs="Microsoft Sans Serif"/>
          <w:sz w:val="20"/>
          <w:lang w:val="bs-Latn-BA"/>
        </w:rPr>
        <w:t>Simptomatska hipotenzija rijetko se može vidjeti kod nekomplikovanih hipertenzivnih pacijenata. Kod hipertenzivnih pacijenata koji su na terapiji lijekom Skopryl, vjerovatnije je da će se pojaviti hipotenzija ukoliko kod pacijenata postoji gubitak tečnosti uzrokovan npr. terapijom diureticima, dijeta sa ograničenim unosom soli, dijaliza, proliv ili povraćanje, ili</w:t>
      </w:r>
      <w:r>
        <w:rPr>
          <w:rFonts w:ascii="Microsoft Sans Serif" w:hAnsi="Microsoft Sans Serif" w:cs="Microsoft Sans Serif"/>
          <w:color w:val="000000"/>
          <w:sz w:val="20"/>
        </w:rPr>
        <w:t xml:space="preserve"> u teškim oblicima hipertenzije ovisne o reninu (pogledati dio </w:t>
      </w:r>
      <w:r>
        <w:rPr>
          <w:rFonts w:ascii="Microsoft Sans Serif" w:hAnsi="Microsoft Sans Serif" w:cs="Microsoft Sans Serif"/>
          <w:iCs/>
          <w:color w:val="000000"/>
          <w:sz w:val="20"/>
        </w:rPr>
        <w:t xml:space="preserve">4.5 </w:t>
      </w:r>
      <w:r>
        <w:rPr>
          <w:rFonts w:ascii="Microsoft Sans Serif" w:hAnsi="Microsoft Sans Serif" w:cs="Microsoft Sans Serif"/>
          <w:color w:val="000000"/>
          <w:sz w:val="20"/>
        </w:rPr>
        <w:t>i 4.8</w:t>
      </w:r>
      <w:r>
        <w:rPr>
          <w:rFonts w:ascii="Microsoft Sans Serif" w:hAnsi="Microsoft Sans Serif" w:cs="Microsoft Sans Serif"/>
          <w:iCs/>
          <w:color w:val="000000"/>
          <w:sz w:val="20"/>
        </w:rPr>
        <w:t>)</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Kod pacijenata sa insuficijencijom srca, sa ili bez pridružene insuficijencije bubrega, zabilježeni su slučajevi simptomatske hipotenzije. Ovo je vjerovatnije kod pacijenata sa težim</w:t>
      </w:r>
      <w:r>
        <w:rPr>
          <w:rFonts w:ascii="Microsoft Sans Serif" w:hAnsi="Microsoft Sans Serif" w:cs="Microsoft Sans Serif"/>
          <w:sz w:val="20"/>
        </w:rPr>
        <w:t xml:space="preserve"> </w:t>
      </w:r>
      <w:r>
        <w:rPr>
          <w:rFonts w:ascii="Microsoft Sans Serif" w:hAnsi="Microsoft Sans Serif" w:cs="Microsoft Sans Serif"/>
          <w:color w:val="000000"/>
          <w:sz w:val="20"/>
        </w:rPr>
        <w:t>oblikom insuficijencije srca, a kao odraz primjene velikih doza diuretika Henleove petlje, hiponatrijemije ili funkcionalnog o</w:t>
      </w:r>
      <w:r>
        <w:rPr>
          <w:rFonts w:ascii="Microsoft Sans Serif" w:hAnsi="Microsoft Sans Serif" w:cs="Microsoft Sans Serif"/>
          <w:color w:val="000000"/>
          <w:sz w:val="20"/>
          <w:lang w:val="hr-BA"/>
        </w:rPr>
        <w:t>štećenja</w:t>
      </w:r>
      <w:r>
        <w:rPr>
          <w:rFonts w:ascii="Microsoft Sans Serif" w:hAnsi="Microsoft Sans Serif" w:cs="Microsoft Sans Serif"/>
          <w:color w:val="000000"/>
          <w:sz w:val="20"/>
        </w:rPr>
        <w:t xml:space="preserve"> bubrega. Kod pacijenata sa pove</w:t>
      </w:r>
      <w:r>
        <w:rPr>
          <w:rFonts w:ascii="Microsoft Sans Serif" w:hAnsi="Microsoft Sans Serif" w:cs="Microsoft Sans Serif"/>
          <w:color w:val="000000"/>
          <w:sz w:val="20"/>
          <w:lang w:val="hr-BA"/>
        </w:rPr>
        <w:t xml:space="preserve">ćanim rizikom od pojave simptomatske hipotenzije </w:t>
      </w:r>
      <w:r>
        <w:rPr>
          <w:rFonts w:ascii="Microsoft Sans Serif" w:hAnsi="Microsoft Sans Serif" w:cs="Microsoft Sans Serif"/>
          <w:color w:val="000000"/>
          <w:sz w:val="20"/>
        </w:rPr>
        <w:t>liječenje treba započeti pod ljekarskim nadzorom, a pacijente treba pažljivo pratiti prilikom svakog prilagođavanja doze.</w:t>
      </w:r>
    </w:p>
    <w:p w14:paraId="459F0505">
      <w:pPr>
        <w:shd w:val="clear" w:color="auto" w:fill="FFFFFF"/>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Takođe, pažljivo i čestim praćenjem, lijek bi trebalo da bude korišten kod pacijenata sa ishemijskom bolešću srca ili cerebrovaskularnom bolešću kod kojih izrazita hipotenzija može dovesti do infarkta miokarda ili cerebrovaskularnog inzulta.</w:t>
      </w:r>
    </w:p>
    <w:p w14:paraId="009079DF">
      <w:pPr>
        <w:shd w:val="clear" w:color="auto" w:fill="FFFFFF"/>
        <w:jc w:val="both"/>
        <w:rPr>
          <w:rFonts w:ascii="Microsoft Sans Serif" w:hAnsi="Microsoft Sans Serif" w:cs="Microsoft Sans Serif"/>
          <w:sz w:val="20"/>
        </w:rPr>
      </w:pPr>
      <w:r>
        <w:rPr>
          <w:rStyle w:val="40"/>
          <w:rFonts w:ascii="Microsoft Sans Serif" w:hAnsi="Microsoft Sans Serif" w:cs="Microsoft Sans Serif"/>
          <w:sz w:val="20"/>
          <w:lang w:val="bs-Latn-BA"/>
        </w:rPr>
        <w:t xml:space="preserve">Pri pojavi hipotenzije, pacijenta treba smjestiti u ležeći položaj. Može biti potrebno korigovanje volumena sa intravenskim uvođenjem fiziološkog rastvora. </w:t>
      </w:r>
      <w:r>
        <w:rPr>
          <w:rFonts w:ascii="Microsoft Sans Serif" w:hAnsi="Microsoft Sans Serif" w:cs="Microsoft Sans Serif"/>
          <w:color w:val="000000"/>
          <w:sz w:val="20"/>
        </w:rPr>
        <w:t>Prolazna hipotenzivna reakcija nije kontraindikacija za sljedeću dozu lijeka, koja se može primijeniti uobičajeno, bez poteškoća, jednom kad je krvni pritisak uspostavljen povećanjem volumena.</w:t>
      </w:r>
    </w:p>
    <w:p w14:paraId="41A0067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srčanom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normalan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nizak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moguća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dodatnog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sistemskog krvnog pritiska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pomoću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očekuje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razlog 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hipotenzija postane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simptomatska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može biti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neophodno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prekinuti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w:t>
      </w:r>
    </w:p>
    <w:p w14:paraId="33244A96">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Hipotenzija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u akutnom infarktu miokarda</w:t>
      </w:r>
    </w:p>
    <w:p w14:paraId="124E358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Terapiju 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 trebalo započeti kod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akutnim infarktom miokarda</w:t>
      </w:r>
      <w:r>
        <w:rPr>
          <w:rStyle w:val="40"/>
          <w:rFonts w:ascii="Microsoft Sans Serif" w:hAnsi="Microsoft Sans Serif" w:cs="Microsoft Sans Serif"/>
          <w:sz w:val="20"/>
          <w:lang w:val="bs-Latn-BA"/>
        </w:rPr>
        <w:t xml:space="preserve">, koji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opasnosti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daljeg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ozbiljnog pogoršanja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hemodinamici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krvnim pritiskom 100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ili </w:t>
      </w:r>
      <w:r>
        <w:rPr>
          <w:rStyle w:val="41"/>
          <w:rFonts w:ascii="Microsoft Sans Serif" w:hAnsi="Microsoft Sans Serif" w:cs="Microsoft Sans Serif"/>
          <w:sz w:val="20"/>
          <w:lang w:val="bs-Latn-BA"/>
        </w:rPr>
        <w:t>kardiogenim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prva tri dana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 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120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Doze održavanja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smanjiti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2,5</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100 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potraje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1"/>
          <w:rFonts w:ascii="Microsoft Sans Serif" w:hAnsi="Microsoft Sans Serif" w:cs="Microsoft Sans Serif"/>
          <w:sz w:val="20"/>
          <w:lang w:val="bs-Latn-BA"/>
        </w:rPr>
        <w:t>sistolni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pritisak ispod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90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mm Hg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sat 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biti ukinut</w:t>
      </w:r>
      <w:r>
        <w:rPr>
          <w:rStyle w:val="40"/>
          <w:rFonts w:ascii="Microsoft Sans Serif" w:hAnsi="Microsoft Sans Serif" w:cs="Microsoft Sans Serif"/>
          <w:sz w:val="20"/>
          <w:lang w:val="bs-Latn-BA"/>
        </w:rPr>
        <w:t>.</w:t>
      </w:r>
    </w:p>
    <w:p w14:paraId="5D678DF9">
      <w:pPr>
        <w:jc w:val="both"/>
        <w:rPr>
          <w:rFonts w:ascii="Microsoft Sans Serif" w:hAnsi="Microsoft Sans Serif" w:cs="Microsoft Sans Serif"/>
          <w:sz w:val="20"/>
          <w:lang w:val="hr-HR"/>
        </w:rPr>
      </w:pPr>
    </w:p>
    <w:p w14:paraId="68BE69D0">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Stenoza aortalne i mitralne valvule/hipertrofijska kardiomiopatija</w:t>
      </w:r>
    </w:p>
    <w:p w14:paraId="6BEE4107">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Kao i ostale ACE-inhibitore, lizinopril treba primjenjivati sa oprezom kod pacijenata sa stenozom mitralne valvule te opstrukcijom </w:t>
      </w:r>
      <w:r>
        <w:rPr>
          <w:rStyle w:val="40"/>
          <w:rFonts w:ascii="Microsoft Sans Serif" w:hAnsi="Microsoft Sans Serif" w:cs="Microsoft Sans Serif"/>
          <w:sz w:val="20"/>
          <w:shd w:val="clear" w:color="auto" w:fill="FFFFFF"/>
          <w:lang w:val="bs-Latn-BA"/>
        </w:rPr>
        <w:t xml:space="preserve">ejekcionih struktura </w:t>
      </w:r>
      <w:r>
        <w:rPr>
          <w:rFonts w:ascii="Microsoft Sans Serif" w:hAnsi="Microsoft Sans Serif" w:cs="Microsoft Sans Serif"/>
          <w:color w:val="000000"/>
          <w:sz w:val="20"/>
        </w:rPr>
        <w:t xml:space="preserve">lijeve </w:t>
      </w:r>
      <w:r>
        <w:rPr>
          <w:rStyle w:val="40"/>
          <w:rFonts w:ascii="Microsoft Sans Serif" w:hAnsi="Microsoft Sans Serif" w:cs="Microsoft Sans Serif"/>
          <w:sz w:val="20"/>
          <w:shd w:val="clear" w:color="auto" w:fill="FFFFFF"/>
          <w:lang w:val="bs-Latn-BA"/>
        </w:rPr>
        <w:t>komore</w:t>
      </w:r>
      <w:r>
        <w:rPr>
          <w:rFonts w:ascii="Microsoft Sans Serif" w:hAnsi="Microsoft Sans Serif" w:cs="Microsoft Sans Serif"/>
          <w:color w:val="000000"/>
          <w:sz w:val="20"/>
        </w:rPr>
        <w:t>, kao što je slučaj kod aortalne stenoze ili hipertrofičke kardiomiopatije.</w:t>
      </w:r>
    </w:p>
    <w:p w14:paraId="2E419C09">
      <w:pPr>
        <w:jc w:val="both"/>
        <w:rPr>
          <w:rFonts w:ascii="Microsoft Sans Serif" w:hAnsi="Microsoft Sans Serif" w:cs="Microsoft Sans Serif"/>
          <w:sz w:val="20"/>
          <w:lang w:val="hr-HR"/>
        </w:rPr>
      </w:pPr>
    </w:p>
    <w:p w14:paraId="260BCDB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Oštećenje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bubrežne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funkcije</w:t>
      </w:r>
    </w:p>
    <w:p w14:paraId="2DE024D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bubrega (klirens kreatinina &lt;80 ml/min), početnu dozu lizinoprila treba uskladiti sa vrijednostima klirensa kreatinina (pogledati Tabelu 1 u dijelu 4.2), a kasnije saglasno vrijednostima krvnog pritiska kako odgovor terapije. Praćenje nivoa kalijuma i kreatinina u serumu je dio uobičajenog postupka kod tih pacijenata.</w:t>
      </w:r>
    </w:p>
    <w:p w14:paraId="0AF26F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pacijenata sa </w:t>
      </w:r>
      <w:r>
        <w:rPr>
          <w:rFonts w:ascii="Microsoft Sans Serif" w:hAnsi="Microsoft Sans Serif" w:cs="Microsoft Sans Serif"/>
          <w:color w:val="000000"/>
          <w:sz w:val="20"/>
          <w:u w:val="single"/>
        </w:rPr>
        <w:t>insuficijencijom srca</w:t>
      </w:r>
      <w:r>
        <w:rPr>
          <w:rFonts w:ascii="Microsoft Sans Serif" w:hAnsi="Microsoft Sans Serif" w:cs="Microsoft Sans Serif"/>
          <w:color w:val="000000"/>
          <w:sz w:val="20"/>
        </w:rPr>
        <w:t xml:space="preserve"> pojava hipotenzije nakon početka liječenja ACE-inhibitorima može dovesti do daljnjeg oštećenja funkcije bubrega. U takvim je slučajevima opisana i akutna insuficijencija bubrega, obično reverzibilna.</w:t>
      </w:r>
    </w:p>
    <w:p w14:paraId="11A1C81C">
      <w:pPr>
        <w:jc w:val="both"/>
        <w:rPr>
          <w:rFonts w:ascii="Microsoft Sans Serif" w:hAnsi="Microsoft Sans Serif" w:cs="Microsoft Sans Serif"/>
          <w:sz w:val="20"/>
          <w:lang w:val="bs-Latn-BA" w:eastAsia="en-GB"/>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obostranom stenozom bubrežnih arterija ili stenozom arterije jedinog preostalog bubrega</w:t>
      </w:r>
      <w:r>
        <w:rPr>
          <w:rFonts w:ascii="Microsoft Sans Serif" w:hAnsi="Microsoft Sans Serif" w:cs="Microsoft Sans Serif"/>
          <w:color w:val="000000"/>
          <w:sz w:val="20"/>
        </w:rPr>
        <w:t xml:space="preserve"> koji su bili liječeni inhibitorom angiotenzin konvertuju</w:t>
      </w:r>
      <w:r>
        <w:rPr>
          <w:rFonts w:ascii="Microsoft Sans Serif" w:hAnsi="Microsoft Sans Serif" w:cs="Microsoft Sans Serif"/>
          <w:color w:val="000000"/>
          <w:sz w:val="20"/>
          <w:lang w:val="hr-BA"/>
        </w:rPr>
        <w:t>ćeg enzima</w:t>
      </w:r>
      <w:r>
        <w:rPr>
          <w:rFonts w:ascii="Microsoft Sans Serif" w:hAnsi="Microsoft Sans Serif" w:cs="Microsoft Sans Serif"/>
          <w:color w:val="000000"/>
          <w:sz w:val="20"/>
        </w:rPr>
        <w:t xml:space="preserve">, uočen je porast ureje i kreatinina u serumu, obično reverzibilan nakon prestanka liječenja. Ovo je posebno vjerovatno kod pacijenata sa insuficijencijom bubrega. Ukoliko istovremeno postoji i renovaskularna hipertenzija, postoji povećani rizik od teške hipotenzije i insuficijencije bubrega. Kod ovih pacijenata potrebno je liječenje započeti pod ljekarskim nadzorom, niskim dozama lizinoprila te pažljivo prilagođavati dozu. </w:t>
      </w:r>
    </w:p>
    <w:p w14:paraId="06868AF4">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Budući da istovremena primjena diuretika može doprinijeti razvoju gore navedenog stanja, terapiju diureticima treba prekinuti te pažljivo kontrolisati funkciju bubrega tokom prvih sedmica primjene lizinoprila.</w:t>
      </w:r>
    </w:p>
    <w:p w14:paraId="728D6FA1">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Kod nekih pacijenata sa </w:t>
      </w:r>
      <w:r>
        <w:rPr>
          <w:rFonts w:ascii="Microsoft Sans Serif" w:hAnsi="Microsoft Sans Serif" w:cs="Microsoft Sans Serif"/>
          <w:color w:val="000000"/>
          <w:sz w:val="20"/>
          <w:u w:val="single"/>
        </w:rPr>
        <w:t>hipertenzijom</w:t>
      </w:r>
      <w:r>
        <w:rPr>
          <w:rFonts w:ascii="Microsoft Sans Serif" w:hAnsi="Microsoft Sans Serif" w:cs="Microsoft Sans Serif"/>
          <w:color w:val="000000"/>
          <w:sz w:val="20"/>
        </w:rPr>
        <w:t xml:space="preserve"> bez prethodne očite bolesti krvnih sudova bubrega opažen je porast ureje i kreatinina u serumu, uglavnom blag i prolazan, naročito kada je lizinopril primjenjivan istovremeno sa diureticima. Do toga češće dolazi kod pacijenata sa već postojećim poremećajem funkcije bubrega. Može biti potrebno smanjenje doze i/ili prekid primjene diuretika i/ili lizinoprila.</w:t>
      </w:r>
    </w:p>
    <w:p w14:paraId="37006E26">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Kod pacijenata </w:t>
      </w:r>
      <w:r>
        <w:rPr>
          <w:rFonts w:ascii="Microsoft Sans Serif" w:hAnsi="Microsoft Sans Serif" w:cs="Microsoft Sans Serif"/>
          <w:color w:val="000000"/>
          <w:sz w:val="20"/>
          <w:u w:val="single"/>
        </w:rPr>
        <w:t xml:space="preserve">sa </w:t>
      </w:r>
      <w:r>
        <w:rPr>
          <w:rStyle w:val="40"/>
          <w:rFonts w:ascii="Microsoft Sans Serif" w:hAnsi="Microsoft Sans Serif" w:cs="Microsoft Sans Serif"/>
          <w:sz w:val="20"/>
          <w:u w:val="single"/>
          <w:shd w:val="clear" w:color="auto" w:fill="FFFFFF"/>
          <w:lang w:val="bs-Latn-BA"/>
        </w:rPr>
        <w:t>akutnim infarktom miokarda</w:t>
      </w:r>
      <w:r>
        <w:rPr>
          <w:rStyle w:val="40"/>
          <w:rFonts w:ascii="Microsoft Sans Serif" w:hAnsi="Microsoft Sans Serif" w:cs="Microsoft Sans Serif"/>
          <w:sz w:val="20"/>
          <w:shd w:val="clear" w:color="auto" w:fill="FFFFFF"/>
          <w:lang w:val="bs-Latn-BA"/>
        </w:rPr>
        <w:t xml:space="preserve"> terapiju lizinoprilom ne treba početi </w:t>
      </w:r>
      <w:r>
        <w:rPr>
          <w:rFonts w:ascii="Microsoft Sans Serif" w:hAnsi="Microsoft Sans Serif" w:cs="Microsoft Sans Serif"/>
          <w:color w:val="000000"/>
          <w:sz w:val="20"/>
        </w:rPr>
        <w:t>u slučaju kada se radi o pacijentima</w:t>
      </w:r>
      <w:r>
        <w:rPr>
          <w:rStyle w:val="40"/>
          <w:rFonts w:ascii="Microsoft Sans Serif" w:hAnsi="Microsoft Sans Serif" w:cs="Microsoft Sans Serif"/>
          <w:sz w:val="20"/>
          <w:shd w:val="clear" w:color="auto" w:fill="FFFFFF"/>
          <w:lang w:val="bs-Latn-BA"/>
        </w:rPr>
        <w:t xml:space="preserve"> sa manifestnom bubrežnom disfunkcijom, </w:t>
      </w:r>
      <w:r>
        <w:rPr>
          <w:rFonts w:ascii="Microsoft Sans Serif" w:hAnsi="Microsoft Sans Serif" w:cs="Microsoft Sans Serif"/>
          <w:color w:val="000000"/>
          <w:sz w:val="20"/>
        </w:rPr>
        <w:t xml:space="preserve">definiranom kao </w:t>
      </w:r>
      <w:r>
        <w:rPr>
          <w:rStyle w:val="40"/>
          <w:rFonts w:ascii="Microsoft Sans Serif" w:hAnsi="Microsoft Sans Serif" w:cs="Microsoft Sans Serif"/>
          <w:sz w:val="20"/>
          <w:shd w:val="clear" w:color="auto" w:fill="FFFFFF"/>
          <w:lang w:val="bs-Latn-BA"/>
        </w:rPr>
        <w:t xml:space="preserve">koncentracija serumskog kreatinina iznad 177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 xml:space="preserve">i/ili proteinurijom koja premašuje 500 mg/24 h. U slučaju razvoja </w:t>
      </w:r>
      <w:r>
        <w:rPr>
          <w:rFonts w:ascii="Microsoft Sans Serif" w:hAnsi="Microsoft Sans Serif" w:cs="Microsoft Sans Serif"/>
          <w:color w:val="000000"/>
          <w:sz w:val="20"/>
        </w:rPr>
        <w:t xml:space="preserve">insuficijencije </w:t>
      </w:r>
      <w:r>
        <w:rPr>
          <w:rStyle w:val="40"/>
          <w:rFonts w:ascii="Microsoft Sans Serif" w:hAnsi="Microsoft Sans Serif" w:cs="Microsoft Sans Serif"/>
          <w:sz w:val="20"/>
          <w:shd w:val="clear" w:color="auto" w:fill="FFFFFF"/>
          <w:lang w:val="bs-Latn-BA"/>
        </w:rPr>
        <w:t xml:space="preserve">bubrega tokom liječenja sa lizinoprilom (ako je koncentracija serumskog kreatinina iznad 265 </w:t>
      </w:r>
      <w:r>
        <w:rPr>
          <w:rFonts w:ascii="Microsoft Sans Serif" w:hAnsi="Microsoft Sans Serif" w:cs="Microsoft Sans Serif"/>
          <w:sz w:val="20"/>
          <w:lang w:val="bs-Latn-BA"/>
        </w:rPr>
        <w:t xml:space="preserve">mmol/l </w:t>
      </w:r>
      <w:r>
        <w:rPr>
          <w:rStyle w:val="40"/>
          <w:rFonts w:ascii="Microsoft Sans Serif" w:hAnsi="Microsoft Sans Serif" w:cs="Microsoft Sans Serif"/>
          <w:sz w:val="20"/>
          <w:shd w:val="clear" w:color="auto" w:fill="FFFFFF"/>
          <w:lang w:val="bs-Latn-BA"/>
        </w:rPr>
        <w:t>ili dupliranje vrijednosti u odnosu na početnu), onda bi ljekar trebalo da razmotri prekid terapije lijekom Skopryl.</w:t>
      </w:r>
    </w:p>
    <w:p w14:paraId="268E689F">
      <w:pPr>
        <w:jc w:val="both"/>
        <w:rPr>
          <w:rStyle w:val="40"/>
          <w:rFonts w:ascii="Microsoft Sans Serif" w:hAnsi="Microsoft Sans Serif" w:cs="Microsoft Sans Serif"/>
          <w:b/>
          <w:sz w:val="20"/>
          <w:shd w:val="clear" w:color="auto" w:fill="FFFFFF"/>
          <w:lang w:val="bs-Latn-BA"/>
        </w:rPr>
      </w:pPr>
    </w:p>
    <w:p w14:paraId="405053CF">
      <w:pPr>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b/>
          <w:bCs/>
          <w:color w:val="000000"/>
          <w:sz w:val="20"/>
        </w:rPr>
        <w:t>Preosjetljivost/</w:t>
      </w:r>
      <w:r>
        <w:rPr>
          <w:rStyle w:val="40"/>
          <w:rFonts w:ascii="Microsoft Sans Serif" w:hAnsi="Microsoft Sans Serif" w:cs="Microsoft Sans Serif"/>
          <w:b/>
          <w:sz w:val="20"/>
          <w:shd w:val="clear" w:color="auto" w:fill="FFFFFF"/>
          <w:lang w:val="bs-Latn-BA"/>
        </w:rPr>
        <w:t>angioneurotski edem</w:t>
      </w:r>
      <w:r>
        <w:rPr>
          <w:rStyle w:val="40"/>
          <w:rFonts w:ascii="Microsoft Sans Serif" w:hAnsi="Microsoft Sans Serif" w:cs="Microsoft Sans Serif"/>
          <w:sz w:val="20"/>
          <w:shd w:val="clear" w:color="auto" w:fill="FFFFFF"/>
          <w:lang w:val="bs-Latn-BA"/>
        </w:rPr>
        <w:t xml:space="preserve"> </w:t>
      </w:r>
    </w:p>
    <w:p w14:paraId="64AC00F1">
      <w:pPr>
        <w:shd w:val="clear" w:color="auto" w:fill="FFFFFF"/>
        <w:jc w:val="both"/>
        <w:rPr>
          <w:rStyle w:val="40"/>
          <w:rFonts w:ascii="Microsoft Sans Serif" w:hAnsi="Microsoft Sans Serif" w:cs="Microsoft Sans Serif"/>
          <w:sz w:val="20"/>
          <w:shd w:val="clear" w:color="auto" w:fill="FFFFFF"/>
          <w:lang w:val="bs-Latn-BA"/>
        </w:rPr>
      </w:pPr>
      <w:r>
        <w:rPr>
          <w:rFonts w:ascii="Microsoft Sans Serif" w:hAnsi="Microsoft Sans Serif" w:cs="Microsoft Sans Serif"/>
          <w:color w:val="000000"/>
          <w:sz w:val="20"/>
        </w:rPr>
        <w:t xml:space="preserve">Angioneurotski edem lica, ekstremiteta, usana, jezika, glotisa i/ili grkljana uočen je rijetko kod pacijenata koji su liječeni </w:t>
      </w:r>
      <w:r>
        <w:rPr>
          <w:rStyle w:val="40"/>
          <w:rFonts w:ascii="Microsoft Sans Serif" w:hAnsi="Microsoft Sans Serif" w:cs="Microsoft Sans Serif"/>
          <w:sz w:val="20"/>
          <w:shd w:val="clear" w:color="auto" w:fill="FFFFFF"/>
          <w:lang w:val="bs-Latn-BA"/>
        </w:rPr>
        <w:t xml:space="preserve">inhibitorima angiotenzin konvertujućeg enzima, uključujući lizinopril. </w:t>
      </w:r>
      <w:r>
        <w:rPr>
          <w:rStyle w:val="40"/>
          <w:rFonts w:ascii="Microsoft Sans Serif" w:hAnsi="Microsoft Sans Serif" w:cs="Microsoft Sans Serif"/>
          <w:sz w:val="20"/>
          <w:lang w:val="bs-Latn-BA"/>
        </w:rPr>
        <w:t xml:space="preserve">To se može dogoditi u bilo koje vrijeme tokom liječenja. </w:t>
      </w:r>
      <w:r>
        <w:rPr>
          <w:rStyle w:val="40"/>
          <w:rFonts w:ascii="Microsoft Sans Serif" w:hAnsi="Microsoft Sans Serif" w:cs="Microsoft Sans Serif"/>
          <w:sz w:val="20"/>
          <w:shd w:val="clear" w:color="auto" w:fill="FFFFFF"/>
          <w:lang w:val="bs-Latn-BA"/>
        </w:rPr>
        <w:t xml:space="preserve">U takvim slučajevima, lizinopril treba odmah prekinuti i da se osigura pravilno praćenje pacijenta do potpunog povlačenja simptoma prije njegovog otpuštanja. </w:t>
      </w:r>
      <w:r>
        <w:rPr>
          <w:rFonts w:ascii="Microsoft Sans Serif" w:hAnsi="Microsoft Sans Serif" w:cs="Microsoft Sans Serif"/>
          <w:color w:val="000000"/>
          <w:sz w:val="20"/>
        </w:rPr>
        <w:t xml:space="preserve">Čak i </w:t>
      </w:r>
      <w:r>
        <w:rPr>
          <w:rStyle w:val="40"/>
          <w:rFonts w:ascii="Microsoft Sans Serif" w:hAnsi="Microsoft Sans Serif" w:cs="Microsoft Sans Serif"/>
          <w:sz w:val="20"/>
          <w:shd w:val="clear" w:color="auto" w:fill="FFFFFF"/>
          <w:lang w:val="bs-Latn-BA"/>
        </w:rPr>
        <w:t xml:space="preserve">u slučajevima kada je otok ograničen samo na jeziku, </w:t>
      </w:r>
      <w:r>
        <w:rPr>
          <w:rFonts w:ascii="Microsoft Sans Serif" w:hAnsi="Microsoft Sans Serif" w:cs="Microsoft Sans Serif"/>
          <w:color w:val="000000"/>
          <w:sz w:val="20"/>
        </w:rPr>
        <w:t xml:space="preserve">bez respiratornih poremećaja, </w:t>
      </w:r>
      <w:r>
        <w:rPr>
          <w:rStyle w:val="40"/>
          <w:rFonts w:ascii="Microsoft Sans Serif" w:hAnsi="Microsoft Sans Serif" w:cs="Microsoft Sans Serif"/>
          <w:sz w:val="20"/>
          <w:shd w:val="clear" w:color="auto" w:fill="FFFFFF"/>
          <w:lang w:val="bs-Latn-BA"/>
        </w:rPr>
        <w:t xml:space="preserve">pacijente treba pažljivo pratiti sve dok se simptomi ne povuku, </w:t>
      </w:r>
      <w:r>
        <w:rPr>
          <w:rFonts w:ascii="Microsoft Sans Serif" w:hAnsi="Microsoft Sans Serif" w:cs="Microsoft Sans Serif"/>
          <w:color w:val="000000"/>
          <w:sz w:val="20"/>
        </w:rPr>
        <w:t>budući da primjena antihistaminika i kortikosteroida može biti nedovoljna</w:t>
      </w:r>
      <w:r>
        <w:rPr>
          <w:rStyle w:val="40"/>
          <w:rFonts w:ascii="Microsoft Sans Serif" w:hAnsi="Microsoft Sans Serif" w:cs="Microsoft Sans Serif"/>
          <w:sz w:val="20"/>
          <w:shd w:val="clear" w:color="auto" w:fill="FFFFFF"/>
          <w:lang w:val="bs-Latn-BA"/>
        </w:rPr>
        <w:t xml:space="preserve">. </w:t>
      </w:r>
    </w:p>
    <w:p w14:paraId="35AD081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Zabelježeni su vrlo rijetki slučajevi smrtnog ishoda kod angioedema udruženog sa edemom grkljana ili jezika. </w:t>
      </w:r>
      <w:r>
        <w:rPr>
          <w:rStyle w:val="40"/>
          <w:rFonts w:ascii="Microsoft Sans Serif" w:hAnsi="Microsoft Sans Serif" w:cs="Microsoft Sans Serif"/>
          <w:sz w:val="20"/>
          <w:shd w:val="clear" w:color="auto" w:fill="FFFFFF"/>
          <w:lang w:val="bs-Latn-BA"/>
        </w:rPr>
        <w:t xml:space="preserve"> Inače, u slučajevima kada su obuhvaćeni jezik, glotis ili larinks </w:t>
      </w:r>
      <w:r>
        <w:rPr>
          <w:rFonts w:ascii="Microsoft Sans Serif" w:hAnsi="Microsoft Sans Serif" w:cs="Microsoft Sans Serif"/>
          <w:color w:val="000000"/>
          <w:sz w:val="20"/>
        </w:rPr>
        <w:t xml:space="preserve">može doći </w:t>
      </w:r>
      <w:r>
        <w:rPr>
          <w:rStyle w:val="40"/>
          <w:rFonts w:ascii="Microsoft Sans Serif" w:hAnsi="Microsoft Sans Serif" w:cs="Microsoft Sans Serif"/>
          <w:sz w:val="20"/>
          <w:shd w:val="clear" w:color="auto" w:fill="FFFFFF"/>
          <w:lang w:val="bs-Latn-BA"/>
        </w:rPr>
        <w:t xml:space="preserve">do opstrukcije disajnih puteva, </w:t>
      </w:r>
      <w:r>
        <w:rPr>
          <w:rFonts w:ascii="Microsoft Sans Serif" w:hAnsi="Microsoft Sans Serif" w:cs="Microsoft Sans Serif"/>
          <w:color w:val="000000"/>
          <w:sz w:val="20"/>
        </w:rPr>
        <w:t>naročito kod onih koji su ranije imali neki hirurški zahvat u području dišnih puteva.</w:t>
      </w:r>
      <w:r>
        <w:rPr>
          <w:rStyle w:val="40"/>
          <w:rFonts w:ascii="Microsoft Sans Serif" w:hAnsi="Microsoft Sans Serif" w:cs="Microsoft Sans Serif"/>
          <w:sz w:val="20"/>
          <w:shd w:val="clear" w:color="auto" w:fill="FFFFFF"/>
          <w:lang w:val="bs-Latn-BA"/>
        </w:rPr>
        <w:t xml:space="preserve"> </w:t>
      </w:r>
      <w:r>
        <w:rPr>
          <w:rFonts w:ascii="Microsoft Sans Serif" w:hAnsi="Microsoft Sans Serif" w:cs="Microsoft Sans Serif"/>
          <w:color w:val="000000"/>
          <w:sz w:val="20"/>
        </w:rPr>
        <w:t>Takvi slučajevi zahtijevaju hitnu medicinsku pomoć koja uključuje primjenu adrenalina i/ili mjere za osiguranje prohodnosti dišnih puteva. Ti pacijenti moraju biti pod stalnim ljekarskim nadzorom sve dok ne dođe do potpunog povlačenja simptoma.</w:t>
      </w:r>
    </w:p>
    <w:p w14:paraId="4A1C8C29">
      <w:pPr>
        <w:shd w:val="clear" w:color="auto" w:fill="FFFFFF"/>
        <w:rPr>
          <w:rFonts w:ascii="Microsoft Sans Serif" w:hAnsi="Microsoft Sans Serif" w:cs="Microsoft Sans Serif"/>
          <w:color w:val="000000"/>
          <w:sz w:val="20"/>
        </w:rPr>
      </w:pPr>
    </w:p>
    <w:p w14:paraId="4439DC02">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Opaženo je kako se angioedem povezan sa primjenom ACE-inhibitora javlja češće kod pacijenata crne rase u odnosu na pacijente drugih rasa.</w:t>
      </w:r>
    </w:p>
    <w:p w14:paraId="5E6DF133">
      <w:pPr>
        <w:shd w:val="clear" w:color="auto" w:fill="FFFFFF"/>
        <w:jc w:val="both"/>
        <w:rPr>
          <w:rFonts w:ascii="Microsoft Sans Serif" w:hAnsi="Microsoft Sans Serif" w:cs="Microsoft Sans Serif"/>
          <w:color w:val="000000"/>
          <w:sz w:val="20"/>
        </w:rPr>
      </w:pPr>
    </w:p>
    <w:p w14:paraId="1BE456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Pacijenti koji u anamnezi navode podatak o angioedemu koji nije u vezi sa prethodnim liječenjem ACE-inhibitorima, mogu imati povećani rizik od razvoja angioedema za vrijeme trajanja liječenja ACE-inhibitorom (pogledati dio </w:t>
      </w:r>
      <w:r>
        <w:rPr>
          <w:rFonts w:ascii="Microsoft Sans Serif" w:hAnsi="Microsoft Sans Serif" w:cs="Microsoft Sans Serif"/>
          <w:iCs/>
          <w:color w:val="000000"/>
          <w:sz w:val="20"/>
        </w:rPr>
        <w:t>4.3).</w:t>
      </w:r>
    </w:p>
    <w:p w14:paraId="7ABA0DC4">
      <w:pPr>
        <w:shd w:val="clear" w:color="auto" w:fill="FFFFFF"/>
        <w:jc w:val="both"/>
        <w:rPr>
          <w:rFonts w:ascii="Microsoft Sans Serif" w:hAnsi="Microsoft Sans Serif" w:cs="Microsoft Sans Serif"/>
          <w:color w:val="000000"/>
          <w:sz w:val="20"/>
        </w:rPr>
      </w:pPr>
    </w:p>
    <w:p w14:paraId="294C3DE2">
      <w:pPr>
        <w:jc w:val="both"/>
        <w:rPr>
          <w:rFonts w:ascii="Microsoft Sans Serif" w:hAnsi="Microsoft Sans Serif" w:cs="Microsoft Sans Serif"/>
          <w:sz w:val="20"/>
          <w:highlight w:val="lightGray"/>
          <w:lang w:val="es-MX"/>
        </w:rPr>
      </w:pPr>
      <w:r>
        <w:rPr>
          <w:rStyle w:val="41"/>
          <w:rFonts w:ascii="Microsoft Sans Serif" w:hAnsi="Microsoft Sans Serif" w:cs="Microsoft Sans Serif"/>
          <w:sz w:val="20"/>
          <w:lang w:val="bs-Latn-BA"/>
        </w:rPr>
        <w:t>Istovremena upotreba ACE inhibitora sa sakubitril/valsartanom je kontraindikovana zbog povišenog rizika od angioedema (pogledati dio 4.3).</w:t>
      </w:r>
      <w:r>
        <w:rPr>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Terapija sa sakubitril/valsartanom ne smije se započeti prije isteka od 36 sati od posljednje doze lizinoprila. Terapija sa lizinoprilom se ne smije započeti prije isteka od 36 sati od posljednje doze sakubitril/valsartana (pogledati dio 4.3 i 4.5) </w:t>
      </w:r>
    </w:p>
    <w:p w14:paraId="4709B84C">
      <w:pPr>
        <w:jc w:val="both"/>
        <w:rPr>
          <w:rFonts w:ascii="Microsoft Sans Serif" w:hAnsi="Microsoft Sans Serif" w:cs="Microsoft Sans Serif"/>
          <w:sz w:val="20"/>
          <w:u w:val="single"/>
          <w:lang w:val="hr-HR"/>
        </w:rPr>
      </w:pPr>
      <w:r>
        <w:rPr>
          <w:rFonts w:ascii="Microsoft Sans Serif" w:hAnsi="Microsoft Sans Serif" w:cs="Microsoft Sans Serif"/>
          <w:color w:val="222222"/>
          <w:sz w:val="20"/>
          <w:lang w:val="bs-Latn-BA"/>
        </w:rPr>
        <w:t xml:space="preserve">Istovremena upotreba ACE inhibitora i racecadotrila, mTOR inhibitora </w:t>
      </w:r>
      <w:r>
        <w:rPr>
          <w:rFonts w:ascii="Microsoft Sans Serif" w:hAnsi="Microsoft Sans Serif" w:cs="Microsoft Sans Serif"/>
          <w:sz w:val="20"/>
          <w:lang w:val="bs-Latn-BA"/>
        </w:rPr>
        <w:t xml:space="preserve">(engl. </w:t>
      </w:r>
      <w:r>
        <w:rPr>
          <w:rFonts w:ascii="Microsoft Sans Serif" w:hAnsi="Microsoft Sans Serif" w:cs="Microsoft Sans Serif"/>
          <w:i/>
          <w:iCs/>
          <w:sz w:val="20"/>
          <w:lang w:val="bs-Latn-BA"/>
        </w:rPr>
        <w:t>mammalian target of rapamycin inhibitor</w:t>
      </w:r>
      <w:r>
        <w:rPr>
          <w:rFonts w:ascii="Microsoft Sans Serif" w:hAnsi="Microsoft Sans Serif" w:cs="Microsoft Sans Serif"/>
          <w:sz w:val="20"/>
          <w:lang w:val="bs-Latn-BA"/>
        </w:rPr>
        <w:t>, inhibitor ciljnog enzima za rapamicin u sisara)</w:t>
      </w:r>
      <w:r>
        <w:rPr>
          <w:rFonts w:ascii="Microsoft Sans Serif" w:hAnsi="Microsoft Sans Serif" w:cs="Microsoft Sans Serif"/>
          <w:color w:val="222222"/>
          <w:sz w:val="20"/>
          <w:lang w:val="bs-Latn-BA"/>
        </w:rPr>
        <w:t xml:space="preserve"> (npr. sirolimus, everolimus, temsirolimus) i vildagliptin mogu dovesti do povećanog rizika za angioedem</w:t>
      </w:r>
      <w:r>
        <w:rPr>
          <w:rFonts w:ascii="Microsoft Sans Serif" w:hAnsi="Microsoft Sans Serif" w:cs="Microsoft Sans Serif"/>
          <w:sz w:val="20"/>
        </w:rPr>
        <w:t xml:space="preserve"> </w:t>
      </w:r>
      <w:r>
        <w:rPr>
          <w:rFonts w:ascii="Microsoft Sans Serif" w:hAnsi="Microsoft Sans Serif" w:cs="Microsoft Sans Serif"/>
          <w:color w:val="222222"/>
          <w:sz w:val="20"/>
          <w:lang w:val="bs-Latn-BA"/>
        </w:rPr>
        <w:t xml:space="preserve">(npr oticanje disajnih puteva ili jezika, sa ili bez oštećenja respiratorne funkcije) (pogledati dio 4.5). </w:t>
      </w:r>
      <w:r>
        <w:rPr>
          <w:rFonts w:ascii="Microsoft Sans Serif" w:hAnsi="Microsoft Sans Serif" w:cs="Microsoft Sans Serif"/>
          <w:sz w:val="20"/>
          <w:lang w:val="bs-Latn-BA"/>
        </w:rPr>
        <w:t>Treba biti na oprezu kada se počinje sa terapijom racecadotrila, mTOR inhibitorima (npr. sirolimus, everolimus, temsirolimus) i vildagliptinom kod pacijenata koji već koriste ACE inhibitore</w:t>
      </w:r>
      <w:r>
        <w:rPr>
          <w:rFonts w:ascii="Microsoft Sans Serif" w:hAnsi="Microsoft Sans Serif" w:cs="Microsoft Sans Serif"/>
          <w:sz w:val="20"/>
          <w:lang w:val="hr-HR"/>
        </w:rPr>
        <w:t>.</w:t>
      </w:r>
    </w:p>
    <w:p w14:paraId="507B4D42">
      <w:pPr>
        <w:rPr>
          <w:rFonts w:ascii="Microsoft Sans Serif" w:hAnsi="Microsoft Sans Serif" w:cs="Microsoft Sans Serif"/>
          <w:bCs/>
          <w:sz w:val="20"/>
        </w:rPr>
      </w:pPr>
    </w:p>
    <w:p w14:paraId="254FBD1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Anafilaktoidna reakcija kod pacijenata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na</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hemodijalizi</w:t>
      </w:r>
    </w:p>
    <w:p w14:paraId="7F16B6B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Anafilaktoidne reakcije</w:t>
      </w:r>
      <w:r>
        <w:rPr>
          <w:rStyle w:val="40"/>
          <w:rFonts w:ascii="Microsoft Sans Serif" w:hAnsi="Microsoft Sans Serif" w:cs="Microsoft Sans Serif"/>
          <w:sz w:val="20"/>
          <w:lang w:val="bs-Latn-BA"/>
        </w:rPr>
        <w:t xml:space="preserve"> su zabilježane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hemodijalizi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visoko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membranama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npr. AN</w:t>
      </w:r>
      <w:r>
        <w:rPr>
          <w:rStyle w:val="41"/>
          <w:rFonts w:ascii="Microsoft Sans Serif" w:hAnsi="Microsoft Sans Serif" w:cs="Microsoft Sans Serif"/>
          <w:sz w:val="20"/>
          <w:lang w:val="bs-Latn-BA"/>
        </w:rPr>
        <w:t>69</w:t>
      </w:r>
      <w:r>
        <w:rPr>
          <w:rStyle w:val="40"/>
          <w:rFonts w:ascii="Microsoft Sans Serif" w:hAnsi="Microsoft Sans Serif" w:cs="Microsoft Sans Serif"/>
          <w:sz w:val="20"/>
          <w:lang w:val="bs-Latn-BA"/>
        </w:rPr>
        <w:t xml:space="preserve">) i koji </w:t>
      </w:r>
      <w:r>
        <w:rPr>
          <w:rStyle w:val="41"/>
          <w:rFonts w:ascii="Microsoft Sans Serif" w:hAnsi="Microsoft Sans Serif" w:cs="Microsoft Sans Serif"/>
          <w:sz w:val="20"/>
          <w:lang w:val="bs-Latn-BA"/>
        </w:rPr>
        <w:t>su istovremeno 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ovih 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preporučuje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w:t>
      </w:r>
      <w:r>
        <w:rPr>
          <w:rStyle w:val="41"/>
          <w:rFonts w:ascii="Microsoft Sans Serif" w:hAnsi="Microsoft Sans Serif" w:cs="Microsoft Sans Serif"/>
          <w:sz w:val="20"/>
          <w:lang w:val="bs-Latn-BA"/>
        </w:rPr>
        <w:t xml:space="preserve"> neke 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dijalizne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membrane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upotreba </w:t>
      </w:r>
      <w:r>
        <w:rPr>
          <w:rStyle w:val="41"/>
          <w:rFonts w:ascii="Microsoft Sans Serif" w:hAnsi="Microsoft Sans Serif" w:cs="Microsoft Sans Serif"/>
          <w:sz w:val="20"/>
          <w:lang w:val="bs-Latn-BA"/>
        </w:rPr>
        <w:t>antihipertenzivnog lijeka iz druge klase</w:t>
      </w:r>
      <w:r>
        <w:rPr>
          <w:rStyle w:val="40"/>
          <w:rFonts w:ascii="Microsoft Sans Serif" w:hAnsi="Microsoft Sans Serif" w:cs="Microsoft Sans Serif"/>
          <w:sz w:val="20"/>
          <w:lang w:val="bs-Latn-BA"/>
        </w:rPr>
        <w:t>.</w:t>
      </w:r>
    </w:p>
    <w:p w14:paraId="256D22CA">
      <w:pPr>
        <w:jc w:val="both"/>
        <w:rPr>
          <w:rFonts w:ascii="Microsoft Sans Serif" w:hAnsi="Microsoft Sans Serif" w:cs="Microsoft Sans Serif"/>
          <w:bCs/>
          <w:sz w:val="20"/>
          <w:lang w:val="bs-Latn-BA"/>
        </w:rPr>
      </w:pPr>
    </w:p>
    <w:p w14:paraId="66DC66CA">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Anafilaktoidne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reakcije</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tokom</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LDL</w:t>
      </w:r>
      <w:r>
        <w:rPr>
          <w:rStyle w:val="40"/>
          <w:rFonts w:ascii="Microsoft Sans Serif" w:hAnsi="Microsoft Sans Serif" w:cs="Microsoft Sans Serif"/>
          <w:b/>
          <w:sz w:val="20"/>
          <w:lang w:val="bs-Latn-BA"/>
        </w:rPr>
        <w:t xml:space="preserve"> </w:t>
      </w:r>
      <w:r>
        <w:rPr>
          <w:rStyle w:val="41"/>
          <w:rFonts w:ascii="Microsoft Sans Serif" w:hAnsi="Microsoft Sans Serif" w:cs="Microsoft Sans Serif"/>
          <w:b/>
          <w:sz w:val="20"/>
          <w:lang w:val="bs-Latn-BA"/>
        </w:rPr>
        <w:t>afereze</w:t>
      </w:r>
    </w:p>
    <w:p w14:paraId="30603132">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 xml:space="preserve"> sa </w:t>
      </w:r>
      <w:r>
        <w:rPr>
          <w:rStyle w:val="41"/>
          <w:rFonts w:ascii="Microsoft Sans Serif" w:hAnsi="Microsoft Sans Serif" w:cs="Microsoft Sans Serif"/>
          <w:sz w:val="20"/>
          <w:lang w:val="bs-Latn-BA"/>
        </w:rPr>
        <w:t>lipoproteinima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niskom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propusnosti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LDL)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dekstran-sulfatom,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primijećene su 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ugrožavaju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život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mogu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afereze</w:t>
      </w:r>
      <w:r>
        <w:rPr>
          <w:rStyle w:val="40"/>
          <w:rFonts w:ascii="Microsoft Sans Serif" w:hAnsi="Microsoft Sans Serif" w:cs="Microsoft Sans Serif"/>
          <w:sz w:val="20"/>
          <w:lang w:val="bs-Latn-BA"/>
        </w:rPr>
        <w:t>.</w:t>
      </w:r>
    </w:p>
    <w:p w14:paraId="754C0E86">
      <w:pPr>
        <w:jc w:val="both"/>
        <w:rPr>
          <w:rStyle w:val="40"/>
          <w:rFonts w:ascii="Microsoft Sans Serif" w:hAnsi="Microsoft Sans Serif" w:cs="Microsoft Sans Serif"/>
          <w:b/>
          <w:sz w:val="20"/>
          <w:lang w:val="bs-Latn-BA"/>
        </w:rPr>
      </w:pPr>
    </w:p>
    <w:p w14:paraId="0C2A409D">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Desenzibilizacija</w:t>
      </w:r>
    </w:p>
    <w:p w14:paraId="4BFD7F88">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koji primaju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toksine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himenoptere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npr. </w:t>
      </w:r>
      <w:r>
        <w:rPr>
          <w:rStyle w:val="41"/>
          <w:rFonts w:ascii="Microsoft Sans Serif" w:hAnsi="Microsoft Sans Serif" w:cs="Microsoft Sans Serif"/>
          <w:sz w:val="20"/>
          <w:lang w:val="bs-Latn-BA"/>
        </w:rPr>
        <w:t>otrov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pčela ili osa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zabilježene</w:t>
      </w:r>
      <w:r>
        <w:rPr>
          <w:rStyle w:val="40"/>
          <w:rFonts w:ascii="Microsoft Sans Serif" w:hAnsi="Microsoft Sans Serif" w:cs="Microsoft Sans Serif"/>
          <w:sz w:val="20"/>
          <w:lang w:val="bs-Latn-BA"/>
        </w:rPr>
        <w:t xml:space="preserve"> su </w:t>
      </w:r>
      <w:r>
        <w:rPr>
          <w:rStyle w:val="41"/>
          <w:rFonts w:ascii="Microsoft Sans Serif" w:hAnsi="Microsoft Sans Serif" w:cs="Microsoft Sans Serif"/>
          <w:sz w:val="20"/>
          <w:lang w:val="bs-Latn-BA"/>
        </w:rPr>
        <w:t>anafilaktoidne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reakcije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mogu izbjeći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privremenim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-inhibitorima </w:t>
      </w:r>
      <w:r>
        <w:rPr>
          <w:rStyle w:val="41"/>
          <w:rFonts w:ascii="Microsoft Sans Serif" w:hAnsi="Microsoft Sans Serif" w:cs="Microsoft Sans Serif"/>
          <w:sz w:val="20"/>
          <w:lang w:val="bs-Latn-BA"/>
        </w:rPr>
        <w:t>prije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svake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desenzibilizacije ali one se ponovo pojavljuju kada se nehotice ponovo aplicira medicinski proizvod</w:t>
      </w:r>
      <w:r>
        <w:rPr>
          <w:rStyle w:val="40"/>
          <w:rFonts w:ascii="Microsoft Sans Serif" w:hAnsi="Microsoft Sans Serif" w:cs="Microsoft Sans Serif"/>
          <w:sz w:val="20"/>
          <w:lang w:val="bs-Latn-BA"/>
        </w:rPr>
        <w:t>.</w:t>
      </w:r>
    </w:p>
    <w:p w14:paraId="57127397">
      <w:pPr>
        <w:jc w:val="both"/>
        <w:rPr>
          <w:rStyle w:val="40"/>
          <w:rFonts w:ascii="Microsoft Sans Serif" w:hAnsi="Microsoft Sans Serif" w:cs="Microsoft Sans Serif"/>
          <w:b/>
          <w:sz w:val="20"/>
          <w:lang w:val="bs-Latn-BA"/>
        </w:rPr>
      </w:pPr>
    </w:p>
    <w:p w14:paraId="79E947AF">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Insuficijencija jetre</w:t>
      </w:r>
    </w:p>
    <w:p w14:paraId="057010F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vrlo rijetkim slučajevima primjena ACE-inhibitora bila je povezana sa sindromom koji je započeo pojavom holestatske žutice te zatim progresijom do fulminantne nekroze jetre i (ponekad) smrtnog ishoda. Mehanizam nastanka spomenutog sindroma nije objašnjen. Pacijenti koji primjenjuju lizinopril kod kojih se razvije žutica ili se javi značajan porast vrijednosti jetrenih enzima moraju prestati uzimati lizinopril te biti pod odgovarajućim ljekarskim nadzorom.</w:t>
      </w:r>
    </w:p>
    <w:p w14:paraId="3748A309">
      <w:pPr>
        <w:jc w:val="both"/>
        <w:rPr>
          <w:rStyle w:val="40"/>
          <w:rFonts w:ascii="Microsoft Sans Serif" w:hAnsi="Microsoft Sans Serif" w:cs="Microsoft Sans Serif"/>
          <w:b/>
          <w:sz w:val="20"/>
          <w:shd w:val="clear" w:color="auto" w:fill="FFFFFF"/>
          <w:lang w:val="bs-Latn-BA"/>
        </w:rPr>
      </w:pPr>
    </w:p>
    <w:p w14:paraId="78A36409">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Neutropenija/agranulocitoza</w:t>
      </w:r>
    </w:p>
    <w:p w14:paraId="2F41B052">
      <w:pPr>
        <w:jc w:val="both"/>
        <w:rPr>
          <w:rFonts w:ascii="Microsoft Sans Serif" w:hAnsi="Microsoft Sans Serif" w:cs="Microsoft Sans Serif"/>
          <w:sz w:val="20"/>
        </w:rPr>
      </w:pPr>
      <w:r>
        <w:rPr>
          <w:rFonts w:ascii="Microsoft Sans Serif" w:hAnsi="Microsoft Sans Serif" w:cs="Microsoft Sans Serif"/>
          <w:color w:val="000000"/>
          <w:sz w:val="20"/>
        </w:rPr>
        <w:t>Neutropenija/agranulocitoza, trombocitopenija i anemija su opisane kod pacijenata koji su na terapiji ACE-inhibitora. Kod pacijenata sa normalnom funkcijom bubrega bez drugih komplikacija, neutropenija se javlja rijetko. Neutropenija i agranulocitoza su reverzibilne nakon prekida primjene ACE-inhibitora. Lizinopril se mora primjenjivati sa posebnim oprezom kod pacijenata sa kolagenom vaskularnom bolešću, kod onih koji dobivaju imunosupresivnu terapiju, kod onih koji su na terapiji alopurinolom ili prokainamidom ili kod pacijenata koji imaju kombinaciju spomenutih faktora rizika, naročito ukoliko postoji prethodno</w:t>
      </w:r>
      <w:r>
        <w:rPr>
          <w:rFonts w:ascii="Microsoft Sans Serif" w:hAnsi="Microsoft Sans Serif" w:cs="Microsoft Sans Serif"/>
          <w:color w:val="000000"/>
          <w:sz w:val="20"/>
          <w:lang w:val="mk-MK"/>
        </w:rPr>
        <w:t xml:space="preserve"> </w:t>
      </w:r>
      <w:r>
        <w:rPr>
          <w:rFonts w:ascii="Microsoft Sans Serif" w:hAnsi="Microsoft Sans Serif" w:cs="Microsoft Sans Serif"/>
          <w:color w:val="000000"/>
          <w:sz w:val="20"/>
          <w:lang w:val="hr-BA"/>
        </w:rPr>
        <w:t xml:space="preserve">poremećenje </w:t>
      </w:r>
      <w:r>
        <w:rPr>
          <w:rFonts w:ascii="Microsoft Sans Serif" w:hAnsi="Microsoft Sans Serif" w:cs="Microsoft Sans Serif"/>
          <w:color w:val="000000"/>
          <w:sz w:val="20"/>
        </w:rPr>
        <w:t>funkcije bubrega. Neki od spomenutih pacijenata razvili su teške infekcije, koje u nekoliko slučajeva nisu reagirale na intenzivnu antibiotsku terapiju. Ukoliko se lizinopril primjenjuje kod tih pacijenata, preporučuje se povremeno praćenje broja leukocita, a pacijenti se moraju upozoriti da obavijeste ljekara o svakom znaku moguće infekcije.</w:t>
      </w:r>
    </w:p>
    <w:p w14:paraId="061607CB">
      <w:pPr>
        <w:jc w:val="both"/>
        <w:rPr>
          <w:rFonts w:ascii="Microsoft Sans Serif" w:hAnsi="Microsoft Sans Serif" w:cs="Microsoft Sans Serif"/>
          <w:b/>
          <w:sz w:val="20"/>
        </w:rPr>
      </w:pPr>
    </w:p>
    <w:p w14:paraId="1635AD99">
      <w:pPr>
        <w:pStyle w:val="38"/>
        <w:jc w:val="both"/>
        <w:rPr>
          <w:rFonts w:ascii="Microsoft Sans Serif" w:hAnsi="Microsoft Sans Serif" w:cs="Microsoft Sans Serif"/>
          <w:b/>
          <w:sz w:val="20"/>
          <w:szCs w:val="20"/>
        </w:rPr>
      </w:pPr>
      <w:r>
        <w:rPr>
          <w:rFonts w:ascii="Microsoft Sans Serif" w:hAnsi="Microsoft Sans Serif" w:cs="Microsoft Sans Serif"/>
          <w:b/>
          <w:iCs/>
          <w:sz w:val="20"/>
          <w:szCs w:val="20"/>
        </w:rPr>
        <w:t xml:space="preserve">Dvostruka blokada renin-angiotenzin-aldosteronskog sistema (RAAS) </w:t>
      </w:r>
    </w:p>
    <w:p w14:paraId="24517890">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Postoje dokazi da istovremena primjena ACE inhibitora, blokatora angiotenzin II receptora ili aliskirena povećava rizik od hipotenzije, hiperkalemije i smanjene bubrežne funkcije (uključujući akutnu insuficijenciju bubrega). Dvostruka blokada RAAS-a kombiniranom primjenom ACE inhibitora, blokatora angiotenzin II receptora ili aliskirena stoga se ne preporučuje (pogledati dijelove 4.5 i 5.1). </w:t>
      </w:r>
    </w:p>
    <w:p w14:paraId="648AE5B5">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Ako se terapija dvostrukom blokadom smatra apsolutno nužnom, smije se samo provoditi pod nadzorom specijalista i uz pažljivo praćenje bubrežne funkcije, elektrolita i krvnog pritiska.</w:t>
      </w:r>
    </w:p>
    <w:p w14:paraId="3F9B2FD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ne smiju se primjenjivati istovremeno kod pacijenata sa dijabetičkom nefropatijom.</w:t>
      </w:r>
    </w:p>
    <w:p w14:paraId="3F8711D7">
      <w:pPr>
        <w:jc w:val="both"/>
        <w:rPr>
          <w:rStyle w:val="40"/>
          <w:rFonts w:ascii="Microsoft Sans Serif" w:hAnsi="Microsoft Sans Serif" w:cs="Microsoft Sans Serif"/>
          <w:b/>
          <w:sz w:val="20"/>
          <w:lang w:val="bs-Latn-BA"/>
        </w:rPr>
      </w:pPr>
    </w:p>
    <w:p w14:paraId="3BC42A91">
      <w:pPr>
        <w:shd w:val="clear" w:color="auto" w:fill="FFFFFF"/>
        <w:jc w:val="both"/>
        <w:rPr>
          <w:rFonts w:ascii="Microsoft Sans Serif" w:hAnsi="Microsoft Sans Serif" w:cs="Microsoft Sans Serif"/>
          <w:sz w:val="20"/>
        </w:rPr>
      </w:pPr>
      <w:r>
        <w:rPr>
          <w:rStyle w:val="40"/>
          <w:rFonts w:ascii="Microsoft Sans Serif" w:hAnsi="Microsoft Sans Serif" w:cs="Microsoft Sans Serif"/>
          <w:b/>
          <w:sz w:val="20"/>
          <w:lang w:val="bs-Latn-BA"/>
        </w:rPr>
        <w:t xml:space="preserve">Rasa </w:t>
      </w:r>
      <w:r>
        <w:rPr>
          <w:rFonts w:ascii="Microsoft Sans Serif" w:hAnsi="Microsoft Sans Serif" w:cs="Microsoft Sans Serif"/>
          <w:b/>
          <w:sz w:val="20"/>
          <w:lang w:val="bs-Latn-BA"/>
        </w:rPr>
        <w:br w:type="textWrapping"/>
      </w:r>
      <w:r>
        <w:rPr>
          <w:rFonts w:ascii="Microsoft Sans Serif" w:hAnsi="Microsoft Sans Serif" w:cs="Microsoft Sans Serif"/>
          <w:color w:val="000000"/>
          <w:sz w:val="20"/>
        </w:rPr>
        <w:t>ACE-inhibitori uzrokuju veću učestalost angioedema kod pacijenata crne rase u odnosu na pripadnike drugih rasa.</w:t>
      </w:r>
    </w:p>
    <w:p w14:paraId="6FA1BEC3">
      <w:pPr>
        <w:jc w:val="both"/>
        <w:rPr>
          <w:rFonts w:ascii="Microsoft Sans Serif" w:hAnsi="Microsoft Sans Serif" w:cs="Microsoft Sans Serif"/>
          <w:b/>
          <w:bCs/>
          <w:sz w:val="20"/>
          <w:lang w:val="bs-Latn-BA"/>
        </w:rPr>
      </w:pPr>
      <w:r>
        <w:rPr>
          <w:rStyle w:val="40"/>
          <w:rFonts w:ascii="Microsoft Sans Serif" w:hAnsi="Microsoft Sans Serif" w:cs="Microsoft Sans Serif"/>
          <w:sz w:val="20"/>
          <w:shd w:val="clear" w:color="auto" w:fill="FFFFFF"/>
          <w:lang w:val="bs-Latn-BA"/>
        </w:rPr>
        <w:t>Kao i kod ostalih ACE-inhibitora, i lizinopril može biti manje efikasan u snižavanju krvnog pritiska kod pacijenata crne rase, u poređenju sa pacijentima ostale rase, vjerovatno zbog veće učestalosti niskog nivoa renina kod hipertenzivnih pacijenata crne rase.</w:t>
      </w:r>
    </w:p>
    <w:p w14:paraId="2B20209F">
      <w:pPr>
        <w:jc w:val="both"/>
        <w:rPr>
          <w:rFonts w:ascii="Microsoft Sans Serif" w:hAnsi="Microsoft Sans Serif" w:cs="Microsoft Sans Serif"/>
          <w:b/>
          <w:sz w:val="20"/>
        </w:rPr>
      </w:pPr>
    </w:p>
    <w:p w14:paraId="0A904F41">
      <w:pPr>
        <w:jc w:val="both"/>
        <w:rPr>
          <w:rStyle w:val="41"/>
          <w:rFonts w:ascii="Microsoft Sans Serif" w:hAnsi="Microsoft Sans Serif" w:cs="Microsoft Sans Serif"/>
          <w:b/>
          <w:sz w:val="20"/>
          <w:lang w:val="bs-Latn-BA"/>
        </w:rPr>
      </w:pPr>
      <w:r>
        <w:rPr>
          <w:rStyle w:val="41"/>
          <w:rFonts w:ascii="Microsoft Sans Serif" w:hAnsi="Microsoft Sans Serif" w:cs="Microsoft Sans Serif"/>
          <w:b/>
          <w:sz w:val="20"/>
          <w:lang w:val="bs-Latn-BA"/>
        </w:rPr>
        <w:t>Kašalj</w:t>
      </w:r>
    </w:p>
    <w:p w14:paraId="5D3D1BC5">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Zabilježen je kašalj prilikom upotrebe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-inhibitori. </w:t>
      </w:r>
      <w:r>
        <w:rPr>
          <w:rStyle w:val="41"/>
          <w:rFonts w:ascii="Microsoft Sans Serif" w:hAnsi="Microsoft Sans Serif" w:cs="Microsoft Sans Serif"/>
          <w:sz w:val="20"/>
          <w:lang w:val="bs-Latn-BA"/>
        </w:rPr>
        <w:t>Karakteristično, kašalj 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neproduktivan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uporni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 povlači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prekida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uzrokovan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uzeti 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obzir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postavljanja diferencijalnoj dijagnozi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vrste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kašlja</w:t>
      </w:r>
      <w:r>
        <w:rPr>
          <w:rStyle w:val="40"/>
          <w:rFonts w:ascii="Microsoft Sans Serif" w:hAnsi="Microsoft Sans Serif" w:cs="Microsoft Sans Serif"/>
          <w:sz w:val="20"/>
          <w:lang w:val="bs-Latn-BA"/>
        </w:rPr>
        <w:t>.</w:t>
      </w:r>
    </w:p>
    <w:p w14:paraId="0C5F4663">
      <w:pPr>
        <w:jc w:val="both"/>
        <w:rPr>
          <w:rFonts w:ascii="Microsoft Sans Serif" w:hAnsi="Microsoft Sans Serif" w:cs="Microsoft Sans Serif"/>
          <w:b/>
          <w:sz w:val="20"/>
          <w:lang w:val="bs-Latn-BA"/>
        </w:rPr>
      </w:pPr>
    </w:p>
    <w:p w14:paraId="3E1BF412">
      <w:pPr>
        <w:jc w:val="both"/>
        <w:rPr>
          <w:rStyle w:val="40"/>
          <w:rFonts w:ascii="Microsoft Sans Serif" w:hAnsi="Microsoft Sans Serif" w:cs="Microsoft Sans Serif"/>
          <w:b/>
          <w:sz w:val="20"/>
          <w:shd w:val="clear" w:color="auto" w:fill="FFFFFF"/>
          <w:lang w:val="bs-Latn-BA"/>
        </w:rPr>
      </w:pPr>
      <w:r>
        <w:rPr>
          <w:rStyle w:val="40"/>
          <w:rFonts w:ascii="Microsoft Sans Serif" w:hAnsi="Microsoft Sans Serif" w:cs="Microsoft Sans Serif"/>
          <w:b/>
          <w:sz w:val="20"/>
          <w:shd w:val="clear" w:color="auto" w:fill="FFFFFF"/>
          <w:lang w:val="bs-Latn-BA"/>
        </w:rPr>
        <w:t>Hirurška intervencija/anestezija</w:t>
      </w:r>
    </w:p>
    <w:p w14:paraId="516F218B">
      <w:pPr>
        <w:rPr>
          <w:rFonts w:ascii="Microsoft Sans Serif" w:hAnsi="Microsoft Sans Serif" w:cs="Microsoft Sans Serif"/>
          <w:b/>
          <w:sz w:val="20"/>
          <w:lang w:val="en"/>
        </w:rPr>
      </w:pPr>
      <w:r>
        <w:rPr>
          <w:rStyle w:val="40"/>
          <w:rFonts w:ascii="Microsoft Sans Serif" w:hAnsi="Microsoft Sans Serif" w:cs="Microsoft Sans Serif"/>
          <w:sz w:val="20"/>
          <w:shd w:val="clear" w:color="auto" w:fill="FFFFFF"/>
          <w:lang w:val="bs-Latn-BA"/>
        </w:rPr>
        <w:t xml:space="preserve">Kod pacijenata podvrgnutih velikoj hirurškoj intervenciji ili tokom anestezije pomoću lijekova koji uzrokuju hipotenziju, lizinopril može da blokira stvaranje angiotenzina II sekundarnokao posljedica kompenzatornog oslobađanja renina. Ovaj mehanizam može dovesti do hipotenzije koja se koriguje ekspanzijom volumena. </w:t>
      </w:r>
      <w:r>
        <w:rPr>
          <w:rFonts w:ascii="Microsoft Sans Serif" w:hAnsi="Microsoft Sans Serif" w:cs="Microsoft Sans Serif"/>
          <w:sz w:val="20"/>
          <w:shd w:val="clear" w:color="auto" w:fill="FFFFFF"/>
          <w:lang w:val="bs-Latn-BA"/>
        </w:rPr>
        <w:br w:type="textWrapping"/>
      </w:r>
    </w:p>
    <w:p w14:paraId="2F66A485">
      <w:pPr>
        <w:rPr>
          <w:rFonts w:ascii="Microsoft Sans Serif" w:hAnsi="Microsoft Sans Serif" w:cs="Microsoft Sans Serif"/>
          <w:b/>
          <w:sz w:val="20"/>
          <w:lang w:val="hr-HR"/>
        </w:rPr>
      </w:pPr>
      <w:r>
        <w:rPr>
          <w:rFonts w:ascii="Microsoft Sans Serif" w:hAnsi="Microsoft Sans Serif" w:cs="Microsoft Sans Serif"/>
          <w:b/>
          <w:sz w:val="20"/>
          <w:lang w:val="hr-HR"/>
        </w:rPr>
        <w:t>Kalijum u serumu</w:t>
      </w:r>
    </w:p>
    <w:p w14:paraId="2A11ED59">
      <w:pPr>
        <w:shd w:val="clear" w:color="auto" w:fill="FFFFFF"/>
        <w:jc w:val="both"/>
        <w:rPr>
          <w:rFonts w:ascii="Microsoft Sans Serif" w:hAnsi="Microsoft Sans Serif" w:cs="Microsoft Sans Serif"/>
          <w:color w:val="000000"/>
          <w:sz w:val="20"/>
          <w:lang w:val="en-US"/>
        </w:rPr>
      </w:pPr>
      <w:r>
        <w:rPr>
          <w:rFonts w:ascii="Microsoft Sans Serif" w:hAnsi="Microsoft Sans Serif" w:cs="Microsoft Sans Serif"/>
          <w:sz w:val="20"/>
          <w:lang w:val="bs-Latn-BA"/>
        </w:rPr>
        <w:t>ACE inhibitori mogu izazvati hiperkalijemiju jer inhibiraju oslobadjanje aldosterona. Posljedica ovoga uobičajeno nije značajna kod pacijenata sa normalnom renalnom funkcijom</w:t>
      </w:r>
      <w:r>
        <w:rPr>
          <w:rFonts w:ascii="Microsoft Sans Serif" w:hAnsi="Microsoft Sans Serif" w:cs="Microsoft Sans Serif"/>
          <w:color w:val="000000"/>
          <w:sz w:val="20"/>
        </w:rPr>
        <w:t xml:space="preserve">. Međutim, </w:t>
      </w:r>
      <w:r>
        <w:rPr>
          <w:rFonts w:ascii="Microsoft Sans Serif" w:hAnsi="Microsoft Sans Serif" w:cs="Microsoft Sans Serif"/>
          <w:sz w:val="20"/>
          <w:lang w:val="bs-Latn-BA"/>
        </w:rPr>
        <w:t>hiperkalijemija se može pojaviti</w:t>
      </w:r>
      <w:r>
        <w:rPr>
          <w:rFonts w:ascii="Microsoft Sans Serif" w:hAnsi="Microsoft Sans Serif" w:cs="Microsoft Sans Serif"/>
          <w:color w:val="000000"/>
          <w:sz w:val="20"/>
        </w:rPr>
        <w:t xml:space="preserve"> kod pacijenata sa oslabljenim radom bubrega, dijabetesom i/ili kod pacijenata koji primjenjuju suplemente kalijuma (uključujujući zamjene za so), diuretike koji štede kalijum (npr. spirinolakton, triamteren ili amilorid), druge lijekove koji mogu povećati nivo kalijuma u serumu (npr. heparin, trimetoprim ili kotrimoksazol takođe poznat kao trimetoprim/sulfametoksazol)</w:t>
      </w:r>
      <w:r>
        <w:rPr>
          <w:rFonts w:ascii="Microsoft Sans Serif" w:hAnsi="Microsoft Sans Serif" w:cs="Microsoft Sans Serif"/>
          <w:sz w:val="20"/>
          <w:lang w:val="bs-Latn-BA"/>
        </w:rPr>
        <w:t xml:space="preserve"> i naročito antagoniste aldosterona ili blokatore angitenzin receptora. Diuretike koje </w:t>
      </w:r>
      <w:r>
        <w:rPr>
          <w:rFonts w:ascii="Microsoft Sans Serif" w:hAnsi="Microsoft Sans Serif" w:cs="Microsoft Sans Serif"/>
          <w:sz w:val="20"/>
          <w:lang w:val="hr-BA"/>
        </w:rPr>
        <w:t>štede kalijum i blokatore angiorenzin receptora treba upotrebljavati sa oprezom kod pacijenata koji su na terapiji sa ACE-inhibitorima,</w:t>
      </w:r>
      <w:r>
        <w:rPr>
          <w:rFonts w:ascii="Microsoft Sans Serif" w:hAnsi="Microsoft Sans Serif" w:cs="Microsoft Sans Serif"/>
          <w:sz w:val="20"/>
          <w:lang w:val="bs-Latn-BA"/>
        </w:rPr>
        <w:t xml:space="preserve"> i mora se pratiti</w:t>
      </w:r>
      <w:r>
        <w:rPr>
          <w:rFonts w:ascii="Microsoft Sans Serif" w:hAnsi="Microsoft Sans Serif" w:cs="Microsoft Sans Serif"/>
          <w:color w:val="000000"/>
          <w:sz w:val="20"/>
        </w:rPr>
        <w:t xml:space="preserve"> </w:t>
      </w:r>
      <w:r>
        <w:rPr>
          <w:rFonts w:ascii="Microsoft Sans Serif" w:hAnsi="Microsoft Sans Serif" w:cs="Microsoft Sans Serif"/>
          <w:sz w:val="20"/>
          <w:lang w:val="bs-Latn-BA"/>
        </w:rPr>
        <w:t xml:space="preserve">kalijum u serumu i rad bubrega </w:t>
      </w:r>
      <w:r>
        <w:rPr>
          <w:rFonts w:ascii="Microsoft Sans Serif" w:hAnsi="Microsoft Sans Serif" w:cs="Microsoft Sans Serif"/>
          <w:color w:val="000000"/>
          <w:sz w:val="20"/>
        </w:rPr>
        <w:t>(pogledati dio  4.5).</w:t>
      </w:r>
    </w:p>
    <w:p w14:paraId="6CA93B54">
      <w:pPr>
        <w:shd w:val="clear" w:color="auto" w:fill="FFFFFF"/>
        <w:jc w:val="both"/>
        <w:rPr>
          <w:rFonts w:ascii="Microsoft Sans Serif" w:hAnsi="Microsoft Sans Serif" w:cs="Microsoft Sans Serif"/>
          <w:bCs/>
          <w:i/>
          <w:color w:val="000000"/>
          <w:sz w:val="20"/>
        </w:rPr>
      </w:pPr>
    </w:p>
    <w:p w14:paraId="3355F323">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Pacijenti sa dijabetesom</w:t>
      </w:r>
    </w:p>
    <w:p w14:paraId="035D55A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dijabetesom koji uzimaju oralne antidijabetike ili insulin, tokom prvih mjeseci primjene ACE-inhibitora mora se provoditi pažljiva kontrola glikemije (pogledati dio 4.5</w:t>
      </w:r>
      <w:r>
        <w:rPr>
          <w:rFonts w:ascii="Microsoft Sans Serif" w:hAnsi="Microsoft Sans Serif" w:cs="Microsoft Sans Serif"/>
          <w:iCs/>
          <w:color w:val="000000"/>
          <w:sz w:val="20"/>
        </w:rPr>
        <w:t>).</w:t>
      </w:r>
    </w:p>
    <w:p w14:paraId="2EAC2D55">
      <w:pPr>
        <w:rPr>
          <w:rFonts w:ascii="Microsoft Sans Serif" w:hAnsi="Microsoft Sans Serif" w:cs="Microsoft Sans Serif"/>
          <w:b/>
          <w:bCs/>
          <w:sz w:val="20"/>
          <w:lang w:val="en"/>
        </w:rPr>
      </w:pPr>
    </w:p>
    <w:p w14:paraId="1E53CFCD">
      <w:pPr>
        <w:rPr>
          <w:rFonts w:ascii="Microsoft Sans Serif" w:hAnsi="Microsoft Sans Serif" w:cs="Microsoft Sans Serif"/>
          <w:sz w:val="20"/>
          <w:lang w:val="en"/>
        </w:rPr>
      </w:pPr>
      <w:r>
        <w:rPr>
          <w:rFonts w:ascii="Microsoft Sans Serif" w:hAnsi="Microsoft Sans Serif" w:cs="Microsoft Sans Serif"/>
          <w:b/>
          <w:bCs/>
          <w:sz w:val="20"/>
          <w:lang w:val="en"/>
        </w:rPr>
        <w:t>Litijum</w:t>
      </w:r>
    </w:p>
    <w:p w14:paraId="1057AE9D">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Ne preporučuje se istovremena primjena lizinoprila i litijuma (pogledati dio 4.5).</w:t>
      </w:r>
    </w:p>
    <w:p w14:paraId="0ED266EC">
      <w:pPr>
        <w:rPr>
          <w:rFonts w:ascii="Microsoft Sans Serif" w:hAnsi="Microsoft Sans Serif" w:cs="Microsoft Sans Serif"/>
          <w:b/>
          <w:bCs/>
          <w:sz w:val="20"/>
          <w:lang w:val="en"/>
        </w:rPr>
      </w:pPr>
    </w:p>
    <w:p w14:paraId="38C333D1">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b/>
          <w:sz w:val="20"/>
          <w:shd w:val="clear" w:color="auto" w:fill="FFFFFF"/>
          <w:lang w:val="bs-Latn-BA"/>
        </w:rPr>
        <w:t xml:space="preserve">Trudnoća </w:t>
      </w:r>
      <w:r>
        <w:rPr>
          <w:rFonts w:ascii="Microsoft Sans Serif" w:hAnsi="Microsoft Sans Serif" w:cs="Microsoft Sans Serif"/>
          <w:b/>
          <w:sz w:val="20"/>
          <w:shd w:val="clear" w:color="auto" w:fill="FFFFFF"/>
          <w:lang w:val="bs-Latn-BA"/>
        </w:rPr>
        <w:br w:type="textWrapping"/>
      </w:r>
      <w:r>
        <w:rPr>
          <w:rStyle w:val="40"/>
          <w:rFonts w:ascii="Microsoft Sans Serif" w:hAnsi="Microsoft Sans Serif" w:cs="Microsoft Sans Serif"/>
          <w:sz w:val="20"/>
          <w:shd w:val="clear" w:color="auto" w:fill="FFFFFF"/>
          <w:lang w:val="bs-Latn-BA"/>
        </w:rPr>
        <w:t>Ne treba započinjati liječenje sa ACE-inhibitorima tokom trudnoće. Ukoliko se terapija sa ACE-inhibitorima smatra nužnom, pacijentkinje koje planiraju trudnoću treba da pređu na druge antihipertenzivne terapije sa dobro utvrđenim bezbjednosnim profilom za primjenu u trudnoći. Kada se trudnoća potvrdi, liječenje ACE-inhibitorima treba prekinuti odmah, i ako postoji mogućnost da se počne sa odgovaraju</w:t>
      </w:r>
      <w:r>
        <w:rPr>
          <w:rStyle w:val="40"/>
          <w:rFonts w:ascii="Microsoft Sans Serif" w:hAnsi="Microsoft Sans Serif" w:cs="Microsoft Sans Serif"/>
          <w:sz w:val="20"/>
          <w:shd w:val="clear" w:color="auto" w:fill="FFFFFF"/>
          <w:lang w:val="hr-BA"/>
        </w:rPr>
        <w:t>ćom alternativnom</w:t>
      </w:r>
      <w:r>
        <w:rPr>
          <w:rStyle w:val="40"/>
          <w:rFonts w:ascii="Microsoft Sans Serif" w:hAnsi="Microsoft Sans Serif" w:cs="Microsoft Sans Serif"/>
          <w:sz w:val="20"/>
          <w:shd w:val="clear" w:color="auto" w:fill="FFFFFF"/>
          <w:lang w:val="bs-Latn-BA"/>
        </w:rPr>
        <w:t xml:space="preserve"> terapijom (pogledati dijelove 4.3. i 4.6).</w:t>
      </w:r>
    </w:p>
    <w:p w14:paraId="33A7A8BA">
      <w:pPr>
        <w:pStyle w:val="13"/>
        <w:ind w:left="0"/>
        <w:rPr>
          <w:rFonts w:ascii="Microsoft Sans Serif" w:hAnsi="Microsoft Sans Serif" w:cs="Microsoft Sans Serif"/>
          <w:color w:val="auto"/>
          <w:sz w:val="20"/>
          <w:szCs w:val="20"/>
        </w:rPr>
      </w:pPr>
    </w:p>
    <w:p w14:paraId="4200AC3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Interakcije sa drugim lijekovima i  drugi oblici interakcija </w:t>
      </w:r>
    </w:p>
    <w:p w14:paraId="2EDB2F6B">
      <w:pPr>
        <w:jc w:val="both"/>
        <w:rPr>
          <w:rFonts w:ascii="Microsoft Sans Serif" w:hAnsi="Microsoft Sans Serif" w:cs="Microsoft Sans Serif"/>
          <w:b/>
          <w:sz w:val="20"/>
          <w:lang w:val="sr-Latn-BA"/>
        </w:rPr>
      </w:pPr>
    </w:p>
    <w:p w14:paraId="29B6DE42">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Ostali antihipertenzivi</w:t>
      </w:r>
    </w:p>
    <w:p w14:paraId="67796144">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 xml:space="preserve">Kada se lizinopril kombinuje u terapiji sa drugim antihipertenzivima, </w:t>
      </w:r>
      <w:r>
        <w:rPr>
          <w:rFonts w:ascii="Microsoft Sans Serif" w:hAnsi="Microsoft Sans Serif" w:cs="Microsoft Sans Serif"/>
          <w:color w:val="000000"/>
          <w:sz w:val="20"/>
        </w:rPr>
        <w:t>(npr. gliceril trinitrata kao i drugih nitrata ili drugih vazodilatatora)</w:t>
      </w:r>
      <w:r>
        <w:rPr>
          <w:rStyle w:val="40"/>
          <w:rFonts w:ascii="Microsoft Sans Serif" w:hAnsi="Microsoft Sans Serif" w:cs="Microsoft Sans Serif"/>
          <w:sz w:val="20"/>
          <w:shd w:val="clear" w:color="auto" w:fill="FFFFFF"/>
          <w:lang w:val="bs-Latn-BA"/>
        </w:rPr>
        <w:t xml:space="preserve">, antihipertenzivni efekat je obično aditivan. </w:t>
      </w:r>
    </w:p>
    <w:p w14:paraId="267793D5">
      <w:pPr>
        <w:shd w:val="clear" w:color="auto" w:fill="FFFFFF"/>
        <w:jc w:val="both"/>
        <w:rPr>
          <w:rFonts w:ascii="Microsoft Sans Serif" w:hAnsi="Microsoft Sans Serif" w:cs="Microsoft Sans Serif"/>
          <w:iCs/>
          <w:sz w:val="20"/>
        </w:rPr>
      </w:pPr>
      <w:r>
        <w:rPr>
          <w:rFonts w:ascii="Microsoft Sans Serif" w:hAnsi="Microsoft Sans Serif" w:cs="Microsoft Sans Serif"/>
          <w:iCs/>
          <w:sz w:val="20"/>
        </w:rPr>
        <w:t>Podaci iz kliničkih ispitivanja pokazali su da je dvostruka blokada renin-angiotenzin-aldosteronskog sistema (RAAS) preko kombiniranom primjenom ACE inhibitora, blokatora angiotenzin II receptora ili aliskirena povezana sa većom učestalošću štetnih događaja kao što su hipotenzija, hiperkalemija i smanjena bubrežna funkcija (uključujući akutnu insuficijenciju bubrega) u usporedbi sa primjenom samo jednog lijeka koji djeluje na RAAS (pogledati dijelove 4.3, 4.4 i 5.1).</w:t>
      </w:r>
    </w:p>
    <w:p w14:paraId="0B73A334">
      <w:pPr>
        <w:shd w:val="clear" w:color="auto" w:fill="FFFFFF"/>
        <w:jc w:val="both"/>
        <w:rPr>
          <w:rFonts w:ascii="Microsoft Sans Serif" w:hAnsi="Microsoft Sans Serif" w:cs="Microsoft Sans Serif"/>
          <w:sz w:val="20"/>
          <w:shd w:val="clear" w:color="auto" w:fill="FFFFFF"/>
          <w:lang w:val="bs-Latn-BA"/>
        </w:rPr>
      </w:pPr>
    </w:p>
    <w:p w14:paraId="787950C3">
      <w:pPr>
        <w:jc w:val="both"/>
        <w:rPr>
          <w:rFonts w:ascii="Microsoft Sans Serif" w:hAnsi="Microsoft Sans Serif" w:cs="Microsoft Sans Serif"/>
          <w:b/>
          <w:color w:val="222222"/>
          <w:sz w:val="20"/>
        </w:rPr>
      </w:pPr>
      <w:r>
        <w:rPr>
          <w:rFonts w:ascii="Microsoft Sans Serif" w:hAnsi="Microsoft Sans Serif" w:cs="Microsoft Sans Serif"/>
          <w:b/>
          <w:bCs/>
          <w:sz w:val="20"/>
        </w:rPr>
        <w:t>Lijekovi koji povećavaju rizik od angioedema</w:t>
      </w:r>
    </w:p>
    <w:p w14:paraId="611C4957">
      <w:pPr>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Istovremena upotreba ACE inhibitora sa sakubitril/valsartan je kontraindikovana jer povećava rizik od angioedema (pogledati dio 4.3 i 4.4). </w:t>
      </w:r>
    </w:p>
    <w:p w14:paraId="524C217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Istovremena upotreba ACE inhibitora sa mTOR inhibitorima (npr. temsirolimus, sirolimus, everolimus),ili neutralne endopeptidaza (NEP) innhibitori (npr. racecadotril), vildagliptin-om ili aktivatorima tkivnog plazminogena može dovesti do povećanog rizika za angioedem (pogledati dio 4.4).</w:t>
      </w:r>
    </w:p>
    <w:p w14:paraId="15367C3A">
      <w:pPr>
        <w:jc w:val="both"/>
        <w:rPr>
          <w:rFonts w:ascii="Microsoft Sans Serif" w:hAnsi="Microsoft Sans Serif" w:cs="Microsoft Sans Serif"/>
          <w:b/>
          <w:sz w:val="20"/>
          <w:lang w:val="mk-MK"/>
        </w:rPr>
      </w:pPr>
      <w:r>
        <w:rPr>
          <w:rFonts w:ascii="Microsoft Sans Serif" w:hAnsi="Microsoft Sans Serif" w:cs="Microsoft Sans Serif"/>
          <w:color w:val="222222"/>
          <w:sz w:val="20"/>
        </w:rPr>
        <w:t xml:space="preserve"> </w:t>
      </w:r>
    </w:p>
    <w:p w14:paraId="1B6A28B1">
      <w:pPr>
        <w:shd w:val="clear" w:color="auto" w:fill="FFFFFF"/>
        <w:jc w:val="both"/>
        <w:rPr>
          <w:rFonts w:ascii="Microsoft Sans Serif" w:hAnsi="Microsoft Sans Serif" w:cs="Microsoft Sans Serif"/>
          <w:b/>
          <w:color w:val="000000"/>
          <w:sz w:val="20"/>
        </w:rPr>
      </w:pPr>
      <w:r>
        <w:rPr>
          <w:rFonts w:ascii="Microsoft Sans Serif" w:hAnsi="Microsoft Sans Serif" w:cs="Microsoft Sans Serif"/>
          <w:sz w:val="20"/>
          <w:shd w:val="clear" w:color="auto" w:fill="FFFFFF"/>
          <w:lang w:val="bs-Latn-BA"/>
        </w:rPr>
        <w:br w:type="textWrapping"/>
      </w:r>
      <w:r>
        <w:rPr>
          <w:rFonts w:ascii="Microsoft Sans Serif" w:hAnsi="Microsoft Sans Serif" w:cs="Microsoft Sans Serif"/>
          <w:b/>
          <w:color w:val="000000"/>
          <w:sz w:val="20"/>
        </w:rPr>
        <w:t>Diuretici</w:t>
      </w:r>
    </w:p>
    <w:p w14:paraId="52A7CFC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slučaju kada se pacijentima koji uzimaju lizinopril doda u terapiju diuretik, antihipertenzivni efekat je obično aditivan.</w:t>
      </w:r>
    </w:p>
    <w:p w14:paraId="0ADB48C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koji već uzimaju diuretike, a posebno kod onih koji su ih nedavno počeli uzimati, može ponekad doći do pretjeranog pada krvnog pritiska kada se u terapiju doda lizinopril.</w:t>
      </w:r>
    </w:p>
    <w:p w14:paraId="1983F6AD">
      <w:pPr>
        <w:shd w:val="clear" w:color="auto" w:fill="FFFFFF"/>
        <w:jc w:val="both"/>
        <w:rPr>
          <w:rFonts w:ascii="Microsoft Sans Serif" w:hAnsi="Microsoft Sans Serif" w:cs="Microsoft Sans Serif"/>
          <w:iCs/>
          <w:color w:val="000000"/>
          <w:sz w:val="20"/>
        </w:rPr>
      </w:pPr>
      <w:r>
        <w:rPr>
          <w:rFonts w:ascii="Microsoft Sans Serif" w:hAnsi="Microsoft Sans Serif" w:cs="Microsoft Sans Serif"/>
          <w:color w:val="000000"/>
          <w:sz w:val="20"/>
        </w:rPr>
        <w:t xml:space="preserve">Kako bi se mogućnost pojave simptomatske hipotenzije pri primjeni lizinoprila svela na minimum, preporučuje se prekid liječenja diureticima prije početka primjene lizinoprila (pogledati dijelove 4.4 i </w:t>
      </w:r>
      <w:r>
        <w:rPr>
          <w:rFonts w:ascii="Microsoft Sans Serif" w:hAnsi="Microsoft Sans Serif" w:cs="Microsoft Sans Serif"/>
          <w:iCs/>
          <w:color w:val="000000"/>
          <w:sz w:val="20"/>
        </w:rPr>
        <w:t>4.2).</w:t>
      </w:r>
    </w:p>
    <w:p w14:paraId="769B1267">
      <w:pPr>
        <w:jc w:val="both"/>
        <w:rPr>
          <w:rFonts w:ascii="Microsoft Sans Serif" w:hAnsi="Microsoft Sans Serif" w:cs="Microsoft Sans Serif"/>
          <w:sz w:val="20"/>
          <w:shd w:val="clear" w:color="auto" w:fill="FFFFFF"/>
          <w:lang w:val="sr-Latn-BA"/>
        </w:rPr>
      </w:pPr>
    </w:p>
    <w:p w14:paraId="361DE52A">
      <w:pPr>
        <w:shd w:val="clear" w:color="auto" w:fill="FFFFFF"/>
        <w:jc w:val="both"/>
        <w:rPr>
          <w:rFonts w:ascii="Microsoft Sans Serif" w:hAnsi="Microsoft Sans Serif" w:cs="Microsoft Sans Serif"/>
          <w:b/>
          <w:sz w:val="20"/>
          <w:lang w:val="hr-BA"/>
        </w:rPr>
      </w:pPr>
      <w:r>
        <w:rPr>
          <w:rFonts w:ascii="Microsoft Sans Serif" w:hAnsi="Microsoft Sans Serif" w:cs="Microsoft Sans Serif"/>
          <w:b/>
          <w:iCs/>
          <w:color w:val="000000"/>
          <w:sz w:val="20"/>
        </w:rPr>
        <w:t xml:space="preserve">Diuretici </w:t>
      </w:r>
      <w:r>
        <w:rPr>
          <w:rFonts w:ascii="Microsoft Sans Serif" w:hAnsi="Microsoft Sans Serif" w:cs="Microsoft Sans Serif"/>
          <w:b/>
          <w:bCs/>
          <w:iCs/>
          <w:color w:val="000000"/>
          <w:sz w:val="20"/>
        </w:rPr>
        <w:t xml:space="preserve">koji </w:t>
      </w:r>
      <w:r>
        <w:rPr>
          <w:rFonts w:ascii="Microsoft Sans Serif" w:hAnsi="Microsoft Sans Serif" w:cs="Microsoft Sans Serif"/>
          <w:b/>
          <w:iCs/>
          <w:color w:val="000000"/>
          <w:sz w:val="20"/>
        </w:rPr>
        <w:t xml:space="preserve">štede </w:t>
      </w:r>
      <w:r>
        <w:rPr>
          <w:rFonts w:ascii="Microsoft Sans Serif" w:hAnsi="Microsoft Sans Serif" w:cs="Microsoft Sans Serif"/>
          <w:b/>
          <w:bCs/>
          <w:iCs/>
          <w:color w:val="000000"/>
          <w:sz w:val="20"/>
        </w:rPr>
        <w:t xml:space="preserve">kalijum, suplementi kalijuma ili zamjene za so koji </w:t>
      </w:r>
      <w:r>
        <w:rPr>
          <w:rFonts w:ascii="Microsoft Sans Serif" w:hAnsi="Microsoft Sans Serif" w:cs="Microsoft Sans Serif"/>
          <w:b/>
          <w:iCs/>
          <w:color w:val="000000"/>
          <w:sz w:val="20"/>
        </w:rPr>
        <w:t xml:space="preserve">sadrže </w:t>
      </w:r>
      <w:r>
        <w:rPr>
          <w:rFonts w:ascii="Microsoft Sans Serif" w:hAnsi="Microsoft Sans Serif" w:cs="Microsoft Sans Serif"/>
          <w:b/>
          <w:bCs/>
          <w:iCs/>
          <w:color w:val="000000"/>
          <w:sz w:val="20"/>
        </w:rPr>
        <w:t>kalijum i druge lijekove koju mogu povećati nivoa kalijuma u serumu</w:t>
      </w:r>
    </w:p>
    <w:p w14:paraId="33ED5DE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Iako nivo kalijuma ostaje u granicama normalnih vrijednosti, hiperkalijemija se može pojaviti kod nekih pacijenata koji su na terapiji sa liziniprilom.</w:t>
      </w:r>
    </w:p>
    <w:p w14:paraId="3437C14E">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Diuretici koji štede kalijum (npr. spironolakton, triamterene, ili amiloride), suplementi kalijuma ili zamjene za so koji sadrže kalijum, naročito kod pacijenata sa poremećenom funkcijom bubrega, može dovesti do značajnog povećanja nivoa kalijuma u serumu. </w:t>
      </w:r>
      <w:r>
        <w:rPr>
          <w:rStyle w:val="40"/>
          <w:rFonts w:ascii="Microsoft Sans Serif" w:hAnsi="Microsoft Sans Serif" w:cs="Microsoft Sans Serif"/>
          <w:sz w:val="20"/>
          <w:lang w:val="bs-Latn-BA"/>
        </w:rPr>
        <w:t>Tako</w:t>
      </w:r>
      <w:r>
        <w:rPr>
          <w:rStyle w:val="40"/>
          <w:rFonts w:ascii="Microsoft Sans Serif" w:hAnsi="Microsoft Sans Serif" w:cs="Microsoft Sans Serif"/>
          <w:sz w:val="20"/>
          <w:lang w:val="hr-BA"/>
        </w:rPr>
        <w:t>đ</w:t>
      </w:r>
      <w:r>
        <w:rPr>
          <w:rStyle w:val="40"/>
          <w:rFonts w:ascii="Microsoft Sans Serif" w:hAnsi="Microsoft Sans Serif" w:cs="Microsoft Sans Serif"/>
          <w:sz w:val="20"/>
          <w:lang w:val="bs-Latn-BA"/>
        </w:rPr>
        <w:t xml:space="preserve">e sa oprezom treba primjenjivati lizinopril zajedno sa drugim lijekovima koji povećavaju serumski kalijum kao što su trimetoprim i kotrimoksazol (trimetoprim/sulfametoksazol), jer je poznato da trimetoprim djeluje kao diuretik koji štedi kalijum kao što je amilorid. Zbog toga istovremena upotreba gorenavedenih lijekova i lijek Skopryl nije preporučljiva. </w:t>
      </w:r>
      <w:r>
        <w:rPr>
          <w:rStyle w:val="41"/>
          <w:rFonts w:ascii="Microsoft Sans Serif" w:hAnsi="Microsoft Sans Serif" w:cs="Microsoft Sans Serif"/>
          <w:sz w:val="20"/>
          <w:lang w:val="bs-Latn-BA"/>
        </w:rPr>
        <w:t>Ako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 primjena</w:t>
      </w:r>
      <w:r>
        <w:rPr>
          <w:rStyle w:val="40"/>
          <w:rFonts w:ascii="Microsoft Sans Serif" w:hAnsi="Microsoft Sans Serif" w:cs="Microsoft Sans Serif"/>
          <w:sz w:val="20"/>
          <w:lang w:val="bs-Latn-BA"/>
        </w:rPr>
        <w:t xml:space="preserve"> nekih od ovih agenasa indikovana, </w:t>
      </w:r>
      <w:r>
        <w:rPr>
          <w:rStyle w:val="41"/>
          <w:rFonts w:ascii="Microsoft Sans Serif" w:hAnsi="Microsoft Sans Serif" w:cs="Microsoft Sans Serif"/>
          <w:sz w:val="20"/>
          <w:lang w:val="bs-Latn-BA"/>
        </w:rPr>
        <w:t>treba</w:t>
      </w:r>
      <w:r>
        <w:rPr>
          <w:rStyle w:val="40"/>
          <w:rFonts w:ascii="Microsoft Sans Serif" w:hAnsi="Microsoft Sans Serif" w:cs="Microsoft Sans Serif"/>
          <w:sz w:val="20"/>
          <w:lang w:val="bs-Latn-BA"/>
        </w:rPr>
        <w:t xml:space="preserve"> biti oprezan i često provjeravati </w:t>
      </w:r>
      <w:r>
        <w:rPr>
          <w:rStyle w:val="41"/>
          <w:rFonts w:ascii="Microsoft Sans Serif" w:hAnsi="Microsoft Sans Serif" w:cs="Microsoft Sans Serif"/>
          <w:sz w:val="20"/>
          <w:lang w:val="bs-Latn-BA"/>
        </w:rPr>
        <w:t>serumski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kalijum</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w:t>
      </w:r>
    </w:p>
    <w:p w14:paraId="59FFA021">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Hipokalijemija izazvana diureticima može se ublažiti istovremenom primjenom lizinoprila sa diureticima koji ne štede kalijum.</w:t>
      </w:r>
    </w:p>
    <w:p w14:paraId="3EAF072D">
      <w:pPr>
        <w:shd w:val="clear" w:color="auto" w:fill="FFFFFF"/>
        <w:jc w:val="both"/>
        <w:rPr>
          <w:rFonts w:ascii="Microsoft Sans Serif" w:hAnsi="Microsoft Sans Serif" w:cs="Microsoft Sans Serif"/>
          <w:color w:val="000000"/>
          <w:sz w:val="20"/>
        </w:rPr>
      </w:pPr>
    </w:p>
    <w:p w14:paraId="55BA3470">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Ciklosporin</w:t>
      </w:r>
    </w:p>
    <w:p w14:paraId="637A9702">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ciklosporinima. Preporučeno je praćenje serumskog kalijuma.</w:t>
      </w:r>
    </w:p>
    <w:p w14:paraId="71001E43">
      <w:pPr>
        <w:jc w:val="both"/>
        <w:rPr>
          <w:rStyle w:val="40"/>
          <w:rFonts w:ascii="Microsoft Sans Serif" w:hAnsi="Microsoft Sans Serif" w:cs="Microsoft Sans Serif"/>
          <w:sz w:val="20"/>
          <w:lang w:val="bs-Latn-BA"/>
        </w:rPr>
      </w:pPr>
    </w:p>
    <w:p w14:paraId="2C95D7D1">
      <w:pPr>
        <w:jc w:val="both"/>
        <w:rPr>
          <w:rStyle w:val="40"/>
          <w:rFonts w:ascii="Microsoft Sans Serif" w:hAnsi="Microsoft Sans Serif" w:cs="Microsoft Sans Serif"/>
          <w:sz w:val="20"/>
          <w:lang w:val="bs-Latn-BA"/>
        </w:rPr>
      </w:pPr>
      <w:r>
        <w:rPr>
          <w:rStyle w:val="40"/>
          <w:rFonts w:ascii="Microsoft Sans Serif" w:hAnsi="Microsoft Sans Serif" w:cs="Microsoft Sans Serif"/>
          <w:b/>
          <w:sz w:val="20"/>
          <w:lang w:val="bs-Latn-BA"/>
        </w:rPr>
        <w:t>Heparin</w:t>
      </w:r>
    </w:p>
    <w:p w14:paraId="0B8540ED">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Hiperkalijemija se može pojaviti tokom istovremene upotrebe ACE inhibitora sa heparinom. Preporučeno je praćenje serumskog kalijuma</w:t>
      </w:r>
    </w:p>
    <w:p w14:paraId="121868F7">
      <w:pPr>
        <w:jc w:val="both"/>
        <w:rPr>
          <w:rStyle w:val="40"/>
          <w:rFonts w:ascii="Microsoft Sans Serif" w:hAnsi="Microsoft Sans Serif" w:cs="Microsoft Sans Serif"/>
          <w:sz w:val="20"/>
          <w:lang w:val="bs-Latn-BA"/>
        </w:rPr>
      </w:pPr>
    </w:p>
    <w:p w14:paraId="1ADA7B2A">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Litijum</w:t>
      </w:r>
    </w:p>
    <w:p w14:paraId="4AB3C7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Tokom istovremene primjene litijuma i ACE-inhibitora zabilježeni su slučajevi prolaznog povećanja koncentracije litijuma u serumu i posljedične toksičnosti. Istovremena primjena tijazidskih diuretika može povećati rizik toksičnosti litijuma te tako još više pojačati njegovu toksičnost izazvanu istovremenom primjenom ACE-inhibitora. Istovremena primjena lizinoprila i litijuma se ne preporučuje, međutim, ukoliko je ona neophodna, potrebna je pažljiva kontrola nivoa </w:t>
      </w:r>
      <w:r>
        <w:rPr>
          <w:rFonts w:ascii="Microsoft Sans Serif" w:hAnsi="Microsoft Sans Serif" w:cs="Microsoft Sans Serif"/>
          <w:bCs/>
          <w:color w:val="000000"/>
          <w:sz w:val="20"/>
        </w:rPr>
        <w:t>litijum</w:t>
      </w:r>
      <w:r>
        <w:rPr>
          <w:rFonts w:ascii="Microsoft Sans Serif" w:hAnsi="Microsoft Sans Serif" w:cs="Microsoft Sans Serif"/>
          <w:color w:val="000000"/>
          <w:sz w:val="20"/>
        </w:rPr>
        <w:t>a u serumu (pogledati dio 4.4</w:t>
      </w:r>
      <w:r>
        <w:rPr>
          <w:rFonts w:ascii="Microsoft Sans Serif" w:hAnsi="Microsoft Sans Serif" w:cs="Microsoft Sans Serif"/>
          <w:iCs/>
          <w:color w:val="000000"/>
          <w:sz w:val="20"/>
        </w:rPr>
        <w:t>).</w:t>
      </w:r>
    </w:p>
    <w:p w14:paraId="6DEE2AFF">
      <w:pPr>
        <w:jc w:val="both"/>
        <w:rPr>
          <w:rStyle w:val="41"/>
          <w:rFonts w:ascii="Microsoft Sans Serif" w:hAnsi="Microsoft Sans Serif" w:cs="Microsoft Sans Serif"/>
          <w:sz w:val="20"/>
          <w:lang w:val="hr-HR"/>
        </w:rPr>
      </w:pPr>
    </w:p>
    <w:p w14:paraId="64F4644F">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Nesteroidni protuupalni lijekovi, uključujuci acetilsalicilatnu kiselinu u dozi &gt;3 g/dan</w:t>
      </w:r>
    </w:p>
    <w:p w14:paraId="0EB9054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Kada se ACE-inhibitori primjenjuju istovremeno sa nesteroidnim antiinflamatornim lijekovima (npr. acetilsalicilna kiselina primijenjena u dozama za antiinflamatorno liječenje, COX-2 inhibitori i neselektivni nesteroidni antiinflamatorni lijekovi) može doći do smanjenja antihipertenzivnog efekta. Istovremena primjena ACE-inhibitora i nesteroidnih antiinflamatornih lijekova može uzrokovati povećan rizik od pogoršanja funkcije bubrega, uključujući i moguću insuficijenciju bubrega te povećanje nivoa kalijuma u serumu, naročito kod pacijenata sa već poremećenom funkcijom bubrega. Spomenuti efekti su obično reverzibilni. Stoga te lijekove treba istovremeno primijeniti uz oprez, posebno kod starijih osoba. Pacijente treba dovoljno hidrirati, a posebnu pažnju treba posvetiti praćenju funkcije bubrega na početku njihove istovremene primjene te povremeno nakon toga.</w:t>
      </w:r>
    </w:p>
    <w:p w14:paraId="6B0CB282">
      <w:pPr>
        <w:jc w:val="both"/>
        <w:rPr>
          <w:rStyle w:val="41"/>
          <w:rFonts w:ascii="Microsoft Sans Serif" w:hAnsi="Microsoft Sans Serif" w:cs="Microsoft Sans Serif"/>
          <w:sz w:val="20"/>
          <w:lang w:val="hr-HR"/>
        </w:rPr>
      </w:pPr>
    </w:p>
    <w:p w14:paraId="61292221">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Zlato</w:t>
      </w:r>
    </w:p>
    <w:p w14:paraId="020F4467">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Nitritoidne reakcije (simptomi vazodilatacije, uključujući crvenilo lica, mučninu, ošamućenost i hipotenziju, koji mogu biti vrlo teški) nakon injekcije zlata (npr. natrijev aurotiomalat) češće su zabilježene kod pacijenata koji uzimaju ACE inhibitore.</w:t>
      </w:r>
    </w:p>
    <w:p w14:paraId="1EBFD2ED">
      <w:pPr>
        <w:shd w:val="clear" w:color="auto" w:fill="FFFFFF"/>
        <w:jc w:val="both"/>
        <w:rPr>
          <w:rFonts w:ascii="Microsoft Sans Serif" w:hAnsi="Microsoft Sans Serif" w:cs="Microsoft Sans Serif"/>
          <w:sz w:val="20"/>
        </w:rPr>
      </w:pPr>
    </w:p>
    <w:p w14:paraId="400B87B8">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Triciklički antidepresivi/antipsihotici</w:t>
      </w:r>
      <w:r>
        <w:rPr>
          <w:rFonts w:ascii="Microsoft Sans Serif" w:hAnsi="Microsoft Sans Serif" w:cs="Microsoft Sans Serif"/>
          <w:b/>
          <w:iCs/>
          <w:color w:val="000000"/>
          <w:sz w:val="20"/>
        </w:rPr>
        <w:t>/</w:t>
      </w:r>
      <w:r>
        <w:rPr>
          <w:rFonts w:ascii="Microsoft Sans Serif" w:hAnsi="Microsoft Sans Serif" w:cs="Microsoft Sans Serif"/>
          <w:b/>
          <w:bCs/>
          <w:iCs/>
          <w:color w:val="000000"/>
          <w:sz w:val="20"/>
        </w:rPr>
        <w:t>anestetici</w:t>
      </w:r>
    </w:p>
    <w:p w14:paraId="1562827A">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Istovremena primjena nekih anestetika, tricikličkih antidepresiva ili antipsihotika sa ACE-inhibitorima može imati za posljedicu još veće sniženje vrijednosti krvnog pritiska (pogledati dio 4.4).</w:t>
      </w:r>
    </w:p>
    <w:p w14:paraId="7F34339F">
      <w:pPr>
        <w:shd w:val="clear" w:color="auto" w:fill="FFFFFF"/>
        <w:jc w:val="both"/>
        <w:rPr>
          <w:rFonts w:ascii="Microsoft Sans Serif" w:hAnsi="Microsoft Sans Serif" w:cs="Microsoft Sans Serif"/>
          <w:bCs/>
          <w:i/>
          <w:color w:val="000000"/>
          <w:sz w:val="20"/>
        </w:rPr>
      </w:pPr>
    </w:p>
    <w:p w14:paraId="10AD4889">
      <w:pPr>
        <w:shd w:val="clear" w:color="auto" w:fill="FFFFFF"/>
        <w:jc w:val="both"/>
        <w:rPr>
          <w:rFonts w:ascii="Microsoft Sans Serif" w:hAnsi="Microsoft Sans Serif" w:cs="Microsoft Sans Serif"/>
          <w:b/>
          <w:sz w:val="20"/>
        </w:rPr>
      </w:pPr>
      <w:r>
        <w:rPr>
          <w:rFonts w:ascii="Microsoft Sans Serif" w:hAnsi="Microsoft Sans Serif" w:cs="Microsoft Sans Serif"/>
          <w:b/>
          <w:bCs/>
          <w:iCs/>
          <w:color w:val="000000"/>
          <w:sz w:val="20"/>
        </w:rPr>
        <w:t>Simpatomimetici</w:t>
      </w:r>
    </w:p>
    <w:p w14:paraId="62C4674A">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color w:val="000000"/>
          <w:sz w:val="20"/>
        </w:rPr>
        <w:t>Simpatomimetici mogu umanjiti antihipertenzivni efekat ACE-inhibitora.</w:t>
      </w:r>
    </w:p>
    <w:p w14:paraId="23BB7294">
      <w:pPr>
        <w:jc w:val="both"/>
        <w:rPr>
          <w:rStyle w:val="41"/>
          <w:rFonts w:ascii="Microsoft Sans Serif" w:hAnsi="Microsoft Sans Serif" w:cs="Microsoft Sans Serif"/>
          <w:sz w:val="20"/>
          <w:lang w:val="bs-Latn-BA"/>
        </w:rPr>
      </w:pPr>
    </w:p>
    <w:p w14:paraId="6927526F">
      <w:pPr>
        <w:shd w:val="clear" w:color="auto" w:fill="FFFFFF"/>
        <w:jc w:val="both"/>
        <w:rPr>
          <w:rFonts w:ascii="Microsoft Sans Serif" w:hAnsi="Microsoft Sans Serif" w:cs="Microsoft Sans Serif"/>
          <w:b/>
          <w:sz w:val="20"/>
        </w:rPr>
      </w:pPr>
      <w:r>
        <w:rPr>
          <w:rFonts w:ascii="Microsoft Sans Serif" w:hAnsi="Microsoft Sans Serif" w:cs="Microsoft Sans Serif"/>
          <w:b/>
          <w:bCs/>
          <w:color w:val="000000"/>
          <w:sz w:val="20"/>
        </w:rPr>
        <w:t>Antidijabetici</w:t>
      </w:r>
    </w:p>
    <w:p w14:paraId="1BE51C0F">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Epidemiološke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pokazale su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istovremena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upotreba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antidijabetika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insulin ili </w:t>
      </w:r>
      <w:r>
        <w:rPr>
          <w:rStyle w:val="41"/>
          <w:rFonts w:ascii="Microsoft Sans Serif" w:hAnsi="Microsoft Sans Serif" w:cs="Microsoft Sans Serif"/>
          <w:sz w:val="20"/>
          <w:lang w:val="bs-Latn-BA"/>
        </w:rPr>
        <w:t>oralni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lijekovi</w:t>
      </w:r>
      <w:r>
        <w:rPr>
          <w:rStyle w:val="40"/>
          <w:rFonts w:ascii="Microsoft Sans Serif" w:hAnsi="Microsoft Sans Serif" w:cs="Microsoft Sans Serif"/>
          <w:sz w:val="20"/>
          <w:lang w:val="bs-Latn-BA"/>
        </w:rPr>
        <w:t xml:space="preserve">) mogu </w:t>
      </w:r>
      <w:r>
        <w:rPr>
          <w:rFonts w:ascii="Microsoft Sans Serif" w:hAnsi="Microsoft Sans Serif" w:cs="Microsoft Sans Serif"/>
          <w:color w:val="000000"/>
          <w:sz w:val="20"/>
        </w:rPr>
        <w:t>dovesti do jakog sniženja vrijednosti glukoze u krvi sa</w:t>
      </w:r>
      <w:r>
        <w:rPr>
          <w:rStyle w:val="41"/>
          <w:rFonts w:ascii="Microsoft Sans Serif" w:hAnsi="Microsoft Sans Serif" w:cs="Microsoft Sans Serif"/>
          <w:sz w:val="20"/>
          <w:lang w:val="bs-Latn-BA"/>
        </w:rPr>
        <w:t xml:space="preserve"> rizikom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Ovo se obično događa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prvim sedmicama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kombinovane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 oštećenom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funkcijom bubrega</w:t>
      </w:r>
      <w:r>
        <w:rPr>
          <w:rStyle w:val="40"/>
          <w:rFonts w:ascii="Microsoft Sans Serif" w:hAnsi="Microsoft Sans Serif" w:cs="Microsoft Sans Serif"/>
          <w:sz w:val="20"/>
          <w:lang w:val="bs-Latn-BA"/>
        </w:rPr>
        <w:t xml:space="preserve">. </w:t>
      </w:r>
    </w:p>
    <w:p w14:paraId="1A7B3C6D">
      <w:pPr>
        <w:pStyle w:val="19"/>
        <w:tabs>
          <w:tab w:val="clear" w:pos="4320"/>
          <w:tab w:val="clear" w:pos="8640"/>
        </w:tabs>
        <w:jc w:val="both"/>
        <w:rPr>
          <w:rFonts w:ascii="Microsoft Sans Serif" w:hAnsi="Microsoft Sans Serif" w:cs="Microsoft Sans Serif"/>
          <w:sz w:val="20"/>
          <w:lang w:val="en-US"/>
        </w:rPr>
      </w:pPr>
    </w:p>
    <w:p w14:paraId="04C9D022">
      <w:pPr>
        <w:shd w:val="clear" w:color="auto" w:fill="FFFFFF"/>
        <w:jc w:val="both"/>
        <w:rPr>
          <w:rFonts w:ascii="Microsoft Sans Serif" w:hAnsi="Microsoft Sans Serif" w:eastAsia="Batang" w:cs="Microsoft Sans Serif"/>
          <w:b/>
          <w:sz w:val="20"/>
        </w:rPr>
      </w:pPr>
      <w:r>
        <w:rPr>
          <w:rFonts w:ascii="Microsoft Sans Serif" w:hAnsi="Microsoft Sans Serif" w:eastAsia="Batang" w:cs="Microsoft Sans Serif"/>
          <w:b/>
          <w:bCs/>
          <w:iCs/>
          <w:color w:val="000000"/>
          <w:sz w:val="20"/>
        </w:rPr>
        <w:t>Acetilsalicilna kiselina, trombolitici, beta-blokatori, nitrati</w:t>
      </w:r>
    </w:p>
    <w:p w14:paraId="4D42541C">
      <w:pPr>
        <w:shd w:val="clear" w:color="auto" w:fill="FFFFFF"/>
        <w:jc w:val="both"/>
        <w:rPr>
          <w:rFonts w:ascii="Microsoft Sans Serif" w:hAnsi="Microsoft Sans Serif" w:eastAsia="Batang" w:cs="Microsoft Sans Serif"/>
          <w:sz w:val="20"/>
        </w:rPr>
      </w:pPr>
      <w:r>
        <w:rPr>
          <w:rFonts w:ascii="Microsoft Sans Serif" w:hAnsi="Microsoft Sans Serif" w:eastAsia="Batang" w:cs="Microsoft Sans Serif"/>
          <w:color w:val="000000"/>
          <w:sz w:val="20"/>
        </w:rPr>
        <w:t>Lizinopril se može primjenjivati istovremeno sa acetilsalicilnom kiselinom (u dozama za kardiološke indikacije), tromboliticima, beta-blokatorima i/ili nitratima.</w:t>
      </w:r>
    </w:p>
    <w:p w14:paraId="4FBCD6BF">
      <w:pPr>
        <w:pStyle w:val="19"/>
        <w:tabs>
          <w:tab w:val="clear" w:pos="4320"/>
          <w:tab w:val="clear" w:pos="8640"/>
        </w:tabs>
        <w:jc w:val="both"/>
        <w:rPr>
          <w:rFonts w:ascii="Microsoft Sans Serif" w:hAnsi="Microsoft Sans Serif" w:cs="Microsoft Sans Serif"/>
          <w:sz w:val="20"/>
          <w:lang w:val="en-US"/>
        </w:rPr>
      </w:pPr>
    </w:p>
    <w:p w14:paraId="1A87313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4.6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Plodnost, trudnoća i dojenje</w:t>
      </w:r>
    </w:p>
    <w:p w14:paraId="4F788816">
      <w:pPr>
        <w:jc w:val="both"/>
        <w:rPr>
          <w:rFonts w:ascii="Microsoft Sans Serif" w:hAnsi="Microsoft Sans Serif" w:cs="Microsoft Sans Serif"/>
          <w:b/>
          <w:sz w:val="20"/>
        </w:rPr>
      </w:pPr>
    </w:p>
    <w:p w14:paraId="5E09A429">
      <w:pPr>
        <w:jc w:val="both"/>
        <w:rPr>
          <w:rFonts w:ascii="Microsoft Sans Serif" w:hAnsi="Microsoft Sans Serif" w:cs="Microsoft Sans Serif"/>
          <w:i/>
          <w:sz w:val="20"/>
          <w:lang w:val="bs-Latn-BA"/>
        </w:rPr>
      </w:pPr>
      <w:r>
        <w:rPr>
          <w:rFonts w:ascii="Microsoft Sans Serif" w:hAnsi="Microsoft Sans Serif" w:cs="Microsoft Sans Serif"/>
          <w:i/>
          <w:sz w:val="20"/>
          <w:lang w:val="bs-Latn-BA"/>
        </w:rPr>
        <w:t>Trudnoća</w:t>
      </w:r>
    </w:p>
    <w:p w14:paraId="32EB8F8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Primjena ACE-inhibitora u prvom trimestru trudnoće se ne preporučuje (pogledati dio 4.4). Primjena ACE-inhibitora je kontraindikovana tokom drugog i trećeg trimestra trudnoće (pogledati dijelove 4.3. i 4.4).</w:t>
      </w:r>
      <w:r>
        <w:rPr>
          <w:rFonts w:ascii="Microsoft Sans Serif" w:hAnsi="Microsoft Sans Serif" w:cs="Microsoft Sans Serif"/>
          <w:sz w:val="20"/>
          <w:lang w:val="bs-Latn-BA"/>
        </w:rPr>
        <w:br w:type="textWrapping"/>
      </w:r>
    </w:p>
    <w:p w14:paraId="11ED6D88">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Epidemiološki dokazi o postojanju opasnosti od teratogenosti poslije izlaganja ACE-inhibitorima u prvom trimestru trudnoće ne daju konačne zaključke, ali ne mogu isključiti postojanje malog porasta rizika. Ukoliko se produžena terapija sa ACE-inhibitorima smatra neophodnom, pacijentkinje koje planiraju trudnoću trebalo bi da pređu na alternativne antihipertenzivne lijekove sa utvrđenim bezbjednosnim profilom o primjeni tokom trudnoće. Kada je trudnoća potvrđena, liječenje ACE-inhibitorima treba prekinuti odmah, i ako postoji mogućnost treba započeti alternativnu terapiju.</w:t>
      </w:r>
    </w:p>
    <w:p w14:paraId="5C8FC52F">
      <w:pPr>
        <w:jc w:val="both"/>
        <w:rPr>
          <w:rStyle w:val="40"/>
          <w:rFonts w:ascii="Microsoft Sans Serif" w:hAnsi="Microsoft Sans Serif" w:cs="Microsoft Sans Serif"/>
          <w:sz w:val="20"/>
          <w:lang w:val="bs-Latn-BA"/>
        </w:rPr>
      </w:pPr>
    </w:p>
    <w:p w14:paraId="128C808E">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Poznato je da izloženost ACE-inhibitorima tokom drugog i trećeg trimestra kod ljudi uzrokuje fetotoksičnost (smanjene bubrežne funkcije, oligohidramniozu, zaostajanje osifikacije lobanji) i neonatalnu toksičnost (insuficijencija bubrega, hipotenzija, hiperkalemija) (pogledati dio 5.3). </w:t>
      </w:r>
    </w:p>
    <w:p w14:paraId="332C9151">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Ako se izloženost ACE-inhibitora dogodila u drugom tromjesečju trudnoće, preporučuje se ultrazvučni pregled funkcije bubrega i lobanje. </w:t>
      </w:r>
    </w:p>
    <w:p w14:paraId="4FCFA013">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Dojenčad čije su majke primale ACE-inhibitore treba pratiti, jer se kod njih može javiti hipotenzija (pogledati dijelove 4.3 i 4.4).</w:t>
      </w:r>
    </w:p>
    <w:p w14:paraId="6B3CD5F6">
      <w:pPr>
        <w:pStyle w:val="19"/>
        <w:tabs>
          <w:tab w:val="clear" w:pos="4320"/>
          <w:tab w:val="clear" w:pos="8640"/>
        </w:tabs>
        <w:jc w:val="both"/>
        <w:rPr>
          <w:rFonts w:ascii="Microsoft Sans Serif" w:hAnsi="Microsoft Sans Serif" w:cs="Microsoft Sans Serif"/>
          <w:bCs/>
          <w:sz w:val="20"/>
          <w:lang w:val="bs-Latn-BA"/>
        </w:rPr>
      </w:pPr>
    </w:p>
    <w:p w14:paraId="17E92F23">
      <w:pPr>
        <w:pStyle w:val="19"/>
        <w:tabs>
          <w:tab w:val="clear" w:pos="4320"/>
          <w:tab w:val="clear" w:pos="8640"/>
        </w:tabs>
        <w:jc w:val="both"/>
        <w:rPr>
          <w:rFonts w:ascii="Microsoft Sans Serif" w:hAnsi="Microsoft Sans Serif" w:cs="Microsoft Sans Serif"/>
          <w:b/>
          <w:sz w:val="20"/>
          <w:lang w:val="bs-Latn-BA"/>
        </w:rPr>
      </w:pPr>
      <w:r>
        <w:rPr>
          <w:rStyle w:val="41"/>
          <w:rFonts w:ascii="Microsoft Sans Serif" w:hAnsi="Microsoft Sans Serif" w:cs="Microsoft Sans Serif"/>
          <w:i/>
          <w:sz w:val="20"/>
          <w:lang w:val="bs-Latn-BA"/>
        </w:rPr>
        <w:t>Dojenje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Budući 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dostupnih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informacija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trudnoće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 preporučuje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primjena lijeka Skopryl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preferira</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korištenje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 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dobro utvrđenim bezbjednosnim profilom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tokom laktacije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posebno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dojenju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novorođenčeta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nedonoščeta.</w:t>
      </w:r>
    </w:p>
    <w:p w14:paraId="67C2136D">
      <w:pPr>
        <w:pStyle w:val="19"/>
        <w:tabs>
          <w:tab w:val="clear" w:pos="4320"/>
          <w:tab w:val="clear" w:pos="8640"/>
        </w:tabs>
        <w:jc w:val="both"/>
        <w:rPr>
          <w:rFonts w:ascii="Microsoft Sans Serif" w:hAnsi="Microsoft Sans Serif" w:cs="Microsoft Sans Serif"/>
          <w:bCs/>
          <w:sz w:val="20"/>
          <w:lang w:val="hr-HR"/>
        </w:rPr>
      </w:pPr>
    </w:p>
    <w:p w14:paraId="1B7021E7">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4.7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Uticaj na sposobnost upravljanja vozilima i rada na mašinama </w:t>
      </w:r>
    </w:p>
    <w:p w14:paraId="37D16493">
      <w:pPr>
        <w:jc w:val="both"/>
        <w:rPr>
          <w:rFonts w:ascii="Microsoft Sans Serif" w:hAnsi="Microsoft Sans Serif" w:cs="Microsoft Sans Serif"/>
          <w:sz w:val="20"/>
          <w:lang w:val="sr-Latn-BA"/>
        </w:rPr>
      </w:pPr>
    </w:p>
    <w:p w14:paraId="770C241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Ponekad se pri primjeni lizinoprila mogu javiti ošamućenost ili umor, stoga pacijenti koji upravljaju vozilima ili mašinama o tome trebaju voditi računa.</w:t>
      </w:r>
    </w:p>
    <w:p w14:paraId="27D11AD0">
      <w:pPr>
        <w:jc w:val="both"/>
        <w:rPr>
          <w:rFonts w:ascii="Microsoft Sans Serif" w:hAnsi="Microsoft Sans Serif" w:cs="Microsoft Sans Serif"/>
          <w:sz w:val="20"/>
        </w:rPr>
      </w:pPr>
    </w:p>
    <w:p w14:paraId="1BFE67A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Neželjena djelovanja</w:t>
      </w:r>
    </w:p>
    <w:p w14:paraId="09DBD740">
      <w:pPr>
        <w:jc w:val="both"/>
        <w:rPr>
          <w:rStyle w:val="41"/>
          <w:rFonts w:ascii="Microsoft Sans Serif" w:hAnsi="Microsoft Sans Serif" w:cs="Microsoft Sans Serif"/>
          <w:sz w:val="20"/>
          <w:lang w:val="hr-HR"/>
        </w:rPr>
      </w:pPr>
    </w:p>
    <w:p w14:paraId="51DD7AB4">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Sljedeća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neželjena djelovanja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zabilježena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tokom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ACE-inhibitorima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 xml:space="preserve">Učestalost </w:t>
      </w:r>
      <w:r>
        <w:rPr>
          <w:rStyle w:val="41"/>
          <w:rFonts w:ascii="Microsoft Sans Serif" w:hAnsi="Microsoft Sans Serif" w:cs="Microsoft Sans Serif"/>
          <w:sz w:val="20"/>
          <w:lang w:val="bs-Latn-BA"/>
        </w:rPr>
        <w:t>neželjenih dejstava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t>je definisana kao: vrlo često (≥10), često (≥ 1/100 i &lt; 1/10), povremeno (≥ 1/1.000 i &lt; 1/100), rijetko (≥ 1/10.000 i &lt;1/1.000), vrlo rijetko (&gt; 1/10.000), nepoznato (ne može se procijeniti na osnovu dostupnih podataka).</w:t>
      </w:r>
    </w:p>
    <w:p w14:paraId="38B93E08">
      <w:pPr>
        <w:jc w:val="both"/>
        <w:rPr>
          <w:rFonts w:ascii="Microsoft Sans Serif" w:hAnsi="Microsoft Sans Serif" w:cs="Microsoft Sans Serif"/>
          <w:b/>
          <w:sz w:val="20"/>
          <w:lang w:val="bs-Latn-BA"/>
        </w:rPr>
      </w:pPr>
    </w:p>
    <w:p w14:paraId="358D8F4D">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krvi i limfnog sistema</w:t>
      </w:r>
    </w:p>
    <w:p w14:paraId="12BF410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hemoglobina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hematokrita</w:t>
      </w:r>
      <w:r>
        <w:rPr>
          <w:rStyle w:val="40"/>
          <w:rFonts w:ascii="Microsoft Sans Serif" w:hAnsi="Microsoft Sans Serif" w:cs="Microsoft Sans Serif"/>
          <w:sz w:val="20"/>
          <w:lang w:val="bs-Latn-BA"/>
        </w:rPr>
        <w:t>.</w:t>
      </w:r>
    </w:p>
    <w:p w14:paraId="4E2DC0DE">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depresija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koštane srži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anemija</w:t>
      </w:r>
      <w:r>
        <w:rPr>
          <w:rStyle w:val="40"/>
          <w:rFonts w:ascii="Microsoft Sans Serif" w:hAnsi="Microsoft Sans Serif" w:cs="Microsoft Sans Serif"/>
          <w:sz w:val="20"/>
          <w:lang w:val="bs-Latn-BA"/>
        </w:rPr>
        <w:t xml:space="preserve">, trombocitopenija, </w:t>
      </w:r>
      <w:r>
        <w:rPr>
          <w:rStyle w:val="41"/>
          <w:rFonts w:ascii="Microsoft Sans Serif" w:hAnsi="Microsoft Sans Serif" w:cs="Microsoft Sans Serif"/>
          <w:sz w:val="20"/>
          <w:lang w:val="bs-Latn-BA"/>
        </w:rPr>
        <w:t>leukopenija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neutropenija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agranulocitoza</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hemolitička anemija,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limfadenopatija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autoimuna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bolest</w:t>
      </w:r>
      <w:r>
        <w:rPr>
          <w:rStyle w:val="40"/>
          <w:rFonts w:ascii="Microsoft Sans Serif" w:hAnsi="Microsoft Sans Serif" w:cs="Microsoft Sans Serif"/>
          <w:sz w:val="20"/>
          <w:lang w:val="bs-Latn-BA"/>
        </w:rPr>
        <w:t>.</w:t>
      </w:r>
    </w:p>
    <w:p w14:paraId="4C4CE801">
      <w:pPr>
        <w:jc w:val="both"/>
        <w:rPr>
          <w:rFonts w:ascii="Microsoft Sans Serif" w:hAnsi="Microsoft Sans Serif" w:cs="Microsoft Sans Serif"/>
          <w:sz w:val="20"/>
          <w:u w:val="single"/>
          <w:lang w:val="hr-HR"/>
        </w:rPr>
      </w:pPr>
    </w:p>
    <w:p w14:paraId="753347E7">
      <w:pPr>
        <w:rPr>
          <w:rFonts w:ascii="Microsoft Sans Serif" w:hAnsi="Microsoft Sans Serif" w:cs="Microsoft Sans Serif"/>
          <w:color w:val="000000"/>
          <w:sz w:val="20"/>
          <w:u w:val="single"/>
          <w:lang w:val="en-US" w:eastAsia="en-US"/>
        </w:rPr>
      </w:pPr>
      <w:r>
        <w:rPr>
          <w:rFonts w:ascii="Microsoft Sans Serif" w:hAnsi="Microsoft Sans Serif" w:cs="Microsoft Sans Serif"/>
          <w:bCs/>
          <w:color w:val="000000"/>
          <w:sz w:val="20"/>
          <w:u w:val="single"/>
          <w:lang w:val="en-US" w:eastAsia="en-US"/>
        </w:rPr>
        <w:t>Poremećaj imunog sistema</w:t>
      </w:r>
    </w:p>
    <w:p w14:paraId="63AB3C99">
      <w:pPr>
        <w:rPr>
          <w:rFonts w:ascii="Microsoft Sans Serif" w:hAnsi="Microsoft Sans Serif" w:cs="Microsoft Sans Serif"/>
          <w:color w:val="000000"/>
          <w:sz w:val="20"/>
          <w:lang w:val="en-US" w:eastAsia="en-US"/>
        </w:rPr>
      </w:pPr>
      <w:r>
        <w:rPr>
          <w:rFonts w:ascii="Microsoft Sans Serif" w:hAnsi="Microsoft Sans Serif" w:cs="Microsoft Sans Serif"/>
          <w:color w:val="000000"/>
          <w:sz w:val="20"/>
          <w:lang w:val="en-US" w:eastAsia="en-US"/>
        </w:rPr>
        <w:t>Nepoznat: anafilaktična/anafilaktoidna reakcija</w:t>
      </w:r>
    </w:p>
    <w:p w14:paraId="5656A611">
      <w:pPr>
        <w:pStyle w:val="26"/>
        <w:jc w:val="both"/>
        <w:rPr>
          <w:rFonts w:ascii="Microsoft Sans Serif" w:hAnsi="Microsoft Sans Serif" w:cs="Microsoft Sans Serif"/>
          <w:b w:val="0"/>
          <w:sz w:val="20"/>
          <w:szCs w:val="20"/>
          <w:u w:val="single"/>
          <w:lang w:val="bs-Latn-BA"/>
        </w:rPr>
      </w:pPr>
    </w:p>
    <w:p w14:paraId="552DC9E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metabolizma i prehrane</w:t>
      </w:r>
    </w:p>
    <w:p w14:paraId="58A7295C">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hipoglikemija.</w:t>
      </w:r>
    </w:p>
    <w:p w14:paraId="1FEAA017">
      <w:pPr>
        <w:jc w:val="both"/>
        <w:rPr>
          <w:rFonts w:ascii="Microsoft Sans Serif" w:hAnsi="Microsoft Sans Serif" w:cs="Microsoft Sans Serif"/>
          <w:sz w:val="20"/>
          <w:lang w:val="bs-Latn-BA"/>
        </w:rPr>
      </w:pPr>
    </w:p>
    <w:p w14:paraId="070C5AE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nervnog sistema i psihijatrijski poremećaji</w:t>
      </w:r>
    </w:p>
    <w:p w14:paraId="000789B7">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ošamućenost, glavobolja.</w:t>
      </w:r>
    </w:p>
    <w:p w14:paraId="3C3ADD64">
      <w:pPr>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 raspoloženja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parestezija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vrtoglavica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 spavanja, halucinacije.</w:t>
      </w:r>
      <w:r>
        <w:rPr>
          <w:rFonts w:ascii="Microsoft Sans Serif" w:hAnsi="Microsoft Sans Serif" w:cs="Microsoft Sans Serif"/>
          <w:sz w:val="20"/>
          <w:lang w:val="bs-Latn-BA"/>
        </w:rPr>
        <w:br w:type="textWrapping"/>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mentalna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konfuzija, olfaktorni poremećaj</w:t>
      </w:r>
      <w:r>
        <w:rPr>
          <w:rStyle w:val="40"/>
          <w:rFonts w:ascii="Microsoft Sans Serif" w:hAnsi="Microsoft Sans Serif" w:cs="Microsoft Sans Serif"/>
          <w:sz w:val="20"/>
          <w:lang w:val="bs-Latn-BA"/>
        </w:rPr>
        <w:t>.</w:t>
      </w:r>
    </w:p>
    <w:p w14:paraId="394C09BD">
      <w:pPr>
        <w:jc w:val="both"/>
        <w:rPr>
          <w:rFonts w:ascii="Microsoft Sans Serif" w:hAnsi="Microsoft Sans Serif" w:cs="Microsoft Sans Serif"/>
          <w:sz w:val="20"/>
        </w:rPr>
      </w:pPr>
      <w:r>
        <w:rPr>
          <w:rFonts w:ascii="Microsoft Sans Serif" w:hAnsi="Microsoft Sans Serif" w:cs="Microsoft Sans Serif"/>
          <w:color w:val="000000"/>
          <w:sz w:val="20"/>
          <w:lang w:val="hr-HR"/>
        </w:rPr>
        <w:t>Nepoznata učestalost: simptomi depresije, sinkopa.</w:t>
      </w:r>
    </w:p>
    <w:p w14:paraId="351E78EB">
      <w:pPr>
        <w:pStyle w:val="26"/>
        <w:jc w:val="both"/>
        <w:rPr>
          <w:rFonts w:ascii="Microsoft Sans Serif" w:hAnsi="Microsoft Sans Serif" w:cs="Microsoft Sans Serif"/>
          <w:b w:val="0"/>
          <w:sz w:val="20"/>
          <w:szCs w:val="20"/>
          <w:u w:val="single"/>
          <w:lang w:val="bs-Latn-BA"/>
        </w:rPr>
      </w:pPr>
    </w:p>
    <w:p w14:paraId="6D11A05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Srčani poremećaji i vaskularni poremećaji</w:t>
      </w:r>
    </w:p>
    <w:p w14:paraId="58421D8C">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ortostatski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uključujući </w:t>
      </w:r>
      <w:r>
        <w:rPr>
          <w:rStyle w:val="41"/>
          <w:rFonts w:ascii="Microsoft Sans Serif" w:hAnsi="Microsoft Sans Serif" w:cs="Microsoft Sans Serif"/>
          <w:sz w:val="20"/>
          <w:lang w:val="bs-Latn-BA"/>
        </w:rPr>
        <w:t>hipotenziju</w:t>
      </w:r>
      <w:r>
        <w:rPr>
          <w:rStyle w:val="40"/>
          <w:rFonts w:ascii="Microsoft Sans Serif" w:hAnsi="Microsoft Sans Serif" w:cs="Microsoft Sans Serif"/>
          <w:sz w:val="20"/>
          <w:lang w:val="bs-Latn-BA"/>
        </w:rPr>
        <w:t>).</w:t>
      </w:r>
    </w:p>
    <w:p w14:paraId="7B74772C">
      <w:pPr>
        <w:jc w:val="both"/>
        <w:rPr>
          <w:rStyle w:val="42"/>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infarkt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miokarda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cerebrovaskularni inzult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vjerovatno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prekomjerne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visokim rizikom</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 xml:space="preserve">, palpitacije, </w:t>
      </w:r>
      <w:r>
        <w:rPr>
          <w:rStyle w:val="41"/>
          <w:rFonts w:ascii="Microsoft Sans Serif" w:hAnsi="Microsoft Sans Serif" w:cs="Microsoft Sans Serif"/>
          <w:sz w:val="20"/>
          <w:lang w:val="bs-Latn-BA"/>
        </w:rPr>
        <w:t>tahikardija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Rejnaud</w:t>
      </w:r>
      <w:r>
        <w:rPr>
          <w:rStyle w:val="40"/>
          <w:rFonts w:ascii="Microsoft Sans Serif" w:hAnsi="Microsoft Sans Serif" w:cs="Microsoft Sans Serif"/>
          <w:sz w:val="20"/>
          <w:lang w:val="bs-Latn-BA"/>
        </w:rPr>
        <w:t xml:space="preserve">ov </w:t>
      </w:r>
      <w:r>
        <w:rPr>
          <w:rStyle w:val="41"/>
          <w:rFonts w:ascii="Microsoft Sans Serif" w:hAnsi="Microsoft Sans Serif" w:cs="Microsoft Sans Serif"/>
          <w:sz w:val="20"/>
          <w:lang w:val="bs-Latn-BA"/>
        </w:rPr>
        <w:t>fenomen</w:t>
      </w:r>
      <w:r>
        <w:rPr>
          <w:rStyle w:val="42"/>
          <w:rFonts w:ascii="Microsoft Sans Serif" w:hAnsi="Microsoft Sans Serif" w:cs="Microsoft Sans Serif"/>
          <w:sz w:val="20"/>
          <w:lang w:val="bs-Latn-BA"/>
        </w:rPr>
        <w:t>.</w:t>
      </w:r>
    </w:p>
    <w:p w14:paraId="3E0CC1BB">
      <w:pPr>
        <w:pStyle w:val="26"/>
        <w:jc w:val="both"/>
        <w:rPr>
          <w:rFonts w:ascii="Microsoft Sans Serif" w:hAnsi="Microsoft Sans Serif" w:cs="Microsoft Sans Serif"/>
          <w:b w:val="0"/>
          <w:sz w:val="20"/>
          <w:szCs w:val="20"/>
          <w:lang w:val="bs-Latn-BA"/>
        </w:rPr>
      </w:pPr>
    </w:p>
    <w:p w14:paraId="0A70E865">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Respiratorni, torakalni i medijastinalni poremećaji </w:t>
      </w:r>
    </w:p>
    <w:p w14:paraId="1D2181FB">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kašalj.</w:t>
      </w:r>
    </w:p>
    <w:p w14:paraId="298449D6">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rinitis.</w:t>
      </w:r>
    </w:p>
    <w:p w14:paraId="53114D70">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bronhospazam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sinusitis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alergijski alveolitis/eozinofilna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pneumonija.</w:t>
      </w:r>
    </w:p>
    <w:p w14:paraId="59D4B274">
      <w:pPr>
        <w:jc w:val="both"/>
        <w:rPr>
          <w:rFonts w:ascii="Microsoft Sans Serif" w:hAnsi="Microsoft Sans Serif" w:cs="Microsoft Sans Serif"/>
          <w:sz w:val="20"/>
          <w:lang w:eastAsia="en-GB"/>
        </w:rPr>
      </w:pPr>
    </w:p>
    <w:p w14:paraId="4FCEF424">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Gastrointestinalni poremećaji</w:t>
      </w:r>
    </w:p>
    <w:p w14:paraId="5178E769">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proliv</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povraćanje.</w:t>
      </w:r>
    </w:p>
    <w:p w14:paraId="26529B4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mučnina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bolovi u stomaku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probave</w:t>
      </w:r>
      <w:r>
        <w:rPr>
          <w:rStyle w:val="40"/>
          <w:rFonts w:ascii="Microsoft Sans Serif" w:hAnsi="Microsoft Sans Serif" w:cs="Microsoft Sans Serif"/>
          <w:sz w:val="20"/>
          <w:lang w:val="bs-Latn-BA"/>
        </w:rPr>
        <w:t>.</w:t>
      </w:r>
    </w:p>
    <w:p w14:paraId="4A1C07D3">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suva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usta</w:t>
      </w:r>
      <w:r>
        <w:rPr>
          <w:rStyle w:val="40"/>
          <w:rFonts w:ascii="Microsoft Sans Serif" w:hAnsi="Microsoft Sans Serif" w:cs="Microsoft Sans Serif"/>
          <w:sz w:val="20"/>
          <w:lang w:val="bs-Latn-BA"/>
        </w:rPr>
        <w:t>.</w:t>
      </w:r>
    </w:p>
    <w:p w14:paraId="30650E5B">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pankreatitis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crijevni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angioedem</w:t>
      </w:r>
      <w:r>
        <w:rPr>
          <w:rStyle w:val="40"/>
          <w:rFonts w:ascii="Microsoft Sans Serif" w:hAnsi="Microsoft Sans Serif" w:cs="Microsoft Sans Serif"/>
          <w:sz w:val="20"/>
          <w:lang w:val="bs-Latn-BA"/>
        </w:rPr>
        <w:t xml:space="preserve">, hepatitis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hepatocelularni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holestatski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žutica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insuficijencija jetre (pogledati dio 4.4)</w:t>
      </w:r>
      <w:r>
        <w:rPr>
          <w:rStyle w:val="40"/>
          <w:rFonts w:ascii="Microsoft Sans Serif" w:hAnsi="Microsoft Sans Serif" w:cs="Microsoft Sans Serif"/>
          <w:sz w:val="20"/>
          <w:lang w:val="bs-Latn-BA"/>
        </w:rPr>
        <w:t>.</w:t>
      </w:r>
    </w:p>
    <w:p w14:paraId="2FE497B2">
      <w:pPr>
        <w:jc w:val="both"/>
        <w:rPr>
          <w:rFonts w:ascii="Microsoft Sans Serif" w:hAnsi="Microsoft Sans Serif" w:cs="Microsoft Sans Serif"/>
          <w:sz w:val="20"/>
          <w:lang w:val="bs-Latn-BA" w:eastAsia="en-GB"/>
        </w:rPr>
      </w:pPr>
    </w:p>
    <w:p w14:paraId="6F9C4AF2">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kože i potkožnog tkiva</w:t>
      </w:r>
    </w:p>
    <w:p w14:paraId="59F42A7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pruritus</w:t>
      </w:r>
      <w:r>
        <w:rPr>
          <w:rStyle w:val="40"/>
          <w:rFonts w:ascii="Microsoft Sans Serif" w:hAnsi="Microsoft Sans Serif" w:cs="Microsoft Sans Serif"/>
          <w:sz w:val="20"/>
          <w:lang w:val="bs-Latn-BA"/>
        </w:rPr>
        <w:t>.</w:t>
      </w:r>
    </w:p>
    <w:p w14:paraId="070DD726">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urtikarija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alopecija,</w:t>
      </w:r>
      <w:r>
        <w:rPr>
          <w:rStyle w:val="40"/>
          <w:rFonts w:ascii="Microsoft Sans Serif" w:hAnsi="Microsoft Sans Serif" w:cs="Microsoft Sans Serif"/>
          <w:sz w:val="20"/>
          <w:lang w:val="bs-Latn-BA"/>
        </w:rPr>
        <w:t xml:space="preserve"> psorijatične </w:t>
      </w:r>
      <w:r>
        <w:rPr>
          <w:rStyle w:val="41"/>
          <w:rFonts w:ascii="Microsoft Sans Serif" w:hAnsi="Microsoft Sans Serif" w:cs="Microsoft Sans Serif"/>
          <w:sz w:val="20"/>
          <w:lang w:val="bs-Latn-BA"/>
        </w:rPr>
        <w:t>promjene na koži, preosjetljivost/angioneurotski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edem: angioneurotski edem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licu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udovima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usnama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jeziku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glotisu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grkljanu</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pogledati dio </w:t>
      </w:r>
      <w:r>
        <w:rPr>
          <w:rStyle w:val="41"/>
          <w:rFonts w:ascii="Microsoft Sans Serif" w:hAnsi="Microsoft Sans Serif" w:cs="Microsoft Sans Serif"/>
          <w:sz w:val="20"/>
          <w:lang w:val="bs-Latn-BA"/>
        </w:rPr>
        <w:t>4.4)</w:t>
      </w:r>
      <w:r>
        <w:rPr>
          <w:rStyle w:val="40"/>
          <w:rFonts w:ascii="Microsoft Sans Serif" w:hAnsi="Microsoft Sans Serif" w:cs="Microsoft Sans Serif"/>
          <w:sz w:val="20"/>
          <w:lang w:val="bs-Latn-BA"/>
        </w:rPr>
        <w:t>.</w:t>
      </w:r>
    </w:p>
    <w:p w14:paraId="39037DF5">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znojenje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pemfigus</w:t>
      </w:r>
      <w:r>
        <w:rPr>
          <w:rStyle w:val="40"/>
          <w:rFonts w:ascii="Microsoft Sans Serif" w:hAnsi="Microsoft Sans Serif" w:cs="Microsoft Sans Serif"/>
          <w:sz w:val="20"/>
          <w:lang w:val="bs-Latn-BA"/>
        </w:rPr>
        <w:t xml:space="preserve">, toksična epidermalna nekroliza, </w:t>
      </w:r>
      <w:r>
        <w:rPr>
          <w:rStyle w:val="41"/>
          <w:rFonts w:ascii="Microsoft Sans Serif" w:hAnsi="Microsoft Sans Serif" w:cs="Microsoft Sans Serif"/>
          <w:sz w:val="20"/>
          <w:lang w:val="bs-Latn-BA"/>
        </w:rPr>
        <w:t>Stivens</w:t>
      </w:r>
      <w:r>
        <w:rPr>
          <w:rStyle w:val="40"/>
          <w:rFonts w:ascii="Microsoft Sans Serif" w:hAnsi="Microsoft Sans Serif" w:cs="Microsoft Sans Serif"/>
          <w:sz w:val="20"/>
          <w:lang w:val="bs-Latn-BA"/>
        </w:rPr>
        <w:t xml:space="preserve">-Džonsonov </w:t>
      </w:r>
      <w:r>
        <w:rPr>
          <w:rStyle w:val="41"/>
          <w:rFonts w:ascii="Microsoft Sans Serif" w:hAnsi="Microsoft Sans Serif" w:cs="Microsoft Sans Serif"/>
          <w:sz w:val="20"/>
          <w:lang w:val="bs-Latn-BA"/>
        </w:rPr>
        <w:t>sindrom, eritema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multiforme</w:t>
      </w:r>
      <w:r>
        <w:rPr>
          <w:rStyle w:val="40"/>
          <w:rFonts w:ascii="Microsoft Sans Serif" w:hAnsi="Microsoft Sans Serif" w:cs="Microsoft Sans Serif"/>
          <w:sz w:val="20"/>
          <w:lang w:val="bs-Latn-BA"/>
        </w:rPr>
        <w:t>, kutan pseudolimfom</w:t>
      </w:r>
      <w:r>
        <w:rPr>
          <w:rStyle w:val="41"/>
          <w:rFonts w:ascii="Microsoft Sans Serif" w:hAnsi="Microsoft Sans Serif" w:cs="Microsoft Sans Serif"/>
          <w:sz w:val="20"/>
          <w:lang w:val="bs-Latn-BA"/>
        </w:rPr>
        <w:t>.</w:t>
      </w:r>
    </w:p>
    <w:p w14:paraId="31E6CD8E">
      <w:pPr>
        <w:jc w:val="both"/>
        <w:rPr>
          <w:rStyle w:val="41"/>
          <w:rFonts w:ascii="Microsoft Sans Serif" w:hAnsi="Microsoft Sans Serif" w:cs="Microsoft Sans Serif"/>
          <w:sz w:val="20"/>
          <w:lang w:val="bs-Latn-BA"/>
        </w:rPr>
      </w:pPr>
    </w:p>
    <w:p w14:paraId="5603FFD6">
      <w:pPr>
        <w:jc w:val="both"/>
        <w:rPr>
          <w:rStyle w:val="40"/>
          <w:rFonts w:ascii="Microsoft Sans Serif" w:hAnsi="Microsoft Sans Serif" w:cs="Microsoft Sans Serif"/>
          <w:sz w:val="20"/>
          <w:lang w:eastAsia="en-GB"/>
        </w:rPr>
      </w:pPr>
      <w:r>
        <w:rPr>
          <w:rStyle w:val="41"/>
          <w:rFonts w:ascii="Microsoft Sans Serif" w:hAnsi="Microsoft Sans Serif" w:cs="Microsoft Sans Serif"/>
          <w:sz w:val="20"/>
          <w:lang w:val="bs-Latn-BA"/>
        </w:rPr>
        <w:t>Prijavljeni su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slučajevi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pojave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složenih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manifestovanjem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jednog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sljedećih simptoma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groznica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vaskulitis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mijalgija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artralgija/artritis</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pozitivan</w:t>
      </w:r>
      <w:r>
        <w:rPr>
          <w:rStyle w:val="40"/>
          <w:rFonts w:ascii="Microsoft Sans Serif" w:hAnsi="Microsoft Sans Serif" w:cs="Microsoft Sans Serif"/>
          <w:sz w:val="20"/>
          <w:lang w:val="bs-Latn-BA"/>
        </w:rPr>
        <w:t xml:space="preserve"> titar </w:t>
      </w:r>
      <w:r>
        <w:rPr>
          <w:rStyle w:val="41"/>
          <w:rFonts w:ascii="Microsoft Sans Serif" w:hAnsi="Microsoft Sans Serif" w:cs="Microsoft Sans Serif"/>
          <w:sz w:val="20"/>
          <w:lang w:val="bs-Latn-BA"/>
        </w:rPr>
        <w:t>antinuklearnih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antitijela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sedimentacija crvene krvne ćelije (ESR)</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eozinofilija i leukocitoza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kožni osip</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fotosenzitivnost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druge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kožne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manifestacije</w:t>
      </w:r>
      <w:r>
        <w:rPr>
          <w:rStyle w:val="40"/>
          <w:rFonts w:ascii="Microsoft Sans Serif" w:hAnsi="Microsoft Sans Serif" w:cs="Microsoft Sans Serif"/>
          <w:sz w:val="20"/>
          <w:lang w:val="bs-Latn-BA"/>
        </w:rPr>
        <w:t>.</w:t>
      </w:r>
    </w:p>
    <w:p w14:paraId="649146B8">
      <w:pPr>
        <w:jc w:val="both"/>
        <w:rPr>
          <w:rFonts w:ascii="Microsoft Sans Serif" w:hAnsi="Microsoft Sans Serif" w:cs="Microsoft Sans Serif"/>
          <w:sz w:val="20"/>
          <w:lang w:val="bs-Latn-BA"/>
        </w:rPr>
      </w:pPr>
    </w:p>
    <w:p w14:paraId="3452ED1E">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bubrega i urinarnog sistema</w:t>
      </w:r>
    </w:p>
    <w:p w14:paraId="6C5F5D6E">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Često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bubrežna disfunkcija.</w:t>
      </w:r>
    </w:p>
    <w:p w14:paraId="21903462">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uremija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akutna insuficijencija bubrega.</w:t>
      </w:r>
    </w:p>
    <w:p w14:paraId="34364AF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Vrlo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oligurija/anurija.</w:t>
      </w:r>
    </w:p>
    <w:p w14:paraId="21E71537">
      <w:pPr>
        <w:jc w:val="both"/>
        <w:rPr>
          <w:rFonts w:ascii="Microsoft Sans Serif" w:hAnsi="Microsoft Sans Serif" w:cs="Microsoft Sans Serif"/>
          <w:sz w:val="20"/>
          <w:lang w:val="hr-HR"/>
        </w:rPr>
      </w:pPr>
    </w:p>
    <w:p w14:paraId="3925A1E4">
      <w:pPr>
        <w:shd w:val="clear" w:color="auto" w:fill="FFFFFF"/>
        <w:jc w:val="both"/>
        <w:rPr>
          <w:rFonts w:ascii="Microsoft Sans Serif" w:hAnsi="Microsoft Sans Serif" w:cs="Microsoft Sans Serif"/>
          <w:sz w:val="20"/>
          <w:u w:val="single"/>
        </w:rPr>
      </w:pPr>
      <w:r>
        <w:rPr>
          <w:rFonts w:ascii="Microsoft Sans Serif" w:hAnsi="Microsoft Sans Serif" w:cs="Microsoft Sans Serif"/>
          <w:sz w:val="20"/>
          <w:u w:val="single"/>
        </w:rPr>
        <w:t>Endokrini poremećaji</w:t>
      </w:r>
    </w:p>
    <w:p w14:paraId="73C08988">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Rijetko: poremećaj u izlučivanju antidiuretskog hormona (SIADH). </w:t>
      </w:r>
    </w:p>
    <w:p w14:paraId="3C692137">
      <w:pPr>
        <w:jc w:val="both"/>
        <w:rPr>
          <w:rFonts w:ascii="Microsoft Sans Serif" w:hAnsi="Microsoft Sans Serif" w:cs="Microsoft Sans Serif"/>
          <w:sz w:val="20"/>
          <w:lang w:val="hr-HR"/>
        </w:rPr>
      </w:pPr>
    </w:p>
    <w:p w14:paraId="282C09BB">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Poremećaji reproduktivnog sistema i dojki</w:t>
      </w:r>
    </w:p>
    <w:p w14:paraId="3C7E211A">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impotencija.</w:t>
      </w:r>
    </w:p>
    <w:p w14:paraId="4DC8B7F0">
      <w:pPr>
        <w:jc w:val="both"/>
        <w:rPr>
          <w:rStyle w:val="41"/>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ginekomastija.</w:t>
      </w:r>
    </w:p>
    <w:p w14:paraId="284555B2">
      <w:pPr>
        <w:jc w:val="both"/>
        <w:rPr>
          <w:rFonts w:ascii="Microsoft Sans Serif" w:hAnsi="Microsoft Sans Serif" w:cs="Microsoft Sans Serif"/>
          <w:sz w:val="20"/>
          <w:lang w:val="bs-Latn-BA"/>
        </w:rPr>
      </w:pPr>
    </w:p>
    <w:p w14:paraId="06F54989">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 xml:space="preserve">Opšti poremećaji i reakcije na mjestu primjene  </w:t>
      </w:r>
    </w:p>
    <w:p w14:paraId="0B12C545">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Fonts w:ascii="Microsoft Sans Serif" w:hAnsi="Microsoft Sans Serif" w:cs="Microsoft Sans Serif"/>
          <w:sz w:val="20"/>
          <w:lang w:val="bs-Latn-BA"/>
        </w:rPr>
        <w:t>zamor, astenija.</w:t>
      </w:r>
    </w:p>
    <w:p w14:paraId="6A2699E4">
      <w:pPr>
        <w:jc w:val="both"/>
        <w:rPr>
          <w:rFonts w:ascii="Microsoft Sans Serif" w:hAnsi="Microsoft Sans Serif" w:cs="Microsoft Sans Serif"/>
          <w:b/>
          <w:sz w:val="20"/>
          <w:lang w:val="bs-Latn-BA"/>
        </w:rPr>
      </w:pPr>
    </w:p>
    <w:p w14:paraId="65EAB803">
      <w:pPr>
        <w:pStyle w:val="26"/>
        <w:jc w:val="both"/>
        <w:rPr>
          <w:rFonts w:ascii="Microsoft Sans Serif" w:hAnsi="Microsoft Sans Serif" w:cs="Microsoft Sans Serif"/>
          <w:b w:val="0"/>
          <w:sz w:val="20"/>
          <w:szCs w:val="20"/>
          <w:u w:val="single"/>
          <w:lang w:val="bs-Latn-BA"/>
        </w:rPr>
      </w:pPr>
      <w:r>
        <w:rPr>
          <w:rFonts w:ascii="Microsoft Sans Serif" w:hAnsi="Microsoft Sans Serif" w:cs="Microsoft Sans Serif"/>
          <w:b w:val="0"/>
          <w:sz w:val="20"/>
          <w:szCs w:val="20"/>
          <w:u w:val="single"/>
          <w:lang w:val="bs-Latn-BA"/>
        </w:rPr>
        <w:t>Pretrage</w:t>
      </w:r>
    </w:p>
    <w:p w14:paraId="78A2326A">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Povremeno</w:t>
      </w:r>
      <w:r>
        <w:rPr>
          <w:rStyle w:val="45"/>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uree 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kreatinina u serumu,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jetrenih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hiperkalemija</w:t>
      </w:r>
      <w:r>
        <w:rPr>
          <w:rStyle w:val="40"/>
          <w:rFonts w:ascii="Microsoft Sans Serif" w:hAnsi="Microsoft Sans Serif" w:cs="Microsoft Sans Serif"/>
          <w:sz w:val="20"/>
          <w:lang w:val="bs-Latn-BA"/>
        </w:rPr>
        <w:t>.</w:t>
      </w:r>
    </w:p>
    <w:p w14:paraId="0174F8DC">
      <w:pPr>
        <w:jc w:val="both"/>
        <w:rPr>
          <w:rFonts w:ascii="Microsoft Sans Serif" w:hAnsi="Microsoft Sans Serif" w:cs="Microsoft Sans Serif"/>
          <w:sz w:val="20"/>
          <w:lang w:val="bs-Latn-BA"/>
        </w:rPr>
      </w:pPr>
      <w:r>
        <w:rPr>
          <w:rStyle w:val="41"/>
          <w:rFonts w:ascii="Microsoft Sans Serif" w:hAnsi="Microsoft Sans Serif" w:cs="Microsoft Sans Serif"/>
          <w:sz w:val="20"/>
          <w:lang w:val="bs-Latn-BA"/>
        </w:rPr>
        <w:t>Rijetko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povišene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serumskog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bilirubina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hiponatremija</w:t>
      </w:r>
      <w:r>
        <w:rPr>
          <w:rStyle w:val="40"/>
          <w:rFonts w:ascii="Microsoft Sans Serif" w:hAnsi="Microsoft Sans Serif" w:cs="Microsoft Sans Serif"/>
          <w:sz w:val="20"/>
          <w:lang w:val="bs-Latn-BA"/>
        </w:rPr>
        <w:t>.</w:t>
      </w:r>
    </w:p>
    <w:p w14:paraId="7F7BB635">
      <w:pPr>
        <w:jc w:val="both"/>
        <w:rPr>
          <w:rFonts w:ascii="Microsoft Sans Serif" w:hAnsi="Microsoft Sans Serif" w:cs="Microsoft Sans Serif"/>
          <w:sz w:val="20"/>
          <w:lang w:val="da-DK"/>
        </w:rPr>
      </w:pPr>
    </w:p>
    <w:p w14:paraId="480A087D">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Podaci o bezbjednosne primjene dobivenih tokom kliničkih ispitivanja ukazuju na to da se lizinopril općenito dobro podnosi kod hipertenzivnih pedijatrijskih pacijenata i da bezbjednosni profil u toj uzrasnoj grupi odgovara bezbjednosnom profilu kod odraslih.</w:t>
      </w:r>
    </w:p>
    <w:p w14:paraId="43F484BE">
      <w:pPr>
        <w:jc w:val="both"/>
        <w:rPr>
          <w:rFonts w:ascii="Microsoft Sans Serif" w:hAnsi="Microsoft Sans Serif" w:cs="Microsoft Sans Serif"/>
          <w:sz w:val="20"/>
          <w:lang w:val="da-DK"/>
        </w:rPr>
      </w:pPr>
    </w:p>
    <w:p w14:paraId="169544FE">
      <w:pPr>
        <w:jc w:val="both"/>
        <w:rPr>
          <w:rFonts w:ascii="Microsoft Sans Serif" w:hAnsi="Microsoft Sans Serif" w:cs="Microsoft Sans Serif"/>
          <w:sz w:val="20"/>
          <w:u w:val="single"/>
        </w:rPr>
      </w:pPr>
      <w:r>
        <w:rPr>
          <w:rFonts w:ascii="Microsoft Sans Serif" w:hAnsi="Microsoft Sans Serif" w:cs="Microsoft Sans Serif"/>
          <w:sz w:val="20"/>
          <w:u w:val="single"/>
        </w:rPr>
        <w:t>Prijavljivanje sumnje na neželjena djelovanja lijeka</w:t>
      </w:r>
    </w:p>
    <w:p w14:paraId="77848130">
      <w:pPr>
        <w:jc w:val="both"/>
        <w:rPr>
          <w:rFonts w:ascii="Microsoft Sans Serif" w:hAnsi="Microsoft Sans Serif" w:cs="Microsoft Sans Serif"/>
          <w:sz w:val="20"/>
        </w:rPr>
      </w:pPr>
      <w:r>
        <w:rPr>
          <w:rFonts w:ascii="Microsoft Sans Serif" w:hAnsi="Microsoft Sans Serif" w:cs="Microsoft Sans Serif"/>
          <w:sz w:val="20"/>
        </w:rPr>
        <w:t>Prijavljivanje sumnje na neželjena djelovanja lijekova, a nakon stavljanja lijeka u promet, je od velike važnosti za formiranje kompletnije slike o bezbjednosnom profile lijeka, odnosno za formiranje što bolje ocjene odnosa korist/rizik pri terapijskoj primjeni lijeka.</w:t>
      </w:r>
    </w:p>
    <w:p w14:paraId="315D0221">
      <w:pPr>
        <w:jc w:val="both"/>
        <w:rPr>
          <w:rFonts w:ascii="Microsoft Sans Serif" w:hAnsi="Microsoft Sans Serif" w:cs="Microsoft Sans Serif"/>
          <w:sz w:val="20"/>
        </w:rPr>
      </w:pPr>
      <w:r>
        <w:rPr>
          <w:rFonts w:ascii="Microsoft Sans Serif" w:hAnsi="Microsoft Sans Serif" w:cs="Microsoft Sans Serif"/>
          <w:sz w:val="20"/>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2770D9">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softverske aplikacije za prijavu neželjenih dejstava lijekova za humanu upotrebu (IS Farmakovigilansa) o kojoj više informacija možete dobiti u našoj Glavnoj kancelariji za farmakovigilansu, ili</w:t>
      </w:r>
    </w:p>
    <w:p w14:paraId="7C210BE5">
      <w:pPr>
        <w:pStyle w:val="52"/>
        <w:numPr>
          <w:ilvl w:val="0"/>
          <w:numId w:val="4"/>
        </w:numPr>
        <w:tabs>
          <w:tab w:val="left" w:pos="567"/>
        </w:tabs>
        <w:spacing w:after="0" w:line="240" w:lineRule="auto"/>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rPr>
        <w:t>putem odgovarajućeg obrasca za prijavljivanje sumnji na neželjena djelovanja lijeka, koji se mogu naći na internet adresi Agencije za lijekove: www.almbih.gov.ba. Popunjen obrazac se može dostaviti ALMBIH putem pošte, na adresu Agencija za lijekove i medicinska sredstva Bosne i Hercegovine, Veljka Mlađenovića bb, Banja Luka, ili elektronske pošte (na e-mail adresu: ndl@almbih.gov.ba)</w:t>
      </w:r>
    </w:p>
    <w:p w14:paraId="1AD252F2">
      <w:pPr>
        <w:jc w:val="both"/>
        <w:rPr>
          <w:rFonts w:ascii="Microsoft Sans Serif" w:hAnsi="Microsoft Sans Serif" w:cs="Microsoft Sans Serif"/>
          <w:sz w:val="20"/>
          <w:lang w:val="da-DK"/>
        </w:rPr>
      </w:pPr>
    </w:p>
    <w:p w14:paraId="11C4C00B">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4.9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Predoziranje</w:t>
      </w:r>
    </w:p>
    <w:p w14:paraId="44082D54">
      <w:pPr>
        <w:jc w:val="both"/>
        <w:rPr>
          <w:rFonts w:ascii="Microsoft Sans Serif" w:hAnsi="Microsoft Sans Serif" w:cs="Microsoft Sans Serif"/>
          <w:sz w:val="20"/>
        </w:rPr>
      </w:pPr>
    </w:p>
    <w:p w14:paraId="08BFC65C">
      <w:pPr>
        <w:shd w:val="clear" w:color="auto" w:fill="FFFFFF"/>
        <w:jc w:val="both"/>
        <w:rPr>
          <w:rFonts w:ascii="Microsoft Sans Serif" w:hAnsi="Microsoft Sans Serif" w:cs="Microsoft Sans Serif"/>
          <w:color w:val="000000"/>
          <w:sz w:val="20"/>
        </w:rPr>
      </w:pPr>
      <w:r>
        <w:rPr>
          <w:rStyle w:val="41"/>
          <w:rFonts w:ascii="Microsoft Sans Serif" w:hAnsi="Microsoft Sans Serif" w:cs="Microsoft Sans Serif"/>
          <w:sz w:val="20"/>
          <w:lang w:val="bs-Latn-BA"/>
        </w:rPr>
        <w:t>Podaci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predoziranju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ljudi su oskudni</w:t>
      </w:r>
      <w:r>
        <w:rPr>
          <w:rStyle w:val="40"/>
          <w:rFonts w:ascii="Microsoft Sans Serif" w:hAnsi="Microsoft Sans Serif" w:cs="Microsoft Sans Serif"/>
          <w:sz w:val="20"/>
          <w:lang w:val="bs-Latn-BA"/>
        </w:rPr>
        <w:t xml:space="preserve">. </w:t>
      </w:r>
    </w:p>
    <w:p w14:paraId="40297EE7">
      <w:pPr>
        <w:shd w:val="clear" w:color="auto" w:fill="FFFFFF"/>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Simptomi povezani sa predoziranjem ACE-inhibitorima mogu uključivati: hipotenziju, cirkulatorni šok, poremećaje elektrolita, insuficijencija bubrega, hiperventilaciju, tahikardiju, palpitacije, bradikardiju, ošamućenost, anksioznost i kašalj.</w:t>
      </w:r>
    </w:p>
    <w:p w14:paraId="12F648B3">
      <w:pPr>
        <w:shd w:val="clear" w:color="auto" w:fill="FFFFFF"/>
        <w:jc w:val="both"/>
        <w:rPr>
          <w:rStyle w:val="40"/>
          <w:rFonts w:ascii="Microsoft Sans Serif" w:hAnsi="Microsoft Sans Serif" w:cs="Microsoft Sans Serif"/>
          <w:sz w:val="20"/>
          <w:lang w:val="bs-Latn-BA"/>
        </w:rPr>
      </w:pPr>
    </w:p>
    <w:p w14:paraId="0D4FBA4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predoziranja kao terapija se preporučuje primjena intravenske infuzije fiziološkog rastvora. Ukoliko dođe do hipotenzije, pacijent se mora postaviti u šok-položaj. Ukoliko je dostupan, može se primijeniti i angiotenzin II u infuziji i/ili kateholamini iv.</w:t>
      </w:r>
    </w:p>
    <w:p w14:paraId="46A9A8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od predoziranja proteklo kratko vrijeme, potrebno je poduzeti mjere za odstranjenje lijeka iz gastrointestinalnog sistema (tj. izazvati povraćanje, izvršiti ispiranje želuca, primijeniti neki adsorbens i natrijum sulfat).</w:t>
      </w:r>
    </w:p>
    <w:p w14:paraId="75A7BDFD">
      <w:pPr>
        <w:shd w:val="clear" w:color="auto" w:fill="FFFFFF"/>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uklanja</w:t>
      </w:r>
      <w:r>
        <w:rPr>
          <w:rStyle w:val="40"/>
          <w:rFonts w:ascii="Microsoft Sans Serif" w:hAnsi="Microsoft Sans Serif" w:cs="Microsoft Sans Serif"/>
          <w:sz w:val="20"/>
          <w:lang w:val="bs-Latn-BA"/>
        </w:rPr>
        <w:t xml:space="preserve"> iz cirkulacije </w:t>
      </w:r>
      <w:r>
        <w:rPr>
          <w:rStyle w:val="41"/>
          <w:rFonts w:ascii="Microsoft Sans Serif" w:hAnsi="Microsoft Sans Serif" w:cs="Microsoft Sans Serif"/>
          <w:sz w:val="20"/>
          <w:lang w:val="bs-Latn-BA"/>
        </w:rPr>
        <w:t>hemodijalizom (pogledati dio 4.4)</w:t>
      </w:r>
      <w:r>
        <w:rPr>
          <w:rStyle w:val="40"/>
          <w:rFonts w:ascii="Microsoft Sans Serif" w:hAnsi="Microsoft Sans Serif" w:cs="Microsoft Sans Serif"/>
          <w:sz w:val="20"/>
          <w:lang w:val="bs-Latn-BA"/>
        </w:rPr>
        <w:t>.</w:t>
      </w:r>
    </w:p>
    <w:p w14:paraId="3F309BF4">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Ako je prisutna bradikardija otporna na terapiju, može se primijeniti srčani elektrostimulator (pacemaker).</w:t>
      </w:r>
    </w:p>
    <w:p w14:paraId="46DBC20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Potrebne su česte kontrole vitalnih znakova te koncentracije elektrolita i kreatinina u serumu. </w:t>
      </w:r>
    </w:p>
    <w:p w14:paraId="77AF269C">
      <w:pPr>
        <w:jc w:val="both"/>
        <w:rPr>
          <w:rFonts w:ascii="Microsoft Sans Serif" w:hAnsi="Microsoft Sans Serif" w:cs="Microsoft Sans Serif"/>
          <w:sz w:val="20"/>
          <w:lang w:val="hr-HR"/>
        </w:rPr>
      </w:pPr>
    </w:p>
    <w:p w14:paraId="156924FD">
      <w:pPr>
        <w:pStyle w:val="10"/>
        <w:jc w:val="both"/>
        <w:rPr>
          <w:rFonts w:ascii="Microsoft Sans Serif" w:hAnsi="Microsoft Sans Serif" w:cs="Microsoft Sans Serif"/>
          <w:sz w:val="20"/>
          <w:szCs w:val="20"/>
          <w:lang w:val="mk-MK"/>
        </w:rPr>
      </w:pPr>
    </w:p>
    <w:p w14:paraId="7DBCAA3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FARMAKOLOŠKE KARAKTERISTIKE </w:t>
      </w:r>
      <w:r>
        <w:rPr>
          <w:rFonts w:ascii="Microsoft Sans Serif" w:hAnsi="Microsoft Sans Serif" w:cs="Microsoft Sans Serif"/>
          <w:b/>
          <w:sz w:val="20"/>
          <w:lang w:val="sr-Latn-BA"/>
        </w:rPr>
        <w:tab/>
      </w:r>
    </w:p>
    <w:p w14:paraId="49DA010D">
      <w:pPr>
        <w:jc w:val="both"/>
        <w:rPr>
          <w:rFonts w:ascii="Microsoft Sans Serif" w:hAnsi="Microsoft Sans Serif" w:cs="Microsoft Sans Serif"/>
          <w:b/>
          <w:sz w:val="20"/>
          <w:lang w:val="sr-Latn-BA"/>
        </w:rPr>
      </w:pPr>
    </w:p>
    <w:p w14:paraId="4B673540">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Farmakodinamičke karakteristike </w:t>
      </w:r>
    </w:p>
    <w:p w14:paraId="5172B6CF">
      <w:pPr>
        <w:jc w:val="both"/>
        <w:rPr>
          <w:rFonts w:ascii="Microsoft Sans Serif" w:hAnsi="Microsoft Sans Serif" w:cs="Microsoft Sans Serif"/>
          <w:sz w:val="20"/>
          <w:lang w:val="mk-MK"/>
        </w:rPr>
      </w:pPr>
    </w:p>
    <w:p w14:paraId="38DC05E1">
      <w:pPr>
        <w:jc w:val="both"/>
        <w:rPr>
          <w:rFonts w:ascii="Microsoft Sans Serif" w:hAnsi="Microsoft Sans Serif" w:cs="Microsoft Sans Serif"/>
          <w:b/>
          <w:sz w:val="20"/>
          <w:lang w:val="bs-Latn-BA"/>
        </w:rPr>
      </w:pPr>
      <w:r>
        <w:rPr>
          <w:rFonts w:ascii="Microsoft Sans Serif" w:hAnsi="Microsoft Sans Serif" w:cs="Microsoft Sans Serif"/>
          <w:iCs/>
          <w:sz w:val="20"/>
          <w:lang w:val="bs-Latn-BA"/>
        </w:rPr>
        <w:t>Farmakoterapijska grupa</w:t>
      </w:r>
      <w:r>
        <w:rPr>
          <w:rFonts w:ascii="Microsoft Sans Serif" w:hAnsi="Microsoft Sans Serif" w:cs="Microsoft Sans Serif"/>
          <w:sz w:val="20"/>
          <w:lang w:val="bs-Latn-BA"/>
        </w:rPr>
        <w:t>: ACE-inhibitor, čist</w:t>
      </w:r>
    </w:p>
    <w:p w14:paraId="6BDA6B0B">
      <w:pPr>
        <w:jc w:val="both"/>
        <w:rPr>
          <w:rFonts w:ascii="Microsoft Sans Serif" w:hAnsi="Microsoft Sans Serif" w:cs="Microsoft Sans Serif"/>
          <w:sz w:val="20"/>
          <w:lang w:val="bs-Latn-BA"/>
        </w:rPr>
      </w:pPr>
      <w:r>
        <w:rPr>
          <w:rFonts w:ascii="Microsoft Sans Serif" w:hAnsi="Microsoft Sans Serif" w:cs="Microsoft Sans Serif"/>
          <w:iCs/>
          <w:sz w:val="20"/>
          <w:lang w:val="bs-Latn-BA"/>
        </w:rPr>
        <w:t xml:space="preserve">Oznaka Anatomsko terapijske klasifikacije (ATC): </w:t>
      </w:r>
      <w:r>
        <w:rPr>
          <w:rFonts w:ascii="Microsoft Sans Serif" w:hAnsi="Microsoft Sans Serif" w:cs="Microsoft Sans Serif"/>
          <w:sz w:val="20"/>
          <w:lang w:val="bs-Latn-BA"/>
        </w:rPr>
        <w:t>C09AA03</w:t>
      </w:r>
    </w:p>
    <w:p w14:paraId="35496AD3">
      <w:pPr>
        <w:jc w:val="both"/>
        <w:rPr>
          <w:rStyle w:val="41"/>
          <w:rFonts w:ascii="Microsoft Sans Serif" w:hAnsi="Microsoft Sans Serif" w:cs="Microsoft Sans Serif"/>
          <w:sz w:val="20"/>
          <w:lang w:val="hr-HR"/>
        </w:rPr>
      </w:pPr>
    </w:p>
    <w:p w14:paraId="5C93F4CC">
      <w:pPr>
        <w:shd w:val="clear" w:color="auto" w:fill="FFFFFF"/>
        <w:jc w:val="both"/>
        <w:rPr>
          <w:rFonts w:ascii="Microsoft Sans Serif" w:hAnsi="Microsoft Sans Serif" w:cs="Microsoft Sans Serif"/>
          <w:bCs/>
          <w:i/>
          <w:color w:val="000000"/>
          <w:sz w:val="20"/>
        </w:rPr>
      </w:pPr>
      <w:r>
        <w:rPr>
          <w:rFonts w:ascii="Microsoft Sans Serif" w:hAnsi="Microsoft Sans Serif" w:cs="Microsoft Sans Serif"/>
          <w:sz w:val="20"/>
          <w:u w:val="single"/>
        </w:rPr>
        <w:t>Mehanizam djelovanja</w:t>
      </w:r>
    </w:p>
    <w:p w14:paraId="33230F46">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 xml:space="preserve">Lizinopril je inhibitor peptidil dipeptidaze. </w:t>
      </w: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w:t>
      </w:r>
      <w:r>
        <w:rPr>
          <w:rStyle w:val="42"/>
          <w:rFonts w:ascii="Microsoft Sans Serif" w:hAnsi="Microsoft Sans Serif" w:cs="Microsoft Sans Serif"/>
          <w:sz w:val="20"/>
          <w:lang w:val="bs-Latn-BA"/>
        </w:rPr>
        <w:t>-</w:t>
      </w:r>
      <w:r>
        <w:rPr>
          <w:rStyle w:val="41"/>
          <w:rFonts w:ascii="Microsoft Sans Serif" w:hAnsi="Microsoft Sans Serif" w:cs="Microsoft Sans Serif"/>
          <w:sz w:val="20"/>
          <w:lang w:val="bs-Latn-BA"/>
        </w:rPr>
        <w:t>konvertujući enzima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katalizuje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konverziju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snažni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vazokonstriktor angiotenzin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 Angiotenzin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takođe stimuliše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 xml:space="preserve">aldosterona </w:t>
      </w:r>
      <w:r>
        <w:rPr>
          <w:rFonts w:ascii="Microsoft Sans Serif" w:hAnsi="Microsoft Sans Serif" w:cs="Microsoft Sans Serif"/>
          <w:color w:val="000000"/>
          <w:sz w:val="20"/>
        </w:rPr>
        <w:t>iz kore nadbubrežne žlijezde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 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 angiotenzina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plazmi,</w:t>
      </w:r>
      <w:r>
        <w:rPr>
          <w:rStyle w:val="40"/>
          <w:rFonts w:ascii="Microsoft Sans Serif" w:hAnsi="Microsoft Sans Serif" w:cs="Microsoft Sans Serif"/>
          <w:sz w:val="20"/>
          <w:lang w:val="bs-Latn-BA"/>
        </w:rPr>
        <w:t xml:space="preserve"> što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vazopresorne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aktivnosti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do </w:t>
      </w:r>
      <w:r>
        <w:rPr>
          <w:rStyle w:val="41"/>
          <w:rFonts w:ascii="Microsoft Sans Serif" w:hAnsi="Microsoft Sans Serif" w:cs="Microsoft Sans Serif"/>
          <w:sz w:val="20"/>
          <w:lang w:val="bs-Latn-BA"/>
        </w:rPr>
        <w:t>smanjenja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lučenja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aldosterona</w:t>
      </w:r>
      <w:r>
        <w:rPr>
          <w:rStyle w:val="40"/>
          <w:rFonts w:ascii="Microsoft Sans Serif" w:hAnsi="Microsoft Sans Serif" w:cs="Microsoft Sans Serif"/>
          <w:sz w:val="20"/>
          <w:lang w:val="bs-Latn-BA"/>
        </w:rPr>
        <w:t>.</w:t>
      </w:r>
      <w:r>
        <w:rPr>
          <w:rFonts w:ascii="Microsoft Sans Serif" w:hAnsi="Microsoft Sans Serif" w:cs="Microsoft Sans Serif"/>
          <w:color w:val="000000"/>
          <w:sz w:val="20"/>
        </w:rPr>
        <w:t xml:space="preserve"> Ovo može dovesti do porasta serumskog kalijuma.</w:t>
      </w:r>
    </w:p>
    <w:p w14:paraId="630DD01C">
      <w:pPr>
        <w:jc w:val="both"/>
        <w:rPr>
          <w:rStyle w:val="40"/>
          <w:rFonts w:ascii="Microsoft Sans Serif" w:hAnsi="Microsoft Sans Serif" w:cs="Microsoft Sans Serif"/>
          <w:sz w:val="20"/>
          <w:lang w:val="bs-Latn-BA"/>
        </w:rPr>
      </w:pPr>
    </w:p>
    <w:p w14:paraId="23F5C0A7">
      <w:pPr>
        <w:jc w:val="both"/>
        <w:rPr>
          <w:rStyle w:val="41"/>
          <w:rFonts w:ascii="Microsoft Sans Serif" w:hAnsi="Microsoft Sans Serif" w:cs="Microsoft Sans Serif"/>
          <w:sz w:val="20"/>
          <w:u w:val="single"/>
          <w:lang w:val="bs-Latn-BA"/>
        </w:rPr>
      </w:pPr>
      <w:r>
        <w:rPr>
          <w:rStyle w:val="41"/>
          <w:rFonts w:ascii="Microsoft Sans Serif" w:hAnsi="Microsoft Sans Serif" w:cs="Microsoft Sans Serif"/>
          <w:sz w:val="20"/>
          <w:u w:val="single"/>
          <w:lang w:val="bs-Latn-BA"/>
        </w:rPr>
        <w:t>Farmakodinamska dejstva</w:t>
      </w:r>
    </w:p>
    <w:p w14:paraId="25EC9186">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 xml:space="preserve">Iako se vjeruje kako je osnovni mehanizam putem kojeg lizinopril primarno ostvaruje svoj antihipertenzivni efekat supresija sistema renin-angiotenzin-aldosteron, uočeno je da lizinopril djeluje antihipertenzivno čak i kod pacijenata sa vrstom hipertenzije za koju je karakteristična niska količina renina.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identičan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kininazi II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enzim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razgrađuje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Inhibicija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dovodi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povećane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bradikinina</w:t>
      </w:r>
      <w:r>
        <w:rPr>
          <w:rStyle w:val="40"/>
          <w:rFonts w:ascii="Microsoft Sans Serif" w:hAnsi="Microsoft Sans Serif" w:cs="Microsoft Sans Serif"/>
          <w:sz w:val="20"/>
          <w:lang w:val="bs-Latn-BA"/>
        </w:rPr>
        <w:t xml:space="preserve">, koji je </w:t>
      </w:r>
      <w:r>
        <w:rPr>
          <w:rStyle w:val="41"/>
          <w:rFonts w:ascii="Microsoft Sans Serif" w:hAnsi="Microsoft Sans Serif" w:cs="Microsoft Sans Serif"/>
          <w:sz w:val="20"/>
          <w:lang w:val="bs-Latn-BA"/>
        </w:rPr>
        <w:t>moćan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vazodilatatorni peptid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li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doprinosi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terapeutskim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efektima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ostaje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se utvrdi</w:t>
      </w:r>
      <w:r>
        <w:rPr>
          <w:rStyle w:val="40"/>
          <w:rFonts w:ascii="Microsoft Sans Serif" w:hAnsi="Microsoft Sans Serif" w:cs="Microsoft Sans Serif"/>
          <w:sz w:val="20"/>
          <w:lang w:val="bs-Latn-BA"/>
        </w:rPr>
        <w:t>.</w:t>
      </w:r>
    </w:p>
    <w:p w14:paraId="7F9786C3">
      <w:pPr>
        <w:jc w:val="both"/>
        <w:rPr>
          <w:rStyle w:val="40"/>
          <w:rFonts w:ascii="Microsoft Sans Serif" w:hAnsi="Microsoft Sans Serif" w:cs="Microsoft Sans Serif"/>
          <w:sz w:val="20"/>
          <w:lang w:val="bs-Latn-BA"/>
        </w:rPr>
      </w:pPr>
    </w:p>
    <w:p w14:paraId="7319D2CF">
      <w:pPr>
        <w:shd w:val="clear" w:color="auto" w:fill="FFFFFF"/>
        <w:jc w:val="both"/>
        <w:rPr>
          <w:rFonts w:ascii="Microsoft Sans Serif" w:hAnsi="Microsoft Sans Serif" w:cs="Microsoft Sans Serif"/>
          <w:color w:val="000000"/>
          <w:sz w:val="20"/>
          <w:u w:val="single"/>
        </w:rPr>
      </w:pPr>
      <w:r>
        <w:rPr>
          <w:rFonts w:ascii="Microsoft Sans Serif" w:hAnsi="Microsoft Sans Serif" w:cs="Microsoft Sans Serif"/>
          <w:sz w:val="20"/>
          <w:u w:val="single"/>
        </w:rPr>
        <w:t>Klinička efikasnost i sigurnost</w:t>
      </w:r>
    </w:p>
    <w:p w14:paraId="40B945A9">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U kliničkom ispitivanju o efektu lizinoprila na mortalitet i morbiditet na pacijente sa insuficijencijom srca uspoređivan je efekat visokih (32,5 mg ili 35 mg jedanput na dan) i niskih (2,5 mg ili 5 mg jedanput na dan) doza lizinoprila. U ispitivanje je bilo uključeno 3.164 pacijenata koji su bili praćeni prosječno tokom 46 mjeseci. U usporedbi sa niskom dozom, primjena lizinoprila u visokoj dozi imala je za posljedicu smanjenje kombiniranog rizika ukupne smrtnosti i hospitalizacije zbog bilo kojeg razloga za 12% (p=0,002) te kombiniranog rizika ukupne smrtnosti i hospitalizacije zbog kardiovaskularnih razloga za 8% (p=0,036). Isto tako je uočeno smanjenje rizika ukupne smrtnosti (8%, p=0,128) i kardiovaskularne smrtnosti (10%, p=0,073). U ”post-hoc“ analizi, broj hospitalizacija zbog insuficijencije srca smanjio se za 24% (p=0,002) kod pacijenata koji su liječeni visokim dozama lizinoprila u odnosu na pacijenata liječene niskim dozama. Simptomatsko poboljšanje bilo je podjednako u obje grupe pacijenata.</w:t>
      </w:r>
    </w:p>
    <w:p w14:paraId="1EB244FB">
      <w:pPr>
        <w:pStyle w:val="38"/>
        <w:jc w:val="both"/>
        <w:rPr>
          <w:rFonts w:ascii="Microsoft Sans Serif" w:hAnsi="Microsoft Sans Serif" w:cs="Microsoft Sans Serif"/>
          <w:iCs/>
          <w:sz w:val="20"/>
          <w:szCs w:val="20"/>
        </w:rPr>
      </w:pPr>
    </w:p>
    <w:p w14:paraId="380D09D5">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Vrsta i učestalost neželjenih dejstava koje su se javljale bila je takođe podjednaka u obje grupe pacijenata. Uobičajena i predvidljiva neželjena djelovanja koja su posljedica ACE inhibicije (npr. hipotenzija ili poremećaji funkcije bubrega) su se uspješno tretirale tako da je rijetko bio potreban prekid terapije. Kašalj se rjeđe javljao kod pacijenata koji su dobivali visoke doze lizinoprila u odnosu na one koji su dobivali niske doze.</w:t>
      </w:r>
    </w:p>
    <w:p w14:paraId="673EF024">
      <w:pPr>
        <w:pStyle w:val="38"/>
        <w:jc w:val="both"/>
        <w:rPr>
          <w:rFonts w:ascii="Microsoft Sans Serif" w:hAnsi="Microsoft Sans Serif" w:cs="Microsoft Sans Serif"/>
          <w:iCs/>
          <w:sz w:val="20"/>
          <w:szCs w:val="20"/>
        </w:rPr>
      </w:pPr>
    </w:p>
    <w:p w14:paraId="748F850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GISSI-3 kliničkom ispitivanju, u kojem je bio korišten 2X2 faktorijalni dizajn kako bi se usporedili efekti lizinoprila i gliceriltrinitrata primijenjenih pojedinačno ili u kombinaciji tokom 6 sedmica, u usporedbi sa kontrolom, kod 19.394 pacijenata koji su dobili terapiju unutar 24 sata od akutnog infarkta miokarda, primjena lizinoprila imala je za posljedicu statistički značajno smanjenje rizika smrtnosti od 11% u odnosu na kontrolu (2p=0,03). Smanjenje rizika sa gliceriltrinitratom nije bilo statistički značajno, međutim, kombinacija lizinoprila i gliceriltrinitrata dovela je do značajnog smanjenja smrtnosti od 17% u odnosu na kontrolu (2p=0,02). U pogdrupi starijih pacijenata (stariji od 70 godina) i ženskog pola, koje su prethodno definirane kao grupe sa povećanim rizikom smrtnosti, uočen je značajan povoljni efekat na kombinovani rizik smrtnosti i srčane funkcije. Kod svih pacijenata, uključujući i one iz grupe sa povećanim rizikom, koji su dobivali lizinopril ili lizinopril u kombinaciji sa gliceriltrinitratom tokom 6 sedmica, uočen je značajan povoljni efekat na praćene parametre nakon 6 mjeseci, upućujući na preventivni efekat lizinoprila. Kao sto se može očekivati kod liječenja bilo kojim vazodilatatorom, primjena lizinoprila bila je povezana sa povećanom učestalošću hipotenzije i poremećaja funkcije bubrega, međutim, to nije imalo za posljedicu proporcionalno povećanje smrtnosti.</w:t>
      </w:r>
    </w:p>
    <w:p w14:paraId="40EEF8E4">
      <w:pPr>
        <w:shd w:val="clear" w:color="auto" w:fill="FFFFFF"/>
        <w:jc w:val="both"/>
        <w:rPr>
          <w:rFonts w:ascii="Microsoft Sans Serif" w:hAnsi="Microsoft Sans Serif" w:cs="Microsoft Sans Serif"/>
          <w:sz w:val="20"/>
        </w:rPr>
      </w:pPr>
    </w:p>
    <w:p w14:paraId="2ACF2835">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dvostruko slijepom, randomiziranom, multicentričnom ispitivanju u kojem su se uspoređivali efekti lizinoprila i blokatora kalcijumskih kanala kod 355 pacijenata sa hipertenzijom i dijabetesom tipa 2 koji su imali početnu nefropatiju sa mikroalbuminurijom, pokazalo se da je primjena lizinoprila u dozi od 10 do 20 mg jedanput na dan tokom 12 mjeseci imala za posljedicu smanjenje sistolnog/dijastolnog pritiska za 13/10 mmHg te smanjenje izlučivanja albumina u urinu za 40%. Za razliku od blokatora kalcijumskih kanala, čiji je efekat na smanjenje krvnog pritiska bio podjednak, u grupi pacijenata koja je dobivala lizinopril uočeno je značajno veće smanjenje izlučivanja albumina u urinu, čime je pokazano da lizinopril, osim svojim djelovanjem na smanjenje krvnog pritiska, putem ACE inhibirajućeg efekta dodatno smanjuje mikroalbuminuriju direktnim mehanizmom djelovanja na tkivo bubrega.</w:t>
      </w:r>
    </w:p>
    <w:p w14:paraId="684649E0">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Primjena lizinoprila ne utiče na kontrolu glikemije, sto se očituje izostankom značajnog efekta na nivo glikoziliranog hemoglobina (HbAlc).</w:t>
      </w:r>
    </w:p>
    <w:p w14:paraId="6B8D014C">
      <w:pPr>
        <w:pStyle w:val="38"/>
        <w:jc w:val="both"/>
        <w:rPr>
          <w:rFonts w:ascii="Microsoft Sans Serif" w:hAnsi="Microsoft Sans Serif" w:cs="Microsoft Sans Serif"/>
          <w:iCs/>
          <w:sz w:val="20"/>
          <w:szCs w:val="20"/>
          <w:u w:val="single"/>
        </w:rPr>
      </w:pPr>
    </w:p>
    <w:p w14:paraId="1B77A22B">
      <w:pPr>
        <w:rPr>
          <w:rFonts w:ascii="Microsoft Sans Serif" w:hAnsi="Microsoft Sans Serif" w:cs="Microsoft Sans Serif"/>
          <w:sz w:val="20"/>
          <w:u w:val="single"/>
          <w:lang w:val="en"/>
        </w:rPr>
      </w:pPr>
      <w:r>
        <w:rPr>
          <w:rFonts w:ascii="Microsoft Sans Serif" w:hAnsi="Microsoft Sans Serif" w:cs="Microsoft Sans Serif"/>
          <w:iCs/>
          <w:sz w:val="20"/>
          <w:u w:val="single"/>
          <w:lang w:val="en"/>
        </w:rPr>
        <w:t>Lijekovi koji djeluju na sistem renin-angiotensin (RAS)</w:t>
      </w:r>
    </w:p>
    <w:p w14:paraId="57951247">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 xml:space="preserve">Dva velika randomizirana, kontrolirana ispitivanja (ONTARGET (eng. </w:t>
      </w:r>
      <w:r>
        <w:rPr>
          <w:rFonts w:ascii="Microsoft Sans Serif" w:hAnsi="Microsoft Sans Serif" w:cs="Microsoft Sans Serif"/>
          <w:i/>
          <w:iCs/>
          <w:sz w:val="20"/>
          <w:szCs w:val="20"/>
        </w:rPr>
        <w:t>ONgoing Telmisartan Alone and in combination with Ramipril Global Endpoint Trial</w:t>
      </w:r>
      <w:r>
        <w:rPr>
          <w:rFonts w:ascii="Microsoft Sans Serif" w:hAnsi="Microsoft Sans Serif" w:cs="Microsoft Sans Serif"/>
          <w:iCs/>
          <w:sz w:val="20"/>
          <w:szCs w:val="20"/>
        </w:rPr>
        <w:t xml:space="preserve">) i VA NEPHRON-D (eng. </w:t>
      </w:r>
      <w:r>
        <w:rPr>
          <w:rFonts w:ascii="Microsoft Sans Serif" w:hAnsi="Microsoft Sans Serif" w:cs="Microsoft Sans Serif"/>
          <w:i/>
          <w:iCs/>
          <w:sz w:val="20"/>
          <w:szCs w:val="20"/>
        </w:rPr>
        <w:t>The Veterans Affairs Nephropathy in Diabetes</w:t>
      </w:r>
      <w:r>
        <w:rPr>
          <w:rFonts w:ascii="Microsoft Sans Serif" w:hAnsi="Microsoft Sans Serif" w:cs="Microsoft Sans Serif"/>
          <w:iCs/>
          <w:sz w:val="20"/>
          <w:szCs w:val="20"/>
        </w:rPr>
        <w:t>)) ispitivala su primjenu kombinacije ACE inhibitora sa blokatorom angiotenzin II receptora.</w:t>
      </w:r>
    </w:p>
    <w:p w14:paraId="0CEB12A6">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31373084">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ONTARGET je bilo ispitivanje provedeno kod pacijenata sa kardiovaskularnom ili cerebrovaskularnom bolešću u anamnezi, ili sa šećernom bolešću tipa 2 uz dokaze oštećenja ciljanih organa. VA NEPHRON-D je bilo ispitivanje kod pacijenata sa šećernom bolešću tipa 2 i dijabetičkom nefropatijom.</w:t>
      </w:r>
    </w:p>
    <w:p w14:paraId="2D4CF300">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7C12FF9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Ta ispitivanja nisu pokazala nikakav značajan povoljan efekat na bubrežne i/ili kardiovaskularne ishode i smrtnost, a bio je uočen povećani rizik od hiperkalemije, akutne ozljede bubrega i/ili hipotenzije u usporedbi sa monoterapijom. S obzirom na njihova slična farmakodinamička svojstva, ti su rezultati relevantni i za druge ACE inhibitore i blokatore angiotenzin II receptora.</w:t>
      </w:r>
    </w:p>
    <w:p w14:paraId="7FE36332">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51616961">
      <w:pPr>
        <w:pStyle w:val="38"/>
        <w:jc w:val="both"/>
        <w:rPr>
          <w:rFonts w:ascii="Microsoft Sans Serif" w:hAnsi="Microsoft Sans Serif" w:cs="Microsoft Sans Serif"/>
          <w:iCs/>
          <w:sz w:val="20"/>
          <w:szCs w:val="20"/>
        </w:rPr>
      </w:pPr>
      <w:r>
        <w:rPr>
          <w:rFonts w:ascii="Microsoft Sans Serif" w:hAnsi="Microsoft Sans Serif" w:cs="Microsoft Sans Serif"/>
          <w:iCs/>
          <w:sz w:val="20"/>
          <w:szCs w:val="20"/>
        </w:rPr>
        <w:t>ACE inhibitori i blokatori angiotenzin II receptora stoga se ne smiju istovremeno primjenjivati kod pacijenata sa dijabetičkom nefropatijom.</w:t>
      </w:r>
    </w:p>
    <w:p w14:paraId="21147D97">
      <w:pPr>
        <w:pStyle w:val="38"/>
        <w:jc w:val="both"/>
        <w:rPr>
          <w:rFonts w:ascii="Microsoft Sans Serif" w:hAnsi="Microsoft Sans Serif" w:cs="Microsoft Sans Serif"/>
          <w:sz w:val="20"/>
          <w:szCs w:val="20"/>
        </w:rPr>
      </w:pPr>
      <w:r>
        <w:rPr>
          <w:rFonts w:ascii="Microsoft Sans Serif" w:hAnsi="Microsoft Sans Serif" w:cs="Microsoft Sans Serif"/>
          <w:iCs/>
          <w:sz w:val="20"/>
          <w:szCs w:val="20"/>
        </w:rPr>
        <w:t xml:space="preserve"> </w:t>
      </w:r>
    </w:p>
    <w:p w14:paraId="2A22CB0B">
      <w:pPr>
        <w:shd w:val="clear" w:color="auto" w:fill="FFFFFF"/>
        <w:jc w:val="both"/>
        <w:rPr>
          <w:rFonts w:ascii="Microsoft Sans Serif" w:hAnsi="Microsoft Sans Serif" w:cs="Microsoft Sans Serif"/>
          <w:sz w:val="20"/>
        </w:rPr>
      </w:pPr>
      <w:r>
        <w:rPr>
          <w:rFonts w:ascii="Microsoft Sans Serif" w:hAnsi="Microsoft Sans Serif" w:cs="Microsoft Sans Serif"/>
          <w:iCs/>
          <w:sz w:val="20"/>
        </w:rPr>
        <w:t xml:space="preserve">ALTITUDE (eng. </w:t>
      </w:r>
      <w:r>
        <w:rPr>
          <w:rFonts w:ascii="Microsoft Sans Serif" w:hAnsi="Microsoft Sans Serif" w:cs="Microsoft Sans Serif"/>
          <w:i/>
          <w:iCs/>
          <w:sz w:val="20"/>
        </w:rPr>
        <w:t>Aliskiren Trial in Type 2 Diabetes Using Cardiovascular and Renal Disease Endpoints</w:t>
      </w:r>
      <w:r>
        <w:rPr>
          <w:rFonts w:ascii="Microsoft Sans Serif" w:hAnsi="Microsoft Sans Serif" w:cs="Microsoft Sans Serif"/>
          <w:iCs/>
          <w:sz w:val="20"/>
        </w:rPr>
        <w:t>) je bilo ispitivanje osmišljeno za testiranje koristi dodavanja aliskirena standardnoj terapiji sa ACE inhibitorom ili blokatorom angiotenzin II receptora kod pacijenata sa šećernom bolešću tipa 2 i hroničnom bolešću bubrega, kardiovaskularnom bolešću ili oboje. Ispitivanje je bilo prijevremeno prekinuto zbog povećanog rizika od štetnih ishoda. Kardiovaskularna smrt i moždani udar oboje su numerički bili učestaliji u grupi koja je primala aliskiren nego u onoj koja je primala placebo, a štetni događaji i ozbiljni štetni događaji od značaja (hiperkalemija, hipotenzija i bubrežna disfunkcija) bili su učestalije zabilježeni u grupi koja je primala aliskiren nego u onoj koja je primala placebo.</w:t>
      </w:r>
    </w:p>
    <w:p w14:paraId="13D43FE3">
      <w:pPr>
        <w:jc w:val="both"/>
        <w:rPr>
          <w:rFonts w:ascii="Microsoft Sans Serif" w:hAnsi="Microsoft Sans Serif" w:cs="Microsoft Sans Serif"/>
          <w:sz w:val="20"/>
        </w:rPr>
      </w:pPr>
    </w:p>
    <w:p w14:paraId="50A3A79A">
      <w:pPr>
        <w:jc w:val="both"/>
        <w:rPr>
          <w:rFonts w:ascii="Microsoft Sans Serif" w:hAnsi="Microsoft Sans Serif" w:cs="Microsoft Sans Serif"/>
          <w:sz w:val="20"/>
          <w:u w:val="single"/>
        </w:rPr>
      </w:pPr>
      <w:r>
        <w:rPr>
          <w:rFonts w:ascii="Microsoft Sans Serif" w:hAnsi="Microsoft Sans Serif" w:cs="Microsoft Sans Serif"/>
          <w:sz w:val="20"/>
          <w:u w:val="single"/>
        </w:rPr>
        <w:t>Pedijatrijska populacija</w:t>
      </w:r>
    </w:p>
    <w:p w14:paraId="3161AB5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U kliničkom ispitivanju koje je uključivalo 115 hipertenzivnih pedijatrijskih pacijenata starosti od 6 do 16 godina, pacijenti koji su imali manje od 50 kg tjelesne mase primali su 0,625 mg, 2,5 mg ili 20 mg lizinoprila jednom dnevno, a pacijenti tjelesne mase 50 kg i više primali su 1,25 mg, 5 mg ili 40 mg lizinoprila jednom dnevno. Na kraju druge sedmice primjene, lizinopril, koji je primjenjivan jednom dnevno, pokazao je antihipertenzivan efekat zavisno o primijenjenoj dozi i bio je održan pri dozama većim od 1,25 mg.</w:t>
      </w:r>
    </w:p>
    <w:p w14:paraId="0AF8089F">
      <w:pPr>
        <w:shd w:val="clear" w:color="auto" w:fill="FFFFFF"/>
        <w:jc w:val="both"/>
        <w:rPr>
          <w:rFonts w:ascii="Microsoft Sans Serif" w:hAnsi="Microsoft Sans Serif" w:cs="Microsoft Sans Serif"/>
          <w:color w:val="000000"/>
          <w:sz w:val="20"/>
        </w:rPr>
      </w:pPr>
    </w:p>
    <w:p w14:paraId="686F7C93">
      <w:pPr>
        <w:shd w:val="clear" w:color="auto" w:fill="FFFFFF"/>
        <w:jc w:val="both"/>
        <w:rPr>
          <w:rFonts w:ascii="Microsoft Sans Serif" w:hAnsi="Microsoft Sans Serif" w:cs="Microsoft Sans Serif"/>
          <w:color w:val="000000"/>
          <w:sz w:val="20"/>
        </w:rPr>
      </w:pPr>
      <w:r>
        <w:rPr>
          <w:rFonts w:ascii="Microsoft Sans Serif" w:hAnsi="Microsoft Sans Serif" w:cs="Microsoft Sans Serif"/>
          <w:color w:val="000000"/>
          <w:sz w:val="20"/>
        </w:rPr>
        <w:t>Efekat je bio potvrđen nakon prestanka primjene lijeka, kada se dijastolni pritisak povisio za oko 9 mm Hg više kod pacijenata randomiziranih u placebo grupu, u usporedbi sa pacijentima randomiziranim u grupe sa srednjom ili velikom dozom lizinoprila. Antihipertenzivni efekat lizinoprila, koji je zavisan o dozi, ostao je nepromijenjen u nekoliko demografskih podgrupa definiranim prema: životnoj dobi, stepenima pubertetskog razvoja prema Tanneru, spolu i rasi.</w:t>
      </w:r>
    </w:p>
    <w:p w14:paraId="180AF1D1">
      <w:pPr>
        <w:jc w:val="both"/>
        <w:rPr>
          <w:rFonts w:ascii="Microsoft Sans Serif" w:hAnsi="Microsoft Sans Serif" w:cs="Microsoft Sans Serif"/>
          <w:sz w:val="20"/>
        </w:rPr>
      </w:pPr>
    </w:p>
    <w:p w14:paraId="76EB8D4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5.2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Farmakokinetičke karakteristike</w:t>
      </w:r>
    </w:p>
    <w:p w14:paraId="4598D3E2">
      <w:pPr>
        <w:autoSpaceDE w:val="0"/>
        <w:autoSpaceDN w:val="0"/>
        <w:adjustRightInd w:val="0"/>
        <w:jc w:val="both"/>
        <w:rPr>
          <w:rFonts w:ascii="Microsoft Sans Serif" w:hAnsi="Microsoft Sans Serif" w:cs="Microsoft Sans Serif"/>
          <w:sz w:val="20"/>
          <w:lang w:val="sr-Latn-BA"/>
        </w:rPr>
      </w:pPr>
    </w:p>
    <w:p w14:paraId="13056A55">
      <w:pPr>
        <w:shd w:val="clear" w:color="auto" w:fill="FFFFFF"/>
        <w:rPr>
          <w:rFonts w:ascii="Microsoft Sans Serif" w:hAnsi="Microsoft Sans Serif" w:cs="Microsoft Sans Serif"/>
          <w:bCs/>
          <w:sz w:val="20"/>
        </w:rPr>
      </w:pPr>
      <w:r>
        <w:rPr>
          <w:rFonts w:ascii="Microsoft Sans Serif" w:hAnsi="Microsoft Sans Serif" w:cs="Microsoft Sans Serif"/>
          <w:bCs/>
          <w:sz w:val="20"/>
        </w:rPr>
        <w:t>Lizinopril je oralno aktivan ne-sulfhidrilni ACE-inhibitor.</w:t>
      </w:r>
    </w:p>
    <w:p w14:paraId="51CD0190">
      <w:pPr>
        <w:pStyle w:val="19"/>
        <w:tabs>
          <w:tab w:val="clear" w:pos="4320"/>
          <w:tab w:val="clear" w:pos="8640"/>
        </w:tabs>
        <w:jc w:val="both"/>
        <w:rPr>
          <w:rFonts w:ascii="Microsoft Sans Serif" w:hAnsi="Microsoft Sans Serif" w:cs="Microsoft Sans Serif"/>
          <w:b/>
          <w:sz w:val="20"/>
          <w:lang w:val="bs-Latn-BA"/>
        </w:rPr>
      </w:pPr>
    </w:p>
    <w:p w14:paraId="40C1E47A">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Apsorpcija</w:t>
      </w:r>
    </w:p>
    <w:p w14:paraId="6966FD20">
      <w:pPr>
        <w:jc w:val="both"/>
        <w:rPr>
          <w:rStyle w:val="40"/>
          <w:rFonts w:ascii="Microsoft Sans Serif" w:hAnsi="Microsoft Sans Serif" w:cs="Microsoft Sans Serif"/>
          <w:sz w:val="20"/>
          <w:shd w:val="clear" w:color="auto" w:fill="FFFFFF"/>
          <w:lang w:val="bs-Latn-BA"/>
        </w:rPr>
      </w:pPr>
      <w:r>
        <w:rPr>
          <w:rStyle w:val="40"/>
          <w:rFonts w:ascii="Microsoft Sans Serif" w:hAnsi="Microsoft Sans Serif" w:cs="Microsoft Sans Serif"/>
          <w:sz w:val="20"/>
          <w:shd w:val="clear" w:color="auto" w:fill="FFFFFF"/>
          <w:lang w:val="bs-Latn-BA"/>
        </w:rPr>
        <w:t>Nakon oralne primjene lizinoprila,</w:t>
      </w:r>
      <w:r>
        <w:rPr>
          <w:rFonts w:ascii="Microsoft Sans Serif" w:hAnsi="Microsoft Sans Serif" w:cs="Microsoft Sans Serif"/>
          <w:color w:val="000000"/>
          <w:sz w:val="20"/>
        </w:rPr>
        <w:t xml:space="preserve"> maksimalne koncentracije u serumu postižu se unutar 7 sati,</w:t>
      </w:r>
      <w:r>
        <w:rPr>
          <w:rFonts w:ascii="Microsoft Sans Serif" w:hAnsi="Microsoft Sans Serif" w:cs="Microsoft Sans Serif"/>
          <w:sz w:val="20"/>
        </w:rPr>
        <w:t xml:space="preserve"> </w:t>
      </w:r>
      <w:r>
        <w:rPr>
          <w:rFonts w:ascii="Microsoft Sans Serif" w:hAnsi="Microsoft Sans Serif" w:cs="Microsoft Sans Serif"/>
          <w:color w:val="000000"/>
          <w:sz w:val="20"/>
        </w:rPr>
        <w:t>iako kod pacijenata sa akutnim infarktom miokarda to vrijeme može biti malo produženo</w:t>
      </w:r>
      <w:r>
        <w:rPr>
          <w:rStyle w:val="40"/>
          <w:rFonts w:ascii="Microsoft Sans Serif" w:hAnsi="Microsoft Sans Serif" w:cs="Microsoft Sans Serif"/>
          <w:sz w:val="20"/>
          <w:shd w:val="clear" w:color="auto" w:fill="FFFFFF"/>
          <w:lang w:val="bs-Latn-BA"/>
        </w:rPr>
        <w:t xml:space="preserve">. Zasnovano na ekskreciji u urinu, </w:t>
      </w:r>
      <w:r>
        <w:rPr>
          <w:rFonts w:ascii="Microsoft Sans Serif" w:hAnsi="Microsoft Sans Serif" w:cs="Microsoft Sans Serif"/>
          <w:color w:val="000000"/>
          <w:sz w:val="20"/>
          <w:lang w:val="bs-Latn-BA"/>
        </w:rPr>
        <w:t>p</w:t>
      </w:r>
      <w:r>
        <w:rPr>
          <w:rFonts w:ascii="Microsoft Sans Serif" w:hAnsi="Microsoft Sans Serif" w:cs="Microsoft Sans Serif"/>
          <w:color w:val="000000"/>
          <w:sz w:val="20"/>
        </w:rPr>
        <w:t xml:space="preserve">rosječni stepen </w:t>
      </w:r>
      <w:r>
        <w:rPr>
          <w:rStyle w:val="40"/>
          <w:rFonts w:ascii="Microsoft Sans Serif" w:hAnsi="Microsoft Sans Serif" w:cs="Microsoft Sans Serif"/>
          <w:sz w:val="20"/>
          <w:shd w:val="clear" w:color="auto" w:fill="FFFFFF"/>
          <w:lang w:val="bs-Latn-BA"/>
        </w:rPr>
        <w:t xml:space="preserve">apsorpcije </w:t>
      </w:r>
      <w:r>
        <w:rPr>
          <w:rFonts w:ascii="Microsoft Sans Serif" w:hAnsi="Microsoft Sans Serif" w:cs="Microsoft Sans Serif"/>
          <w:color w:val="000000"/>
          <w:sz w:val="20"/>
        </w:rPr>
        <w:t xml:space="preserve">iznosi </w:t>
      </w:r>
      <w:r>
        <w:rPr>
          <w:rStyle w:val="40"/>
          <w:rFonts w:ascii="Microsoft Sans Serif" w:hAnsi="Microsoft Sans Serif" w:cs="Microsoft Sans Serif"/>
          <w:sz w:val="20"/>
          <w:shd w:val="clear" w:color="auto" w:fill="FFFFFF"/>
          <w:lang w:val="bs-Latn-BA"/>
        </w:rPr>
        <w:t xml:space="preserve">oko 25% od primijenjene doze sa širokim interindividualnim varijacijama (6%-60%) u zavisnosti od raspona ispitivanih doza (5-80 mg). </w:t>
      </w:r>
    </w:p>
    <w:p w14:paraId="2F09A88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insuficijencijom srca, apsolutna bioraspoloživost smanjena je za odprilike</w:t>
      </w:r>
      <w:r>
        <w:rPr>
          <w:rFonts w:ascii="Microsoft Sans Serif" w:hAnsi="Microsoft Sans Serif" w:cs="Microsoft Sans Serif"/>
          <w:sz w:val="20"/>
        </w:rPr>
        <w:t xml:space="preserve"> </w:t>
      </w:r>
      <w:r>
        <w:rPr>
          <w:rFonts w:ascii="Microsoft Sans Serif" w:hAnsi="Microsoft Sans Serif" w:cs="Microsoft Sans Serif"/>
          <w:color w:val="000000"/>
          <w:sz w:val="20"/>
        </w:rPr>
        <w:t>16%. Hrana nema uticaj na apsorpciju lizinoprila.</w:t>
      </w:r>
    </w:p>
    <w:p w14:paraId="20938FE6">
      <w:pPr>
        <w:jc w:val="both"/>
        <w:rPr>
          <w:rFonts w:ascii="Microsoft Sans Serif" w:hAnsi="Microsoft Sans Serif" w:cs="Microsoft Sans Serif"/>
          <w:sz w:val="20"/>
        </w:rPr>
      </w:pPr>
      <w:r>
        <w:rPr>
          <w:rFonts w:ascii="Microsoft Sans Serif" w:hAnsi="Microsoft Sans Serif" w:cs="Microsoft Sans Serif"/>
          <w:sz w:val="20"/>
          <w:shd w:val="clear" w:color="auto" w:fill="FFFFFF"/>
          <w:lang w:val="bs-Latn-BA"/>
        </w:rPr>
        <w:br w:type="textWrapping"/>
      </w:r>
      <w:r>
        <w:rPr>
          <w:rStyle w:val="40"/>
          <w:rFonts w:ascii="Microsoft Sans Serif" w:hAnsi="Microsoft Sans Serif" w:cs="Microsoft Sans Serif"/>
          <w:b/>
          <w:sz w:val="20"/>
          <w:lang w:val="bs-Latn-BA"/>
        </w:rPr>
        <w:t>Raspodjela</w:t>
      </w:r>
      <w:r>
        <w:rPr>
          <w:rStyle w:val="40"/>
          <w:rFonts w:ascii="Microsoft Sans Serif" w:hAnsi="Microsoft Sans Serif" w:cs="Microsoft Sans Serif"/>
          <w:sz w:val="20"/>
          <w:lang w:val="bs-Latn-BA"/>
        </w:rPr>
        <w:t xml:space="preserve"> </w:t>
      </w:r>
      <w:r>
        <w:rPr>
          <w:rFonts w:ascii="Microsoft Sans Serif" w:hAnsi="Microsoft Sans Serif" w:cs="Microsoft Sans Serif"/>
          <w:sz w:val="20"/>
          <w:lang w:val="bs-Latn-BA"/>
        </w:rPr>
        <w:br w:type="textWrapping"/>
      </w:r>
      <w:r>
        <w:rPr>
          <w:rFonts w:ascii="Microsoft Sans Serif" w:hAnsi="Microsoft Sans Serif" w:cs="Microsoft Sans Serif"/>
          <w:color w:val="000000"/>
          <w:sz w:val="20"/>
        </w:rPr>
        <w:t>Lizinopril se izgleda ne veže za proteine plazme osim za cirkulirajući enzim konverzije angiotenzina (ACE). Studije na pacovima pokazale su da lizinopril slabo prolazi krvno-moždanu barijeru.</w:t>
      </w:r>
    </w:p>
    <w:p w14:paraId="14784343">
      <w:pPr>
        <w:pStyle w:val="19"/>
        <w:tabs>
          <w:tab w:val="clear" w:pos="4320"/>
          <w:tab w:val="clear" w:pos="8640"/>
        </w:tabs>
        <w:jc w:val="both"/>
        <w:rPr>
          <w:rFonts w:ascii="Microsoft Sans Serif" w:hAnsi="Microsoft Sans Serif" w:cs="Microsoft Sans Serif"/>
          <w:i/>
          <w:sz w:val="20"/>
          <w:lang w:val="bs-Latn-BA"/>
        </w:rPr>
      </w:pPr>
    </w:p>
    <w:p w14:paraId="64B9309D">
      <w:pPr>
        <w:pStyle w:val="19"/>
        <w:tabs>
          <w:tab w:val="clear" w:pos="4320"/>
          <w:tab w:val="clear" w:pos="8640"/>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Izlučivanje</w:t>
      </w:r>
    </w:p>
    <w:p w14:paraId="2F8AD79E">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Lizinopril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podliježe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metabolizovanju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potpuno</w:t>
      </w:r>
      <w:r>
        <w:rPr>
          <w:rStyle w:val="40"/>
          <w:rFonts w:ascii="Microsoft Sans Serif" w:hAnsi="Microsoft Sans Serif" w:cs="Microsoft Sans Serif"/>
          <w:sz w:val="20"/>
          <w:lang w:val="bs-Latn-BA"/>
        </w:rPr>
        <w:t xml:space="preserve"> se </w:t>
      </w:r>
      <w:r>
        <w:rPr>
          <w:rStyle w:val="41"/>
          <w:rFonts w:ascii="Microsoft Sans Serif" w:hAnsi="Microsoft Sans Serif" w:cs="Microsoft Sans Serif"/>
          <w:sz w:val="20"/>
          <w:lang w:val="bs-Latn-BA"/>
        </w:rPr>
        <w:t>izlučuje</w:t>
      </w:r>
      <w:r>
        <w:rPr>
          <w:rStyle w:val="40"/>
          <w:rFonts w:ascii="Microsoft Sans Serif" w:hAnsi="Microsoft Sans Serif" w:cs="Microsoft Sans Serif"/>
          <w:sz w:val="20"/>
          <w:lang w:val="bs-Latn-BA"/>
        </w:rPr>
        <w:t xml:space="preserve"> nepromjenjen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Fonts w:ascii="Microsoft Sans Serif" w:hAnsi="Microsoft Sans Serif" w:cs="Microsoft Sans Serif"/>
          <w:color w:val="000000"/>
          <w:sz w:val="20"/>
        </w:rPr>
        <w:t xml:space="preserve"> Nakon višekratnog doziranja lizinopril ima poluvrijeme akumulacije od 12,6 sati. Klirens lizinoprila kod zdravih osoba je odprilike 50 ml/min. Pri eliminaciji se javlja produžena završna faza, međutim, ona ne doprinosi akumulaciji lijeka. Spomenuta završna faza vjerojatno se javlja kao posljedica zasićenja vezivanja za ACE i nije proporcionalna dozi.</w:t>
      </w:r>
    </w:p>
    <w:p w14:paraId="7C7EA767">
      <w:pPr>
        <w:jc w:val="both"/>
        <w:rPr>
          <w:rFonts w:ascii="Microsoft Sans Serif" w:hAnsi="Microsoft Sans Serif" w:cs="Microsoft Sans Serif"/>
          <w:sz w:val="20"/>
          <w:lang w:val="pl-PL"/>
        </w:rPr>
      </w:pPr>
    </w:p>
    <w:p w14:paraId="21E926E9">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jetre</w:t>
      </w:r>
    </w:p>
    <w:p w14:paraId="0886824E">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Poremećenje funkcije jetre kod pacijenata sa cirozom jetre dovodi do smanjene apsorpcije lizinoprila (oko 30%), međutim, zbog smanjenog klirensa, dolazi i do produženja izloženosti lijeku (oko 50%) u usporedbi sa zdravim osobama.</w:t>
      </w:r>
    </w:p>
    <w:p w14:paraId="2B418CA8">
      <w:pPr>
        <w:jc w:val="both"/>
        <w:rPr>
          <w:rFonts w:ascii="Microsoft Sans Serif" w:hAnsi="Microsoft Sans Serif" w:cs="Microsoft Sans Serif"/>
          <w:sz w:val="20"/>
          <w:lang w:val="bs-Latn-BA"/>
        </w:rPr>
      </w:pPr>
    </w:p>
    <w:p w14:paraId="0CBDC3DA">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poremećenom funkcijom bubrega</w:t>
      </w:r>
    </w:p>
    <w:p w14:paraId="670F4C39">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pacijenata sa poremećenom funkcijom bubrega izlučivanje lizinoprila je smanjeno, međutim, to ima klinički značaj samo kada je glomerularna filtracija &lt;30 ml/min. U slučajevima blago do umjereno poremećene funkcije bubrega (klirens kreatinina 30-80 ml/min) prosječna AUC (površina ispod koncentracijske krivulje) bila je povećana za svega 13%, dok je sa druge strane, u slučajevima teško poremećene funkcije bubrega (klirens kreatinina 5-30 ml/min), bila povećana 4,5 puta.</w:t>
      </w:r>
    </w:p>
    <w:p w14:paraId="50EC123A">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Lizinopril se može odstraniti postupkom dijalize. Tokom 4 sata hemodiljalize, koncentracija lizinoprila u plazmi smanjuje se za prosječno 60%, uz klirens dijalize između 40 i 55 ml/min.</w:t>
      </w:r>
    </w:p>
    <w:p w14:paraId="0B842E04">
      <w:pPr>
        <w:jc w:val="both"/>
        <w:rPr>
          <w:rFonts w:ascii="Microsoft Sans Serif" w:hAnsi="Microsoft Sans Serif" w:cs="Microsoft Sans Serif"/>
          <w:sz w:val="20"/>
          <w:lang w:val="bs-Latn-BA"/>
        </w:rPr>
      </w:pPr>
    </w:p>
    <w:p w14:paraId="68E5F4FD">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Pacijenti sa insuficijencijom srca</w:t>
      </w:r>
    </w:p>
    <w:p w14:paraId="58F48E30">
      <w:pPr>
        <w:shd w:val="clear" w:color="auto" w:fill="FFFFFF"/>
        <w:jc w:val="both"/>
        <w:rPr>
          <w:rFonts w:ascii="Microsoft Sans Serif" w:hAnsi="Microsoft Sans Serif" w:cs="Microsoft Sans Serif"/>
          <w:sz w:val="20"/>
        </w:rPr>
      </w:pP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insuficijencijom srca</w:t>
      </w:r>
      <w:r>
        <w:rPr>
          <w:rStyle w:val="40"/>
          <w:rFonts w:ascii="Microsoft Sans Serif" w:hAnsi="Microsoft Sans Serif" w:cs="Microsoft Sans Serif"/>
          <w:sz w:val="20"/>
          <w:lang w:val="bs-Latn-BA"/>
        </w:rPr>
        <w:t xml:space="preserve"> </w:t>
      </w:r>
      <w:r>
        <w:rPr>
          <w:rFonts w:ascii="Microsoft Sans Serif" w:hAnsi="Microsoft Sans Serif" w:cs="Microsoft Sans Serif"/>
          <w:color w:val="000000"/>
          <w:sz w:val="20"/>
        </w:rPr>
        <w:t>postoji povećana izloženost lijeku u usporedbi sa zdravim osobama (povećanje AUC za prosječno 125%), međutim, u njih postoji smanjena apsorpcija lizinoprila za oko 16%.</w:t>
      </w:r>
    </w:p>
    <w:p w14:paraId="38FFA014">
      <w:pPr>
        <w:jc w:val="both"/>
        <w:rPr>
          <w:rStyle w:val="41"/>
          <w:rFonts w:ascii="Microsoft Sans Serif" w:hAnsi="Microsoft Sans Serif" w:cs="Microsoft Sans Serif"/>
          <w:b/>
          <w:sz w:val="20"/>
          <w:lang w:val="bs-Latn-BA"/>
        </w:rPr>
      </w:pPr>
      <w:r>
        <w:rPr>
          <w:rFonts w:ascii="Microsoft Sans Serif" w:hAnsi="Microsoft Sans Serif" w:cs="Microsoft Sans Serif"/>
          <w:sz w:val="20"/>
          <w:lang w:val="bs-Latn-BA"/>
        </w:rPr>
        <w:br w:type="textWrapping"/>
      </w:r>
      <w:r>
        <w:rPr>
          <w:rStyle w:val="41"/>
          <w:rFonts w:ascii="Microsoft Sans Serif" w:hAnsi="Microsoft Sans Serif" w:cs="Microsoft Sans Serif"/>
          <w:b/>
          <w:sz w:val="20"/>
          <w:lang w:val="bs-Latn-BA"/>
        </w:rPr>
        <w:t>Pedijatrijska populacija</w:t>
      </w:r>
    </w:p>
    <w:p w14:paraId="41ACF489">
      <w:pPr>
        <w:jc w:val="both"/>
        <w:rPr>
          <w:rStyle w:val="40"/>
          <w:rFonts w:ascii="Microsoft Sans Serif" w:hAnsi="Microsoft Sans Serif" w:cs="Microsoft Sans Serif"/>
          <w:sz w:val="20"/>
          <w:lang w:val="bs-Latn-BA"/>
        </w:rPr>
      </w:pPr>
      <w:r>
        <w:rPr>
          <w:rStyle w:val="41"/>
          <w:rFonts w:ascii="Microsoft Sans Serif" w:hAnsi="Microsoft Sans Serif" w:cs="Microsoft Sans Serif"/>
          <w:sz w:val="20"/>
          <w:lang w:val="bs-Latn-BA"/>
        </w:rPr>
        <w:t>Farmakokinetski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profil</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lizinoprila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bio je ispitivan 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29</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pedijatrijskih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 sa hipertenzijom,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uzrasta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 16 godina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stopu glomerularne filtracije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iznad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30</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ml/min/1,73</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w:t>
      </w:r>
      <w:r>
        <w:rPr>
          <w:rStyle w:val="41"/>
          <w:rFonts w:ascii="Microsoft Sans Serif" w:hAnsi="Microsoft Sans Serif" w:cs="Microsoft Sans Serif"/>
          <w:sz w:val="20"/>
          <w:vertAlign w:val="superscript"/>
          <w:lang w:val="bs-Latn-BA"/>
        </w:rPr>
        <w:t>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dozi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0,1 mg/kg do 0,2</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mg/kg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koncentracije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dinamičke ravnoteže</w:t>
      </w:r>
      <w:r>
        <w:rPr>
          <w:rStyle w:val="40"/>
          <w:rFonts w:ascii="Microsoft Sans Serif" w:hAnsi="Microsoft Sans Serif" w:cs="Microsoft Sans Serif"/>
          <w:sz w:val="20"/>
          <w:lang w:val="bs-Latn-BA"/>
        </w:rPr>
        <w:t xml:space="preserve"> </w:t>
      </w:r>
      <w:r>
        <w:rPr>
          <w:rStyle w:val="44"/>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steady </w:t>
      </w:r>
      <w:r>
        <w:rPr>
          <w:rStyle w:val="41"/>
          <w:rFonts w:ascii="Microsoft Sans Serif" w:hAnsi="Microsoft Sans Serif" w:cs="Microsoft Sans Serif"/>
          <w:sz w:val="20"/>
          <w:lang w:val="bs-Latn-BA"/>
        </w:rPr>
        <w:t>state)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postignute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nakon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šest sati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 stepen apsorpcije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utvrđen na osnovu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iznosa koji je nađen</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urinu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oko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28</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vrijednosti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slične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onima koje su utvrđene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pacijenata</w:t>
      </w:r>
      <w:r>
        <w:rPr>
          <w:rStyle w:val="40"/>
          <w:rFonts w:ascii="Microsoft Sans Serif" w:hAnsi="Microsoft Sans Serif" w:cs="Microsoft Sans Serif"/>
          <w:sz w:val="20"/>
          <w:lang w:val="bs-Latn-BA"/>
        </w:rPr>
        <w:t>.</w:t>
      </w:r>
    </w:p>
    <w:p w14:paraId="232DFA5F">
      <w:pPr>
        <w:jc w:val="both"/>
        <w:rPr>
          <w:rStyle w:val="40"/>
          <w:rFonts w:ascii="Microsoft Sans Serif" w:hAnsi="Microsoft Sans Serif" w:cs="Microsoft Sans Serif"/>
          <w:sz w:val="20"/>
          <w:lang w:val="bs-Latn-BA"/>
        </w:rPr>
      </w:pPr>
      <w:r>
        <w:rPr>
          <w:rStyle w:val="40"/>
          <w:rFonts w:ascii="Microsoft Sans Serif" w:hAnsi="Microsoft Sans Serif" w:cs="Microsoft Sans Serif"/>
          <w:sz w:val="20"/>
          <w:lang w:val="bs-Latn-BA"/>
        </w:rPr>
        <w:t xml:space="preserve">Vrijednosti </w:t>
      </w:r>
      <w:r>
        <w:rPr>
          <w:rStyle w:val="41"/>
          <w:rFonts w:ascii="Microsoft Sans Serif" w:hAnsi="Microsoft Sans Serif" w:cs="Microsoft Sans Serif"/>
          <w:sz w:val="20"/>
          <w:lang w:val="bs-Latn-BA"/>
        </w:rPr>
        <w:t>AUC</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C</w:t>
      </w:r>
      <w:r>
        <w:rPr>
          <w:rStyle w:val="41"/>
          <w:rFonts w:ascii="Microsoft Sans Serif" w:hAnsi="Microsoft Sans Serif" w:cs="Microsoft Sans Serif"/>
          <w:sz w:val="20"/>
          <w:vertAlign w:val="subscript"/>
          <w:lang w:val="bs-Latn-BA"/>
        </w:rPr>
        <w:t>max</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djece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ovim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studijama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bile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su u skladu 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onima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kod</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odraslih</w:t>
      </w:r>
      <w:r>
        <w:rPr>
          <w:rStyle w:val="40"/>
          <w:rFonts w:ascii="Microsoft Sans Serif" w:hAnsi="Microsoft Sans Serif" w:cs="Microsoft Sans Serif"/>
          <w:sz w:val="20"/>
          <w:lang w:val="bs-Latn-BA"/>
        </w:rPr>
        <w:t>.</w:t>
      </w:r>
    </w:p>
    <w:p w14:paraId="35EAD6BE">
      <w:pPr>
        <w:jc w:val="both"/>
        <w:rPr>
          <w:rFonts w:ascii="Microsoft Sans Serif" w:hAnsi="Microsoft Sans Serif" w:cs="Microsoft Sans Serif"/>
          <w:sz w:val="20"/>
        </w:rPr>
      </w:pPr>
    </w:p>
    <w:p w14:paraId="0D3D14C3">
      <w:pPr>
        <w:shd w:val="clear" w:color="auto" w:fill="FFFFFF"/>
        <w:jc w:val="both"/>
        <w:rPr>
          <w:rFonts w:ascii="Microsoft Sans Serif" w:hAnsi="Microsoft Sans Serif" w:cs="Microsoft Sans Serif"/>
          <w:b/>
          <w:sz w:val="20"/>
        </w:rPr>
      </w:pPr>
      <w:r>
        <w:rPr>
          <w:rFonts w:ascii="Microsoft Sans Serif" w:hAnsi="Microsoft Sans Serif" w:cs="Microsoft Sans Serif"/>
          <w:b/>
          <w:iCs/>
          <w:color w:val="000000"/>
          <w:sz w:val="20"/>
        </w:rPr>
        <w:t>Stariji pacijenti</w:t>
      </w:r>
    </w:p>
    <w:p w14:paraId="7B52393B">
      <w:pPr>
        <w:shd w:val="clear" w:color="auto" w:fill="FFFFFF"/>
        <w:jc w:val="both"/>
        <w:rPr>
          <w:rFonts w:ascii="Microsoft Sans Serif" w:hAnsi="Microsoft Sans Serif" w:cs="Microsoft Sans Serif"/>
          <w:sz w:val="20"/>
        </w:rPr>
      </w:pPr>
      <w:r>
        <w:rPr>
          <w:rFonts w:ascii="Microsoft Sans Serif" w:hAnsi="Microsoft Sans Serif" w:cs="Microsoft Sans Serif"/>
          <w:color w:val="000000"/>
          <w:sz w:val="20"/>
        </w:rPr>
        <w:t>Kod starijih pacijenata uočene su veće koncentracije lizinoprila u krvi kao i veće vrijednosti</w:t>
      </w:r>
      <w:r>
        <w:rPr>
          <w:rFonts w:ascii="Microsoft Sans Serif" w:hAnsi="Microsoft Sans Serif" w:cs="Microsoft Sans Serif"/>
          <w:sz w:val="20"/>
        </w:rPr>
        <w:t xml:space="preserve"> </w:t>
      </w:r>
      <w:r>
        <w:rPr>
          <w:rFonts w:ascii="Microsoft Sans Serif" w:hAnsi="Microsoft Sans Serif" w:cs="Microsoft Sans Serif"/>
          <w:color w:val="000000"/>
          <w:sz w:val="20"/>
        </w:rPr>
        <w:t>AUC (za otprilike 60%) u odnosu na mlađe osobe.</w:t>
      </w:r>
    </w:p>
    <w:p w14:paraId="1C6A75B6">
      <w:pPr>
        <w:jc w:val="both"/>
        <w:rPr>
          <w:rFonts w:ascii="Microsoft Sans Serif" w:hAnsi="Microsoft Sans Serif" w:cs="Microsoft Sans Serif"/>
          <w:sz w:val="20"/>
        </w:rPr>
      </w:pPr>
    </w:p>
    <w:p w14:paraId="3B32828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5.3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Neklinički podaci o sigurnosti primjene </w:t>
      </w:r>
    </w:p>
    <w:p w14:paraId="1BC69D2F">
      <w:pPr>
        <w:jc w:val="both"/>
        <w:rPr>
          <w:rFonts w:ascii="Microsoft Sans Serif" w:hAnsi="Microsoft Sans Serif" w:cs="Microsoft Sans Serif"/>
          <w:sz w:val="20"/>
        </w:rPr>
      </w:pPr>
    </w:p>
    <w:p w14:paraId="2D88DEA1">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Neklinički podaci ne pokazuju poseban rizik za ljude na osnovu konvencionalnih ispitivanja </w:t>
      </w:r>
      <w:r>
        <w:rPr>
          <w:rFonts w:ascii="Microsoft Sans Serif" w:hAnsi="Microsoft Sans Serif" w:cs="Microsoft Sans Serif"/>
          <w:color w:val="000000"/>
          <w:sz w:val="20"/>
        </w:rPr>
        <w:t xml:space="preserve">opće farmakologije, </w:t>
      </w:r>
      <w:r>
        <w:rPr>
          <w:rFonts w:ascii="Microsoft Sans Serif" w:hAnsi="Microsoft Sans Serif" w:cs="Microsoft Sans Serif"/>
          <w:sz w:val="20"/>
          <w:lang w:val="bs-Latn-BA"/>
        </w:rPr>
        <w:t xml:space="preserve">toksičnosti ponovljenih doza, </w:t>
      </w:r>
      <w:r>
        <w:rPr>
          <w:rFonts w:ascii="Microsoft Sans Serif" w:hAnsi="Microsoft Sans Serif" w:cs="Microsoft Sans Serif"/>
          <w:color w:val="000000"/>
          <w:sz w:val="20"/>
        </w:rPr>
        <w:t xml:space="preserve">genotoksičnosti </w:t>
      </w:r>
      <w:r>
        <w:rPr>
          <w:rFonts w:ascii="Microsoft Sans Serif" w:hAnsi="Microsoft Sans Serif" w:cs="Microsoft Sans Serif"/>
          <w:sz w:val="20"/>
          <w:lang w:val="bs-Latn-BA"/>
        </w:rPr>
        <w:t>i kancerogenog potencijala.</w:t>
      </w:r>
    </w:p>
    <w:p w14:paraId="76D1960F">
      <w:pPr>
        <w:jc w:val="both"/>
        <w:rPr>
          <w:rStyle w:val="41"/>
          <w:rFonts w:ascii="Microsoft Sans Serif" w:hAnsi="Microsoft Sans Serif" w:cs="Microsoft Sans Serif"/>
          <w:sz w:val="20"/>
          <w:lang w:val="bs-Latn-BA"/>
        </w:rPr>
      </w:pPr>
    </w:p>
    <w:p w14:paraId="6176B9E7">
      <w:pPr>
        <w:jc w:val="both"/>
        <w:rPr>
          <w:rStyle w:val="40"/>
          <w:rFonts w:ascii="Microsoft Sans Serif" w:hAnsi="Microsoft Sans Serif" w:cs="Microsoft Sans Serif"/>
          <w:sz w:val="20"/>
          <w:lang w:val="bs-Latn-BA"/>
        </w:rPr>
      </w:pPr>
      <w:r>
        <w:rPr>
          <w:rFonts w:ascii="Microsoft Sans Serif" w:hAnsi="Microsoft Sans Serif" w:cs="Microsoft Sans Serif"/>
          <w:color w:val="000000"/>
          <w:sz w:val="20"/>
        </w:rPr>
        <w:t>Uočeno je kako ACE-inhibitori kao klasa lijekova, uzrokuju nepoželjne efekte na razvoj fetusa u kasnoj fazi, što ima za posljedicu smrt fetusa te kongenitalne malformacije koje se naročito očituju na lobanji.</w:t>
      </w:r>
      <w:r>
        <w:rPr>
          <w:rStyle w:val="41"/>
          <w:rFonts w:ascii="Microsoft Sans Serif" w:hAnsi="Microsoft Sans Serif" w:cs="Microsoft Sans Serif"/>
          <w:sz w:val="20"/>
          <w:lang w:val="bs-Latn-BA"/>
        </w:rPr>
        <w:t xml:space="preserve"> </w:t>
      </w:r>
      <w:r>
        <w:rPr>
          <w:rFonts w:ascii="Microsoft Sans Serif" w:hAnsi="Microsoft Sans Serif" w:cs="Microsoft Sans Serif"/>
          <w:color w:val="000000"/>
          <w:sz w:val="20"/>
        </w:rPr>
        <w:t xml:space="preserve">Zabilježeni su takođe slučajevi fetotoksičnosti, intrauterinog zastoja rasta te otvorenog duktusa arteriozusa. </w:t>
      </w:r>
      <w:r>
        <w:rPr>
          <w:rStyle w:val="41"/>
          <w:rFonts w:ascii="Microsoft Sans Serif" w:hAnsi="Microsoft Sans Serif" w:cs="Microsoft Sans Serif"/>
          <w:sz w:val="20"/>
          <w:lang w:val="bs-Latn-BA"/>
        </w:rPr>
        <w:t>Smatra se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da su razvojni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poremećaji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djelimično</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direktnog efekta ACE-inhibitora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na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fetalni</w:t>
      </w:r>
      <w:r>
        <w:rPr>
          <w:rStyle w:val="40"/>
          <w:rFonts w:ascii="Microsoft Sans Serif" w:hAnsi="Microsoft Sans Serif" w:cs="Microsoft Sans Serif"/>
          <w:sz w:val="20"/>
          <w:lang w:val="bs-Latn-BA"/>
        </w:rPr>
        <w:t xml:space="preserve">n </w:t>
      </w:r>
      <w:r>
        <w:rPr>
          <w:rStyle w:val="41"/>
          <w:rFonts w:ascii="Microsoft Sans Serif" w:hAnsi="Microsoft Sans Serif" w:cs="Microsoft Sans Serif"/>
          <w:sz w:val="20"/>
          <w:lang w:val="bs-Latn-BA"/>
        </w:rPr>
        <w:t>renin</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angiotenzin </w:t>
      </w:r>
      <w:r>
        <w:rPr>
          <w:rStyle w:val="41"/>
          <w:rFonts w:ascii="Microsoft Sans Serif" w:hAnsi="Microsoft Sans Serif" w:cs="Microsoft Sans Serif"/>
          <w:sz w:val="20"/>
          <w:lang w:val="bs-Latn-BA"/>
        </w:rPr>
        <w:t>sistem</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ali</w:t>
      </w:r>
      <w:r>
        <w:rPr>
          <w:rStyle w:val="40"/>
          <w:rFonts w:ascii="Microsoft Sans Serif" w:hAnsi="Microsoft Sans Serif" w:cs="Microsoft Sans Serif"/>
          <w:sz w:val="20"/>
          <w:lang w:val="bs-Latn-BA"/>
        </w:rPr>
        <w:t xml:space="preserve"> i </w:t>
      </w:r>
      <w:r>
        <w:rPr>
          <w:rStyle w:val="41"/>
          <w:rFonts w:ascii="Microsoft Sans Serif" w:hAnsi="Microsoft Sans Serif" w:cs="Microsoft Sans Serif"/>
          <w:sz w:val="20"/>
          <w:lang w:val="bs-Latn-BA"/>
        </w:rPr>
        <w:t>zbog</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ishemije koja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proizlazi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iz</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majčine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hipotenzije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postepenog smanjivanja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u fetalnom</w:t>
      </w:r>
      <w:r>
        <w:rPr>
          <w:rStyle w:val="42"/>
          <w:rFonts w:ascii="Microsoft Sans Serif" w:hAnsi="Microsoft Sans Serif" w:cs="Microsoft Sans Serif"/>
          <w:sz w:val="20"/>
          <w:lang w:val="bs-Latn-BA"/>
        </w:rPr>
        <w:t>-</w:t>
      </w:r>
      <w:r>
        <w:rPr>
          <w:rStyle w:val="40"/>
          <w:rFonts w:ascii="Microsoft Sans Serif" w:hAnsi="Microsoft Sans Serif" w:cs="Microsoft Sans Serif"/>
          <w:sz w:val="20"/>
          <w:lang w:val="bs-Latn-BA"/>
        </w:rPr>
        <w:t xml:space="preserve">placentarnom </w:t>
      </w:r>
      <w:r>
        <w:rPr>
          <w:rStyle w:val="41"/>
          <w:rFonts w:ascii="Microsoft Sans Serif" w:hAnsi="Microsoft Sans Serif" w:cs="Microsoft Sans Serif"/>
          <w:sz w:val="20"/>
          <w:lang w:val="bs-Latn-BA"/>
        </w:rPr>
        <w:t>protoku krvi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i</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snabdijevanje</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fetusa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sa</w:t>
      </w:r>
      <w:r>
        <w:rPr>
          <w:rStyle w:val="40"/>
          <w:rFonts w:ascii="Microsoft Sans Serif" w:hAnsi="Microsoft Sans Serif" w:cs="Microsoft Sans Serif"/>
          <w:sz w:val="20"/>
          <w:lang w:val="bs-Latn-BA"/>
        </w:rPr>
        <w:t xml:space="preserve"> </w:t>
      </w:r>
      <w:r>
        <w:rPr>
          <w:rStyle w:val="41"/>
          <w:rFonts w:ascii="Microsoft Sans Serif" w:hAnsi="Microsoft Sans Serif" w:cs="Microsoft Sans Serif"/>
          <w:sz w:val="20"/>
          <w:lang w:val="bs-Latn-BA"/>
        </w:rPr>
        <w:t>kiseonikom i hranljivim supstancama</w:t>
      </w:r>
      <w:r>
        <w:rPr>
          <w:rStyle w:val="40"/>
          <w:rFonts w:ascii="Microsoft Sans Serif" w:hAnsi="Microsoft Sans Serif" w:cs="Microsoft Sans Serif"/>
          <w:sz w:val="20"/>
          <w:lang w:val="bs-Latn-BA"/>
        </w:rPr>
        <w:t>.</w:t>
      </w:r>
    </w:p>
    <w:p w14:paraId="22C6C7E2">
      <w:pPr>
        <w:jc w:val="both"/>
        <w:rPr>
          <w:rFonts w:ascii="Microsoft Sans Serif" w:hAnsi="Microsoft Sans Serif" w:cs="Microsoft Sans Serif"/>
          <w:sz w:val="20"/>
        </w:rPr>
      </w:pPr>
    </w:p>
    <w:p w14:paraId="3EEEF155">
      <w:pPr>
        <w:jc w:val="both"/>
        <w:rPr>
          <w:rFonts w:ascii="Microsoft Sans Serif" w:hAnsi="Microsoft Sans Serif" w:cs="Microsoft Sans Serif"/>
          <w:sz w:val="20"/>
          <w:lang w:val="ru-RU"/>
        </w:rPr>
      </w:pPr>
    </w:p>
    <w:p w14:paraId="6FAD279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60D594CA">
      <w:pPr>
        <w:jc w:val="both"/>
        <w:rPr>
          <w:rFonts w:ascii="Microsoft Sans Serif" w:hAnsi="Microsoft Sans Serif" w:cs="Microsoft Sans Serif"/>
          <w:b/>
          <w:sz w:val="20"/>
          <w:lang w:val="sr-Latn-BA"/>
        </w:rPr>
      </w:pPr>
    </w:p>
    <w:p w14:paraId="7CB9F2CE">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4A4B87C">
      <w:pPr>
        <w:pStyle w:val="19"/>
        <w:tabs>
          <w:tab w:val="clear" w:pos="4320"/>
          <w:tab w:val="clear" w:pos="8640"/>
        </w:tabs>
        <w:jc w:val="both"/>
        <w:rPr>
          <w:rFonts w:ascii="Microsoft Sans Serif" w:hAnsi="Microsoft Sans Serif" w:cs="Microsoft Sans Serif"/>
          <w:sz w:val="20"/>
          <w:lang w:val="en-US"/>
        </w:rPr>
      </w:pPr>
    </w:p>
    <w:p w14:paraId="3E46130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5 mg tablete</w:t>
      </w:r>
    </w:p>
    <w:p w14:paraId="21551DA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595E8FC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1BBE29B9">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695357A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3D576DE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5E1FF98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0BB49C3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2ADAB517">
      <w:pPr>
        <w:pStyle w:val="19"/>
        <w:tabs>
          <w:tab w:val="clear" w:pos="4320"/>
          <w:tab w:val="clear" w:pos="8640"/>
        </w:tabs>
        <w:jc w:val="both"/>
        <w:rPr>
          <w:rFonts w:ascii="Microsoft Sans Serif" w:hAnsi="Microsoft Sans Serif" w:cs="Microsoft Sans Serif"/>
          <w:sz w:val="20"/>
          <w:lang w:val="en-US"/>
        </w:rPr>
      </w:pPr>
    </w:p>
    <w:p w14:paraId="23620089">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10 mg tablete</w:t>
      </w:r>
    </w:p>
    <w:p w14:paraId="01BB3EB2">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0760EB9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2C3B9B5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05C21C28">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02BED56F">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 xml:space="preserve"> </w:t>
      </w:r>
    </w:p>
    <w:p w14:paraId="6E0EA334">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Magnezijum-stearat; </w:t>
      </w:r>
    </w:p>
    <w:p w14:paraId="4297F9F7">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5B5D5976">
      <w:pPr>
        <w:pStyle w:val="38"/>
        <w:jc w:val="both"/>
        <w:rPr>
          <w:rFonts w:ascii="Microsoft Sans Serif" w:hAnsi="Microsoft Sans Serif" w:cs="Microsoft Sans Serif"/>
          <w:color w:val="auto"/>
          <w:sz w:val="20"/>
          <w:szCs w:val="20"/>
        </w:rPr>
      </w:pPr>
    </w:p>
    <w:p w14:paraId="273DF0D1">
      <w:pPr>
        <w:pStyle w:val="38"/>
        <w:jc w:val="both"/>
        <w:rPr>
          <w:rFonts w:ascii="Microsoft Sans Serif" w:hAnsi="Microsoft Sans Serif" w:cs="Microsoft Sans Serif"/>
          <w:color w:val="auto"/>
          <w:sz w:val="20"/>
          <w:szCs w:val="20"/>
          <w:u w:val="single"/>
          <w:lang w:val="bs-Latn-BA"/>
        </w:rPr>
      </w:pPr>
      <w:r>
        <w:rPr>
          <w:rFonts w:ascii="Microsoft Sans Serif" w:hAnsi="Microsoft Sans Serif" w:cs="Microsoft Sans Serif"/>
          <w:color w:val="auto"/>
          <w:sz w:val="20"/>
          <w:szCs w:val="20"/>
          <w:u w:val="single"/>
          <w:lang w:val="bs-Latn-BA"/>
        </w:rPr>
        <w:t>Skopryl 20 mg tablete</w:t>
      </w:r>
    </w:p>
    <w:p w14:paraId="0E4C3973">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Manitol; </w:t>
      </w:r>
    </w:p>
    <w:p w14:paraId="1D44BB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Kalcijum-hidrogenfosfat, bezvodni; </w:t>
      </w:r>
    </w:p>
    <w:p w14:paraId="70CADBD7">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kukuruzni; </w:t>
      </w:r>
    </w:p>
    <w:p w14:paraId="3160A990">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 xml:space="preserve">Skrob, preželatinizovani; </w:t>
      </w:r>
    </w:p>
    <w:p w14:paraId="6455C6D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Povidon</w:t>
      </w:r>
      <w:r>
        <w:rPr>
          <w:rFonts w:ascii="Microsoft Sans Serif" w:hAnsi="Microsoft Sans Serif" w:cs="Microsoft Sans Serif"/>
          <w:color w:val="auto"/>
          <w:sz w:val="20"/>
          <w:szCs w:val="20"/>
          <w:lang w:val="bs-Latn-BA"/>
        </w:rPr>
        <w:t>;</w:t>
      </w:r>
    </w:p>
    <w:p w14:paraId="49BAE60D">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color w:val="auto"/>
          <w:sz w:val="20"/>
          <w:szCs w:val="20"/>
          <w:lang w:val="bs-Latn-BA"/>
        </w:rPr>
        <w:t>Magnezijum-stearat;</w:t>
      </w:r>
    </w:p>
    <w:p w14:paraId="22184B6E">
      <w:pPr>
        <w:pStyle w:val="38"/>
        <w:jc w:val="both"/>
        <w:rPr>
          <w:rFonts w:ascii="Microsoft Sans Serif" w:hAnsi="Microsoft Sans Serif" w:cs="Microsoft Sans Serif"/>
          <w:iCs/>
          <w:color w:val="auto"/>
          <w:sz w:val="20"/>
          <w:szCs w:val="20"/>
          <w:lang w:val="bs-Latn-BA"/>
        </w:rPr>
      </w:pPr>
      <w:r>
        <w:rPr>
          <w:rFonts w:ascii="Microsoft Sans Serif" w:hAnsi="Microsoft Sans Serif" w:cs="Microsoft Sans Serif"/>
          <w:iCs/>
          <w:color w:val="auto"/>
          <w:sz w:val="20"/>
          <w:szCs w:val="20"/>
          <w:lang w:val="bs-Latn-BA"/>
        </w:rPr>
        <w:t>Boja gvožđe-oksid, žuta (E 172);</w:t>
      </w:r>
    </w:p>
    <w:p w14:paraId="1912721C">
      <w:pPr>
        <w:pStyle w:val="38"/>
        <w:jc w:val="both"/>
        <w:rPr>
          <w:rFonts w:ascii="Microsoft Sans Serif" w:hAnsi="Microsoft Sans Serif" w:cs="Microsoft Sans Serif"/>
          <w:color w:val="auto"/>
          <w:sz w:val="20"/>
          <w:szCs w:val="20"/>
          <w:lang w:val="bs-Latn-BA"/>
        </w:rPr>
      </w:pPr>
      <w:r>
        <w:rPr>
          <w:rFonts w:ascii="Microsoft Sans Serif" w:hAnsi="Microsoft Sans Serif" w:cs="Microsoft Sans Serif"/>
          <w:iCs/>
          <w:color w:val="auto"/>
          <w:sz w:val="20"/>
          <w:szCs w:val="20"/>
          <w:lang w:val="bs-Latn-BA"/>
        </w:rPr>
        <w:t>Boja gvožđe-oksid, crvena (E 172).</w:t>
      </w:r>
    </w:p>
    <w:p w14:paraId="73B06A05">
      <w:pPr>
        <w:pStyle w:val="38"/>
        <w:jc w:val="both"/>
        <w:rPr>
          <w:rFonts w:ascii="Microsoft Sans Serif" w:hAnsi="Microsoft Sans Serif" w:cs="Microsoft Sans Serif"/>
          <w:color w:val="auto"/>
          <w:sz w:val="20"/>
          <w:szCs w:val="20"/>
          <w:highlight w:val="yellow"/>
          <w:lang w:val="en-US"/>
        </w:rPr>
      </w:pPr>
    </w:p>
    <w:p w14:paraId="51E0377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21BC3DE0">
      <w:pPr>
        <w:jc w:val="both"/>
        <w:rPr>
          <w:rFonts w:ascii="Microsoft Sans Serif" w:hAnsi="Microsoft Sans Serif" w:cs="Microsoft Sans Serif"/>
          <w:sz w:val="20"/>
        </w:rPr>
      </w:pPr>
    </w:p>
    <w:p w14:paraId="4D9E80F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Nije primjenljivo.</w:t>
      </w:r>
    </w:p>
    <w:p w14:paraId="54C614E3">
      <w:pPr>
        <w:jc w:val="both"/>
        <w:rPr>
          <w:rFonts w:ascii="Microsoft Sans Serif" w:hAnsi="Microsoft Sans Serif" w:cs="Microsoft Sans Serif"/>
          <w:sz w:val="20"/>
        </w:rPr>
      </w:pPr>
    </w:p>
    <w:p w14:paraId="4E1C392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2BC99491">
      <w:pPr>
        <w:jc w:val="both"/>
        <w:rPr>
          <w:rFonts w:ascii="Microsoft Sans Serif" w:hAnsi="Microsoft Sans Serif" w:cs="Microsoft Sans Serif"/>
          <w:sz w:val="20"/>
          <w:lang w:val="mk-MK"/>
        </w:rPr>
      </w:pPr>
    </w:p>
    <w:p w14:paraId="6F553AC4">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5 mg tableta: Tri (3) godine.</w:t>
      </w:r>
    </w:p>
    <w:p w14:paraId="33BC64F8">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10 mg i 20 mg tableta: Četiri (4) godine.</w:t>
      </w:r>
    </w:p>
    <w:p w14:paraId="5D7A49FF">
      <w:pPr>
        <w:jc w:val="both"/>
        <w:rPr>
          <w:rFonts w:ascii="Microsoft Sans Serif" w:hAnsi="Microsoft Sans Serif" w:cs="Microsoft Sans Serif"/>
          <w:sz w:val="20"/>
        </w:rPr>
      </w:pPr>
    </w:p>
    <w:p w14:paraId="3775958D">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34F71ADD">
      <w:pPr>
        <w:jc w:val="both"/>
        <w:rPr>
          <w:rFonts w:ascii="Microsoft Sans Serif" w:hAnsi="Microsoft Sans Serif" w:cs="Microsoft Sans Serif"/>
          <w:sz w:val="20"/>
          <w:lang w:val="mk-MK"/>
        </w:rPr>
      </w:pPr>
      <w:r>
        <w:rPr>
          <w:rFonts w:ascii="Microsoft Sans Serif" w:hAnsi="Microsoft Sans Serif" w:cs="Microsoft Sans Serif"/>
          <w:sz w:val="20"/>
          <w:lang w:val="mk-MK"/>
        </w:rPr>
        <w:tab/>
      </w:r>
    </w:p>
    <w:p w14:paraId="06CE658F">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Lijek treba čuvati na temperaturi do 25 °C.</w:t>
      </w:r>
    </w:p>
    <w:p w14:paraId="371AC730">
      <w:pPr>
        <w:pStyle w:val="19"/>
        <w:tabs>
          <w:tab w:val="clear" w:pos="4320"/>
          <w:tab w:val="clear" w:pos="8640"/>
        </w:tabs>
        <w:jc w:val="both"/>
        <w:rPr>
          <w:rFonts w:ascii="Microsoft Sans Serif" w:hAnsi="Microsoft Sans Serif" w:cs="Microsoft Sans Serif"/>
          <w:sz w:val="20"/>
          <w:lang w:val="ru-RU"/>
        </w:rPr>
      </w:pPr>
    </w:p>
    <w:p w14:paraId="195844AC">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6A4F31DB">
      <w:pPr>
        <w:jc w:val="both"/>
        <w:rPr>
          <w:rFonts w:ascii="Microsoft Sans Serif" w:hAnsi="Microsoft Sans Serif" w:cs="Microsoft Sans Serif"/>
          <w:sz w:val="20"/>
        </w:rPr>
      </w:pPr>
      <w:r>
        <w:rPr>
          <w:rFonts w:ascii="Microsoft Sans Serif" w:hAnsi="Microsoft Sans Serif" w:cs="Microsoft Sans Serif"/>
          <w:sz w:val="20"/>
          <w:lang w:val="ru-RU"/>
        </w:rPr>
        <w:tab/>
      </w:r>
    </w:p>
    <w:p w14:paraId="7B388150">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Unutrašnje pakovanje je Аl/PVC blister. Svaki blister sadrži 10 tableta.</w:t>
      </w:r>
    </w:p>
    <w:p w14:paraId="41C5C356">
      <w:pPr>
        <w:jc w:val="both"/>
        <w:rPr>
          <w:rFonts w:ascii="Microsoft Sans Serif" w:hAnsi="Microsoft Sans Serif" w:cs="Microsoft Sans Serif"/>
          <w:color w:val="0000FF"/>
          <w:sz w:val="20"/>
          <w:lang w:val="bs-Latn-BA"/>
        </w:rPr>
      </w:pPr>
      <w:r>
        <w:rPr>
          <w:rFonts w:ascii="Microsoft Sans Serif" w:hAnsi="Microsoft Sans Serif" w:cs="Microsoft Sans Serif"/>
          <w:sz w:val="20"/>
          <w:lang w:val="bs-Latn-BA"/>
        </w:rPr>
        <w:t>Spoljašnje pakovanje je kartonska kutija koja sadrži 20 tableta (2 blistera) ili 30 tableta (3 blistera), uz priloženo Uputstvo za pacijenta.</w:t>
      </w:r>
    </w:p>
    <w:p w14:paraId="5AE39C06">
      <w:pPr>
        <w:jc w:val="both"/>
        <w:rPr>
          <w:rFonts w:ascii="Microsoft Sans Serif" w:hAnsi="Microsoft Sans Serif" w:cs="Microsoft Sans Serif"/>
          <w:sz w:val="20"/>
        </w:rPr>
      </w:pPr>
    </w:p>
    <w:p w14:paraId="68E56D97">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44AA2AC6">
      <w:pPr>
        <w:jc w:val="both"/>
        <w:rPr>
          <w:rFonts w:ascii="Microsoft Sans Serif" w:hAnsi="Microsoft Sans Serif" w:cs="Microsoft Sans Serif"/>
          <w:sz w:val="20"/>
          <w:lang w:val="ru-RU"/>
        </w:rPr>
      </w:pPr>
    </w:p>
    <w:p w14:paraId="4F37BD81">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286DD3F5">
      <w:pPr>
        <w:jc w:val="both"/>
        <w:rPr>
          <w:rFonts w:ascii="Microsoft Sans Serif" w:hAnsi="Microsoft Sans Serif" w:cs="Microsoft Sans Serif"/>
          <w:sz w:val="20"/>
          <w:lang w:val="pl-PL"/>
        </w:rPr>
      </w:pPr>
      <w:r>
        <w:rPr>
          <w:rFonts w:ascii="Microsoft Sans Serif" w:hAnsi="Microsoft Sans Serif" w:cs="Microsoft Sans Serif"/>
          <w:sz w:val="20"/>
          <w:lang w:val="pl-PL"/>
        </w:rPr>
        <w:t>Sav neiskorišten lijek ili otpadni materijal treba zbrinuti u skladu sa lokalnim propisima.</w:t>
      </w:r>
    </w:p>
    <w:p w14:paraId="18692C88">
      <w:pPr>
        <w:jc w:val="both"/>
        <w:rPr>
          <w:rFonts w:ascii="Microsoft Sans Serif" w:hAnsi="Microsoft Sans Serif" w:cs="Microsoft Sans Serif"/>
          <w:sz w:val="20"/>
          <w:lang w:val="pl-PL"/>
        </w:rPr>
      </w:pPr>
    </w:p>
    <w:p w14:paraId="15DE1EAC">
      <w:pPr>
        <w:numPr>
          <w:ilvl w:val="1"/>
          <w:numId w:val="5"/>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054B67FB">
      <w:pPr>
        <w:tabs>
          <w:tab w:val="left" w:pos="567"/>
        </w:tabs>
        <w:jc w:val="both"/>
        <w:rPr>
          <w:rFonts w:ascii="Microsoft Sans Serif" w:hAnsi="Microsoft Sans Serif" w:cs="Microsoft Sans Serif"/>
          <w:sz w:val="20"/>
          <w:lang w:val="sr-Latn-BA"/>
        </w:rPr>
      </w:pPr>
    </w:p>
    <w:p w14:paraId="38E0C434">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21D3C553">
      <w:pPr>
        <w:jc w:val="both"/>
        <w:rPr>
          <w:rFonts w:ascii="Microsoft Sans Serif" w:hAnsi="Microsoft Sans Serif" w:cs="Microsoft Sans Serif"/>
          <w:sz w:val="20"/>
          <w:lang w:val="en-US" w:eastAsia="en-GB"/>
        </w:rPr>
      </w:pPr>
    </w:p>
    <w:p w14:paraId="5445D11A">
      <w:pPr>
        <w:jc w:val="both"/>
        <w:rPr>
          <w:rFonts w:ascii="Microsoft Sans Serif" w:hAnsi="Microsoft Sans Serif" w:cs="Microsoft Sans Serif"/>
          <w:sz w:val="20"/>
          <w:lang w:val="en-US" w:eastAsia="en-GB"/>
        </w:rPr>
      </w:pPr>
    </w:p>
    <w:p w14:paraId="1573A505">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08E6ABD">
      <w:pPr>
        <w:jc w:val="both"/>
        <w:rPr>
          <w:rFonts w:ascii="Microsoft Sans Serif" w:hAnsi="Microsoft Sans Serif" w:cs="Microsoft Sans Serif"/>
          <w:sz w:val="20"/>
          <w:lang w:val="hr-HR"/>
        </w:rPr>
      </w:pPr>
    </w:p>
    <w:p w14:paraId="42A197CC">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4C493D5B">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0C3BA81">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FD6B6A9">
      <w:pPr>
        <w:jc w:val="both"/>
        <w:rPr>
          <w:rFonts w:ascii="Microsoft Sans Serif" w:hAnsi="Microsoft Sans Serif" w:cs="Microsoft Sans Serif"/>
          <w:sz w:val="20"/>
          <w:lang w:val="hr-HR"/>
        </w:rPr>
      </w:pPr>
    </w:p>
    <w:p w14:paraId="4B2A5C64">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332750DB">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0655A3F3">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E7F5235">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1581862F">
      <w:pPr>
        <w:rPr>
          <w:rFonts w:ascii="Microsoft Sans Serif" w:hAnsi="Microsoft Sans Serif" w:cs="Microsoft Sans Serif"/>
          <w:sz w:val="20"/>
          <w:lang w:val="sr-Latn-BA"/>
        </w:rPr>
      </w:pPr>
    </w:p>
    <w:p w14:paraId="250585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Nosilac dozvole za stavljanje gotovog lijeka u promet </w:t>
      </w:r>
    </w:p>
    <w:p w14:paraId="5FD10479">
      <w:pPr>
        <w:pStyle w:val="19"/>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70A58CB7">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1A1444DD">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6A299D8">
      <w:pPr>
        <w:tabs>
          <w:tab w:val="left" w:pos="567"/>
        </w:tabs>
        <w:jc w:val="both"/>
        <w:rPr>
          <w:rFonts w:ascii="Microsoft Sans Serif" w:hAnsi="Microsoft Sans Serif" w:cs="Microsoft Sans Serif"/>
          <w:sz w:val="20"/>
          <w:lang w:val="sr-Latn-BA"/>
        </w:rPr>
      </w:pPr>
    </w:p>
    <w:p w14:paraId="76F4B8D9">
      <w:pPr>
        <w:tabs>
          <w:tab w:val="left" w:pos="567"/>
        </w:tabs>
        <w:jc w:val="both"/>
        <w:rPr>
          <w:rFonts w:ascii="Microsoft Sans Serif" w:hAnsi="Microsoft Sans Serif" w:cs="Microsoft Sans Serif"/>
          <w:sz w:val="20"/>
          <w:lang w:val="sr-Latn-BA"/>
        </w:rPr>
      </w:pPr>
    </w:p>
    <w:p w14:paraId="256464AE">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DOZVOLE ZA STAVLJANJE GOTOVOG LIJEKA U PROMET</w:t>
      </w:r>
    </w:p>
    <w:p w14:paraId="177726D4">
      <w:pPr>
        <w:jc w:val="both"/>
        <w:rPr>
          <w:rFonts w:ascii="Microsoft Sans Serif" w:hAnsi="Microsoft Sans Serif" w:cs="Microsoft Sans Serif"/>
          <w:b/>
          <w:sz w:val="20"/>
          <w:lang w:val="sr-Latn-BA"/>
        </w:rPr>
      </w:pPr>
    </w:p>
    <w:p w14:paraId="3D6F2D36">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5 mg: 04-07.3-2-6410/21 od 06.09. 2022.</w:t>
      </w:r>
    </w:p>
    <w:p w14:paraId="6D26547F">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5 mg: 04-07.3-2-6411/21 od 06.09. 2022.</w:t>
      </w:r>
    </w:p>
    <w:p w14:paraId="72846AD8">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10 mg: 04-07.3-2-6412/21 od 06.09. 2022.</w:t>
      </w:r>
    </w:p>
    <w:p w14:paraId="76791321">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10 mg: 04-07.3-2-6413/21 od 06.09. 2022.</w:t>
      </w:r>
    </w:p>
    <w:p w14:paraId="1DDFC689">
      <w:pPr>
        <w:autoSpaceDE w:val="0"/>
        <w:autoSpaceDN w:val="0"/>
        <w:adjustRightInd w:val="0"/>
        <w:rPr>
          <w:rFonts w:ascii="Microsoft Sans Serif" w:hAnsi="Microsoft Sans Serif" w:cs="Microsoft Sans Serif"/>
          <w:sz w:val="20"/>
          <w:lang w:val="sr-Latn-BA"/>
        </w:rPr>
      </w:pPr>
      <w:r>
        <w:rPr>
          <w:rFonts w:ascii="Microsoft Sans Serif" w:hAnsi="Microsoft Sans Serif" w:cs="Microsoft Sans Serif"/>
          <w:sz w:val="20"/>
          <w:lang w:val="sr-Latn-BA"/>
        </w:rPr>
        <w:t>Skopryl, tableta, 20 x 20 mg: 04-07.3-2-6414/21 od 06.09. 2022.</w:t>
      </w:r>
    </w:p>
    <w:p w14:paraId="3CB53C75">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Skopryl, tableta, 30 x 20 mg: 04-07.3-2-6415/21 od 06.09. 2022.</w:t>
      </w:r>
    </w:p>
    <w:p w14:paraId="0FDD1B64">
      <w:pPr>
        <w:tabs>
          <w:tab w:val="left" w:pos="567"/>
        </w:tabs>
        <w:jc w:val="both"/>
        <w:rPr>
          <w:rFonts w:ascii="Microsoft Sans Serif" w:hAnsi="Microsoft Sans Serif" w:cs="Microsoft Sans Serif"/>
          <w:sz w:val="20"/>
          <w:lang w:val="en-US"/>
        </w:rPr>
      </w:pPr>
    </w:p>
    <w:p w14:paraId="3070785C">
      <w:pPr>
        <w:tabs>
          <w:tab w:val="left" w:pos="567"/>
        </w:tabs>
        <w:jc w:val="both"/>
        <w:rPr>
          <w:rFonts w:ascii="Microsoft Sans Serif" w:hAnsi="Microsoft Sans Serif" w:cs="Microsoft Sans Serif"/>
          <w:sz w:val="20"/>
          <w:lang w:val="en-US"/>
        </w:rPr>
      </w:pPr>
    </w:p>
    <w:p w14:paraId="65C641A1">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01D0A006">
      <w:pPr>
        <w:pStyle w:val="19"/>
        <w:tabs>
          <w:tab w:val="clear" w:pos="4320"/>
          <w:tab w:val="clear" w:pos="8640"/>
        </w:tabs>
        <w:jc w:val="both"/>
        <w:rPr>
          <w:rFonts w:ascii="Microsoft Sans Serif" w:hAnsi="Microsoft Sans Serif" w:cs="Microsoft Sans Serif"/>
          <w:sz w:val="20"/>
          <w:lang w:val="sr-Latn-BA"/>
        </w:rPr>
      </w:pPr>
    </w:p>
    <w:p w14:paraId="3B97B430">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Septembar, 2022 godine.</w:t>
      </w:r>
    </w:p>
    <w:p w14:paraId="4F4903FA">
      <w:pPr>
        <w:rPr>
          <w:rFonts w:ascii="Microsoft Sans Serif" w:hAnsi="Microsoft Sans Serif" w:cs="Microsoft Sans Serif"/>
          <w:sz w:val="20"/>
          <w:lang w:val="sr-Latn-BA"/>
        </w:rPr>
      </w:pPr>
    </w:p>
    <w:p w14:paraId="3F2A7991">
      <w:pPr>
        <w:rPr>
          <w:rFonts w:ascii="Microsoft Sans Serif" w:hAnsi="Microsoft Sans Serif" w:cs="Microsoft Sans Serif"/>
          <w:sz w:val="20"/>
          <w:lang w:val="sr-Latn-BA"/>
        </w:rPr>
      </w:pPr>
    </w:p>
    <w:sectPr>
      <w:pgSz w:w="11907" w:h="16840"/>
      <w:pgMar w:top="2552" w:right="1134" w:bottom="1134" w:left="1418" w:header="964"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Times">
    <w:altName w:val="Times New Roman"/>
    <w:panose1 w:val="02027200000000000000"/>
    <w:charset w:val="00"/>
    <w:family w:val="roman"/>
    <w:pitch w:val="default"/>
    <w:sig w:usb0="00000000" w:usb1="00000000" w:usb2="00000000" w:usb3="00000000" w:csb0="0000001B" w:csb1="00000000"/>
  </w:font>
  <w:font w:name="MAC C Swiss">
    <w:altName w:val="Segoe Print"/>
    <w:panose1 w:val="020B7200000000000000"/>
    <w:charset w:val="00"/>
    <w:family w:val="swiss"/>
    <w:pitch w:val="default"/>
    <w:sig w:usb0="00000000" w:usb1="00000000" w:usb2="00000000" w:usb3="00000000" w:csb0="00000009"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200247B" w:usb2="00000009" w:usb3="00000000" w:csb0="200001FF" w:csb1="00000000"/>
  </w:font>
  <w:font w:name="Consolas">
    <w:panose1 w:val="020B0609020204030204"/>
    <w:charset w:val="CC"/>
    <w:family w:val="modern"/>
    <w:pitch w:val="default"/>
    <w:sig w:usb0="E00006FF" w:usb1="0000FCFF" w:usb2="00000001" w:usb3="00000000" w:csb0="6000019F" w:csb1="DFD7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9577078"/>
    <w:multiLevelType w:val="multilevel"/>
    <w:tmpl w:val="09577078"/>
    <w:lvl w:ilvl="0" w:tentative="0">
      <w:start w:val="65535"/>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rPr>
    </w:lvl>
    <w:lvl w:ilvl="1" w:tentative="0">
      <w:start w:val="6"/>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4">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62E8"/>
    <w:rsid w:val="000253EE"/>
    <w:rsid w:val="00060211"/>
    <w:rsid w:val="0007615D"/>
    <w:rsid w:val="00091405"/>
    <w:rsid w:val="000A7A8E"/>
    <w:rsid w:val="000B4A17"/>
    <w:rsid w:val="000C2032"/>
    <w:rsid w:val="000D12C2"/>
    <w:rsid w:val="001030E0"/>
    <w:rsid w:val="0010560B"/>
    <w:rsid w:val="00115739"/>
    <w:rsid w:val="00132645"/>
    <w:rsid w:val="00157702"/>
    <w:rsid w:val="00162D3B"/>
    <w:rsid w:val="00163E2F"/>
    <w:rsid w:val="001649E9"/>
    <w:rsid w:val="001654FD"/>
    <w:rsid w:val="0017789D"/>
    <w:rsid w:val="00180CF4"/>
    <w:rsid w:val="001A2D60"/>
    <w:rsid w:val="001A4E85"/>
    <w:rsid w:val="001A5B47"/>
    <w:rsid w:val="001F3B22"/>
    <w:rsid w:val="00203D90"/>
    <w:rsid w:val="00225554"/>
    <w:rsid w:val="0026031A"/>
    <w:rsid w:val="002637A5"/>
    <w:rsid w:val="00270B4F"/>
    <w:rsid w:val="00281FC4"/>
    <w:rsid w:val="00291512"/>
    <w:rsid w:val="002B5DBB"/>
    <w:rsid w:val="002C0AD1"/>
    <w:rsid w:val="002D3AAD"/>
    <w:rsid w:val="002E10EC"/>
    <w:rsid w:val="002E14A4"/>
    <w:rsid w:val="002E6E87"/>
    <w:rsid w:val="00314F62"/>
    <w:rsid w:val="003319B7"/>
    <w:rsid w:val="003445E7"/>
    <w:rsid w:val="0035060F"/>
    <w:rsid w:val="00361A17"/>
    <w:rsid w:val="003827CF"/>
    <w:rsid w:val="003870FC"/>
    <w:rsid w:val="00396226"/>
    <w:rsid w:val="003A19E0"/>
    <w:rsid w:val="003A3F72"/>
    <w:rsid w:val="003A772A"/>
    <w:rsid w:val="003B63B0"/>
    <w:rsid w:val="003D2449"/>
    <w:rsid w:val="003E140B"/>
    <w:rsid w:val="003F1C3E"/>
    <w:rsid w:val="00414C66"/>
    <w:rsid w:val="004329C7"/>
    <w:rsid w:val="004366F2"/>
    <w:rsid w:val="004452DF"/>
    <w:rsid w:val="004510FF"/>
    <w:rsid w:val="004757CE"/>
    <w:rsid w:val="004A4440"/>
    <w:rsid w:val="004A51A1"/>
    <w:rsid w:val="004B0704"/>
    <w:rsid w:val="004D08BB"/>
    <w:rsid w:val="004D0D82"/>
    <w:rsid w:val="004E6FE6"/>
    <w:rsid w:val="00507649"/>
    <w:rsid w:val="0051231A"/>
    <w:rsid w:val="0051453B"/>
    <w:rsid w:val="0053265D"/>
    <w:rsid w:val="00545CBA"/>
    <w:rsid w:val="005756B4"/>
    <w:rsid w:val="0057665D"/>
    <w:rsid w:val="005834C6"/>
    <w:rsid w:val="005A4F97"/>
    <w:rsid w:val="005C3F94"/>
    <w:rsid w:val="005D0EB0"/>
    <w:rsid w:val="005D4B48"/>
    <w:rsid w:val="005E26AA"/>
    <w:rsid w:val="005F06BA"/>
    <w:rsid w:val="006128A9"/>
    <w:rsid w:val="00620689"/>
    <w:rsid w:val="006212FC"/>
    <w:rsid w:val="00633B5F"/>
    <w:rsid w:val="00642068"/>
    <w:rsid w:val="00652328"/>
    <w:rsid w:val="0066028D"/>
    <w:rsid w:val="00673167"/>
    <w:rsid w:val="00673F9D"/>
    <w:rsid w:val="00680210"/>
    <w:rsid w:val="006833CA"/>
    <w:rsid w:val="00690201"/>
    <w:rsid w:val="0069119A"/>
    <w:rsid w:val="0069246A"/>
    <w:rsid w:val="00693062"/>
    <w:rsid w:val="006B38C7"/>
    <w:rsid w:val="006B4B13"/>
    <w:rsid w:val="006B75F6"/>
    <w:rsid w:val="006B7BCF"/>
    <w:rsid w:val="006C1378"/>
    <w:rsid w:val="006C5716"/>
    <w:rsid w:val="006C577C"/>
    <w:rsid w:val="006C5964"/>
    <w:rsid w:val="006F54AE"/>
    <w:rsid w:val="0070240D"/>
    <w:rsid w:val="00713528"/>
    <w:rsid w:val="00717EDF"/>
    <w:rsid w:val="00750C18"/>
    <w:rsid w:val="007713A4"/>
    <w:rsid w:val="00781AC3"/>
    <w:rsid w:val="007C2448"/>
    <w:rsid w:val="007D24C2"/>
    <w:rsid w:val="007F7649"/>
    <w:rsid w:val="0080182C"/>
    <w:rsid w:val="00801CFB"/>
    <w:rsid w:val="00803C4D"/>
    <w:rsid w:val="00812087"/>
    <w:rsid w:val="00814346"/>
    <w:rsid w:val="00850825"/>
    <w:rsid w:val="008516EE"/>
    <w:rsid w:val="008569AC"/>
    <w:rsid w:val="00871F6B"/>
    <w:rsid w:val="00872CEB"/>
    <w:rsid w:val="00875565"/>
    <w:rsid w:val="00877AA1"/>
    <w:rsid w:val="00895DE4"/>
    <w:rsid w:val="008A49C1"/>
    <w:rsid w:val="008B01A0"/>
    <w:rsid w:val="008D4A05"/>
    <w:rsid w:val="008F702A"/>
    <w:rsid w:val="009007F0"/>
    <w:rsid w:val="00902062"/>
    <w:rsid w:val="00904850"/>
    <w:rsid w:val="00915F5D"/>
    <w:rsid w:val="00962974"/>
    <w:rsid w:val="00990F9A"/>
    <w:rsid w:val="009F2382"/>
    <w:rsid w:val="009F2FA6"/>
    <w:rsid w:val="00A0019D"/>
    <w:rsid w:val="00A00E8C"/>
    <w:rsid w:val="00A051FC"/>
    <w:rsid w:val="00A06188"/>
    <w:rsid w:val="00A1311B"/>
    <w:rsid w:val="00A32548"/>
    <w:rsid w:val="00A83085"/>
    <w:rsid w:val="00AA165F"/>
    <w:rsid w:val="00AA77DD"/>
    <w:rsid w:val="00AC795E"/>
    <w:rsid w:val="00B33CBD"/>
    <w:rsid w:val="00B812D3"/>
    <w:rsid w:val="00B9266F"/>
    <w:rsid w:val="00BA401B"/>
    <w:rsid w:val="00BC3049"/>
    <w:rsid w:val="00C0665A"/>
    <w:rsid w:val="00C0731D"/>
    <w:rsid w:val="00C17B4B"/>
    <w:rsid w:val="00C21549"/>
    <w:rsid w:val="00C36073"/>
    <w:rsid w:val="00C44003"/>
    <w:rsid w:val="00C93B07"/>
    <w:rsid w:val="00C97944"/>
    <w:rsid w:val="00CD22D4"/>
    <w:rsid w:val="00CE2B51"/>
    <w:rsid w:val="00D24CBA"/>
    <w:rsid w:val="00D26A1E"/>
    <w:rsid w:val="00D3772E"/>
    <w:rsid w:val="00D54C5D"/>
    <w:rsid w:val="00D62CED"/>
    <w:rsid w:val="00D73236"/>
    <w:rsid w:val="00DA6E48"/>
    <w:rsid w:val="00DD5A65"/>
    <w:rsid w:val="00DE280D"/>
    <w:rsid w:val="00DF3E4C"/>
    <w:rsid w:val="00DF45F5"/>
    <w:rsid w:val="00E07B88"/>
    <w:rsid w:val="00E331D4"/>
    <w:rsid w:val="00E42DAE"/>
    <w:rsid w:val="00E56E8F"/>
    <w:rsid w:val="00E576E8"/>
    <w:rsid w:val="00E61387"/>
    <w:rsid w:val="00E73137"/>
    <w:rsid w:val="00E73CA5"/>
    <w:rsid w:val="00EA0AFE"/>
    <w:rsid w:val="00EA4C49"/>
    <w:rsid w:val="00EB1E90"/>
    <w:rsid w:val="00ED6E40"/>
    <w:rsid w:val="00EE0DE3"/>
    <w:rsid w:val="00EE140C"/>
    <w:rsid w:val="00F111EA"/>
    <w:rsid w:val="00F26652"/>
    <w:rsid w:val="00F3470C"/>
    <w:rsid w:val="00F41E4A"/>
    <w:rsid w:val="00F519E7"/>
    <w:rsid w:val="00F5730E"/>
    <w:rsid w:val="00F71C5B"/>
    <w:rsid w:val="00F74AF6"/>
    <w:rsid w:val="00F85745"/>
    <w:rsid w:val="00FA6518"/>
    <w:rsid w:val="00FB2D36"/>
    <w:rsid w:val="30307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nhideWhenUsed="0" w:uiPriority="0" w:semiHidden="0" w:name="annotation text"/>
    <w:lsdException w:unhideWhenUsed="0" w:uiPriority="0"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uiPriority="0" w:name="Body Text Indent 2"/>
    <w:lsdException w:unhideWhenUsed="0" w:uiPriority="0" w:semiHidden="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7"/>
    <w:uiPriority w:val="0"/>
    <w:rPr>
      <w:rFonts w:ascii="Tahoma" w:hAnsi="Tahoma" w:cs="Tahoma"/>
      <w:sz w:val="16"/>
      <w:szCs w:val="16"/>
      <w:lang w:val="en-US" w:eastAsia="en-US"/>
    </w:rPr>
  </w:style>
  <w:style w:type="paragraph" w:styleId="10">
    <w:name w:val="Body Text"/>
    <w:basedOn w:val="1"/>
    <w:link w:val="33"/>
    <w:uiPriority w:val="0"/>
    <w:pPr>
      <w:autoSpaceDE w:val="0"/>
      <w:autoSpaceDN w:val="0"/>
    </w:pPr>
    <w:rPr>
      <w:rFonts w:ascii="MAC C Times" w:hAnsi="MAC C Times"/>
      <w:sz w:val="22"/>
      <w:szCs w:val="22"/>
      <w:lang w:val="en-US" w:eastAsia="en-US"/>
    </w:rPr>
  </w:style>
  <w:style w:type="paragraph" w:styleId="11">
    <w:name w:val="Body Text 2"/>
    <w:basedOn w:val="1"/>
    <w:link w:val="36"/>
    <w:uiPriority w:val="0"/>
    <w:pPr>
      <w:spacing w:after="120" w:line="480" w:lineRule="auto"/>
    </w:pPr>
    <w:rPr>
      <w:sz w:val="20"/>
      <w:lang w:val="en-US" w:eastAsia="en-US"/>
    </w:rPr>
  </w:style>
  <w:style w:type="paragraph" w:styleId="12">
    <w:name w:val="Body Text 3"/>
    <w:basedOn w:val="1"/>
    <w:link w:val="35"/>
    <w:uiPriority w:val="0"/>
    <w:pPr>
      <w:jc w:val="both"/>
    </w:pPr>
    <w:rPr>
      <w:rFonts w:ascii="MAC C Times" w:hAnsi="MAC C Times"/>
      <w:color w:val="000080"/>
      <w:sz w:val="22"/>
      <w:szCs w:val="22"/>
      <w:lang w:val="en-US" w:eastAsia="en-US"/>
    </w:rPr>
  </w:style>
  <w:style w:type="paragraph" w:styleId="13">
    <w:name w:val="Body Text Indent"/>
    <w:basedOn w:val="1"/>
    <w:link w:val="31"/>
    <w:uiPriority w:val="0"/>
    <w:pPr>
      <w:ind w:left="720"/>
      <w:jc w:val="both"/>
    </w:pPr>
    <w:rPr>
      <w:rFonts w:ascii="MAC C Times" w:hAnsi="MAC C Times"/>
      <w:color w:val="000000"/>
      <w:szCs w:val="24"/>
      <w:lang w:val="en-US" w:eastAsia="en-US"/>
    </w:rPr>
  </w:style>
  <w:style w:type="paragraph" w:styleId="14">
    <w:name w:val="Body Text Indent 3"/>
    <w:basedOn w:val="1"/>
    <w:link w:val="34"/>
    <w:uiPriority w:val="0"/>
    <w:pPr>
      <w:ind w:left="720"/>
    </w:pPr>
    <w:rPr>
      <w:rFonts w:ascii="MAC C Swiss" w:hAnsi="MAC C Swiss"/>
      <w:sz w:val="22"/>
      <w:szCs w:val="22"/>
      <w:lang w:val="en-US" w:eastAsia="en-US"/>
    </w:rPr>
  </w:style>
  <w:style w:type="character" w:styleId="15">
    <w:name w:val="annotation reference"/>
    <w:uiPriority w:val="0"/>
    <w:rPr>
      <w:sz w:val="16"/>
      <w:szCs w:val="16"/>
    </w:rPr>
  </w:style>
  <w:style w:type="paragraph" w:styleId="16">
    <w:name w:val="annotation text"/>
    <w:basedOn w:val="1"/>
    <w:link w:val="53"/>
    <w:uiPriority w:val="0"/>
    <w:rPr>
      <w:rFonts w:ascii="MAC C Times" w:hAnsi="MAC C Times"/>
      <w:sz w:val="20"/>
      <w:lang w:val="en-US" w:eastAsia="en-US"/>
    </w:rPr>
  </w:style>
  <w:style w:type="paragraph" w:styleId="17">
    <w:name w:val="annotation subject"/>
    <w:basedOn w:val="16"/>
    <w:next w:val="16"/>
    <w:link w:val="54"/>
    <w:semiHidden/>
    <w:unhideWhenUsed/>
    <w:uiPriority w:val="0"/>
    <w:rPr>
      <w:rFonts w:ascii="Times New Roman" w:hAnsi="Times New Roman"/>
      <w:b/>
      <w:bCs/>
      <w:lang w:val="en-GB" w:eastAsia="hr-HR"/>
    </w:rPr>
  </w:style>
  <w:style w:type="paragraph" w:styleId="18">
    <w:name w:val="footer"/>
    <w:basedOn w:val="1"/>
    <w:link w:val="30"/>
    <w:uiPriority w:val="99"/>
    <w:pPr>
      <w:tabs>
        <w:tab w:val="center" w:pos="4320"/>
        <w:tab w:val="right" w:pos="8640"/>
      </w:tabs>
    </w:pPr>
    <w:rPr>
      <w:rFonts w:ascii="MAC C Times" w:hAnsi="MAC C Times"/>
      <w:lang w:eastAsia="en-US"/>
    </w:rPr>
  </w:style>
  <w:style w:type="paragraph" w:styleId="19">
    <w:name w:val="header"/>
    <w:basedOn w:val="1"/>
    <w:link w:val="29"/>
    <w:uiPriority w:val="0"/>
    <w:pPr>
      <w:tabs>
        <w:tab w:val="center" w:pos="4320"/>
        <w:tab w:val="right" w:pos="8640"/>
      </w:tabs>
    </w:pPr>
    <w:rPr>
      <w:rFonts w:ascii="MAC C Times" w:hAnsi="MAC C Times"/>
      <w:lang w:eastAsia="en-US"/>
    </w:rPr>
  </w:style>
  <w:style w:type="paragraph" w:styleId="20">
    <w:name w:val="HTML Preformatted"/>
    <w:basedOn w:val="1"/>
    <w:link w:val="55"/>
    <w:unhideWhenUsed/>
    <w:uiPriority w:val="0"/>
    <w:rPr>
      <w:rFonts w:ascii="Consolas" w:hAnsi="Consolas" w:cs="Consolas"/>
      <w:sz w:val="20"/>
    </w:rPr>
  </w:style>
  <w:style w:type="character" w:styleId="21">
    <w:name w:val="Hyperlink"/>
    <w:uiPriority w:val="0"/>
    <w:rPr>
      <w:color w:val="0000FF"/>
      <w:u w:val="single"/>
    </w:rPr>
  </w:style>
  <w:style w:type="paragraph" w:styleId="22">
    <w:name w:val="Normal (Web)"/>
    <w:basedOn w:val="1"/>
    <w:uiPriority w:val="99"/>
    <w:pPr>
      <w:spacing w:before="100" w:beforeAutospacing="1" w:after="75"/>
    </w:pPr>
    <w:rPr>
      <w:color w:val="000000"/>
      <w:szCs w:val="24"/>
      <w:lang w:val="en-US" w:eastAsia="en-US"/>
    </w:rPr>
  </w:style>
  <w:style w:type="paragraph" w:styleId="23">
    <w:name w:val="Normal Indent"/>
    <w:basedOn w:val="1"/>
    <w:uiPriority w:val="0"/>
    <w:pPr>
      <w:spacing w:after="120"/>
      <w:ind w:left="720"/>
    </w:pPr>
    <w:rPr>
      <w:sz w:val="22"/>
      <w:lang w:eastAsia="en-GB"/>
    </w:rPr>
  </w:style>
  <w:style w:type="character" w:styleId="24">
    <w:name w:val="page number"/>
    <w:uiPriority w:val="0"/>
  </w:style>
  <w:style w:type="table" w:styleId="25">
    <w:name w:val="Table Grid"/>
    <w:basedOn w:val="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link w:val="32"/>
    <w:qFormat/>
    <w:uiPriority w:val="0"/>
    <w:pPr>
      <w:jc w:val="center"/>
    </w:pPr>
    <w:rPr>
      <w:rFonts w:ascii="MAC C Times" w:hAnsi="MAC C Times"/>
      <w:b/>
      <w:bCs/>
      <w:sz w:val="28"/>
      <w:szCs w:val="28"/>
      <w:lang w:val="en-US" w:eastAsia="en-US"/>
    </w:rPr>
  </w:style>
  <w:style w:type="paragraph" w:customStyle="1" w:styleId="27">
    <w:name w:val="Naslov"/>
    <w:basedOn w:val="1"/>
    <w:uiPriority w:val="0"/>
    <w:pPr>
      <w:tabs>
        <w:tab w:val="left" w:pos="840"/>
      </w:tabs>
    </w:pPr>
    <w:rPr>
      <w:b/>
      <w:caps/>
    </w:rPr>
  </w:style>
  <w:style w:type="paragraph" w:customStyle="1" w:styleId="28">
    <w:name w:val="tekst"/>
    <w:basedOn w:val="1"/>
    <w:uiPriority w:val="0"/>
    <w:pPr>
      <w:spacing w:before="60" w:line="240" w:lineRule="atLeast"/>
      <w:jc w:val="both"/>
    </w:pPr>
  </w:style>
  <w:style w:type="character" w:customStyle="1" w:styleId="29">
    <w:name w:val="Header Char"/>
    <w:link w:val="19"/>
    <w:uiPriority w:val="0"/>
    <w:rPr>
      <w:rFonts w:ascii="MAC C Times" w:hAnsi="MAC C Times"/>
      <w:sz w:val="24"/>
      <w:lang w:val="en-GB"/>
    </w:rPr>
  </w:style>
  <w:style w:type="character" w:customStyle="1" w:styleId="30">
    <w:name w:val="Footer Char"/>
    <w:link w:val="18"/>
    <w:uiPriority w:val="99"/>
    <w:rPr>
      <w:rFonts w:ascii="MAC C Times" w:hAnsi="MAC C Times"/>
      <w:sz w:val="24"/>
      <w:lang w:val="en-GB"/>
    </w:rPr>
  </w:style>
  <w:style w:type="character" w:customStyle="1" w:styleId="31">
    <w:name w:val="Body Text Indent Char"/>
    <w:link w:val="13"/>
    <w:uiPriority w:val="0"/>
    <w:rPr>
      <w:rFonts w:ascii="MAC C Times" w:hAnsi="MAC C Times"/>
      <w:color w:val="000000"/>
      <w:sz w:val="24"/>
      <w:szCs w:val="24"/>
    </w:rPr>
  </w:style>
  <w:style w:type="character" w:customStyle="1" w:styleId="32">
    <w:name w:val="Title Char"/>
    <w:link w:val="26"/>
    <w:uiPriority w:val="0"/>
    <w:rPr>
      <w:rFonts w:ascii="MAC C Times" w:hAnsi="MAC C Times"/>
      <w:b/>
      <w:bCs/>
      <w:sz w:val="28"/>
      <w:szCs w:val="28"/>
    </w:rPr>
  </w:style>
  <w:style w:type="character" w:customStyle="1" w:styleId="33">
    <w:name w:val="Body Text Char"/>
    <w:link w:val="10"/>
    <w:uiPriority w:val="0"/>
    <w:rPr>
      <w:rFonts w:ascii="MAC C Times" w:hAnsi="MAC C Times"/>
      <w:sz w:val="22"/>
      <w:szCs w:val="22"/>
    </w:rPr>
  </w:style>
  <w:style w:type="character" w:customStyle="1" w:styleId="34">
    <w:name w:val="Body Text Indent 3 Char"/>
    <w:link w:val="14"/>
    <w:uiPriority w:val="0"/>
    <w:rPr>
      <w:rFonts w:ascii="MAC C Swiss" w:hAnsi="MAC C Swiss"/>
      <w:sz w:val="22"/>
      <w:szCs w:val="22"/>
    </w:rPr>
  </w:style>
  <w:style w:type="character" w:customStyle="1" w:styleId="35">
    <w:name w:val="Body Text 3 Char"/>
    <w:link w:val="12"/>
    <w:uiPriority w:val="0"/>
    <w:rPr>
      <w:rFonts w:ascii="MAC C Times" w:hAnsi="MAC C Times"/>
      <w:color w:val="000080"/>
      <w:sz w:val="22"/>
      <w:szCs w:val="22"/>
    </w:rPr>
  </w:style>
  <w:style w:type="character" w:customStyle="1" w:styleId="36">
    <w:name w:val="Body Text 2 Char"/>
    <w:basedOn w:val="7"/>
    <w:link w:val="11"/>
    <w:uiPriority w:val="0"/>
  </w:style>
  <w:style w:type="character" w:customStyle="1" w:styleId="37">
    <w:name w:val="Balloon Text Char"/>
    <w:link w:val="9"/>
    <w:uiPriority w:val="0"/>
    <w:rPr>
      <w:rFonts w:ascii="Tahoma" w:hAnsi="Tahoma" w:cs="Tahoma"/>
      <w:sz w:val="16"/>
      <w:szCs w:val="16"/>
    </w:rPr>
  </w:style>
  <w:style w:type="paragraph" w:customStyle="1" w:styleId="38">
    <w:name w:val="Default"/>
    <w:uiPriority w:val="0"/>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39">
    <w:name w:val="Char Char Char Char Char Char"/>
    <w:basedOn w:val="1"/>
    <w:uiPriority w:val="0"/>
    <w:pPr>
      <w:spacing w:after="160" w:line="240" w:lineRule="exact"/>
    </w:pPr>
    <w:rPr>
      <w:rFonts w:ascii="Tahoma" w:hAnsi="Tahoma"/>
      <w:sz w:val="20"/>
      <w:lang w:val="en-US" w:eastAsia="en-US"/>
    </w:rPr>
  </w:style>
  <w:style w:type="character" w:customStyle="1" w:styleId="40">
    <w:name w:val="long_text"/>
    <w:uiPriority w:val="0"/>
  </w:style>
  <w:style w:type="character" w:customStyle="1" w:styleId="41">
    <w:name w:val="hps"/>
    <w:uiPriority w:val="0"/>
  </w:style>
  <w:style w:type="character" w:customStyle="1" w:styleId="42">
    <w:name w:val="atn"/>
    <w:uiPriority w:val="0"/>
  </w:style>
  <w:style w:type="character" w:customStyle="1" w:styleId="43">
    <w:name w:val="gt-icon-text"/>
    <w:uiPriority w:val="0"/>
  </w:style>
  <w:style w:type="character" w:customStyle="1" w:styleId="44">
    <w:name w:val="hps atn"/>
    <w:uiPriority w:val="0"/>
  </w:style>
  <w:style w:type="character" w:customStyle="1" w:styleId="45">
    <w:name w:val="long_text short_text"/>
    <w:uiPriority w:val="0"/>
  </w:style>
  <w:style w:type="paragraph" w:customStyle="1" w:styleId="46">
    <w:name w:val="HTML Top of Form"/>
    <w:basedOn w:val="1"/>
    <w:next w:val="1"/>
    <w:link w:val="47"/>
    <w:uiPriority w:val="0"/>
    <w:pPr>
      <w:pBdr>
        <w:bottom w:val="single" w:color="auto" w:sz="6" w:space="1"/>
      </w:pBdr>
      <w:jc w:val="center"/>
    </w:pPr>
    <w:rPr>
      <w:rFonts w:ascii="Arial" w:hAnsi="Arial" w:cs="Arial"/>
      <w:vanish/>
      <w:sz w:val="16"/>
      <w:szCs w:val="16"/>
      <w:lang w:eastAsia="en-GB"/>
    </w:rPr>
  </w:style>
  <w:style w:type="character" w:customStyle="1" w:styleId="47">
    <w:name w:val="z-Top of Form Char"/>
    <w:link w:val="46"/>
    <w:uiPriority w:val="0"/>
    <w:rPr>
      <w:rFonts w:ascii="Arial" w:hAnsi="Arial" w:cs="Arial"/>
      <w:vanish/>
      <w:sz w:val="16"/>
      <w:szCs w:val="16"/>
      <w:lang w:val="en-GB" w:eastAsia="en-GB"/>
    </w:rPr>
  </w:style>
  <w:style w:type="paragraph" w:customStyle="1" w:styleId="48">
    <w:name w:val="HTML Bottom of Form"/>
    <w:basedOn w:val="1"/>
    <w:next w:val="1"/>
    <w:link w:val="49"/>
    <w:uiPriority w:val="0"/>
    <w:pPr>
      <w:pBdr>
        <w:top w:val="single" w:color="auto" w:sz="6" w:space="1"/>
      </w:pBdr>
      <w:jc w:val="center"/>
    </w:pPr>
    <w:rPr>
      <w:rFonts w:ascii="Arial" w:hAnsi="Arial" w:cs="Arial"/>
      <w:vanish/>
      <w:sz w:val="16"/>
      <w:szCs w:val="16"/>
      <w:lang w:eastAsia="en-GB"/>
    </w:rPr>
  </w:style>
  <w:style w:type="character" w:customStyle="1" w:styleId="49">
    <w:name w:val="z-Bottom of Form Char"/>
    <w:link w:val="48"/>
    <w:uiPriority w:val="0"/>
    <w:rPr>
      <w:rFonts w:ascii="Arial" w:hAnsi="Arial" w:cs="Arial"/>
      <w:vanish/>
      <w:sz w:val="16"/>
      <w:szCs w:val="16"/>
      <w:lang w:val="en-GB" w:eastAsia="en-GB"/>
    </w:rPr>
  </w:style>
  <w:style w:type="character" w:customStyle="1" w:styleId="50">
    <w:name w:val="Char Char4"/>
    <w:semiHidden/>
    <w:locked/>
    <w:uiPriority w:val="0"/>
    <w:rPr>
      <w:rFonts w:ascii="MAC C Times" w:hAnsi="MAC C Times"/>
      <w:sz w:val="24"/>
      <w:lang w:val="en-GB" w:eastAsia="en-US" w:bidi="ar-SA"/>
    </w:rPr>
  </w:style>
  <w:style w:type="character" w:customStyle="1" w:styleId="51">
    <w:name w:val="Char Char2"/>
    <w:locked/>
    <w:uiPriority w:val="0"/>
    <w:rPr>
      <w:rFonts w:ascii="MAC C Times" w:hAnsi="MAC C Times"/>
      <w:b/>
      <w:bCs/>
      <w:sz w:val="28"/>
      <w:szCs w:val="28"/>
      <w:lang w:val="en-US" w:eastAsia="en-US" w:bidi="ar-SA"/>
    </w:rPr>
  </w:style>
  <w:style w:type="paragraph" w:styleId="52">
    <w:name w:val="List Paragraph"/>
    <w:basedOn w:val="1"/>
    <w:qFormat/>
    <w:uiPriority w:val="0"/>
    <w:pPr>
      <w:spacing w:after="200" w:line="276" w:lineRule="auto"/>
      <w:ind w:left="720"/>
      <w:contextualSpacing/>
    </w:pPr>
    <w:rPr>
      <w:rFonts w:ascii="Calibri" w:hAnsi="Calibri" w:eastAsia="Calibri"/>
      <w:sz w:val="22"/>
      <w:szCs w:val="22"/>
      <w:lang w:val="en-US" w:eastAsia="en-US"/>
    </w:rPr>
  </w:style>
  <w:style w:type="character" w:customStyle="1" w:styleId="53">
    <w:name w:val="Comment Text Char"/>
    <w:basedOn w:val="7"/>
    <w:link w:val="16"/>
    <w:uiPriority w:val="0"/>
    <w:rPr>
      <w:rFonts w:ascii="MAC C Times" w:hAnsi="MAC C Times"/>
    </w:rPr>
  </w:style>
  <w:style w:type="character" w:customStyle="1" w:styleId="54">
    <w:name w:val="Comment Subject Char"/>
    <w:basedOn w:val="53"/>
    <w:link w:val="17"/>
    <w:semiHidden/>
    <w:uiPriority w:val="0"/>
    <w:rPr>
      <w:rFonts w:ascii="MAC C Times" w:hAnsi="MAC C Times"/>
      <w:b/>
      <w:bCs/>
      <w:lang w:val="en-GB" w:eastAsia="hr-HR"/>
    </w:rPr>
  </w:style>
  <w:style w:type="character" w:customStyle="1" w:styleId="55">
    <w:name w:val="HTML Preformatted Char"/>
    <w:basedOn w:val="7"/>
    <w:link w:val="20"/>
    <w:uiPriority w:val="0"/>
    <w:rPr>
      <w:rFonts w:ascii="Consolas" w:hAnsi="Consolas" w:cs="Consolas"/>
      <w:lang w:val="en-GB" w:eastAsia="hr-H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Props1.xml><?xml version="1.0" encoding="utf-8"?>
<ds:datastoreItem xmlns:ds="http://schemas.openxmlformats.org/officeDocument/2006/customXml" ds:itemID="{8244B689-6863-4456-ADB2-E15FEB5CACA8}">
  <ds:schemaRefs/>
</ds:datastoreItem>
</file>

<file path=customXml/itemProps2.xml><?xml version="1.0" encoding="utf-8"?>
<ds:datastoreItem xmlns:ds="http://schemas.openxmlformats.org/officeDocument/2006/customXml" ds:itemID="{7FD3B625-966F-4177-95C2-7DDA5CC10EF6}">
  <ds:schemaRefs/>
</ds:datastoreItem>
</file>

<file path=customXml/itemProps3.xml><?xml version="1.0" encoding="utf-8"?>
<ds:datastoreItem xmlns:ds="http://schemas.openxmlformats.org/officeDocument/2006/customXml" ds:itemID="{88374852-DB6F-4F50-8AA9-8F6CE99C6861}">
  <ds:schemaRefs/>
</ds:datastoreItem>
</file>

<file path=customXml/itemProps4.xml><?xml version="1.0" encoding="utf-8"?>
<ds:datastoreItem xmlns:ds="http://schemas.openxmlformats.org/officeDocument/2006/customXml" ds:itemID="{BE1B2E41-5782-49FD-A586-4FE6275E4073}">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16</Pages>
  <Words>7775</Words>
  <Characters>44319</Characters>
  <Lines>369</Lines>
  <Paragraphs>103</Paragraphs>
  <TotalTime>3</TotalTime>
  <ScaleCrop>false</ScaleCrop>
  <LinksUpToDate>false</LinksUpToDate>
  <CharactersWithSpaces>51991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2022-09-20T11:29:00Z</dcterms:created>
  <dc:creator>MSINKIC</dc:creator>
  <cp:lastModifiedBy>Haris</cp:lastModifiedBy>
  <cp:lastPrinted>2017-11-22T07:09:00Z</cp:lastPrinted>
  <dcterms:modified xsi:type="dcterms:W3CDTF">2025-02-21T15:29:02Z</dcterms:modified>
  <dc:title>Module 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0C5B492AF1914CB8B5B65E09FD4E82D4_13</vt:lpwstr>
  </property>
</Properties>
</file>