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E0896">
      <w:pPr>
        <w:rPr>
          <w:rFonts w:ascii="Microsoft Sans Serif" w:hAnsi="Microsoft Sans Serif" w:cs="Microsoft Sans Serif"/>
          <w:sz w:val="20"/>
          <w:szCs w:val="20"/>
        </w:rPr>
      </w:pPr>
      <w:bookmarkStart w:id="0" w:name="_GoBack"/>
      <w:bookmarkEnd w:id="0"/>
    </w:p>
    <w:p w14:paraId="17AC4C98">
      <w:pPr>
        <w:jc w:val="center"/>
        <w:rPr>
          <w:rFonts w:ascii="Microsoft Sans Serif" w:hAnsi="Microsoft Sans Serif" w:cs="Microsoft Sans Serif"/>
          <w:b/>
          <w:bCs/>
          <w:iCs/>
          <w:sz w:val="20"/>
          <w:szCs w:val="20"/>
          <w:u w:val="single"/>
          <w:lang w:val="sv-SE"/>
        </w:rPr>
      </w:pPr>
      <w:r>
        <w:rPr>
          <w:rFonts w:ascii="Microsoft Sans Serif" w:hAnsi="Microsoft Sans Serif" w:cs="Microsoft Sans Serif"/>
          <w:b/>
          <w:bCs/>
          <w:iCs/>
          <w:sz w:val="20"/>
          <w:szCs w:val="20"/>
          <w:u w:val="single"/>
          <w:lang w:val="sv-SE"/>
        </w:rPr>
        <w:t>SAŽETAK KARAKTERISTIKA LIJEKA</w:t>
      </w:r>
    </w:p>
    <w:p w14:paraId="48031E7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3AB56EE3">
      <w:pPr>
        <w:rPr>
          <w:rFonts w:ascii="Microsoft Sans Serif" w:hAnsi="Microsoft Sans Serif" w:cs="Microsoft Sans Serif"/>
          <w:b/>
          <w:bCs/>
          <w:sz w:val="20"/>
          <w:szCs w:val="20"/>
          <w:lang w:val="sv-SE"/>
        </w:rPr>
      </w:pPr>
    </w:p>
    <w:p w14:paraId="5D6BCD42">
      <w:pPr>
        <w:rPr>
          <w:rFonts w:ascii="Microsoft Sans Serif" w:hAnsi="Microsoft Sans Serif" w:cs="Microsoft Sans Serif"/>
          <w:b/>
          <w:bCs/>
          <w:sz w:val="20"/>
          <w:szCs w:val="20"/>
          <w:lang w:val="sv-SE"/>
        </w:rPr>
      </w:pPr>
    </w:p>
    <w:p w14:paraId="6CACFD4F">
      <w:pPr>
        <w:tabs>
          <w:tab w:val="left" w:pos="142"/>
          <w:tab w:val="left" w:pos="426"/>
          <w:tab w:val="clear" w:pos="284"/>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1.    NAZIV GOTOVOG LIJEKA </w:t>
      </w:r>
    </w:p>
    <w:p w14:paraId="437EB99C">
      <w:pPr>
        <w:tabs>
          <w:tab w:val="left" w:pos="567"/>
        </w:tabs>
        <w:rPr>
          <w:rFonts w:ascii="Microsoft Sans Serif" w:hAnsi="Microsoft Sans Serif" w:cs="Microsoft Sans Serif"/>
          <w:b/>
          <w:sz w:val="20"/>
          <w:szCs w:val="20"/>
          <w:lang w:val="sr-Latn-BA"/>
        </w:rPr>
      </w:pPr>
    </w:p>
    <w:p w14:paraId="01E86173">
      <w:pPr>
        <w:pStyle w:val="31"/>
        <w:spacing w:before="0" w:after="0"/>
        <w:rPr>
          <w:rFonts w:ascii="Microsoft Sans Serif" w:hAnsi="Microsoft Sans Serif" w:cs="Microsoft Sans Serif"/>
          <w:b w:val="0"/>
          <w:bCs/>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val="0"/>
          <w:sz w:val="20"/>
          <w:szCs w:val="20"/>
          <w:lang w:val="sr-Latn-CS"/>
        </w:rPr>
        <w:t>Losmorid</w:t>
      </w:r>
    </w:p>
    <w:p w14:paraId="3992F265">
      <w:pPr>
        <w:pStyle w:val="31"/>
        <w:spacing w:before="0" w:after="0"/>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Latn-CS"/>
        </w:rPr>
        <w:t>50 mg</w:t>
      </w:r>
    </w:p>
    <w:p w14:paraId="5569DE10">
      <w:pPr>
        <w:pStyle w:val="31"/>
        <w:spacing w:before="0" w:after="0"/>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100 mg</w:t>
      </w:r>
    </w:p>
    <w:p w14:paraId="5978EFB1">
      <w:pPr>
        <w:pStyle w:val="31"/>
        <w:spacing w:before="0" w:after="0"/>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1</w:t>
      </w:r>
      <w:r>
        <w:rPr>
          <w:rFonts w:ascii="Microsoft Sans Serif" w:hAnsi="Microsoft Sans Serif" w:cs="Microsoft Sans Serif"/>
          <w:b w:val="0"/>
          <w:sz w:val="20"/>
          <w:szCs w:val="20"/>
          <w:lang w:val="sr-Latn-CS"/>
        </w:rPr>
        <w:t>50 mg</w:t>
      </w:r>
    </w:p>
    <w:p w14:paraId="2B2C05DE">
      <w:pPr>
        <w:pStyle w:val="31"/>
        <w:spacing w:before="0" w:after="0"/>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200 mg</w:t>
      </w:r>
    </w:p>
    <w:p w14:paraId="0F903803">
      <w:pPr>
        <w:pStyle w:val="31"/>
        <w:spacing w:before="0" w:after="0"/>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film tablete</w:t>
      </w:r>
    </w:p>
    <w:p w14:paraId="2AC19558">
      <w:pPr>
        <w:rPr>
          <w:rFonts w:ascii="Microsoft Sans Serif" w:hAnsi="Microsoft Sans Serif" w:cs="Microsoft Sans Serif"/>
          <w:sz w:val="20"/>
          <w:szCs w:val="20"/>
          <w:lang w:val="sv-SE"/>
        </w:rPr>
      </w:pPr>
    </w:p>
    <w:p w14:paraId="5F8B2B08">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v-SE"/>
        </w:rPr>
        <w:t>l</w:t>
      </w:r>
      <w:r>
        <w:rPr>
          <w:rFonts w:ascii="Microsoft Sans Serif" w:hAnsi="Microsoft Sans Serif" w:cs="Microsoft Sans Serif"/>
          <w:i/>
          <w:sz w:val="20"/>
          <w:szCs w:val="20"/>
          <w:lang w:val="sr-Latn-RS"/>
        </w:rPr>
        <w:t>akozamid</w:t>
      </w:r>
    </w:p>
    <w:p w14:paraId="78FEB87B">
      <w:pPr>
        <w:rPr>
          <w:rFonts w:ascii="Microsoft Sans Serif" w:hAnsi="Microsoft Sans Serif" w:cs="Microsoft Sans Serif"/>
          <w:b/>
          <w:bCs/>
          <w:sz w:val="20"/>
          <w:szCs w:val="20"/>
          <w:lang w:val="sv-SE"/>
        </w:rPr>
      </w:pPr>
    </w:p>
    <w:p w14:paraId="0278974C">
      <w:pPr>
        <w:rPr>
          <w:rFonts w:ascii="Microsoft Sans Serif" w:hAnsi="Microsoft Sans Serif" w:cs="Microsoft Sans Serif"/>
          <w:b/>
          <w:bCs/>
          <w:sz w:val="20"/>
          <w:szCs w:val="20"/>
          <w:lang w:val="sv-SE"/>
        </w:rPr>
      </w:pPr>
    </w:p>
    <w:p w14:paraId="5EF83A12">
      <w:pPr>
        <w:pStyle w:val="31"/>
        <w:tabs>
          <w:tab w:val="left" w:pos="567"/>
          <w:tab w:val="clear" w:pos="284"/>
        </w:tabs>
        <w:spacing w:before="0" w:after="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4C05329B">
      <w:pPr>
        <w:rPr>
          <w:rFonts w:ascii="Microsoft Sans Serif" w:hAnsi="Microsoft Sans Serif" w:cs="Microsoft Sans Serif"/>
          <w:sz w:val="20"/>
          <w:szCs w:val="20"/>
          <w:u w:val="single"/>
          <w:lang w:val="sr-Latn-CS"/>
        </w:rPr>
      </w:pPr>
    </w:p>
    <w:p w14:paraId="1C7CC674">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r-Latn-CS"/>
        </w:rPr>
        <w:t>Losmorid</w:t>
      </w:r>
      <w:r>
        <w:rPr>
          <w:rFonts w:ascii="Microsoft Sans Serif" w:hAnsi="Microsoft Sans Serif" w:cs="Microsoft Sans Serif"/>
          <w:bCs/>
          <w:sz w:val="20"/>
          <w:szCs w:val="20"/>
          <w:u w:val="single"/>
          <w:lang w:val="sv-SE"/>
        </w:rPr>
        <w:t xml:space="preserve">, </w:t>
      </w:r>
      <w:r>
        <w:rPr>
          <w:rFonts w:ascii="Microsoft Sans Serif" w:hAnsi="Microsoft Sans Serif" w:cs="Microsoft Sans Serif"/>
          <w:sz w:val="20"/>
          <w:szCs w:val="20"/>
          <w:u w:val="single"/>
          <w:lang w:val="sv-SE"/>
        </w:rPr>
        <w:t xml:space="preserve">50 mg, </w:t>
      </w:r>
      <w:r>
        <w:rPr>
          <w:rFonts w:ascii="Microsoft Sans Serif" w:hAnsi="Microsoft Sans Serif" w:cs="Microsoft Sans Serif"/>
          <w:sz w:val="20"/>
          <w:szCs w:val="20"/>
          <w:u w:val="single"/>
          <w:lang w:val="sr-Cyrl-RS"/>
        </w:rPr>
        <w:t>film tablete</w:t>
      </w:r>
      <w:r>
        <w:rPr>
          <w:rFonts w:ascii="Microsoft Sans Serif" w:hAnsi="Microsoft Sans Serif" w:cs="Microsoft Sans Serif"/>
          <w:sz w:val="20"/>
          <w:szCs w:val="20"/>
          <w:u w:val="single"/>
          <w:lang w:val="sv-SE"/>
        </w:rPr>
        <w:t xml:space="preserve"> </w:t>
      </w:r>
    </w:p>
    <w:p w14:paraId="7631E42A">
      <w:pPr>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r-Cyrl-RS"/>
        </w:rPr>
        <w:t xml:space="preserve">Jedna film tableta sadrži 50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lakozamida.</w:t>
      </w:r>
    </w:p>
    <w:p w14:paraId="0CD9C295">
      <w:pPr>
        <w:pStyle w:val="56"/>
        <w:jc w:val="both"/>
        <w:rPr>
          <w:rFonts w:ascii="Microsoft Sans Serif" w:hAnsi="Microsoft Sans Serif" w:cs="Microsoft Sans Serif"/>
          <w:lang w:val="sv-SE"/>
        </w:rPr>
      </w:pPr>
    </w:p>
    <w:p w14:paraId="60FA9FAC">
      <w:pPr>
        <w:pStyle w:val="56"/>
        <w:jc w:val="both"/>
        <w:rPr>
          <w:rFonts w:ascii="Microsoft Sans Serif" w:hAnsi="Microsoft Sans Serif" w:cs="Microsoft Sans Serif"/>
          <w:u w:val="single"/>
          <w:lang w:val="sr-Cyrl-RS"/>
        </w:rPr>
      </w:pPr>
      <w:r>
        <w:rPr>
          <w:rFonts w:ascii="Microsoft Sans Serif" w:hAnsi="Microsoft Sans Serif" w:cs="Microsoft Sans Serif"/>
          <w:u w:val="single"/>
          <w:lang w:val="sr-Latn-CS"/>
        </w:rPr>
        <w:t>Losmorid</w:t>
      </w:r>
      <w:r>
        <w:rPr>
          <w:rFonts w:ascii="Microsoft Sans Serif" w:hAnsi="Microsoft Sans Serif" w:cs="Microsoft Sans Serif"/>
          <w:bCs/>
          <w:u w:val="single"/>
          <w:lang w:val="sr-Cyrl-RS"/>
        </w:rPr>
        <w:t xml:space="preserve">, </w:t>
      </w:r>
      <w:r>
        <w:rPr>
          <w:rFonts w:ascii="Microsoft Sans Serif" w:hAnsi="Microsoft Sans Serif" w:cs="Microsoft Sans Serif"/>
          <w:u w:val="single"/>
          <w:lang w:val="sv-SE"/>
        </w:rPr>
        <w:t>100 mg</w:t>
      </w:r>
      <w:r>
        <w:rPr>
          <w:rFonts w:ascii="Microsoft Sans Serif" w:hAnsi="Microsoft Sans Serif" w:cs="Microsoft Sans Serif"/>
          <w:u w:val="single"/>
          <w:lang w:val="sr-Cyrl-RS"/>
        </w:rPr>
        <w:t>, film tablete</w:t>
      </w:r>
    </w:p>
    <w:p w14:paraId="44E6D44A">
      <w:pPr>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r-Cyrl-RS"/>
        </w:rPr>
        <w:t xml:space="preserve">Jedna film tableta sadrži 100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lakozamida.</w:t>
      </w:r>
    </w:p>
    <w:p w14:paraId="666AED14">
      <w:pPr>
        <w:pStyle w:val="56"/>
        <w:jc w:val="both"/>
        <w:rPr>
          <w:rFonts w:ascii="Microsoft Sans Serif" w:hAnsi="Microsoft Sans Serif" w:cs="Microsoft Sans Serif"/>
          <w:lang w:val="sv-SE"/>
        </w:rPr>
      </w:pPr>
    </w:p>
    <w:p w14:paraId="4E43BAA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Latn-CS"/>
        </w:rPr>
        <w:t>Losmorid</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sz w:val="20"/>
          <w:szCs w:val="20"/>
          <w:u w:val="single"/>
          <w:lang w:val="sv-SE"/>
        </w:rPr>
        <w:t>150 mg</w:t>
      </w:r>
      <w:r>
        <w:rPr>
          <w:rFonts w:ascii="Microsoft Sans Serif" w:hAnsi="Microsoft Sans Serif" w:cs="Microsoft Sans Serif"/>
          <w:sz w:val="20"/>
          <w:szCs w:val="20"/>
          <w:u w:val="single"/>
          <w:lang w:val="sr-Cyrl-RS"/>
        </w:rPr>
        <w:t>, film tablete</w:t>
      </w:r>
    </w:p>
    <w:p w14:paraId="2F15FC12">
      <w:pPr>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r-Cyrl-RS"/>
        </w:rPr>
        <w:t xml:space="preserve">Jedna film tableta sadrži 150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lakozamida.</w:t>
      </w:r>
    </w:p>
    <w:p w14:paraId="75879687">
      <w:pPr>
        <w:rPr>
          <w:rFonts w:ascii="Microsoft Sans Serif" w:hAnsi="Microsoft Sans Serif" w:cs="Microsoft Sans Serif"/>
          <w:sz w:val="20"/>
          <w:szCs w:val="20"/>
          <w:u w:val="single"/>
          <w:lang w:val="sv-SE"/>
        </w:rPr>
      </w:pPr>
    </w:p>
    <w:p w14:paraId="239FFDE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Latn-CS"/>
        </w:rPr>
        <w:t>Losmorid</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sz w:val="20"/>
          <w:szCs w:val="20"/>
          <w:u w:val="single"/>
          <w:lang w:val="sv-SE"/>
        </w:rPr>
        <w:t>200 mg</w:t>
      </w:r>
      <w:r>
        <w:rPr>
          <w:rFonts w:ascii="Microsoft Sans Serif" w:hAnsi="Microsoft Sans Serif" w:cs="Microsoft Sans Serif"/>
          <w:sz w:val="20"/>
          <w:szCs w:val="20"/>
          <w:u w:val="single"/>
          <w:lang w:val="sr-Cyrl-RS"/>
        </w:rPr>
        <w:t>, film tablete</w:t>
      </w:r>
    </w:p>
    <w:p w14:paraId="6DA6B93E">
      <w:pPr>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r-Cyrl-RS"/>
        </w:rPr>
        <w:t xml:space="preserve">Jedna film tableta sadrži 200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lakozamida.</w:t>
      </w:r>
    </w:p>
    <w:p w14:paraId="75836248">
      <w:pPr>
        <w:rPr>
          <w:rFonts w:ascii="Microsoft Sans Serif" w:hAnsi="Microsoft Sans Serif" w:cs="Microsoft Sans Serif"/>
          <w:bCs/>
          <w:sz w:val="20"/>
          <w:szCs w:val="20"/>
          <w:u w:val="single"/>
          <w:lang w:val="sv-SE"/>
        </w:rPr>
      </w:pPr>
    </w:p>
    <w:p w14:paraId="5C6E10CD">
      <w:pPr>
        <w:rPr>
          <w:rFonts w:ascii="Microsoft Sans Serif" w:hAnsi="Microsoft Sans Serif" w:cs="Microsoft Sans Serif"/>
          <w:sz w:val="20"/>
          <w:szCs w:val="20"/>
          <w:lang w:val="sr-Cyrl-CS"/>
        </w:rPr>
      </w:pPr>
      <w:r>
        <w:rPr>
          <w:rFonts w:ascii="Microsoft Sans Serif" w:hAnsi="Microsoft Sans Serif" w:cs="Microsoft Sans Serif"/>
          <w:sz w:val="20"/>
          <w:szCs w:val="20"/>
          <w:lang w:val="bs-Latn-BA"/>
        </w:rPr>
        <w:t xml:space="preserve">Za potpuni sastav </w:t>
      </w:r>
      <w:r>
        <w:rPr>
          <w:rFonts w:ascii="Microsoft Sans Serif" w:hAnsi="Microsoft Sans Serif" w:cs="Microsoft Sans Serif"/>
          <w:sz w:val="20"/>
          <w:szCs w:val="20"/>
          <w:lang w:val="sr-Cyrl-CS"/>
        </w:rPr>
        <w:t xml:space="preserve">svih pomoćnih supstanci,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CS"/>
        </w:rPr>
        <w:t xml:space="preserve"> 6.1. </w:t>
      </w:r>
    </w:p>
    <w:p w14:paraId="05876384">
      <w:pPr>
        <w:pStyle w:val="31"/>
        <w:spacing w:before="0" w:after="0"/>
        <w:rPr>
          <w:rFonts w:ascii="Microsoft Sans Serif" w:hAnsi="Microsoft Sans Serif" w:cs="Microsoft Sans Serif"/>
          <w:b w:val="0"/>
          <w:sz w:val="20"/>
          <w:szCs w:val="20"/>
          <w:u w:val="single"/>
          <w:lang w:val="sv-SE"/>
        </w:rPr>
      </w:pPr>
    </w:p>
    <w:p w14:paraId="5FD02E33">
      <w:pPr>
        <w:pStyle w:val="31"/>
        <w:spacing w:before="0" w:after="0"/>
        <w:rPr>
          <w:rFonts w:ascii="Microsoft Sans Serif" w:hAnsi="Microsoft Sans Serif" w:cs="Microsoft Sans Serif"/>
          <w:b w:val="0"/>
          <w:sz w:val="20"/>
          <w:szCs w:val="20"/>
          <w:u w:val="single"/>
          <w:lang w:val="sv-SE"/>
        </w:rPr>
      </w:pPr>
    </w:p>
    <w:p w14:paraId="360166AB">
      <w:pPr>
        <w:pStyle w:val="31"/>
        <w:spacing w:before="0" w:after="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6ECC6BEF">
      <w:pPr>
        <w:pStyle w:val="31"/>
        <w:spacing w:before="0" w:after="0"/>
        <w:rPr>
          <w:rFonts w:ascii="Microsoft Sans Serif" w:hAnsi="Microsoft Sans Serif" w:cs="Microsoft Sans Serif"/>
          <w:sz w:val="20"/>
          <w:szCs w:val="20"/>
          <w:lang w:val="sv-SE"/>
        </w:rPr>
      </w:pPr>
    </w:p>
    <w:p w14:paraId="516B2708">
      <w:pPr>
        <w:pStyle w:val="31"/>
        <w:spacing w:before="0" w:after="0"/>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Film tableta.</w:t>
      </w:r>
    </w:p>
    <w:p w14:paraId="6015FC63">
      <w:pPr>
        <w:rPr>
          <w:rFonts w:ascii="Microsoft Sans Serif" w:hAnsi="Microsoft Sans Serif" w:cs="Microsoft Sans Serif"/>
          <w:sz w:val="20"/>
          <w:szCs w:val="20"/>
          <w:lang w:val="sv-SE"/>
        </w:rPr>
      </w:pPr>
    </w:p>
    <w:p w14:paraId="32DBDEA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Losmorid</w:t>
      </w:r>
      <w:r>
        <w:rPr>
          <w:rFonts w:ascii="Microsoft Sans Serif" w:hAnsi="Microsoft Sans Serif" w:cs="Microsoft Sans Serif"/>
          <w:bCs/>
          <w:sz w:val="20"/>
          <w:szCs w:val="20"/>
          <w:lang w:val="sr-Cyrl-RS"/>
        </w:rPr>
        <w:t xml:space="preserve"> 50 </w:t>
      </w:r>
      <w:r>
        <w:rPr>
          <w:rFonts w:ascii="Microsoft Sans Serif" w:hAnsi="Microsoft Sans Serif" w:cs="Microsoft Sans Serif"/>
          <w:bCs/>
          <w:sz w:val="20"/>
          <w:szCs w:val="20"/>
          <w:lang w:val="sr-Latn-RS"/>
        </w:rPr>
        <w:t xml:space="preserve">mg su roze, dugulјaste, bikonveksne film tablete, </w:t>
      </w:r>
      <w:r>
        <w:rPr>
          <w:rFonts w:ascii="Microsoft Sans Serif" w:hAnsi="Microsoft Sans Serif" w:cs="Microsoft Sans Serif"/>
          <w:bCs/>
          <w:sz w:val="20"/>
          <w:szCs w:val="20"/>
          <w:lang w:val="sr-Cyrl-RS"/>
        </w:rPr>
        <w:t xml:space="preserve">sa utisnutom oznakom </w:t>
      </w:r>
      <w:r>
        <w:rPr>
          <w:rFonts w:ascii="Microsoft Sans Serif" w:hAnsi="Microsoft Sans Serif" w:cs="Microsoft Sans Serif"/>
          <w:bCs/>
          <w:sz w:val="20"/>
          <w:szCs w:val="20"/>
          <w:lang w:val="sr-Latn-RS"/>
        </w:rPr>
        <w:t xml:space="preserve">'50' na jednoj strani </w:t>
      </w:r>
      <w:r>
        <w:rPr>
          <w:rFonts w:ascii="Microsoft Sans Serif" w:hAnsi="Microsoft Sans Serif" w:cs="Microsoft Sans Serif"/>
          <w:bCs/>
          <w:sz w:val="20"/>
          <w:szCs w:val="20"/>
          <w:lang w:val="sr-Cyrl-RS"/>
        </w:rPr>
        <w:t>i bez oznake na drugoj strani</w:t>
      </w:r>
      <w:r>
        <w:rPr>
          <w:rFonts w:ascii="Microsoft Sans Serif" w:hAnsi="Microsoft Sans Serif" w:cs="Microsoft Sans Serif"/>
          <w:bCs/>
          <w:sz w:val="20"/>
          <w:szCs w:val="20"/>
          <w:lang w:val="sv-SE"/>
        </w:rPr>
        <w:t>.</w:t>
      </w:r>
    </w:p>
    <w:p w14:paraId="45A7A447">
      <w:pPr>
        <w:pStyle w:val="56"/>
        <w:jc w:val="both"/>
        <w:rPr>
          <w:rFonts w:ascii="Microsoft Sans Serif" w:hAnsi="Microsoft Sans Serif" w:cs="Microsoft Sans Serif"/>
          <w:lang w:val="sv-SE"/>
        </w:rPr>
      </w:pPr>
    </w:p>
    <w:p w14:paraId="4B56098A">
      <w:pPr>
        <w:rPr>
          <w:rFonts w:ascii="Microsoft Sans Serif" w:hAnsi="Microsoft Sans Serif" w:cs="Microsoft Sans Serif"/>
          <w:sz w:val="20"/>
          <w:szCs w:val="20"/>
          <w:lang w:val="sv-SE"/>
        </w:rPr>
      </w:pPr>
      <w:r>
        <w:rPr>
          <w:rFonts w:ascii="Microsoft Sans Serif" w:hAnsi="Microsoft Sans Serif" w:cs="Microsoft Sans Serif"/>
          <w:sz w:val="20"/>
          <w:szCs w:val="20"/>
          <w:lang w:val="sr-Latn-CS"/>
        </w:rPr>
        <w:t>Losmorid</w:t>
      </w:r>
      <w:r>
        <w:rPr>
          <w:rFonts w:ascii="Microsoft Sans Serif" w:hAnsi="Microsoft Sans Serif" w:cs="Microsoft Sans Serif"/>
          <w:bCs/>
          <w:sz w:val="20"/>
          <w:szCs w:val="20"/>
          <w:lang w:val="sr-Cyrl-RS"/>
        </w:rPr>
        <w:t xml:space="preserve"> 100 </w:t>
      </w:r>
      <w:r>
        <w:rPr>
          <w:rFonts w:ascii="Microsoft Sans Serif" w:hAnsi="Microsoft Sans Serif" w:cs="Microsoft Sans Serif"/>
          <w:bCs/>
          <w:sz w:val="20"/>
          <w:szCs w:val="20"/>
          <w:lang w:val="sr-Latn-RS"/>
        </w:rPr>
        <w:t xml:space="preserve">mg su </w:t>
      </w:r>
      <w:r>
        <w:rPr>
          <w:rFonts w:ascii="Microsoft Sans Serif" w:hAnsi="Microsoft Sans Serif" w:cs="Microsoft Sans Serif"/>
          <w:bCs/>
          <w:sz w:val="20"/>
          <w:szCs w:val="20"/>
          <w:lang w:val="sr-Cyrl-RS"/>
        </w:rPr>
        <w:t>žute</w:t>
      </w:r>
      <w:r>
        <w:rPr>
          <w:rFonts w:ascii="Microsoft Sans Serif" w:hAnsi="Microsoft Sans Serif" w:cs="Microsoft Sans Serif"/>
          <w:bCs/>
          <w:sz w:val="20"/>
          <w:szCs w:val="20"/>
          <w:lang w:val="sr-Latn-RS"/>
        </w:rPr>
        <w:t xml:space="preserve">, dugulјaste, bikonveksne film tablete, </w:t>
      </w:r>
      <w:r>
        <w:rPr>
          <w:rFonts w:ascii="Microsoft Sans Serif" w:hAnsi="Microsoft Sans Serif" w:cs="Microsoft Sans Serif"/>
          <w:bCs/>
          <w:sz w:val="20"/>
          <w:szCs w:val="20"/>
          <w:lang w:val="sr-Cyrl-RS"/>
        </w:rPr>
        <w:t xml:space="preserve">sa utisnutom oznakom </w:t>
      </w:r>
      <w:r>
        <w:rPr>
          <w:rFonts w:ascii="Microsoft Sans Serif" w:hAnsi="Microsoft Sans Serif" w:cs="Microsoft Sans Serif"/>
          <w:bCs/>
          <w:sz w:val="20"/>
          <w:szCs w:val="20"/>
          <w:lang w:val="sr-Latn-RS"/>
        </w:rPr>
        <w:t xml:space="preserve">'100' na jednoj strani </w:t>
      </w:r>
      <w:r>
        <w:rPr>
          <w:rFonts w:ascii="Microsoft Sans Serif" w:hAnsi="Microsoft Sans Serif" w:cs="Microsoft Sans Serif"/>
          <w:bCs/>
          <w:sz w:val="20"/>
          <w:szCs w:val="20"/>
          <w:lang w:val="sr-Cyrl-RS"/>
        </w:rPr>
        <w:t>i bez oznake na drugoj strani</w:t>
      </w:r>
      <w:r>
        <w:rPr>
          <w:rFonts w:ascii="Microsoft Sans Serif" w:hAnsi="Microsoft Sans Serif" w:cs="Microsoft Sans Serif"/>
          <w:sz w:val="20"/>
          <w:szCs w:val="20"/>
          <w:lang w:val="sv-SE"/>
        </w:rPr>
        <w:t xml:space="preserve">. </w:t>
      </w:r>
    </w:p>
    <w:p w14:paraId="3EB8D37E">
      <w:pPr>
        <w:pStyle w:val="56"/>
        <w:jc w:val="both"/>
        <w:rPr>
          <w:rFonts w:ascii="Microsoft Sans Serif" w:hAnsi="Microsoft Sans Serif" w:cs="Microsoft Sans Serif"/>
          <w:lang w:val="sv-SE"/>
        </w:rPr>
      </w:pPr>
    </w:p>
    <w:p w14:paraId="539652E0">
      <w:pPr>
        <w:rPr>
          <w:rFonts w:ascii="Microsoft Sans Serif" w:hAnsi="Microsoft Sans Serif" w:cs="Microsoft Sans Serif"/>
          <w:sz w:val="20"/>
          <w:szCs w:val="20"/>
          <w:lang w:val="sv-SE"/>
        </w:rPr>
      </w:pPr>
      <w:r>
        <w:rPr>
          <w:rFonts w:ascii="Microsoft Sans Serif" w:hAnsi="Microsoft Sans Serif" w:cs="Microsoft Sans Serif"/>
          <w:sz w:val="20"/>
          <w:szCs w:val="20"/>
          <w:lang w:val="sr-Latn-CS"/>
        </w:rPr>
        <w:t>Losmorid</w:t>
      </w:r>
      <w:r>
        <w:rPr>
          <w:rFonts w:ascii="Microsoft Sans Serif" w:hAnsi="Microsoft Sans Serif" w:cs="Microsoft Sans Serif"/>
          <w:bCs/>
          <w:sz w:val="20"/>
          <w:szCs w:val="20"/>
          <w:lang w:val="sr-Cyrl-RS"/>
        </w:rPr>
        <w:t xml:space="preserve"> 150 </w:t>
      </w:r>
      <w:r>
        <w:rPr>
          <w:rFonts w:ascii="Microsoft Sans Serif" w:hAnsi="Microsoft Sans Serif" w:cs="Microsoft Sans Serif"/>
          <w:bCs/>
          <w:sz w:val="20"/>
          <w:szCs w:val="20"/>
          <w:lang w:val="sr-Latn-RS"/>
        </w:rPr>
        <w:t xml:space="preserve">mg su bež, dugulјaste, bikonveksne film tablete, </w:t>
      </w:r>
      <w:r>
        <w:rPr>
          <w:rFonts w:ascii="Microsoft Sans Serif" w:hAnsi="Microsoft Sans Serif" w:cs="Microsoft Sans Serif"/>
          <w:bCs/>
          <w:sz w:val="20"/>
          <w:szCs w:val="20"/>
          <w:lang w:val="sr-Cyrl-RS"/>
        </w:rPr>
        <w:t xml:space="preserve">sa utisnutom oznakom </w:t>
      </w:r>
      <w:r>
        <w:rPr>
          <w:rFonts w:ascii="Microsoft Sans Serif" w:hAnsi="Microsoft Sans Serif" w:cs="Microsoft Sans Serif"/>
          <w:bCs/>
          <w:sz w:val="20"/>
          <w:szCs w:val="20"/>
          <w:lang w:val="sr-Latn-RS"/>
        </w:rPr>
        <w:t>'</w:t>
      </w:r>
      <w:r>
        <w:rPr>
          <w:rFonts w:ascii="Microsoft Sans Serif" w:hAnsi="Microsoft Sans Serif" w:cs="Microsoft Sans Serif"/>
          <w:bCs/>
          <w:sz w:val="20"/>
          <w:szCs w:val="20"/>
          <w:lang w:val="sr-Cyrl-RS"/>
        </w:rPr>
        <w:t>1</w:t>
      </w:r>
      <w:r>
        <w:rPr>
          <w:rFonts w:ascii="Microsoft Sans Serif" w:hAnsi="Microsoft Sans Serif" w:cs="Microsoft Sans Serif"/>
          <w:bCs/>
          <w:sz w:val="20"/>
          <w:szCs w:val="20"/>
          <w:lang w:val="sr-Latn-RS"/>
        </w:rPr>
        <w:t xml:space="preserve">50' na jednoj strani </w:t>
      </w:r>
      <w:r>
        <w:rPr>
          <w:rFonts w:ascii="Microsoft Sans Serif" w:hAnsi="Microsoft Sans Serif" w:cs="Microsoft Sans Serif"/>
          <w:bCs/>
          <w:sz w:val="20"/>
          <w:szCs w:val="20"/>
          <w:lang w:val="sr-Cyrl-RS"/>
        </w:rPr>
        <w:t>i bez oznake na drugoj strani</w:t>
      </w:r>
      <w:r>
        <w:rPr>
          <w:rFonts w:ascii="Microsoft Sans Serif" w:hAnsi="Microsoft Sans Serif" w:cs="Microsoft Sans Serif"/>
          <w:bCs/>
          <w:sz w:val="20"/>
          <w:szCs w:val="20"/>
          <w:lang w:val="sv-SE"/>
        </w:rPr>
        <w:t>.</w:t>
      </w:r>
    </w:p>
    <w:p w14:paraId="48F64DDD">
      <w:pPr>
        <w:pStyle w:val="56"/>
        <w:jc w:val="both"/>
        <w:rPr>
          <w:rFonts w:ascii="Microsoft Sans Serif" w:hAnsi="Microsoft Sans Serif" w:cs="Microsoft Sans Serif"/>
          <w:lang w:val="sv-SE"/>
        </w:rPr>
      </w:pPr>
    </w:p>
    <w:p w14:paraId="3AC8A4AE">
      <w:pPr>
        <w:tabs>
          <w:tab w:val="left" w:pos="567"/>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Latn-CS"/>
        </w:rPr>
        <w:t>Losmorid</w:t>
      </w:r>
      <w:r>
        <w:rPr>
          <w:rFonts w:ascii="Microsoft Sans Serif" w:hAnsi="Microsoft Sans Serif" w:cs="Microsoft Sans Serif"/>
          <w:bCs/>
          <w:sz w:val="20"/>
          <w:szCs w:val="20"/>
          <w:lang w:val="sr-Cyrl-RS"/>
        </w:rPr>
        <w:t xml:space="preserve"> 200 </w:t>
      </w:r>
      <w:r>
        <w:rPr>
          <w:rFonts w:ascii="Microsoft Sans Serif" w:hAnsi="Microsoft Sans Serif" w:cs="Microsoft Sans Serif"/>
          <w:bCs/>
          <w:sz w:val="20"/>
          <w:szCs w:val="20"/>
          <w:lang w:val="sr-Latn-RS"/>
        </w:rPr>
        <w:t xml:space="preserve">mg su plave, dugulјaste, bikonveksne film tablete, </w:t>
      </w:r>
      <w:r>
        <w:rPr>
          <w:rFonts w:ascii="Microsoft Sans Serif" w:hAnsi="Microsoft Sans Serif" w:cs="Microsoft Sans Serif"/>
          <w:bCs/>
          <w:sz w:val="20"/>
          <w:szCs w:val="20"/>
          <w:lang w:val="sr-Cyrl-RS"/>
        </w:rPr>
        <w:t xml:space="preserve">sa utisnutom oznakom </w:t>
      </w:r>
      <w:r>
        <w:rPr>
          <w:rFonts w:ascii="Microsoft Sans Serif" w:hAnsi="Microsoft Sans Serif" w:cs="Microsoft Sans Serif"/>
          <w:bCs/>
          <w:sz w:val="20"/>
          <w:szCs w:val="20"/>
          <w:lang w:val="sr-Latn-RS"/>
        </w:rPr>
        <w:t xml:space="preserve">'200' na jednoj strani </w:t>
      </w:r>
      <w:r>
        <w:rPr>
          <w:rFonts w:ascii="Microsoft Sans Serif" w:hAnsi="Microsoft Sans Serif" w:cs="Microsoft Sans Serif"/>
          <w:bCs/>
          <w:sz w:val="20"/>
          <w:szCs w:val="20"/>
          <w:lang w:val="sr-Cyrl-RS"/>
        </w:rPr>
        <w:t>i bez oznake na drugoj strani</w:t>
      </w:r>
      <w:r>
        <w:rPr>
          <w:rFonts w:ascii="Microsoft Sans Serif" w:hAnsi="Microsoft Sans Serif" w:cs="Microsoft Sans Serif"/>
          <w:bCs/>
          <w:sz w:val="20"/>
          <w:szCs w:val="20"/>
          <w:lang w:val="sv-SE"/>
        </w:rPr>
        <w:t>.</w:t>
      </w:r>
      <w:r>
        <w:rPr>
          <w:rFonts w:ascii="Microsoft Sans Serif" w:hAnsi="Microsoft Sans Serif" w:cs="Microsoft Sans Serif"/>
          <w:sz w:val="20"/>
          <w:szCs w:val="20"/>
          <w:lang w:val="sv-SE"/>
        </w:rPr>
        <w:t xml:space="preserve"> </w:t>
      </w:r>
    </w:p>
    <w:p w14:paraId="3E627C7B">
      <w:pPr>
        <w:rPr>
          <w:rFonts w:ascii="Microsoft Sans Serif" w:hAnsi="Microsoft Sans Serif" w:cs="Microsoft Sans Serif"/>
          <w:sz w:val="20"/>
          <w:szCs w:val="20"/>
          <w:lang w:val="sv-SE"/>
        </w:rPr>
      </w:pPr>
    </w:p>
    <w:p w14:paraId="634E4948">
      <w:pPr>
        <w:rPr>
          <w:rFonts w:ascii="Microsoft Sans Serif" w:hAnsi="Microsoft Sans Serif" w:cs="Microsoft Sans Serif"/>
          <w:sz w:val="20"/>
          <w:szCs w:val="20"/>
          <w:lang w:val="sv-SE"/>
        </w:rPr>
      </w:pPr>
    </w:p>
    <w:p w14:paraId="7E2125EB">
      <w:pPr>
        <w:rPr>
          <w:rFonts w:ascii="Microsoft Sans Serif" w:hAnsi="Microsoft Sans Serif" w:cs="Microsoft Sans Serif"/>
          <w:sz w:val="20"/>
          <w:szCs w:val="20"/>
          <w:lang w:val="sv-SE"/>
        </w:rPr>
      </w:pPr>
    </w:p>
    <w:p w14:paraId="3F0B2271">
      <w:pPr>
        <w:rPr>
          <w:rFonts w:ascii="Microsoft Sans Serif" w:hAnsi="Microsoft Sans Serif" w:cs="Microsoft Sans Serif"/>
          <w:sz w:val="20"/>
          <w:szCs w:val="20"/>
          <w:lang w:val="sv-SE"/>
        </w:rPr>
      </w:pPr>
    </w:p>
    <w:p w14:paraId="77EFA655">
      <w:pPr>
        <w:rPr>
          <w:rFonts w:ascii="Microsoft Sans Serif" w:hAnsi="Microsoft Sans Serif" w:cs="Microsoft Sans Serif"/>
          <w:sz w:val="20"/>
          <w:szCs w:val="20"/>
          <w:lang w:val="sv-SE"/>
        </w:rPr>
      </w:pPr>
    </w:p>
    <w:p w14:paraId="35A8338D">
      <w:pPr>
        <w:rPr>
          <w:rFonts w:ascii="Microsoft Sans Serif" w:hAnsi="Microsoft Sans Serif" w:cs="Microsoft Sans Serif"/>
          <w:sz w:val="20"/>
          <w:szCs w:val="20"/>
          <w:lang w:val="sv-SE"/>
        </w:rPr>
      </w:pPr>
    </w:p>
    <w:p w14:paraId="4D5E3DC0">
      <w:pPr>
        <w:pStyle w:val="31"/>
        <w:spacing w:before="0" w:after="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4. KLINIČKI PODACI</w:t>
      </w:r>
    </w:p>
    <w:p w14:paraId="699B38A5">
      <w:pPr>
        <w:pStyle w:val="31"/>
        <w:spacing w:before="0" w:after="0"/>
        <w:rPr>
          <w:rFonts w:ascii="Microsoft Sans Serif" w:hAnsi="Microsoft Sans Serif" w:cs="Microsoft Sans Serif"/>
          <w:sz w:val="20"/>
          <w:szCs w:val="20"/>
          <w:lang w:val="sv-SE"/>
        </w:rPr>
      </w:pPr>
    </w:p>
    <w:p w14:paraId="3373CC7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4.1. Terapijske indikacije</w:t>
      </w:r>
    </w:p>
    <w:p w14:paraId="7C7893CD">
      <w:pPr>
        <w:rPr>
          <w:rFonts w:ascii="Microsoft Sans Serif" w:hAnsi="Microsoft Sans Serif" w:cs="Microsoft Sans Serif"/>
          <w:b/>
          <w:bCs/>
          <w:sz w:val="20"/>
          <w:szCs w:val="20"/>
          <w:lang w:val="sv-SE"/>
        </w:rPr>
      </w:pPr>
    </w:p>
    <w:p w14:paraId="38CB08BF">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Lakozamid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je indikovan kao monoterapija i dodatna terapija u liječenju parcijalnih epileptičnih napada sa</w:t>
      </w:r>
      <w:r>
        <w:rPr>
          <w:rFonts w:ascii="Microsoft Sans Serif" w:hAnsi="Microsoft Sans Serif" w:cs="Microsoft Sans Serif"/>
          <w:bCs/>
          <w:sz w:val="20"/>
          <w:szCs w:val="20"/>
          <w:lang w:val="sr-Cyrl-RS"/>
        </w:rPr>
        <w:t xml:space="preserve"> ili bez </w:t>
      </w:r>
      <w:r>
        <w:rPr>
          <w:rFonts w:ascii="Microsoft Sans Serif" w:hAnsi="Microsoft Sans Serif" w:cs="Microsoft Sans Serif"/>
          <w:bCs/>
          <w:sz w:val="20"/>
          <w:szCs w:val="20"/>
          <w:lang w:val="sv-SE"/>
        </w:rPr>
        <w:t>sekundarne generalizacije, kod odraslih pacijenata, adolescenata i djece uzrasta od 2 godine 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epilepsijom.</w:t>
      </w:r>
    </w:p>
    <w:p w14:paraId="25629513">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Lakozamid je indikovan kao pomoćna terapija</w:t>
      </w:r>
    </w:p>
    <w:p w14:paraId="51FDAEA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za liječenje parcijalnih napada sa ili bez sekundarne generalizacije kod odraslih, adolescenata i djece uzrasta 2 godine sa epilepsijom,</w:t>
      </w:r>
    </w:p>
    <w:p w14:paraId="601B692B">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za liječenje primarno generalizovanih toničko-kloničkih napada kod odraslih, adolescenata i djece uzrasta 4 godine sa idiopatskom generalizovanom epilepsijom.</w:t>
      </w:r>
    </w:p>
    <w:p w14:paraId="3640EA6F">
      <w:pPr>
        <w:rPr>
          <w:rFonts w:ascii="Microsoft Sans Serif" w:hAnsi="Microsoft Sans Serif" w:cs="Microsoft Sans Serif"/>
          <w:sz w:val="20"/>
          <w:szCs w:val="20"/>
          <w:lang w:val="sv-SE"/>
        </w:rPr>
      </w:pPr>
    </w:p>
    <w:p w14:paraId="169E720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4.2. Doziranje i način primjene</w:t>
      </w:r>
    </w:p>
    <w:p w14:paraId="57898DD2">
      <w:pPr>
        <w:tabs>
          <w:tab w:val="clear" w:pos="284"/>
        </w:tabs>
        <w:jc w:val="left"/>
        <w:rPr>
          <w:rFonts w:ascii="Microsoft Sans Serif" w:hAnsi="Microsoft Sans Serif" w:cs="Microsoft Sans Serif"/>
          <w:sz w:val="20"/>
          <w:szCs w:val="20"/>
          <w:u w:val="single"/>
          <w:lang w:val="sv-SE"/>
        </w:rPr>
      </w:pPr>
    </w:p>
    <w:p w14:paraId="5312A73A">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Doziranje</w:t>
      </w:r>
    </w:p>
    <w:p w14:paraId="301C6140">
      <w:pPr>
        <w:tabs>
          <w:tab w:val="clear" w:pos="284"/>
        </w:tabs>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Ljekar treba da propiše najprikladniju formulaciju i jačinu prema tjelesnoj težini i dozi.</w:t>
      </w:r>
    </w:p>
    <w:p w14:paraId="5B60F0C5">
      <w:pPr>
        <w:tabs>
          <w:tab w:val="clear" w:pos="284"/>
        </w:tabs>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Preporučena doza za odrasle, adolescente i djecu uzrasta od 2 godine je prikazana u sljedećoj tabeli.</w:t>
      </w:r>
    </w:p>
    <w:p w14:paraId="0DA6322B">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Lakozamid </w:t>
      </w:r>
      <w:r>
        <w:rPr>
          <w:rFonts w:ascii="Microsoft Sans Serif" w:hAnsi="Microsoft Sans Serif" w:cs="Microsoft Sans Serif"/>
          <w:sz w:val="20"/>
          <w:szCs w:val="20"/>
          <w:lang w:val="sr-Cyrl-RS"/>
        </w:rPr>
        <w:t>se mora uzimati dva puta na dan</w:t>
      </w:r>
      <w:r>
        <w:rPr>
          <w:rFonts w:ascii="Microsoft Sans Serif" w:hAnsi="Microsoft Sans Serif" w:cs="Microsoft Sans Serif"/>
          <w:sz w:val="20"/>
          <w:szCs w:val="20"/>
          <w:lang w:val="sv-SE"/>
        </w:rPr>
        <w:t>, obi</w:t>
      </w:r>
      <w:r>
        <w:rPr>
          <w:rFonts w:ascii="Microsoft Sans Serif" w:hAnsi="Microsoft Sans Serif" w:cs="Microsoft Sans Serif"/>
          <w:sz w:val="20"/>
          <w:szCs w:val="20"/>
          <w:lang w:val="sr-Latn-RS"/>
        </w:rPr>
        <w:t>čno u razmaku od 12 sati</w:t>
      </w:r>
      <w:r>
        <w:rPr>
          <w:rFonts w:ascii="Microsoft Sans Serif" w:hAnsi="Microsoft Sans Serif" w:cs="Microsoft Sans Serif"/>
          <w:sz w:val="20"/>
          <w:szCs w:val="20"/>
          <w:lang w:val="sr-Cyrl-RS"/>
        </w:rPr>
        <w:t xml:space="preserve">. </w:t>
      </w:r>
    </w:p>
    <w:p w14:paraId="7F383747">
      <w:pPr>
        <w:tabs>
          <w:tab w:val="clear" w:pos="284"/>
        </w:tabs>
        <w:rPr>
          <w:rFonts w:ascii="Microsoft Sans Serif" w:hAnsi="Microsoft Sans Serif" w:cs="Microsoft Sans Serif"/>
          <w:color w:val="FF0000"/>
          <w:sz w:val="20"/>
          <w:szCs w:val="20"/>
          <w:lang w:val="sr-Cyrl-RS"/>
        </w:rPr>
      </w:pPr>
      <w:r>
        <w:rPr>
          <w:rFonts w:ascii="Microsoft Sans Serif" w:hAnsi="Microsoft Sans Serif" w:cs="Microsoft Sans Serif"/>
          <w:sz w:val="20"/>
          <w:szCs w:val="20"/>
          <w:lang w:val="sr-Cyrl-RS"/>
        </w:rPr>
        <w:t>Ako propusti da uzme dozu, pacijenta treba uputiti da odmah uzme propuštenu dozu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i da uzme 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edeću dozu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u uobičajeno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uzimanja. Ako pacijent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eti da je propustio dozu, a do 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edeće doze je ostalo manje od 6 sati, treba ga uputiti da sačeka i da uzme 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edeću dozu lakozamida prema uobičajenom rasporedu. Pacijenti ne sm</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ju uzeti duplu dozu</w:t>
      </w:r>
      <w:r>
        <w:rPr>
          <w:rFonts w:ascii="Microsoft Sans Serif" w:hAnsi="Microsoft Sans Serif" w:cs="Microsoft Sans Serif"/>
          <w:color w:val="FF0000"/>
          <w:sz w:val="20"/>
          <w:szCs w:val="20"/>
          <w:lang w:val="sr-Cyrl-RS"/>
        </w:rPr>
        <w:t>.</w:t>
      </w:r>
    </w:p>
    <w:p w14:paraId="2AADA704">
      <w:pPr>
        <w:tabs>
          <w:tab w:val="clear" w:pos="284"/>
        </w:tabs>
        <w:rPr>
          <w:rFonts w:ascii="Microsoft Sans Serif" w:hAnsi="Microsoft Sans Serif" w:cs="Microsoft Sans Serif"/>
          <w:sz w:val="20"/>
          <w:szCs w:val="20"/>
          <w:lang w:val="en-GB"/>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2964"/>
        <w:gridCol w:w="3096"/>
      </w:tblGrid>
      <w:tr w14:paraId="6EB4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3"/>
            <w:tcBorders>
              <w:top w:val="single" w:color="auto" w:sz="4" w:space="0"/>
              <w:left w:val="single" w:color="auto" w:sz="4" w:space="0"/>
            </w:tcBorders>
            <w:shd w:val="clear" w:color="auto" w:fill="auto"/>
          </w:tcPr>
          <w:p w14:paraId="50830A75">
            <w:pPr>
              <w:tabs>
                <w:tab w:val="clear" w:pos="284"/>
              </w:tabs>
              <w:jc w:val="left"/>
              <w:rPr>
                <w:rFonts w:ascii="Microsoft Sans Serif" w:hAnsi="Microsoft Sans Serif" w:cs="Microsoft Sans Serif"/>
                <w:b/>
                <w:sz w:val="20"/>
                <w:szCs w:val="20"/>
                <w:u w:val="single"/>
                <w:lang w:val="sr-Cyrl-RS"/>
              </w:rPr>
            </w:pPr>
            <w:r>
              <w:rPr>
                <w:rFonts w:ascii="Microsoft Sans Serif" w:hAnsi="Microsoft Sans Serif" w:cs="Microsoft Sans Serif"/>
                <w:b/>
                <w:sz w:val="20"/>
                <w:szCs w:val="20"/>
                <w:u w:val="single"/>
                <w:lang w:val="sr-Cyrl-RS"/>
              </w:rPr>
              <w:t>Adolescenti i d</w:t>
            </w:r>
            <w:r>
              <w:rPr>
                <w:rFonts w:ascii="Microsoft Sans Serif" w:hAnsi="Microsoft Sans Serif" w:cs="Microsoft Sans Serif"/>
                <w:b/>
                <w:sz w:val="20"/>
                <w:szCs w:val="20"/>
                <w:u w:val="single"/>
                <w:lang w:val="sr-Latn-RS"/>
              </w:rPr>
              <w:t>j</w:t>
            </w:r>
            <w:r>
              <w:rPr>
                <w:rFonts w:ascii="Microsoft Sans Serif" w:hAnsi="Microsoft Sans Serif" w:cs="Microsoft Sans Serif"/>
                <w:b/>
                <w:sz w:val="20"/>
                <w:szCs w:val="20"/>
                <w:u w:val="single"/>
                <w:lang w:val="sr-Cyrl-RS"/>
              </w:rPr>
              <w:t>eca t</w:t>
            </w:r>
            <w:r>
              <w:rPr>
                <w:rFonts w:ascii="Microsoft Sans Serif" w:hAnsi="Microsoft Sans Serif" w:cs="Microsoft Sans Serif"/>
                <w:b/>
                <w:sz w:val="20"/>
                <w:szCs w:val="20"/>
                <w:u w:val="single"/>
                <w:lang w:val="sr-Latn-RS"/>
              </w:rPr>
              <w:t>j</w:t>
            </w:r>
            <w:r>
              <w:rPr>
                <w:rFonts w:ascii="Microsoft Sans Serif" w:hAnsi="Microsoft Sans Serif" w:cs="Microsoft Sans Serif"/>
                <w:b/>
                <w:sz w:val="20"/>
                <w:szCs w:val="20"/>
                <w:u w:val="single"/>
                <w:lang w:val="sr-Cyrl-RS"/>
              </w:rPr>
              <w:t xml:space="preserve">elesne mase 50 </w:t>
            </w:r>
            <w:r>
              <w:rPr>
                <w:rFonts w:ascii="Microsoft Sans Serif" w:hAnsi="Microsoft Sans Serif" w:cs="Microsoft Sans Serif"/>
                <w:b/>
                <w:sz w:val="20"/>
                <w:szCs w:val="20"/>
                <w:u w:val="single"/>
                <w:lang w:val="sr-Latn-RS"/>
              </w:rPr>
              <w:t>kg</w:t>
            </w:r>
            <w:r>
              <w:rPr>
                <w:rFonts w:ascii="Microsoft Sans Serif" w:hAnsi="Microsoft Sans Serif" w:cs="Microsoft Sans Serif"/>
                <w:b/>
                <w:sz w:val="20"/>
                <w:szCs w:val="20"/>
                <w:u w:val="single"/>
                <w:lang w:val="sr-Cyrl-RS"/>
              </w:rPr>
              <w:t xml:space="preserve"> ili više, i odrasli</w:t>
            </w:r>
          </w:p>
          <w:p w14:paraId="287013CD">
            <w:pPr>
              <w:tabs>
                <w:tab w:val="clear" w:pos="284"/>
              </w:tabs>
              <w:autoSpaceDE w:val="0"/>
              <w:autoSpaceDN w:val="0"/>
              <w:adjustRightInd w:val="0"/>
              <w:jc w:val="left"/>
              <w:rPr>
                <w:rFonts w:ascii="Microsoft Sans Serif" w:hAnsi="Microsoft Sans Serif" w:cs="Microsoft Sans Serif"/>
                <w:b/>
                <w:sz w:val="20"/>
                <w:szCs w:val="20"/>
                <w:lang w:val="sr-Cyrl-RS"/>
              </w:rPr>
            </w:pPr>
          </w:p>
        </w:tc>
      </w:tr>
      <w:tr w14:paraId="25D1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tcBorders>
            <w:shd w:val="clear" w:color="auto" w:fill="auto"/>
          </w:tcPr>
          <w:p w14:paraId="199331B7">
            <w:pPr>
              <w:tabs>
                <w:tab w:val="clear" w:pos="284"/>
              </w:tabs>
              <w:jc w:val="left"/>
              <w:rPr>
                <w:rFonts w:ascii="Microsoft Sans Serif" w:hAnsi="Microsoft Sans Serif" w:cs="Microsoft Sans Serif"/>
                <w:b/>
                <w:bCs/>
                <w:iCs/>
                <w:sz w:val="20"/>
                <w:szCs w:val="20"/>
                <w:lang w:val="sr-Cyrl-RS"/>
              </w:rPr>
            </w:pPr>
            <w:r>
              <w:rPr>
                <w:rFonts w:ascii="Microsoft Sans Serif" w:hAnsi="Microsoft Sans Serif" w:cs="Microsoft Sans Serif"/>
                <w:b/>
                <w:bCs/>
                <w:iCs/>
                <w:sz w:val="20"/>
                <w:szCs w:val="20"/>
                <w:lang w:val="sr-Cyrl-RS"/>
              </w:rPr>
              <w:t>Početna doza</w:t>
            </w:r>
          </w:p>
          <w:p w14:paraId="663E5AC4">
            <w:pPr>
              <w:tabs>
                <w:tab w:val="clear" w:pos="284"/>
              </w:tabs>
              <w:jc w:val="left"/>
              <w:rPr>
                <w:rFonts w:ascii="Microsoft Sans Serif" w:hAnsi="Microsoft Sans Serif" w:cs="Microsoft Sans Serif"/>
                <w:b/>
                <w:bCs/>
                <w:iCs/>
                <w:sz w:val="20"/>
                <w:szCs w:val="20"/>
                <w:lang w:val="en-GB"/>
              </w:rPr>
            </w:pPr>
          </w:p>
        </w:tc>
        <w:tc>
          <w:tcPr>
            <w:tcW w:w="2964" w:type="dxa"/>
            <w:tcBorders>
              <w:top w:val="single" w:color="auto" w:sz="4" w:space="0"/>
            </w:tcBorders>
            <w:shd w:val="clear" w:color="auto" w:fill="auto"/>
          </w:tcPr>
          <w:p w14:paraId="012D10CF">
            <w:pPr>
              <w:tabs>
                <w:tab w:val="clear" w:pos="284"/>
              </w:tabs>
              <w:jc w:val="left"/>
              <w:rPr>
                <w:rFonts w:ascii="Microsoft Sans Serif" w:hAnsi="Microsoft Sans Serif" w:cs="Microsoft Sans Serif"/>
                <w:b/>
                <w:bCs/>
                <w:iCs/>
                <w:sz w:val="20"/>
                <w:szCs w:val="20"/>
                <w:lang w:val="sr-Cyrl-RS"/>
              </w:rPr>
            </w:pPr>
            <w:r>
              <w:rPr>
                <w:rFonts w:ascii="Microsoft Sans Serif" w:hAnsi="Microsoft Sans Serif" w:cs="Microsoft Sans Serif"/>
                <w:b/>
                <w:bCs/>
                <w:iCs/>
                <w:sz w:val="20"/>
                <w:szCs w:val="20"/>
                <w:lang w:val="sr-Cyrl-RS"/>
              </w:rPr>
              <w:t xml:space="preserve"> Titracija</w:t>
            </w:r>
            <w:r>
              <w:rPr>
                <w:rFonts w:ascii="Microsoft Sans Serif" w:hAnsi="Microsoft Sans Serif" w:cs="Microsoft Sans Serif"/>
                <w:b/>
                <w:bCs/>
                <w:iCs/>
                <w:sz w:val="20"/>
                <w:szCs w:val="20"/>
                <w:lang w:val="en-GB"/>
              </w:rPr>
              <w:t xml:space="preserve"> (koraci povećanja)</w:t>
            </w:r>
          </w:p>
        </w:tc>
        <w:tc>
          <w:tcPr>
            <w:tcW w:w="3096" w:type="dxa"/>
            <w:shd w:val="clear" w:color="auto" w:fill="auto"/>
          </w:tcPr>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
            </w:tblGrid>
            <w:tr w14:paraId="1A75B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0" w:type="auto"/>
                </w:tcPr>
                <w:p w14:paraId="38EA957D">
                  <w:pPr>
                    <w:tabs>
                      <w:tab w:val="clear" w:pos="284"/>
                    </w:tabs>
                    <w:autoSpaceDE w:val="0"/>
                    <w:autoSpaceDN w:val="0"/>
                    <w:adjustRightInd w:val="0"/>
                    <w:jc w:val="left"/>
                    <w:rPr>
                      <w:rFonts w:ascii="Microsoft Sans Serif" w:hAnsi="Microsoft Sans Serif" w:cs="Microsoft Sans Serif"/>
                      <w:b/>
                      <w:sz w:val="20"/>
                      <w:szCs w:val="20"/>
                    </w:rPr>
                  </w:pPr>
                </w:p>
              </w:tc>
            </w:tr>
          </w:tbl>
          <w:p w14:paraId="2FFD5C79">
            <w:pPr>
              <w:tabs>
                <w:tab w:val="clear" w:pos="284"/>
              </w:tabs>
              <w:jc w:val="left"/>
              <w:rPr>
                <w:rFonts w:ascii="Microsoft Sans Serif" w:hAnsi="Microsoft Sans Serif" w:cs="Microsoft Sans Serif"/>
                <w:b/>
                <w:bCs/>
                <w:i/>
                <w:iCs/>
                <w:sz w:val="20"/>
                <w:szCs w:val="20"/>
                <w:lang w:val="en-GB"/>
              </w:rPr>
            </w:pPr>
            <w:r>
              <w:rPr>
                <w:rFonts w:ascii="Microsoft Sans Serif" w:hAnsi="Microsoft Sans Serif" w:cs="Microsoft Sans Serif"/>
                <w:b/>
                <w:bCs/>
                <w:iCs/>
                <w:sz w:val="20"/>
                <w:szCs w:val="20"/>
                <w:lang w:val="sr-Cyrl-RS"/>
              </w:rPr>
              <w:t>Maksimalna preporučena doza</w:t>
            </w:r>
          </w:p>
        </w:tc>
      </w:tr>
      <w:tr w14:paraId="7D0F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3227" w:type="dxa"/>
            <w:shd w:val="clear" w:color="auto" w:fill="auto"/>
          </w:tcPr>
          <w:p w14:paraId="725C2930">
            <w:pPr>
              <w:tabs>
                <w:tab w:val="clear" w:pos="284"/>
              </w:tabs>
              <w:jc w:val="left"/>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r-Cyrl-RS"/>
              </w:rPr>
              <w:t>Monoterapija</w:t>
            </w: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lang w:val="sv-SE"/>
              </w:rPr>
              <w:t xml:space="preserve"> 50 mg dva puta na dan (100 mg/dan) ili 100 mg dva puta na dan (200 mg/dan)</w:t>
            </w:r>
          </w:p>
          <w:p w14:paraId="31AFA589">
            <w:pPr>
              <w:tabs>
                <w:tab w:val="clear" w:pos="284"/>
              </w:tabs>
              <w:jc w:val="left"/>
              <w:rPr>
                <w:rFonts w:ascii="Microsoft Sans Serif" w:hAnsi="Microsoft Sans Serif" w:cs="Microsoft Sans Serif"/>
                <w:bCs/>
                <w:iCs/>
                <w:sz w:val="20"/>
                <w:szCs w:val="20"/>
                <w:lang w:val="sr-Latn-RS"/>
              </w:rPr>
            </w:pPr>
          </w:p>
          <w:p w14:paraId="597704F3">
            <w:pPr>
              <w:tabs>
                <w:tab w:val="clear" w:pos="284"/>
              </w:tabs>
              <w:jc w:val="left"/>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v-SE"/>
              </w:rPr>
              <w:t>Dodatna terapija</w:t>
            </w:r>
            <w:r>
              <w:rPr>
                <w:rFonts w:ascii="Microsoft Sans Serif" w:hAnsi="Microsoft Sans Serif" w:cs="Microsoft Sans Serif"/>
                <w:bCs/>
                <w:iCs/>
                <w:sz w:val="20"/>
                <w:szCs w:val="20"/>
                <w:lang w:val="sv-SE"/>
              </w:rPr>
              <w:t xml:space="preserve">: 50 mg dva puta na dan (100 mg/dan) </w:t>
            </w:r>
          </w:p>
        </w:tc>
        <w:tc>
          <w:tcPr>
            <w:tcW w:w="2964" w:type="dxa"/>
            <w:shd w:val="clear" w:color="auto" w:fill="auto"/>
          </w:tcPr>
          <w:p w14:paraId="6507C1F9">
            <w:pPr>
              <w:jc w:val="left"/>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50 mg dva puta na dan (100 mg/dan) u nedel</w:t>
            </w:r>
            <w:r>
              <w:rPr>
                <w:rFonts w:ascii="Microsoft Sans Serif" w:hAnsi="Microsoft Sans Serif" w:cs="Microsoft Sans Serif"/>
                <w:bCs/>
                <w:iCs/>
                <w:sz w:val="20"/>
                <w:szCs w:val="20"/>
                <w:lang w:val="en-GB"/>
              </w:rPr>
              <w:t>ј</w:t>
            </w:r>
            <w:r>
              <w:rPr>
                <w:rFonts w:ascii="Microsoft Sans Serif" w:hAnsi="Microsoft Sans Serif" w:cs="Microsoft Sans Serif"/>
                <w:bCs/>
                <w:iCs/>
                <w:sz w:val="20"/>
                <w:szCs w:val="20"/>
                <w:lang w:val="sv-SE"/>
              </w:rPr>
              <w:t>nim intervalima</w:t>
            </w:r>
          </w:p>
        </w:tc>
        <w:tc>
          <w:tcPr>
            <w:tcW w:w="3096" w:type="dxa"/>
            <w:shd w:val="clear" w:color="auto" w:fill="auto"/>
          </w:tcPr>
          <w:p w14:paraId="140202AC">
            <w:pPr>
              <w:tabs>
                <w:tab w:val="clear" w:pos="284"/>
              </w:tabs>
              <w:jc w:val="left"/>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r-Cyrl-RS"/>
              </w:rPr>
              <w:t>Monoterapija</w:t>
            </w: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lang w:val="sv-SE"/>
              </w:rPr>
              <w:t xml:space="preserve"> do 300 mg dva puta na dan (600 mg/dan) </w:t>
            </w:r>
          </w:p>
          <w:p w14:paraId="2C2D3862">
            <w:pPr>
              <w:tabs>
                <w:tab w:val="clear" w:pos="284"/>
              </w:tabs>
              <w:jc w:val="left"/>
              <w:rPr>
                <w:rFonts w:ascii="Microsoft Sans Serif" w:hAnsi="Microsoft Sans Serif" w:cs="Microsoft Sans Serif"/>
                <w:bCs/>
                <w:iCs/>
                <w:sz w:val="20"/>
                <w:szCs w:val="20"/>
                <w:lang w:val="sr-Latn-RS"/>
              </w:rPr>
            </w:pPr>
          </w:p>
          <w:p w14:paraId="75A95AD9">
            <w:pPr>
              <w:jc w:val="left"/>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v-SE"/>
              </w:rPr>
              <w:t>Dodatna terapija</w:t>
            </w:r>
            <w:r>
              <w:rPr>
                <w:rFonts w:ascii="Microsoft Sans Serif" w:hAnsi="Microsoft Sans Serif" w:cs="Microsoft Sans Serif"/>
                <w:bCs/>
                <w:iCs/>
                <w:sz w:val="20"/>
                <w:szCs w:val="20"/>
                <w:lang w:val="sv-SE"/>
              </w:rPr>
              <w:t>: do 200 mg dva puta na dan (400 mg/dan)</w:t>
            </w:r>
          </w:p>
        </w:tc>
      </w:tr>
      <w:tr w14:paraId="6E9B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3"/>
            <w:shd w:val="clear" w:color="auto" w:fill="auto"/>
          </w:tcPr>
          <w:p w14:paraId="1EB063C6">
            <w:pPr>
              <w:tabs>
                <w:tab w:val="clear" w:pos="284"/>
              </w:tabs>
              <w:jc w:val="left"/>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r-Cyrl-RS"/>
              </w:rPr>
              <w:t>Alternativna početna doza</w:t>
            </w:r>
            <w:r>
              <w:rPr>
                <w:rFonts w:ascii="Microsoft Sans Serif" w:hAnsi="Microsoft Sans Serif" w:cs="Microsoft Sans Serif"/>
                <w:bCs/>
                <w:iCs/>
                <w:sz w:val="20"/>
                <w:szCs w:val="20"/>
                <w:lang w:val="sr-Latn-RS"/>
              </w:rPr>
              <w:t xml:space="preserve">* </w:t>
            </w:r>
            <w:r>
              <w:rPr>
                <w:rFonts w:ascii="Microsoft Sans Serif" w:hAnsi="Microsoft Sans Serif" w:cs="Microsoft Sans Serif"/>
                <w:bCs/>
                <w:iCs/>
                <w:sz w:val="20"/>
                <w:szCs w:val="20"/>
                <w:lang w:val="sv-SE"/>
              </w:rPr>
              <w:t>(ako je primjenl</w:t>
            </w:r>
            <w:r>
              <w:rPr>
                <w:rFonts w:ascii="Microsoft Sans Serif" w:hAnsi="Microsoft Sans Serif" w:cs="Microsoft Sans Serif"/>
                <w:bCs/>
                <w:iCs/>
                <w:sz w:val="20"/>
                <w:szCs w:val="20"/>
                <w:lang w:val="en-GB"/>
              </w:rPr>
              <w:t>ј</w:t>
            </w:r>
            <w:r>
              <w:rPr>
                <w:rFonts w:ascii="Microsoft Sans Serif" w:hAnsi="Microsoft Sans Serif" w:cs="Microsoft Sans Serif"/>
                <w:bCs/>
                <w:iCs/>
                <w:sz w:val="20"/>
                <w:szCs w:val="20"/>
                <w:lang w:val="sv-SE"/>
              </w:rPr>
              <w:t>ivo):</w:t>
            </w:r>
          </w:p>
          <w:p w14:paraId="196F7E78">
            <w:pPr>
              <w:tabs>
                <w:tab w:val="clear" w:pos="284"/>
              </w:tabs>
              <w:jc w:val="left"/>
              <w:rPr>
                <w:rFonts w:ascii="Microsoft Sans Serif" w:hAnsi="Microsoft Sans Serif" w:cs="Microsoft Sans Serif"/>
                <w:bCs/>
                <w:iCs/>
                <w:sz w:val="20"/>
                <w:szCs w:val="20"/>
                <w:lang w:val="sv-SE"/>
              </w:rPr>
            </w:pPr>
          </w:p>
          <w:p w14:paraId="59460784">
            <w:pPr>
              <w:tabs>
                <w:tab w:val="clear" w:pos="284"/>
              </w:tabs>
              <w:jc w:val="left"/>
              <w:rPr>
                <w:rFonts w:ascii="Microsoft Sans Serif" w:hAnsi="Microsoft Sans Serif" w:cs="Microsoft Sans Serif"/>
                <w:bCs/>
                <w:iCs/>
                <w:sz w:val="20"/>
                <w:szCs w:val="20"/>
                <w:lang w:val="sv-SE"/>
              </w:rPr>
            </w:pPr>
            <w:r>
              <w:rPr>
                <w:lang w:val="sv-SE"/>
              </w:rPr>
              <w:t xml:space="preserve"> </w:t>
            </w:r>
            <w:r>
              <w:rPr>
                <w:rFonts w:ascii="Microsoft Sans Serif" w:hAnsi="Microsoft Sans Serif" w:cs="Microsoft Sans Serif"/>
                <w:bCs/>
                <w:iCs/>
                <w:sz w:val="20"/>
                <w:szCs w:val="20"/>
                <w:lang w:val="sv-SE"/>
              </w:rPr>
              <w:t>200 mg jednokratna udarna doza, a zatim 100 mg dva puta dnevno (200 mg/dan)</w:t>
            </w:r>
          </w:p>
        </w:tc>
      </w:tr>
      <w:tr w14:paraId="6709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3"/>
            <w:shd w:val="clear" w:color="auto" w:fill="auto"/>
          </w:tcPr>
          <w:p w14:paraId="3C0425C6">
            <w:pPr>
              <w:tabs>
                <w:tab w:val="clear" w:pos="284"/>
              </w:tabs>
              <w:jc w:val="left"/>
              <w:rPr>
                <w:rFonts w:ascii="Microsoft Sans Serif" w:hAnsi="Microsoft Sans Serif" w:cs="Microsoft Sans Serif"/>
                <w:bCs/>
                <w:iCs/>
                <w:sz w:val="16"/>
                <w:szCs w:val="16"/>
                <w:lang w:val="sr-Cyrl-RS"/>
              </w:rPr>
            </w:pPr>
            <w:r>
              <w:rPr>
                <w:lang w:val="sv-SE"/>
              </w:rPr>
              <w:t xml:space="preserve"> </w:t>
            </w:r>
            <w:r>
              <w:rPr>
                <w:rFonts w:ascii="Microsoft Sans Serif" w:hAnsi="Microsoft Sans Serif" w:cs="Microsoft Sans Serif"/>
                <w:bCs/>
                <w:iCs/>
                <w:sz w:val="16"/>
                <w:szCs w:val="16"/>
                <w:lang w:val="sr-Cyrl-RS"/>
              </w:rPr>
              <w:t>*Početna doza se može započeti kod pacijenata u situacijama kada l</w:t>
            </w:r>
            <w:r>
              <w:rPr>
                <w:rFonts w:ascii="Microsoft Sans Serif" w:hAnsi="Microsoft Sans Serif" w:cs="Microsoft Sans Serif"/>
                <w:bCs/>
                <w:iCs/>
                <w:sz w:val="16"/>
                <w:szCs w:val="16"/>
                <w:lang w:val="sr-Latn-RS"/>
              </w:rPr>
              <w:t>j</w:t>
            </w:r>
            <w:r>
              <w:rPr>
                <w:rFonts w:ascii="Microsoft Sans Serif" w:hAnsi="Microsoft Sans Serif" w:cs="Microsoft Sans Serif"/>
                <w:bCs/>
                <w:iCs/>
                <w:sz w:val="16"/>
                <w:szCs w:val="16"/>
                <w:lang w:val="sr-Cyrl-RS"/>
              </w:rPr>
              <w:t>ekar utvrdi da je brzo postizanje stabiln</w:t>
            </w:r>
            <w:r>
              <w:rPr>
                <w:rFonts w:ascii="Microsoft Sans Serif" w:hAnsi="Microsoft Sans Serif" w:cs="Microsoft Sans Serif"/>
                <w:bCs/>
                <w:iCs/>
                <w:sz w:val="16"/>
                <w:szCs w:val="16"/>
                <w:lang w:val="sr-Latn-RS"/>
              </w:rPr>
              <w:t>e</w:t>
            </w:r>
            <w:r>
              <w:rPr>
                <w:rFonts w:ascii="Microsoft Sans Serif" w:hAnsi="Microsoft Sans Serif" w:cs="Microsoft Sans Serif"/>
                <w:bCs/>
                <w:iCs/>
                <w:sz w:val="16"/>
                <w:szCs w:val="16"/>
                <w:lang w:val="sr-Cyrl-RS"/>
              </w:rPr>
              <w:t xml:space="preserve"> koncentracij</w:t>
            </w:r>
            <w:r>
              <w:rPr>
                <w:rFonts w:ascii="Microsoft Sans Serif" w:hAnsi="Microsoft Sans Serif" w:cs="Microsoft Sans Serif"/>
                <w:bCs/>
                <w:iCs/>
                <w:sz w:val="16"/>
                <w:szCs w:val="16"/>
                <w:lang w:val="sr-Latn-RS"/>
              </w:rPr>
              <w:t>e</w:t>
            </w:r>
            <w:r>
              <w:rPr>
                <w:rFonts w:ascii="Microsoft Sans Serif" w:hAnsi="Microsoft Sans Serif" w:cs="Microsoft Sans Serif"/>
                <w:bCs/>
                <w:iCs/>
                <w:sz w:val="16"/>
                <w:szCs w:val="16"/>
                <w:lang w:val="sr-Cyrl-RS"/>
              </w:rPr>
              <w:t xml:space="preserve"> lakozamida</w:t>
            </w:r>
            <w:r>
              <w:rPr>
                <w:rFonts w:ascii="Microsoft Sans Serif" w:hAnsi="Microsoft Sans Serif" w:cs="Microsoft Sans Serif"/>
                <w:bCs/>
                <w:iCs/>
                <w:sz w:val="16"/>
                <w:szCs w:val="16"/>
                <w:lang w:val="sr-Latn-RS"/>
              </w:rPr>
              <w:t xml:space="preserve"> </w:t>
            </w:r>
            <w:r>
              <w:rPr>
                <w:rFonts w:ascii="Microsoft Sans Serif" w:hAnsi="Microsoft Sans Serif" w:cs="Microsoft Sans Serif"/>
                <w:bCs/>
                <w:iCs/>
                <w:sz w:val="16"/>
                <w:szCs w:val="16"/>
                <w:lang w:val="sr-Cyrl-RS"/>
              </w:rPr>
              <w:t xml:space="preserve"> u plazmi i terap</w:t>
            </w:r>
            <w:r>
              <w:rPr>
                <w:rFonts w:ascii="Microsoft Sans Serif" w:hAnsi="Microsoft Sans Serif" w:cs="Microsoft Sans Serif"/>
                <w:bCs/>
                <w:iCs/>
                <w:sz w:val="16"/>
                <w:szCs w:val="16"/>
                <w:lang w:val="sr-Latn-RS"/>
              </w:rPr>
              <w:t>ijskog</w:t>
            </w:r>
            <w:r>
              <w:rPr>
                <w:rFonts w:ascii="Microsoft Sans Serif" w:hAnsi="Microsoft Sans Serif" w:cs="Microsoft Sans Serif"/>
                <w:bCs/>
                <w:iCs/>
                <w:sz w:val="16"/>
                <w:szCs w:val="16"/>
                <w:lang w:val="sr-Cyrl-RS"/>
              </w:rPr>
              <w:t xml:space="preserve"> efekt</w:t>
            </w:r>
            <w:r>
              <w:rPr>
                <w:rFonts w:ascii="Microsoft Sans Serif" w:hAnsi="Microsoft Sans Serif" w:cs="Microsoft Sans Serif"/>
                <w:bCs/>
                <w:iCs/>
                <w:sz w:val="16"/>
                <w:szCs w:val="16"/>
                <w:lang w:val="sr-Latn-RS"/>
              </w:rPr>
              <w:t xml:space="preserve">a </w:t>
            </w:r>
            <w:r>
              <w:rPr>
                <w:rFonts w:ascii="Microsoft Sans Serif" w:hAnsi="Microsoft Sans Serif" w:cs="Microsoft Sans Serif"/>
                <w:bCs/>
                <w:iCs/>
                <w:sz w:val="16"/>
                <w:szCs w:val="16"/>
                <w:lang w:val="sr-Cyrl-RS"/>
              </w:rPr>
              <w:t>opravdan</w:t>
            </w:r>
            <w:r>
              <w:rPr>
                <w:rFonts w:ascii="Microsoft Sans Serif" w:hAnsi="Microsoft Sans Serif" w:cs="Microsoft Sans Serif"/>
                <w:bCs/>
                <w:iCs/>
                <w:sz w:val="16"/>
                <w:szCs w:val="16"/>
                <w:lang w:val="sr-Latn-RS"/>
              </w:rPr>
              <w:t>o</w:t>
            </w:r>
            <w:r>
              <w:rPr>
                <w:rFonts w:ascii="Microsoft Sans Serif" w:hAnsi="Microsoft Sans Serif" w:cs="Microsoft Sans Serif"/>
                <w:bCs/>
                <w:iCs/>
                <w:sz w:val="16"/>
                <w:szCs w:val="16"/>
                <w:lang w:val="sr-Cyrl-RS"/>
              </w:rPr>
              <w:t>. Trebalo bi da se prim</w:t>
            </w:r>
            <w:r>
              <w:rPr>
                <w:rFonts w:ascii="Microsoft Sans Serif" w:hAnsi="Microsoft Sans Serif" w:cs="Microsoft Sans Serif"/>
                <w:bCs/>
                <w:iCs/>
                <w:sz w:val="16"/>
                <w:szCs w:val="16"/>
                <w:lang w:val="sr-Latn-RS"/>
              </w:rPr>
              <w:t>j</w:t>
            </w:r>
            <w:r>
              <w:rPr>
                <w:rFonts w:ascii="Microsoft Sans Serif" w:hAnsi="Microsoft Sans Serif" w:cs="Microsoft Sans Serif"/>
                <w:bCs/>
                <w:iCs/>
                <w:sz w:val="16"/>
                <w:szCs w:val="16"/>
                <w:lang w:val="sr-Cyrl-RS"/>
              </w:rPr>
              <w:t>enjuje pod medicinskim nadzorom uz razmatranje</w:t>
            </w:r>
            <w:r>
              <w:rPr>
                <w:rFonts w:ascii="Microsoft Sans Serif" w:hAnsi="Microsoft Sans Serif" w:cs="Microsoft Sans Serif"/>
                <w:bCs/>
                <w:iCs/>
                <w:sz w:val="16"/>
                <w:szCs w:val="16"/>
                <w:lang w:val="sr-Latn-RS"/>
              </w:rPr>
              <w:t xml:space="preserve"> </w:t>
            </w:r>
            <w:r>
              <w:rPr>
                <w:rFonts w:ascii="Microsoft Sans Serif" w:hAnsi="Microsoft Sans Serif" w:cs="Microsoft Sans Serif"/>
                <w:bCs/>
                <w:iCs/>
                <w:sz w:val="16"/>
                <w:szCs w:val="16"/>
                <w:lang w:val="sr-Cyrl-RS"/>
              </w:rPr>
              <w:t>potencijal</w:t>
            </w:r>
            <w:r>
              <w:rPr>
                <w:rFonts w:ascii="Microsoft Sans Serif" w:hAnsi="Microsoft Sans Serif" w:cs="Microsoft Sans Serif"/>
                <w:bCs/>
                <w:iCs/>
                <w:sz w:val="16"/>
                <w:szCs w:val="16"/>
                <w:lang w:val="sr-Latn-RS"/>
              </w:rPr>
              <w:t xml:space="preserve">ne </w:t>
            </w:r>
            <w:r>
              <w:rPr>
                <w:rFonts w:ascii="Microsoft Sans Serif" w:hAnsi="Microsoft Sans Serif" w:cs="Microsoft Sans Serif"/>
                <w:bCs/>
                <w:iCs/>
                <w:sz w:val="16"/>
                <w:szCs w:val="16"/>
                <w:lang w:val="sr-Cyrl-RS"/>
              </w:rPr>
              <w:t>povećan</w:t>
            </w:r>
            <w:r>
              <w:rPr>
                <w:rFonts w:ascii="Microsoft Sans Serif" w:hAnsi="Microsoft Sans Serif" w:cs="Microsoft Sans Serif"/>
                <w:bCs/>
                <w:iCs/>
                <w:sz w:val="16"/>
                <w:szCs w:val="16"/>
                <w:lang w:val="sr-Latn-RS"/>
              </w:rPr>
              <w:t>e</w:t>
            </w:r>
            <w:r>
              <w:rPr>
                <w:rFonts w:ascii="Microsoft Sans Serif" w:hAnsi="Microsoft Sans Serif" w:cs="Microsoft Sans Serif"/>
                <w:bCs/>
                <w:iCs/>
                <w:sz w:val="16"/>
                <w:szCs w:val="16"/>
                <w:lang w:val="sr-Cyrl-RS"/>
              </w:rPr>
              <w:t xml:space="preserve"> incidenc</w:t>
            </w:r>
            <w:r>
              <w:rPr>
                <w:rFonts w:ascii="Microsoft Sans Serif" w:hAnsi="Microsoft Sans Serif" w:cs="Microsoft Sans Serif"/>
                <w:bCs/>
                <w:iCs/>
                <w:sz w:val="16"/>
                <w:szCs w:val="16"/>
                <w:lang w:val="sr-Latn-RS"/>
              </w:rPr>
              <w:t>e</w:t>
            </w:r>
            <w:r>
              <w:rPr>
                <w:rFonts w:ascii="Microsoft Sans Serif" w:hAnsi="Microsoft Sans Serif" w:cs="Microsoft Sans Serif"/>
                <w:bCs/>
                <w:iCs/>
                <w:sz w:val="16"/>
                <w:szCs w:val="16"/>
                <w:lang w:val="sr-Cyrl-RS"/>
              </w:rPr>
              <w:t xml:space="preserve"> ozbiljn</w:t>
            </w:r>
            <w:r>
              <w:rPr>
                <w:rFonts w:ascii="Microsoft Sans Serif" w:hAnsi="Microsoft Sans Serif" w:cs="Microsoft Sans Serif"/>
                <w:bCs/>
                <w:iCs/>
                <w:sz w:val="16"/>
                <w:szCs w:val="16"/>
                <w:lang w:val="sr-Latn-RS"/>
              </w:rPr>
              <w:t>ih</w:t>
            </w:r>
            <w:r>
              <w:rPr>
                <w:rFonts w:ascii="Microsoft Sans Serif" w:hAnsi="Microsoft Sans Serif" w:cs="Microsoft Sans Serif"/>
                <w:bCs/>
                <w:iCs/>
                <w:sz w:val="16"/>
                <w:szCs w:val="16"/>
                <w:lang w:val="sr-Cyrl-RS"/>
              </w:rPr>
              <w:t xml:space="preserve"> srčan</w:t>
            </w:r>
            <w:r>
              <w:rPr>
                <w:rFonts w:ascii="Microsoft Sans Serif" w:hAnsi="Microsoft Sans Serif" w:cs="Microsoft Sans Serif"/>
                <w:bCs/>
                <w:iCs/>
                <w:sz w:val="16"/>
                <w:szCs w:val="16"/>
                <w:lang w:val="sr-Latn-RS"/>
              </w:rPr>
              <w:t>ih</w:t>
            </w:r>
            <w:r>
              <w:rPr>
                <w:rFonts w:ascii="Microsoft Sans Serif" w:hAnsi="Microsoft Sans Serif" w:cs="Microsoft Sans Serif"/>
                <w:bCs/>
                <w:iCs/>
                <w:sz w:val="16"/>
                <w:szCs w:val="16"/>
                <w:lang w:val="sr-Cyrl-RS"/>
              </w:rPr>
              <w:t xml:space="preserve"> aritmij</w:t>
            </w:r>
            <w:r>
              <w:rPr>
                <w:rFonts w:ascii="Microsoft Sans Serif" w:hAnsi="Microsoft Sans Serif" w:cs="Microsoft Sans Serif"/>
                <w:bCs/>
                <w:iCs/>
                <w:sz w:val="16"/>
                <w:szCs w:val="16"/>
                <w:lang w:val="sr-Latn-RS"/>
              </w:rPr>
              <w:t>a</w:t>
            </w:r>
            <w:r>
              <w:rPr>
                <w:rFonts w:ascii="Microsoft Sans Serif" w:hAnsi="Microsoft Sans Serif" w:cs="Microsoft Sans Serif"/>
                <w:bCs/>
                <w:iCs/>
                <w:sz w:val="16"/>
                <w:szCs w:val="16"/>
                <w:lang w:val="sr-Cyrl-RS"/>
              </w:rPr>
              <w:t xml:space="preserve"> i neželjenih reakcija centralnog nervnog sistema (</w:t>
            </w:r>
            <w:r>
              <w:rPr>
                <w:rFonts w:ascii="Microsoft Sans Serif" w:hAnsi="Microsoft Sans Serif" w:cs="Microsoft Sans Serif"/>
                <w:bCs/>
                <w:iCs/>
                <w:sz w:val="16"/>
                <w:szCs w:val="16"/>
                <w:lang w:val="sr-Latn-RS"/>
              </w:rPr>
              <w:t>pogledati dio</w:t>
            </w:r>
            <w:r>
              <w:rPr>
                <w:rFonts w:ascii="Microsoft Sans Serif" w:hAnsi="Microsoft Sans Serif" w:cs="Microsoft Sans Serif"/>
                <w:bCs/>
                <w:iCs/>
                <w:sz w:val="16"/>
                <w:szCs w:val="16"/>
                <w:lang w:val="sr-Cyrl-RS"/>
              </w:rPr>
              <w:t xml:space="preserve"> 4.8).</w:t>
            </w:r>
          </w:p>
          <w:p w14:paraId="2C30CBDD">
            <w:pPr>
              <w:tabs>
                <w:tab w:val="clear" w:pos="284"/>
              </w:tabs>
              <w:jc w:val="left"/>
              <w:rPr>
                <w:rFonts w:ascii="Microsoft Sans Serif" w:hAnsi="Microsoft Sans Serif" w:cs="Microsoft Sans Serif"/>
                <w:bCs/>
                <w:iCs/>
                <w:sz w:val="20"/>
                <w:szCs w:val="20"/>
                <w:lang w:val="sr-Cyrl-RS"/>
              </w:rPr>
            </w:pPr>
            <w:r>
              <w:rPr>
                <w:rFonts w:ascii="Microsoft Sans Serif" w:hAnsi="Microsoft Sans Serif" w:cs="Microsoft Sans Serif"/>
                <w:bCs/>
                <w:iCs/>
                <w:sz w:val="16"/>
                <w:szCs w:val="16"/>
                <w:lang w:val="sr-Cyrl-RS"/>
              </w:rPr>
              <w:t>Prim</w:t>
            </w:r>
            <w:r>
              <w:rPr>
                <w:rFonts w:ascii="Microsoft Sans Serif" w:hAnsi="Microsoft Sans Serif" w:cs="Microsoft Sans Serif"/>
                <w:bCs/>
                <w:iCs/>
                <w:sz w:val="16"/>
                <w:szCs w:val="16"/>
                <w:lang w:val="sr-Latn-RS"/>
              </w:rPr>
              <w:t>j</w:t>
            </w:r>
            <w:r>
              <w:rPr>
                <w:rFonts w:ascii="Microsoft Sans Serif" w:hAnsi="Microsoft Sans Serif" w:cs="Microsoft Sans Serif"/>
                <w:bCs/>
                <w:iCs/>
                <w:sz w:val="16"/>
                <w:szCs w:val="16"/>
                <w:lang w:val="sr-Cyrl-RS"/>
              </w:rPr>
              <w:t>ena udarne doze nije proučavana u akutnim stanjima kao što je epileptični status.</w:t>
            </w:r>
          </w:p>
        </w:tc>
      </w:tr>
    </w:tbl>
    <w:p w14:paraId="51C1D233">
      <w:pPr>
        <w:tabs>
          <w:tab w:val="clear" w:pos="284"/>
        </w:tabs>
        <w:jc w:val="left"/>
        <w:rPr>
          <w:rFonts w:ascii="Microsoft Sans Serif" w:hAnsi="Microsoft Sans Serif" w:cs="Microsoft Sans Serif"/>
          <w:bCs/>
          <w:i/>
          <w:iCs/>
          <w:sz w:val="20"/>
          <w:szCs w:val="20"/>
          <w:lang w:val="sr-Cyrl-RS"/>
        </w:rPr>
      </w:pPr>
    </w:p>
    <w:p w14:paraId="12F4A5D4">
      <w:pPr>
        <w:tabs>
          <w:tab w:val="clear" w:pos="284"/>
        </w:tabs>
        <w:rPr>
          <w:rFonts w:ascii="Microsoft Sans Serif" w:hAnsi="Microsoft Sans Serif" w:cs="Microsoft Sans Serif"/>
          <w:bCs/>
          <w:i/>
          <w:iCs/>
          <w:sz w:val="20"/>
          <w:szCs w:val="20"/>
          <w:lang w:val="sr-Cyrl-R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2942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61C3A29D">
            <w:pPr>
              <w:tabs>
                <w:tab w:val="clear" w:pos="284"/>
              </w:tabs>
              <w:rPr>
                <w:rFonts w:ascii="Microsoft Sans Serif" w:hAnsi="Microsoft Sans Serif" w:cs="Microsoft Sans Serif"/>
                <w:b/>
                <w:bCs/>
                <w:iCs/>
                <w:sz w:val="20"/>
                <w:szCs w:val="20"/>
                <w:u w:val="single"/>
                <w:lang w:val="en-GB"/>
              </w:rPr>
            </w:pPr>
            <w:r>
              <w:rPr>
                <w:rFonts w:ascii="Microsoft Sans Serif" w:hAnsi="Microsoft Sans Serif" w:cs="Microsoft Sans Serif"/>
                <w:b/>
                <w:bCs/>
                <w:iCs/>
                <w:sz w:val="20"/>
                <w:szCs w:val="20"/>
                <w:u w:val="single"/>
                <w:lang w:val="en-GB"/>
              </w:rPr>
              <w:t>Djeca od 2 godine i adolescenti tjelesne mase manje od 50 kg*</w:t>
            </w:r>
          </w:p>
        </w:tc>
      </w:tr>
      <w:tr w14:paraId="3B0D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0F585B6">
            <w:pPr>
              <w:tabs>
                <w:tab w:val="clear" w:pos="284"/>
              </w:tabs>
              <w:jc w:val="left"/>
              <w:rPr>
                <w:rFonts w:ascii="Microsoft Sans Serif" w:hAnsi="Microsoft Sans Serif" w:cs="Microsoft Sans Serif"/>
                <w:b/>
                <w:bCs/>
                <w:iCs/>
                <w:sz w:val="20"/>
                <w:szCs w:val="20"/>
                <w:lang w:val="en-GB"/>
              </w:rPr>
            </w:pPr>
            <w:r>
              <w:rPr>
                <w:rFonts w:ascii="Microsoft Sans Serif" w:hAnsi="Microsoft Sans Serif" w:cs="Microsoft Sans Serif"/>
                <w:b/>
                <w:bCs/>
                <w:iCs/>
                <w:sz w:val="20"/>
                <w:szCs w:val="20"/>
                <w:lang w:val="sr-Cyrl-RS"/>
              </w:rPr>
              <w:t>Početna doza</w:t>
            </w:r>
          </w:p>
        </w:tc>
        <w:tc>
          <w:tcPr>
            <w:tcW w:w="3190" w:type="dxa"/>
          </w:tcPr>
          <w:p w14:paraId="16178ABC">
            <w:pPr>
              <w:tabs>
                <w:tab w:val="clear" w:pos="284"/>
              </w:tabs>
              <w:rPr>
                <w:rFonts w:ascii="Microsoft Sans Serif" w:hAnsi="Microsoft Sans Serif" w:cs="Microsoft Sans Serif"/>
                <w:b/>
                <w:bCs/>
                <w:iCs/>
                <w:sz w:val="20"/>
                <w:szCs w:val="20"/>
                <w:lang w:val="en-GB"/>
              </w:rPr>
            </w:pPr>
            <w:r>
              <w:rPr>
                <w:rFonts w:ascii="Microsoft Sans Serif" w:hAnsi="Microsoft Sans Serif" w:cs="Microsoft Sans Serif"/>
                <w:b/>
                <w:bCs/>
                <w:iCs/>
                <w:sz w:val="20"/>
                <w:szCs w:val="20"/>
                <w:lang w:val="sr-Cyrl-RS"/>
              </w:rPr>
              <w:t xml:space="preserve"> Titracija</w:t>
            </w:r>
            <w:r>
              <w:rPr>
                <w:rFonts w:ascii="Microsoft Sans Serif" w:hAnsi="Microsoft Sans Serif" w:cs="Microsoft Sans Serif"/>
                <w:b/>
                <w:bCs/>
                <w:iCs/>
                <w:sz w:val="20"/>
                <w:szCs w:val="20"/>
                <w:lang w:val="en-GB"/>
              </w:rPr>
              <w:t xml:space="preserve"> (koraci povećanja)</w:t>
            </w:r>
          </w:p>
        </w:tc>
        <w:tc>
          <w:tcPr>
            <w:tcW w:w="3191" w:type="dxa"/>
          </w:tcPr>
          <w:p w14:paraId="20320C44">
            <w:pPr>
              <w:tabs>
                <w:tab w:val="clear" w:pos="284"/>
              </w:tabs>
              <w:rPr>
                <w:rFonts w:ascii="Microsoft Sans Serif" w:hAnsi="Microsoft Sans Serif" w:cs="Microsoft Sans Serif"/>
                <w:b/>
                <w:bCs/>
                <w:iCs/>
                <w:sz w:val="20"/>
                <w:szCs w:val="20"/>
                <w:lang w:val="en-GB"/>
              </w:rPr>
            </w:pPr>
            <w:r>
              <w:rPr>
                <w:rFonts w:ascii="Microsoft Sans Serif" w:hAnsi="Microsoft Sans Serif" w:cs="Microsoft Sans Serif"/>
                <w:b/>
                <w:bCs/>
                <w:iCs/>
                <w:sz w:val="20"/>
                <w:szCs w:val="20"/>
                <w:lang w:val="sr-Cyrl-RS"/>
              </w:rPr>
              <w:t>Maksimalna preporučena doza</w:t>
            </w:r>
          </w:p>
        </w:tc>
      </w:tr>
      <w:tr w14:paraId="7775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7AB270A">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r-Cyrl-RS"/>
              </w:rPr>
              <w:t>Monoterapija</w:t>
            </w:r>
            <w:r>
              <w:rPr>
                <w:rFonts w:ascii="Microsoft Sans Serif" w:hAnsi="Microsoft Sans Serif" w:cs="Microsoft Sans Serif"/>
                <w:b/>
                <w:bCs/>
                <w:iCs/>
                <w:sz w:val="20"/>
                <w:szCs w:val="20"/>
                <w:lang w:val="sr-Latn-RS"/>
              </w:rPr>
              <w:t xml:space="preserve"> i</w:t>
            </w:r>
            <w:r>
              <w:rPr>
                <w:rFonts w:ascii="Microsoft Sans Serif" w:hAnsi="Microsoft Sans Serif" w:cs="Microsoft Sans Serif"/>
                <w:b/>
                <w:bCs/>
                <w:iCs/>
                <w:sz w:val="20"/>
                <w:szCs w:val="20"/>
                <w:lang w:val="sv-SE"/>
              </w:rPr>
              <w:t xml:space="preserve"> dodatna terapija</w:t>
            </w:r>
            <w:r>
              <w:rPr>
                <w:rFonts w:ascii="Microsoft Sans Serif" w:hAnsi="Microsoft Sans Serif" w:cs="Microsoft Sans Serif"/>
                <w:bCs/>
                <w:iCs/>
                <w:sz w:val="20"/>
                <w:szCs w:val="20"/>
                <w:lang w:val="sv-SE"/>
              </w:rPr>
              <w:t>:</w:t>
            </w:r>
          </w:p>
          <w:p w14:paraId="40A9F9F4">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1 mg/kg dva puta dnevno</w:t>
            </w:r>
          </w:p>
          <w:p w14:paraId="07A30808">
            <w:pPr>
              <w:tabs>
                <w:tab w:val="clear" w:pos="284"/>
              </w:tabs>
              <w:rPr>
                <w:rFonts w:ascii="Microsoft Sans Serif" w:hAnsi="Microsoft Sans Serif" w:cs="Microsoft Sans Serif"/>
                <w:bCs/>
                <w:i/>
                <w:iCs/>
                <w:sz w:val="20"/>
                <w:szCs w:val="20"/>
                <w:lang w:val="en-GB"/>
              </w:rPr>
            </w:pPr>
            <w:r>
              <w:rPr>
                <w:rFonts w:ascii="Microsoft Sans Serif" w:hAnsi="Microsoft Sans Serif" w:cs="Microsoft Sans Serif"/>
                <w:bCs/>
                <w:iCs/>
                <w:sz w:val="20"/>
                <w:szCs w:val="20"/>
                <w:lang w:val="en-GB"/>
              </w:rPr>
              <w:t>(2 mg/kg/dan)</w:t>
            </w:r>
          </w:p>
        </w:tc>
        <w:tc>
          <w:tcPr>
            <w:tcW w:w="3190" w:type="dxa"/>
          </w:tcPr>
          <w:p w14:paraId="19CCEB99">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1 mg/kg dva puta na dan</w:t>
            </w:r>
          </w:p>
          <w:p w14:paraId="6577012E">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(2 mg/kg/dan)</w:t>
            </w:r>
          </w:p>
          <w:p w14:paraId="21752F2F">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na nedeljnim</w:t>
            </w:r>
          </w:p>
          <w:p w14:paraId="1477D0DC">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intervalima</w:t>
            </w:r>
          </w:p>
        </w:tc>
        <w:tc>
          <w:tcPr>
            <w:tcW w:w="3191" w:type="dxa"/>
          </w:tcPr>
          <w:p w14:paraId="0763D67C">
            <w:pPr>
              <w:tabs>
                <w:tab w:val="clear" w:pos="284"/>
              </w:tabs>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Monoterapija:</w:t>
            </w:r>
          </w:p>
          <w:p w14:paraId="1C28063A">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 do 6 mg/kg dva puta dnevno</w:t>
            </w:r>
          </w:p>
          <w:p w14:paraId="40F2F286">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(12 mg/kg/dan) kod pacijenata ≥ 10 kg do &lt; 40 kg</w:t>
            </w:r>
          </w:p>
          <w:p w14:paraId="434ECB68">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 do 5 mg/kg dva puta dnevno</w:t>
            </w:r>
          </w:p>
          <w:p w14:paraId="53943301">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(10 mg/kg/dan) kod pacijenata ≥ 40 kg do &lt; 50 kg</w:t>
            </w:r>
          </w:p>
        </w:tc>
      </w:tr>
      <w:tr w14:paraId="2015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55D2A34">
            <w:pPr>
              <w:tabs>
                <w:tab w:val="clear" w:pos="284"/>
              </w:tabs>
              <w:rPr>
                <w:rFonts w:ascii="Microsoft Sans Serif" w:hAnsi="Microsoft Sans Serif" w:cs="Microsoft Sans Serif"/>
                <w:bCs/>
                <w:i/>
                <w:iCs/>
                <w:sz w:val="20"/>
                <w:szCs w:val="20"/>
                <w:lang w:val="en-GB"/>
              </w:rPr>
            </w:pPr>
          </w:p>
        </w:tc>
        <w:tc>
          <w:tcPr>
            <w:tcW w:w="3190" w:type="dxa"/>
          </w:tcPr>
          <w:p w14:paraId="1228FDF6">
            <w:pPr>
              <w:tabs>
                <w:tab w:val="clear" w:pos="284"/>
              </w:tabs>
              <w:rPr>
                <w:rFonts w:ascii="Microsoft Sans Serif" w:hAnsi="Microsoft Sans Serif" w:cs="Microsoft Sans Serif"/>
                <w:bCs/>
                <w:i/>
                <w:iCs/>
                <w:sz w:val="20"/>
                <w:szCs w:val="20"/>
                <w:lang w:val="en-GB"/>
              </w:rPr>
            </w:pPr>
          </w:p>
        </w:tc>
        <w:tc>
          <w:tcPr>
            <w:tcW w:w="3191" w:type="dxa"/>
          </w:tcPr>
          <w:p w14:paraId="762D2375">
            <w:pPr>
              <w:tabs>
                <w:tab w:val="clear" w:pos="284"/>
              </w:tabs>
              <w:rPr>
                <w:rFonts w:ascii="Microsoft Sans Serif" w:hAnsi="Microsoft Sans Serif" w:cs="Microsoft Sans Serif"/>
                <w:b/>
                <w:bCs/>
                <w:iCs/>
                <w:sz w:val="20"/>
                <w:szCs w:val="20"/>
                <w:lang w:val="en-GB"/>
              </w:rPr>
            </w:pPr>
            <w:r>
              <w:rPr>
                <w:rFonts w:ascii="Microsoft Sans Serif" w:hAnsi="Microsoft Sans Serif" w:cs="Microsoft Sans Serif"/>
                <w:b/>
                <w:bCs/>
                <w:iCs/>
                <w:sz w:val="20"/>
                <w:szCs w:val="20"/>
                <w:lang w:val="en-GB"/>
              </w:rPr>
              <w:t>Dodatna terapija:</w:t>
            </w:r>
          </w:p>
          <w:p w14:paraId="3CB634C4">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 do 6 mg/kg dva puta dnevno</w:t>
            </w:r>
          </w:p>
          <w:p w14:paraId="3ADAAED2">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(12 mg/kg/dan) kod pacijenata ≥ 10 kg do &lt; 20 kg</w:t>
            </w:r>
          </w:p>
          <w:p w14:paraId="72718E6B">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 do 5 mg/kg dva puta dnevno</w:t>
            </w:r>
          </w:p>
          <w:p w14:paraId="67328ABF">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(10 mg/kg/dan) kod pacijenata ≥ 20 kg do &lt; 30 kg</w:t>
            </w:r>
          </w:p>
          <w:p w14:paraId="49A37D97">
            <w:pPr>
              <w:tabs>
                <w:tab w:val="clear" w:pos="284"/>
              </w:tabs>
              <w:rPr>
                <w:rFonts w:ascii="Microsoft Sans Serif" w:hAnsi="Microsoft Sans Serif" w:cs="Microsoft Sans Serif"/>
                <w:bCs/>
                <w:i/>
                <w:iCs/>
                <w:sz w:val="20"/>
                <w:szCs w:val="20"/>
                <w:lang w:val="en-GB"/>
              </w:rPr>
            </w:pPr>
            <w:r>
              <w:rPr>
                <w:rFonts w:ascii="Microsoft Sans Serif" w:hAnsi="Microsoft Sans Serif" w:cs="Microsoft Sans Serif"/>
                <w:bCs/>
                <w:iCs/>
                <w:sz w:val="20"/>
                <w:szCs w:val="20"/>
                <w:lang w:val="en-GB"/>
              </w:rPr>
              <w:t>- do 4 mg/kg dva puta dnevno (8 mg/kg/dan) kod pacijenata od ≥ 30 kg do &lt; 50 kg</w:t>
            </w:r>
          </w:p>
        </w:tc>
      </w:tr>
      <w:tr w14:paraId="79AC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4D34B264">
            <w:pPr>
              <w:tabs>
                <w:tab w:val="clear" w:pos="284"/>
              </w:tabs>
              <w:rPr>
                <w:rFonts w:ascii="Microsoft Sans Serif" w:hAnsi="Microsoft Sans Serif" w:cs="Microsoft Sans Serif"/>
                <w:bCs/>
                <w:iCs/>
                <w:sz w:val="16"/>
                <w:szCs w:val="16"/>
                <w:lang w:val="en-GB"/>
              </w:rPr>
            </w:pPr>
            <w:r>
              <w:rPr>
                <w:rFonts w:ascii="Microsoft Sans Serif" w:hAnsi="Microsoft Sans Serif" w:cs="Microsoft Sans Serif"/>
                <w:bCs/>
                <w:iCs/>
                <w:sz w:val="16"/>
                <w:szCs w:val="16"/>
                <w:lang w:val="en-GB"/>
              </w:rPr>
              <w:t>* Djeca ispod 50 kg bi trebalo da započnu terapiju sa lakozamid sirupom</w:t>
            </w:r>
          </w:p>
        </w:tc>
      </w:tr>
    </w:tbl>
    <w:p w14:paraId="4A82F2E5">
      <w:pPr>
        <w:tabs>
          <w:tab w:val="clear" w:pos="284"/>
        </w:tabs>
        <w:rPr>
          <w:rFonts w:ascii="Microsoft Sans Serif" w:hAnsi="Microsoft Sans Serif" w:cs="Microsoft Sans Serif"/>
          <w:bCs/>
          <w:i/>
          <w:iCs/>
          <w:sz w:val="20"/>
          <w:szCs w:val="20"/>
          <w:lang w:val="en-GB"/>
        </w:rPr>
      </w:pPr>
    </w:p>
    <w:p w14:paraId="72E2A2AD">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Adolescenti i d</w:t>
      </w:r>
      <w:r>
        <w:rPr>
          <w:rFonts w:ascii="Microsoft Sans Serif" w:hAnsi="Microsoft Sans Serif" w:cs="Microsoft Sans Serif"/>
          <w:i/>
          <w:sz w:val="20"/>
          <w:szCs w:val="20"/>
          <w:u w:val="single"/>
          <w:lang w:val="sr-Latn-RS"/>
        </w:rPr>
        <w:t>j</w:t>
      </w:r>
      <w:r>
        <w:rPr>
          <w:rFonts w:ascii="Microsoft Sans Serif" w:hAnsi="Microsoft Sans Serif" w:cs="Microsoft Sans Serif"/>
          <w:i/>
          <w:sz w:val="20"/>
          <w:szCs w:val="20"/>
          <w:u w:val="single"/>
          <w:lang w:val="sr-Cyrl-RS"/>
        </w:rPr>
        <w:t>eca t</w:t>
      </w:r>
      <w:r>
        <w:rPr>
          <w:rFonts w:ascii="Microsoft Sans Serif" w:hAnsi="Microsoft Sans Serif" w:cs="Microsoft Sans Serif"/>
          <w:i/>
          <w:sz w:val="20"/>
          <w:szCs w:val="20"/>
          <w:u w:val="single"/>
          <w:lang w:val="sr-Latn-RS"/>
        </w:rPr>
        <w:t>j</w:t>
      </w:r>
      <w:r>
        <w:rPr>
          <w:rFonts w:ascii="Microsoft Sans Serif" w:hAnsi="Microsoft Sans Serif" w:cs="Microsoft Sans Serif"/>
          <w:i/>
          <w:sz w:val="20"/>
          <w:szCs w:val="20"/>
          <w:u w:val="single"/>
          <w:lang w:val="sr-Cyrl-RS"/>
        </w:rPr>
        <w:t xml:space="preserve">elesne mase 50 </w:t>
      </w:r>
      <w:r>
        <w:rPr>
          <w:rFonts w:ascii="Microsoft Sans Serif" w:hAnsi="Microsoft Sans Serif" w:cs="Microsoft Sans Serif"/>
          <w:i/>
          <w:sz w:val="20"/>
          <w:szCs w:val="20"/>
          <w:u w:val="single"/>
          <w:lang w:val="sr-Latn-RS"/>
        </w:rPr>
        <w:t>kg</w:t>
      </w:r>
      <w:r>
        <w:rPr>
          <w:rFonts w:ascii="Microsoft Sans Serif" w:hAnsi="Microsoft Sans Serif" w:cs="Microsoft Sans Serif"/>
          <w:i/>
          <w:sz w:val="20"/>
          <w:szCs w:val="20"/>
          <w:u w:val="single"/>
          <w:lang w:val="sr-Cyrl-RS"/>
        </w:rPr>
        <w:t xml:space="preserve"> ili više, i odrasli</w:t>
      </w:r>
    </w:p>
    <w:p w14:paraId="13A9D40F">
      <w:pPr>
        <w:tabs>
          <w:tab w:val="clear" w:pos="284"/>
        </w:tabs>
        <w:rPr>
          <w:rFonts w:ascii="Microsoft Sans Serif" w:hAnsi="Microsoft Sans Serif" w:cs="Microsoft Sans Serif"/>
          <w:bCs/>
          <w:i/>
          <w:iCs/>
          <w:sz w:val="20"/>
          <w:szCs w:val="20"/>
          <w:lang w:val="sr-Cyrl-RS"/>
        </w:rPr>
      </w:pPr>
      <w:r>
        <w:rPr>
          <w:rFonts w:ascii="Microsoft Sans Serif" w:hAnsi="Microsoft Sans Serif" w:cs="Microsoft Sans Serif"/>
          <w:bCs/>
          <w:i/>
          <w:iCs/>
          <w:sz w:val="20"/>
          <w:szCs w:val="20"/>
          <w:lang w:val="en-GB"/>
        </w:rPr>
        <w:t>Monoterapija</w:t>
      </w:r>
      <w:r>
        <w:rPr>
          <w:rFonts w:ascii="Microsoft Sans Serif" w:hAnsi="Microsoft Sans Serif" w:cs="Microsoft Sans Serif"/>
          <w:bCs/>
          <w:i/>
          <w:iCs/>
          <w:sz w:val="20"/>
          <w:szCs w:val="20"/>
          <w:lang w:val="sr-Cyrl-RS"/>
        </w:rPr>
        <w:t xml:space="preserve"> (</w:t>
      </w:r>
      <w:r>
        <w:rPr>
          <w:rFonts w:ascii="Microsoft Sans Serif" w:hAnsi="Microsoft Sans Serif" w:cs="Microsoft Sans Serif"/>
          <w:bCs/>
          <w:i/>
          <w:iCs/>
          <w:sz w:val="20"/>
          <w:szCs w:val="20"/>
          <w:lang w:val="en-GB"/>
        </w:rPr>
        <w:t>za</w:t>
      </w:r>
      <w:r>
        <w:rPr>
          <w:rFonts w:ascii="Microsoft Sans Serif" w:hAnsi="Microsoft Sans Serif" w:cs="Microsoft Sans Serif"/>
          <w:bCs/>
          <w:i/>
          <w:iCs/>
          <w:sz w:val="20"/>
          <w:szCs w:val="20"/>
          <w:lang w:val="sr-Cyrl-RS"/>
        </w:rPr>
        <w:t xml:space="preserve"> </w:t>
      </w:r>
      <w:r>
        <w:rPr>
          <w:rFonts w:ascii="Microsoft Sans Serif" w:hAnsi="Microsoft Sans Serif" w:cs="Microsoft Sans Serif"/>
          <w:bCs/>
          <w:i/>
          <w:iCs/>
          <w:sz w:val="20"/>
          <w:szCs w:val="20"/>
          <w:lang w:val="en-GB"/>
        </w:rPr>
        <w:t>terapiju</w:t>
      </w:r>
      <w:r>
        <w:rPr>
          <w:rFonts w:ascii="Microsoft Sans Serif" w:hAnsi="Microsoft Sans Serif" w:cs="Microsoft Sans Serif"/>
          <w:bCs/>
          <w:i/>
          <w:iCs/>
          <w:sz w:val="20"/>
          <w:szCs w:val="20"/>
          <w:lang w:val="sr-Cyrl-RS"/>
        </w:rPr>
        <w:t xml:space="preserve"> </w:t>
      </w:r>
      <w:r>
        <w:rPr>
          <w:rFonts w:ascii="Microsoft Sans Serif" w:hAnsi="Microsoft Sans Serif" w:cs="Microsoft Sans Serif"/>
          <w:bCs/>
          <w:i/>
          <w:iCs/>
          <w:sz w:val="20"/>
          <w:szCs w:val="20"/>
          <w:lang w:val="en-GB"/>
        </w:rPr>
        <w:t>parcijalnih</w:t>
      </w:r>
      <w:r>
        <w:rPr>
          <w:rFonts w:ascii="Microsoft Sans Serif" w:hAnsi="Microsoft Sans Serif" w:cs="Microsoft Sans Serif"/>
          <w:bCs/>
          <w:i/>
          <w:iCs/>
          <w:sz w:val="20"/>
          <w:szCs w:val="20"/>
          <w:lang w:val="sr-Cyrl-RS"/>
        </w:rPr>
        <w:t xml:space="preserve"> </w:t>
      </w:r>
      <w:r>
        <w:rPr>
          <w:rFonts w:ascii="Microsoft Sans Serif" w:hAnsi="Microsoft Sans Serif" w:cs="Microsoft Sans Serif"/>
          <w:bCs/>
          <w:i/>
          <w:iCs/>
          <w:sz w:val="20"/>
          <w:szCs w:val="20"/>
          <w:lang w:val="en-GB"/>
        </w:rPr>
        <w:t>napada</w:t>
      </w:r>
      <w:r>
        <w:rPr>
          <w:rFonts w:ascii="Microsoft Sans Serif" w:hAnsi="Microsoft Sans Serif" w:cs="Microsoft Sans Serif"/>
          <w:bCs/>
          <w:i/>
          <w:iCs/>
          <w:sz w:val="20"/>
          <w:szCs w:val="20"/>
          <w:lang w:val="sr-Cyrl-RS"/>
        </w:rPr>
        <w:t>)</w:t>
      </w:r>
    </w:p>
    <w:p w14:paraId="7538FBA4">
      <w:pPr>
        <w:tabs>
          <w:tab w:val="clear" w:pos="284"/>
        </w:tabs>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en-GB"/>
        </w:rPr>
        <w:t>Preporu</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je</w:t>
      </w:r>
      <w:r>
        <w:rPr>
          <w:rFonts w:ascii="Microsoft Sans Serif" w:hAnsi="Microsoft Sans Serif" w:cs="Microsoft Sans Serif"/>
          <w:bCs/>
          <w:iCs/>
          <w:sz w:val="20"/>
          <w:szCs w:val="20"/>
          <w:lang w:val="sr-Cyrl-RS"/>
        </w:rPr>
        <w:t xml:space="preserve"> 50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(100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koju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poslije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jedne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nedel</w:t>
      </w:r>
      <w:r>
        <w:rPr>
          <w:rFonts w:ascii="Microsoft Sans Serif" w:hAnsi="Microsoft Sans Serif" w:cs="Microsoft Sans Serif"/>
          <w:bCs/>
          <w:iCs/>
          <w:sz w:val="20"/>
          <w:szCs w:val="20"/>
          <w:lang w:val="sr-Cyrl-RS"/>
        </w:rPr>
        <w:t>ј</w:t>
      </w:r>
      <w:r>
        <w:rPr>
          <w:rFonts w:ascii="Microsoft Sans Serif" w:hAnsi="Microsoft Sans Serif" w:cs="Microsoft Sans Serif"/>
          <w:bCs/>
          <w:iCs/>
          <w:sz w:val="20"/>
          <w:szCs w:val="20"/>
          <w:lang w:val="en-GB"/>
        </w:rPr>
        <w: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treba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pove</w:t>
      </w:r>
      <w:r>
        <w:rPr>
          <w:rFonts w:ascii="Microsoft Sans Serif" w:hAnsi="Microsoft Sans Serif" w:cs="Microsoft Sans Serif"/>
          <w:bCs/>
          <w:iCs/>
          <w:sz w:val="20"/>
          <w:szCs w:val="20"/>
          <w:lang w:val="sr-Cyrl-RS"/>
        </w:rPr>
        <w:t>ć</w:t>
      </w:r>
      <w:r>
        <w:rPr>
          <w:rFonts w:ascii="Microsoft Sans Serif" w:hAnsi="Microsoft Sans Serif" w:cs="Microsoft Sans Serif"/>
          <w:bCs/>
          <w:iCs/>
          <w:sz w:val="20"/>
          <w:szCs w:val="20"/>
          <w:lang w:val="en-GB"/>
        </w:rPr>
        <w:t>ati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etnu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terapijsku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100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(200</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w:t>
      </w:r>
    </w:p>
    <w:p w14:paraId="261ACBA0">
      <w:pPr>
        <w:tabs>
          <w:tab w:val="clear" w:pos="284"/>
        </w:tabs>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en-GB"/>
        </w:rPr>
        <w:t>Terapija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lakozamidom</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tako</w:t>
      </w:r>
      <w:r>
        <w:rPr>
          <w:rFonts w:ascii="Microsoft Sans Serif" w:hAnsi="Microsoft Sans Serif" w:cs="Microsoft Sans Serif"/>
          <w:bCs/>
          <w:iCs/>
          <w:sz w:val="20"/>
          <w:szCs w:val="20"/>
          <w:lang w:val="sr-Cyrl-RS"/>
        </w:rPr>
        <w:t>đ</w:t>
      </w:r>
      <w:r>
        <w:rPr>
          <w:rFonts w:ascii="Microsoft Sans Serif" w:hAnsi="Microsoft Sans Serif" w:cs="Microsoft Sans Serif"/>
          <w:bCs/>
          <w:iCs/>
          <w:sz w:val="20"/>
          <w:szCs w:val="20"/>
          <w:lang w:val="en-GB"/>
        </w:rPr>
        <w: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mo</w:t>
      </w:r>
      <w:r>
        <w:rPr>
          <w:rFonts w:ascii="Microsoft Sans Serif" w:hAnsi="Microsoft Sans Serif" w:cs="Microsoft Sans Serif"/>
          <w:bCs/>
          <w:iCs/>
          <w:sz w:val="20"/>
          <w:szCs w:val="20"/>
          <w:lang w:val="sr-Cyrl-RS"/>
        </w:rPr>
        <w:t>ž</w:t>
      </w:r>
      <w:r>
        <w:rPr>
          <w:rFonts w:ascii="Microsoft Sans Serif" w:hAnsi="Microsoft Sans Serif" w:cs="Microsoft Sans Serif"/>
          <w:bCs/>
          <w:iCs/>
          <w:sz w:val="20"/>
          <w:szCs w:val="20"/>
          <w:lang w:val="en-GB"/>
        </w:rPr>
        <w: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dozom</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100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(200</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osnovu</w:t>
      </w:r>
      <w:r>
        <w:rPr>
          <w:rFonts w:ascii="Microsoft Sans Serif" w:hAnsi="Microsoft Sans Serif" w:cs="Microsoft Sans Serif"/>
          <w:bCs/>
          <w:iCs/>
          <w:sz w:val="20"/>
          <w:szCs w:val="20"/>
          <w:lang w:val="sr-Cyrl-RS"/>
        </w:rPr>
        <w:t xml:space="preserve"> pr</w:t>
      </w:r>
      <w:r>
        <w:rPr>
          <w:rFonts w:ascii="Microsoft Sans Serif" w:hAnsi="Microsoft Sans Serif" w:cs="Microsoft Sans Serif"/>
          <w:bCs/>
          <w:iCs/>
          <w:sz w:val="20"/>
          <w:szCs w:val="20"/>
          <w:lang w:val="en-GB"/>
        </w:rPr>
        <w:t>ocjene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ljekara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potrebnim</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smanjenjem</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napada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odnosu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potencijalna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ne</w:t>
      </w:r>
      <w:r>
        <w:rPr>
          <w:rFonts w:ascii="Microsoft Sans Serif" w:hAnsi="Microsoft Sans Serif" w:cs="Microsoft Sans Serif"/>
          <w:bCs/>
          <w:iCs/>
          <w:sz w:val="20"/>
          <w:szCs w:val="20"/>
          <w:lang w:val="sr-Cyrl-RS"/>
        </w:rPr>
        <w:t>ž</w:t>
      </w:r>
      <w:r>
        <w:rPr>
          <w:rFonts w:ascii="Microsoft Sans Serif" w:hAnsi="Microsoft Sans Serif" w:cs="Microsoft Sans Serif"/>
          <w:bCs/>
          <w:iCs/>
          <w:sz w:val="20"/>
          <w:szCs w:val="20"/>
          <w:lang w:val="en-GB"/>
        </w:rPr>
        <w:t>el</w:t>
      </w:r>
      <w:r>
        <w:rPr>
          <w:rFonts w:ascii="Microsoft Sans Serif" w:hAnsi="Microsoft Sans Serif" w:cs="Microsoft Sans Serif"/>
          <w:bCs/>
          <w:iCs/>
          <w:sz w:val="20"/>
          <w:szCs w:val="20"/>
          <w:lang w:val="sr-Cyrl-RS"/>
        </w:rPr>
        <w:t>ј</w:t>
      </w:r>
      <w:r>
        <w:rPr>
          <w:rFonts w:ascii="Microsoft Sans Serif" w:hAnsi="Microsoft Sans Serif" w:cs="Microsoft Sans Serif"/>
          <w:bCs/>
          <w:iCs/>
          <w:sz w:val="20"/>
          <w:szCs w:val="20"/>
          <w:lang w:val="en-GB"/>
        </w:rPr>
        <w:t>ena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djelovanja</w:t>
      </w:r>
      <w:r>
        <w:rPr>
          <w:rFonts w:ascii="Microsoft Sans Serif" w:hAnsi="Microsoft Sans Serif" w:cs="Microsoft Sans Serif"/>
          <w:bCs/>
          <w:iCs/>
          <w:sz w:val="20"/>
          <w:szCs w:val="20"/>
          <w:lang w:val="sr-Cyrl-RS"/>
        </w:rPr>
        <w:t>.</w:t>
      </w:r>
    </w:p>
    <w:p w14:paraId="6D027524">
      <w:pPr>
        <w:tabs>
          <w:tab w:val="clear" w:pos="284"/>
        </w:tabs>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en-GB"/>
        </w:rPr>
        <w:t>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zavisnosti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odgovora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podno</w:t>
      </w:r>
      <w:r>
        <w:rPr>
          <w:rFonts w:ascii="Microsoft Sans Serif" w:hAnsi="Microsoft Sans Serif" w:cs="Microsoft Sans Serif"/>
          <w:bCs/>
          <w:iCs/>
          <w:sz w:val="20"/>
          <w:szCs w:val="20"/>
          <w:lang w:val="sr-Cyrl-RS"/>
        </w:rPr>
        <w:t>š</w:t>
      </w:r>
      <w:r>
        <w:rPr>
          <w:rFonts w:ascii="Microsoft Sans Serif" w:hAnsi="Microsoft Sans Serif" w:cs="Microsoft Sans Serif"/>
          <w:bCs/>
          <w:iCs/>
          <w:sz w:val="20"/>
          <w:szCs w:val="20"/>
          <w:lang w:val="en-GB"/>
        </w:rPr>
        <w:t>l</w:t>
      </w:r>
      <w:r>
        <w:rPr>
          <w:rFonts w:ascii="Microsoft Sans Serif" w:hAnsi="Microsoft Sans Serif" w:cs="Microsoft Sans Serif"/>
          <w:bCs/>
          <w:iCs/>
          <w:sz w:val="20"/>
          <w:szCs w:val="20"/>
          <w:lang w:val="sr-Cyrl-RS"/>
        </w:rPr>
        <w:t>ј</w:t>
      </w:r>
      <w:r>
        <w:rPr>
          <w:rFonts w:ascii="Microsoft Sans Serif" w:hAnsi="Microsoft Sans Serif" w:cs="Microsoft Sans Serif"/>
          <w:bCs/>
          <w:iCs/>
          <w:sz w:val="20"/>
          <w:szCs w:val="20"/>
          <w:lang w:val="en-GB"/>
        </w:rPr>
        <w:t>ivosti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odr</w:t>
      </w:r>
      <w:r>
        <w:rPr>
          <w:rFonts w:ascii="Microsoft Sans Serif" w:hAnsi="Microsoft Sans Serif" w:cs="Microsoft Sans Serif"/>
          <w:bCs/>
          <w:iCs/>
          <w:sz w:val="20"/>
          <w:szCs w:val="20"/>
          <w:lang w:val="sr-Cyrl-RS"/>
        </w:rPr>
        <w:t>ž</w:t>
      </w:r>
      <w:r>
        <w:rPr>
          <w:rFonts w:ascii="Microsoft Sans Serif" w:hAnsi="Microsoft Sans Serif" w:cs="Microsoft Sans Serif"/>
          <w:bCs/>
          <w:iCs/>
          <w:sz w:val="20"/>
          <w:szCs w:val="20"/>
          <w:lang w:val="en-GB"/>
        </w:rPr>
        <w:t>avanja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svakih</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nedel</w:t>
      </w:r>
      <w:r>
        <w:rPr>
          <w:rFonts w:ascii="Microsoft Sans Serif" w:hAnsi="Microsoft Sans Serif" w:cs="Microsoft Sans Serif"/>
          <w:bCs/>
          <w:iCs/>
          <w:sz w:val="20"/>
          <w:szCs w:val="20"/>
          <w:lang w:val="sr-Cyrl-RS"/>
        </w:rPr>
        <w:t>ј</w:t>
      </w:r>
      <w:r>
        <w:rPr>
          <w:rFonts w:ascii="Microsoft Sans Serif" w:hAnsi="Microsoft Sans Serif" w:cs="Microsoft Sans Serif"/>
          <w:bCs/>
          <w:iCs/>
          <w:sz w:val="20"/>
          <w:szCs w:val="20"/>
          <w:lang w:val="en-GB"/>
        </w:rPr>
        <w:t>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mo</w:t>
      </w:r>
      <w:r>
        <w:rPr>
          <w:rFonts w:ascii="Microsoft Sans Serif" w:hAnsi="Microsoft Sans Serif" w:cs="Microsoft Sans Serif"/>
          <w:bCs/>
          <w:iCs/>
          <w:sz w:val="20"/>
          <w:szCs w:val="20"/>
          <w:lang w:val="sr-Cyrl-RS"/>
        </w:rPr>
        <w:t>ž</w:t>
      </w:r>
      <w:r>
        <w:rPr>
          <w:rFonts w:ascii="Microsoft Sans Serif" w:hAnsi="Microsoft Sans Serif" w:cs="Microsoft Sans Serif"/>
          <w:bCs/>
          <w:iCs/>
          <w:sz w:val="20"/>
          <w:szCs w:val="20"/>
          <w:lang w:val="en-GB"/>
        </w:rPr>
        <w: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pove</w:t>
      </w:r>
      <w:r>
        <w:rPr>
          <w:rFonts w:ascii="Microsoft Sans Serif" w:hAnsi="Microsoft Sans Serif" w:cs="Microsoft Sans Serif"/>
          <w:bCs/>
          <w:iCs/>
          <w:sz w:val="20"/>
          <w:szCs w:val="20"/>
          <w:lang w:val="sr-Cyrl-RS"/>
        </w:rPr>
        <w:t>ć</w:t>
      </w:r>
      <w:r>
        <w:rPr>
          <w:rFonts w:ascii="Microsoft Sans Serif" w:hAnsi="Microsoft Sans Serif" w:cs="Microsoft Sans Serif"/>
          <w:bCs/>
          <w:iCs/>
          <w:sz w:val="20"/>
          <w:szCs w:val="20"/>
          <w:lang w:val="en-GB"/>
        </w:rPr>
        <w:t>avati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za</w:t>
      </w:r>
      <w:r>
        <w:rPr>
          <w:rFonts w:ascii="Microsoft Sans Serif" w:hAnsi="Microsoft Sans Serif" w:cs="Microsoft Sans Serif"/>
          <w:bCs/>
          <w:iCs/>
          <w:sz w:val="20"/>
          <w:szCs w:val="20"/>
          <w:lang w:val="sr-Cyrl-RS"/>
        </w:rPr>
        <w:t xml:space="preserve"> 50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(100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maksimalne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preporu</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dnevne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300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(600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w:t>
      </w:r>
    </w:p>
    <w:p w14:paraId="1254D2E1">
      <w:pPr>
        <w:tabs>
          <w:tab w:val="clear" w:pos="284"/>
        </w:tabs>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en-GB"/>
        </w:rPr>
        <w:t>Kod</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pacijenata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koji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dostigli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ve</w:t>
      </w:r>
      <w:r>
        <w:rPr>
          <w:rFonts w:ascii="Microsoft Sans Serif" w:hAnsi="Microsoft Sans Serif" w:cs="Microsoft Sans Serif"/>
          <w:bCs/>
          <w:iCs/>
          <w:sz w:val="20"/>
          <w:szCs w:val="20"/>
          <w:lang w:val="sr-Cyrl-RS"/>
        </w:rPr>
        <w:t>ć</w:t>
      </w:r>
      <w:r>
        <w:rPr>
          <w:rFonts w:ascii="Microsoft Sans Serif" w:hAnsi="Microsoft Sans Serif" w:cs="Microsoft Sans Serif"/>
          <w:bCs/>
          <w:iCs/>
          <w:sz w:val="20"/>
          <w:szCs w:val="20"/>
          <w:lang w:val="en-GB"/>
        </w:rPr>
        <w:t>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200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lang w:val="sr-Cyrl-RS"/>
        </w:rPr>
        <w:t xml:space="preserve">400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koji</w:t>
      </w:r>
      <w:r>
        <w:rPr>
          <w:rFonts w:ascii="Microsoft Sans Serif" w:hAnsi="Microsoft Sans Serif" w:cs="Microsoft Sans Serif"/>
          <w:bCs/>
          <w:iCs/>
          <w:sz w:val="20"/>
          <w:szCs w:val="20"/>
          <w:lang w:val="sr-Cyrl-RS"/>
        </w:rPr>
        <w:t>ma je po</w:t>
      </w:r>
      <w:r>
        <w:rPr>
          <w:rFonts w:ascii="Microsoft Sans Serif" w:hAnsi="Microsoft Sans Serif" w:cs="Microsoft Sans Serif"/>
          <w:bCs/>
          <w:iCs/>
          <w:sz w:val="20"/>
          <w:szCs w:val="20"/>
          <w:lang w:val="en-GB"/>
        </w:rPr>
        <w:t>treba</w:t>
      </w:r>
      <w:r>
        <w:rPr>
          <w:rFonts w:ascii="Microsoft Sans Serif" w:hAnsi="Microsoft Sans Serif" w:cs="Microsoft Sans Serif"/>
          <w:bCs/>
          <w:iCs/>
          <w:sz w:val="20"/>
          <w:szCs w:val="20"/>
          <w:lang w:val="sr-Cyrl-RS"/>
        </w:rPr>
        <w:t xml:space="preserve">n </w:t>
      </w:r>
      <w:r>
        <w:rPr>
          <w:rFonts w:ascii="Microsoft Sans Serif" w:hAnsi="Microsoft Sans Serif" w:cs="Microsoft Sans Serif"/>
          <w:bCs/>
          <w:iCs/>
          <w:sz w:val="20"/>
          <w:szCs w:val="20"/>
          <w:lang w:val="en-GB"/>
        </w:rPr>
        <w:t>dodatni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antiepilepti</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ni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lijek</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treba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slijediti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dolenavedeno</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preporu</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eno</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doziranje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dodatnu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terapiju</w:t>
      </w:r>
      <w:r>
        <w:rPr>
          <w:rFonts w:ascii="Microsoft Sans Serif" w:hAnsi="Microsoft Sans Serif" w:cs="Microsoft Sans Serif"/>
          <w:bCs/>
          <w:iCs/>
          <w:sz w:val="20"/>
          <w:szCs w:val="20"/>
          <w:lang w:val="sr-Cyrl-RS"/>
        </w:rPr>
        <w:t>.</w:t>
      </w:r>
    </w:p>
    <w:p w14:paraId="5B2AAB52">
      <w:pPr>
        <w:tabs>
          <w:tab w:val="clear" w:pos="284"/>
        </w:tabs>
        <w:autoSpaceDE w:val="0"/>
        <w:autoSpaceDN w:val="0"/>
        <w:adjustRightInd w:val="0"/>
        <w:rPr>
          <w:rFonts w:ascii="Microsoft Sans Serif" w:hAnsi="Microsoft Sans Serif" w:cs="Microsoft Sans Serif"/>
          <w:i/>
          <w:iCs/>
          <w:sz w:val="20"/>
          <w:szCs w:val="20"/>
          <w:lang w:val="sr-Cyrl-RS"/>
        </w:rPr>
      </w:pPr>
    </w:p>
    <w:p w14:paraId="0EFB61BA">
      <w:pPr>
        <w:tabs>
          <w:tab w:val="clear" w:pos="284"/>
        </w:tabs>
        <w:autoSpaceDE w:val="0"/>
        <w:autoSpaceDN w:val="0"/>
        <w:adjustRightInd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rPr>
        <w:t>Dodatna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terapija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za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terapiju</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parcijalnih</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napada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ili</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za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terapiju</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primarno</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generalizovanih</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toni</w:t>
      </w:r>
      <w:r>
        <w:rPr>
          <w:rFonts w:ascii="Microsoft Sans Serif" w:hAnsi="Microsoft Sans Serif" w:cs="Microsoft Sans Serif"/>
          <w:i/>
          <w:iCs/>
          <w:sz w:val="20"/>
          <w:szCs w:val="20"/>
          <w:lang w:val="sr-Cyrl-RS"/>
        </w:rPr>
        <w:t>č</w:t>
      </w:r>
      <w:r>
        <w:rPr>
          <w:rFonts w:ascii="Microsoft Sans Serif" w:hAnsi="Microsoft Sans Serif" w:cs="Microsoft Sans Serif"/>
          <w:i/>
          <w:iCs/>
          <w:sz w:val="20"/>
          <w:szCs w:val="20"/>
        </w:rPr>
        <w:t>no</w:t>
      </w:r>
      <w:r>
        <w:rPr>
          <w:rFonts w:ascii="Microsoft Sans Serif" w:hAnsi="Microsoft Sans Serif" w:cs="Microsoft Sans Serif"/>
          <w:i/>
          <w:iCs/>
          <w:sz w:val="20"/>
          <w:szCs w:val="20"/>
          <w:lang w:val="sr-Cyrl-RS"/>
        </w:rPr>
        <w:t>-</w:t>
      </w:r>
      <w:r>
        <w:rPr>
          <w:rFonts w:ascii="Microsoft Sans Serif" w:hAnsi="Microsoft Sans Serif" w:cs="Microsoft Sans Serif"/>
          <w:i/>
          <w:iCs/>
          <w:sz w:val="20"/>
          <w:szCs w:val="20"/>
        </w:rPr>
        <w:t>kloni</w:t>
      </w:r>
      <w:r>
        <w:rPr>
          <w:rFonts w:ascii="Microsoft Sans Serif" w:hAnsi="Microsoft Sans Serif" w:cs="Microsoft Sans Serif"/>
          <w:i/>
          <w:iCs/>
          <w:sz w:val="20"/>
          <w:szCs w:val="20"/>
          <w:lang w:val="sr-Cyrl-RS"/>
        </w:rPr>
        <w:t>č</w:t>
      </w:r>
      <w:r>
        <w:rPr>
          <w:rFonts w:ascii="Microsoft Sans Serif" w:hAnsi="Microsoft Sans Serif" w:cs="Microsoft Sans Serif"/>
          <w:i/>
          <w:iCs/>
          <w:sz w:val="20"/>
          <w:szCs w:val="20"/>
        </w:rPr>
        <w:t>nih</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napada</w:t>
      </w:r>
      <w:r>
        <w:rPr>
          <w:rFonts w:ascii="Microsoft Sans Serif" w:hAnsi="Microsoft Sans Serif" w:cs="Microsoft Sans Serif"/>
          <w:i/>
          <w:iCs/>
          <w:sz w:val="20"/>
          <w:szCs w:val="20"/>
          <w:lang w:val="sr-Cyrl-RS"/>
        </w:rPr>
        <w:t>)</w:t>
      </w:r>
    </w:p>
    <w:p w14:paraId="5CE0D67D">
      <w:pPr>
        <w:tabs>
          <w:tab w:val="clear" w:pos="284"/>
        </w:tabs>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puta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(100</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nakon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nedel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pove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etnu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terapijsku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100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puta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(200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w:t>
      </w:r>
    </w:p>
    <w:p w14:paraId="389162E9">
      <w:pPr>
        <w:tabs>
          <w:tab w:val="clear" w:pos="284"/>
        </w:tabs>
        <w:autoSpaceDE w:val="0"/>
        <w:autoSpaceDN w:val="0"/>
        <w:adjustRightInd w:val="0"/>
        <w:rPr>
          <w:rFonts w:ascii="Microsoft Sans Serif" w:hAnsi="Microsoft Sans Serif" w:cs="Microsoft Sans Serif"/>
          <w:iCs/>
          <w:sz w:val="20"/>
          <w:szCs w:val="20"/>
          <w:lang w:val="sr-Latn-RS"/>
        </w:rPr>
      </w:pP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zavisnosti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odgovora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podno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ivosti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avanja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svakih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nedel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pove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avati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puta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(100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dnevne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200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dva puta na dan (400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p>
    <w:p w14:paraId="3C8C54E5">
      <w:pPr>
        <w:tabs>
          <w:tab w:val="clear" w:pos="284"/>
        </w:tabs>
        <w:autoSpaceDE w:val="0"/>
        <w:autoSpaceDN w:val="0"/>
        <w:adjustRightInd w:val="0"/>
        <w:rPr>
          <w:rFonts w:ascii="Microsoft Sans Serif" w:hAnsi="Microsoft Sans Serif" w:cs="Microsoft Sans Serif"/>
          <w:sz w:val="20"/>
          <w:szCs w:val="20"/>
          <w:lang w:val="sr-Cyrl-RS"/>
        </w:rPr>
      </w:pPr>
    </w:p>
    <w:p w14:paraId="35C8B0DA">
      <w:pPr>
        <w:tabs>
          <w:tab w:val="clear" w:pos="284"/>
        </w:tabs>
        <w:rPr>
          <w:rFonts w:ascii="Microsoft Sans Serif" w:hAnsi="Microsoft Sans Serif" w:cs="Microsoft Sans Serif"/>
          <w:bCs/>
          <w:i/>
          <w:iCs/>
          <w:sz w:val="20"/>
          <w:szCs w:val="20"/>
          <w:u w:val="single"/>
          <w:lang w:val="sr-Cyrl-RS"/>
        </w:rPr>
      </w:pPr>
      <w:r>
        <w:rPr>
          <w:rFonts w:ascii="Microsoft Sans Serif" w:hAnsi="Microsoft Sans Serif" w:cs="Microsoft Sans Serif"/>
          <w:bCs/>
          <w:i/>
          <w:iCs/>
          <w:sz w:val="20"/>
          <w:szCs w:val="20"/>
          <w:u w:val="single"/>
          <w:lang w:val="en-GB"/>
        </w:rPr>
        <w:t>Djeca</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od</w:t>
      </w:r>
      <w:r>
        <w:rPr>
          <w:rFonts w:ascii="Microsoft Sans Serif" w:hAnsi="Microsoft Sans Serif" w:cs="Microsoft Sans Serif"/>
          <w:bCs/>
          <w:i/>
          <w:iCs/>
          <w:sz w:val="20"/>
          <w:szCs w:val="20"/>
          <w:u w:val="single"/>
          <w:lang w:val="sr-Cyrl-RS"/>
        </w:rPr>
        <w:t xml:space="preserve"> 2 </w:t>
      </w:r>
      <w:r>
        <w:rPr>
          <w:rFonts w:ascii="Microsoft Sans Serif" w:hAnsi="Microsoft Sans Serif" w:cs="Microsoft Sans Serif"/>
          <w:bCs/>
          <w:i/>
          <w:iCs/>
          <w:sz w:val="20"/>
          <w:szCs w:val="20"/>
          <w:u w:val="single"/>
          <w:lang w:val="en-GB"/>
        </w:rPr>
        <w:t>godine</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i</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adolescenti</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tjelesne</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mase</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manje</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od</w:t>
      </w:r>
      <w:r>
        <w:rPr>
          <w:rFonts w:ascii="Microsoft Sans Serif" w:hAnsi="Microsoft Sans Serif" w:cs="Microsoft Sans Serif"/>
          <w:bCs/>
          <w:i/>
          <w:iCs/>
          <w:sz w:val="20"/>
          <w:szCs w:val="20"/>
          <w:u w:val="single"/>
          <w:lang w:val="sr-Cyrl-RS"/>
        </w:rPr>
        <w:t xml:space="preserve"> 50 </w:t>
      </w:r>
      <w:r>
        <w:rPr>
          <w:rFonts w:ascii="Microsoft Sans Serif" w:hAnsi="Microsoft Sans Serif" w:cs="Microsoft Sans Serif"/>
          <w:bCs/>
          <w:i/>
          <w:iCs/>
          <w:sz w:val="20"/>
          <w:szCs w:val="20"/>
          <w:u w:val="single"/>
          <w:lang w:val="en-GB"/>
        </w:rPr>
        <w:t>kg</w:t>
      </w:r>
      <w:r>
        <w:rPr>
          <w:rFonts w:ascii="Microsoft Sans Serif" w:hAnsi="Microsoft Sans Serif" w:cs="Microsoft Sans Serif"/>
          <w:bCs/>
          <w:i/>
          <w:iCs/>
          <w:sz w:val="20"/>
          <w:szCs w:val="20"/>
          <w:u w:val="single"/>
          <w:lang w:val="sr-Cyrl-RS"/>
        </w:rPr>
        <w:t>*</w:t>
      </w:r>
    </w:p>
    <w:p w14:paraId="15BCC59A">
      <w:pPr>
        <w:tabs>
          <w:tab w:val="clear" w:pos="284"/>
        </w:tabs>
        <w:rPr>
          <w:rFonts w:ascii="Microsoft Sans Serif" w:hAnsi="Microsoft Sans Serif" w:cs="Microsoft Sans Serif"/>
          <w:bCs/>
          <w:i/>
          <w:iCs/>
          <w:sz w:val="20"/>
          <w:szCs w:val="20"/>
          <w:u w:val="single"/>
          <w:lang w:val="sr-Cyrl-RS"/>
        </w:rPr>
      </w:pPr>
    </w:p>
    <w:p w14:paraId="6F3569F1">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en-GB"/>
        </w:rPr>
        <w:t>Doza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odre</w:t>
      </w:r>
      <w:r>
        <w:rPr>
          <w:rFonts w:ascii="Microsoft Sans Serif" w:hAnsi="Microsoft Sans Serif" w:cs="Microsoft Sans Serif"/>
          <w:bCs/>
          <w:iCs/>
          <w:sz w:val="20"/>
          <w:szCs w:val="20"/>
          <w:lang w:val="sr-Cyrl-RS"/>
        </w:rPr>
        <w:t>đ</w:t>
      </w:r>
      <w:r>
        <w:rPr>
          <w:rFonts w:ascii="Microsoft Sans Serif" w:hAnsi="Microsoft Sans Serif" w:cs="Microsoft Sans Serif"/>
          <w:bCs/>
          <w:iCs/>
          <w:sz w:val="20"/>
          <w:szCs w:val="20"/>
          <w:lang w:val="en-GB"/>
        </w:rPr>
        <w:t>uje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osnovu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tjelesne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mase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sv-SE"/>
        </w:rPr>
        <w:t>Zbog toga se preporučuje početak liječenja sa sirupom i po želji pređite na tablete. Prilikom propisivanja sirupa, dozu treba izraziti u militrima (zapremina) umjesto u miligramima (masa).</w:t>
      </w:r>
    </w:p>
    <w:p w14:paraId="244489A7">
      <w:pPr>
        <w:tabs>
          <w:tab w:val="clear" w:pos="284"/>
        </w:tabs>
        <w:autoSpaceDE w:val="0"/>
        <w:autoSpaceDN w:val="0"/>
        <w:adjustRightInd w:val="0"/>
        <w:rPr>
          <w:rFonts w:ascii="Microsoft Sans Serif" w:hAnsi="Microsoft Sans Serif" w:cs="Microsoft Sans Serif"/>
          <w:i/>
          <w:sz w:val="20"/>
          <w:szCs w:val="20"/>
          <w:lang w:val="sv-SE"/>
        </w:rPr>
      </w:pPr>
    </w:p>
    <w:p w14:paraId="08583515">
      <w:pPr>
        <w:tabs>
          <w:tab w:val="clear" w:pos="284"/>
        </w:tabs>
        <w:autoSpaceDE w:val="0"/>
        <w:autoSpaceDN w:val="0"/>
        <w:adjustRightInd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Monoterapija (za terapiju parcijalnih napada)</w:t>
      </w:r>
    </w:p>
    <w:p w14:paraId="00519C29">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početna doza je 1 mg/kg dva puta dnevno (2 mg/kg/dan) koju treba povećati na početnu terapijska doza od 2 mg/kg dva puta dnevno (4 mg/kg/dan) nakon jedne nedelje.</w:t>
      </w:r>
    </w:p>
    <w:p w14:paraId="7E4160C0">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zavisnosti od terapijskog odgovora i podnošljivosti, doza održavanja se može dodatno povećati za 1 mg/kg dva puta dnevno (2 mg/kg/dan) svake nedelje. Dozu treba postepeno povećavati dok se ne dobije optimalan odgovor. Treba koristiti najnižu efektivnu dozu. Kod djece tjelesne mase od 10 kg do manje od 40 kg, preporučuje se maksimalna doza do 6 mg/kg dva puta dnevno (12 mg/kg/dan). Kod djece težine od 40 do manje od 50 kg, preporučena je maksimalna doza od 5 mg/kg dva puta dnevno (10 mg/kg/dan).</w:t>
      </w:r>
    </w:p>
    <w:p w14:paraId="2D299B17">
      <w:pPr>
        <w:tabs>
          <w:tab w:val="clear" w:pos="284"/>
        </w:tabs>
        <w:autoSpaceDE w:val="0"/>
        <w:autoSpaceDN w:val="0"/>
        <w:adjustRightInd w:val="0"/>
        <w:rPr>
          <w:rFonts w:ascii="Microsoft Sans Serif" w:hAnsi="Microsoft Sans Serif" w:cs="Microsoft Sans Serif"/>
          <w:sz w:val="20"/>
          <w:szCs w:val="20"/>
          <w:lang w:val="sv-SE"/>
        </w:rPr>
      </w:pPr>
    </w:p>
    <w:p w14:paraId="2A3CC30C">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Dodatna terapija (</w:t>
      </w:r>
      <w:r>
        <w:rPr>
          <w:rFonts w:ascii="Microsoft Sans Serif" w:hAnsi="Microsoft Sans Serif" w:cs="Microsoft Sans Serif"/>
          <w:i/>
          <w:iCs/>
          <w:sz w:val="20"/>
          <w:szCs w:val="20"/>
          <w:lang w:val="sv-SE"/>
        </w:rPr>
        <w:t>za terapiju primarnih generalizovanih tonično-kloničnih napada</w:t>
      </w:r>
      <w:r>
        <w:rPr>
          <w:rFonts w:ascii="Microsoft Sans Serif" w:hAnsi="Microsoft Sans Serif" w:cs="Microsoft Sans Serif"/>
          <w:i/>
          <w:sz w:val="20"/>
          <w:szCs w:val="20"/>
          <w:lang w:val="sv-SE"/>
        </w:rPr>
        <w:t xml:space="preserve"> od 4. godine starosti</w:t>
      </w:r>
      <w:r>
        <w:rPr>
          <w:rFonts w:ascii="Microsoft Sans Serif" w:hAnsi="Microsoft Sans Serif" w:cs="Microsoft Sans Serif"/>
          <w:i/>
          <w:iCs/>
          <w:sz w:val="20"/>
          <w:szCs w:val="20"/>
          <w:lang w:val="sv-SE"/>
        </w:rPr>
        <w:t xml:space="preserve"> ili za terapiju parcijalnih napada </w:t>
      </w:r>
      <w:r>
        <w:rPr>
          <w:rFonts w:ascii="Microsoft Sans Serif" w:hAnsi="Microsoft Sans Serif" w:cs="Microsoft Sans Serif"/>
          <w:i/>
          <w:sz w:val="20"/>
          <w:szCs w:val="20"/>
          <w:lang w:val="sv-SE"/>
        </w:rPr>
        <w:t>od 2 godine starosti</w:t>
      </w:r>
      <w:r>
        <w:rPr>
          <w:rFonts w:ascii="Microsoft Sans Serif" w:hAnsi="Microsoft Sans Serif" w:cs="Microsoft Sans Serif"/>
          <w:sz w:val="20"/>
          <w:szCs w:val="20"/>
          <w:lang w:val="sv-SE"/>
        </w:rPr>
        <w:t>)</w:t>
      </w:r>
    </w:p>
    <w:p w14:paraId="1F189ACE">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početna doza je 1 mg/kg dva puta dnevno (2 mg/kg/dan) koju treba povećati na početnu terapijsku dozu od 2 mg/kg dva puta dnevno (4 mg/kg/dan) nakon jedne nedelje.</w:t>
      </w:r>
    </w:p>
    <w:p w14:paraId="3D5780B0">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zavisnosti od odgovora i podnošljivosti, doza održavanja se može dodatno povećati za 1 mg/kg dva puta dnevno (2 mg/kg/dan) svake nedelje. Dozu treba postepeno prilagođavati dok se ne dobije optimalan terapijski odgovor. Treba koristiti najnižu efektivnu dozu. Zbog povećanog klirensa u poređenju sa odraslima, kod djece težine od 10 kg do manje od 20 kg preporučuje se maksimalna doza do 6 mg/kg dva puta dnevno (12 mg/kg/dan). Kod djece težine od 20 do 30 kg, preporučuje se maksimalna doza od 5 mg/kg dva puta dnevno (10 mg/kg/dan) i kod djece težine od 30 do ispod 50 kg, preporučuje se maksimalna doza od 4 mg/kg dva puta dnevno (8 mg/kg/dan), iako je u otvorenim ispitivanjima (pogledati dijelove 4.8 i 5.2), doza do 6 mg/kg dva puta dnevno (12 mg/kg/dan) primjenjena kod malog broja djece iz ove posljednje grupe.</w:t>
      </w:r>
    </w:p>
    <w:p w14:paraId="4B0DD66E">
      <w:pPr>
        <w:tabs>
          <w:tab w:val="clear" w:pos="284"/>
        </w:tabs>
        <w:autoSpaceDE w:val="0"/>
        <w:autoSpaceDN w:val="0"/>
        <w:adjustRightInd w:val="0"/>
        <w:rPr>
          <w:rFonts w:ascii="Microsoft Sans Serif" w:hAnsi="Microsoft Sans Serif" w:cs="Microsoft Sans Serif"/>
          <w:sz w:val="20"/>
          <w:szCs w:val="20"/>
          <w:lang w:val="sv-SE"/>
        </w:rPr>
      </w:pPr>
    </w:p>
    <w:p w14:paraId="6EA19D45">
      <w:pPr>
        <w:tabs>
          <w:tab w:val="clear" w:pos="284"/>
        </w:tabs>
        <w:autoSpaceDE w:val="0"/>
        <w:autoSpaceDN w:val="0"/>
        <w:adjustRightInd w:val="0"/>
        <w:jc w:val="left"/>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Započinjanje liječenja lakozamidom udarnom dozom (početna monoterapija ili prelazak na monoterapiju za liječenje parcijalnih napada ili pomoćna terapija za liječenje parcijalnih napada ili pomoćna terapija za liječenje primarno generalizovanih tonično-kloničnih napada)</w:t>
      </w:r>
    </w:p>
    <w:p w14:paraId="491B563A">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Adolescenati i djeca tjelesne mase 50 kg i više liječenje lakozamidom takođe mogu započeti jednokratnom udarnom dozom od 200 mg, a poslije približno 12 sati slijedi doza održavanja u režimu od 100 mg dva puta na dan (200 mg/dan). Naknadna prilagođavanja doze treba izvršiti prema individualnom odgovoru i 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kako je gore opisano. Sa udarnom dozom može se započeti kod pacijenata u situacijama kada ljekar procijeni da je opravdano brzo postizanje koncentracije lakozamida u plazmi u stanju ravnoteže i terapijsk</w:t>
      </w:r>
      <w:r>
        <w:rPr>
          <w:rFonts w:ascii="Microsoft Sans Serif" w:hAnsi="Microsoft Sans Serif" w:cs="Microsoft Sans Serif"/>
          <w:sz w:val="20"/>
          <w:szCs w:val="20"/>
          <w:lang w:val="sr-Cyrl-RS"/>
        </w:rPr>
        <w:t>og</w:t>
      </w:r>
      <w:r>
        <w:rPr>
          <w:rFonts w:ascii="Microsoft Sans Serif" w:hAnsi="Microsoft Sans Serif" w:cs="Microsoft Sans Serif"/>
          <w:sz w:val="20"/>
          <w:szCs w:val="20"/>
          <w:lang w:val="sv-SE"/>
        </w:rPr>
        <w:t xml:space="preserve"> efek</w:t>
      </w:r>
      <w:r>
        <w:rPr>
          <w:rFonts w:ascii="Microsoft Sans Serif" w:hAnsi="Microsoft Sans Serif" w:cs="Microsoft Sans Serif"/>
          <w:sz w:val="20"/>
          <w:szCs w:val="20"/>
          <w:lang w:val="sr-Cyrl-RS"/>
        </w:rPr>
        <w:t>ta</w:t>
      </w:r>
      <w:r>
        <w:rPr>
          <w:rFonts w:ascii="Microsoft Sans Serif" w:hAnsi="Microsoft Sans Serif" w:cs="Microsoft Sans Serif"/>
          <w:sz w:val="20"/>
          <w:szCs w:val="20"/>
          <w:lang w:val="sv-SE"/>
        </w:rPr>
        <w:t>. Dozu treba primjenjivati pod nadzorom ljekara i uzeti u obzir potencijalnu povećanu incidencu</w:t>
      </w:r>
      <w:r>
        <w:rPr>
          <w:rFonts w:ascii="Microsoft Sans Serif" w:hAnsi="Microsoft Sans Serif" w:cs="Microsoft Sans Serif"/>
          <w:sz w:val="20"/>
          <w:szCs w:val="20"/>
          <w:lang w:val="sr-Cyrl-RS"/>
        </w:rPr>
        <w:t xml:space="preserve"> ozbilјnih srčanih aritmija i</w:t>
      </w:r>
      <w:r>
        <w:rPr>
          <w:rFonts w:ascii="Microsoft Sans Serif" w:hAnsi="Microsoft Sans Serif" w:cs="Microsoft Sans Serif"/>
          <w:sz w:val="20"/>
          <w:szCs w:val="20"/>
          <w:lang w:val="sv-SE"/>
        </w:rPr>
        <w:t xml:space="preserv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enih dejstava centralnog nervnog sistema (pogledati dio 4.8). Primjena udarne doze nije proučavana u akutnim stanjima kao što je </w:t>
      </w:r>
      <w:r>
        <w:rPr>
          <w:rFonts w:ascii="Microsoft Sans Serif" w:hAnsi="Microsoft Sans Serif" w:cs="Microsoft Sans Serif"/>
          <w:i/>
          <w:sz w:val="20"/>
          <w:szCs w:val="20"/>
          <w:lang w:val="hr-BA"/>
        </w:rPr>
        <w:t>status epilepticus</w:t>
      </w:r>
      <w:r>
        <w:rPr>
          <w:rFonts w:ascii="Microsoft Sans Serif" w:hAnsi="Microsoft Sans Serif" w:cs="Microsoft Sans Serif"/>
          <w:sz w:val="20"/>
          <w:szCs w:val="20"/>
          <w:lang w:val="sv-SE"/>
        </w:rPr>
        <w:t xml:space="preserve">. </w:t>
      </w:r>
    </w:p>
    <w:p w14:paraId="38C7DA25">
      <w:pPr>
        <w:tabs>
          <w:tab w:val="clear" w:pos="284"/>
        </w:tabs>
        <w:autoSpaceDE w:val="0"/>
        <w:autoSpaceDN w:val="0"/>
        <w:adjustRightInd w:val="0"/>
        <w:rPr>
          <w:rFonts w:ascii="Microsoft Sans Serif" w:hAnsi="Microsoft Sans Serif" w:cs="Microsoft Sans Serif"/>
          <w:sz w:val="20"/>
          <w:szCs w:val="20"/>
          <w:lang w:val="sv-SE"/>
        </w:rPr>
      </w:pPr>
    </w:p>
    <w:p w14:paraId="66088692">
      <w:pPr>
        <w:tabs>
          <w:tab w:val="clear" w:pos="284"/>
        </w:tabs>
        <w:rPr>
          <w:rFonts w:ascii="Microsoft Sans Serif" w:hAnsi="Microsoft Sans Serif" w:cs="Microsoft Sans Serif"/>
          <w:i/>
          <w:iCs/>
          <w:sz w:val="20"/>
          <w:szCs w:val="20"/>
          <w:lang w:val="sr-Latn-RS"/>
        </w:rPr>
      </w:pPr>
      <w:r>
        <w:rPr>
          <w:rFonts w:ascii="Microsoft Sans Serif" w:hAnsi="Microsoft Sans Serif" w:cs="Microsoft Sans Serif"/>
          <w:i/>
          <w:iCs/>
          <w:sz w:val="20"/>
          <w:szCs w:val="20"/>
          <w:lang w:val="sr-Cyrl-RS"/>
        </w:rPr>
        <w:t>Prekid terapije</w:t>
      </w:r>
    </w:p>
    <w:p w14:paraId="6060BB1A">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Ako treba prekinuti primjenu lakozamida, preporučeno je </w:t>
      </w:r>
      <w:r>
        <w:rPr>
          <w:rFonts w:ascii="Microsoft Sans Serif" w:hAnsi="Microsoft Sans Serif" w:cs="Microsoft Sans Serif"/>
          <w:iCs/>
          <w:sz w:val="20"/>
          <w:szCs w:val="20"/>
          <w:lang w:val="sr-Latn-RS"/>
        </w:rPr>
        <w:t>post</w:t>
      </w:r>
      <w:r>
        <w:rPr>
          <w:rFonts w:ascii="Microsoft Sans Serif" w:hAnsi="Microsoft Sans Serif" w:cs="Microsoft Sans Serif"/>
          <w:iCs/>
          <w:sz w:val="20"/>
          <w:szCs w:val="20"/>
          <w:lang w:val="sr-Cyrl-RS"/>
        </w:rPr>
        <w:t>epeno</w:t>
      </w:r>
      <w:r>
        <w:rPr>
          <w:rFonts w:ascii="Microsoft Sans Serif" w:hAnsi="Microsoft Sans Serif" w:cs="Microsoft Sans Serif"/>
          <w:iCs/>
          <w:sz w:val="20"/>
          <w:szCs w:val="20"/>
          <w:lang w:val="sr-Latn-RS"/>
        </w:rPr>
        <w:t xml:space="preserve"> smanjenje doze, u </w:t>
      </w:r>
      <w:r>
        <w:rPr>
          <w:rFonts w:ascii="Microsoft Sans Serif" w:hAnsi="Microsoft Sans Serif" w:cs="Microsoft Sans Serif"/>
          <w:iCs/>
          <w:sz w:val="20"/>
          <w:szCs w:val="20"/>
          <w:lang w:val="sr-Cyrl-RS"/>
        </w:rPr>
        <w:t>nedelјnim</w:t>
      </w:r>
      <w:r>
        <w:rPr>
          <w:rFonts w:ascii="Microsoft Sans Serif" w:hAnsi="Microsoft Sans Serif" w:cs="Microsoft Sans Serif"/>
          <w:iCs/>
          <w:sz w:val="20"/>
          <w:szCs w:val="20"/>
          <w:lang w:val="sr-Latn-RS"/>
        </w:rPr>
        <w:t xml:space="preserve"> koracima od 4 mg/kg/dan (</w:t>
      </w:r>
      <w:r>
        <w:rPr>
          <w:rFonts w:ascii="Microsoft Sans Serif" w:hAnsi="Microsoft Sans Serif" w:cs="Microsoft Sans Serif"/>
          <w:iCs/>
          <w:sz w:val="20"/>
          <w:szCs w:val="20"/>
          <w:lang w:val="sr-Cyrl-RS"/>
        </w:rPr>
        <w:t>kod pacijenata</w:t>
      </w:r>
      <w:r>
        <w:rPr>
          <w:rFonts w:ascii="Microsoft Sans Serif" w:hAnsi="Microsoft Sans Serif" w:cs="Microsoft Sans Serif"/>
          <w:iCs/>
          <w:sz w:val="20"/>
          <w:szCs w:val="20"/>
          <w:lang w:val="sr-Latn-RS"/>
        </w:rPr>
        <w:t xml:space="preserve"> tjelesn</w:t>
      </w:r>
      <w:r>
        <w:rPr>
          <w:rFonts w:ascii="Microsoft Sans Serif" w:hAnsi="Microsoft Sans Serif" w:cs="Microsoft Sans Serif"/>
          <w:iCs/>
          <w:sz w:val="20"/>
          <w:szCs w:val="20"/>
          <w:lang w:val="sr-Cyrl-RS"/>
        </w:rPr>
        <w:t>e mase</w:t>
      </w:r>
      <w:r>
        <w:rPr>
          <w:rFonts w:ascii="Microsoft Sans Serif" w:hAnsi="Microsoft Sans Serif" w:cs="Microsoft Sans Serif"/>
          <w:iCs/>
          <w:sz w:val="20"/>
          <w:szCs w:val="20"/>
          <w:lang w:val="sr-Latn-RS"/>
        </w:rPr>
        <w:t xml:space="preserve"> manj</w:t>
      </w:r>
      <w:r>
        <w:rPr>
          <w:rFonts w:ascii="Microsoft Sans Serif" w:hAnsi="Microsoft Sans Serif" w:cs="Microsoft Sans Serif"/>
          <w:iCs/>
          <w:sz w:val="20"/>
          <w:szCs w:val="20"/>
          <w:lang w:val="sr-Cyrl-RS"/>
        </w:rPr>
        <w:t>e</w:t>
      </w:r>
      <w:r>
        <w:rPr>
          <w:rFonts w:ascii="Microsoft Sans Serif" w:hAnsi="Microsoft Sans Serif" w:cs="Microsoft Sans Serif"/>
          <w:iCs/>
          <w:sz w:val="20"/>
          <w:szCs w:val="20"/>
          <w:lang w:val="sr-Latn-RS"/>
        </w:rPr>
        <w:t xml:space="preserve"> od 50 kg) ili za 200 mg/dan (</w:t>
      </w:r>
      <w:r>
        <w:rPr>
          <w:rFonts w:ascii="Microsoft Sans Serif" w:hAnsi="Microsoft Sans Serif" w:cs="Microsoft Sans Serif"/>
          <w:iCs/>
          <w:sz w:val="20"/>
          <w:szCs w:val="20"/>
          <w:lang w:val="sr-Cyrl-RS"/>
        </w:rPr>
        <w:t>kod pacijenata</w:t>
      </w:r>
      <w:r>
        <w:rPr>
          <w:rFonts w:ascii="Microsoft Sans Serif" w:hAnsi="Microsoft Sans Serif" w:cs="Microsoft Sans Serif"/>
          <w:iCs/>
          <w:sz w:val="20"/>
          <w:szCs w:val="20"/>
          <w:lang w:val="sr-Latn-RS"/>
        </w:rPr>
        <w:t xml:space="preserve"> tjelesn</w:t>
      </w:r>
      <w:r>
        <w:rPr>
          <w:rFonts w:ascii="Microsoft Sans Serif" w:hAnsi="Microsoft Sans Serif" w:cs="Microsoft Sans Serif"/>
          <w:iCs/>
          <w:sz w:val="20"/>
          <w:szCs w:val="20"/>
          <w:lang w:val="sr-Cyrl-RS"/>
        </w:rPr>
        <w:t>e</w:t>
      </w:r>
      <w:r>
        <w:rPr>
          <w:rFonts w:ascii="Microsoft Sans Serif" w:hAnsi="Microsoft Sans Serif" w:cs="Microsoft Sans Serif"/>
          <w:iCs/>
          <w:sz w:val="20"/>
          <w:szCs w:val="20"/>
          <w:lang w:val="sr-Latn-RS"/>
        </w:rPr>
        <w:t xml:space="preserve"> </w:t>
      </w:r>
      <w:r>
        <w:rPr>
          <w:rFonts w:ascii="Microsoft Sans Serif" w:hAnsi="Microsoft Sans Serif" w:cs="Microsoft Sans Serif"/>
          <w:iCs/>
          <w:sz w:val="20"/>
          <w:szCs w:val="20"/>
          <w:lang w:val="sr-Cyrl-RS"/>
        </w:rPr>
        <w:t>mase</w:t>
      </w:r>
      <w:r>
        <w:rPr>
          <w:rFonts w:ascii="Microsoft Sans Serif" w:hAnsi="Microsoft Sans Serif" w:cs="Microsoft Sans Serif"/>
          <w:iCs/>
          <w:sz w:val="20"/>
          <w:szCs w:val="20"/>
          <w:lang w:val="sr-Latn-RS"/>
        </w:rPr>
        <w:t xml:space="preserve"> od 50 kg ili više) </w:t>
      </w:r>
      <w:r>
        <w:rPr>
          <w:rFonts w:ascii="Microsoft Sans Serif" w:hAnsi="Microsoft Sans Serif" w:cs="Microsoft Sans Serif"/>
          <w:iCs/>
          <w:sz w:val="20"/>
          <w:szCs w:val="20"/>
          <w:lang w:val="sr-Cyrl-RS"/>
        </w:rPr>
        <w:t>kod pacijenata</w:t>
      </w:r>
      <w:r>
        <w:rPr>
          <w:rFonts w:ascii="Microsoft Sans Serif" w:hAnsi="Microsoft Sans Serif" w:cs="Microsoft Sans Serif"/>
          <w:iCs/>
          <w:sz w:val="20"/>
          <w:szCs w:val="20"/>
          <w:lang w:val="sr-Latn-RS"/>
        </w:rPr>
        <w:t xml:space="preserve">  koji su postigli dozu lakozamida ≥ 6 mg/kg/dan, odnosno ≥ 300 mg/dan. Sporije smanjivanje doze u</w:t>
      </w:r>
      <w:r>
        <w:rPr>
          <w:rFonts w:ascii="Microsoft Sans Serif" w:hAnsi="Microsoft Sans Serif" w:cs="Microsoft Sans Serif"/>
          <w:iCs/>
          <w:sz w:val="20"/>
          <w:szCs w:val="20"/>
          <w:lang w:val="sr-Cyrl-RS"/>
        </w:rPr>
        <w:t xml:space="preserve"> nedelјnim</w:t>
      </w:r>
      <w:r>
        <w:rPr>
          <w:rFonts w:ascii="Microsoft Sans Serif" w:hAnsi="Microsoft Sans Serif" w:cs="Microsoft Sans Serif"/>
          <w:iCs/>
          <w:sz w:val="20"/>
          <w:szCs w:val="20"/>
          <w:lang w:val="sr-Latn-RS"/>
        </w:rPr>
        <w:t xml:space="preserve"> koracima od 2 mg/kg/dan ili 100 mg/dan može se razmotriti, ako je medicinski potrebno</w:t>
      </w:r>
    </w:p>
    <w:p w14:paraId="01A53ECB">
      <w:pPr>
        <w:tabs>
          <w:tab w:val="clear" w:pos="284"/>
        </w:tabs>
        <w:rPr>
          <w:rFonts w:ascii="Microsoft Sans Serif" w:hAnsi="Microsoft Sans Serif" w:cs="Microsoft Sans Serif"/>
          <w:iCs/>
          <w:sz w:val="20"/>
          <w:szCs w:val="20"/>
          <w:lang w:val="sr-Latn-RS"/>
        </w:rPr>
      </w:pPr>
      <w:r>
        <w:rPr>
          <w:rFonts w:ascii="Microsoft Sans Serif" w:hAnsi="Microsoft Sans Serif" w:cs="Microsoft Sans Serif"/>
          <w:sz w:val="20"/>
          <w:szCs w:val="20"/>
          <w:lang w:val="sr-Cyrl-RS"/>
        </w:rPr>
        <w:t>Kod pacijenata koji razviju ozbilјnu srčanu aritmiju, potrebno je ispitati odnos kliničke koristi i rizika i ukoliko je potrebno prekinuti upotrebu lakozamida.</w:t>
      </w:r>
    </w:p>
    <w:p w14:paraId="3B6692F1">
      <w:pPr>
        <w:tabs>
          <w:tab w:val="clear" w:pos="284"/>
        </w:tabs>
        <w:autoSpaceDE w:val="0"/>
        <w:autoSpaceDN w:val="0"/>
        <w:adjustRightInd w:val="0"/>
        <w:rPr>
          <w:rFonts w:ascii="Microsoft Sans Serif" w:hAnsi="Microsoft Sans Serif" w:cs="Microsoft Sans Serif"/>
          <w:sz w:val="20"/>
          <w:szCs w:val="20"/>
          <w:u w:val="single"/>
          <w:lang w:val="sr-Latn-RS"/>
        </w:rPr>
      </w:pPr>
    </w:p>
    <w:p w14:paraId="691FECEF">
      <w:pPr>
        <w:tabs>
          <w:tab w:val="clear" w:pos="284"/>
        </w:tabs>
        <w:autoSpaceDE w:val="0"/>
        <w:autoSpaceDN w:val="0"/>
        <w:adjustRightInd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Posebne populacije</w:t>
      </w:r>
    </w:p>
    <w:p w14:paraId="08D179C6">
      <w:pPr>
        <w:tabs>
          <w:tab w:val="clear" w:pos="284"/>
        </w:tabs>
        <w:autoSpaceDE w:val="0"/>
        <w:autoSpaceDN w:val="0"/>
        <w:adjustRightInd w:val="0"/>
        <w:rPr>
          <w:rFonts w:ascii="Microsoft Sans Serif" w:hAnsi="Microsoft Sans Serif" w:cs="Microsoft Sans Serif"/>
          <w:sz w:val="20"/>
          <w:szCs w:val="20"/>
          <w:u w:val="single"/>
          <w:lang w:val="sr-Latn-RS"/>
        </w:rPr>
      </w:pPr>
    </w:p>
    <w:p w14:paraId="67395873">
      <w:pPr>
        <w:tabs>
          <w:tab w:val="clear" w:pos="284"/>
        </w:tabs>
        <w:autoSpaceDE w:val="0"/>
        <w:autoSpaceDN w:val="0"/>
        <w:adjustRightInd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Stariji pacijenti (iznad 65 godina života)</w:t>
      </w:r>
    </w:p>
    <w:p w14:paraId="1E032479">
      <w:pPr>
        <w:tabs>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starijih pacijenata nije potrebno smanjivati dozu. Kod starijih pacijenata treba uzeti u obzir 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bubrežnog klirensa povezano</w:t>
      </w:r>
      <w:r>
        <w:rPr>
          <w:rFonts w:ascii="Microsoft Sans Serif" w:hAnsi="Microsoft Sans Serif" w:cs="Microsoft Sans Serif"/>
          <w:sz w:val="20"/>
          <w:szCs w:val="20"/>
          <w:lang w:val="sr-Cyrl-RS"/>
        </w:rPr>
        <w:t>g</w:t>
      </w:r>
      <w:r>
        <w:rPr>
          <w:rFonts w:ascii="Microsoft Sans Serif" w:hAnsi="Microsoft Sans Serif" w:cs="Microsoft Sans Serif"/>
          <w:sz w:val="20"/>
          <w:szCs w:val="20"/>
          <w:lang w:val="sr-Latn-RS"/>
        </w:rPr>
        <w:t xml:space="preserve"> sa godinama i povećanje vrednosti PIK-a (vidjeti sljedeći pasus „Oštećenje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funkcije bubrega” i dio 5.2).</w:t>
      </w:r>
    </w:p>
    <w:p w14:paraId="799AF09F">
      <w:pPr>
        <w:tabs>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Iskustvo sa lakozamidom kod starijih pacijenata sa epilepsijom je ograničeno, naročito kod doza većih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400 mg/dan (pogledati dio 4.4, 4.8, 5.1).</w:t>
      </w:r>
    </w:p>
    <w:p w14:paraId="480E0C95">
      <w:pPr>
        <w:tabs>
          <w:tab w:val="clear" w:pos="284"/>
        </w:tabs>
        <w:autoSpaceDE w:val="0"/>
        <w:autoSpaceDN w:val="0"/>
        <w:adjustRightInd w:val="0"/>
        <w:rPr>
          <w:rFonts w:ascii="Microsoft Sans Serif" w:hAnsi="Microsoft Sans Serif" w:cs="Microsoft Sans Serif"/>
          <w:sz w:val="20"/>
          <w:szCs w:val="20"/>
          <w:lang w:val="sr-Latn-RS"/>
        </w:rPr>
      </w:pPr>
    </w:p>
    <w:p w14:paraId="5E057DAE">
      <w:pPr>
        <w:tabs>
          <w:tab w:val="clear" w:pos="284"/>
        </w:tabs>
        <w:autoSpaceDE w:val="0"/>
        <w:autoSpaceDN w:val="0"/>
        <w:adjustRightInd w:val="0"/>
        <w:rPr>
          <w:rFonts w:ascii="Microsoft Sans Serif" w:hAnsi="Microsoft Sans Serif" w:cs="Microsoft Sans Serif"/>
          <w:i/>
          <w:iCs/>
          <w:sz w:val="20"/>
          <w:szCs w:val="20"/>
          <w:lang w:val="sr-Latn-RS"/>
        </w:rPr>
      </w:pPr>
      <w:r>
        <w:rPr>
          <w:rFonts w:ascii="Microsoft Sans Serif" w:hAnsi="Microsoft Sans Serif" w:cs="Microsoft Sans Serif"/>
          <w:i/>
          <w:iCs/>
          <w:sz w:val="20"/>
          <w:szCs w:val="20"/>
          <w:lang w:val="sr-Latn-RS"/>
        </w:rPr>
        <w:t>Oštećenje funkcije bubrega</w:t>
      </w:r>
    </w:p>
    <w:p w14:paraId="13B355FA">
      <w:pPr>
        <w:tabs>
          <w:tab w:val="clear" w:pos="284"/>
        </w:tabs>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Latn-RS"/>
        </w:rPr>
        <w:t>Kod odraslih i pedijatrijskih pacijenata sa blagim i umjerenim oštećenjem funkcije bubrega ne 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r-Latn-RS"/>
        </w:rPr>
        <w:t>prilagođavati dozu (CL</w:t>
      </w:r>
      <w:r>
        <w:rPr>
          <w:rFonts w:ascii="Microsoft Sans Serif" w:hAnsi="Microsoft Sans Serif" w:cs="Microsoft Sans Serif"/>
          <w:iCs/>
          <w:sz w:val="20"/>
          <w:szCs w:val="20"/>
          <w:vertAlign w:val="subscript"/>
          <w:lang w:val="sr-Latn-RS"/>
        </w:rPr>
        <w:t>CR</w:t>
      </w:r>
      <w:r>
        <w:rPr>
          <w:rFonts w:ascii="Microsoft Sans Serif" w:hAnsi="Microsoft Sans Serif" w:cs="Microsoft Sans Serif"/>
          <w:iCs/>
          <w:sz w:val="20"/>
          <w:szCs w:val="20"/>
          <w:lang w:val="sr-Latn-RS"/>
        </w:rPr>
        <w:t xml:space="preserve">&gt; 30 ml/min). Kod pedijatrijskih pacijenata tjelesne mase 50 </w:t>
      </w:r>
      <w:r>
        <w:rPr>
          <w:rFonts w:ascii="Microsoft Sans Serif" w:hAnsi="Microsoft Sans Serif" w:cs="Microsoft Sans Serif"/>
          <w:iCs/>
          <w:sz w:val="20"/>
          <w:szCs w:val="20"/>
          <w:lang w:val="sr-Cyrl-RS"/>
        </w:rPr>
        <w:t>kg</w:t>
      </w:r>
      <w:r>
        <w:rPr>
          <w:rFonts w:ascii="Microsoft Sans Serif" w:hAnsi="Microsoft Sans Serif" w:cs="Microsoft Sans Serif"/>
          <w:iCs/>
          <w:sz w:val="20"/>
          <w:szCs w:val="20"/>
          <w:lang w:val="sr-Latn-RS"/>
        </w:rPr>
        <w:t xml:space="preserve"> ili više i 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r-Latn-RS"/>
        </w:rPr>
        <w:t>odraslih pacijenata sa blagim ili umjerenim oštećenjem funkcije bubrega može se razmotriti mogućnost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hr-BA"/>
        </w:rPr>
        <w:t xml:space="preserve">primjene </w:t>
      </w:r>
      <w:r>
        <w:rPr>
          <w:rFonts w:ascii="Microsoft Sans Serif" w:hAnsi="Microsoft Sans Serif" w:cs="Microsoft Sans Serif"/>
          <w:iCs/>
          <w:sz w:val="20"/>
          <w:szCs w:val="20"/>
          <w:lang w:val="sr-Latn-RS"/>
        </w:rPr>
        <w:t>udarne doze od 200 mg, ali dal</w:t>
      </w:r>
      <w:r>
        <w:rPr>
          <w:rFonts w:ascii="Microsoft Sans Serif" w:hAnsi="Microsoft Sans Serif" w:cs="Microsoft Sans Serif"/>
          <w:iCs/>
          <w:sz w:val="20"/>
          <w:szCs w:val="20"/>
        </w:rPr>
        <w:t>ј</w:t>
      </w:r>
      <w:r>
        <w:rPr>
          <w:rFonts w:ascii="Microsoft Sans Serif" w:hAnsi="Microsoft Sans Serif" w:cs="Microsoft Sans Serif"/>
          <w:iCs/>
          <w:sz w:val="20"/>
          <w:szCs w:val="20"/>
          <w:lang w:val="sr-Latn-RS"/>
        </w:rPr>
        <w:t>u titraciju doze (&gt;200 mg dnevno) treba sprovoditi sa oprezom.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vi</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bubrega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CL</w:t>
      </w:r>
      <w:r>
        <w:rPr>
          <w:rFonts w:ascii="Microsoft Sans Serif" w:hAnsi="Microsoft Sans Serif" w:cs="Microsoft Sans Serif"/>
          <w:iCs/>
          <w:sz w:val="20"/>
          <w:szCs w:val="20"/>
          <w:vertAlign w:val="subscript"/>
        </w:rPr>
        <w:t>CR</w:t>
      </w:r>
      <w:r>
        <w:rPr>
          <w:rFonts w:ascii="Microsoft Sans Serif" w:hAnsi="Microsoft Sans Serif" w:cs="Microsoft Sans Serif"/>
          <w:iCs/>
          <w:sz w:val="20"/>
          <w:szCs w:val="20"/>
          <w:lang w:val="sr-Cyrl-RS"/>
        </w:rPr>
        <w:t xml:space="preserve"> ≤ 30 </w:t>
      </w:r>
      <w:r>
        <w:rPr>
          <w:rFonts w:ascii="Microsoft Sans Serif" w:hAnsi="Microsoft Sans Serif" w:cs="Microsoft Sans Serif"/>
          <w:iCs/>
          <w:sz w:val="20"/>
          <w:szCs w:val="20"/>
        </w:rPr>
        <w:t>ml</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min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mk-MK"/>
        </w:rPr>
        <w:t>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terminalnim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stadijumom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bolesti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250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titracija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sprovesti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oprezom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Ako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indikovana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udarna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koristiti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inicijalnu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100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poslije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slijedi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re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doziranja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puta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dnevno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prvoj</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nedel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bubrega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CL</w:t>
      </w:r>
      <w:r>
        <w:rPr>
          <w:rFonts w:ascii="Microsoft Sans Serif" w:hAnsi="Microsoft Sans Serif" w:cs="Microsoft Sans Serif"/>
          <w:iCs/>
          <w:sz w:val="20"/>
          <w:szCs w:val="20"/>
          <w:vertAlign w:val="subscript"/>
        </w:rPr>
        <w:t>CR</w:t>
      </w:r>
      <w:r>
        <w:rPr>
          <w:rFonts w:ascii="Microsoft Sans Serif" w:hAnsi="Microsoft Sans Serif" w:cs="Microsoft Sans Serif"/>
          <w:iCs/>
          <w:sz w:val="20"/>
          <w:szCs w:val="20"/>
          <w:lang w:val="sr-Cyrl-RS"/>
        </w:rPr>
        <w:t xml:space="preserve"> ≤ 30 </w:t>
      </w:r>
      <w:r>
        <w:rPr>
          <w:rFonts w:ascii="Microsoft Sans Serif" w:hAnsi="Microsoft Sans Serif" w:cs="Microsoft Sans Serif"/>
          <w:iCs/>
          <w:sz w:val="20"/>
          <w:szCs w:val="20"/>
        </w:rPr>
        <w:t>ml</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min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terminalnim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stadijumom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bolesti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smanjenje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w:t>
      </w:r>
      <w:r>
        <w:rPr>
          <w:rFonts w:ascii="Microsoft Sans Serif" w:hAnsi="Microsoft Sans Serif" w:cs="Microsoft Sans Serif"/>
          <w:iCs/>
          <w:sz w:val="20"/>
          <w:szCs w:val="20"/>
          <w:lang w:val="sr-Cyrl-RS"/>
        </w:rPr>
        <w:t xml:space="preserve"> 25%.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hemodijalizi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dodatna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maksimalno</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podijel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ene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dnevne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lijeka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neposredno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nakon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hemodijalize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Lije</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terminalnim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stadijumom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bolesti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zahtjeva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oprez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zbog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nedovol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nog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klini</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kog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iskustva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zbog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nakupl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metabolita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bez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poznate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farmakolo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aktivnosti</w:t>
      </w:r>
      <w:r>
        <w:rPr>
          <w:rFonts w:ascii="Microsoft Sans Serif" w:hAnsi="Microsoft Sans Serif" w:cs="Microsoft Sans Serif"/>
          <w:iCs/>
          <w:sz w:val="20"/>
          <w:szCs w:val="20"/>
          <w:lang w:val="sr-Cyrl-RS"/>
        </w:rPr>
        <w:t>).</w:t>
      </w:r>
    </w:p>
    <w:p w14:paraId="61F62286">
      <w:pPr>
        <w:tabs>
          <w:tab w:val="clear" w:pos="284"/>
        </w:tabs>
        <w:autoSpaceDE w:val="0"/>
        <w:autoSpaceDN w:val="0"/>
        <w:adjustRightInd w:val="0"/>
        <w:rPr>
          <w:rFonts w:ascii="Microsoft Sans Serif" w:hAnsi="Microsoft Sans Serif" w:cs="Microsoft Sans Serif"/>
          <w:iCs/>
          <w:sz w:val="20"/>
          <w:szCs w:val="20"/>
          <w:lang w:val="sr-Cyrl-RS"/>
        </w:rPr>
      </w:pPr>
    </w:p>
    <w:p w14:paraId="3A974C31">
      <w:pPr>
        <w:tabs>
          <w:tab w:val="clear" w:pos="284"/>
        </w:tabs>
        <w:autoSpaceDE w:val="0"/>
        <w:autoSpaceDN w:val="0"/>
        <w:adjustRightInd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rPr>
        <w:t>O</w:t>
      </w:r>
      <w:r>
        <w:rPr>
          <w:rFonts w:ascii="Microsoft Sans Serif" w:hAnsi="Microsoft Sans Serif" w:cs="Microsoft Sans Serif"/>
          <w:i/>
          <w:iCs/>
          <w:sz w:val="20"/>
          <w:szCs w:val="20"/>
          <w:lang w:val="sr-Cyrl-RS"/>
        </w:rPr>
        <w:t>š</w:t>
      </w:r>
      <w:r>
        <w:rPr>
          <w:rFonts w:ascii="Microsoft Sans Serif" w:hAnsi="Microsoft Sans Serif" w:cs="Microsoft Sans Serif"/>
          <w:i/>
          <w:iCs/>
          <w:sz w:val="20"/>
          <w:szCs w:val="20"/>
        </w:rPr>
        <w:t>te</w:t>
      </w:r>
      <w:r>
        <w:rPr>
          <w:rFonts w:ascii="Microsoft Sans Serif" w:hAnsi="Microsoft Sans Serif" w:cs="Microsoft Sans Serif"/>
          <w:i/>
          <w:iCs/>
          <w:sz w:val="20"/>
          <w:szCs w:val="20"/>
          <w:lang w:val="sr-Cyrl-RS"/>
        </w:rPr>
        <w:t>ć</w:t>
      </w:r>
      <w:r>
        <w:rPr>
          <w:rFonts w:ascii="Microsoft Sans Serif" w:hAnsi="Microsoft Sans Serif" w:cs="Microsoft Sans Serif"/>
          <w:i/>
          <w:iCs/>
          <w:sz w:val="20"/>
          <w:szCs w:val="20"/>
        </w:rPr>
        <w:t>enje</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funkcije</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jetre</w:t>
      </w:r>
    </w:p>
    <w:p w14:paraId="5952C1A6">
      <w:pPr>
        <w:tabs>
          <w:tab w:val="clear" w:pos="284"/>
        </w:tabs>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vi</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blagim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umjerenim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jetre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300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p>
    <w:p w14:paraId="56DBF2F1">
      <w:pPr>
        <w:tabs>
          <w:tab w:val="clear" w:pos="284"/>
        </w:tabs>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Titriranje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obavi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oprezom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uzimaju</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obzir</w:t>
      </w:r>
      <w:r>
        <w:rPr>
          <w:rFonts w:ascii="Microsoft Sans Serif" w:hAnsi="Microsoft Sans Serif" w:cs="Microsoft Sans Serif"/>
          <w:iCs/>
          <w:sz w:val="20"/>
          <w:szCs w:val="20"/>
          <w:lang w:val="sr-Cyrl-RS"/>
        </w:rPr>
        <w:t xml:space="preserve"> moguće istovremeno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bubrega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adolescenata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vi</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razmotriti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udarna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200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titraciju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(&gt;200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dnevno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sprovoditi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oprezom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osnovu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podataka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pacijentima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blagim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umjerenim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jetre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smanjiti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w:t>
      </w:r>
      <w:r>
        <w:rPr>
          <w:rFonts w:ascii="Microsoft Sans Serif" w:hAnsi="Microsoft Sans Serif" w:cs="Microsoft Sans Serif"/>
          <w:iCs/>
          <w:sz w:val="20"/>
          <w:szCs w:val="20"/>
          <w:lang w:val="sr-Cyrl-RS"/>
        </w:rPr>
        <w:t xml:space="preserve"> 25%. </w:t>
      </w:r>
      <w:r>
        <w:rPr>
          <w:rFonts w:ascii="Microsoft Sans Serif" w:hAnsi="Microsoft Sans Serif" w:cs="Microsoft Sans Serif"/>
          <w:iCs/>
          <w:sz w:val="20"/>
          <w:szCs w:val="20"/>
        </w:rPr>
        <w:t>Farmakokinetika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lakozamida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ispitana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jetre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pogledati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dio</w:t>
      </w:r>
      <w:r>
        <w:rPr>
          <w:rFonts w:ascii="Microsoft Sans Serif" w:hAnsi="Microsoft Sans Serif" w:cs="Microsoft Sans Serif"/>
          <w:iCs/>
          <w:sz w:val="20"/>
          <w:szCs w:val="20"/>
          <w:lang w:val="sr-Cyrl-RS"/>
        </w:rPr>
        <w:t xml:space="preserve"> 5.2).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jetre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lakozamid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primjenjivati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samo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kada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predvi</w:t>
      </w:r>
      <w:r>
        <w:rPr>
          <w:rFonts w:ascii="Microsoft Sans Serif" w:hAnsi="Microsoft Sans Serif" w:cs="Microsoft Sans Serif"/>
          <w:iCs/>
          <w:sz w:val="20"/>
          <w:szCs w:val="20"/>
          <w:lang w:val="sr-Cyrl-RS"/>
        </w:rPr>
        <w:t>đ</w:t>
      </w:r>
      <w:r>
        <w:rPr>
          <w:rFonts w:ascii="Microsoft Sans Serif" w:hAnsi="Microsoft Sans Serif" w:cs="Microsoft Sans Serif"/>
          <w:iCs/>
          <w:sz w:val="20"/>
          <w:szCs w:val="20"/>
        </w:rPr>
        <w: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ekivana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korist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lije</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prevazilazi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mogu</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rizike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ć</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potrebno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prilago</w:t>
      </w:r>
      <w:r>
        <w:rPr>
          <w:rFonts w:ascii="Microsoft Sans Serif" w:hAnsi="Microsoft Sans Serif" w:cs="Microsoft Sans Serif"/>
          <w:iCs/>
          <w:sz w:val="20"/>
          <w:szCs w:val="20"/>
          <w:lang w:val="sr-Cyrl-RS"/>
        </w:rPr>
        <w:t>đ</w:t>
      </w:r>
      <w:r>
        <w:rPr>
          <w:rFonts w:ascii="Microsoft Sans Serif" w:hAnsi="Microsoft Sans Serif" w:cs="Microsoft Sans Serif"/>
          <w:iCs/>
          <w:sz w:val="20"/>
          <w:szCs w:val="20"/>
        </w:rPr>
        <w:t>avanje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ivo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pra</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aktivnosti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bolesti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mogu</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enih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dejstava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w:t>
      </w:r>
    </w:p>
    <w:p w14:paraId="4F03E822">
      <w:pPr>
        <w:tabs>
          <w:tab w:val="clear" w:pos="284"/>
        </w:tabs>
        <w:autoSpaceDE w:val="0"/>
        <w:autoSpaceDN w:val="0"/>
        <w:adjustRightInd w:val="0"/>
        <w:rPr>
          <w:rFonts w:ascii="Microsoft Sans Serif" w:hAnsi="Microsoft Sans Serif" w:cs="Microsoft Sans Serif"/>
          <w:iCs/>
          <w:sz w:val="20"/>
          <w:szCs w:val="20"/>
          <w:lang w:val="sr-Cyrl-RS"/>
        </w:rPr>
      </w:pPr>
    </w:p>
    <w:p w14:paraId="63ED3F5C">
      <w:pPr>
        <w:tabs>
          <w:tab w:val="clear" w:pos="284"/>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Pedijatrijska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populacija</w:t>
      </w:r>
    </w:p>
    <w:p w14:paraId="5B5F687B">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Lakozamid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kod d</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godine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terapiji </w:t>
      </w:r>
      <w:r>
        <w:rPr>
          <w:rFonts w:ascii="Microsoft Sans Serif" w:hAnsi="Microsoft Sans Serif" w:cs="Microsoft Sans Serif"/>
          <w:sz w:val="20"/>
          <w:szCs w:val="20"/>
        </w:rPr>
        <w:t>primarno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general</w:t>
      </w:r>
      <w:r>
        <w:rPr>
          <w:rFonts w:ascii="Microsoft Sans Serif" w:hAnsi="Microsoft Sans Serif" w:cs="Microsoft Sans Serif"/>
          <w:sz w:val="20"/>
          <w:szCs w:val="20"/>
          <w:lang w:val="sr-Cyrl-RS"/>
        </w:rPr>
        <w:t xml:space="preserve">izovanih </w:t>
      </w:r>
      <w:r>
        <w:rPr>
          <w:rFonts w:ascii="Microsoft Sans Serif" w:hAnsi="Microsoft Sans Serif" w:cs="Microsoft Sans Serif"/>
          <w:sz w:val="20"/>
          <w:szCs w:val="20"/>
        </w:rPr>
        <w:t>toni</w:t>
      </w:r>
      <w:r>
        <w:rPr>
          <w:rFonts w:ascii="Microsoft Sans Serif" w:hAnsi="Microsoft Sans Serif" w:cs="Microsoft Sans Serif"/>
          <w:sz w:val="20"/>
          <w:szCs w:val="20"/>
          <w:lang w:val="sr-Cyrl-RS"/>
        </w:rPr>
        <w:t>čn</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kloni</w:t>
      </w:r>
      <w:r>
        <w:rPr>
          <w:rFonts w:ascii="Microsoft Sans Serif" w:hAnsi="Microsoft Sans Serif" w:cs="Microsoft Sans Serif"/>
          <w:sz w:val="20"/>
          <w:szCs w:val="20"/>
          <w:lang w:val="sr-Cyrl-RS"/>
        </w:rPr>
        <w:t>čn</w:t>
      </w:r>
      <w:r>
        <w:rPr>
          <w:rFonts w:ascii="Microsoft Sans Serif" w:hAnsi="Microsoft Sans Serif" w:cs="Microsoft Sans Serif"/>
          <w:sz w:val="20"/>
          <w:szCs w:val="20"/>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d</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2 </w:t>
      </w:r>
      <w:r>
        <w:rPr>
          <w:rFonts w:ascii="Microsoft Sans Serif" w:hAnsi="Microsoft Sans Serif" w:cs="Microsoft Sans Serif"/>
          <w:sz w:val="20"/>
          <w:szCs w:val="20"/>
        </w:rPr>
        <w:t>godine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terapiji </w:t>
      </w:r>
      <w:r>
        <w:rPr>
          <w:rFonts w:ascii="Microsoft Sans Serif" w:hAnsi="Microsoft Sans Serif" w:cs="Microsoft Sans Serif"/>
          <w:sz w:val="20"/>
          <w:szCs w:val="20"/>
        </w:rPr>
        <w:t>parcijalnih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ednosti i efikasnosti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starosne grupe.</w:t>
      </w:r>
    </w:p>
    <w:p w14:paraId="5C5769B0">
      <w:pPr>
        <w:tabs>
          <w:tab w:val="clear" w:pos="284"/>
        </w:tabs>
        <w:autoSpaceDE w:val="0"/>
        <w:autoSpaceDN w:val="0"/>
        <w:adjustRightInd w:val="0"/>
        <w:rPr>
          <w:rFonts w:ascii="Microsoft Sans Serif" w:hAnsi="Microsoft Sans Serif" w:cs="Microsoft Sans Serif"/>
          <w:sz w:val="20"/>
          <w:szCs w:val="20"/>
          <w:lang w:val="sr-Cyrl-RS"/>
        </w:rPr>
      </w:pPr>
    </w:p>
    <w:p w14:paraId="6D86D2AE">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 xml:space="preserve">Udarna doza </w:t>
      </w:r>
    </w:p>
    <w:p w14:paraId="684D4236">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Primjena udarne doze nije ispitana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v-SE"/>
        </w:rPr>
        <w:t xml:space="preserve">ece. Udarna doza se ne preporučuje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adolescenata i </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v-SE"/>
        </w:rPr>
        <w:t>ece tjelesne</w:t>
      </w:r>
      <w:r>
        <w:rPr>
          <w:rFonts w:ascii="Microsoft Sans Serif" w:hAnsi="Microsoft Sans Serif" w:cs="Microsoft Sans Serif"/>
          <w:sz w:val="20"/>
          <w:szCs w:val="20"/>
          <w:lang w:val="sr-Cyrl-RS"/>
        </w:rPr>
        <w:t xml:space="preserve"> mase</w:t>
      </w:r>
      <w:r>
        <w:rPr>
          <w:rFonts w:ascii="Microsoft Sans Serif" w:hAnsi="Microsoft Sans Serif" w:cs="Microsoft Sans Serif"/>
          <w:sz w:val="20"/>
          <w:szCs w:val="20"/>
          <w:lang w:val="sv-SE"/>
        </w:rPr>
        <w:t xml:space="preserve"> manje od 50 kg.</w:t>
      </w:r>
    </w:p>
    <w:p w14:paraId="05F0A002">
      <w:pPr>
        <w:tabs>
          <w:tab w:val="clear" w:pos="284"/>
        </w:tabs>
        <w:rPr>
          <w:rFonts w:ascii="Microsoft Sans Serif" w:hAnsi="Microsoft Sans Serif" w:cs="Microsoft Sans Serif"/>
          <w:bCs/>
          <w:iCs/>
          <w:sz w:val="20"/>
          <w:szCs w:val="20"/>
          <w:lang w:val="sr-Latn-RS"/>
        </w:rPr>
      </w:pPr>
    </w:p>
    <w:p w14:paraId="7B373062">
      <w:pPr>
        <w:tabs>
          <w:tab w:val="clear" w:pos="284"/>
        </w:tabs>
        <w:rPr>
          <w:rFonts w:ascii="Microsoft Sans Serif" w:hAnsi="Microsoft Sans Serif" w:cs="Microsoft Sans Serif"/>
          <w:bCs/>
          <w:iCs/>
          <w:sz w:val="20"/>
          <w:szCs w:val="20"/>
          <w:u w:val="single"/>
          <w:lang w:val="sr-Latn-RS"/>
        </w:rPr>
      </w:pPr>
      <w:r>
        <w:rPr>
          <w:rFonts w:ascii="Microsoft Sans Serif" w:hAnsi="Microsoft Sans Serif" w:cs="Microsoft Sans Serif"/>
          <w:bCs/>
          <w:iCs/>
          <w:sz w:val="20"/>
          <w:szCs w:val="20"/>
          <w:u w:val="single"/>
          <w:lang w:val="sr-Latn-RS"/>
        </w:rPr>
        <w:t>Način primjene</w:t>
      </w:r>
    </w:p>
    <w:p w14:paraId="0F4820A2">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r-Latn-RS"/>
        </w:rPr>
        <w:t>Losmorid</w:t>
      </w:r>
      <w:r>
        <w:rPr>
          <w:rFonts w:ascii="Microsoft Sans Serif" w:hAnsi="Microsoft Sans Serif" w:cs="Microsoft Sans Serif"/>
          <w:bCs/>
          <w:sz w:val="20"/>
          <w:szCs w:val="20"/>
          <w:vertAlign w:val="superscript"/>
          <w:lang w:val="sr-Latn-RS"/>
        </w:rPr>
        <w:t xml:space="preserve"> </w:t>
      </w:r>
      <w:r>
        <w:rPr>
          <w:rFonts w:ascii="Microsoft Sans Serif" w:hAnsi="Microsoft Sans Serif" w:cs="Microsoft Sans Serif"/>
          <w:bCs/>
          <w:iCs/>
          <w:sz w:val="20"/>
          <w:szCs w:val="20"/>
          <w:lang w:val="sr-Latn-RS"/>
        </w:rPr>
        <w:t xml:space="preserve">film tablete namjenjene su za oralnu primjenu. </w:t>
      </w:r>
      <w:r>
        <w:rPr>
          <w:rFonts w:ascii="Microsoft Sans Serif" w:hAnsi="Microsoft Sans Serif" w:cs="Microsoft Sans Serif"/>
          <w:bCs/>
          <w:iCs/>
          <w:sz w:val="20"/>
          <w:szCs w:val="20"/>
          <w:lang w:val="sv-SE"/>
        </w:rPr>
        <w:t>Losmorid se može uzimati sa hranom ili bez nje.</w:t>
      </w:r>
    </w:p>
    <w:p w14:paraId="5D18923C">
      <w:pPr>
        <w:rPr>
          <w:rFonts w:ascii="Microsoft Sans Serif" w:hAnsi="Microsoft Sans Serif" w:cs="Microsoft Sans Serif"/>
          <w:sz w:val="20"/>
          <w:szCs w:val="20"/>
          <w:lang w:val="sv-SE"/>
        </w:rPr>
      </w:pPr>
    </w:p>
    <w:p w14:paraId="12AEE828">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5B0D10A2">
      <w:pPr>
        <w:rPr>
          <w:rFonts w:ascii="Microsoft Sans Serif" w:hAnsi="Microsoft Sans Serif" w:cs="Microsoft Sans Serif"/>
          <w:sz w:val="20"/>
          <w:szCs w:val="20"/>
          <w:lang w:val="sv-SE"/>
        </w:rPr>
      </w:pPr>
    </w:p>
    <w:p w14:paraId="1F44095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aktivnu supstancu ili na bilo koju od pomoćnih supstanci navedenih u dijelu 6.1.</w:t>
      </w:r>
    </w:p>
    <w:p w14:paraId="10273D6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Poznat drugi ili treći stepen atrioventrikularnog (AV) bloka.</w:t>
      </w:r>
    </w:p>
    <w:p w14:paraId="4C6C4AE0">
      <w:pPr>
        <w:rPr>
          <w:rFonts w:ascii="Microsoft Sans Serif" w:hAnsi="Microsoft Sans Serif" w:cs="Microsoft Sans Serif"/>
          <w:sz w:val="20"/>
          <w:szCs w:val="20"/>
          <w:lang w:val="sv-SE"/>
        </w:rPr>
      </w:pPr>
    </w:p>
    <w:p w14:paraId="718149C4">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4.4. Posebna upozorenja i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ere opreza pri upotrebi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eka</w:t>
      </w:r>
    </w:p>
    <w:p w14:paraId="07F7CE9B">
      <w:pPr>
        <w:rPr>
          <w:rFonts w:ascii="Microsoft Sans Serif" w:hAnsi="Microsoft Sans Serif" w:cs="Microsoft Sans Serif"/>
          <w:b/>
          <w:bCs/>
          <w:sz w:val="20"/>
          <w:szCs w:val="20"/>
          <w:lang w:val="sv-SE"/>
        </w:rPr>
      </w:pPr>
    </w:p>
    <w:p w14:paraId="48BDC116">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Suicidne ideje i ponašanje</w:t>
      </w:r>
    </w:p>
    <w:p w14:paraId="32A54C5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Suicidne ideje i ponašanje 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eni su kod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ečenih antiepilepticima u nekoliko indikacija. Meta</w:t>
      </w:r>
      <w:r>
        <w:rPr>
          <w:rFonts w:ascii="Microsoft Sans Serif" w:hAnsi="Microsoft Sans Serif" w:cs="Microsoft Sans Serif"/>
          <w:bCs/>
          <w:sz w:val="20"/>
          <w:szCs w:val="20"/>
          <w:lang w:val="sr-Latn-RS"/>
        </w:rPr>
        <w:t>-</w:t>
      </w:r>
      <w:r>
        <w:rPr>
          <w:rFonts w:ascii="Microsoft Sans Serif" w:hAnsi="Microsoft Sans Serif" w:cs="Microsoft Sans Serif"/>
          <w:bCs/>
          <w:sz w:val="20"/>
          <w:szCs w:val="20"/>
          <w:lang w:val="sv-SE"/>
        </w:rPr>
        <w:t>analiza randomizovanih, placebo kontrolisanih istraživanja antiepileptika takođe je pokazala blago povećan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rizik od suicidnih ideja i ponašanja. Mehanizam tog rizika nije poznat, a dostupni podaci ne iskl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učuju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mogućnost postojanja povećanog rizika za lakozamid. Zato treba pratiti pacijente kako bi se uočili znaci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suicidnih ideja i ponašanja i treba razmotriti odgovarajuće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ečenje. Pacijente (i njihove staratel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 treba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upozoriti da potraže sav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et 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ekara ako se pojave znaci suicidnih ideja ili ponašanja (</w:t>
      </w:r>
      <w:r>
        <w:rPr>
          <w:rFonts w:ascii="Microsoft Sans Serif" w:hAnsi="Microsoft Sans Serif" w:cs="Microsoft Sans Serif"/>
          <w:bCs/>
          <w:sz w:val="20"/>
          <w:szCs w:val="20"/>
          <w:lang w:val="sr-Latn-RS"/>
        </w:rPr>
        <w:t>pogledati dio</w:t>
      </w:r>
      <w:r>
        <w:rPr>
          <w:rFonts w:ascii="Microsoft Sans Serif" w:hAnsi="Microsoft Sans Serif" w:cs="Microsoft Sans Serif"/>
          <w:bCs/>
          <w:sz w:val="20"/>
          <w:szCs w:val="20"/>
          <w:lang w:val="sv-SE"/>
        </w:rPr>
        <w:t xml:space="preserve"> 4.8).</w:t>
      </w:r>
    </w:p>
    <w:p w14:paraId="0A6EC6A1">
      <w:pPr>
        <w:rPr>
          <w:rFonts w:ascii="Microsoft Sans Serif" w:hAnsi="Microsoft Sans Serif" w:cs="Microsoft Sans Serif"/>
          <w:bCs/>
          <w:sz w:val="20"/>
          <w:szCs w:val="20"/>
          <w:lang w:val="sv-SE"/>
        </w:rPr>
      </w:pPr>
    </w:p>
    <w:p w14:paraId="56C6CF3A">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Srčani ritam i sprovodl</w:t>
      </w:r>
      <w:r>
        <w:rPr>
          <w:rFonts w:ascii="Microsoft Sans Serif" w:hAnsi="Microsoft Sans Serif" w:cs="Microsoft Sans Serif"/>
          <w:sz w:val="20"/>
          <w:szCs w:val="20"/>
          <w:u w:val="single"/>
        </w:rPr>
        <w:t>ј</w:t>
      </w:r>
      <w:r>
        <w:rPr>
          <w:rFonts w:ascii="Microsoft Sans Serif" w:hAnsi="Microsoft Sans Serif" w:cs="Microsoft Sans Serif"/>
          <w:sz w:val="20"/>
          <w:szCs w:val="20"/>
          <w:u w:val="single"/>
          <w:lang w:val="sv-SE"/>
        </w:rPr>
        <w:t>ivost</w:t>
      </w:r>
    </w:p>
    <w:p w14:paraId="2408BB83">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kliničkim ispitivanjima pri liječenju lakozamidom uočeno je produženje PR intervala, zavisno od doze.</w:t>
      </w:r>
    </w:p>
    <w:p w14:paraId="73393508">
      <w:pPr>
        <w:tabs>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Lakozamid treba oprezno primjenjivati kod pacijenata sa </w:t>
      </w:r>
      <w:r>
        <w:rPr>
          <w:rFonts w:ascii="Microsoft Sans Serif" w:hAnsi="Microsoft Sans Serif" w:cs="Microsoft Sans Serif"/>
          <w:sz w:val="20"/>
          <w:szCs w:val="20"/>
          <w:lang w:val="sr-Cyrl-RS"/>
        </w:rPr>
        <w:t xml:space="preserve">osnovnim proaritmogenim stanjima kao što su </w:t>
      </w:r>
      <w:r>
        <w:rPr>
          <w:rFonts w:ascii="Microsoft Sans Serif" w:hAnsi="Microsoft Sans Serif" w:cs="Microsoft Sans Serif"/>
          <w:sz w:val="20"/>
          <w:szCs w:val="20"/>
          <w:lang w:val="sv-SE"/>
        </w:rPr>
        <w:t>pacijenti sa poznatim smetnjama sprovođenja ili teškom srčanom bolešću (npr.</w:t>
      </w:r>
      <w:r>
        <w:rPr>
          <w:rFonts w:ascii="Microsoft Sans Serif" w:hAnsi="Microsoft Sans Serif" w:cs="Microsoft Sans Serif"/>
          <w:sz w:val="20"/>
          <w:szCs w:val="20"/>
          <w:lang w:val="sr-Cyrl-RS"/>
        </w:rPr>
        <w:t xml:space="preserve"> ishemija/infarkt miokarda</w:t>
      </w:r>
      <w:r>
        <w:rPr>
          <w:rFonts w:ascii="Microsoft Sans Serif" w:hAnsi="Microsoft Sans Serif" w:cs="Microsoft Sans Serif"/>
          <w:sz w:val="20"/>
          <w:szCs w:val="20"/>
          <w:lang w:val="sv-SE"/>
        </w:rPr>
        <w:t>, srčana insuficijencija, strukturna bolest srca</w:t>
      </w:r>
      <w:r>
        <w:rPr>
          <w:rFonts w:ascii="Microsoft Sans Serif" w:hAnsi="Microsoft Sans Serif" w:cs="Microsoft Sans Serif"/>
          <w:sz w:val="20"/>
          <w:szCs w:val="20"/>
          <w:lang w:val="sr-Cyrl-RS"/>
        </w:rPr>
        <w:t xml:space="preserve"> ili poremećaj natrijumovih kanala u srcu</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ili kod pacijenata koji su na terapiji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ekovima koji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eluju na srčanu sprovodlјivost, uklјučujući antiaritmike i antiepileptike koji blokiraju natrijumove kanale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4.5), kao i kod starijih pacijenata. </w:t>
      </w:r>
    </w:p>
    <w:p w14:paraId="7E0E6974">
      <w:pPr>
        <w:tabs>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ovih pacijenata treba razmotriti snimanje EKG-a prije nego što se doza lakozamida poveća na više od 400 mg/dan, i nakon što je lakozamid titriran do stanja ravnoteže.</w:t>
      </w:r>
    </w:p>
    <w:p w14:paraId="09F07151">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U placebo kontrolisanim kliničkim ispitivanjima lakozamida kod pacijenata sa epilepsijom, nisu zabilježeni atrijalna fibrilacija ili flater, međutim, oba su zabilježena u otvorenim ispitivanjima epilepsije i u periodu nakon stavl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anja lijeka u promet. U periodu nakon stavl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anja lijeka u promet zabilježen je AV blok (</w:t>
      </w:r>
      <w:r>
        <w:rPr>
          <w:rFonts w:ascii="Microsoft Sans Serif" w:hAnsi="Microsoft Sans Serif" w:cs="Microsoft Sans Serif"/>
          <w:sz w:val="20"/>
          <w:szCs w:val="20"/>
          <w:lang w:val="mk-MK"/>
        </w:rPr>
        <w:t>uklјu</w:t>
      </w:r>
      <w:r>
        <w:rPr>
          <w:rFonts w:ascii="Microsoft Sans Serif" w:hAnsi="Microsoft Sans Serif" w:cs="Microsoft Sans Serif"/>
          <w:sz w:val="20"/>
          <w:szCs w:val="20"/>
          <w:lang w:val="sr-Cyrl-RS"/>
        </w:rPr>
        <w:t xml:space="preserve">čujući i AV blok </w:t>
      </w:r>
      <w:r>
        <w:rPr>
          <w:rFonts w:ascii="Microsoft Sans Serif" w:hAnsi="Microsoft Sans Serif" w:cs="Microsoft Sans Serif"/>
          <w:sz w:val="20"/>
          <w:szCs w:val="20"/>
          <w:lang w:val="sr-Latn-RS"/>
        </w:rPr>
        <w:t>drugog</w:t>
      </w:r>
      <w:r>
        <w:rPr>
          <w:rFonts w:ascii="Microsoft Sans Serif" w:hAnsi="Microsoft Sans Serif" w:cs="Microsoft Sans Serif"/>
          <w:sz w:val="20"/>
          <w:szCs w:val="20"/>
          <w:lang w:val="sr-Cyrl-RS"/>
        </w:rPr>
        <w:t xml:space="preserve"> ili višeg</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Kod pacijenata sa proaritmogenim stanjima, zab</w:t>
      </w:r>
      <w:r>
        <w:rPr>
          <w:rFonts w:ascii="Microsoft Sans Serif" w:hAnsi="Microsoft Sans Serif" w:cs="Microsoft Sans Serif"/>
          <w:sz w:val="20"/>
          <w:szCs w:val="20"/>
          <w:lang w:val="sr-Latn-RS"/>
        </w:rPr>
        <w:t>ilj</w:t>
      </w:r>
      <w:r>
        <w:rPr>
          <w:rFonts w:ascii="Microsoft Sans Serif" w:hAnsi="Microsoft Sans Serif" w:cs="Microsoft Sans Serif"/>
          <w:sz w:val="20"/>
          <w:szCs w:val="20"/>
          <w:lang w:val="sr-Cyrl-RS"/>
        </w:rPr>
        <w:t>ežena je pojava ventrikularne tahiaritmije. U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etkim slučajevima, ovi događaji su doveli do asistola, srčanog zastoja i smrti kod pacijenata sa osnovnim proaritmogenim stanjima.</w:t>
      </w:r>
    </w:p>
    <w:p w14:paraId="6837F2BC">
      <w:pPr>
        <w:tabs>
          <w:tab w:val="clear" w:pos="284"/>
        </w:tabs>
        <w:autoSpaceDE w:val="0"/>
        <w:autoSpaceDN w:val="0"/>
        <w:adjustRightInd w:val="0"/>
        <w:rPr>
          <w:rFonts w:ascii="Microsoft Sans Serif" w:hAnsi="Microsoft Sans Serif" w:cs="Microsoft Sans Serif"/>
          <w:sz w:val="20"/>
          <w:szCs w:val="20"/>
          <w:lang w:val="sr-Cyrl-RS"/>
        </w:rPr>
      </w:pPr>
    </w:p>
    <w:p w14:paraId="45680CFC">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upoznati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aritmije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u</w:t>
      </w:r>
      <w:r>
        <w:rPr>
          <w:rFonts w:ascii="Microsoft Sans Serif" w:hAnsi="Microsoft Sans Serif" w:cs="Microsoft Sans Serif"/>
          <w:sz w:val="20"/>
          <w:szCs w:val="20"/>
        </w:rPr>
        <w:t>spor</w:t>
      </w:r>
      <w:r>
        <w:rPr>
          <w:rFonts w:ascii="Microsoft Sans Serif" w:hAnsi="Microsoft Sans Serif" w:cs="Microsoft Sans Serif"/>
          <w:sz w:val="20"/>
          <w:szCs w:val="20"/>
          <w:lang w:val="sr-Cyrl-RS"/>
        </w:rPr>
        <w:t>en, u</w:t>
      </w:r>
      <w:r>
        <w:rPr>
          <w:rFonts w:ascii="Microsoft Sans Serif" w:hAnsi="Microsoft Sans Serif" w:cs="Microsoft Sans Serif"/>
          <w:sz w:val="20"/>
          <w:szCs w:val="20"/>
        </w:rPr>
        <w:t>brz</w:t>
      </w:r>
      <w:r>
        <w:rPr>
          <w:rFonts w:ascii="Microsoft Sans Serif" w:hAnsi="Microsoft Sans Serif" w:cs="Microsoft Sans Serif"/>
          <w:sz w:val="20"/>
          <w:szCs w:val="20"/>
          <w:lang w:val="sr-Cyrl-RS"/>
        </w:rPr>
        <w:t xml:space="preserve">an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nepravilan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puls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palpitacije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kratko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daha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ošamućenosti, </w:t>
      </w:r>
      <w:r>
        <w:rPr>
          <w:rFonts w:ascii="Microsoft Sans Serif" w:hAnsi="Microsoft Sans Serif" w:cs="Microsoft Sans Serif"/>
          <w:sz w:val="20"/>
          <w:szCs w:val="20"/>
        </w:rPr>
        <w:t>nesvjestica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savjetovati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pomo</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pojave</w:t>
      </w:r>
      <w:r>
        <w:rPr>
          <w:rFonts w:ascii="Microsoft Sans Serif" w:hAnsi="Microsoft Sans Serif" w:cs="Microsoft Sans Serif"/>
          <w:sz w:val="20"/>
          <w:szCs w:val="20"/>
          <w:lang w:val="sr-Cyrl-RS"/>
        </w:rPr>
        <w:t>.</w:t>
      </w:r>
    </w:p>
    <w:p w14:paraId="43C6EE99">
      <w:pPr>
        <w:tabs>
          <w:tab w:val="clear" w:pos="284"/>
        </w:tabs>
        <w:autoSpaceDE w:val="0"/>
        <w:autoSpaceDN w:val="0"/>
        <w:adjustRightInd w:val="0"/>
        <w:rPr>
          <w:rFonts w:ascii="Microsoft Sans Serif" w:hAnsi="Microsoft Sans Serif" w:cs="Microsoft Sans Serif"/>
          <w:sz w:val="20"/>
          <w:szCs w:val="20"/>
          <w:lang w:val="sr-Cyrl-RS"/>
        </w:rPr>
      </w:pPr>
    </w:p>
    <w:p w14:paraId="41BC2F43">
      <w:pPr>
        <w:tabs>
          <w:tab w:val="clear" w:pos="284"/>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Vrtoglavica</w:t>
      </w:r>
    </w:p>
    <w:p w14:paraId="6B6DE259">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vrtoglavice</w:t>
      </w:r>
      <w:r>
        <w:rPr>
          <w:rFonts w:ascii="Microsoft Sans Serif" w:hAnsi="Microsoft Sans Serif" w:cs="Microsoft Sans Serif"/>
          <w:sz w:val="20"/>
          <w:szCs w:val="20"/>
          <w:lang w:val="sr-Cyrl-RS"/>
        </w:rPr>
        <w:t>,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padova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savjetovati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oprezni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upoznaju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efektima</w:t>
      </w:r>
      <w:r>
        <w:rPr>
          <w:rFonts w:ascii="Microsoft Sans Serif" w:hAnsi="Microsoft Sans Serif" w:cs="Microsoft Sans Serif"/>
          <w:sz w:val="20"/>
          <w:szCs w:val="20"/>
          <w:lang w:val="sr-Cyrl-RS"/>
        </w:rPr>
        <w:t xml:space="preserve"> ovog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71915555">
      <w:pPr>
        <w:tabs>
          <w:tab w:val="clear" w:pos="284"/>
        </w:tabs>
        <w:autoSpaceDE w:val="0"/>
        <w:autoSpaceDN w:val="0"/>
        <w:adjustRightInd w:val="0"/>
        <w:rPr>
          <w:rFonts w:ascii="Microsoft Sans Serif" w:hAnsi="Microsoft Sans Serif" w:cs="Microsoft Sans Serif"/>
          <w:sz w:val="20"/>
          <w:szCs w:val="20"/>
          <w:lang w:val="sr-Cyrl-RS"/>
        </w:rPr>
      </w:pPr>
    </w:p>
    <w:p w14:paraId="3A54145E">
      <w:pPr>
        <w:tabs>
          <w:tab w:val="clear" w:pos="284"/>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Moguc</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u w:val="single"/>
        </w:rPr>
        <w:t>nost</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novog</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napada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ili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pogor</w:t>
      </w:r>
      <w:r>
        <w:rPr>
          <w:rFonts w:ascii="Microsoft Sans Serif" w:hAnsi="Microsoft Sans Serif" w:cs="Microsoft Sans Serif"/>
          <w:sz w:val="20"/>
          <w:szCs w:val="20"/>
          <w:u w:val="single"/>
          <w:lang w:val="sr-Cyrl-RS"/>
        </w:rPr>
        <w:t>š</w:t>
      </w:r>
      <w:r>
        <w:rPr>
          <w:rFonts w:ascii="Microsoft Sans Serif" w:hAnsi="Microsoft Sans Serif" w:cs="Microsoft Sans Serif"/>
          <w:sz w:val="20"/>
          <w:szCs w:val="20"/>
          <w:u w:val="single"/>
        </w:rPr>
        <w:t>anja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miokloni</w:t>
      </w:r>
      <w:r>
        <w:rPr>
          <w:rFonts w:ascii="Microsoft Sans Serif" w:hAnsi="Microsoft Sans Serif" w:cs="Microsoft Sans Serif"/>
          <w:sz w:val="20"/>
          <w:szCs w:val="20"/>
          <w:u w:val="single"/>
          <w:lang w:val="sr-Cyrl-RS"/>
        </w:rPr>
        <w:t>č</w:t>
      </w:r>
      <w:r>
        <w:rPr>
          <w:rFonts w:ascii="Microsoft Sans Serif" w:hAnsi="Microsoft Sans Serif" w:cs="Microsoft Sans Serif"/>
          <w:sz w:val="20"/>
          <w:szCs w:val="20"/>
          <w:u w:val="single"/>
        </w:rPr>
        <w:t>nih</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napada</w:t>
      </w:r>
    </w:p>
    <w:p w14:paraId="4BAD5EA0">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Novi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miokloni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PGTKN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odmjeriti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w:t>
      </w:r>
    </w:p>
    <w:p w14:paraId="5413E347">
      <w:pPr>
        <w:tabs>
          <w:tab w:val="clear" w:pos="284"/>
        </w:tabs>
        <w:autoSpaceDE w:val="0"/>
        <w:autoSpaceDN w:val="0"/>
        <w:adjustRightInd w:val="0"/>
        <w:rPr>
          <w:rFonts w:ascii="Microsoft Sans Serif" w:hAnsi="Microsoft Sans Serif" w:cs="Microsoft Sans Serif"/>
          <w:sz w:val="20"/>
          <w:szCs w:val="20"/>
          <w:lang w:val="sr-Cyrl-RS"/>
        </w:rPr>
      </w:pPr>
    </w:p>
    <w:p w14:paraId="6F839862">
      <w:pPr>
        <w:tabs>
          <w:tab w:val="clear" w:pos="284"/>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Mogu</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rPr>
        <w:t>nost</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elektro</w:t>
      </w:r>
      <w:r>
        <w:rPr>
          <w:rFonts w:ascii="Microsoft Sans Serif" w:hAnsi="Microsoft Sans Serif" w:cs="Microsoft Sans Serif"/>
          <w:sz w:val="20"/>
          <w:szCs w:val="20"/>
          <w:u w:val="single"/>
          <w:lang w:val="sr-Cyrl-RS"/>
        </w:rPr>
        <w:t xml:space="preserve">-kliničkog </w:t>
      </w:r>
      <w:r>
        <w:rPr>
          <w:rFonts w:ascii="Microsoft Sans Serif" w:hAnsi="Microsoft Sans Serif" w:cs="Microsoft Sans Serif"/>
          <w:sz w:val="20"/>
          <w:szCs w:val="20"/>
          <w:u w:val="single"/>
        </w:rPr>
        <w:t>pogor</w:t>
      </w:r>
      <w:r>
        <w:rPr>
          <w:rFonts w:ascii="Microsoft Sans Serif" w:hAnsi="Microsoft Sans Serif" w:cs="Microsoft Sans Serif"/>
          <w:sz w:val="20"/>
          <w:szCs w:val="20"/>
          <w:u w:val="single"/>
          <w:lang w:val="sr-Cyrl-RS"/>
        </w:rPr>
        <w:t>š</w:t>
      </w:r>
      <w:r>
        <w:rPr>
          <w:rFonts w:ascii="Microsoft Sans Serif" w:hAnsi="Microsoft Sans Serif" w:cs="Microsoft Sans Serif"/>
          <w:sz w:val="20"/>
          <w:szCs w:val="20"/>
          <w:u w:val="single"/>
        </w:rPr>
        <w:t>anja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pojedinim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pedijatrijskim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epilepti</w:t>
      </w:r>
      <w:r>
        <w:rPr>
          <w:rFonts w:ascii="Microsoft Sans Serif" w:hAnsi="Microsoft Sans Serif" w:cs="Microsoft Sans Serif"/>
          <w:sz w:val="20"/>
          <w:szCs w:val="20"/>
          <w:u w:val="single"/>
          <w:lang w:val="sr-Cyrl-RS"/>
        </w:rPr>
        <w:t>č</w:t>
      </w:r>
      <w:r>
        <w:rPr>
          <w:rFonts w:ascii="Microsoft Sans Serif" w:hAnsi="Microsoft Sans Serif" w:cs="Microsoft Sans Serif"/>
          <w:sz w:val="20"/>
          <w:szCs w:val="20"/>
          <w:u w:val="single"/>
        </w:rPr>
        <w:t>kim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sindromima</w:t>
      </w:r>
    </w:p>
    <w:p w14:paraId="2679E735">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Bezbjednost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epileti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zajedno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postojati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fokalni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generalizovani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w:t>
      </w:r>
    </w:p>
    <w:p w14:paraId="2DA79C9E">
      <w:pPr>
        <w:tabs>
          <w:tab w:val="clear" w:pos="284"/>
        </w:tabs>
        <w:autoSpaceDE w:val="0"/>
        <w:autoSpaceDN w:val="0"/>
        <w:adjustRightInd w:val="0"/>
        <w:rPr>
          <w:rFonts w:ascii="Microsoft Sans Serif" w:hAnsi="Microsoft Sans Serif" w:cs="Microsoft Sans Serif"/>
          <w:sz w:val="20"/>
          <w:szCs w:val="20"/>
          <w:lang w:val="sr-Cyrl-RS"/>
        </w:rPr>
      </w:pPr>
    </w:p>
    <w:p w14:paraId="1230345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 xml:space="preserve">ekovima i </w:t>
      </w:r>
      <w:r>
        <w:rPr>
          <w:rFonts w:ascii="Microsoft Sans Serif" w:hAnsi="Microsoft Sans Serif" w:cs="Microsoft Sans Serif"/>
          <w:b/>
          <w:bCs/>
          <w:iCs/>
          <w:sz w:val="20"/>
          <w:szCs w:val="20"/>
          <w:lang w:val="sv-SE"/>
        </w:rPr>
        <w:t>drugi oblici</w:t>
      </w:r>
      <w:r>
        <w:rPr>
          <w:rFonts w:ascii="Microsoft Sans Serif" w:hAnsi="Microsoft Sans Serif" w:cs="Microsoft Sans Serif"/>
          <w:b/>
          <w:bCs/>
          <w:sz w:val="20"/>
          <w:szCs w:val="20"/>
          <w:lang w:val="sv-SE"/>
        </w:rPr>
        <w:t xml:space="preserve"> interakcija</w:t>
      </w:r>
    </w:p>
    <w:p w14:paraId="5E559AE4">
      <w:pPr>
        <w:rPr>
          <w:rFonts w:ascii="Microsoft Sans Serif" w:hAnsi="Microsoft Sans Serif" w:cs="Microsoft Sans Serif"/>
          <w:sz w:val="20"/>
          <w:szCs w:val="20"/>
          <w:lang w:val="sv-SE"/>
        </w:rPr>
      </w:pPr>
    </w:p>
    <w:p w14:paraId="1524052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Lakozamid treba primjenjivati sa oprezom kod pacijenata liječenih lijekovima za koje se zna da produžavaju </w:t>
      </w:r>
      <w:r>
        <w:rPr>
          <w:rFonts w:ascii="Microsoft Sans Serif" w:hAnsi="Microsoft Sans Serif" w:cs="Microsoft Sans Serif"/>
          <w:sz w:val="20"/>
          <w:szCs w:val="20"/>
          <w:lang w:val="sr-Latn-RS"/>
        </w:rPr>
        <w:t>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interval (</w:t>
      </w:r>
      <w:r>
        <w:rPr>
          <w:rFonts w:ascii="Microsoft Sans Serif" w:hAnsi="Microsoft Sans Serif" w:cs="Microsoft Sans Serif"/>
          <w:sz w:val="20"/>
          <w:szCs w:val="20"/>
          <w:lang w:val="sr-Cyrl-RS"/>
        </w:rPr>
        <w:t>uklјučujući antiepileptike koji blokiraju natrijumove kanale</w:t>
      </w:r>
      <w:r>
        <w:rPr>
          <w:rFonts w:ascii="Microsoft Sans Serif" w:hAnsi="Microsoft Sans Serif" w:cs="Microsoft Sans Serif"/>
          <w:sz w:val="20"/>
          <w:szCs w:val="20"/>
          <w:lang w:val="sv-SE"/>
        </w:rPr>
        <w:t>) i kod pacijenata liječenih antiaritmicima. Međutim, analiza podgrupa u kliničkim ispitivanjima nije pokazala povećan opseg produženja PR intervala kod pacijenata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su istovremeno uzimali karbamazepin ili lamotrigin.</w:t>
      </w:r>
    </w:p>
    <w:p w14:paraId="21E596D6">
      <w:pPr>
        <w:tabs>
          <w:tab w:val="clear" w:pos="284"/>
        </w:tabs>
        <w:autoSpaceDE w:val="0"/>
        <w:autoSpaceDN w:val="0"/>
        <w:adjustRightInd w:val="0"/>
        <w:rPr>
          <w:rFonts w:ascii="Microsoft Sans Serif" w:hAnsi="Microsoft Sans Serif" w:cs="Microsoft Sans Serif"/>
          <w:sz w:val="20"/>
          <w:szCs w:val="20"/>
          <w:lang w:val="sv-SE"/>
        </w:rPr>
      </w:pPr>
    </w:p>
    <w:p w14:paraId="7FD84D08">
      <w:pPr>
        <w:tabs>
          <w:tab w:val="clear" w:pos="284"/>
        </w:tabs>
        <w:autoSpaceDE w:val="0"/>
        <w:autoSpaceDN w:val="0"/>
        <w:adjustRightInd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Podaci in vitro</w:t>
      </w:r>
    </w:p>
    <w:p w14:paraId="28101C13">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Podaci generalno pokazuju da lakozamid ima mali interakcijski potencijal. Ispitivanja in vitro ukazuju da enzimi CYP1A2, CYP2B6 i CYP2C9 nisu indukovani, i da CYP1A1, CYP1A2, CYP2A6, CYP2B6, CYP2C8, CYP2C9, CYP2D6 i CYP2E1 nisu inhibirani lakozamidom pri koncentracijama u plazmi dostignutim tokom kliničkih ispitivanja. Ispitivanje in vitro pokazalo je da se lakozamid ne prenosi P-glikoproteinom u crijevima. Podaci in vitro pokazuju da su CYP2C9, CYP2C19 i CYP3A4 sposobni da kataliziraju stvaranje O-de</w:t>
      </w: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sv-SE"/>
        </w:rPr>
        <w:t>metil metabolita.</w:t>
      </w:r>
    </w:p>
    <w:p w14:paraId="0D11DB99">
      <w:pPr>
        <w:tabs>
          <w:tab w:val="clear" w:pos="284"/>
        </w:tabs>
        <w:autoSpaceDE w:val="0"/>
        <w:autoSpaceDN w:val="0"/>
        <w:adjustRightInd w:val="0"/>
        <w:rPr>
          <w:rFonts w:ascii="Microsoft Sans Serif" w:hAnsi="Microsoft Sans Serif" w:cs="Microsoft Sans Serif"/>
          <w:i/>
          <w:iCs/>
          <w:sz w:val="20"/>
          <w:szCs w:val="20"/>
          <w:lang w:val="sv-SE"/>
        </w:rPr>
      </w:pPr>
    </w:p>
    <w:p w14:paraId="01223622">
      <w:pPr>
        <w:tabs>
          <w:tab w:val="clear" w:pos="284"/>
        </w:tabs>
        <w:autoSpaceDE w:val="0"/>
        <w:autoSpaceDN w:val="0"/>
        <w:adjustRightInd w:val="0"/>
        <w:rPr>
          <w:rFonts w:ascii="Microsoft Sans Serif" w:hAnsi="Microsoft Sans Serif" w:cs="Microsoft Sans Serif"/>
          <w:i/>
          <w:iCs/>
          <w:sz w:val="20"/>
          <w:szCs w:val="20"/>
          <w:u w:val="single"/>
          <w:lang w:val="sr-Latn-RS"/>
        </w:rPr>
      </w:pPr>
      <w:r>
        <w:rPr>
          <w:rFonts w:ascii="Microsoft Sans Serif" w:hAnsi="Microsoft Sans Serif" w:cs="Microsoft Sans Serif"/>
          <w:i/>
          <w:iCs/>
          <w:sz w:val="20"/>
          <w:szCs w:val="20"/>
          <w:u w:val="single"/>
          <w:lang w:val="sv-SE"/>
        </w:rPr>
        <w:t>Podaci in vivo</w:t>
      </w:r>
    </w:p>
    <w:p w14:paraId="188356A6">
      <w:pPr>
        <w:tabs>
          <w:tab w:val="clear" w:pos="284"/>
        </w:tabs>
        <w:autoSpaceDE w:val="0"/>
        <w:autoSpaceDN w:val="0"/>
        <w:adjustRightInd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 xml:space="preserve">Lakozamid klinički značajno ne inhibira niti indukuje CYP2C19 i CYP3A4. Lakozamid nije uticao na PIK midazolama (metaboliše </w:t>
      </w:r>
      <w:r>
        <w:rPr>
          <w:rFonts w:ascii="Microsoft Sans Serif" w:hAnsi="Microsoft Sans Serif" w:cs="Microsoft Sans Serif"/>
          <w:iCs/>
          <w:sz w:val="20"/>
          <w:szCs w:val="20"/>
          <w:lang w:val="mk-MK"/>
        </w:rPr>
        <w:t xml:space="preserve">se preko </w:t>
      </w:r>
      <w:r>
        <w:rPr>
          <w:rFonts w:ascii="Microsoft Sans Serif" w:hAnsi="Microsoft Sans Serif" w:cs="Microsoft Sans Serif"/>
          <w:iCs/>
          <w:sz w:val="20"/>
          <w:szCs w:val="20"/>
          <w:lang w:val="sv-SE"/>
        </w:rPr>
        <w:t>CYP3A4, lakozamid primjenjen 200 mg dva puta na dan), ali C</w:t>
      </w:r>
      <w:r>
        <w:rPr>
          <w:rFonts w:ascii="Microsoft Sans Serif" w:hAnsi="Microsoft Sans Serif" w:cs="Microsoft Sans Serif"/>
          <w:iCs/>
          <w:sz w:val="20"/>
          <w:szCs w:val="20"/>
          <w:vertAlign w:val="subscript"/>
          <w:lang w:val="sv-SE"/>
        </w:rPr>
        <w:t>max</w:t>
      </w:r>
      <w:r>
        <w:rPr>
          <w:rFonts w:ascii="Microsoft Sans Serif" w:hAnsi="Microsoft Sans Serif" w:cs="Microsoft Sans Serif"/>
          <w:iCs/>
          <w:sz w:val="20"/>
          <w:szCs w:val="20"/>
          <w:lang w:val="sv-SE"/>
        </w:rPr>
        <w:t xml:space="preserve"> midazolama bio je blago povišen (30%). Lakozamid nije uticao na farmakokinetiku omeprazola (metabolišu </w:t>
      </w:r>
      <w:r>
        <w:rPr>
          <w:rFonts w:ascii="Microsoft Sans Serif" w:hAnsi="Microsoft Sans Serif" w:cs="Microsoft Sans Serif"/>
          <w:iCs/>
          <w:sz w:val="20"/>
          <w:szCs w:val="20"/>
          <w:lang w:val="mk-MK"/>
        </w:rPr>
        <w:t>se preko</w:t>
      </w:r>
      <w:r>
        <w:rPr>
          <w:rFonts w:ascii="Microsoft Sans Serif" w:hAnsi="Microsoft Sans Serif" w:cs="Microsoft Sans Serif"/>
          <w:iCs/>
          <w:sz w:val="20"/>
          <w:szCs w:val="20"/>
          <w:lang w:val="sv-SE"/>
        </w:rPr>
        <w:t xml:space="preserve"> CYP2C19 i CYP3A4, lakozamid </w:t>
      </w:r>
      <w:r>
        <w:rPr>
          <w:rFonts w:ascii="Microsoft Sans Serif" w:hAnsi="Microsoft Sans Serif" w:cs="Microsoft Sans Serif"/>
          <w:iCs/>
          <w:sz w:val="20"/>
          <w:szCs w:val="20"/>
          <w:lang w:val="mk-MK"/>
        </w:rPr>
        <w:t>prim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mk-MK"/>
        </w:rPr>
        <w:t>enjen</w:t>
      </w:r>
      <w:r>
        <w:rPr>
          <w:rFonts w:ascii="Microsoft Sans Serif" w:hAnsi="Microsoft Sans Serif" w:cs="Microsoft Sans Serif"/>
          <w:iCs/>
          <w:sz w:val="20"/>
          <w:szCs w:val="20"/>
          <w:lang w:val="sv-SE"/>
        </w:rPr>
        <w:t xml:space="preserve"> 300 mg dva puta na dan). </w:t>
      </w:r>
    </w:p>
    <w:p w14:paraId="019FDCCD">
      <w:pPr>
        <w:tabs>
          <w:tab w:val="clear" w:pos="284"/>
        </w:tabs>
        <w:autoSpaceDE w:val="0"/>
        <w:autoSpaceDN w:val="0"/>
        <w:adjustRightInd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Omeprazol (40 mg na dan), koji je inhibitor CYP2C19, nije prouzrokovao klinički značajnu promjenu izloženosti lakozamidu. Stoga nije vjerovatno da će primjena umjerenog inhibitora CYP2C19 klinički značajno uticati na sistemsku izloženost lakozamidu.</w:t>
      </w:r>
    </w:p>
    <w:p w14:paraId="6CE64FD1">
      <w:pPr>
        <w:tabs>
          <w:tab w:val="clear" w:pos="284"/>
        </w:tabs>
        <w:autoSpaceDE w:val="0"/>
        <w:autoSpaceDN w:val="0"/>
        <w:adjustRightInd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 xml:space="preserve">Preporučuje se oprez pri istovremenom liječenju snažnim inhibitorima CYP2C9 (npr. flukonazol) i CYP3A4 (npr. itrakonazol, ketokonazol, ritonavir, klaritromicin), koje može izazvati povećanu sistemsku izloženost lakozamidu. Takve interakcije nisu utvrđene in vivo, ali su moguće na osnovu podataka in vitro. Snažni induktori enzima poput rifampicina ili kantariona (Hypericum perforatum) mogu umjereno smanjiti sistemsku izloženost lakozamidu. Dakle, treba biti oprezan kod započinjanja ili prestanka liječenja tim </w:t>
      </w:r>
      <w:r>
        <w:rPr>
          <w:rFonts w:ascii="Microsoft Sans Serif" w:hAnsi="Microsoft Sans Serif" w:cs="Microsoft Sans Serif"/>
          <w:iCs/>
          <w:sz w:val="20"/>
          <w:szCs w:val="20"/>
          <w:lang w:val="mk-MK"/>
        </w:rPr>
        <w:t xml:space="preserve">enzimskim </w:t>
      </w:r>
      <w:r>
        <w:rPr>
          <w:rFonts w:ascii="Microsoft Sans Serif" w:hAnsi="Microsoft Sans Serif" w:cs="Microsoft Sans Serif"/>
          <w:iCs/>
          <w:sz w:val="20"/>
          <w:szCs w:val="20"/>
          <w:lang w:val="sv-SE"/>
        </w:rPr>
        <w:t>induktorima.</w:t>
      </w:r>
    </w:p>
    <w:p w14:paraId="5A90F4FB">
      <w:pPr>
        <w:tabs>
          <w:tab w:val="clear" w:pos="284"/>
        </w:tabs>
        <w:autoSpaceDE w:val="0"/>
        <w:autoSpaceDN w:val="0"/>
        <w:adjustRightInd w:val="0"/>
        <w:rPr>
          <w:rFonts w:ascii="Microsoft Sans Serif" w:hAnsi="Microsoft Sans Serif" w:cs="Microsoft Sans Serif"/>
          <w:sz w:val="20"/>
          <w:szCs w:val="20"/>
          <w:lang w:val="sv-SE"/>
        </w:rPr>
      </w:pPr>
    </w:p>
    <w:p w14:paraId="06132C1C">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Antiepileptici</w:t>
      </w:r>
    </w:p>
    <w:p w14:paraId="288FE95E">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istraživanjima interakcija lakozamid nije značajno uticao na koncentracije karbamazepina i valproinske kiseline u plazmi. Karbamazepin i valproinska kiselina nisu uticali na koncentracije lakozamida u plazmi.</w:t>
      </w:r>
    </w:p>
    <w:p w14:paraId="33F881A8">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Populacione farmakokinetičke analize </w:t>
      </w:r>
      <w:r>
        <w:rPr>
          <w:rFonts w:ascii="Microsoft Sans Serif" w:hAnsi="Microsoft Sans Serif" w:cs="Microsoft Sans Serif"/>
          <w:sz w:val="20"/>
          <w:szCs w:val="20"/>
          <w:lang w:val="sr-Cyrl-RS"/>
        </w:rPr>
        <w:t xml:space="preserve">na različitim starosnim grupama </w:t>
      </w:r>
      <w:r>
        <w:rPr>
          <w:rFonts w:ascii="Microsoft Sans Serif" w:hAnsi="Microsoft Sans Serif" w:cs="Microsoft Sans Serif"/>
          <w:sz w:val="20"/>
          <w:szCs w:val="20"/>
          <w:lang w:val="sv-SE"/>
        </w:rPr>
        <w:t>procijenjeno je da istovremena primjena 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antiepilepticima koji indukuju enzime (karbamazepin, fenitoin, fenobarbital, u različitim dozama) smanjuje ukupna sistemska izloženost lakozamidu za 25% </w:t>
      </w:r>
      <w:r>
        <w:rPr>
          <w:rFonts w:ascii="Microsoft Sans Serif" w:hAnsi="Microsoft Sans Serif" w:cs="Microsoft Sans Serif"/>
          <w:sz w:val="20"/>
          <w:szCs w:val="20"/>
          <w:lang w:val="sr-Cyrl-RS"/>
        </w:rPr>
        <w:t>kod odraslih i 17% kod pedijatrijskih pacijenata.</w:t>
      </w:r>
    </w:p>
    <w:p w14:paraId="5F92E0F2">
      <w:pPr>
        <w:tabs>
          <w:tab w:val="clear" w:pos="284"/>
        </w:tabs>
        <w:autoSpaceDE w:val="0"/>
        <w:autoSpaceDN w:val="0"/>
        <w:adjustRightInd w:val="0"/>
        <w:rPr>
          <w:rFonts w:ascii="Microsoft Sans Serif" w:hAnsi="Microsoft Sans Serif" w:cs="Microsoft Sans Serif"/>
          <w:sz w:val="20"/>
          <w:szCs w:val="20"/>
          <w:lang w:val="sv-SE"/>
        </w:rPr>
      </w:pPr>
    </w:p>
    <w:p w14:paraId="20CC98BB">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Oralni kontraceptivi</w:t>
      </w:r>
    </w:p>
    <w:p w14:paraId="640BF83A">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ispitivanjima interakcija nije bilo klinički značajne interakcije između lakozamida i oralnih kontraceptiva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etinilestradiola i levonorgestrela. Istovremena primjena lijekova nije uticala na koncentracije progesterona.</w:t>
      </w:r>
    </w:p>
    <w:p w14:paraId="3A3EAF0C">
      <w:pPr>
        <w:tabs>
          <w:tab w:val="clear" w:pos="284"/>
        </w:tabs>
        <w:autoSpaceDE w:val="0"/>
        <w:autoSpaceDN w:val="0"/>
        <w:adjustRightInd w:val="0"/>
        <w:rPr>
          <w:rFonts w:ascii="Microsoft Sans Serif" w:hAnsi="Microsoft Sans Serif" w:cs="Microsoft Sans Serif"/>
          <w:sz w:val="20"/>
          <w:szCs w:val="20"/>
          <w:lang w:val="sv-SE"/>
        </w:rPr>
      </w:pPr>
    </w:p>
    <w:p w14:paraId="11CE415E">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Drugo</w:t>
      </w:r>
    </w:p>
    <w:p w14:paraId="30AE7D1B">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Ispitivanja interakcija pokazala su da lakozamid nije imao uticaja na farmakokinetiku digoksina. Nije 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klinički značajne interakcije između lakozamida i metformina.</w:t>
      </w:r>
    </w:p>
    <w:p w14:paraId="31023300">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varfarina i lakozamida ne rezultira klinički značajnom promjenom u farmakokinetici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farmakodinamici varfarina.</w:t>
      </w:r>
    </w:p>
    <w:p w14:paraId="3C6B57B3">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Iako nema dostupnih farmakokinetičkih podataka o interakcijama lakozamida i alkohola, ne može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učiti farmakodinamski efekat.</w:t>
      </w:r>
    </w:p>
    <w:p w14:paraId="7D10398D">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Manje od 15% lakozamida se vezuje za proteine. Stoga se klinički značajne interakcije sa drugim 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zbog kompetitivnog vezivanja za proteine smatraju malo vjerovatne.</w:t>
      </w:r>
    </w:p>
    <w:p w14:paraId="727CDA05">
      <w:pPr>
        <w:tabs>
          <w:tab w:val="clear" w:pos="284"/>
        </w:tabs>
        <w:autoSpaceDE w:val="0"/>
        <w:autoSpaceDN w:val="0"/>
        <w:adjustRightInd w:val="0"/>
        <w:rPr>
          <w:rFonts w:ascii="Microsoft Sans Serif" w:hAnsi="Microsoft Sans Serif" w:cs="Microsoft Sans Serif"/>
          <w:sz w:val="20"/>
          <w:szCs w:val="20"/>
          <w:lang w:val="sv-SE"/>
        </w:rPr>
      </w:pPr>
    </w:p>
    <w:p w14:paraId="3AC4DF2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4.6. Plodnost, trudnoća i dojenje</w:t>
      </w:r>
    </w:p>
    <w:p w14:paraId="2DB11C28">
      <w:pPr>
        <w:rPr>
          <w:rFonts w:ascii="Microsoft Sans Serif" w:hAnsi="Microsoft Sans Serif" w:cs="Microsoft Sans Serif"/>
          <w:sz w:val="20"/>
          <w:szCs w:val="20"/>
          <w:lang w:val="sv-SE"/>
        </w:rPr>
      </w:pPr>
    </w:p>
    <w:p w14:paraId="2C861253">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v-SE"/>
        </w:rPr>
        <w:t>Žene u reproduktivno</w:t>
      </w:r>
      <w:r>
        <w:rPr>
          <w:rFonts w:ascii="Microsoft Sans Serif" w:hAnsi="Microsoft Sans Serif" w:cs="Microsoft Sans Serif"/>
          <w:bCs/>
          <w:i/>
          <w:sz w:val="20"/>
          <w:szCs w:val="20"/>
          <w:lang w:val="sr-Cyrl-RS"/>
        </w:rPr>
        <w:t>m periodu</w:t>
      </w:r>
    </w:p>
    <w:p w14:paraId="2E79B3A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Lj</w:t>
      </w:r>
      <w:r>
        <w:rPr>
          <w:rFonts w:ascii="Microsoft Sans Serif" w:hAnsi="Microsoft Sans Serif" w:cs="Microsoft Sans Serif"/>
          <w:bCs/>
          <w:sz w:val="20"/>
          <w:szCs w:val="20"/>
          <w:lang w:val="sr-Cyrl-RS"/>
        </w:rPr>
        <w:t xml:space="preserve">ekari </w:t>
      </w:r>
      <w:r>
        <w:rPr>
          <w:rFonts w:ascii="Microsoft Sans Serif" w:hAnsi="Microsoft Sans Serif" w:cs="Microsoft Sans Serif"/>
          <w:bCs/>
          <w:sz w:val="20"/>
          <w:szCs w:val="20"/>
        </w:rPr>
        <w:t>treba</w:t>
      </w:r>
      <w:r>
        <w:rPr>
          <w:rFonts w:ascii="Microsoft Sans Serif" w:hAnsi="Microsoft Sans Serif" w:cs="Microsoft Sans Serif"/>
          <w:bCs/>
          <w:sz w:val="20"/>
          <w:szCs w:val="20"/>
          <w:lang w:val="sr-Cyrl-RS"/>
        </w:rPr>
        <w:t xml:space="preserve"> da </w:t>
      </w:r>
      <w:r>
        <w:rPr>
          <w:rFonts w:ascii="Microsoft Sans Serif" w:hAnsi="Microsoft Sans Serif" w:cs="Microsoft Sans Serif"/>
          <w:bCs/>
          <w:sz w:val="20"/>
          <w:szCs w:val="20"/>
        </w:rPr>
        <w:t>razgovar</w:t>
      </w:r>
      <w:r>
        <w:rPr>
          <w:rFonts w:ascii="Microsoft Sans Serif" w:hAnsi="Microsoft Sans Serif" w:cs="Microsoft Sans Serif"/>
          <w:bCs/>
          <w:sz w:val="20"/>
          <w:szCs w:val="20"/>
          <w:lang w:val="sr-Cyrl-RS"/>
        </w:rPr>
        <w:t xml:space="preserve">aju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planiranju</w:t>
      </w:r>
      <w:r>
        <w:rPr>
          <w:rFonts w:ascii="Microsoft Sans Serif" w:hAnsi="Microsoft Sans Serif" w:cs="Microsoft Sans Serif"/>
          <w:bCs/>
          <w:sz w:val="20"/>
          <w:szCs w:val="20"/>
          <w:lang w:val="sr-Cyrl-RS"/>
        </w:rPr>
        <w:t xml:space="preserve"> porodice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kontracepciji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ž</w:t>
      </w:r>
      <w:r>
        <w:rPr>
          <w:rFonts w:ascii="Microsoft Sans Serif" w:hAnsi="Microsoft Sans Serif" w:cs="Microsoft Sans Serif"/>
          <w:bCs/>
          <w:sz w:val="20"/>
          <w:szCs w:val="20"/>
        </w:rPr>
        <w:t>enama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reproduktivno</w:t>
      </w:r>
      <w:r>
        <w:rPr>
          <w:rFonts w:ascii="Microsoft Sans Serif" w:hAnsi="Microsoft Sans Serif" w:cs="Microsoft Sans Serif"/>
          <w:bCs/>
          <w:sz w:val="20"/>
          <w:szCs w:val="20"/>
          <w:lang w:val="sr-Cyrl-RS"/>
        </w:rPr>
        <w:t xml:space="preserve">m periodu </w:t>
      </w:r>
      <w:r>
        <w:rPr>
          <w:rFonts w:ascii="Microsoft Sans Serif" w:hAnsi="Microsoft Sans Serif" w:cs="Microsoft Sans Serif"/>
          <w:bCs/>
          <w:sz w:val="20"/>
          <w:szCs w:val="20"/>
        </w:rPr>
        <w:t>koje</w:t>
      </w:r>
      <w:r>
        <w:rPr>
          <w:rFonts w:ascii="Microsoft Sans Serif" w:hAnsi="Microsoft Sans Serif" w:cs="Microsoft Sans Serif"/>
          <w:bCs/>
          <w:sz w:val="20"/>
          <w:szCs w:val="20"/>
          <w:lang w:val="sr-Cyrl-RS"/>
        </w:rPr>
        <w:t xml:space="preserve"> su na terapiji </w:t>
      </w:r>
      <w:r>
        <w:rPr>
          <w:rFonts w:ascii="Microsoft Sans Serif" w:hAnsi="Microsoft Sans Serif" w:cs="Microsoft Sans Serif"/>
          <w:bCs/>
          <w:sz w:val="20"/>
          <w:szCs w:val="20"/>
        </w:rPr>
        <w:t>lakozamid</w:t>
      </w:r>
      <w:r>
        <w:rPr>
          <w:rFonts w:ascii="Microsoft Sans Serif" w:hAnsi="Microsoft Sans Serif" w:cs="Microsoft Sans Serif"/>
          <w:bCs/>
          <w:sz w:val="20"/>
          <w:szCs w:val="20"/>
          <w:lang w:val="sr-Cyrl-RS"/>
        </w:rPr>
        <w:t>om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dio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Trudno</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w:t>
      </w:r>
    </w:p>
    <w:p w14:paraId="54F5555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Ako</w:t>
      </w:r>
      <w:r>
        <w:rPr>
          <w:rFonts w:ascii="Microsoft Sans Serif" w:hAnsi="Microsoft Sans Serif" w:cs="Microsoft Sans Serif"/>
          <w:bCs/>
          <w:sz w:val="20"/>
          <w:szCs w:val="20"/>
          <w:lang w:val="sr-Cyrl-RS"/>
        </w:rPr>
        <w:t xml:space="preserve"> ž</w:t>
      </w:r>
      <w:r>
        <w:rPr>
          <w:rFonts w:ascii="Microsoft Sans Serif" w:hAnsi="Microsoft Sans Serif" w:cs="Microsoft Sans Serif"/>
          <w:bCs/>
          <w:sz w:val="20"/>
          <w:szCs w:val="20"/>
        </w:rPr>
        <w:t>ena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odlu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da </w:t>
      </w:r>
      <w:r>
        <w:rPr>
          <w:rFonts w:ascii="Microsoft Sans Serif" w:hAnsi="Microsoft Sans Serif" w:cs="Microsoft Sans Serif"/>
          <w:bCs/>
          <w:sz w:val="20"/>
          <w:szCs w:val="20"/>
        </w:rPr>
        <w:t>zatrud</w:t>
      </w:r>
      <w:r>
        <w:rPr>
          <w:rFonts w:ascii="Microsoft Sans Serif" w:hAnsi="Microsoft Sans Serif" w:cs="Microsoft Sans Serif"/>
          <w:bCs/>
          <w:sz w:val="20"/>
          <w:szCs w:val="20"/>
          <w:lang w:val="sr-Cyrl-RS"/>
        </w:rPr>
        <w:t xml:space="preserve">ni, </w:t>
      </w:r>
      <w:r>
        <w:rPr>
          <w:rFonts w:ascii="Microsoft Sans Serif" w:hAnsi="Microsoft Sans Serif" w:cs="Microsoft Sans Serif"/>
          <w:bCs/>
          <w:sz w:val="20"/>
          <w:szCs w:val="20"/>
        </w:rPr>
        <w:t>potrebno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pažlјivo ponovo </w:t>
      </w:r>
      <w:r>
        <w:rPr>
          <w:rFonts w:ascii="Microsoft Sans Serif" w:hAnsi="Microsoft Sans Serif" w:cs="Microsoft Sans Serif"/>
          <w:bCs/>
          <w:sz w:val="20"/>
          <w:szCs w:val="20"/>
        </w:rPr>
        <w:t>procijeniti</w:t>
      </w:r>
      <w:r>
        <w:rPr>
          <w:rFonts w:ascii="Microsoft Sans Serif" w:hAnsi="Microsoft Sans Serif" w:cs="Microsoft Sans Serif"/>
          <w:bCs/>
          <w:sz w:val="20"/>
          <w:szCs w:val="20"/>
          <w:lang w:val="sr-Cyrl-RS"/>
        </w:rPr>
        <w:t xml:space="preserv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enu </w:t>
      </w:r>
      <w:r>
        <w:rPr>
          <w:rFonts w:ascii="Microsoft Sans Serif" w:hAnsi="Microsoft Sans Serif" w:cs="Microsoft Sans Serif"/>
          <w:bCs/>
          <w:sz w:val="20"/>
          <w:szCs w:val="20"/>
        </w:rPr>
        <w:t>lakozamida</w:t>
      </w:r>
    </w:p>
    <w:p w14:paraId="242F145B">
      <w:pPr>
        <w:rPr>
          <w:rFonts w:ascii="Microsoft Sans Serif" w:hAnsi="Microsoft Sans Serif" w:cs="Microsoft Sans Serif"/>
          <w:bCs/>
          <w:sz w:val="20"/>
          <w:szCs w:val="20"/>
          <w:lang w:val="sr-Cyrl-RS"/>
        </w:rPr>
      </w:pPr>
    </w:p>
    <w:p w14:paraId="7E91E738">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Trudnoća</w:t>
      </w:r>
    </w:p>
    <w:p w14:paraId="3E60547E">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Rizik povezan sa epilepsijom i antiepileptici generalno</w:t>
      </w:r>
    </w:p>
    <w:p w14:paraId="1096371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svih antiepileptika pokaza</w:t>
      </w:r>
      <w:r>
        <w:rPr>
          <w:rFonts w:ascii="Microsoft Sans Serif" w:hAnsi="Microsoft Sans Serif" w:cs="Microsoft Sans Serif"/>
          <w:sz w:val="20"/>
          <w:szCs w:val="20"/>
          <w:lang w:val="sr-Cyrl-RS"/>
        </w:rPr>
        <w:t>no je</w:t>
      </w:r>
      <w:r>
        <w:rPr>
          <w:rFonts w:ascii="Microsoft Sans Serif" w:hAnsi="Microsoft Sans Serif" w:cs="Microsoft Sans Serif"/>
          <w:sz w:val="20"/>
          <w:szCs w:val="20"/>
          <w:lang w:val="sv-SE"/>
        </w:rPr>
        <w:t xml:space="preserve"> da se kod potomstva majki liječenih zbog epilepsije, rizik od nastanka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malformacija dvostruko ili trostruko povećava u poređenju sa očekivanom incidencom u opštoj populaciji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oko 3%. U liječenoj populaciji zabeleženo je povećanje malformacija pri politerapiji, međutim, nije jasno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kojoj su mjeri odgovorni liječenje i/ili bolest.</w:t>
      </w:r>
    </w:p>
    <w:p w14:paraId="6DCB8A7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Štaviše, efikasna antiepileptička terapija se ne smije prekidati jer pogoršanje bolesti šteti i majci i fetusu.</w:t>
      </w:r>
    </w:p>
    <w:p w14:paraId="38F6C4D8">
      <w:pPr>
        <w:rPr>
          <w:rFonts w:ascii="Microsoft Sans Serif" w:hAnsi="Microsoft Sans Serif" w:cs="Microsoft Sans Serif"/>
          <w:i/>
          <w:sz w:val="20"/>
          <w:szCs w:val="20"/>
          <w:lang w:val="sv-SE"/>
        </w:rPr>
      </w:pPr>
    </w:p>
    <w:p w14:paraId="348B409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Rizik povezan sa lakozamidom</w:t>
      </w:r>
    </w:p>
    <w:p w14:paraId="5D3A6AA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Nema odgovarajućih podataka o primjeni lakozamida kod trudnica. Ispitivanja na životinjama nisu pokazala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nikakve teratogene efekte kod pacova ili kunića, ali je zabilježena embriotoksičnost kod pacova i kunića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doza toksičnih za majke (pogledati dio 5.3). Potencijalni rizik za 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ude nije poznat.</w:t>
      </w:r>
    </w:p>
    <w:p w14:paraId="251960A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Lakozamid ne treba koristiti u trudnoći osim ako nije neophodan (ako korist za majku značajno prevazilazi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potencijalni rizik za fetus). Ako žena odluči da zatrudni, primjenu ovog lijeka treba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 procjeniti.</w:t>
      </w:r>
    </w:p>
    <w:p w14:paraId="599EC3E8">
      <w:pPr>
        <w:tabs>
          <w:tab w:val="clear" w:pos="284"/>
        </w:tabs>
        <w:autoSpaceDE w:val="0"/>
        <w:autoSpaceDN w:val="0"/>
        <w:adjustRightInd w:val="0"/>
        <w:rPr>
          <w:rFonts w:ascii="Microsoft Sans Serif" w:hAnsi="Microsoft Sans Serif" w:cs="Microsoft Sans Serif"/>
          <w:i/>
          <w:iCs/>
          <w:sz w:val="20"/>
          <w:szCs w:val="20"/>
          <w:lang w:val="sv-SE"/>
        </w:rPr>
      </w:pPr>
    </w:p>
    <w:p w14:paraId="3ACE8D2C">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Dojenje</w:t>
      </w:r>
    </w:p>
    <w:p w14:paraId="31D22C1E">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 xml:space="preserve">Lakozamid se izlučuje u majčino mlijeko </w:t>
      </w:r>
      <w:r>
        <w:rPr>
          <w:rFonts w:ascii="Microsoft Sans Serif" w:hAnsi="Microsoft Sans Serif" w:cs="Microsoft Sans Serif"/>
          <w:sz w:val="20"/>
          <w:szCs w:val="20"/>
          <w:u w:val="single"/>
          <w:lang w:val="sr-Cyrl-RS"/>
        </w:rPr>
        <w:t>kod</w:t>
      </w:r>
      <w:r>
        <w:rPr>
          <w:rFonts w:ascii="Microsoft Sans Serif" w:hAnsi="Microsoft Sans Serif" w:cs="Microsoft Sans Serif"/>
          <w:sz w:val="20"/>
          <w:szCs w:val="20"/>
          <w:u w:val="single"/>
          <w:lang w:val="sv-SE"/>
        </w:rPr>
        <w:t xml:space="preserve"> l</w:t>
      </w:r>
      <w:r>
        <w:rPr>
          <w:rFonts w:ascii="Microsoft Sans Serif" w:hAnsi="Microsoft Sans Serif" w:cs="Microsoft Sans Serif"/>
          <w:sz w:val="20"/>
          <w:szCs w:val="20"/>
          <w:u w:val="single"/>
        </w:rPr>
        <w:t>ј</w:t>
      </w:r>
      <w:r>
        <w:rPr>
          <w:rFonts w:ascii="Microsoft Sans Serif" w:hAnsi="Microsoft Sans Serif" w:cs="Microsoft Sans Serif"/>
          <w:sz w:val="20"/>
          <w:szCs w:val="20"/>
          <w:u w:val="single"/>
          <w:lang w:val="sv-SE"/>
        </w:rPr>
        <w:t>udi. Ne može se iskl</w:t>
      </w:r>
      <w:r>
        <w:rPr>
          <w:rFonts w:ascii="Microsoft Sans Serif" w:hAnsi="Microsoft Sans Serif" w:cs="Microsoft Sans Serif"/>
          <w:sz w:val="20"/>
          <w:szCs w:val="20"/>
          <w:u w:val="single"/>
        </w:rPr>
        <w:t>ј</w:t>
      </w:r>
      <w:r>
        <w:rPr>
          <w:rFonts w:ascii="Microsoft Sans Serif" w:hAnsi="Microsoft Sans Serif" w:cs="Microsoft Sans Serif"/>
          <w:sz w:val="20"/>
          <w:szCs w:val="20"/>
          <w:u w:val="single"/>
          <w:lang w:val="sv-SE"/>
        </w:rPr>
        <w:t>učiti rizik za novorođenč</w:t>
      </w:r>
      <w:r>
        <w:rPr>
          <w:rFonts w:ascii="Microsoft Sans Serif" w:hAnsi="Microsoft Sans Serif" w:cs="Microsoft Sans Serif"/>
          <w:sz w:val="20"/>
          <w:szCs w:val="20"/>
          <w:u w:val="single"/>
          <w:lang w:val="sr-Cyrl-RS"/>
        </w:rPr>
        <w:t>ad</w:t>
      </w:r>
      <w:r>
        <w:rPr>
          <w:rFonts w:ascii="Microsoft Sans Serif" w:hAnsi="Microsoft Sans Serif" w:cs="Microsoft Sans Serif"/>
          <w:sz w:val="20"/>
          <w:szCs w:val="20"/>
          <w:u w:val="single"/>
          <w:lang w:val="sv-SE"/>
        </w:rPr>
        <w:t>/</w:t>
      </w:r>
      <w:r>
        <w:rPr>
          <w:rFonts w:ascii="Microsoft Sans Serif" w:hAnsi="Microsoft Sans Serif" w:cs="Microsoft Sans Serif"/>
          <w:sz w:val="20"/>
          <w:szCs w:val="20"/>
          <w:u w:val="single"/>
          <w:lang w:val="sr-Cyrl-RS"/>
        </w:rPr>
        <w:t>odojčad</w:t>
      </w:r>
      <w:r>
        <w:rPr>
          <w:rFonts w:ascii="Microsoft Sans Serif" w:hAnsi="Microsoft Sans Serif" w:cs="Microsoft Sans Serif"/>
          <w:sz w:val="20"/>
          <w:szCs w:val="20"/>
          <w:u w:val="single"/>
          <w:lang w:val="sv-SE"/>
        </w:rPr>
        <w:t xml:space="preserve">. Preporučuje se prekid dojenja </w:t>
      </w:r>
      <w:r>
        <w:rPr>
          <w:rFonts w:ascii="Microsoft Sans Serif" w:hAnsi="Microsoft Sans Serif" w:cs="Microsoft Sans Serif"/>
          <w:sz w:val="20"/>
          <w:szCs w:val="20"/>
          <w:u w:val="single"/>
          <w:lang w:val="sr-Cyrl-RS"/>
        </w:rPr>
        <w:t>za vr</w:t>
      </w:r>
      <w:r>
        <w:rPr>
          <w:rFonts w:ascii="Microsoft Sans Serif" w:hAnsi="Microsoft Sans Serif" w:cs="Microsoft Sans Serif"/>
          <w:sz w:val="20"/>
          <w:szCs w:val="20"/>
          <w:u w:val="single"/>
          <w:lang w:val="sr-Latn-RS"/>
        </w:rPr>
        <w:t>ij</w:t>
      </w:r>
      <w:r>
        <w:rPr>
          <w:rFonts w:ascii="Microsoft Sans Serif" w:hAnsi="Microsoft Sans Serif" w:cs="Microsoft Sans Serif"/>
          <w:sz w:val="20"/>
          <w:szCs w:val="20"/>
          <w:u w:val="single"/>
          <w:lang w:val="sr-Cyrl-RS"/>
        </w:rPr>
        <w:t>eme terapije</w:t>
      </w:r>
      <w:r>
        <w:rPr>
          <w:rFonts w:ascii="Microsoft Sans Serif" w:hAnsi="Microsoft Sans Serif" w:cs="Microsoft Sans Serif"/>
          <w:sz w:val="20"/>
          <w:szCs w:val="20"/>
          <w:u w:val="single"/>
          <w:lang w:val="sv-SE"/>
        </w:rPr>
        <w:t xml:space="preserve"> lakozamidom.</w:t>
      </w:r>
    </w:p>
    <w:p w14:paraId="66F34E4B">
      <w:pPr>
        <w:tabs>
          <w:tab w:val="clear" w:pos="284"/>
        </w:tabs>
        <w:autoSpaceDE w:val="0"/>
        <w:autoSpaceDN w:val="0"/>
        <w:adjustRightInd w:val="0"/>
        <w:rPr>
          <w:rFonts w:ascii="Microsoft Sans Serif" w:hAnsi="Microsoft Sans Serif" w:cs="Microsoft Sans Serif"/>
          <w:sz w:val="20"/>
          <w:szCs w:val="20"/>
          <w:lang w:val="sv-SE"/>
        </w:rPr>
      </w:pPr>
    </w:p>
    <w:p w14:paraId="1F0F7375">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Plodnost</w:t>
      </w:r>
    </w:p>
    <w:p w14:paraId="2ECD0BAC">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ženki i mužjaka pacova nisu primjećene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reakcije povezane sa plodnošću ili reprodukcijom 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dozama koje uzrokuju izloženost (PIK) u plazmi do približno 2 puta većoj od PIK</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 plazmi kod ljudi i pri primjeni najviše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preporuče doze.</w:t>
      </w:r>
    </w:p>
    <w:p w14:paraId="0B4599DB">
      <w:pPr>
        <w:tabs>
          <w:tab w:val="clear" w:pos="284"/>
        </w:tabs>
        <w:autoSpaceDE w:val="0"/>
        <w:autoSpaceDN w:val="0"/>
        <w:adjustRightInd w:val="0"/>
        <w:rPr>
          <w:rFonts w:ascii="Microsoft Sans Serif" w:hAnsi="Microsoft Sans Serif" w:cs="Microsoft Sans Serif"/>
          <w:sz w:val="20"/>
          <w:szCs w:val="20"/>
          <w:lang w:val="sv-SE"/>
        </w:rPr>
      </w:pPr>
    </w:p>
    <w:p w14:paraId="082C2E45">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 xml:space="preserve">4.7. </w:t>
      </w:r>
      <w:r>
        <w:rPr>
          <w:rFonts w:ascii="Microsoft Sans Serif" w:hAnsi="Microsoft Sans Serif" w:cs="Microsoft Sans Serif"/>
          <w:b/>
          <w:bCs/>
          <w:sz w:val="20"/>
          <w:szCs w:val="20"/>
          <w:lang w:val="sr-Latn-CS"/>
        </w:rPr>
        <w:t xml:space="preserve">Uticaj lijeka na sposobnost upravlјanja vozilima i </w:t>
      </w:r>
      <w:r>
        <w:rPr>
          <w:rFonts w:ascii="Microsoft Sans Serif" w:hAnsi="Microsoft Sans Serif" w:cs="Microsoft Sans Serif"/>
          <w:b/>
          <w:bCs/>
          <w:iCs/>
          <w:sz w:val="20"/>
          <w:szCs w:val="20"/>
          <w:lang w:val="sv-SE"/>
        </w:rPr>
        <w:t>rada na</w:t>
      </w:r>
      <w:r>
        <w:rPr>
          <w:rFonts w:ascii="Microsoft Sans Serif" w:hAnsi="Microsoft Sans Serif" w:cs="Microsoft Sans Serif"/>
          <w:b/>
          <w:bCs/>
          <w:sz w:val="20"/>
          <w:szCs w:val="20"/>
          <w:lang w:val="sr-Latn-CS"/>
        </w:rPr>
        <w:t xml:space="preserve"> mašinama</w:t>
      </w:r>
    </w:p>
    <w:p w14:paraId="21F7BA07">
      <w:pPr>
        <w:rPr>
          <w:rFonts w:ascii="Microsoft Sans Serif" w:hAnsi="Microsoft Sans Serif" w:cs="Microsoft Sans Serif"/>
          <w:b/>
          <w:bCs/>
          <w:sz w:val="20"/>
          <w:szCs w:val="20"/>
          <w:lang w:val="sr-Latn-CS"/>
        </w:rPr>
      </w:pPr>
    </w:p>
    <w:p w14:paraId="114F2A01">
      <w:pPr>
        <w:tabs>
          <w:tab w:val="left" w:pos="567"/>
        </w:tabs>
        <w:rPr>
          <w:rFonts w:ascii="Microsoft Sans Serif" w:hAnsi="Microsoft Sans Serif" w:cs="Microsoft Sans Serif"/>
          <w:i/>
          <w:sz w:val="20"/>
          <w:szCs w:val="20"/>
          <w:lang w:val="sr-Latn-CS"/>
        </w:rPr>
      </w:pPr>
      <w:r>
        <w:rPr>
          <w:rFonts w:ascii="Microsoft Sans Serif" w:hAnsi="Microsoft Sans Serif" w:cs="Microsoft Sans Serif"/>
          <w:i/>
          <w:sz w:val="20"/>
          <w:szCs w:val="20"/>
          <w:lang w:val="bs-Latn-BA"/>
        </w:rPr>
        <w:t>∆Trigonik, lijek sa mogućim uticajem na psihofizi</w:t>
      </w:r>
      <w:r>
        <w:rPr>
          <w:rFonts w:ascii="Microsoft Sans Serif" w:hAnsi="Microsoft Sans Serif" w:cs="Microsoft Sans Serif"/>
          <w:i/>
          <w:sz w:val="20"/>
          <w:szCs w:val="20"/>
          <w:lang w:val="hr-HR"/>
        </w:rPr>
        <w:t xml:space="preserve">čke sposobnosti </w:t>
      </w:r>
      <w:r>
        <w:rPr>
          <w:rFonts w:ascii="Microsoft Sans Serif" w:hAnsi="Microsoft Sans Serif" w:cs="Microsoft Sans Serif"/>
          <w:i/>
          <w:sz w:val="20"/>
          <w:szCs w:val="20"/>
          <w:lang w:val="sr-Latn-CS"/>
        </w:rPr>
        <w:t>(</w:t>
      </w:r>
      <w:r>
        <w:rPr>
          <w:rFonts w:ascii="Microsoft Sans Serif" w:hAnsi="Microsoft Sans Serif" w:cs="Microsoft Sans Serif"/>
          <w:i/>
          <w:sz w:val="20"/>
          <w:szCs w:val="20"/>
        </w:rPr>
        <w:t>upozorenje</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prilikom</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upravljanjem</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motornim</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vozilima</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i</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ma</w:t>
      </w:r>
      <w:r>
        <w:rPr>
          <w:rFonts w:ascii="Microsoft Sans Serif" w:hAnsi="Microsoft Sans Serif" w:cs="Microsoft Sans Serif"/>
          <w:i/>
          <w:sz w:val="20"/>
          <w:szCs w:val="20"/>
          <w:lang w:val="hr-HR"/>
        </w:rPr>
        <w:t>š</w:t>
      </w:r>
      <w:r>
        <w:rPr>
          <w:rFonts w:ascii="Microsoft Sans Serif" w:hAnsi="Microsoft Sans Serif" w:cs="Microsoft Sans Serif"/>
          <w:i/>
          <w:sz w:val="20"/>
          <w:szCs w:val="20"/>
        </w:rPr>
        <w:t>inama</w:t>
      </w:r>
      <w:r>
        <w:rPr>
          <w:rFonts w:ascii="Microsoft Sans Serif" w:hAnsi="Microsoft Sans Serif" w:cs="Microsoft Sans Serif"/>
          <w:i/>
          <w:sz w:val="20"/>
          <w:szCs w:val="20"/>
          <w:lang w:val="sr-Latn-CS"/>
        </w:rPr>
        <w:t>).</w:t>
      </w:r>
    </w:p>
    <w:p w14:paraId="4F485C86">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ru-RU"/>
        </w:rPr>
        <w:t>Lakozamid</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do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ereni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uticaj</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sposobnost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upravl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vozilima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rukovanja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inama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lang w:val="ru-RU"/>
        </w:rPr>
        <w:t>enje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lakozamidom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povezano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vrtoglavicom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zamu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lang w:val="ru-RU"/>
        </w:rPr>
        <w:t>enim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vidom</w:t>
      </w:r>
      <w:r>
        <w:rPr>
          <w:rFonts w:ascii="Microsoft Sans Serif" w:hAnsi="Microsoft Sans Serif" w:cs="Microsoft Sans Serif"/>
          <w:bCs/>
          <w:sz w:val="20"/>
          <w:szCs w:val="20"/>
          <w:lang w:val="sr-Latn-CS"/>
        </w:rPr>
        <w:t>.</w:t>
      </w:r>
    </w:p>
    <w:p w14:paraId="28473C14">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skladu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tim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pacijente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treba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sav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etovati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da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upravl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vozilima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drugim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potencijalno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opasnim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inama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dok</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upoznaju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efektima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lakozamida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njihovu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sposobnost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obavl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takvih</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aktivnosti</w:t>
      </w:r>
      <w:r>
        <w:rPr>
          <w:rFonts w:ascii="Microsoft Sans Serif" w:hAnsi="Microsoft Sans Serif" w:cs="Microsoft Sans Serif"/>
          <w:bCs/>
          <w:sz w:val="20"/>
          <w:szCs w:val="20"/>
          <w:lang w:val="sr-Latn-CS"/>
        </w:rPr>
        <w:t>.</w:t>
      </w:r>
    </w:p>
    <w:p w14:paraId="4FD88CD4">
      <w:pPr>
        <w:rPr>
          <w:rFonts w:ascii="Microsoft Sans Serif" w:hAnsi="Microsoft Sans Serif" w:cs="Microsoft Sans Serif"/>
          <w:bCs/>
          <w:sz w:val="20"/>
          <w:szCs w:val="20"/>
          <w:lang w:val="sr-Latn-CS"/>
        </w:rPr>
      </w:pPr>
    </w:p>
    <w:p w14:paraId="4E8B2439">
      <w:pPr>
        <w:rPr>
          <w:rFonts w:ascii="Microsoft Sans Serif" w:hAnsi="Microsoft Sans Serif" w:cs="Microsoft Sans Serif"/>
          <w:bCs/>
          <w:sz w:val="20"/>
          <w:szCs w:val="20"/>
          <w:lang w:val="sr-Latn-CS"/>
        </w:rPr>
      </w:pPr>
    </w:p>
    <w:p w14:paraId="6152D05B">
      <w:pPr>
        <w:rPr>
          <w:rFonts w:ascii="Microsoft Sans Serif" w:hAnsi="Microsoft Sans Serif" w:cs="Microsoft Sans Serif"/>
          <w:bCs/>
          <w:sz w:val="20"/>
          <w:szCs w:val="20"/>
          <w:lang w:val="sr-Latn-CS"/>
        </w:rPr>
      </w:pPr>
    </w:p>
    <w:p w14:paraId="211ED5F8">
      <w:pPr>
        <w:rPr>
          <w:rFonts w:ascii="Microsoft Sans Serif" w:hAnsi="Microsoft Sans Serif" w:cs="Microsoft Sans Serif"/>
          <w:bCs/>
          <w:sz w:val="20"/>
          <w:szCs w:val="20"/>
          <w:lang w:val="sr-Latn-CS"/>
        </w:rPr>
      </w:pPr>
    </w:p>
    <w:p w14:paraId="14502406">
      <w:pPr>
        <w:rPr>
          <w:rFonts w:ascii="Microsoft Sans Serif" w:hAnsi="Microsoft Sans Serif" w:cs="Microsoft Sans Serif"/>
          <w:bCs/>
          <w:sz w:val="20"/>
          <w:szCs w:val="20"/>
          <w:lang w:val="sr-Latn-CS"/>
        </w:rPr>
      </w:pPr>
    </w:p>
    <w:p w14:paraId="419F7862">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4.8.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Latn-C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djelovanja</w:t>
      </w:r>
    </w:p>
    <w:p w14:paraId="1DDA1980">
      <w:pPr>
        <w:rPr>
          <w:rFonts w:ascii="Microsoft Sans Serif" w:hAnsi="Microsoft Sans Serif" w:cs="Microsoft Sans Serif"/>
          <w:sz w:val="20"/>
          <w:szCs w:val="20"/>
          <w:u w:val="single"/>
          <w:lang w:val="hr-HR"/>
        </w:rPr>
      </w:pPr>
    </w:p>
    <w:p w14:paraId="53110B6E">
      <w:pPr>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Sažetak bezbjednosnog profila</w:t>
      </w:r>
    </w:p>
    <w:p w14:paraId="4FF0632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 osnovu analize objedinjenih placebo kontrolisanih kliničkih ispitivanja u dodatnoj terapiji kod 1308</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pacijenata sa parcijalnim napadima, ukupno 61,9% pacijenata koji su randomizovano uzimali lakozamid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35,2% pacijenata koji su randomizovano dobijali placebo prijavilo je barem jednu neželјenu reakciju.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Najčešće prijavlјivane neželјene reakcije (≥10%) tokom liječenja lakozamidom bil</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hr-HR"/>
        </w:rPr>
        <w:t xml:space="preserve"> su 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glavobolјa, mučnina i diplopija. Nјihov intenzitet obično je bio blag do umjeren. Neka su zavisila od doze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mogla su biti ublažena smanjenjem doze. Incidenca i težina neželјenih dejstava centralnog nervnog sistema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(CNS) i gastrointestinalnog sistema obično su se smanjivale tokom vremena.</w:t>
      </w:r>
    </w:p>
    <w:p w14:paraId="5419F550">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Uzevši u obzir sva kontrolisana klinička ispitivanja, stopa prekida liječenja zbog neželјenih dejstava bila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12,2% kod pacijenata randomizovanih na lakozamid i 1,6% kod pacijenata randomizovanih na 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Vrtoglavica je bila najčešće neželјeno dejstvo zbog kojeg su pacijenti prekidali liječenje lakozamidom.</w:t>
      </w:r>
    </w:p>
    <w:p w14:paraId="02E4E5D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Incidenca neželјenih dejstava CNS-a kao što je vrtoglavica može biti pojačana nakon udarne doze.</w:t>
      </w:r>
    </w:p>
    <w:p w14:paraId="2252328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 osnovi analize podataka iz kliničkog ispitivanja neinferiornosti monoterapije u kojem se lakozamid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upoređivao sa karbamazepinom sa kontrolisanim oslobađanjem (</w:t>
      </w:r>
      <w:r>
        <w:rPr>
          <w:rFonts w:ascii="Microsoft Sans Serif" w:hAnsi="Microsoft Sans Serif" w:cs="Microsoft Sans Serif"/>
          <w:sz w:val="20"/>
          <w:szCs w:val="20"/>
          <w:lang w:val="sr-Latn-RS"/>
        </w:rPr>
        <w:t>CR)</w:t>
      </w:r>
      <w:r>
        <w:rPr>
          <w:rFonts w:ascii="Microsoft Sans Serif" w:hAnsi="Microsoft Sans Serif" w:cs="Microsoft Sans Serif"/>
          <w:sz w:val="20"/>
          <w:szCs w:val="20"/>
          <w:lang w:val="hr-HR"/>
        </w:rPr>
        <w:t>, najčešće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 xml:space="preserve">prijavlјena neželјena djelovanja (≥ 10%) za lakozamid bile su glavobolјa i </w:t>
      </w:r>
      <w:r>
        <w:rPr>
          <w:rFonts w:ascii="Microsoft Sans Serif" w:hAnsi="Microsoft Sans Serif" w:cs="Microsoft Sans Serif"/>
          <w:sz w:val="20"/>
          <w:szCs w:val="20"/>
          <w:lang w:val="sr-Cyrl-RS"/>
        </w:rPr>
        <w:t>vrtoglavica</w:t>
      </w:r>
      <w:r>
        <w:rPr>
          <w:rFonts w:ascii="Microsoft Sans Serif" w:hAnsi="Microsoft Sans Serif" w:cs="Microsoft Sans Serif"/>
          <w:sz w:val="20"/>
          <w:szCs w:val="20"/>
          <w:lang w:val="hr-HR"/>
        </w:rPr>
        <w:t>. Za pacijente liječene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lakozamidom stopa prekida liječenja zbog neželјenih dejst</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va bila je 10,6 %, a za pacijente liječene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karbamazepinom CR 15,6 %.</w:t>
      </w:r>
    </w:p>
    <w:p w14:paraId="46698BE9">
      <w:pPr>
        <w:rPr>
          <w:rFonts w:ascii="Microsoft Sans Serif" w:hAnsi="Microsoft Sans Serif" w:cs="Microsoft Sans Serif"/>
          <w:sz w:val="20"/>
          <w:szCs w:val="20"/>
          <w:lang w:val="hr-HR"/>
        </w:rPr>
      </w:pPr>
    </w:p>
    <w:p w14:paraId="134E37E3">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Bezbjednosni profil lakozamida prijavljen u studiji sprovedenoj kod pacijenata uzrasta 4 godine i starijih koji imaju idiopatsku generalizovanu epilepsiju sa primarno generalizovanim tonično-kloničnim napadima (PGTKN) bio je u skladu sa sigurnosnim profilom prijavljenim u objedinjenim placebo kontrolisanim kliničkim studijama kod</w:t>
      </w:r>
      <w:r>
        <w:rPr>
          <w:rFonts w:ascii="Microsoft Sans Serif" w:hAnsi="Microsoft Sans Serif" w:cs="Microsoft Sans Serif"/>
          <w:bCs/>
          <w:iCs/>
          <w:sz w:val="20"/>
          <w:szCs w:val="20"/>
          <w:lang w:val="hr-HR"/>
        </w:rPr>
        <w:t xml:space="preserve"> parcijalnih napada</w:t>
      </w:r>
      <w:r>
        <w:rPr>
          <w:rFonts w:ascii="Microsoft Sans Serif" w:hAnsi="Microsoft Sans Serif" w:cs="Microsoft Sans Serif"/>
          <w:sz w:val="20"/>
          <w:szCs w:val="20"/>
          <w:lang w:val="hr-HR"/>
        </w:rPr>
        <w:t>. Dodatne neželjene reakcije prijavljene kod pacijenata sa PGTKN bile su mioklonska epilepsija (2,5% u grupi sa lakozamidom i 0% u placebo-grupi) i ataksija (3,3% u grupi sa lakozamidom i 0% u placebo-grupi). Najčešće prijavljene neželjene reakcije bile su vrtoglavica i somnolencija. Najčešće neželjene reakcije koje su rezultirale prekidom terapije lakozamidom bile su omaglica i suicidalne misli. Stopa prekida zbog neželjenih reakcija bila je 9,1% u grupi sa lakozamidom i 4,1% u placebo grupi.</w:t>
      </w:r>
    </w:p>
    <w:p w14:paraId="55D0AC3C">
      <w:pPr>
        <w:rPr>
          <w:rFonts w:ascii="Microsoft Sans Serif" w:hAnsi="Microsoft Sans Serif" w:cs="Microsoft Sans Serif"/>
          <w:sz w:val="20"/>
          <w:szCs w:val="20"/>
          <w:lang w:val="hr-HR"/>
        </w:rPr>
      </w:pPr>
    </w:p>
    <w:p w14:paraId="5A2947D4">
      <w:pPr>
        <w:widowControl w:val="0"/>
        <w:tabs>
          <w:tab w:val="clear" w:pos="284"/>
        </w:tabs>
        <w:rPr>
          <w:rFonts w:ascii="Microsoft Sans Serif" w:hAnsi="Microsoft Sans Serif" w:eastAsia="Calibri" w:cs="Microsoft Sans Serif"/>
          <w:sz w:val="20"/>
          <w:szCs w:val="20"/>
          <w:u w:val="single"/>
          <w:lang w:val="hr-HR"/>
        </w:rPr>
      </w:pPr>
      <w:r>
        <w:rPr>
          <w:rFonts w:ascii="Microsoft Sans Serif" w:hAnsi="Microsoft Sans Serif" w:eastAsia="Calibri" w:cs="Microsoft Sans Serif"/>
          <w:sz w:val="20"/>
          <w:szCs w:val="20"/>
          <w:u w:val="single"/>
          <w:lang w:val="hr-HR"/>
        </w:rPr>
        <w:t>Tabelarni prikaz nežel</w:t>
      </w:r>
      <w:r>
        <w:rPr>
          <w:rFonts w:ascii="Microsoft Sans Serif" w:hAnsi="Microsoft Sans Serif" w:eastAsia="Calibri" w:cs="Microsoft Sans Serif"/>
          <w:sz w:val="20"/>
          <w:szCs w:val="20"/>
          <w:u w:val="single"/>
        </w:rPr>
        <w:t>ј</w:t>
      </w:r>
      <w:r>
        <w:rPr>
          <w:rFonts w:ascii="Microsoft Sans Serif" w:hAnsi="Microsoft Sans Serif" w:eastAsia="Calibri" w:cs="Microsoft Sans Serif"/>
          <w:sz w:val="20"/>
          <w:szCs w:val="20"/>
          <w:u w:val="single"/>
          <w:lang w:val="hr-HR"/>
        </w:rPr>
        <w:t>enih reakcija</w:t>
      </w:r>
    </w:p>
    <w:p w14:paraId="7CB57637">
      <w:pPr>
        <w:widowControl w:val="0"/>
        <w:tabs>
          <w:tab w:val="clear" w:pos="284"/>
        </w:tabs>
        <w:rPr>
          <w:rFonts w:ascii="Microsoft Sans Serif" w:hAnsi="Microsoft Sans Serif" w:eastAsia="Calibri" w:cs="Microsoft Sans Serif"/>
          <w:sz w:val="20"/>
          <w:szCs w:val="20"/>
          <w:lang w:val="hr-HR"/>
        </w:rPr>
      </w:pPr>
      <w:r>
        <w:rPr>
          <w:rFonts w:ascii="Microsoft Sans Serif" w:hAnsi="Microsoft Sans Serif" w:eastAsia="Calibri" w:cs="Microsoft Sans Serif"/>
          <w:sz w:val="20"/>
          <w:szCs w:val="20"/>
          <w:lang w:val="hr-HR"/>
        </w:rPr>
        <w:t>U sljedećoj tabeli prikazana je učestalost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enih reakcija prijavl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enih u kliničkim ispitivanjima i u periodu nakon stavl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anja lijeka u promet. Učestalost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enih reakcija definisana je kao: veoma često (≥ 1/10), često (≥ 1/100 i &lt; 1/10), povremeno (≥ 1/1000 i &lt; 1/100) i nepoznate učestalost (učestalost se ne može procijeniti na osnovu dostupnih podataka). Unutar svake grupe učestalost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ene reakcije je prikazana u opadajućem nizu prema ozbil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nosti.</w:t>
      </w:r>
    </w:p>
    <w:p w14:paraId="588512E4">
      <w:pPr>
        <w:widowControl w:val="0"/>
        <w:tabs>
          <w:tab w:val="clear" w:pos="284"/>
        </w:tabs>
        <w:rPr>
          <w:rFonts w:ascii="Microsoft Sans Serif" w:hAnsi="Microsoft Sans Serif" w:eastAsia="Calibri" w:cs="Microsoft Sans Serif"/>
          <w:sz w:val="20"/>
          <w:szCs w:val="20"/>
          <w:lang w:val="hr-HR"/>
        </w:rPr>
      </w:pPr>
    </w:p>
    <w:tbl>
      <w:tblPr>
        <w:tblStyle w:val="12"/>
        <w:tblW w:w="0" w:type="auto"/>
        <w:tblInd w:w="0" w:type="dxa"/>
        <w:tblLayout w:type="fixed"/>
        <w:tblCellMar>
          <w:top w:w="0" w:type="dxa"/>
          <w:left w:w="0" w:type="dxa"/>
          <w:bottom w:w="0" w:type="dxa"/>
          <w:right w:w="0" w:type="dxa"/>
        </w:tblCellMar>
      </w:tblPr>
      <w:tblGrid>
        <w:gridCol w:w="1980"/>
        <w:gridCol w:w="1276"/>
        <w:gridCol w:w="2311"/>
        <w:gridCol w:w="1601"/>
        <w:gridCol w:w="2014"/>
      </w:tblGrid>
      <w:tr w14:paraId="3A7D2897">
        <w:tblPrEx>
          <w:tblCellMar>
            <w:top w:w="0" w:type="dxa"/>
            <w:left w:w="0" w:type="dxa"/>
            <w:bottom w:w="0" w:type="dxa"/>
            <w:right w:w="0" w:type="dxa"/>
          </w:tblCellMar>
        </w:tblPrEx>
        <w:trPr>
          <w:trHeight w:val="516" w:hRule="exact"/>
        </w:trPr>
        <w:tc>
          <w:tcPr>
            <w:tcW w:w="1980" w:type="dxa"/>
            <w:tcBorders>
              <w:top w:val="single" w:color="000000" w:sz="4" w:space="0"/>
              <w:left w:val="single" w:color="000000" w:sz="4" w:space="0"/>
              <w:bottom w:val="single" w:color="000000" w:sz="4" w:space="0"/>
              <w:right w:val="single" w:color="000000" w:sz="4" w:space="0"/>
            </w:tcBorders>
          </w:tcPr>
          <w:p w14:paraId="043298D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Klasa sistema organa</w:t>
            </w:r>
          </w:p>
        </w:tc>
        <w:tc>
          <w:tcPr>
            <w:tcW w:w="1276" w:type="dxa"/>
            <w:tcBorders>
              <w:top w:val="single" w:color="000000" w:sz="4" w:space="0"/>
              <w:left w:val="single" w:color="000000" w:sz="4" w:space="0"/>
              <w:bottom w:val="single" w:color="000000" w:sz="4" w:space="0"/>
              <w:right w:val="single" w:color="000000" w:sz="4" w:space="0"/>
            </w:tcBorders>
          </w:tcPr>
          <w:p w14:paraId="241EF63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često</w:t>
            </w:r>
          </w:p>
        </w:tc>
        <w:tc>
          <w:tcPr>
            <w:tcW w:w="2311" w:type="dxa"/>
            <w:tcBorders>
              <w:top w:val="single" w:color="000000" w:sz="4" w:space="0"/>
              <w:left w:val="single" w:color="000000" w:sz="4" w:space="0"/>
              <w:bottom w:val="single" w:color="000000" w:sz="4" w:space="0"/>
              <w:right w:val="single" w:color="000000" w:sz="4" w:space="0"/>
            </w:tcBorders>
          </w:tcPr>
          <w:p w14:paraId="52D8114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1601" w:type="dxa"/>
            <w:tcBorders>
              <w:top w:val="single" w:color="000000" w:sz="4" w:space="0"/>
              <w:left w:val="single" w:color="000000" w:sz="4" w:space="0"/>
              <w:bottom w:val="single" w:color="000000" w:sz="4" w:space="0"/>
              <w:right w:val="single" w:color="000000" w:sz="4" w:space="0"/>
            </w:tcBorders>
          </w:tcPr>
          <w:p w14:paraId="461B388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014" w:type="dxa"/>
            <w:tcBorders>
              <w:top w:val="single" w:color="000000" w:sz="4" w:space="0"/>
              <w:left w:val="single" w:color="000000" w:sz="4" w:space="0"/>
              <w:bottom w:val="single" w:color="000000" w:sz="4" w:space="0"/>
              <w:right w:val="single" w:color="000000" w:sz="4" w:space="0"/>
            </w:tcBorders>
          </w:tcPr>
          <w:p w14:paraId="1D53FF7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Nepoznate učestalosti</w:t>
            </w:r>
          </w:p>
        </w:tc>
      </w:tr>
      <w:tr w14:paraId="5D1665F5">
        <w:tblPrEx>
          <w:tblCellMar>
            <w:top w:w="0" w:type="dxa"/>
            <w:left w:w="0" w:type="dxa"/>
            <w:bottom w:w="0" w:type="dxa"/>
            <w:right w:w="0" w:type="dxa"/>
          </w:tblCellMar>
        </w:tblPrEx>
        <w:trPr>
          <w:trHeight w:val="770" w:hRule="exact"/>
        </w:trPr>
        <w:tc>
          <w:tcPr>
            <w:tcW w:w="1980" w:type="dxa"/>
            <w:tcBorders>
              <w:top w:val="single" w:color="000000" w:sz="4" w:space="0"/>
              <w:left w:val="single" w:color="000000" w:sz="4" w:space="0"/>
              <w:bottom w:val="single" w:color="000000" w:sz="4" w:space="0"/>
              <w:right w:val="single" w:color="000000" w:sz="4" w:space="0"/>
            </w:tcBorders>
          </w:tcPr>
          <w:p w14:paraId="6E8AFBF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krvi i limfnog sistema</w:t>
            </w:r>
          </w:p>
        </w:tc>
        <w:tc>
          <w:tcPr>
            <w:tcW w:w="1276" w:type="dxa"/>
            <w:tcBorders>
              <w:top w:val="single" w:color="000000" w:sz="4" w:space="0"/>
              <w:left w:val="single" w:color="000000" w:sz="4" w:space="0"/>
              <w:bottom w:val="single" w:color="000000" w:sz="4" w:space="0"/>
              <w:right w:val="single" w:color="000000" w:sz="4" w:space="0"/>
            </w:tcBorders>
          </w:tcPr>
          <w:p w14:paraId="64F083F9">
            <w:pPr>
              <w:widowControl w:val="0"/>
              <w:tabs>
                <w:tab w:val="clear" w:pos="284"/>
              </w:tabs>
              <w:jc w:val="left"/>
              <w:rPr>
                <w:rFonts w:ascii="Microsoft Sans Serif" w:hAnsi="Microsoft Sans Serif" w:eastAsia="Calibri" w:cs="Microsoft Sans Serif"/>
                <w:sz w:val="20"/>
                <w:szCs w:val="20"/>
                <w:lang w:val="sv-SE"/>
              </w:rPr>
            </w:pPr>
          </w:p>
        </w:tc>
        <w:tc>
          <w:tcPr>
            <w:tcW w:w="2311" w:type="dxa"/>
            <w:tcBorders>
              <w:top w:val="single" w:color="000000" w:sz="4" w:space="0"/>
              <w:left w:val="single" w:color="000000" w:sz="4" w:space="0"/>
              <w:bottom w:val="single" w:color="000000" w:sz="4" w:space="0"/>
              <w:right w:val="single" w:color="000000" w:sz="4" w:space="0"/>
            </w:tcBorders>
          </w:tcPr>
          <w:p w14:paraId="7A03DA78">
            <w:pPr>
              <w:widowControl w:val="0"/>
              <w:tabs>
                <w:tab w:val="clear" w:pos="284"/>
              </w:tabs>
              <w:jc w:val="left"/>
              <w:rPr>
                <w:rFonts w:ascii="Microsoft Sans Serif" w:hAnsi="Microsoft Sans Serif" w:eastAsia="Calibri" w:cs="Microsoft Sans Serif"/>
                <w:sz w:val="20"/>
                <w:szCs w:val="20"/>
                <w:lang w:val="sv-SE"/>
              </w:rPr>
            </w:pPr>
          </w:p>
        </w:tc>
        <w:tc>
          <w:tcPr>
            <w:tcW w:w="1601" w:type="dxa"/>
            <w:tcBorders>
              <w:top w:val="single" w:color="000000" w:sz="4" w:space="0"/>
              <w:left w:val="single" w:color="000000" w:sz="4" w:space="0"/>
              <w:bottom w:val="single" w:color="000000" w:sz="4" w:space="0"/>
              <w:right w:val="single" w:color="000000" w:sz="4" w:space="0"/>
            </w:tcBorders>
          </w:tcPr>
          <w:p w14:paraId="00E126D5">
            <w:pPr>
              <w:widowControl w:val="0"/>
              <w:tabs>
                <w:tab w:val="clear" w:pos="284"/>
              </w:tabs>
              <w:jc w:val="left"/>
              <w:rPr>
                <w:rFonts w:ascii="Microsoft Sans Serif" w:hAnsi="Microsoft Sans Serif" w:eastAsia="Calibri" w:cs="Microsoft Sans Serif"/>
                <w:sz w:val="20"/>
                <w:szCs w:val="20"/>
                <w:lang w:val="sv-SE"/>
              </w:rPr>
            </w:pPr>
          </w:p>
        </w:tc>
        <w:tc>
          <w:tcPr>
            <w:tcW w:w="2014" w:type="dxa"/>
            <w:tcBorders>
              <w:top w:val="single" w:color="000000" w:sz="4" w:space="0"/>
              <w:left w:val="single" w:color="000000" w:sz="4" w:space="0"/>
              <w:bottom w:val="single" w:color="000000" w:sz="4" w:space="0"/>
              <w:right w:val="single" w:color="000000" w:sz="4" w:space="0"/>
            </w:tcBorders>
          </w:tcPr>
          <w:p w14:paraId="589B68F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Agranulocitoza</w:t>
            </w:r>
            <w:r>
              <w:rPr>
                <w:rFonts w:ascii="Microsoft Sans Serif" w:hAnsi="Microsoft Sans Serif" w:cs="Microsoft Sans Serif"/>
                <w:sz w:val="20"/>
                <w:szCs w:val="20"/>
                <w:vertAlign w:val="superscript"/>
              </w:rPr>
              <w:t>(1)</w:t>
            </w:r>
          </w:p>
        </w:tc>
      </w:tr>
      <w:tr w14:paraId="1BB68D0F">
        <w:tblPrEx>
          <w:tblCellMar>
            <w:top w:w="0" w:type="dxa"/>
            <w:left w:w="0" w:type="dxa"/>
            <w:bottom w:w="0" w:type="dxa"/>
            <w:right w:w="0" w:type="dxa"/>
          </w:tblCellMar>
        </w:tblPrEx>
        <w:trPr>
          <w:trHeight w:val="1269" w:hRule="exact"/>
        </w:trPr>
        <w:tc>
          <w:tcPr>
            <w:tcW w:w="1980" w:type="dxa"/>
            <w:tcBorders>
              <w:top w:val="single" w:color="000000" w:sz="4" w:space="0"/>
              <w:left w:val="single" w:color="000000" w:sz="4" w:space="0"/>
              <w:bottom w:val="single" w:color="000000" w:sz="4" w:space="0"/>
              <w:right w:val="single" w:color="000000" w:sz="4" w:space="0"/>
            </w:tcBorders>
          </w:tcPr>
          <w:p w14:paraId="3F523CF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imunskog sistema</w:t>
            </w:r>
          </w:p>
        </w:tc>
        <w:tc>
          <w:tcPr>
            <w:tcW w:w="1276" w:type="dxa"/>
            <w:tcBorders>
              <w:top w:val="single" w:color="000000" w:sz="4" w:space="0"/>
              <w:left w:val="single" w:color="000000" w:sz="4" w:space="0"/>
              <w:bottom w:val="single" w:color="000000" w:sz="4" w:space="0"/>
              <w:right w:val="single" w:color="000000" w:sz="4" w:space="0"/>
            </w:tcBorders>
          </w:tcPr>
          <w:p w14:paraId="50F9F58C">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204DD494">
            <w:pPr>
              <w:widowControl w:val="0"/>
              <w:tabs>
                <w:tab w:val="clear" w:pos="284"/>
              </w:tabs>
              <w:jc w:val="left"/>
              <w:rPr>
                <w:rFonts w:ascii="Microsoft Sans Serif" w:hAnsi="Microsoft Sans Serif" w:eastAsia="Calibri" w:cs="Microsoft Sans Serif"/>
                <w:sz w:val="20"/>
                <w:szCs w:val="20"/>
              </w:rPr>
            </w:pPr>
          </w:p>
        </w:tc>
        <w:tc>
          <w:tcPr>
            <w:tcW w:w="1601" w:type="dxa"/>
            <w:tcBorders>
              <w:top w:val="single" w:color="000000" w:sz="4" w:space="0"/>
              <w:left w:val="single" w:color="000000" w:sz="4" w:space="0"/>
              <w:bottom w:val="single" w:color="000000" w:sz="4" w:space="0"/>
              <w:right w:val="single" w:color="000000" w:sz="4" w:space="0"/>
            </w:tcBorders>
          </w:tcPr>
          <w:p w14:paraId="64E0E7A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Preos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etlјivost na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w:t>
            </w:r>
            <w:r>
              <w:rPr>
                <w:rFonts w:ascii="Microsoft Sans Serif" w:hAnsi="Microsoft Sans Serif" w:cs="Microsoft Sans Serif"/>
                <w:sz w:val="20"/>
                <w:szCs w:val="20"/>
                <w:vertAlign w:val="superscript"/>
              </w:rPr>
              <w:t>(1)</w:t>
            </w:r>
          </w:p>
        </w:tc>
        <w:tc>
          <w:tcPr>
            <w:tcW w:w="2014" w:type="dxa"/>
            <w:tcBorders>
              <w:top w:val="single" w:color="000000" w:sz="4" w:space="0"/>
              <w:left w:val="single" w:color="000000" w:sz="4" w:space="0"/>
              <w:bottom w:val="single" w:color="000000" w:sz="4" w:space="0"/>
              <w:right w:val="single" w:color="000000" w:sz="4" w:space="0"/>
            </w:tcBorders>
          </w:tcPr>
          <w:p w14:paraId="2323490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Reakcija na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sa eozinofilijom i sistemskim simptomima </w:t>
            </w:r>
            <w:r>
              <w:rPr>
                <w:rFonts w:ascii="Microsoft Sans Serif" w:hAnsi="Microsoft Sans Serif" w:cs="Microsoft Sans Serif"/>
                <w:sz w:val="20"/>
                <w:szCs w:val="20"/>
                <w:lang w:val="sv-SE"/>
              </w:rPr>
              <w:t xml:space="preserve">(DRESS) </w:t>
            </w:r>
            <w:r>
              <w:rPr>
                <w:rFonts w:ascii="Microsoft Sans Serif" w:hAnsi="Microsoft Sans Serif" w:cs="Microsoft Sans Serif"/>
                <w:sz w:val="20"/>
                <w:szCs w:val="20"/>
                <w:vertAlign w:val="superscript"/>
                <w:lang w:val="sv-SE"/>
              </w:rPr>
              <w:t>(1,2)</w:t>
            </w:r>
          </w:p>
        </w:tc>
      </w:tr>
      <w:tr w14:paraId="45364F13">
        <w:tblPrEx>
          <w:tblCellMar>
            <w:top w:w="0" w:type="dxa"/>
            <w:left w:w="0" w:type="dxa"/>
            <w:bottom w:w="0" w:type="dxa"/>
            <w:right w:w="0" w:type="dxa"/>
          </w:tblCellMar>
        </w:tblPrEx>
        <w:trPr>
          <w:trHeight w:val="2833" w:hRule="exact"/>
        </w:trPr>
        <w:tc>
          <w:tcPr>
            <w:tcW w:w="1980" w:type="dxa"/>
            <w:tcBorders>
              <w:top w:val="single" w:color="000000" w:sz="4" w:space="0"/>
              <w:left w:val="single" w:color="000000" w:sz="4" w:space="0"/>
              <w:bottom w:val="single" w:color="000000" w:sz="4" w:space="0"/>
              <w:right w:val="single" w:color="000000" w:sz="4" w:space="0"/>
            </w:tcBorders>
          </w:tcPr>
          <w:p w14:paraId="454E2C4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Psihijatrijski poremećaji</w:t>
            </w:r>
          </w:p>
        </w:tc>
        <w:tc>
          <w:tcPr>
            <w:tcW w:w="1276" w:type="dxa"/>
            <w:tcBorders>
              <w:top w:val="single" w:color="000000" w:sz="4" w:space="0"/>
              <w:left w:val="single" w:color="000000" w:sz="4" w:space="0"/>
              <w:bottom w:val="single" w:color="000000" w:sz="4" w:space="0"/>
              <w:right w:val="single" w:color="000000" w:sz="4" w:space="0"/>
            </w:tcBorders>
          </w:tcPr>
          <w:p w14:paraId="6306541F">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04D6146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Depresija</w:t>
            </w:r>
          </w:p>
          <w:p w14:paraId="23D9D03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Stanje konfuzije</w:t>
            </w:r>
          </w:p>
          <w:p w14:paraId="7616BB0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Nesanica</w:t>
            </w:r>
            <w:r>
              <w:rPr>
                <w:rFonts w:ascii="Microsoft Sans Serif" w:hAnsi="Microsoft Sans Serif" w:cs="Microsoft Sans Serif"/>
                <w:sz w:val="20"/>
                <w:szCs w:val="20"/>
                <w:vertAlign w:val="superscript"/>
              </w:rPr>
              <w:t>(1)</w:t>
            </w:r>
          </w:p>
        </w:tc>
        <w:tc>
          <w:tcPr>
            <w:tcW w:w="1601" w:type="dxa"/>
            <w:tcBorders>
              <w:top w:val="single" w:color="000000" w:sz="4" w:space="0"/>
              <w:left w:val="single" w:color="000000" w:sz="4" w:space="0"/>
              <w:bottom w:val="single" w:color="000000" w:sz="4" w:space="0"/>
              <w:right w:val="single" w:color="000000" w:sz="4" w:space="0"/>
            </w:tcBorders>
          </w:tcPr>
          <w:p w14:paraId="6111F9F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Agresija</w:t>
            </w:r>
          </w:p>
          <w:p w14:paraId="09AEA33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Agitacija</w:t>
            </w:r>
            <w:r>
              <w:rPr>
                <w:rFonts w:ascii="Microsoft Sans Serif" w:hAnsi="Microsoft Sans Serif" w:cs="Microsoft Sans Serif"/>
                <w:sz w:val="20"/>
                <w:szCs w:val="20"/>
                <w:vertAlign w:val="superscript"/>
                <w:lang w:val="sr-Cyrl-RS"/>
              </w:rPr>
              <w:t>(1)</w:t>
            </w:r>
          </w:p>
          <w:p w14:paraId="0BB92B5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Euforično raspoloženje</w:t>
            </w:r>
            <w:r>
              <w:rPr>
                <w:rFonts w:ascii="Microsoft Sans Serif" w:hAnsi="Microsoft Sans Serif" w:cs="Microsoft Sans Serif"/>
                <w:sz w:val="20"/>
                <w:szCs w:val="20"/>
                <w:vertAlign w:val="superscript"/>
                <w:lang w:val="sr-Cyrl-RS"/>
              </w:rPr>
              <w:t>(1)</w:t>
            </w:r>
          </w:p>
          <w:p w14:paraId="59C0435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Psihotični poremećaj</w:t>
            </w:r>
            <w:r>
              <w:rPr>
                <w:rFonts w:ascii="Microsoft Sans Serif" w:hAnsi="Microsoft Sans Serif" w:cs="Microsoft Sans Serif"/>
                <w:sz w:val="20"/>
                <w:szCs w:val="20"/>
                <w:vertAlign w:val="superscript"/>
                <w:lang w:val="sr-Cyrl-RS"/>
              </w:rPr>
              <w:t>(1)</w:t>
            </w:r>
          </w:p>
          <w:p w14:paraId="3FE4CDF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Pokušaj samoubistva</w:t>
            </w:r>
            <w:r>
              <w:rPr>
                <w:rFonts w:ascii="Microsoft Sans Serif" w:hAnsi="Microsoft Sans Serif" w:cs="Microsoft Sans Serif"/>
                <w:sz w:val="20"/>
                <w:szCs w:val="20"/>
                <w:vertAlign w:val="superscript"/>
                <w:lang w:val="sr-Cyrl-RS"/>
              </w:rPr>
              <w:t>(1)</w:t>
            </w:r>
            <w:r>
              <w:rPr>
                <w:rFonts w:ascii="Microsoft Sans Serif" w:hAnsi="Microsoft Sans Serif" w:cs="Microsoft Sans Serif"/>
                <w:sz w:val="20"/>
                <w:szCs w:val="20"/>
                <w:lang w:val="sr-Cyrl-RS"/>
              </w:rPr>
              <w:t xml:space="preserve"> </w:t>
            </w:r>
          </w:p>
          <w:p w14:paraId="47BEDA7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Suicidne ideje Halucinacije</w:t>
            </w:r>
            <w:r>
              <w:rPr>
                <w:rFonts w:ascii="Microsoft Sans Serif" w:hAnsi="Microsoft Sans Serif" w:cs="Microsoft Sans Serif"/>
                <w:sz w:val="20"/>
                <w:szCs w:val="20"/>
                <w:vertAlign w:val="superscript"/>
                <w:lang w:val="sr-Cyrl-RS"/>
              </w:rPr>
              <w:t>(1)</w:t>
            </w:r>
          </w:p>
        </w:tc>
        <w:tc>
          <w:tcPr>
            <w:tcW w:w="2014" w:type="dxa"/>
            <w:tcBorders>
              <w:top w:val="single" w:color="000000" w:sz="4" w:space="0"/>
              <w:left w:val="single" w:color="000000" w:sz="4" w:space="0"/>
              <w:bottom w:val="single" w:color="000000" w:sz="4" w:space="0"/>
              <w:right w:val="single" w:color="000000" w:sz="4" w:space="0"/>
            </w:tcBorders>
          </w:tcPr>
          <w:p w14:paraId="7FCF0D18">
            <w:pPr>
              <w:widowControl w:val="0"/>
              <w:tabs>
                <w:tab w:val="clear" w:pos="284"/>
              </w:tabs>
              <w:jc w:val="left"/>
              <w:rPr>
                <w:rFonts w:ascii="Microsoft Sans Serif" w:hAnsi="Microsoft Sans Serif" w:eastAsia="Calibri" w:cs="Microsoft Sans Serif"/>
                <w:sz w:val="20"/>
                <w:szCs w:val="20"/>
                <w:lang w:val="sr-Cyrl-RS"/>
              </w:rPr>
            </w:pPr>
          </w:p>
        </w:tc>
      </w:tr>
      <w:tr w14:paraId="16AD8C10">
        <w:tblPrEx>
          <w:tblCellMar>
            <w:top w:w="0" w:type="dxa"/>
            <w:left w:w="0" w:type="dxa"/>
            <w:bottom w:w="0" w:type="dxa"/>
            <w:right w:w="0" w:type="dxa"/>
          </w:tblCellMar>
        </w:tblPrEx>
        <w:trPr>
          <w:trHeight w:val="3550" w:hRule="exact"/>
        </w:trPr>
        <w:tc>
          <w:tcPr>
            <w:tcW w:w="1980" w:type="dxa"/>
            <w:tcBorders>
              <w:top w:val="single" w:color="000000" w:sz="4" w:space="0"/>
              <w:left w:val="single" w:color="000000" w:sz="4" w:space="0"/>
              <w:bottom w:val="single" w:color="000000" w:sz="4" w:space="0"/>
              <w:right w:val="single" w:color="000000" w:sz="4" w:space="0"/>
            </w:tcBorders>
          </w:tcPr>
          <w:p w14:paraId="4F84616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nervnog sistema</w:t>
            </w:r>
          </w:p>
        </w:tc>
        <w:tc>
          <w:tcPr>
            <w:tcW w:w="1276" w:type="dxa"/>
            <w:tcBorders>
              <w:top w:val="single" w:color="000000" w:sz="4" w:space="0"/>
              <w:left w:val="single" w:color="000000" w:sz="4" w:space="0"/>
              <w:bottom w:val="single" w:color="000000" w:sz="4" w:space="0"/>
              <w:right w:val="single" w:color="000000" w:sz="4" w:space="0"/>
            </w:tcBorders>
          </w:tcPr>
          <w:p w14:paraId="2499433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Vrtoglavica</w:t>
            </w:r>
          </w:p>
          <w:p w14:paraId="26B3B7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c>
          <w:tcPr>
            <w:tcW w:w="2311" w:type="dxa"/>
            <w:tcBorders>
              <w:top w:val="single" w:color="000000" w:sz="4" w:space="0"/>
              <w:left w:val="single" w:color="000000" w:sz="4" w:space="0"/>
              <w:bottom w:val="single" w:color="000000" w:sz="4" w:space="0"/>
              <w:right w:val="single" w:color="000000" w:sz="4" w:space="0"/>
            </w:tcBorders>
          </w:tcPr>
          <w:p w14:paraId="6E662BB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Mioklonski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napadi</w:t>
            </w:r>
            <w:r>
              <w:rPr>
                <w:rFonts w:ascii="Microsoft Sans Serif" w:hAnsi="Microsoft Sans Serif" w:cs="Microsoft Sans Serif"/>
                <w:sz w:val="20"/>
                <w:szCs w:val="20"/>
                <w:vertAlign w:val="superscript"/>
                <w:lang w:val="sr-Cyrl-RS"/>
              </w:rPr>
              <w:t>(3)</w:t>
            </w:r>
          </w:p>
          <w:p w14:paraId="60A733D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Ataksija</w:t>
            </w:r>
          </w:p>
          <w:p w14:paraId="578F7C8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ravnoteže</w:t>
            </w:r>
          </w:p>
          <w:p w14:paraId="36AA056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Oštećenje pamćenja</w:t>
            </w:r>
          </w:p>
          <w:p w14:paraId="339E85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Kognitivni poremećaj</w:t>
            </w:r>
          </w:p>
          <w:p w14:paraId="636DCE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Somnolencija</w:t>
            </w:r>
          </w:p>
          <w:p w14:paraId="06A4FA7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Tremor </w:t>
            </w:r>
          </w:p>
          <w:p w14:paraId="022900A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Nistagmus </w:t>
            </w:r>
          </w:p>
          <w:p w14:paraId="7A0A7ED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Hipoestezija </w:t>
            </w:r>
          </w:p>
          <w:p w14:paraId="7FB2356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Dizartrija</w:t>
            </w:r>
            <w:r>
              <w:rPr>
                <w:rFonts w:ascii="Microsoft Sans Serif" w:hAnsi="Microsoft Sans Serif" w:cs="Microsoft Sans Serif"/>
                <w:sz w:val="20"/>
                <w:szCs w:val="20"/>
              </w:rPr>
              <w:t xml:space="preserve"> </w:t>
            </w:r>
          </w:p>
          <w:p w14:paraId="72B7EC6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Poremećaj pažnje Parestezija</w:t>
            </w:r>
          </w:p>
        </w:tc>
        <w:tc>
          <w:tcPr>
            <w:tcW w:w="1601" w:type="dxa"/>
            <w:tcBorders>
              <w:top w:val="single" w:color="000000" w:sz="4" w:space="0"/>
              <w:left w:val="single" w:color="000000" w:sz="4" w:space="0"/>
              <w:bottom w:val="single" w:color="000000" w:sz="4" w:space="0"/>
              <w:right w:val="single" w:color="000000" w:sz="4" w:space="0"/>
            </w:tcBorders>
          </w:tcPr>
          <w:p w14:paraId="14F56E4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Sinkopa</w:t>
            </w:r>
            <w:r>
              <w:rPr>
                <w:rFonts w:ascii="Microsoft Sans Serif" w:hAnsi="Microsoft Sans Serif" w:cs="Microsoft Sans Serif"/>
                <w:sz w:val="20"/>
                <w:szCs w:val="20"/>
                <w:vertAlign w:val="superscript"/>
              </w:rPr>
              <w:t>(2)</w:t>
            </w:r>
          </w:p>
          <w:p w14:paraId="06B1EB4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Abnormalna koordinacija</w:t>
            </w:r>
          </w:p>
          <w:p w14:paraId="2695916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Diskinezija</w:t>
            </w:r>
          </w:p>
        </w:tc>
        <w:tc>
          <w:tcPr>
            <w:tcW w:w="2014" w:type="dxa"/>
            <w:tcBorders>
              <w:top w:val="single" w:color="000000" w:sz="4" w:space="0"/>
              <w:left w:val="single" w:color="000000" w:sz="4" w:space="0"/>
              <w:bottom w:val="single" w:color="000000" w:sz="4" w:space="0"/>
              <w:right w:val="single" w:color="000000" w:sz="4" w:space="0"/>
            </w:tcBorders>
          </w:tcPr>
          <w:p w14:paraId="52F8324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Konvulzija</w:t>
            </w:r>
            <w:r>
              <w:rPr>
                <w:rFonts w:ascii="Microsoft Sans Serif" w:hAnsi="Microsoft Sans Serif" w:cs="Microsoft Sans Serif"/>
                <w:sz w:val="20"/>
                <w:szCs w:val="20"/>
                <w:vertAlign w:val="superscript"/>
              </w:rPr>
              <w:t>(3)</w:t>
            </w:r>
          </w:p>
        </w:tc>
      </w:tr>
      <w:tr w14:paraId="3C54AE2C">
        <w:tblPrEx>
          <w:tblCellMar>
            <w:top w:w="0" w:type="dxa"/>
            <w:left w:w="0" w:type="dxa"/>
            <w:bottom w:w="0" w:type="dxa"/>
            <w:right w:w="0" w:type="dxa"/>
          </w:tblCellMar>
        </w:tblPrEx>
        <w:trPr>
          <w:trHeight w:val="264" w:hRule="exact"/>
        </w:trPr>
        <w:tc>
          <w:tcPr>
            <w:tcW w:w="1980" w:type="dxa"/>
            <w:tcBorders>
              <w:top w:val="single" w:color="000000" w:sz="4" w:space="0"/>
              <w:left w:val="single" w:color="000000" w:sz="4" w:space="0"/>
              <w:bottom w:val="single" w:color="000000" w:sz="4" w:space="0"/>
              <w:right w:val="single" w:color="000000" w:sz="4" w:space="0"/>
            </w:tcBorders>
          </w:tcPr>
          <w:p w14:paraId="1AE2F31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oka</w:t>
            </w:r>
          </w:p>
        </w:tc>
        <w:tc>
          <w:tcPr>
            <w:tcW w:w="1276" w:type="dxa"/>
            <w:tcBorders>
              <w:top w:val="single" w:color="000000" w:sz="4" w:space="0"/>
              <w:left w:val="single" w:color="000000" w:sz="4" w:space="0"/>
              <w:bottom w:val="single" w:color="000000" w:sz="4" w:space="0"/>
              <w:right w:val="single" w:color="000000" w:sz="4" w:space="0"/>
            </w:tcBorders>
          </w:tcPr>
          <w:p w14:paraId="0F958D4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Diplopija</w:t>
            </w:r>
          </w:p>
        </w:tc>
        <w:tc>
          <w:tcPr>
            <w:tcW w:w="2311" w:type="dxa"/>
            <w:tcBorders>
              <w:top w:val="single" w:color="000000" w:sz="4" w:space="0"/>
              <w:left w:val="single" w:color="000000" w:sz="4" w:space="0"/>
              <w:bottom w:val="single" w:color="000000" w:sz="4" w:space="0"/>
              <w:right w:val="single" w:color="000000" w:sz="4" w:space="0"/>
            </w:tcBorders>
          </w:tcPr>
          <w:p w14:paraId="775AC72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Zamućen vid</w:t>
            </w:r>
          </w:p>
        </w:tc>
        <w:tc>
          <w:tcPr>
            <w:tcW w:w="1601" w:type="dxa"/>
            <w:tcBorders>
              <w:top w:val="single" w:color="000000" w:sz="4" w:space="0"/>
              <w:left w:val="single" w:color="000000" w:sz="4" w:space="0"/>
              <w:bottom w:val="single" w:color="000000" w:sz="4" w:space="0"/>
              <w:right w:val="single" w:color="000000" w:sz="4" w:space="0"/>
            </w:tcBorders>
          </w:tcPr>
          <w:p w14:paraId="7096C02A">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6256F07C">
            <w:pPr>
              <w:widowControl w:val="0"/>
              <w:tabs>
                <w:tab w:val="clear" w:pos="284"/>
              </w:tabs>
              <w:jc w:val="left"/>
              <w:rPr>
                <w:rFonts w:ascii="Microsoft Sans Serif" w:hAnsi="Microsoft Sans Serif" w:eastAsia="Calibri" w:cs="Microsoft Sans Serif"/>
                <w:sz w:val="20"/>
                <w:szCs w:val="20"/>
              </w:rPr>
            </w:pPr>
          </w:p>
        </w:tc>
      </w:tr>
      <w:tr w14:paraId="06E70F58">
        <w:tblPrEx>
          <w:tblCellMar>
            <w:top w:w="0" w:type="dxa"/>
            <w:left w:w="0" w:type="dxa"/>
            <w:bottom w:w="0" w:type="dxa"/>
            <w:right w:w="0" w:type="dxa"/>
          </w:tblCellMar>
        </w:tblPrEx>
        <w:trPr>
          <w:trHeight w:val="516" w:hRule="exact"/>
        </w:trPr>
        <w:tc>
          <w:tcPr>
            <w:tcW w:w="1980" w:type="dxa"/>
            <w:tcBorders>
              <w:top w:val="single" w:color="000000" w:sz="4" w:space="0"/>
              <w:left w:val="single" w:color="000000" w:sz="4" w:space="0"/>
              <w:bottom w:val="single" w:color="000000" w:sz="4" w:space="0"/>
              <w:right w:val="single" w:color="000000" w:sz="4" w:space="0"/>
            </w:tcBorders>
          </w:tcPr>
          <w:p w14:paraId="17AAA1C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uha i labirinta</w:t>
            </w:r>
          </w:p>
        </w:tc>
        <w:tc>
          <w:tcPr>
            <w:tcW w:w="1276" w:type="dxa"/>
            <w:tcBorders>
              <w:top w:val="single" w:color="000000" w:sz="4" w:space="0"/>
              <w:left w:val="single" w:color="000000" w:sz="4" w:space="0"/>
              <w:bottom w:val="single" w:color="000000" w:sz="4" w:space="0"/>
              <w:right w:val="single" w:color="000000" w:sz="4" w:space="0"/>
            </w:tcBorders>
          </w:tcPr>
          <w:p w14:paraId="080C45CE">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59DE97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Vertigo</w:t>
            </w:r>
          </w:p>
          <w:p w14:paraId="4B62FA4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Tinitus</w:t>
            </w:r>
          </w:p>
        </w:tc>
        <w:tc>
          <w:tcPr>
            <w:tcW w:w="1601" w:type="dxa"/>
            <w:tcBorders>
              <w:top w:val="single" w:color="000000" w:sz="4" w:space="0"/>
              <w:left w:val="single" w:color="000000" w:sz="4" w:space="0"/>
              <w:bottom w:val="single" w:color="000000" w:sz="4" w:space="0"/>
              <w:right w:val="single" w:color="000000" w:sz="4" w:space="0"/>
            </w:tcBorders>
          </w:tcPr>
          <w:p w14:paraId="2F291212">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55A71BEC">
            <w:pPr>
              <w:widowControl w:val="0"/>
              <w:tabs>
                <w:tab w:val="clear" w:pos="284"/>
              </w:tabs>
              <w:jc w:val="left"/>
              <w:rPr>
                <w:rFonts w:ascii="Microsoft Sans Serif" w:hAnsi="Microsoft Sans Serif" w:eastAsia="Calibri" w:cs="Microsoft Sans Serif"/>
                <w:sz w:val="20"/>
                <w:szCs w:val="20"/>
              </w:rPr>
            </w:pPr>
          </w:p>
        </w:tc>
      </w:tr>
      <w:tr w14:paraId="5BE16CAB">
        <w:tblPrEx>
          <w:tblCellMar>
            <w:top w:w="0" w:type="dxa"/>
            <w:left w:w="0" w:type="dxa"/>
            <w:bottom w:w="0" w:type="dxa"/>
            <w:right w:w="0" w:type="dxa"/>
          </w:tblCellMar>
        </w:tblPrEx>
        <w:trPr>
          <w:trHeight w:val="1783" w:hRule="exact"/>
        </w:trPr>
        <w:tc>
          <w:tcPr>
            <w:tcW w:w="1980" w:type="dxa"/>
            <w:tcBorders>
              <w:top w:val="single" w:color="000000" w:sz="4" w:space="0"/>
              <w:left w:val="single" w:color="000000" w:sz="4" w:space="0"/>
              <w:bottom w:val="single" w:color="000000" w:sz="4" w:space="0"/>
              <w:right w:val="single" w:color="000000" w:sz="4" w:space="0"/>
            </w:tcBorders>
          </w:tcPr>
          <w:p w14:paraId="694457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Kardiološki poremećaji</w:t>
            </w:r>
          </w:p>
        </w:tc>
        <w:tc>
          <w:tcPr>
            <w:tcW w:w="1276" w:type="dxa"/>
            <w:tcBorders>
              <w:top w:val="single" w:color="000000" w:sz="4" w:space="0"/>
              <w:left w:val="single" w:color="000000" w:sz="4" w:space="0"/>
              <w:bottom w:val="single" w:color="000000" w:sz="4" w:space="0"/>
              <w:right w:val="single" w:color="000000" w:sz="4" w:space="0"/>
            </w:tcBorders>
          </w:tcPr>
          <w:p w14:paraId="7DEEA27F">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46DCDC32">
            <w:pPr>
              <w:widowControl w:val="0"/>
              <w:tabs>
                <w:tab w:val="clear" w:pos="284"/>
              </w:tabs>
              <w:jc w:val="left"/>
              <w:rPr>
                <w:rFonts w:ascii="Microsoft Sans Serif" w:hAnsi="Microsoft Sans Serif" w:eastAsia="Calibri" w:cs="Microsoft Sans Serif"/>
                <w:sz w:val="20"/>
                <w:szCs w:val="20"/>
              </w:rPr>
            </w:pPr>
          </w:p>
        </w:tc>
        <w:tc>
          <w:tcPr>
            <w:tcW w:w="1601" w:type="dxa"/>
            <w:tcBorders>
              <w:top w:val="single" w:color="000000" w:sz="4" w:space="0"/>
              <w:left w:val="single" w:color="000000" w:sz="4" w:space="0"/>
              <w:bottom w:val="single" w:color="000000" w:sz="4" w:space="0"/>
              <w:right w:val="single" w:color="000000" w:sz="4" w:space="0"/>
            </w:tcBorders>
          </w:tcPr>
          <w:p w14:paraId="21F83FF6">
            <w:pPr>
              <w:widowControl w:val="0"/>
              <w:tabs>
                <w:tab w:val="clear" w:pos="284"/>
              </w:tabs>
              <w:jc w:val="left"/>
              <w:rPr>
                <w:rFonts w:ascii="Microsoft Sans Serif" w:hAnsi="Microsoft Sans Serif" w:cs="Microsoft Sans Serif"/>
                <w:sz w:val="20"/>
                <w:szCs w:val="20"/>
                <w:vertAlign w:val="superscript"/>
              </w:rPr>
            </w:pPr>
            <w:r>
              <w:rPr>
                <w:rFonts w:ascii="Microsoft Sans Serif" w:hAnsi="Microsoft Sans Serif" w:cs="Microsoft Sans Serif"/>
                <w:sz w:val="20"/>
                <w:szCs w:val="20"/>
                <w:lang w:val="sr-Cyrl-RS"/>
              </w:rPr>
              <w:t>Atrioventrikularni blok</w:t>
            </w:r>
            <w:r>
              <w:rPr>
                <w:rFonts w:ascii="Microsoft Sans Serif" w:hAnsi="Microsoft Sans Serif" w:cs="Microsoft Sans Serif"/>
                <w:sz w:val="20"/>
                <w:szCs w:val="20"/>
                <w:vertAlign w:val="superscript"/>
              </w:rPr>
              <w:t>(1,2)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Bradikardija</w:t>
            </w:r>
            <w:r>
              <w:rPr>
                <w:rFonts w:ascii="Microsoft Sans Serif" w:hAnsi="Microsoft Sans Serif" w:cs="Microsoft Sans Serif"/>
                <w:sz w:val="20"/>
                <w:szCs w:val="20"/>
                <w:vertAlign w:val="superscript"/>
              </w:rPr>
              <w:t>(1,2)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Atrijalna fibrilacija</w:t>
            </w:r>
            <w:r>
              <w:rPr>
                <w:rFonts w:ascii="Microsoft Sans Serif" w:hAnsi="Microsoft Sans Serif" w:cs="Microsoft Sans Serif"/>
                <w:sz w:val="20"/>
                <w:szCs w:val="20"/>
                <w:vertAlign w:val="superscript"/>
              </w:rPr>
              <w:t>(1,2)</w:t>
            </w:r>
          </w:p>
          <w:p w14:paraId="4BBA730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Atrijalni flater</w:t>
            </w:r>
            <w:r>
              <w:rPr>
                <w:rFonts w:ascii="Microsoft Sans Serif" w:hAnsi="Microsoft Sans Serif" w:cs="Microsoft Sans Serif"/>
                <w:sz w:val="20"/>
                <w:szCs w:val="20"/>
                <w:vertAlign w:val="superscript"/>
              </w:rPr>
              <w:t>(1,2)</w:t>
            </w:r>
          </w:p>
        </w:tc>
        <w:tc>
          <w:tcPr>
            <w:tcW w:w="2014" w:type="dxa"/>
            <w:tcBorders>
              <w:top w:val="single" w:color="000000" w:sz="4" w:space="0"/>
              <w:left w:val="single" w:color="000000" w:sz="4" w:space="0"/>
              <w:bottom w:val="single" w:color="000000" w:sz="4" w:space="0"/>
              <w:right w:val="single" w:color="000000" w:sz="4" w:space="0"/>
            </w:tcBorders>
          </w:tcPr>
          <w:p w14:paraId="4ADB5890">
            <w:pPr>
              <w:widowControl w:val="0"/>
              <w:tabs>
                <w:tab w:val="clear" w:pos="284"/>
              </w:tabs>
              <w:jc w:val="left"/>
              <w:rPr>
                <w:rFonts w:ascii="Microsoft Sans Serif" w:hAnsi="Microsoft Sans Serif" w:eastAsia="Calibri" w:cs="Microsoft Sans Serif"/>
                <w:sz w:val="20"/>
                <w:szCs w:val="20"/>
              </w:rPr>
            </w:pPr>
            <w:r>
              <w:rPr>
                <w:rFonts w:ascii="Microsoft Sans Serif" w:hAnsi="Microsoft Sans Serif" w:cs="Microsoft Sans Serif"/>
                <w:sz w:val="20"/>
                <w:szCs w:val="20"/>
                <w:lang w:val="sr-Cyrl-RS"/>
              </w:rPr>
              <w:t>Ventrikularna tahiaritmija</w:t>
            </w:r>
            <w:r>
              <w:rPr>
                <w:rFonts w:ascii="Microsoft Sans Serif" w:hAnsi="Microsoft Sans Serif" w:cs="Microsoft Sans Serif"/>
                <w:sz w:val="20"/>
                <w:szCs w:val="20"/>
                <w:vertAlign w:val="superscript"/>
              </w:rPr>
              <w:t>(1)</w:t>
            </w:r>
          </w:p>
        </w:tc>
      </w:tr>
      <w:tr w14:paraId="0BAB6E98">
        <w:tblPrEx>
          <w:tblCellMar>
            <w:top w:w="0" w:type="dxa"/>
            <w:left w:w="0" w:type="dxa"/>
            <w:bottom w:w="0" w:type="dxa"/>
            <w:right w:w="0" w:type="dxa"/>
          </w:tblCellMar>
        </w:tblPrEx>
        <w:trPr>
          <w:trHeight w:val="1697" w:hRule="exact"/>
        </w:trPr>
        <w:tc>
          <w:tcPr>
            <w:tcW w:w="1980" w:type="dxa"/>
            <w:tcBorders>
              <w:top w:val="single" w:color="000000" w:sz="4" w:space="0"/>
              <w:left w:val="single" w:color="000000" w:sz="4" w:space="0"/>
              <w:bottom w:val="single" w:color="000000" w:sz="4" w:space="0"/>
              <w:right w:val="single" w:color="000000" w:sz="4" w:space="0"/>
            </w:tcBorders>
          </w:tcPr>
          <w:p w14:paraId="7212CC9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Gastrointestinalni poremećaji</w:t>
            </w:r>
          </w:p>
        </w:tc>
        <w:tc>
          <w:tcPr>
            <w:tcW w:w="1276" w:type="dxa"/>
            <w:tcBorders>
              <w:top w:val="single" w:color="000000" w:sz="4" w:space="0"/>
              <w:left w:val="single" w:color="000000" w:sz="4" w:space="0"/>
              <w:bottom w:val="single" w:color="000000" w:sz="4" w:space="0"/>
              <w:right w:val="single" w:color="000000" w:sz="4" w:space="0"/>
            </w:tcBorders>
          </w:tcPr>
          <w:p w14:paraId="563F88F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Mučnina</w:t>
            </w:r>
          </w:p>
        </w:tc>
        <w:tc>
          <w:tcPr>
            <w:tcW w:w="2311" w:type="dxa"/>
            <w:tcBorders>
              <w:top w:val="single" w:color="000000" w:sz="4" w:space="0"/>
              <w:left w:val="single" w:color="000000" w:sz="4" w:space="0"/>
              <w:bottom w:val="single" w:color="000000" w:sz="4" w:space="0"/>
              <w:right w:val="single" w:color="000000" w:sz="4" w:space="0"/>
            </w:tcBorders>
          </w:tcPr>
          <w:p w14:paraId="5E76F40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Povraćanje</w:t>
            </w:r>
          </w:p>
          <w:p w14:paraId="147B96A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Konstipacija</w:t>
            </w:r>
          </w:p>
          <w:p w14:paraId="644EE7F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Nadutost </w:t>
            </w:r>
          </w:p>
          <w:p w14:paraId="4225FF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Dispepsija </w:t>
            </w:r>
          </w:p>
          <w:p w14:paraId="46C75B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Suva usta </w:t>
            </w:r>
          </w:p>
          <w:p w14:paraId="691E035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Dijareja</w:t>
            </w:r>
          </w:p>
        </w:tc>
        <w:tc>
          <w:tcPr>
            <w:tcW w:w="1601" w:type="dxa"/>
            <w:tcBorders>
              <w:top w:val="single" w:color="000000" w:sz="4" w:space="0"/>
              <w:left w:val="single" w:color="000000" w:sz="4" w:space="0"/>
              <w:bottom w:val="single" w:color="000000" w:sz="4" w:space="0"/>
              <w:right w:val="single" w:color="000000" w:sz="4" w:space="0"/>
            </w:tcBorders>
          </w:tcPr>
          <w:p w14:paraId="3F73DB14">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5AA8755E">
            <w:pPr>
              <w:widowControl w:val="0"/>
              <w:tabs>
                <w:tab w:val="clear" w:pos="284"/>
              </w:tabs>
              <w:jc w:val="left"/>
              <w:rPr>
                <w:rFonts w:ascii="Microsoft Sans Serif" w:hAnsi="Microsoft Sans Serif" w:eastAsia="Calibri" w:cs="Microsoft Sans Serif"/>
                <w:sz w:val="20"/>
                <w:szCs w:val="20"/>
              </w:rPr>
            </w:pPr>
          </w:p>
        </w:tc>
      </w:tr>
      <w:tr w14:paraId="5868E79F">
        <w:tblPrEx>
          <w:tblCellMar>
            <w:top w:w="0" w:type="dxa"/>
            <w:left w:w="0" w:type="dxa"/>
            <w:bottom w:w="0" w:type="dxa"/>
            <w:right w:w="0" w:type="dxa"/>
          </w:tblCellMar>
        </w:tblPrEx>
        <w:trPr>
          <w:trHeight w:val="1872" w:hRule="exact"/>
        </w:trPr>
        <w:tc>
          <w:tcPr>
            <w:tcW w:w="1980" w:type="dxa"/>
            <w:tcBorders>
              <w:top w:val="single" w:color="000000" w:sz="4" w:space="0"/>
              <w:left w:val="single" w:color="000000" w:sz="4" w:space="0"/>
              <w:bottom w:val="single" w:color="000000" w:sz="4" w:space="0"/>
              <w:right w:val="single" w:color="000000" w:sz="4" w:space="0"/>
            </w:tcBorders>
          </w:tcPr>
          <w:p w14:paraId="4ABE6FB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Hepatobilijarni poremećaji</w:t>
            </w:r>
          </w:p>
        </w:tc>
        <w:tc>
          <w:tcPr>
            <w:tcW w:w="1276" w:type="dxa"/>
            <w:tcBorders>
              <w:top w:val="single" w:color="000000" w:sz="4" w:space="0"/>
              <w:left w:val="single" w:color="000000" w:sz="4" w:space="0"/>
              <w:bottom w:val="single" w:color="000000" w:sz="4" w:space="0"/>
              <w:right w:val="single" w:color="000000" w:sz="4" w:space="0"/>
            </w:tcBorders>
          </w:tcPr>
          <w:p w14:paraId="06D0D005">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13C9120E">
            <w:pPr>
              <w:widowControl w:val="0"/>
              <w:tabs>
                <w:tab w:val="clear" w:pos="284"/>
              </w:tabs>
              <w:jc w:val="left"/>
              <w:rPr>
                <w:rFonts w:ascii="Microsoft Sans Serif" w:hAnsi="Microsoft Sans Serif" w:eastAsia="Calibri" w:cs="Microsoft Sans Serif"/>
                <w:sz w:val="20"/>
                <w:szCs w:val="20"/>
              </w:rPr>
            </w:pPr>
          </w:p>
        </w:tc>
        <w:tc>
          <w:tcPr>
            <w:tcW w:w="1601" w:type="dxa"/>
            <w:tcBorders>
              <w:top w:val="single" w:color="000000" w:sz="4" w:space="0"/>
              <w:left w:val="single" w:color="000000" w:sz="4" w:space="0"/>
              <w:bottom w:val="single" w:color="000000" w:sz="4" w:space="0"/>
              <w:right w:val="single" w:color="000000" w:sz="4" w:space="0"/>
            </w:tcBorders>
          </w:tcPr>
          <w:p w14:paraId="23C66C7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u testovima funkcije jetre</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Povišene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ednosti enzima jetre</w:t>
            </w:r>
          </w:p>
          <w:p w14:paraId="0E3AFE3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(&gt; 2x ULN)</w:t>
            </w:r>
            <w:r>
              <w:rPr>
                <w:rFonts w:ascii="Microsoft Sans Serif" w:hAnsi="Microsoft Sans Serif" w:cs="Microsoft Sans Serif"/>
                <w:sz w:val="20"/>
                <w:szCs w:val="20"/>
                <w:vertAlign w:val="superscript"/>
              </w:rPr>
              <w:t>(1)</w:t>
            </w:r>
          </w:p>
        </w:tc>
        <w:tc>
          <w:tcPr>
            <w:tcW w:w="2014" w:type="dxa"/>
            <w:tcBorders>
              <w:top w:val="single" w:color="000000" w:sz="4" w:space="0"/>
              <w:left w:val="single" w:color="000000" w:sz="4" w:space="0"/>
              <w:bottom w:val="single" w:color="000000" w:sz="4" w:space="0"/>
              <w:right w:val="single" w:color="000000" w:sz="4" w:space="0"/>
            </w:tcBorders>
          </w:tcPr>
          <w:p w14:paraId="08379C04">
            <w:pPr>
              <w:widowControl w:val="0"/>
              <w:tabs>
                <w:tab w:val="clear" w:pos="284"/>
              </w:tabs>
              <w:jc w:val="left"/>
              <w:rPr>
                <w:rFonts w:ascii="Microsoft Sans Serif" w:hAnsi="Microsoft Sans Serif" w:eastAsia="Calibri" w:cs="Microsoft Sans Serif"/>
                <w:sz w:val="20"/>
                <w:szCs w:val="20"/>
              </w:rPr>
            </w:pPr>
          </w:p>
        </w:tc>
      </w:tr>
      <w:tr w14:paraId="37DDFF45">
        <w:tblPrEx>
          <w:tblCellMar>
            <w:top w:w="0" w:type="dxa"/>
            <w:left w:w="0" w:type="dxa"/>
            <w:bottom w:w="0" w:type="dxa"/>
            <w:right w:w="0" w:type="dxa"/>
          </w:tblCellMar>
        </w:tblPrEx>
        <w:trPr>
          <w:trHeight w:val="1700" w:hRule="exact"/>
        </w:trPr>
        <w:tc>
          <w:tcPr>
            <w:tcW w:w="1980" w:type="dxa"/>
            <w:tcBorders>
              <w:top w:val="single" w:color="000000" w:sz="4" w:space="0"/>
              <w:left w:val="single" w:color="000000" w:sz="4" w:space="0"/>
              <w:bottom w:val="single" w:color="000000" w:sz="4" w:space="0"/>
              <w:right w:val="single" w:color="000000" w:sz="4" w:space="0"/>
            </w:tcBorders>
          </w:tcPr>
          <w:p w14:paraId="4B8A920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kože i potkožnog tkiva</w:t>
            </w:r>
          </w:p>
        </w:tc>
        <w:tc>
          <w:tcPr>
            <w:tcW w:w="1276" w:type="dxa"/>
            <w:tcBorders>
              <w:top w:val="single" w:color="000000" w:sz="4" w:space="0"/>
              <w:left w:val="single" w:color="000000" w:sz="4" w:space="0"/>
              <w:bottom w:val="single" w:color="000000" w:sz="4" w:space="0"/>
              <w:right w:val="single" w:color="000000" w:sz="4" w:space="0"/>
            </w:tcBorders>
          </w:tcPr>
          <w:p w14:paraId="1E102900">
            <w:pPr>
              <w:widowControl w:val="0"/>
              <w:tabs>
                <w:tab w:val="clear" w:pos="284"/>
              </w:tabs>
              <w:jc w:val="left"/>
              <w:rPr>
                <w:rFonts w:ascii="Microsoft Sans Serif" w:hAnsi="Microsoft Sans Serif" w:eastAsia="Calibri" w:cs="Microsoft Sans Serif"/>
                <w:sz w:val="20"/>
                <w:szCs w:val="20"/>
                <w:lang w:val="sv-SE"/>
              </w:rPr>
            </w:pPr>
          </w:p>
        </w:tc>
        <w:tc>
          <w:tcPr>
            <w:tcW w:w="2311" w:type="dxa"/>
            <w:tcBorders>
              <w:top w:val="single" w:color="000000" w:sz="4" w:space="0"/>
              <w:left w:val="single" w:color="000000" w:sz="4" w:space="0"/>
              <w:bottom w:val="single" w:color="000000" w:sz="4" w:space="0"/>
              <w:right w:val="single" w:color="000000" w:sz="4" w:space="0"/>
            </w:tcBorders>
          </w:tcPr>
          <w:p w14:paraId="6D01A96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Pruritus</w:t>
            </w:r>
          </w:p>
          <w:p w14:paraId="73CCF4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Osip</w:t>
            </w:r>
            <w:r>
              <w:rPr>
                <w:rFonts w:ascii="Microsoft Sans Serif" w:hAnsi="Microsoft Sans Serif" w:cs="Microsoft Sans Serif"/>
                <w:sz w:val="20"/>
                <w:szCs w:val="20"/>
                <w:vertAlign w:val="superscript"/>
              </w:rPr>
              <w:t>(1)</w:t>
            </w:r>
          </w:p>
        </w:tc>
        <w:tc>
          <w:tcPr>
            <w:tcW w:w="1601" w:type="dxa"/>
            <w:tcBorders>
              <w:top w:val="single" w:color="000000" w:sz="4" w:space="0"/>
              <w:left w:val="single" w:color="000000" w:sz="4" w:space="0"/>
              <w:bottom w:val="single" w:color="000000" w:sz="4" w:space="0"/>
              <w:right w:val="single" w:color="000000" w:sz="4" w:space="0"/>
            </w:tcBorders>
          </w:tcPr>
          <w:p w14:paraId="18D6D1F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Angioedem</w:t>
            </w:r>
            <w:r>
              <w:rPr>
                <w:rFonts w:ascii="Microsoft Sans Serif" w:hAnsi="Microsoft Sans Serif" w:cs="Microsoft Sans Serif"/>
                <w:sz w:val="20"/>
                <w:szCs w:val="20"/>
                <w:vertAlign w:val="superscript"/>
              </w:rPr>
              <w:t>(1)</w:t>
            </w:r>
          </w:p>
          <w:p w14:paraId="044153E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Urtikarija</w:t>
            </w:r>
            <w:r>
              <w:rPr>
                <w:rFonts w:ascii="Microsoft Sans Serif" w:hAnsi="Microsoft Sans Serif" w:cs="Microsoft Sans Serif"/>
                <w:sz w:val="20"/>
                <w:szCs w:val="20"/>
                <w:vertAlign w:val="superscript"/>
              </w:rPr>
              <w:t>(1)</w:t>
            </w:r>
          </w:p>
        </w:tc>
        <w:tc>
          <w:tcPr>
            <w:tcW w:w="2014" w:type="dxa"/>
            <w:tcBorders>
              <w:top w:val="single" w:color="000000" w:sz="4" w:space="0"/>
              <w:left w:val="single" w:color="000000" w:sz="4" w:space="0"/>
              <w:bottom w:val="single" w:color="000000" w:sz="4" w:space="0"/>
              <w:right w:val="single" w:color="000000" w:sz="4" w:space="0"/>
            </w:tcBorders>
          </w:tcPr>
          <w:p w14:paraId="593BE19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Stevens-Johnson</w:t>
            </w:r>
            <w:r>
              <w:rPr>
                <w:rFonts w:ascii="Microsoft Sans Serif" w:hAnsi="Microsoft Sans Serif" w:cs="Microsoft Sans Serif"/>
                <w:sz w:val="20"/>
                <w:szCs w:val="20"/>
                <w:lang w:val="sr-Cyrl-RS"/>
              </w:rPr>
              <w:t>-ov sindrom</w:t>
            </w:r>
            <w:r>
              <w:rPr>
                <w:rFonts w:ascii="Microsoft Sans Serif" w:hAnsi="Microsoft Sans Serif" w:cs="Microsoft Sans Serif"/>
                <w:sz w:val="20"/>
                <w:szCs w:val="20"/>
                <w:vertAlign w:val="superscript"/>
                <w:lang w:val="sv-SE"/>
              </w:rPr>
              <w:t>(1)</w:t>
            </w:r>
          </w:p>
          <w:p w14:paraId="694930B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Toksična epidermalna nekroliza</w:t>
            </w:r>
            <w:r>
              <w:rPr>
                <w:rFonts w:ascii="Microsoft Sans Serif" w:hAnsi="Microsoft Sans Serif" w:cs="Microsoft Sans Serif"/>
                <w:sz w:val="20"/>
                <w:szCs w:val="20"/>
                <w:vertAlign w:val="superscript"/>
                <w:lang w:val="sv-SE"/>
              </w:rPr>
              <w:t>(1)</w:t>
            </w:r>
          </w:p>
        </w:tc>
      </w:tr>
      <w:tr w14:paraId="1649BCEB">
        <w:tblPrEx>
          <w:tblCellMar>
            <w:top w:w="0" w:type="dxa"/>
            <w:left w:w="0" w:type="dxa"/>
            <w:bottom w:w="0" w:type="dxa"/>
            <w:right w:w="0" w:type="dxa"/>
          </w:tblCellMar>
        </w:tblPrEx>
        <w:trPr>
          <w:trHeight w:val="1143" w:hRule="exact"/>
        </w:trPr>
        <w:tc>
          <w:tcPr>
            <w:tcW w:w="1980" w:type="dxa"/>
            <w:tcBorders>
              <w:top w:val="single" w:color="000000" w:sz="4" w:space="0"/>
              <w:left w:val="single" w:color="000000" w:sz="4" w:space="0"/>
              <w:bottom w:val="single" w:color="000000" w:sz="4" w:space="0"/>
              <w:right w:val="single" w:color="000000" w:sz="4" w:space="0"/>
            </w:tcBorders>
          </w:tcPr>
          <w:p w14:paraId="5A96D5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mišićno-koštanog sistema i vezivnog tkiva</w:t>
            </w:r>
          </w:p>
        </w:tc>
        <w:tc>
          <w:tcPr>
            <w:tcW w:w="1276" w:type="dxa"/>
            <w:tcBorders>
              <w:top w:val="single" w:color="000000" w:sz="4" w:space="0"/>
              <w:left w:val="single" w:color="000000" w:sz="4" w:space="0"/>
              <w:bottom w:val="single" w:color="000000" w:sz="4" w:space="0"/>
              <w:right w:val="single" w:color="000000" w:sz="4" w:space="0"/>
            </w:tcBorders>
          </w:tcPr>
          <w:p w14:paraId="6785BA5D">
            <w:pPr>
              <w:widowControl w:val="0"/>
              <w:tabs>
                <w:tab w:val="clear" w:pos="284"/>
              </w:tabs>
              <w:jc w:val="left"/>
              <w:rPr>
                <w:rFonts w:ascii="Microsoft Sans Serif" w:hAnsi="Microsoft Sans Serif" w:eastAsia="Calibri" w:cs="Microsoft Sans Serif"/>
                <w:sz w:val="20"/>
                <w:szCs w:val="20"/>
                <w:lang w:val="sv-SE"/>
              </w:rPr>
            </w:pPr>
          </w:p>
        </w:tc>
        <w:tc>
          <w:tcPr>
            <w:tcW w:w="2311" w:type="dxa"/>
            <w:tcBorders>
              <w:top w:val="single" w:color="000000" w:sz="4" w:space="0"/>
              <w:left w:val="single" w:color="000000" w:sz="4" w:space="0"/>
              <w:bottom w:val="single" w:color="000000" w:sz="4" w:space="0"/>
              <w:right w:val="single" w:color="000000" w:sz="4" w:space="0"/>
            </w:tcBorders>
          </w:tcPr>
          <w:p w14:paraId="104B7BD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Grčevi mišića</w:t>
            </w:r>
          </w:p>
        </w:tc>
        <w:tc>
          <w:tcPr>
            <w:tcW w:w="1601" w:type="dxa"/>
            <w:tcBorders>
              <w:top w:val="single" w:color="000000" w:sz="4" w:space="0"/>
              <w:left w:val="single" w:color="000000" w:sz="4" w:space="0"/>
              <w:bottom w:val="single" w:color="000000" w:sz="4" w:space="0"/>
              <w:right w:val="single" w:color="000000" w:sz="4" w:space="0"/>
            </w:tcBorders>
          </w:tcPr>
          <w:p w14:paraId="3ADAE330">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7A4A7A7B">
            <w:pPr>
              <w:widowControl w:val="0"/>
              <w:tabs>
                <w:tab w:val="clear" w:pos="284"/>
              </w:tabs>
              <w:jc w:val="left"/>
              <w:rPr>
                <w:rFonts w:ascii="Microsoft Sans Serif" w:hAnsi="Microsoft Sans Serif" w:eastAsia="Calibri" w:cs="Microsoft Sans Serif"/>
                <w:sz w:val="20"/>
                <w:szCs w:val="20"/>
              </w:rPr>
            </w:pPr>
          </w:p>
        </w:tc>
      </w:tr>
      <w:tr w14:paraId="710C9E07">
        <w:tblPrEx>
          <w:tblCellMar>
            <w:top w:w="0" w:type="dxa"/>
            <w:left w:w="0" w:type="dxa"/>
            <w:bottom w:w="0" w:type="dxa"/>
            <w:right w:w="0" w:type="dxa"/>
          </w:tblCellMar>
        </w:tblPrEx>
        <w:trPr>
          <w:trHeight w:val="1556" w:hRule="exact"/>
        </w:trPr>
        <w:tc>
          <w:tcPr>
            <w:tcW w:w="1980" w:type="dxa"/>
            <w:tcBorders>
              <w:top w:val="single" w:color="000000" w:sz="4" w:space="0"/>
              <w:left w:val="single" w:color="000000" w:sz="4" w:space="0"/>
              <w:bottom w:val="single" w:color="000000" w:sz="4" w:space="0"/>
              <w:right w:val="single" w:color="000000" w:sz="4" w:space="0"/>
            </w:tcBorders>
          </w:tcPr>
          <w:p w14:paraId="25E13D2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Opšti poremećaji i reakcije na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estu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ene</w:t>
            </w:r>
          </w:p>
        </w:tc>
        <w:tc>
          <w:tcPr>
            <w:tcW w:w="1276" w:type="dxa"/>
            <w:tcBorders>
              <w:top w:val="single" w:color="000000" w:sz="4" w:space="0"/>
              <w:left w:val="single" w:color="000000" w:sz="4" w:space="0"/>
              <w:bottom w:val="single" w:color="000000" w:sz="4" w:space="0"/>
              <w:right w:val="single" w:color="000000" w:sz="4" w:space="0"/>
            </w:tcBorders>
          </w:tcPr>
          <w:p w14:paraId="4CF369A4">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3128911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hodanja</w:t>
            </w:r>
          </w:p>
          <w:p w14:paraId="7C5226D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Astenija</w:t>
            </w:r>
          </w:p>
          <w:p w14:paraId="76AA0FD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w:t>
            </w:r>
          </w:p>
          <w:p w14:paraId="752F0C1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Razdražlјivost</w:t>
            </w:r>
            <w:r>
              <w:rPr>
                <w:rFonts w:ascii="Microsoft Sans Serif" w:hAnsi="Microsoft Sans Serif" w:cs="Microsoft Sans Serif"/>
                <w:sz w:val="20"/>
                <w:szCs w:val="20"/>
              </w:rPr>
              <w:t xml:space="preserve"> </w:t>
            </w:r>
          </w:p>
          <w:p w14:paraId="28F0A05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ećaj opijenosti</w:t>
            </w:r>
          </w:p>
        </w:tc>
        <w:tc>
          <w:tcPr>
            <w:tcW w:w="1601" w:type="dxa"/>
            <w:tcBorders>
              <w:top w:val="single" w:color="000000" w:sz="4" w:space="0"/>
              <w:left w:val="single" w:color="000000" w:sz="4" w:space="0"/>
              <w:bottom w:val="single" w:color="000000" w:sz="4" w:space="0"/>
              <w:right w:val="single" w:color="000000" w:sz="4" w:space="0"/>
            </w:tcBorders>
          </w:tcPr>
          <w:p w14:paraId="3244AB96">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0F775BE2">
            <w:pPr>
              <w:widowControl w:val="0"/>
              <w:tabs>
                <w:tab w:val="clear" w:pos="284"/>
              </w:tabs>
              <w:jc w:val="left"/>
              <w:rPr>
                <w:rFonts w:ascii="Microsoft Sans Serif" w:hAnsi="Microsoft Sans Serif" w:eastAsia="Calibri" w:cs="Microsoft Sans Serif"/>
                <w:sz w:val="20"/>
                <w:szCs w:val="20"/>
              </w:rPr>
            </w:pPr>
          </w:p>
        </w:tc>
      </w:tr>
      <w:tr w14:paraId="3ED7CB1D">
        <w:tblPrEx>
          <w:tblCellMar>
            <w:top w:w="0" w:type="dxa"/>
            <w:left w:w="0" w:type="dxa"/>
            <w:bottom w:w="0" w:type="dxa"/>
            <w:right w:w="0" w:type="dxa"/>
          </w:tblCellMar>
        </w:tblPrEx>
        <w:trPr>
          <w:trHeight w:val="852" w:hRule="exact"/>
        </w:trPr>
        <w:tc>
          <w:tcPr>
            <w:tcW w:w="1980" w:type="dxa"/>
            <w:tcBorders>
              <w:top w:val="single" w:color="000000" w:sz="4" w:space="0"/>
              <w:left w:val="single" w:color="000000" w:sz="4" w:space="0"/>
              <w:bottom w:val="single" w:color="000000" w:sz="4" w:space="0"/>
              <w:right w:val="single" w:color="000000" w:sz="4" w:space="0"/>
            </w:tcBorders>
          </w:tcPr>
          <w:p w14:paraId="0C1763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Povrede, trovanja i proceduralne komplikacije</w:t>
            </w:r>
          </w:p>
        </w:tc>
        <w:tc>
          <w:tcPr>
            <w:tcW w:w="1276" w:type="dxa"/>
            <w:tcBorders>
              <w:top w:val="single" w:color="000000" w:sz="4" w:space="0"/>
              <w:left w:val="single" w:color="000000" w:sz="4" w:space="0"/>
              <w:bottom w:val="single" w:color="000000" w:sz="4" w:space="0"/>
              <w:right w:val="single" w:color="000000" w:sz="4" w:space="0"/>
            </w:tcBorders>
          </w:tcPr>
          <w:p w14:paraId="785DD4CB">
            <w:pPr>
              <w:widowControl w:val="0"/>
              <w:tabs>
                <w:tab w:val="clear" w:pos="284"/>
              </w:tabs>
              <w:jc w:val="left"/>
              <w:rPr>
                <w:rFonts w:ascii="Microsoft Sans Serif" w:hAnsi="Microsoft Sans Serif" w:eastAsia="Calibri" w:cs="Microsoft Sans Serif"/>
                <w:sz w:val="20"/>
                <w:szCs w:val="20"/>
                <w:lang w:val="sv-SE"/>
              </w:rPr>
            </w:pPr>
          </w:p>
        </w:tc>
        <w:tc>
          <w:tcPr>
            <w:tcW w:w="2311" w:type="dxa"/>
            <w:tcBorders>
              <w:top w:val="single" w:color="000000" w:sz="4" w:space="0"/>
              <w:left w:val="single" w:color="000000" w:sz="4" w:space="0"/>
              <w:bottom w:val="single" w:color="000000" w:sz="4" w:space="0"/>
              <w:right w:val="single" w:color="000000" w:sz="4" w:space="0"/>
            </w:tcBorders>
          </w:tcPr>
          <w:p w14:paraId="42B9579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Pad</w:t>
            </w:r>
          </w:p>
          <w:p w14:paraId="5B62592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Laceracije kože</w:t>
            </w:r>
          </w:p>
          <w:p w14:paraId="67022A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Kontuzija</w:t>
            </w:r>
          </w:p>
        </w:tc>
        <w:tc>
          <w:tcPr>
            <w:tcW w:w="1601" w:type="dxa"/>
            <w:tcBorders>
              <w:top w:val="single" w:color="000000" w:sz="4" w:space="0"/>
              <w:left w:val="single" w:color="000000" w:sz="4" w:space="0"/>
              <w:bottom w:val="single" w:color="000000" w:sz="4" w:space="0"/>
              <w:right w:val="single" w:color="000000" w:sz="4" w:space="0"/>
            </w:tcBorders>
          </w:tcPr>
          <w:p w14:paraId="5936453A">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120AAE92">
            <w:pPr>
              <w:widowControl w:val="0"/>
              <w:tabs>
                <w:tab w:val="clear" w:pos="284"/>
              </w:tabs>
              <w:jc w:val="left"/>
              <w:rPr>
                <w:rFonts w:ascii="Microsoft Sans Serif" w:hAnsi="Microsoft Sans Serif" w:eastAsia="Calibri" w:cs="Microsoft Sans Serif"/>
                <w:sz w:val="20"/>
                <w:szCs w:val="20"/>
              </w:rPr>
            </w:pPr>
          </w:p>
        </w:tc>
      </w:tr>
    </w:tbl>
    <w:p w14:paraId="7797FA96">
      <w:pPr>
        <w:widowControl w:val="0"/>
        <w:tabs>
          <w:tab w:val="clear" w:pos="284"/>
        </w:tabs>
        <w:jc w:val="left"/>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(1)</w:t>
      </w:r>
      <w:r>
        <w:rPr>
          <w:rFonts w:ascii="Microsoft Sans Serif" w:hAnsi="Microsoft Sans Serif" w:eastAsia="Calibri" w:cs="Microsoft Sans Serif"/>
          <w:sz w:val="20"/>
          <w:szCs w:val="20"/>
        </w:rPr>
        <w:t xml:space="preserve"> neželјene reakcije prijavlјene u postmarketinškom periodu</w:t>
      </w:r>
    </w:p>
    <w:p w14:paraId="1C7551A4">
      <w:pPr>
        <w:widowControl w:val="0"/>
        <w:tabs>
          <w:tab w:val="clear" w:pos="284"/>
        </w:tabs>
        <w:jc w:val="left"/>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(2)</w:t>
      </w:r>
      <w:r>
        <w:rPr>
          <w:rFonts w:ascii="Microsoft Sans Serif" w:hAnsi="Microsoft Sans Serif" w:eastAsia="Calibri" w:cs="Microsoft Sans Serif"/>
          <w:sz w:val="20"/>
          <w:szCs w:val="20"/>
        </w:rPr>
        <w:t xml:space="preserve"> vidjeti opis odabranih neželјenih reakcija</w:t>
      </w:r>
    </w:p>
    <w:p w14:paraId="5BC9D1E0">
      <w:pPr>
        <w:widowControl w:val="0"/>
        <w:tabs>
          <w:tab w:val="clear" w:pos="284"/>
        </w:tabs>
        <w:jc w:val="left"/>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(3)</w:t>
      </w:r>
      <w:r>
        <w:rPr>
          <w:rFonts w:ascii="Microsoft Sans Serif" w:hAnsi="Microsoft Sans Serif" w:eastAsia="Calibri" w:cs="Microsoft Sans Serif"/>
          <w:sz w:val="20"/>
          <w:szCs w:val="20"/>
        </w:rPr>
        <w:t xml:space="preserve"> prijavlјeno u PGTKN ispitivanjima</w:t>
      </w:r>
    </w:p>
    <w:p w14:paraId="68855B49">
      <w:pPr>
        <w:widowControl w:val="0"/>
        <w:tabs>
          <w:tab w:val="clear" w:pos="284"/>
        </w:tabs>
        <w:jc w:val="left"/>
        <w:rPr>
          <w:rFonts w:ascii="Microsoft Sans Serif" w:hAnsi="Microsoft Sans Serif" w:eastAsia="Calibri" w:cs="Microsoft Sans Serif"/>
          <w:sz w:val="20"/>
          <w:szCs w:val="20"/>
        </w:rPr>
      </w:pPr>
    </w:p>
    <w:p w14:paraId="5F0BE259">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Opis odabranih neželјenih reakcija</w:t>
      </w:r>
    </w:p>
    <w:p w14:paraId="65F7609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Primjena lakozamida povezana je sa pojavom produženja PR intervala koje je dozno-zavisno. Mogu se javiti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neželјene reakcije povezane sa produženjem PR intervala (npr. atrioventrikularni blok, sinkopa,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bradikardija). U dodatnim kliničkim ispitivanjima kod pacijenata sa epilepsijom stopa incidence prijavlјenih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AV-blokova prvog stepena je povremena i iznosi 0,7%, 0%, 0,5% za lakozamid u dozi 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200 mg, 400 mg, 600 mg, respektivno, odnosno 0% za placebo. U tim ispitivanjima nije zabilježena pojava AV bloka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drugog ili višeg stepena. Međutim, slučajevi pojave AV bloka drugog ili trećeg stepena povezani sa liječenjem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lakozamidom zabilježeni su tokom perioda nakon stavlјanja lijeka u promet. U kliničkom ispitivanju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monoterapije u kojem je lakozamid upoređivan sa karbamazepinom CR, stepen produženja PR intervala 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 uporediv između lakozamida i karbamazepina.</w:t>
      </w:r>
    </w:p>
    <w:p w14:paraId="5E40C4F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mk-MK"/>
        </w:rPr>
        <w:t>S</w:t>
      </w:r>
      <w:r>
        <w:rPr>
          <w:rFonts w:ascii="Microsoft Sans Serif" w:hAnsi="Microsoft Sans Serif" w:eastAsia="Calibri" w:cs="Microsoft Sans Serif"/>
          <w:sz w:val="20"/>
          <w:szCs w:val="20"/>
        </w:rPr>
        <w:t xml:space="preserve">topa incidence sinkope </w:t>
      </w:r>
      <w:r>
        <w:rPr>
          <w:rFonts w:ascii="Microsoft Sans Serif" w:hAnsi="Microsoft Sans Serif" w:eastAsia="Calibri" w:cs="Microsoft Sans Serif"/>
          <w:sz w:val="20"/>
          <w:szCs w:val="20"/>
          <w:lang w:val="mk-MK"/>
        </w:rPr>
        <w:t>prijavlјena u</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mk-MK"/>
        </w:rPr>
        <w:t xml:space="preserve">ukupnim </w:t>
      </w:r>
      <w:r>
        <w:rPr>
          <w:rFonts w:ascii="Microsoft Sans Serif" w:hAnsi="Microsoft Sans Serif" w:eastAsia="Calibri" w:cs="Microsoft Sans Serif"/>
          <w:sz w:val="20"/>
          <w:szCs w:val="20"/>
        </w:rPr>
        <w:t xml:space="preserve">kliničkim ispitivanjima </w:t>
      </w:r>
      <w:r>
        <w:rPr>
          <w:rFonts w:ascii="Microsoft Sans Serif" w:hAnsi="Microsoft Sans Serif" w:eastAsia="Calibri" w:cs="Microsoft Sans Serif"/>
          <w:sz w:val="20"/>
          <w:szCs w:val="20"/>
          <w:lang w:val="sr-Cyrl-RS"/>
        </w:rPr>
        <w:t>dodatne terapije</w:t>
      </w:r>
      <w:r>
        <w:rPr>
          <w:rFonts w:ascii="Microsoft Sans Serif" w:hAnsi="Microsoft Sans Serif" w:eastAsia="Calibri" w:cs="Microsoft Sans Serif"/>
          <w:sz w:val="20"/>
          <w:szCs w:val="20"/>
        </w:rPr>
        <w:t xml:space="preserve"> je povremena i nije se razlikovala između pacijenata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epilepsijom (n=944) koji su liječeni lakozamidom (0,1%) i pacijenata sa epilepsijom (n=364) koji su dobijali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placebo (0,3%). U kliničkom ispitivanju monoterapije u kojem je lakozamid upoređivan sa karbamazepinom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CR, sinkopa je zabeležena kod 7/444 (1,6%) pacijenata liječenih lakozamidom i kod 1/442 (0,2%)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liječenih karbamazepinom CR.</w:t>
      </w:r>
    </w:p>
    <w:p w14:paraId="75D1F2BA">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Atrijalna fibrilacija ili flater nisu zabilježeni u kratkoročnim kliničkim ispitivanjima; međutim, oba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zabilježena u otvorenim ispitivanjima epilepsije i u periodu nakon stavlјanja lijeka u promet.</w:t>
      </w:r>
    </w:p>
    <w:p w14:paraId="1259BB17">
      <w:pPr>
        <w:widowControl w:val="0"/>
        <w:tabs>
          <w:tab w:val="clear" w:pos="284"/>
        </w:tabs>
        <w:rPr>
          <w:rFonts w:ascii="Microsoft Sans Serif" w:hAnsi="Microsoft Sans Serif" w:eastAsia="Calibri" w:cs="Microsoft Sans Serif"/>
          <w:sz w:val="20"/>
          <w:szCs w:val="20"/>
        </w:rPr>
      </w:pPr>
    </w:p>
    <w:p w14:paraId="176B1C07">
      <w:pPr>
        <w:widowControl w:val="0"/>
        <w:tabs>
          <w:tab w:val="clear" w:pos="284"/>
        </w:tabs>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Laboratorijska odstupanja</w:t>
      </w:r>
    </w:p>
    <w:p w14:paraId="031EF4A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Poremećaji u testovima funkcije jetre uočeni su tokom </w:t>
      </w:r>
      <w:r>
        <w:rPr>
          <w:rFonts w:ascii="Microsoft Sans Serif" w:hAnsi="Microsoft Sans Serif" w:eastAsia="Calibri" w:cs="Microsoft Sans Serif"/>
          <w:sz w:val="20"/>
          <w:szCs w:val="20"/>
          <w:lang w:val="sr-Cyrl-RS"/>
        </w:rPr>
        <w:t xml:space="preserve">placebo </w:t>
      </w:r>
      <w:r>
        <w:rPr>
          <w:rFonts w:ascii="Microsoft Sans Serif" w:hAnsi="Microsoft Sans Serif" w:eastAsia="Calibri" w:cs="Microsoft Sans Serif"/>
          <w:sz w:val="20"/>
          <w:szCs w:val="20"/>
        </w:rPr>
        <w:t>kontrolisanih ispitivanja sa lakozamidom kod odraslih pacijenata sa parcijalnim napadima koji su istovremeno uzimali 1 do 3 antiepileptika. Povišene vrednosti ALT-a do ≥ 3 puta od gornje granice normale zabilježene su kod 0,7% (7/935) pacijenata koji su uzimali lakozamid i kod 0% (0/356) pacijenata koji su uzimali placebo.</w:t>
      </w:r>
    </w:p>
    <w:p w14:paraId="559BDE9D">
      <w:pPr>
        <w:widowControl w:val="0"/>
        <w:tabs>
          <w:tab w:val="clear" w:pos="284"/>
        </w:tabs>
        <w:rPr>
          <w:rFonts w:ascii="Microsoft Sans Serif" w:hAnsi="Microsoft Sans Serif" w:cs="Microsoft Sans Serif"/>
          <w:i/>
          <w:sz w:val="20"/>
          <w:szCs w:val="20"/>
        </w:rPr>
      </w:pPr>
    </w:p>
    <w:p w14:paraId="57B81F3A">
      <w:pPr>
        <w:widowControl w:val="0"/>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Multiorganske reakcije preosjetlјivosti</w:t>
      </w:r>
    </w:p>
    <w:p w14:paraId="4D92DE0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Multiorganske reakcije preosjetlјivosti (takođe poznate kao reakcija na lijek sa eozinofilijom i sistemskim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simptomima, </w:t>
      </w:r>
      <w:r>
        <w:rPr>
          <w:rFonts w:ascii="Microsoft Sans Serif" w:hAnsi="Microsoft Sans Serif" w:cs="Microsoft Sans Serif"/>
          <w:sz w:val="20"/>
          <w:szCs w:val="20"/>
          <w:lang w:val="sr-Latn-RS"/>
        </w:rPr>
        <w:t>DRESS</w:t>
      </w:r>
      <w:r>
        <w:rPr>
          <w:rFonts w:ascii="Microsoft Sans Serif" w:hAnsi="Microsoft Sans Serif" w:cs="Microsoft Sans Serif"/>
          <w:sz w:val="20"/>
          <w:szCs w:val="20"/>
        </w:rPr>
        <w:t>) zabilježene su kod pacijenata koji su liječeni nekim antiepileptikom. Te reakcije 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različite kliničke slike, ali se po pravilu manifestuju povišenom tjelesnom temperaturom i osipom i mogu 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povezane sa zahvaćenošću različitih sistema organa. Ako se sumnja na multiorgansku reakciju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preosjetlјivosti, primjenu lakozamida treba prekinuti.</w:t>
      </w:r>
    </w:p>
    <w:p w14:paraId="165C3984">
      <w:pPr>
        <w:widowControl w:val="0"/>
        <w:tabs>
          <w:tab w:val="clear" w:pos="284"/>
        </w:tabs>
        <w:rPr>
          <w:rFonts w:ascii="Microsoft Sans Serif" w:hAnsi="Microsoft Sans Serif" w:eastAsia="Calibri" w:cs="Microsoft Sans Serif"/>
          <w:sz w:val="20"/>
          <w:szCs w:val="20"/>
        </w:rPr>
      </w:pPr>
    </w:p>
    <w:p w14:paraId="6B172C4E">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Pedijatrijska populacija</w:t>
      </w:r>
    </w:p>
    <w:p w14:paraId="36C8946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Bezbjednosni profil lakozamida u </w:t>
      </w:r>
      <w:r>
        <w:rPr>
          <w:rFonts w:ascii="Microsoft Sans Serif" w:hAnsi="Microsoft Sans Serif" w:eastAsia="Calibri" w:cs="Microsoft Sans Serif"/>
          <w:sz w:val="20"/>
          <w:szCs w:val="20"/>
          <w:lang w:val="sr-Cyrl-RS"/>
        </w:rPr>
        <w:t>placebo kontrolisanim (</w:t>
      </w:r>
      <w:r>
        <w:rPr>
          <w:rFonts w:ascii="Microsoft Sans Serif" w:hAnsi="Microsoft Sans Serif" w:eastAsia="Calibri" w:cs="Microsoft Sans Serif"/>
          <w:sz w:val="20"/>
          <w:szCs w:val="20"/>
        </w:rPr>
        <w:t xml:space="preserve">255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uzrasta</w:t>
      </w:r>
      <w:r>
        <w:rPr>
          <w:rFonts w:ascii="Microsoft Sans Serif" w:hAnsi="Microsoft Sans Serif" w:eastAsia="Calibri" w:cs="Microsoft Sans Serif"/>
          <w:sz w:val="20"/>
          <w:szCs w:val="20"/>
        </w:rPr>
        <w:t xml:space="preserve"> od mjesec dana do </w:t>
      </w:r>
      <w:r>
        <w:rPr>
          <w:rFonts w:ascii="Microsoft Sans Serif" w:hAnsi="Microsoft Sans Serif" w:eastAsia="Calibri" w:cs="Microsoft Sans Serif"/>
          <w:sz w:val="20"/>
          <w:szCs w:val="20"/>
          <w:lang w:val="sr-Cyrl-RS"/>
        </w:rPr>
        <w:t>mlađih</w:t>
      </w:r>
      <w:r>
        <w:rPr>
          <w:rFonts w:ascii="Microsoft Sans Serif" w:hAnsi="Microsoft Sans Serif" w:eastAsia="Calibri" w:cs="Microsoft Sans Serif"/>
          <w:sz w:val="20"/>
          <w:szCs w:val="20"/>
        </w:rPr>
        <w:t xml:space="preserve"> od 4 godine i 343 </w:t>
      </w:r>
      <w:r>
        <w:rPr>
          <w:rFonts w:ascii="Microsoft Sans Serif" w:hAnsi="Microsoft Sans Serif" w:eastAsia="Calibri" w:cs="Microsoft Sans Serif"/>
          <w:sz w:val="20"/>
          <w:szCs w:val="20"/>
          <w:lang w:val="sr-Cyrl-RS"/>
        </w:rPr>
        <w:t>pacijenta uzrasta</w:t>
      </w:r>
      <w:r>
        <w:rPr>
          <w:rFonts w:ascii="Microsoft Sans Serif" w:hAnsi="Microsoft Sans Serif" w:eastAsia="Calibri" w:cs="Microsoft Sans Serif"/>
          <w:sz w:val="20"/>
          <w:szCs w:val="20"/>
        </w:rPr>
        <w:t xml:space="preserve"> od 4 godine do</w:t>
      </w:r>
      <w:r>
        <w:rPr>
          <w:rFonts w:ascii="Microsoft Sans Serif" w:hAnsi="Microsoft Sans Serif" w:eastAsia="Calibri" w:cs="Microsoft Sans Serif"/>
          <w:sz w:val="20"/>
          <w:szCs w:val="20"/>
          <w:lang w:val="sr-Cyrl-RS"/>
        </w:rPr>
        <w:t xml:space="preserve"> mlađih</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 xml:space="preserve">od </w:t>
      </w:r>
      <w:r>
        <w:rPr>
          <w:rFonts w:ascii="Microsoft Sans Serif" w:hAnsi="Microsoft Sans Serif" w:eastAsia="Calibri" w:cs="Microsoft Sans Serif"/>
          <w:sz w:val="20"/>
          <w:szCs w:val="20"/>
        </w:rPr>
        <w:t xml:space="preserve">17 godina) i otvorenim kliničkim ispitivanjima (847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uzrasta</w:t>
      </w:r>
      <w:r>
        <w:rPr>
          <w:rFonts w:ascii="Microsoft Sans Serif" w:hAnsi="Microsoft Sans Serif" w:eastAsia="Calibri" w:cs="Microsoft Sans Serif"/>
          <w:sz w:val="20"/>
          <w:szCs w:val="20"/>
        </w:rPr>
        <w:t xml:space="preserve"> od mjesec dana do 18 ili manje godina) u dodatnoj terapiji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pedijatrijskih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koji imaju parcijalne napade podudarao se sa </w:t>
      </w:r>
      <w:r>
        <w:rPr>
          <w:rFonts w:ascii="Microsoft Sans Serif" w:hAnsi="Microsoft Sans Serif" w:eastAsia="Calibri" w:cs="Microsoft Sans Serif"/>
          <w:sz w:val="20"/>
          <w:szCs w:val="20"/>
          <w:lang w:val="sr-Cyrl-RS"/>
        </w:rPr>
        <w:t>bezb</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ednosnim</w:t>
      </w:r>
      <w:r>
        <w:rPr>
          <w:rFonts w:ascii="Microsoft Sans Serif" w:hAnsi="Microsoft Sans Serif" w:eastAsia="Calibri" w:cs="Microsoft Sans Serif"/>
          <w:sz w:val="20"/>
          <w:szCs w:val="20"/>
        </w:rPr>
        <w:t xml:space="preserve"> profilom </w:t>
      </w:r>
      <w:r>
        <w:rPr>
          <w:rFonts w:ascii="Microsoft Sans Serif" w:hAnsi="Microsoft Sans Serif" w:eastAsia="Calibri" w:cs="Microsoft Sans Serif"/>
          <w:sz w:val="20"/>
          <w:szCs w:val="20"/>
          <w:lang w:val="sr-Cyrl-RS"/>
        </w:rPr>
        <w:t>uočenim kod</w:t>
      </w:r>
      <w:r>
        <w:rPr>
          <w:rFonts w:ascii="Microsoft Sans Serif" w:hAnsi="Microsoft Sans Serif" w:eastAsia="Calibri" w:cs="Microsoft Sans Serif"/>
          <w:sz w:val="20"/>
          <w:szCs w:val="20"/>
        </w:rPr>
        <w:t xml:space="preserve"> odraslih. Budući da su dostupni podaci za pedijatrijske </w:t>
      </w:r>
      <w:r>
        <w:rPr>
          <w:rFonts w:ascii="Microsoft Sans Serif" w:hAnsi="Microsoft Sans Serif" w:eastAsia="Calibri" w:cs="Microsoft Sans Serif"/>
          <w:sz w:val="20"/>
          <w:szCs w:val="20"/>
          <w:lang w:val="sr-Cyrl-RS"/>
        </w:rPr>
        <w:t>pacijente</w:t>
      </w:r>
      <w:r>
        <w:rPr>
          <w:rFonts w:ascii="Microsoft Sans Serif" w:hAnsi="Microsoft Sans Serif" w:eastAsia="Calibri" w:cs="Microsoft Sans Serif"/>
          <w:sz w:val="20"/>
          <w:szCs w:val="20"/>
        </w:rPr>
        <w:t xml:space="preserve"> mlađe od 2 godine ograničeni, lakozamid nije indi</w:t>
      </w:r>
      <w:r>
        <w:rPr>
          <w:rFonts w:ascii="Microsoft Sans Serif" w:hAnsi="Microsoft Sans Serif" w:eastAsia="Calibri" w:cs="Microsoft Sans Serif"/>
          <w:sz w:val="20"/>
          <w:szCs w:val="20"/>
          <w:lang w:val="sr-Cyrl-RS"/>
        </w:rPr>
        <w:t>kovan</w:t>
      </w:r>
      <w:r>
        <w:rPr>
          <w:rFonts w:ascii="Microsoft Sans Serif" w:hAnsi="Microsoft Sans Serif" w:eastAsia="Calibri" w:cs="Microsoft Sans Serif"/>
          <w:sz w:val="20"/>
          <w:szCs w:val="20"/>
        </w:rPr>
        <w:t xml:space="preserve"> za ovu </w:t>
      </w:r>
      <w:r>
        <w:rPr>
          <w:rFonts w:ascii="Microsoft Sans Serif" w:hAnsi="Microsoft Sans Serif" w:eastAsia="Calibri" w:cs="Microsoft Sans Serif"/>
          <w:sz w:val="20"/>
          <w:szCs w:val="20"/>
          <w:lang w:val="sr-Cyrl-RS"/>
        </w:rPr>
        <w:t>starosnu</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grupu</w:t>
      </w:r>
      <w:r>
        <w:rPr>
          <w:rFonts w:ascii="Microsoft Sans Serif" w:hAnsi="Microsoft Sans Serif" w:eastAsia="Calibri" w:cs="Microsoft Sans Serif"/>
          <w:sz w:val="20"/>
          <w:szCs w:val="20"/>
        </w:rPr>
        <w:t xml:space="preserve">. </w:t>
      </w:r>
    </w:p>
    <w:p w14:paraId="47F22B27">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Dodatne n</w:t>
      </w:r>
      <w:r>
        <w:rPr>
          <w:rFonts w:ascii="Microsoft Sans Serif" w:hAnsi="Microsoft Sans Serif" w:eastAsia="Calibri" w:cs="Microsoft Sans Serif"/>
          <w:sz w:val="20"/>
          <w:szCs w:val="20"/>
          <w:lang w:val="sr-Cyrl-RS"/>
        </w:rPr>
        <w:t>eželјene reakcije</w:t>
      </w:r>
      <w:r>
        <w:rPr>
          <w:rFonts w:ascii="Microsoft Sans Serif" w:hAnsi="Microsoft Sans Serif" w:eastAsia="Calibri" w:cs="Microsoft Sans Serif"/>
          <w:sz w:val="20"/>
          <w:szCs w:val="20"/>
        </w:rPr>
        <w:t xml:space="preserve"> uočene u pedijatrijskoj populaciji bile su pireksija, nazofaringitis, faringitis, smanjenje apetita, poremećaji u ponašanju i letargija. Somnolencija je češće prijavlјena u pedijatrijskoj populaciji (≥ 1/10) u odnosu na odraslu populaciju (≥ 1/100 i &lt; 1/10).</w:t>
      </w:r>
    </w:p>
    <w:p w14:paraId="793A1EF7">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 xml:space="preserve"> </w:t>
      </w:r>
    </w:p>
    <w:p w14:paraId="45C2ED14">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Starija populacija</w:t>
      </w:r>
    </w:p>
    <w:p w14:paraId="4E74EBCE">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monoterapije u kojem je lakozamid upoređivan sa karbamazepinom CR, čini se da su vrste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neželјenih reakcija povezane sa lakozamidom kod starijih pacijenata (≥ 65 godina starosti) bile slične onima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zapaženim kod pacijenata mlađih od 65 godina. Međutim, zabilježena je veća incidenca (≥ 5% razlike)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padova, dijareje i tremora kod starijih pacijenata u odnosu na mlađe odrasle pacijente. Najčešća neželјena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 povezana sa srcem zabilježena kod starijih u odnosu na mlađu odraslu populaciju bila je AV 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prvog stepena. Kod primjene lakozamida on je prijavlјen kod 4,8 % (3/62) starijih pacijenata naspram 1,6 %</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(6/382) kod mlađih odraslih pacijenata. Stopa prekida liječenja zbog neželјenih reakcija zabilježenih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lakozamidom bila je 21,0 % (13/62) kod starijih pacijenata naspram 9,2 % (35/382) kod mlađih 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Te razlike između starijih i mlađih odraslih pacijenata bile su slične onima u grupi sa aktivnim</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komparatorom.</w:t>
      </w:r>
    </w:p>
    <w:p w14:paraId="768717AC">
      <w:pPr>
        <w:tabs>
          <w:tab w:val="left" w:pos="567"/>
          <w:tab w:val="clear" w:pos="284"/>
        </w:tabs>
        <w:rPr>
          <w:rFonts w:ascii="Microsoft Sans Serif" w:hAnsi="Microsoft Sans Serif" w:cs="Microsoft Sans Serif"/>
          <w:sz w:val="20"/>
          <w:szCs w:val="20"/>
          <w:u w:val="single"/>
          <w:lang w:val="en-GB"/>
        </w:rPr>
      </w:pPr>
    </w:p>
    <w:p w14:paraId="4934FFE6">
      <w:pPr>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1149FA17">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5E0C0E88">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0F9670DE">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1974B8FC">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47089438">
      <w:pPr>
        <w:rPr>
          <w:rFonts w:ascii="Microsoft Sans Serif" w:hAnsi="Microsoft Sans Serif" w:cs="Microsoft Sans Serif"/>
          <w:sz w:val="20"/>
          <w:szCs w:val="20"/>
          <w:lang w:val="bs-Latn-BA"/>
        </w:rPr>
      </w:pPr>
    </w:p>
    <w:p w14:paraId="2F2AFCDD">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4.9. Predoziranje</w:t>
      </w:r>
    </w:p>
    <w:p w14:paraId="1F337FEE">
      <w:pPr>
        <w:rPr>
          <w:rFonts w:ascii="Microsoft Sans Serif" w:hAnsi="Microsoft Sans Serif" w:cs="Microsoft Sans Serif"/>
          <w:sz w:val="20"/>
          <w:szCs w:val="20"/>
          <w:lang w:val="bs-Latn-BA"/>
        </w:rPr>
      </w:pPr>
    </w:p>
    <w:p w14:paraId="15BF988B">
      <w:pPr>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Simptomi</w:t>
      </w:r>
    </w:p>
    <w:p w14:paraId="724BC01E">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Simptomi uočeni nakon slučajnog ili namjernog predoziranja lakozamidom prvenstveno su povezani sa CNS-om i gastrointestinalnim sistemom.</w:t>
      </w:r>
    </w:p>
    <w:p w14:paraId="5F1644DE">
      <w:pPr>
        <w:pStyle w:val="64"/>
        <w:numPr>
          <w:ilvl w:val="0"/>
          <w:numId w:val="3"/>
        </w:numPr>
        <w:ind w:left="0" w:firstLine="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Vrste nežel</w:t>
      </w:r>
      <w:r>
        <w:rPr>
          <w:rFonts w:ascii="Microsoft Sans Serif" w:hAnsi="Microsoft Sans Serif" w:cs="Microsoft Sans Serif"/>
          <w:sz w:val="20"/>
          <w:szCs w:val="20"/>
        </w:rPr>
        <w:t>ј</w:t>
      </w:r>
      <w:r>
        <w:rPr>
          <w:rFonts w:ascii="Microsoft Sans Serif" w:hAnsi="Microsoft Sans Serif" w:cs="Microsoft Sans Serif"/>
          <w:sz w:val="20"/>
          <w:szCs w:val="20"/>
          <w:lang w:val="bs-Latn-BA"/>
        </w:rPr>
        <w:t>enih reakcija koje su se javile kod pacijenata izloženih dozama iznad 400 mg pa sve do 800 mg nisu bile klinički različite od onih kod pacijenata koji su primjenjivali preporučene doze lakozamida.</w:t>
      </w:r>
    </w:p>
    <w:p w14:paraId="745CF028">
      <w:pPr>
        <w:pStyle w:val="64"/>
        <w:numPr>
          <w:ilvl w:val="0"/>
          <w:numId w:val="3"/>
        </w:numPr>
        <w:ind w:left="0" w:firstLine="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Reakcije prijavl</w:t>
      </w:r>
      <w:r>
        <w:rPr>
          <w:rFonts w:ascii="Microsoft Sans Serif" w:hAnsi="Microsoft Sans Serif" w:cs="Microsoft Sans Serif"/>
          <w:sz w:val="20"/>
          <w:szCs w:val="20"/>
        </w:rPr>
        <w:t>ј</w:t>
      </w:r>
      <w:r>
        <w:rPr>
          <w:rFonts w:ascii="Microsoft Sans Serif" w:hAnsi="Microsoft Sans Serif" w:cs="Microsoft Sans Serif"/>
          <w:sz w:val="20"/>
          <w:szCs w:val="20"/>
          <w:lang w:val="bs-Latn-BA"/>
        </w:rPr>
        <w:t>ene nakon uzimanja doza većih od 800 mg su vrtoglavica, mučnina, povraćanje, napadi (generalizovani tonično-klonični napadi, status epilepti</w:t>
      </w:r>
      <w:r>
        <w:rPr>
          <w:rFonts w:ascii="Microsoft Sans Serif" w:hAnsi="Microsoft Sans Serif" w:cs="Microsoft Sans Serif"/>
          <w:sz w:val="20"/>
          <w:szCs w:val="20"/>
          <w:lang w:val="sr-Cyrl-RS"/>
        </w:rPr>
        <w:t>k</w:t>
      </w:r>
      <w:r>
        <w:rPr>
          <w:rFonts w:ascii="Microsoft Sans Serif" w:hAnsi="Microsoft Sans Serif" w:cs="Microsoft Sans Serif"/>
          <w:sz w:val="20"/>
          <w:szCs w:val="20"/>
          <w:lang w:val="bs-Latn-BA"/>
        </w:rPr>
        <w:t xml:space="preserve">us). Takođe su zabilježeni poremećaji srčane </w:t>
      </w: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bs-Latn-BA"/>
        </w:rPr>
        <w:t>provodl</w:t>
      </w:r>
      <w:r>
        <w:rPr>
          <w:rFonts w:ascii="Microsoft Sans Serif" w:hAnsi="Microsoft Sans Serif" w:cs="Microsoft Sans Serif"/>
          <w:sz w:val="20"/>
          <w:szCs w:val="20"/>
        </w:rPr>
        <w:t>ј</w:t>
      </w:r>
      <w:r>
        <w:rPr>
          <w:rFonts w:ascii="Microsoft Sans Serif" w:hAnsi="Microsoft Sans Serif" w:cs="Microsoft Sans Serif"/>
          <w:sz w:val="20"/>
          <w:szCs w:val="20"/>
          <w:lang w:val="bs-Latn-BA"/>
        </w:rPr>
        <w:t>ivosti, šok i koma. Prijavl</w:t>
      </w:r>
      <w:r>
        <w:rPr>
          <w:rFonts w:ascii="Microsoft Sans Serif" w:hAnsi="Microsoft Sans Serif" w:cs="Microsoft Sans Serif"/>
          <w:sz w:val="20"/>
          <w:szCs w:val="20"/>
        </w:rPr>
        <w:t>ј</w:t>
      </w:r>
      <w:r>
        <w:rPr>
          <w:rFonts w:ascii="Microsoft Sans Serif" w:hAnsi="Microsoft Sans Serif" w:cs="Microsoft Sans Serif"/>
          <w:sz w:val="20"/>
          <w:szCs w:val="20"/>
          <w:lang w:val="bs-Latn-BA"/>
        </w:rPr>
        <w:t>eni su smrtni ishodi kod pacijenata nakon akutnog jednokratnog predoziranja uzimanjem nekoliko grama lakozamida.</w:t>
      </w:r>
    </w:p>
    <w:p w14:paraId="2C7623DF">
      <w:pPr>
        <w:rPr>
          <w:rFonts w:ascii="Microsoft Sans Serif" w:hAnsi="Microsoft Sans Serif" w:cs="Microsoft Sans Serif"/>
          <w:sz w:val="20"/>
          <w:szCs w:val="20"/>
          <w:lang w:val="bs-Latn-BA"/>
        </w:rPr>
      </w:pPr>
    </w:p>
    <w:p w14:paraId="4B4AE6DF">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Liječenje</w:t>
      </w:r>
    </w:p>
    <w:p w14:paraId="5C466BA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 predoziranje lakozamidom nema specifičnog antidota. Za liječenje predoziranja lakozamidom treba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učiti opšte suportivne mjere i u slučaju potrebe može se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učiti hemodijaliza (pogledati dio 5.2).</w:t>
      </w:r>
    </w:p>
    <w:p w14:paraId="149CBE16">
      <w:pPr>
        <w:rPr>
          <w:rFonts w:ascii="Microsoft Sans Serif" w:hAnsi="Microsoft Sans Serif" w:cs="Microsoft Sans Serif"/>
          <w:sz w:val="20"/>
          <w:szCs w:val="20"/>
          <w:lang w:val="sv-SE"/>
        </w:rPr>
      </w:pPr>
    </w:p>
    <w:p w14:paraId="5C35125B">
      <w:pPr>
        <w:rPr>
          <w:rFonts w:ascii="Microsoft Sans Serif" w:hAnsi="Microsoft Sans Serif" w:cs="Microsoft Sans Serif"/>
          <w:sz w:val="20"/>
          <w:szCs w:val="20"/>
          <w:lang w:val="sv-SE"/>
        </w:rPr>
      </w:pPr>
    </w:p>
    <w:p w14:paraId="729042A2">
      <w:pPr>
        <w:pStyle w:val="31"/>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5. FARMAKOLOŠKE </w:t>
      </w:r>
      <w:r>
        <w:rPr>
          <w:rFonts w:ascii="Microsoft Sans Serif" w:hAnsi="Microsoft Sans Serif" w:cs="Microsoft Sans Serif"/>
          <w:bCs/>
          <w:sz w:val="20"/>
          <w:szCs w:val="20"/>
          <w:lang w:val="sv-SE"/>
        </w:rPr>
        <w:t>KARAKTERISTIKE</w:t>
      </w:r>
      <w:r>
        <w:rPr>
          <w:rFonts w:ascii="Microsoft Sans Serif" w:hAnsi="Microsoft Sans Serif" w:cs="Microsoft Sans Serif"/>
          <w:sz w:val="20"/>
          <w:szCs w:val="20"/>
          <w:lang w:val="sv-SE"/>
        </w:rPr>
        <w:t xml:space="preserve"> </w:t>
      </w:r>
    </w:p>
    <w:p w14:paraId="6456954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5.1. Farmakodinamičke karakteristike</w:t>
      </w:r>
    </w:p>
    <w:p w14:paraId="235927F4">
      <w:pPr>
        <w:rPr>
          <w:rFonts w:ascii="Microsoft Sans Serif" w:hAnsi="Microsoft Sans Serif" w:cs="Microsoft Sans Serif"/>
          <w:b/>
          <w:bCs/>
          <w:sz w:val="20"/>
          <w:szCs w:val="20"/>
          <w:lang w:val="sv-SE"/>
        </w:rPr>
      </w:pPr>
    </w:p>
    <w:p w14:paraId="2E5E9315">
      <w:pPr>
        <w:rPr>
          <w:rFonts w:ascii="Microsoft Sans Serif" w:hAnsi="Microsoft Sans Serif" w:cs="Microsoft Sans Serif"/>
          <w:bCs/>
          <w:sz w:val="20"/>
          <w:szCs w:val="20"/>
          <w:lang w:val="sr-Latn-RS"/>
        </w:rPr>
      </w:pPr>
      <w:r>
        <w:rPr>
          <w:rFonts w:ascii="Microsoft Sans Serif" w:hAnsi="Microsoft Sans Serif" w:cs="Microsoft Sans Serif"/>
          <w:b/>
          <w:bCs/>
          <w:sz w:val="20"/>
          <w:szCs w:val="20"/>
          <w:lang w:val="sv-SE"/>
        </w:rPr>
        <w:t>Farmakoterapijska grupa:</w:t>
      </w:r>
      <w:r>
        <w:rPr>
          <w:rFonts w:ascii="Microsoft Sans Serif" w:hAnsi="Microsoft Sans Serif" w:cs="Microsoft Sans Serif"/>
          <w:b/>
          <w:bCs/>
          <w:sz w:val="20"/>
          <w:szCs w:val="20"/>
          <w:lang w:val="sr-Cyrl-RS"/>
        </w:rPr>
        <w:t xml:space="preserve"> </w:t>
      </w:r>
      <w:r>
        <w:rPr>
          <w:rFonts w:ascii="Microsoft Sans Serif" w:hAnsi="Microsoft Sans Serif" w:cs="Microsoft Sans Serif"/>
          <w:bCs/>
          <w:sz w:val="20"/>
          <w:szCs w:val="20"/>
          <w:lang w:val="sr-Cyrl-RS"/>
        </w:rPr>
        <w:t>antiepileptici, ostali antiepileptici</w:t>
      </w:r>
    </w:p>
    <w:p w14:paraId="6D0182E5">
      <w:pPr>
        <w:rPr>
          <w:rFonts w:ascii="Microsoft Sans Serif" w:hAnsi="Microsoft Sans Serif" w:cs="Microsoft Sans Serif"/>
          <w:bCs/>
          <w:sz w:val="20"/>
          <w:szCs w:val="20"/>
          <w:lang w:val="sr-Latn-RS"/>
        </w:rPr>
      </w:pPr>
      <w:r>
        <w:rPr>
          <w:rFonts w:ascii="Microsoft Sans Serif" w:hAnsi="Microsoft Sans Serif" w:cs="Microsoft Sans Serif"/>
          <w:b/>
          <w:bCs/>
          <w:sz w:val="20"/>
          <w:szCs w:val="20"/>
          <w:lang w:val="sr-Latn-RS"/>
        </w:rPr>
        <w:t>ATC šifra:</w:t>
      </w:r>
      <w:r>
        <w:rPr>
          <w:rFonts w:ascii="Microsoft Sans Serif" w:hAnsi="Microsoft Sans Serif" w:cs="Microsoft Sans Serif"/>
          <w:b/>
          <w:bCs/>
          <w:sz w:val="20"/>
          <w:szCs w:val="20"/>
          <w:lang w:val="sr-Cyrl-RS"/>
        </w:rPr>
        <w:t xml:space="preserve"> </w:t>
      </w:r>
      <w:r>
        <w:rPr>
          <w:rFonts w:ascii="Microsoft Sans Serif" w:hAnsi="Microsoft Sans Serif" w:cs="Microsoft Sans Serif"/>
          <w:bCs/>
          <w:sz w:val="20"/>
          <w:szCs w:val="20"/>
          <w:lang w:val="sr-Latn-RS"/>
        </w:rPr>
        <w:t>N03AX18</w:t>
      </w:r>
    </w:p>
    <w:p w14:paraId="6E077BBB">
      <w:pPr>
        <w:rPr>
          <w:rFonts w:ascii="Microsoft Sans Serif" w:hAnsi="Microsoft Sans Serif" w:cs="Microsoft Sans Serif"/>
          <w:sz w:val="20"/>
          <w:szCs w:val="20"/>
          <w:lang w:val="sr-Latn-RS"/>
        </w:rPr>
      </w:pPr>
    </w:p>
    <w:p w14:paraId="3022AE8B">
      <w:pPr>
        <w:widowControl w:val="0"/>
        <w:tabs>
          <w:tab w:val="clear" w:pos="284"/>
        </w:tabs>
        <w:rPr>
          <w:rFonts w:ascii="Microsoft Sans Serif" w:hAnsi="Microsoft Sans Serif" w:eastAsia="Calibri" w:cs="Microsoft Sans Serif"/>
          <w:sz w:val="20"/>
          <w:szCs w:val="20"/>
          <w:u w:val="single"/>
          <w:lang w:val="sr-Latn-RS"/>
        </w:rPr>
      </w:pPr>
      <w:r>
        <w:rPr>
          <w:rFonts w:ascii="Microsoft Sans Serif" w:hAnsi="Microsoft Sans Serif" w:eastAsia="Calibri" w:cs="Microsoft Sans Serif"/>
          <w:sz w:val="20"/>
          <w:szCs w:val="20"/>
          <w:u w:val="single"/>
          <w:lang w:val="sr-Latn-RS"/>
        </w:rPr>
        <w:t>Mehanizam djelovanja</w:t>
      </w:r>
    </w:p>
    <w:p w14:paraId="2CBB15D9">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Aktivna supstanca, lakozamid (R-2-acetamido-N-benzil-3-metoksipropionamid) je funkcionalna aminokiselina.</w:t>
      </w:r>
    </w:p>
    <w:p w14:paraId="2041F555">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Tačan mehanizam kojim lakozamid i</w:t>
      </w:r>
      <w:r>
        <w:rPr>
          <w:rFonts w:ascii="Microsoft Sans Serif" w:hAnsi="Microsoft Sans Serif" w:eastAsia="Calibri" w:cs="Microsoft Sans Serif"/>
          <w:sz w:val="20"/>
          <w:szCs w:val="20"/>
          <w:lang w:val="sr-Cyrl-RS"/>
        </w:rPr>
        <w:t>spolјava</w:t>
      </w:r>
      <w:r>
        <w:rPr>
          <w:rFonts w:ascii="Microsoft Sans Serif" w:hAnsi="Microsoft Sans Serif" w:eastAsia="Calibri" w:cs="Microsoft Sans Serif"/>
          <w:sz w:val="20"/>
          <w:szCs w:val="20"/>
          <w:lang w:val="sr-Latn-RS"/>
        </w:rPr>
        <w:t xml:space="preserve"> svoj antiepileptički efekat kod 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udi još uvek nije potpuno razjašnjen. Elektrofiziološka ispitivanja in vitro pokazala su da lakozamid selektivno pobol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 xml:space="preserve">šava sporu inaktivaciju </w:t>
      </w:r>
      <w:r>
        <w:rPr>
          <w:rFonts w:ascii="Microsoft Sans Serif" w:hAnsi="Microsoft Sans Serif" w:eastAsia="Calibri" w:cs="Microsoft Sans Serif"/>
          <w:sz w:val="20"/>
          <w:szCs w:val="20"/>
          <w:lang w:val="sr-Cyrl-RS"/>
        </w:rPr>
        <w:t xml:space="preserve">voltažno zavisnih </w:t>
      </w:r>
      <w:r>
        <w:rPr>
          <w:rFonts w:ascii="Microsoft Sans Serif" w:hAnsi="Microsoft Sans Serif" w:eastAsia="Calibri" w:cs="Microsoft Sans Serif"/>
          <w:sz w:val="20"/>
          <w:szCs w:val="20"/>
          <w:lang w:val="sr-Latn-RS"/>
        </w:rPr>
        <w:t>natrijumskih kanala, rezultujući stabilizacijom hiperekscitabilnih membrana neurona.</w:t>
      </w:r>
    </w:p>
    <w:p w14:paraId="1D6D8D01">
      <w:pPr>
        <w:widowControl w:val="0"/>
        <w:tabs>
          <w:tab w:val="clear" w:pos="284"/>
        </w:tabs>
        <w:rPr>
          <w:rFonts w:ascii="Microsoft Sans Serif" w:hAnsi="Microsoft Sans Serif" w:eastAsia="Calibri" w:cs="Microsoft Sans Serif"/>
          <w:sz w:val="20"/>
          <w:szCs w:val="20"/>
          <w:lang w:val="sr-Latn-RS"/>
        </w:rPr>
      </w:pPr>
    </w:p>
    <w:p w14:paraId="0EC73203">
      <w:pPr>
        <w:widowControl w:val="0"/>
        <w:tabs>
          <w:tab w:val="clear" w:pos="284"/>
        </w:tabs>
        <w:rPr>
          <w:rFonts w:ascii="Microsoft Sans Serif" w:hAnsi="Microsoft Sans Serif" w:eastAsia="Calibri" w:cs="Microsoft Sans Serif"/>
          <w:sz w:val="20"/>
          <w:szCs w:val="20"/>
          <w:u w:val="single"/>
          <w:lang w:val="sr-Latn-RS"/>
        </w:rPr>
      </w:pPr>
      <w:r>
        <w:rPr>
          <w:rFonts w:ascii="Microsoft Sans Serif" w:hAnsi="Microsoft Sans Serif" w:eastAsia="Calibri" w:cs="Microsoft Sans Serif"/>
          <w:sz w:val="20"/>
          <w:szCs w:val="20"/>
          <w:u w:val="single"/>
          <w:lang w:val="sr-Latn-RS"/>
        </w:rPr>
        <w:t>Farmakodinamsko dejstvo</w:t>
      </w:r>
    </w:p>
    <w:p w14:paraId="0AD65DFB">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Lakozamid je pokazao zaštitni efekat protiv napada u širokom rasponu animalnih modela parcijalnih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primarno generalizovanih konvulzija i odloženog izbijanja iz epileptičkog žarišta.</w:t>
      </w:r>
    </w:p>
    <w:p w14:paraId="5CE02532">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Pretklinički eksperimenti su pokazali da lakozamid u kombinaciji sa levetiracetamom, karbamazepinom,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fenitoinom, valproatom, lamotriginom, topiramatom ili gabapentinom ima sinergističke ili aditivne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antikonvulzivne efekte.</w:t>
      </w:r>
    </w:p>
    <w:p w14:paraId="1DFFE627">
      <w:pPr>
        <w:widowControl w:val="0"/>
        <w:tabs>
          <w:tab w:val="clear" w:pos="284"/>
        </w:tabs>
        <w:rPr>
          <w:rFonts w:ascii="Microsoft Sans Serif" w:hAnsi="Microsoft Sans Serif" w:eastAsia="Calibri" w:cs="Microsoft Sans Serif"/>
          <w:sz w:val="20"/>
          <w:szCs w:val="20"/>
          <w:lang w:val="sr-Latn-RS"/>
        </w:rPr>
      </w:pPr>
    </w:p>
    <w:p w14:paraId="7D2D2AB9">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Klinička efikasnost i bezbjednost (parcijalni napadi)</w:t>
      </w:r>
    </w:p>
    <w:p w14:paraId="48CD0320">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Odrasla populacija</w:t>
      </w:r>
    </w:p>
    <w:p w14:paraId="7BFDCFA4">
      <w:pPr>
        <w:widowControl w:val="0"/>
        <w:tabs>
          <w:tab w:val="clear" w:pos="284"/>
        </w:tabs>
        <w:rPr>
          <w:rFonts w:ascii="Microsoft Sans Serif" w:hAnsi="Microsoft Sans Serif" w:eastAsia="Calibri" w:cs="Microsoft Sans Serif"/>
          <w:sz w:val="20"/>
          <w:szCs w:val="20"/>
          <w:u w:val="single"/>
          <w:lang w:val="sv-SE"/>
        </w:rPr>
      </w:pPr>
    </w:p>
    <w:p w14:paraId="5313D1CB">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Monoterapija</w:t>
      </w:r>
    </w:p>
    <w:p w14:paraId="3A644578">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Efikasnost lakozamida kao monoterapije ustanovl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ena je u dvostruko slijepom ispitivanju neinferiornosti 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paralelnim grupama uporedo sa karbamazepinom CR kod 886 pacijenata uzrasta od 16 godina ili starijih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novo</w:t>
      </w:r>
      <w:r>
        <w:rPr>
          <w:rFonts w:ascii="Microsoft Sans Serif" w:hAnsi="Microsoft Sans Serif" w:eastAsia="Calibri" w:cs="Microsoft Sans Serif"/>
          <w:sz w:val="20"/>
          <w:szCs w:val="20"/>
          <w:lang w:val="mk-MK"/>
        </w:rPr>
        <w:t>m</w:t>
      </w:r>
      <w:r>
        <w:rPr>
          <w:rFonts w:ascii="Microsoft Sans Serif" w:hAnsi="Microsoft Sans Serif" w:eastAsia="Calibri" w:cs="Microsoft Sans Serif"/>
          <w:sz w:val="20"/>
          <w:szCs w:val="20"/>
          <w:lang w:val="sv-SE"/>
        </w:rPr>
        <w:t xml:space="preserve"> ili nedavno dijagnostikovanom epilepsijom. Pacijenti su morali da imaju spontane parcijalne napade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sa sekundarnom generalizacijom ili bez nje. Pacijenti su bili randomizovani na karbamazepin CR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lakozamid, u obliku tableta, u odnosu 1:1. Doziranje je bilo ustanovl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eno </w:t>
      </w:r>
      <w:r>
        <w:rPr>
          <w:rFonts w:ascii="Microsoft Sans Serif" w:hAnsi="Microsoft Sans Serif" w:eastAsia="Calibri" w:cs="Microsoft Sans Serif"/>
          <w:sz w:val="20"/>
          <w:szCs w:val="20"/>
          <w:lang w:val="sr-Cyrl-RS"/>
        </w:rPr>
        <w:t>prema</w:t>
      </w:r>
      <w:r>
        <w:rPr>
          <w:rFonts w:ascii="Microsoft Sans Serif" w:hAnsi="Microsoft Sans Serif" w:eastAsia="Calibri" w:cs="Microsoft Sans Serif"/>
          <w:sz w:val="20"/>
          <w:szCs w:val="20"/>
          <w:lang w:val="sv-SE"/>
        </w:rPr>
        <w:t xml:space="preserve"> odgovoru na dozu i </w:t>
      </w:r>
      <w:r>
        <w:rPr>
          <w:rFonts w:ascii="Microsoft Sans Serif" w:hAnsi="Microsoft Sans Serif" w:eastAsia="Calibri" w:cs="Microsoft Sans Serif"/>
          <w:sz w:val="20"/>
          <w:szCs w:val="20"/>
          <w:lang w:val="mk-MK"/>
        </w:rPr>
        <w:t xml:space="preserve">bilo je </w:t>
      </w:r>
      <w:r>
        <w:rPr>
          <w:rFonts w:ascii="Microsoft Sans Serif" w:hAnsi="Microsoft Sans Serif" w:eastAsia="Calibri" w:cs="Microsoft Sans Serif"/>
          <w:sz w:val="20"/>
          <w:szCs w:val="20"/>
          <w:lang w:val="sv-SE"/>
        </w:rPr>
        <w:t>u rasponu 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 xml:space="preserve">400 do 1200 </w:t>
      </w:r>
      <w:r>
        <w:rPr>
          <w:rFonts w:ascii="Microsoft Sans Serif" w:hAnsi="Microsoft Sans Serif" w:eastAsia="Calibri" w:cs="Microsoft Sans Serif"/>
          <w:sz w:val="20"/>
          <w:szCs w:val="20"/>
          <w:lang w:val="sr-Latn-RS"/>
        </w:rPr>
        <w:t>mg</w:t>
      </w:r>
      <w:r>
        <w:rPr>
          <w:rFonts w:ascii="Microsoft Sans Serif" w:hAnsi="Microsoft Sans Serif" w:eastAsia="Calibri" w:cs="Microsoft Sans Serif"/>
          <w:sz w:val="20"/>
          <w:szCs w:val="20"/>
          <w:lang w:val="sv-SE"/>
        </w:rPr>
        <w:t>/dan za karbamazepin CR i od 200 do 600 mg/dan za lakozamid. Liječenje je trajalo do 121</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nedel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u, u zavisnosti od odgovora.</w:t>
      </w:r>
    </w:p>
    <w:p w14:paraId="61133F18">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Procjenjene grupe pacijenata sa 6-mjesečnim razdobl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em bez napada bile su 89,8% za pacijente liječene lakozamidom i 91,1% za pacijente liječene karbamazepinom CR koristeći Kaplan-Meier-ovoj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metodi za analize preživljavanja. Prilagođena apsolutna razlika između liječenja bila je –1,3% (95% CI: – 5,5, 2,8). Grupe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pacijenata sa 12-mjesečnim razdobl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em bez napada po Kaplan-Meier-ovoj procjeni bile su 77,8 % za pacijente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liječene lakozamidom i 82,7% za pacijente liječene karbamazepinom CR.</w:t>
      </w:r>
    </w:p>
    <w:p w14:paraId="3A685BA1">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Grupe pacijenata sa 6-mjesečnim razdobl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em bez napada kod starijih pacijenata od 65 godina i više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(62 pacijenta liječena lakozamidom, 57 pacijenta liječenih karbamazepinom CR) bile su slične između obje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liječene grupe. Grupe su takođe bile slične onima utvrđenim u cjelokupnoj populaciji.</w:t>
      </w:r>
    </w:p>
    <w:p w14:paraId="508FF625">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U starijoj populaciji, doza održavanja lakozamida bila je 200 mg/dan kod 55 pacijenta (88,7%), 400 mg/dan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kod 6 pacijenata (9,7 %) i doza je kod jednog pacijenta (1,6 %) bila povećana na više od 400 mg/dan.</w:t>
      </w:r>
    </w:p>
    <w:p w14:paraId="3DE2CE4C">
      <w:pPr>
        <w:widowControl w:val="0"/>
        <w:tabs>
          <w:tab w:val="clear" w:pos="284"/>
        </w:tabs>
        <w:rPr>
          <w:rFonts w:ascii="Microsoft Sans Serif" w:hAnsi="Microsoft Sans Serif" w:eastAsia="Calibri" w:cs="Microsoft Sans Serif"/>
          <w:sz w:val="20"/>
          <w:szCs w:val="20"/>
          <w:lang w:val="sv-SE"/>
        </w:rPr>
      </w:pPr>
    </w:p>
    <w:p w14:paraId="4110FFD1">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Prelaz na monoterapiju</w:t>
      </w:r>
    </w:p>
    <w:p w14:paraId="6D5559D0">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 xml:space="preserve">Efikasnost i bezbjednost lakozamida kod prelaza na monoterapiju ocjenjivane su u </w:t>
      </w:r>
      <w:r>
        <w:rPr>
          <w:rFonts w:ascii="Microsoft Sans Serif" w:hAnsi="Microsoft Sans Serif" w:eastAsia="Calibri" w:cs="Microsoft Sans Serif"/>
          <w:sz w:val="20"/>
          <w:szCs w:val="20"/>
          <w:lang w:val="sr-Cyrl-RS"/>
        </w:rPr>
        <w:t xml:space="preserve">hronološki </w:t>
      </w:r>
      <w:r>
        <w:rPr>
          <w:rFonts w:ascii="Microsoft Sans Serif" w:hAnsi="Microsoft Sans Serif" w:eastAsia="Calibri" w:cs="Microsoft Sans Serif"/>
          <w:sz w:val="20"/>
          <w:szCs w:val="20"/>
          <w:lang w:val="sv-SE"/>
        </w:rPr>
        <w:t>kontrolisanom,</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lang w:val="sv-SE"/>
        </w:rPr>
        <w:t xml:space="preserve">multicentričnom, dvostruko slijepom, randomizovanom ispitivanju. U tom ispitivanju je 425 pacijenata uzrasta od 16 do 70 godina sa nekontrolisanim parcijalnim napadima, koji su uzimali stabilne doze od 1 ili 2 antiepileptika dostupna na tržištu, </w:t>
      </w:r>
      <w:r>
        <w:rPr>
          <w:rFonts w:ascii="Microsoft Sans Serif" w:hAnsi="Microsoft Sans Serif" w:eastAsia="Calibri" w:cs="Microsoft Sans Serif"/>
          <w:sz w:val="20"/>
          <w:szCs w:val="20"/>
          <w:lang w:val="sr-Cyrl-RS"/>
        </w:rPr>
        <w:t>nasumično je odabrano</w:t>
      </w:r>
      <w:r>
        <w:rPr>
          <w:rFonts w:ascii="Microsoft Sans Serif" w:hAnsi="Microsoft Sans Serif" w:eastAsia="Calibri" w:cs="Microsoft Sans Serif"/>
          <w:sz w:val="20"/>
          <w:szCs w:val="20"/>
          <w:lang w:val="sv-SE"/>
        </w:rPr>
        <w:t xml:space="preserve"> </w:t>
      </w:r>
      <w:r>
        <w:rPr>
          <w:rFonts w:ascii="Microsoft Sans Serif" w:hAnsi="Microsoft Sans Serif" w:eastAsia="Calibri" w:cs="Microsoft Sans Serif"/>
          <w:sz w:val="20"/>
          <w:szCs w:val="20"/>
          <w:lang w:val="sr-Cyrl-RS"/>
        </w:rPr>
        <w:t>za</w:t>
      </w:r>
      <w:r>
        <w:rPr>
          <w:rFonts w:ascii="Microsoft Sans Serif" w:hAnsi="Microsoft Sans Serif" w:eastAsia="Calibri" w:cs="Microsoft Sans Serif"/>
          <w:sz w:val="20"/>
          <w:szCs w:val="20"/>
          <w:lang w:val="sv-SE"/>
        </w:rPr>
        <w:t xml:space="preserve"> prelaz na monoterapiju lakozamidom (400 mg/dan ili 300 mg/dan u odnosu 3:1). Kod liječenih pacijenata koji su završili sa titracijom i započeli sa ukidanjem drugih antiepileptika (284, odnosno 99, respektivno), monoterapija je održana u 71,5% odnosno 70,7% pacijenata za 57- 105 dana (medijana 71 dan), preko cil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anog razdobl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a posmatranja od 70 dana.</w:t>
      </w:r>
    </w:p>
    <w:p w14:paraId="7E635FB8">
      <w:pPr>
        <w:widowControl w:val="0"/>
        <w:tabs>
          <w:tab w:val="clear" w:pos="284"/>
        </w:tabs>
        <w:rPr>
          <w:rFonts w:ascii="Microsoft Sans Serif" w:hAnsi="Microsoft Sans Serif" w:eastAsia="Calibri" w:cs="Microsoft Sans Serif"/>
          <w:sz w:val="20"/>
          <w:szCs w:val="20"/>
          <w:lang w:val="sv-SE"/>
        </w:rPr>
      </w:pPr>
    </w:p>
    <w:p w14:paraId="455C0A0F">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Dodatna terapija</w:t>
      </w:r>
    </w:p>
    <w:p w14:paraId="76FAB0C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v-SE"/>
        </w:rPr>
        <w:t>Efikasnost lakozamida kao dodatne terapije u preporučenim dozama (200 mg/dan, 400 mg/dan) dokazana je u 3 multicentrična, randomizovana, placebo kontrolisana klinička ispitivanja u periodu od 12 nedel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a. Lakozamid se u dozi od 600 mg/dan takođe pokazao efikasnim u kontrolisanim kliničkim ispitivanjima </w:t>
      </w:r>
      <w:r>
        <w:rPr>
          <w:rFonts w:ascii="Microsoft Sans Serif" w:hAnsi="Microsoft Sans Serif" w:eastAsia="Calibri" w:cs="Microsoft Sans Serif"/>
          <w:sz w:val="20"/>
          <w:szCs w:val="20"/>
          <w:lang w:val="mk-MK"/>
        </w:rPr>
        <w:t>dodatne</w:t>
      </w:r>
      <w:r>
        <w:rPr>
          <w:rFonts w:ascii="Microsoft Sans Serif" w:hAnsi="Microsoft Sans Serif" w:eastAsia="Calibri" w:cs="Microsoft Sans Serif"/>
          <w:sz w:val="20"/>
          <w:szCs w:val="20"/>
          <w:lang w:val="sv-SE"/>
        </w:rPr>
        <w:t xml:space="preserve"> terapije, iako je efikasnost bila slična onoj pri dozi od 400 mg/dan i pacijenti su teže podnosili tu dozu zbog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enih dejstava na CNS i gastrointestinalni trakt. Stoga se doza od 600 mg/dan ne preporučuje. Maksimalna preporučena doza je 400 mg/dan. Ova ispitivanja, koja su ukl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učivala 1.308 pacijenata </w:t>
      </w:r>
      <w:r>
        <w:rPr>
          <w:rFonts w:ascii="Microsoft Sans Serif" w:hAnsi="Microsoft Sans Serif" w:eastAsia="Calibri" w:cs="Microsoft Sans Serif"/>
          <w:sz w:val="20"/>
          <w:szCs w:val="20"/>
          <w:lang w:val="sr-Cyrl-RS"/>
        </w:rPr>
        <w:t>koji u anamnezi imaju</w:t>
      </w:r>
      <w:r>
        <w:rPr>
          <w:rFonts w:ascii="Microsoft Sans Serif" w:hAnsi="Microsoft Sans Serif" w:eastAsia="Calibri" w:cs="Microsoft Sans Serif"/>
          <w:sz w:val="20"/>
          <w:szCs w:val="20"/>
          <w:lang w:val="sv-SE"/>
        </w:rPr>
        <w:t xml:space="preserve"> prosječno 23 godine </w:t>
      </w:r>
      <w:r>
        <w:rPr>
          <w:rFonts w:ascii="Microsoft Sans Serif" w:hAnsi="Microsoft Sans Serif" w:eastAsia="Calibri" w:cs="Microsoft Sans Serif"/>
          <w:sz w:val="20"/>
          <w:szCs w:val="20"/>
          <w:lang w:val="sr-Cyrl-RS"/>
        </w:rPr>
        <w:t xml:space="preserve">parcijalnih </w:t>
      </w:r>
      <w:r>
        <w:rPr>
          <w:rFonts w:ascii="Microsoft Sans Serif" w:hAnsi="Microsoft Sans Serif" w:eastAsia="Calibri" w:cs="Microsoft Sans Serif"/>
          <w:sz w:val="20"/>
          <w:szCs w:val="20"/>
          <w:lang w:val="sv-SE"/>
        </w:rPr>
        <w:t>napada, dizajnirana su da procjene efikasnost i bezbjednost lakozamida kada se primjenjuje istovremeno sa 1-3 antiepileptika kod pacijenata sa nekontrolisanim parcijalnim napadima sa ili bez sekundarne generalizacije.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Ukupni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udio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ispitanika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50% </w:t>
      </w:r>
      <w:r>
        <w:rPr>
          <w:rFonts w:ascii="Microsoft Sans Serif" w:hAnsi="Microsoft Sans Serif" w:eastAsia="Calibri" w:cs="Microsoft Sans Serif"/>
          <w:sz w:val="20"/>
          <w:szCs w:val="20"/>
        </w:rPr>
        <w:t>smanjenom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frekvencom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parcijalnih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23%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placebom</w:t>
      </w:r>
      <w:r>
        <w:rPr>
          <w:rFonts w:ascii="Microsoft Sans Serif" w:hAnsi="Microsoft Sans Serif" w:eastAsia="Calibri" w:cs="Microsoft Sans Serif"/>
          <w:sz w:val="20"/>
          <w:szCs w:val="20"/>
          <w:lang w:val="sr-Cyrl-RS"/>
        </w:rPr>
        <w:t xml:space="preserve">, 34%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lakozamidom</w:t>
      </w:r>
      <w:r>
        <w:rPr>
          <w:rFonts w:ascii="Microsoft Sans Serif" w:hAnsi="Microsoft Sans Serif" w:eastAsia="Calibri" w:cs="Microsoft Sans Serif"/>
          <w:sz w:val="20"/>
          <w:szCs w:val="20"/>
          <w:lang w:val="sr-Cyrl-RS"/>
        </w:rPr>
        <w:t xml:space="preserve"> 200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40%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lakozamidom</w:t>
      </w:r>
      <w:r>
        <w:rPr>
          <w:rFonts w:ascii="Microsoft Sans Serif" w:hAnsi="Microsoft Sans Serif" w:eastAsia="Calibri" w:cs="Microsoft Sans Serif"/>
          <w:sz w:val="20"/>
          <w:szCs w:val="20"/>
          <w:lang w:val="sr-Cyrl-RS"/>
        </w:rPr>
        <w:t xml:space="preserve"> 400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w:t>
      </w:r>
    </w:p>
    <w:p w14:paraId="0A5D69A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Farmakokinetika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bezbjednost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jednokratne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udarne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intravenskog </w:t>
      </w:r>
      <w:r>
        <w:rPr>
          <w:rFonts w:ascii="Microsoft Sans Serif" w:hAnsi="Microsoft Sans Serif" w:eastAsia="Calibri" w:cs="Microsoft Sans Serif"/>
          <w:sz w:val="20"/>
          <w:szCs w:val="20"/>
        </w:rPr>
        <w:t>lakozamida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utvr</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multicentri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otvorenom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dizajniranom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cil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procjene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bezbjednosti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podno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ivosti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brzog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koriste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jednokratnu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intravensku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udarnu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200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slijedi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doziranje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ekvivalentno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intravenskoj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dodatna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ispitanika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starosne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dobi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16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60 </w:t>
      </w:r>
      <w:r>
        <w:rPr>
          <w:rFonts w:ascii="Microsoft Sans Serif" w:hAnsi="Microsoft Sans Serif" w:eastAsia="Calibri" w:cs="Microsoft Sans Serif"/>
          <w:sz w:val="20"/>
          <w:szCs w:val="20"/>
        </w:rPr>
        <w:t>godina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parcijalnim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napadima</w:t>
      </w:r>
      <w:r>
        <w:rPr>
          <w:rFonts w:ascii="Microsoft Sans Serif" w:hAnsi="Microsoft Sans Serif" w:eastAsia="Calibri" w:cs="Microsoft Sans Serif"/>
          <w:sz w:val="20"/>
          <w:szCs w:val="20"/>
          <w:lang w:val="sr-Cyrl-RS"/>
        </w:rPr>
        <w:t>.</w:t>
      </w:r>
    </w:p>
    <w:p w14:paraId="3CAB536F">
      <w:pPr>
        <w:widowControl w:val="0"/>
        <w:tabs>
          <w:tab w:val="clear" w:pos="284"/>
        </w:tabs>
        <w:rPr>
          <w:rFonts w:ascii="Microsoft Sans Serif" w:hAnsi="Microsoft Sans Serif" w:eastAsia="Calibri" w:cs="Microsoft Sans Serif"/>
          <w:sz w:val="20"/>
          <w:szCs w:val="20"/>
          <w:lang w:val="sr-Cyrl-RS"/>
        </w:rPr>
      </w:pPr>
    </w:p>
    <w:p w14:paraId="13AC9767">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Pedijatrijska</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populacija</w:t>
      </w:r>
    </w:p>
    <w:p w14:paraId="5F39083B">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Parcijalni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napadi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patofiziologiju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djece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godine</w:t>
      </w:r>
      <w:r>
        <w:rPr>
          <w:rFonts w:ascii="Microsoft Sans Serif" w:hAnsi="Microsoft Sans Serif" w:eastAsia="Calibri" w:cs="Microsoft Sans Serif"/>
          <w:sz w:val="20"/>
          <w:szCs w:val="20"/>
          <w:lang w:val="sr-Cyrl-RS"/>
        </w:rPr>
        <w:t xml:space="preserve"> ž</w:t>
      </w:r>
      <w:r>
        <w:rPr>
          <w:rFonts w:ascii="Microsoft Sans Serif" w:hAnsi="Microsoft Sans Serif" w:eastAsia="Calibri" w:cs="Microsoft Sans Serif"/>
          <w:sz w:val="20"/>
          <w:szCs w:val="20"/>
        </w:rPr>
        <w:t>ivota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w:t>
      </w:r>
    </w:p>
    <w:p w14:paraId="29FDBA0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Efikasnost lakozamida kod djece uzrasta od 2 godine i starije ekstrapolirana je iz podataka o adolescentima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odraslima sa parcijalnim napadima za koje se očekivao sličan odgovor uz uslov da su uspostavlјena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prilagođavanja pedijatrijske doze (pogledati dio 4.2) i da je dokazana bezbjednost (pogledati dio 4.8)</w:t>
      </w:r>
      <w:r>
        <w:rPr>
          <w:rFonts w:ascii="Microsoft Sans Serif" w:hAnsi="Microsoft Sans Serif" w:eastAsia="Calibri" w:cs="Microsoft Sans Serif"/>
          <w:sz w:val="20"/>
          <w:szCs w:val="20"/>
          <w:lang w:val="sr-Cyrl-RS"/>
        </w:rPr>
        <w:t>. Efikasnost obrazložena gore navedenim principom ekstrapolacije potvrđena je dvostruko sl</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epom, randomizovanom, placebo-kontroli</w:t>
      </w:r>
      <w:r>
        <w:rPr>
          <w:rFonts w:ascii="Microsoft Sans Serif" w:hAnsi="Microsoft Sans Serif" w:eastAsia="Calibri" w:cs="Microsoft Sans Serif"/>
          <w:sz w:val="20"/>
          <w:szCs w:val="20"/>
          <w:lang w:val="sr-Latn-RS"/>
        </w:rPr>
        <w:t>s</w:t>
      </w:r>
      <w:r>
        <w:rPr>
          <w:rFonts w:ascii="Microsoft Sans Serif" w:hAnsi="Microsoft Sans Serif" w:eastAsia="Calibri" w:cs="Microsoft Sans Serif"/>
          <w:sz w:val="20"/>
          <w:szCs w:val="20"/>
          <w:lang w:val="sr-Cyrl-RS"/>
        </w:rPr>
        <w:t>anom studijom. Studija se sastojala od 8-nedelјnog osnovnog perioda praćenog titriranjem od 6 nedelјa. Pacijenti koji ispunjavaju uslove u režimu stabilne doze od 1 do ≤ 3 antiepileptika, koji su i dalјe imali najmanje 2 parcijalna napada tokom 4 nedelјe pr</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 prov</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ere, sa fazom bez napada ne duže od 21 dan u periodu od 8 nedelјa pr</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 ulaska u stabilan period, nasumično su izabrani da prime ili placebo (n = 172) ili lakozamid (n = 171).</w:t>
      </w:r>
    </w:p>
    <w:p w14:paraId="05D60B97">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Doziranje je počelo dozom od 2 </w:t>
      </w:r>
      <w:r>
        <w:rPr>
          <w:rFonts w:ascii="Microsoft Sans Serif" w:hAnsi="Microsoft Sans Serif" w:eastAsia="Calibri" w:cs="Microsoft Sans Serif"/>
          <w:sz w:val="20"/>
          <w:szCs w:val="20"/>
          <w:lang w:val="sr-Latn-RS"/>
        </w:rPr>
        <w:t>mg/kg/</w:t>
      </w:r>
      <w:r>
        <w:rPr>
          <w:rFonts w:ascii="Microsoft Sans Serif" w:hAnsi="Microsoft Sans Serif" w:eastAsia="Calibri" w:cs="Microsoft Sans Serif"/>
          <w:sz w:val="20"/>
          <w:szCs w:val="20"/>
          <w:lang w:val="sr-Cyrl-RS"/>
        </w:rPr>
        <w:t>dan kod pacijenata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elesne mase manje od 50 </w:t>
      </w:r>
      <w:r>
        <w:rPr>
          <w:rFonts w:ascii="Microsoft Sans Serif" w:hAnsi="Microsoft Sans Serif" w:eastAsia="Calibri" w:cs="Microsoft Sans Serif"/>
          <w:sz w:val="20"/>
          <w:szCs w:val="20"/>
          <w:lang w:val="sr-Latn-RS"/>
        </w:rPr>
        <w:t xml:space="preserve">kg </w:t>
      </w:r>
      <w:r>
        <w:rPr>
          <w:rFonts w:ascii="Microsoft Sans Serif" w:hAnsi="Microsoft Sans Serif" w:eastAsia="Calibri" w:cs="Microsoft Sans Serif"/>
          <w:sz w:val="20"/>
          <w:szCs w:val="20"/>
          <w:lang w:val="sr-Cyrl-RS"/>
        </w:rPr>
        <w:t xml:space="preserve">ili 100 </w:t>
      </w:r>
      <w:r>
        <w:rPr>
          <w:rFonts w:ascii="Microsoft Sans Serif" w:hAnsi="Microsoft Sans Serif" w:eastAsia="Calibri" w:cs="Microsoft Sans Serif"/>
          <w:sz w:val="20"/>
          <w:szCs w:val="20"/>
          <w:lang w:val="sr-Latn-RS"/>
        </w:rPr>
        <w:t>mg/</w:t>
      </w:r>
      <w:r>
        <w:rPr>
          <w:rFonts w:ascii="Microsoft Sans Serif" w:hAnsi="Microsoft Sans Serif" w:eastAsia="Calibri" w:cs="Microsoft Sans Serif"/>
          <w:sz w:val="20"/>
          <w:szCs w:val="20"/>
          <w:lang w:val="sr-Cyrl-RS"/>
        </w:rPr>
        <w:t>dan kod pacijenata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elesne mase 50 </w:t>
      </w:r>
      <w:r>
        <w:rPr>
          <w:rFonts w:ascii="Microsoft Sans Serif" w:hAnsi="Microsoft Sans Serif" w:eastAsia="Calibri" w:cs="Microsoft Sans Serif"/>
          <w:sz w:val="20"/>
          <w:szCs w:val="20"/>
          <w:lang w:val="sr-Latn-RS"/>
        </w:rPr>
        <w:t>kg</w:t>
      </w:r>
      <w:r>
        <w:rPr>
          <w:rFonts w:ascii="Microsoft Sans Serif" w:hAnsi="Microsoft Sans Serif" w:eastAsia="Calibri" w:cs="Microsoft Sans Serif"/>
          <w:sz w:val="20"/>
          <w:szCs w:val="20"/>
          <w:lang w:val="sr-Cyrl-RS"/>
        </w:rPr>
        <w:t xml:space="preserve"> ili više u dv</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 pod</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elјene doze. Tokom perioda titracije, doze lakozamida su prilagođavane sa povećanjima od 1 ili 2 </w:t>
      </w:r>
      <w:r>
        <w:rPr>
          <w:rFonts w:ascii="Microsoft Sans Serif" w:hAnsi="Microsoft Sans Serif" w:eastAsia="Calibri" w:cs="Microsoft Sans Serif"/>
          <w:sz w:val="20"/>
          <w:szCs w:val="20"/>
          <w:lang w:val="sr-Latn-RS"/>
        </w:rPr>
        <w:t>mg/kg/</w:t>
      </w:r>
      <w:r>
        <w:rPr>
          <w:rFonts w:ascii="Microsoft Sans Serif" w:hAnsi="Microsoft Sans Serif" w:eastAsia="Calibri" w:cs="Microsoft Sans Serif"/>
          <w:sz w:val="20"/>
          <w:szCs w:val="20"/>
          <w:lang w:val="sr-Cyrl-RS"/>
        </w:rPr>
        <w:t>dan kod pacijenata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elesne mase manje od 50 </w:t>
      </w:r>
      <w:r>
        <w:rPr>
          <w:rFonts w:ascii="Microsoft Sans Serif" w:hAnsi="Microsoft Sans Serif" w:eastAsia="Calibri" w:cs="Microsoft Sans Serif"/>
          <w:sz w:val="20"/>
          <w:szCs w:val="20"/>
          <w:lang w:val="sr-Latn-RS"/>
        </w:rPr>
        <w:t xml:space="preserve">kg </w:t>
      </w:r>
      <w:r>
        <w:rPr>
          <w:rFonts w:ascii="Microsoft Sans Serif" w:hAnsi="Microsoft Sans Serif" w:eastAsia="Calibri" w:cs="Microsoft Sans Serif"/>
          <w:sz w:val="20"/>
          <w:szCs w:val="20"/>
          <w:lang w:val="sr-Cyrl-RS"/>
        </w:rPr>
        <w:t xml:space="preserve">ili 50 ili 100 </w:t>
      </w:r>
      <w:r>
        <w:rPr>
          <w:rFonts w:ascii="Microsoft Sans Serif" w:hAnsi="Microsoft Sans Serif" w:eastAsia="Calibri" w:cs="Microsoft Sans Serif"/>
          <w:sz w:val="20"/>
          <w:szCs w:val="20"/>
          <w:lang w:val="sr-Latn-RS"/>
        </w:rPr>
        <w:t>mg/</w:t>
      </w:r>
      <w:r>
        <w:rPr>
          <w:rFonts w:ascii="Microsoft Sans Serif" w:hAnsi="Microsoft Sans Serif" w:eastAsia="Calibri" w:cs="Microsoft Sans Serif"/>
          <w:sz w:val="20"/>
          <w:szCs w:val="20"/>
          <w:lang w:val="sr-Cyrl-RS"/>
        </w:rPr>
        <w:t>dan kod pacijenata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elesne mase od 50 </w:t>
      </w:r>
      <w:r>
        <w:rPr>
          <w:rFonts w:ascii="Microsoft Sans Serif" w:hAnsi="Microsoft Sans Serif" w:eastAsia="Calibri" w:cs="Microsoft Sans Serif"/>
          <w:sz w:val="20"/>
          <w:szCs w:val="20"/>
          <w:lang w:val="sr-Latn-RS"/>
        </w:rPr>
        <w:t xml:space="preserve">kg </w:t>
      </w:r>
      <w:r>
        <w:rPr>
          <w:rFonts w:ascii="Microsoft Sans Serif" w:hAnsi="Microsoft Sans Serif" w:eastAsia="Calibri" w:cs="Microsoft Sans Serif"/>
          <w:sz w:val="20"/>
          <w:szCs w:val="20"/>
          <w:lang w:val="sr-Cyrl-RS"/>
        </w:rPr>
        <w:t>ili više u nedelјnim intervalima da bi se dostig</w:t>
      </w:r>
      <w:r>
        <w:rPr>
          <w:rFonts w:ascii="Microsoft Sans Serif" w:hAnsi="Microsoft Sans Serif" w:eastAsia="Calibri" w:cs="Microsoft Sans Serif"/>
          <w:sz w:val="20"/>
          <w:szCs w:val="20"/>
        </w:rPr>
        <w:t>ao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 xml:space="preserve">opseg </w:t>
      </w:r>
      <w:r>
        <w:rPr>
          <w:rFonts w:ascii="Microsoft Sans Serif" w:hAnsi="Microsoft Sans Serif" w:eastAsia="Calibri" w:cs="Microsoft Sans Serif"/>
          <w:sz w:val="20"/>
          <w:szCs w:val="20"/>
          <w:lang w:val="sr-Cyrl-RS"/>
        </w:rPr>
        <w:t>doza cilјnog perioda održavanja.</w:t>
      </w:r>
      <w:r>
        <w:rPr>
          <w:rFonts w:ascii="Microsoft Sans Serif" w:hAnsi="Microsoft Sans Serif" w:cs="Microsoft Sans Serif"/>
          <w:sz w:val="20"/>
          <w:szCs w:val="20"/>
          <w:lang w:val="sr-Cyrl-RS"/>
        </w:rPr>
        <w:t xml:space="preserve"> </w:t>
      </w:r>
      <w:r>
        <w:rPr>
          <w:rFonts w:ascii="Microsoft Sans Serif" w:hAnsi="Microsoft Sans Serif" w:eastAsia="Calibri" w:cs="Microsoft Sans Serif"/>
          <w:sz w:val="20"/>
          <w:szCs w:val="20"/>
          <w:lang w:val="sr-Cyrl-RS"/>
        </w:rPr>
        <w:t>Ispitanici moraju da postignu minimalnu cilјnu dozu za svoju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elesnu težinu u poslednja 3 dana perioda titracije kako bi bili </w:t>
      </w:r>
      <w:r>
        <w:rPr>
          <w:rFonts w:ascii="Microsoft Sans Serif" w:hAnsi="Microsoft Sans Serif" w:eastAsia="Calibri" w:cs="Microsoft Sans Serif"/>
          <w:sz w:val="20"/>
          <w:szCs w:val="20"/>
          <w:lang w:val="mk-MK"/>
        </w:rPr>
        <w:t>kvalifikovani</w:t>
      </w:r>
      <w:r>
        <w:rPr>
          <w:rFonts w:ascii="Microsoft Sans Serif" w:hAnsi="Microsoft Sans Serif" w:eastAsia="Calibri" w:cs="Microsoft Sans Serif"/>
          <w:sz w:val="20"/>
          <w:szCs w:val="20"/>
          <w:lang w:val="sr-Cyrl-RS"/>
        </w:rPr>
        <w:t xml:space="preserve"> za ulazak u period održavanja od 10 nedelјa. Ispitanici su trebali da ostanu u stabilnoj dozi lakozamida tokom perioda održavanja ili su bili povučeni i un</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eti u sl</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epi period postepene redukcije doze.</w:t>
      </w:r>
    </w:p>
    <w:p w14:paraId="7F87550D">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Cyrl-RS"/>
        </w:rPr>
        <w:t>Između lakozamida i placebo grupe zab</w:t>
      </w:r>
      <w:r>
        <w:rPr>
          <w:rFonts w:ascii="Microsoft Sans Serif" w:hAnsi="Microsoft Sans Serif" w:eastAsia="Calibri" w:cs="Microsoft Sans Serif"/>
          <w:sz w:val="20"/>
          <w:szCs w:val="20"/>
          <w:lang w:val="sr-Latn-RS"/>
        </w:rPr>
        <w:t>i</w:t>
      </w:r>
      <w:r>
        <w:rPr>
          <w:rFonts w:ascii="Microsoft Sans Serif" w:hAnsi="Microsoft Sans Serif" w:eastAsia="Calibri" w:cs="Microsoft Sans Serif"/>
          <w:sz w:val="20"/>
          <w:szCs w:val="20"/>
          <w:lang w:val="sr-Cyrl-RS"/>
        </w:rPr>
        <w:t>l</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eženo je statistički značajno (p = 0,0003) i klinički relevantno smanjenje učestalosti parcijalnih napada tokom 28 dana od početka terapije do perioda održavanja. Procenat smanjenja u odnosu na placebo na osnovu analize kovarijancije bio je 31,72% (95% </w:t>
      </w:r>
      <w:r>
        <w:rPr>
          <w:rFonts w:ascii="Microsoft Sans Serif" w:hAnsi="Microsoft Sans Serif" w:eastAsia="Calibri" w:cs="Microsoft Sans Serif"/>
          <w:sz w:val="20"/>
          <w:szCs w:val="20"/>
          <w:lang w:val="sr-Latn-RS"/>
        </w:rPr>
        <w:t>CI</w:t>
      </w:r>
      <w:r>
        <w:rPr>
          <w:rFonts w:ascii="Microsoft Sans Serif" w:hAnsi="Microsoft Sans Serif" w:eastAsia="Calibri" w:cs="Microsoft Sans Serif"/>
          <w:sz w:val="20"/>
          <w:szCs w:val="20"/>
          <w:lang w:val="sr-Cyrl-RS"/>
        </w:rPr>
        <w:t>: 16,342, 44,277</w:t>
      </w:r>
      <w:r>
        <w:rPr>
          <w:rFonts w:ascii="Microsoft Sans Serif" w:hAnsi="Microsoft Sans Serif" w:eastAsia="Calibri" w:cs="Microsoft Sans Serif"/>
          <w:sz w:val="20"/>
          <w:szCs w:val="20"/>
          <w:lang w:val="sr-Latn-RS"/>
        </w:rPr>
        <w:t>).</w:t>
      </w:r>
    </w:p>
    <w:p w14:paraId="05D6D295">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Sveukupno, dio ispitanika sa najmanje 50% smanjenjem učestalosti parcijalnih napada tokom 28 dana od početne tačke do perioda održavanja bio je 52,9% u grupi sa lakozamidom u poređenju sa 33,3% u grupi sa placebom.</w:t>
      </w:r>
    </w:p>
    <w:p w14:paraId="2B80DC4F">
      <w:pPr>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 xml:space="preserve">Kvalitet života procjenjen Pedijatrijskim zapisom kvaliteta života pokazao je da su ispitanici i u </w:t>
      </w:r>
      <w:r>
        <w:rPr>
          <w:rFonts w:ascii="Microsoft Sans Serif" w:hAnsi="Microsoft Sans Serif" w:eastAsia="Calibri" w:cs="Microsoft Sans Serif"/>
          <w:sz w:val="20"/>
          <w:szCs w:val="20"/>
          <w:lang w:val="mk-MK"/>
        </w:rPr>
        <w:t xml:space="preserve">grupi </w:t>
      </w:r>
      <w:r>
        <w:rPr>
          <w:rFonts w:ascii="Microsoft Sans Serif" w:hAnsi="Microsoft Sans Serif" w:eastAsia="Calibri" w:cs="Microsoft Sans Serif"/>
          <w:sz w:val="20"/>
          <w:szCs w:val="20"/>
          <w:lang w:val="sr-Latn-RS"/>
        </w:rPr>
        <w:t>lakozamid</w:t>
      </w:r>
      <w:r>
        <w:rPr>
          <w:rFonts w:ascii="Microsoft Sans Serif" w:hAnsi="Microsoft Sans Serif" w:eastAsia="Calibri" w:cs="Microsoft Sans Serif"/>
          <w:sz w:val="20"/>
          <w:szCs w:val="20"/>
          <w:lang w:val="mk-MK"/>
        </w:rPr>
        <w:t>a</w:t>
      </w:r>
      <w:r>
        <w:rPr>
          <w:rFonts w:ascii="Microsoft Sans Serif" w:hAnsi="Microsoft Sans Serif" w:eastAsia="Calibri" w:cs="Microsoft Sans Serif"/>
          <w:sz w:val="20"/>
          <w:szCs w:val="20"/>
          <w:lang w:val="sr-Latn-RS"/>
        </w:rPr>
        <w:t xml:space="preserve"> i u placebo grupama imali sličan i stabilan zdravstveni kvalitet života tokom </w:t>
      </w:r>
      <w:r>
        <w:rPr>
          <w:rFonts w:ascii="Microsoft Sans Serif" w:hAnsi="Microsoft Sans Serif" w:eastAsia="Calibri" w:cs="Microsoft Sans Serif"/>
          <w:sz w:val="20"/>
          <w:szCs w:val="20"/>
          <w:lang w:val="mk-MK"/>
        </w:rPr>
        <w:t>c</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mk-MK"/>
        </w:rPr>
        <w:t xml:space="preserve">elokupnog </w:t>
      </w:r>
      <w:r>
        <w:rPr>
          <w:rFonts w:ascii="Microsoft Sans Serif" w:hAnsi="Microsoft Sans Serif" w:eastAsia="Calibri" w:cs="Microsoft Sans Serif"/>
          <w:sz w:val="20"/>
          <w:szCs w:val="20"/>
          <w:lang w:val="sr-Latn-RS"/>
        </w:rPr>
        <w:t>perioda liječenja.</w:t>
      </w:r>
    </w:p>
    <w:p w14:paraId="09604760">
      <w:pPr>
        <w:rPr>
          <w:rFonts w:ascii="Microsoft Sans Serif" w:hAnsi="Microsoft Sans Serif" w:eastAsia="Calibri" w:cs="Microsoft Sans Serif"/>
          <w:sz w:val="20"/>
          <w:szCs w:val="20"/>
          <w:lang w:val="sr-Latn-RS"/>
        </w:rPr>
      </w:pPr>
    </w:p>
    <w:p w14:paraId="5ADFFC06">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Klinička efikasnost i bezbjednost (primarno generalizovani toničko-klonički napadi)</w:t>
      </w:r>
    </w:p>
    <w:p w14:paraId="5DD4686A">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Efikasnost lakozamida kao dodatne terapije kod pacijenata starih 4 godine i starijih sa idiopatskom generalizovanom epilepsijom sa primarnim generalizovanim tonično-kloničnim napadima (PGTKN) utvrđena je u 24-nedeljnoj dvostruko slijepoj, randomizovanoj, placebom kontrolisanoj, paralelnoj grupi, studija sa više centara. Studija se sastojala od istorijskog početnog perioda od 12 nedelja, prospektivnog početnog perioda od 4 nedelje i perioda od 24 nedelje (koji je uključivao period titracije od 6 nedelja i period održavanja od 18 nedelja). Pacijenti koji ispunjavaju uslove na stabilnoj dozi od 1 do 3 antiepileptika koji su doživjeli najmanje 3 dokumentovana PGTKN tokom 16-nedeljnog kombinovanog početnog perioda bili su randomizovani u omjeru 1 na prema 1 da primaju lakozamid ili placebo (pacijenti u potpunom skupu za analizu: lakozamid n=118, placebo n=121; od njih 8 pacijenata u starosnoj grupi ≥ 4 do &lt;12 godina i 16 pacijenata u rasponu od ≥ 12 do &lt;18 godina liječeno je lakozamidom, a 9 i 16 pacijenata, respektivno, placebom).</w:t>
      </w:r>
    </w:p>
    <w:p w14:paraId="42408B4F">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Pacijenti su titrirani do ciljne doze razdoblja održavanja od 12 mg/kg/dan kod pacijenata tjelesne mase manje od 30 kg, 8 mg/kg/dan kod pacijenata tjelesne mase od 30 do manje od 50 kg ili 400 mg/dan kod pacijenata sa tjelesnom težinom od 50 kg ili više.</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783B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7EF5823F">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Varijabla efikasnosti Parametar</w:t>
            </w:r>
          </w:p>
        </w:tc>
        <w:tc>
          <w:tcPr>
            <w:tcW w:w="3117" w:type="dxa"/>
          </w:tcPr>
          <w:p w14:paraId="2B92B43B">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Placebo</w:t>
            </w:r>
          </w:p>
          <w:p w14:paraId="36191353">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N=121</w:t>
            </w:r>
          </w:p>
        </w:tc>
        <w:tc>
          <w:tcPr>
            <w:tcW w:w="3117" w:type="dxa"/>
          </w:tcPr>
          <w:p w14:paraId="7B073376">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Lakozamid</w:t>
            </w:r>
          </w:p>
          <w:p w14:paraId="5E4E2DAD">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N=118</w:t>
            </w:r>
          </w:p>
        </w:tc>
      </w:tr>
      <w:tr w14:paraId="2DAB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11CAD720">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Vrijeme do drugog PGTKN</w:t>
            </w:r>
          </w:p>
        </w:tc>
      </w:tr>
      <w:tr w14:paraId="5584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E238803">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Srednja vrijednost (dani)</w:t>
            </w:r>
          </w:p>
        </w:tc>
        <w:tc>
          <w:tcPr>
            <w:tcW w:w="3117" w:type="dxa"/>
          </w:tcPr>
          <w:p w14:paraId="2425A14D">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77.0</w:t>
            </w:r>
          </w:p>
        </w:tc>
        <w:tc>
          <w:tcPr>
            <w:tcW w:w="3117" w:type="dxa"/>
          </w:tcPr>
          <w:p w14:paraId="52A9C204">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w:t>
            </w:r>
          </w:p>
        </w:tc>
      </w:tr>
      <w:tr w14:paraId="06EC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8539F1F">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95 % CI</w:t>
            </w:r>
          </w:p>
        </w:tc>
        <w:tc>
          <w:tcPr>
            <w:tcW w:w="3117" w:type="dxa"/>
          </w:tcPr>
          <w:p w14:paraId="6B0C5C53">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49.0, 128.0</w:t>
            </w:r>
          </w:p>
        </w:tc>
        <w:tc>
          <w:tcPr>
            <w:tcW w:w="3117" w:type="dxa"/>
          </w:tcPr>
          <w:p w14:paraId="543EC3DA">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w:t>
            </w:r>
          </w:p>
        </w:tc>
      </w:tr>
      <w:tr w14:paraId="7BBB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36D27D14">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Lakozamid – Placebo</w:t>
            </w:r>
          </w:p>
        </w:tc>
        <w:tc>
          <w:tcPr>
            <w:tcW w:w="6234" w:type="dxa"/>
            <w:gridSpan w:val="2"/>
          </w:tcPr>
          <w:p w14:paraId="44152F13">
            <w:pPr>
              <w:jc w:val="center"/>
              <w:rPr>
                <w:rFonts w:ascii="Microsoft Sans Serif" w:hAnsi="Microsoft Sans Serif" w:cs="Microsoft Sans Serif" w:eastAsiaTheme="minorHAnsi"/>
                <w:sz w:val="20"/>
                <w:szCs w:val="20"/>
              </w:rPr>
            </w:pPr>
          </w:p>
        </w:tc>
      </w:tr>
      <w:tr w14:paraId="0895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B9B52D8">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Omjer rizika</w:t>
            </w:r>
          </w:p>
        </w:tc>
        <w:tc>
          <w:tcPr>
            <w:tcW w:w="6234" w:type="dxa"/>
            <w:gridSpan w:val="2"/>
          </w:tcPr>
          <w:p w14:paraId="40C60AB3">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0.540</w:t>
            </w:r>
          </w:p>
        </w:tc>
      </w:tr>
      <w:tr w14:paraId="6FF4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3C2E386">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95 % CI</w:t>
            </w:r>
          </w:p>
        </w:tc>
        <w:tc>
          <w:tcPr>
            <w:tcW w:w="6234" w:type="dxa"/>
            <w:gridSpan w:val="2"/>
          </w:tcPr>
          <w:p w14:paraId="469F7FBE">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0.377, 0.774</w:t>
            </w:r>
          </w:p>
        </w:tc>
      </w:tr>
      <w:tr w14:paraId="6558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126E3909">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p-vrijednost</w:t>
            </w:r>
          </w:p>
        </w:tc>
        <w:tc>
          <w:tcPr>
            <w:tcW w:w="6234" w:type="dxa"/>
            <w:gridSpan w:val="2"/>
          </w:tcPr>
          <w:p w14:paraId="298EC63E">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&lt; 0.001</w:t>
            </w:r>
          </w:p>
        </w:tc>
      </w:tr>
      <w:tr w14:paraId="5397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7CF68046">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Period bez napada</w:t>
            </w:r>
          </w:p>
        </w:tc>
        <w:tc>
          <w:tcPr>
            <w:tcW w:w="3117" w:type="dxa"/>
          </w:tcPr>
          <w:p w14:paraId="17A40880">
            <w:pPr>
              <w:jc w:val="center"/>
              <w:rPr>
                <w:rFonts w:ascii="Microsoft Sans Serif" w:hAnsi="Microsoft Sans Serif" w:cs="Microsoft Sans Serif" w:eastAsiaTheme="minorHAnsi"/>
                <w:sz w:val="20"/>
                <w:szCs w:val="20"/>
              </w:rPr>
            </w:pPr>
          </w:p>
        </w:tc>
        <w:tc>
          <w:tcPr>
            <w:tcW w:w="3117" w:type="dxa"/>
          </w:tcPr>
          <w:p w14:paraId="0AE6CEC6">
            <w:pPr>
              <w:jc w:val="center"/>
              <w:rPr>
                <w:rFonts w:ascii="Microsoft Sans Serif" w:hAnsi="Microsoft Sans Serif" w:cs="Microsoft Sans Serif" w:eastAsiaTheme="minorHAnsi"/>
                <w:sz w:val="20"/>
                <w:szCs w:val="20"/>
              </w:rPr>
            </w:pPr>
          </w:p>
        </w:tc>
      </w:tr>
      <w:tr w14:paraId="4CD5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D472D2A">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Stratifikovana procjena Kaplan-Meiera (%)</w:t>
            </w:r>
          </w:p>
        </w:tc>
        <w:tc>
          <w:tcPr>
            <w:tcW w:w="3117" w:type="dxa"/>
          </w:tcPr>
          <w:p w14:paraId="5E9C8A75">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17.2</w:t>
            </w:r>
          </w:p>
        </w:tc>
        <w:tc>
          <w:tcPr>
            <w:tcW w:w="3117" w:type="dxa"/>
          </w:tcPr>
          <w:p w14:paraId="3678A16A">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31.3</w:t>
            </w:r>
          </w:p>
        </w:tc>
      </w:tr>
      <w:tr w14:paraId="52EC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C89EB8C">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95 % CI</w:t>
            </w:r>
          </w:p>
        </w:tc>
        <w:tc>
          <w:tcPr>
            <w:tcW w:w="3117" w:type="dxa"/>
          </w:tcPr>
          <w:p w14:paraId="421E1FFE">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10.4, 24.0</w:t>
            </w:r>
          </w:p>
        </w:tc>
        <w:tc>
          <w:tcPr>
            <w:tcW w:w="3117" w:type="dxa"/>
          </w:tcPr>
          <w:p w14:paraId="18BE2DB7">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22.8, 39.9</w:t>
            </w:r>
          </w:p>
        </w:tc>
      </w:tr>
      <w:tr w14:paraId="76E4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564AB0C5">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Lakozamid – Placebo</w:t>
            </w:r>
          </w:p>
        </w:tc>
        <w:tc>
          <w:tcPr>
            <w:tcW w:w="6234" w:type="dxa"/>
            <w:gridSpan w:val="2"/>
          </w:tcPr>
          <w:p w14:paraId="0A6C46CB">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14.1</w:t>
            </w:r>
          </w:p>
        </w:tc>
      </w:tr>
      <w:tr w14:paraId="1D78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38751C1B">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95 % CI</w:t>
            </w:r>
          </w:p>
        </w:tc>
        <w:tc>
          <w:tcPr>
            <w:tcW w:w="6234" w:type="dxa"/>
            <w:gridSpan w:val="2"/>
          </w:tcPr>
          <w:p w14:paraId="7FC40176">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3.2, 25.1</w:t>
            </w:r>
          </w:p>
        </w:tc>
      </w:tr>
      <w:tr w14:paraId="2F17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53E9DFA">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p-vrijednost</w:t>
            </w:r>
          </w:p>
        </w:tc>
        <w:tc>
          <w:tcPr>
            <w:tcW w:w="6234" w:type="dxa"/>
            <w:gridSpan w:val="2"/>
          </w:tcPr>
          <w:p w14:paraId="0E3F57CA">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0.011</w:t>
            </w:r>
          </w:p>
        </w:tc>
      </w:tr>
    </w:tbl>
    <w:p w14:paraId="3FD43964">
      <w:pPr>
        <w:rPr>
          <w:rFonts w:ascii="Microsoft Sans Serif" w:hAnsi="Microsoft Sans Serif" w:cs="Microsoft Sans Serif"/>
          <w:sz w:val="20"/>
          <w:szCs w:val="20"/>
        </w:rPr>
      </w:pPr>
      <w:r>
        <w:rPr>
          <w:rFonts w:ascii="Microsoft Sans Serif" w:hAnsi="Microsoft Sans Serif" w:cs="Microsoft Sans Serif"/>
          <w:sz w:val="20"/>
          <w:szCs w:val="20"/>
        </w:rPr>
        <w:t>Napomena: Za grupu koja je primala lakozamid, srednje vrijeme do drugog PGTKN-a nije se moglo procijeniti Kaplan-Meier-ovim metodama jer ˃ 50% pacijenata nije doživjelo drugi PGTKN do 166. dana.</w:t>
      </w:r>
    </w:p>
    <w:p w14:paraId="4BAA76A3">
      <w:pPr>
        <w:rPr>
          <w:rFonts w:ascii="Microsoft Sans Serif" w:hAnsi="Microsoft Sans Serif" w:cs="Microsoft Sans Serif"/>
          <w:sz w:val="20"/>
          <w:szCs w:val="20"/>
        </w:rPr>
      </w:pPr>
    </w:p>
    <w:p w14:paraId="03D958CC">
      <w:pPr>
        <w:rPr>
          <w:rFonts w:ascii="Microsoft Sans Serif" w:hAnsi="Microsoft Sans Serif" w:cs="Microsoft Sans Serif"/>
          <w:sz w:val="20"/>
          <w:szCs w:val="20"/>
        </w:rPr>
      </w:pPr>
      <w:r>
        <w:rPr>
          <w:rFonts w:ascii="Microsoft Sans Serif" w:hAnsi="Microsoft Sans Serif" w:cs="Microsoft Sans Serif"/>
          <w:sz w:val="20"/>
          <w:szCs w:val="20"/>
        </w:rPr>
        <w:t>Nalazi u pedijatrijskoj podgrupi bili su u skladu sa rezultatima ukupne populacije za primarne, sekundarne i druge krajnje tačke efikasnosti.</w:t>
      </w:r>
    </w:p>
    <w:p w14:paraId="451792E5">
      <w:pPr>
        <w:rPr>
          <w:rFonts w:ascii="Microsoft Sans Serif" w:hAnsi="Microsoft Sans Serif" w:cs="Microsoft Sans Serif"/>
          <w:sz w:val="20"/>
          <w:szCs w:val="20"/>
        </w:rPr>
      </w:pPr>
    </w:p>
    <w:p w14:paraId="44304D78">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Farmakokinetičke karakteristike</w:t>
      </w:r>
    </w:p>
    <w:p w14:paraId="0C18D9C0">
      <w:pPr>
        <w:rPr>
          <w:rFonts w:ascii="Microsoft Sans Serif" w:hAnsi="Microsoft Sans Serif" w:cs="Microsoft Sans Serif"/>
          <w:b/>
          <w:bCs/>
          <w:sz w:val="20"/>
          <w:szCs w:val="20"/>
          <w:lang w:val="sv-SE"/>
        </w:rPr>
      </w:pPr>
    </w:p>
    <w:p w14:paraId="30665678">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Resorpcija</w:t>
      </w:r>
    </w:p>
    <w:p w14:paraId="61100A8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Lakozamid se brzo i potpuno resorbuje nakon oralne primjene. Bioraspoloživost lakozamida nakon oralne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primjene je otprilike 100%. Koncentracija nepromenjenog lakozamida u plazmi nakon oralne primjene brzo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raste i dostiže C</w:t>
      </w:r>
      <w:r>
        <w:rPr>
          <w:rFonts w:ascii="Microsoft Sans Serif" w:hAnsi="Microsoft Sans Serif" w:cs="Microsoft Sans Serif"/>
          <w:bCs/>
          <w:sz w:val="20"/>
          <w:szCs w:val="20"/>
          <w:vertAlign w:val="subscript"/>
          <w:lang w:val="sv-SE"/>
        </w:rPr>
        <w:t>max</w:t>
      </w:r>
      <w:r>
        <w:rPr>
          <w:rFonts w:ascii="Microsoft Sans Serif" w:hAnsi="Microsoft Sans Serif" w:cs="Microsoft Sans Serif"/>
          <w:bCs/>
          <w:sz w:val="20"/>
          <w:szCs w:val="20"/>
          <w:lang w:val="sv-SE"/>
        </w:rPr>
        <w:t xml:space="preserve"> oko 0,5 do 4 sata nakon doziranja. Hrana ne utiče na brzinu i obim resorpcije.</w:t>
      </w:r>
    </w:p>
    <w:p w14:paraId="3F704A63">
      <w:pPr>
        <w:widowControl w:val="0"/>
        <w:tabs>
          <w:tab w:val="clear" w:pos="284"/>
        </w:tabs>
        <w:rPr>
          <w:rFonts w:ascii="Microsoft Sans Serif" w:hAnsi="Microsoft Sans Serif" w:eastAsia="Calibri" w:cs="Microsoft Sans Serif"/>
          <w:sz w:val="20"/>
          <w:szCs w:val="20"/>
          <w:lang w:val="sv-SE"/>
        </w:rPr>
      </w:pPr>
    </w:p>
    <w:p w14:paraId="51E28909">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Distribucija</w:t>
      </w:r>
    </w:p>
    <w:p w14:paraId="7AB00CA3">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sv-SE"/>
        </w:rPr>
        <w:t xml:space="preserve">Volumen distribucije je otprilike 0,6 l/kg. </w:t>
      </w:r>
      <w:r>
        <w:rPr>
          <w:rFonts w:ascii="Microsoft Sans Serif" w:hAnsi="Microsoft Sans Serif" w:eastAsia="Calibri" w:cs="Microsoft Sans Serif"/>
          <w:sz w:val="20"/>
          <w:szCs w:val="20"/>
          <w:lang w:val="fr-FR"/>
        </w:rPr>
        <w:t>Lakozamid se vezuje za proteine plazme manje od 15%.</w:t>
      </w:r>
    </w:p>
    <w:p w14:paraId="4EE1B868">
      <w:pPr>
        <w:widowControl w:val="0"/>
        <w:tabs>
          <w:tab w:val="clear" w:pos="284"/>
        </w:tabs>
        <w:rPr>
          <w:rFonts w:ascii="Microsoft Sans Serif" w:hAnsi="Microsoft Sans Serif" w:eastAsia="Calibri" w:cs="Microsoft Sans Serif"/>
          <w:sz w:val="20"/>
          <w:szCs w:val="20"/>
          <w:lang w:val="fr-FR"/>
        </w:rPr>
      </w:pPr>
    </w:p>
    <w:p w14:paraId="446C5CE6">
      <w:pPr>
        <w:widowControl w:val="0"/>
        <w:tabs>
          <w:tab w:val="clear" w:pos="284"/>
        </w:tabs>
        <w:rPr>
          <w:rFonts w:ascii="Microsoft Sans Serif" w:hAnsi="Microsoft Sans Serif" w:eastAsia="Calibri" w:cs="Microsoft Sans Serif"/>
          <w:sz w:val="20"/>
          <w:szCs w:val="20"/>
          <w:u w:val="single"/>
          <w:lang w:val="fr-FR"/>
        </w:rPr>
      </w:pPr>
      <w:r>
        <w:rPr>
          <w:rFonts w:ascii="Microsoft Sans Serif" w:hAnsi="Microsoft Sans Serif" w:eastAsia="Calibri" w:cs="Microsoft Sans Serif"/>
          <w:sz w:val="20"/>
          <w:szCs w:val="20"/>
          <w:u w:val="single"/>
          <w:lang w:val="fr-FR"/>
        </w:rPr>
        <w:t>Biotransformacija</w:t>
      </w:r>
    </w:p>
    <w:p w14:paraId="0C34CBB5">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95% doze se izlučuje mokraćom u nepromjenjenom obliku i u obliku metabolita. Metabolizam lakozamida nije u potpunosti razjašnjen.</w:t>
      </w:r>
    </w:p>
    <w:p w14:paraId="6077A4A9">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Glavne supstance izlučene mokraćom čine nepromjenjeni lakozamid (otprilike 40% doze) i njegov O-dezmetilni metabolit manje od 30%.</w:t>
      </w:r>
    </w:p>
    <w:p w14:paraId="68F4D34A">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Polarna frakcija za koju se pretpostavl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fr-FR"/>
        </w:rPr>
        <w:t>a da pripada derivatima serina bila je zastupl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fr-FR"/>
        </w:rPr>
        <w:t xml:space="preserve">ena sa oko 20% u mokraći, ali je u plazmi pojedinih ispitanika nađena samo u veoma malim količinama (0–2%). U mokraći su nađene male količine (0,5-2%) </w:t>
      </w:r>
      <w:r>
        <w:rPr>
          <w:rFonts w:ascii="Microsoft Sans Serif" w:hAnsi="Microsoft Sans Serif" w:eastAsia="Calibri" w:cs="Microsoft Sans Serif"/>
          <w:sz w:val="20"/>
          <w:szCs w:val="20"/>
          <w:lang w:val="mk-MK"/>
        </w:rPr>
        <w:t>dodatnih</w:t>
      </w:r>
      <w:r>
        <w:rPr>
          <w:rFonts w:ascii="Microsoft Sans Serif" w:hAnsi="Microsoft Sans Serif" w:eastAsia="Calibri" w:cs="Microsoft Sans Serif"/>
          <w:sz w:val="20"/>
          <w:szCs w:val="20"/>
          <w:lang w:val="fr-FR"/>
        </w:rPr>
        <w:t xml:space="preserve"> metabolita.</w:t>
      </w:r>
    </w:p>
    <w:p w14:paraId="135AAD4E">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 xml:space="preserve">Podaci in vitro pokazuju da su CYP2C9, CYP2C19 i CYP3A4 sposobni da katalizuju stvaranje O-desmetil metabolita, ali glavni izoenzim koji </w:t>
      </w:r>
      <w:r>
        <w:rPr>
          <w:rFonts w:ascii="Microsoft Sans Serif" w:hAnsi="Microsoft Sans Serif" w:eastAsia="Calibri" w:cs="Microsoft Sans Serif"/>
          <w:sz w:val="20"/>
          <w:szCs w:val="20"/>
          <w:lang w:val="mk-MK"/>
        </w:rPr>
        <w:t>o</w:t>
      </w:r>
      <w:r>
        <w:rPr>
          <w:rFonts w:ascii="Microsoft Sans Serif" w:hAnsi="Microsoft Sans Serif" w:eastAsia="Calibri" w:cs="Microsoft Sans Serif"/>
          <w:sz w:val="20"/>
          <w:szCs w:val="20"/>
          <w:lang w:val="fr-FR"/>
        </w:rPr>
        <w:t xml:space="preserve"> tome </w:t>
      </w:r>
      <w:r>
        <w:rPr>
          <w:rFonts w:ascii="Microsoft Sans Serif" w:hAnsi="Microsoft Sans Serif" w:eastAsia="Calibri" w:cs="Microsoft Sans Serif"/>
          <w:sz w:val="20"/>
          <w:szCs w:val="20"/>
          <w:lang w:val="mk-MK"/>
        </w:rPr>
        <w:t>doprinosi</w:t>
      </w:r>
      <w:r>
        <w:rPr>
          <w:rFonts w:ascii="Microsoft Sans Serif" w:hAnsi="Microsoft Sans Serif" w:eastAsia="Calibri" w:cs="Microsoft Sans Serif"/>
          <w:sz w:val="20"/>
          <w:szCs w:val="20"/>
          <w:lang w:val="fr-FR"/>
        </w:rPr>
        <w:t xml:space="preserve"> nije potvrđen in vivo. Nije uočena klinički značajna razlika u izloženosti lakozamidu poredeći njegovu farmakokinetiku kod </w:t>
      </w:r>
      <w:r>
        <w:rPr>
          <w:rFonts w:ascii="Microsoft Sans Serif" w:hAnsi="Microsoft Sans Serif" w:eastAsia="Calibri" w:cs="Microsoft Sans Serif"/>
          <w:sz w:val="20"/>
          <w:szCs w:val="20"/>
          <w:lang w:val="mk-MK"/>
        </w:rPr>
        <w:t>ekstenzivnih metabolizera</w:t>
      </w:r>
      <w:r>
        <w:rPr>
          <w:rFonts w:ascii="Microsoft Sans Serif" w:hAnsi="Microsoft Sans Serif" w:eastAsia="Calibri" w:cs="Microsoft Sans Serif"/>
          <w:sz w:val="20"/>
          <w:szCs w:val="20"/>
          <w:lang w:val="fr-FR"/>
        </w:rPr>
        <w:t xml:space="preserve"> (sa funkcionalnim CYP2C19) i kod </w:t>
      </w:r>
      <w:r>
        <w:rPr>
          <w:rFonts w:ascii="Microsoft Sans Serif" w:hAnsi="Microsoft Sans Serif" w:eastAsia="Calibri" w:cs="Microsoft Sans Serif"/>
          <w:sz w:val="20"/>
          <w:szCs w:val="20"/>
          <w:lang w:val="mk-MK"/>
        </w:rPr>
        <w:t>slabih metabolizera</w:t>
      </w:r>
      <w:r>
        <w:rPr>
          <w:rFonts w:ascii="Microsoft Sans Serif" w:hAnsi="Microsoft Sans Serif" w:eastAsia="Calibri" w:cs="Microsoft Sans Serif"/>
          <w:sz w:val="20"/>
          <w:szCs w:val="20"/>
          <w:lang w:val="fr-FR"/>
        </w:rPr>
        <w:t xml:space="preserve"> (sa manjkom funkcionalnog CYP2C19). Osim toga, ispitivanje interakcije sa omeprazolom (inhibitor CYP2C19) nije pokazalo klinički značajne promjene u koncentraciji lakozamida u plazmi, što ukazuje na malu važnost tog puta. Koncentracija O-desmetil lakozamida u plazmi iznosi oko 15% koncentracije lakozamida u plazmi. Taj glavni metabolit nema poznatu farmakološku aktivnost.</w:t>
      </w:r>
    </w:p>
    <w:p w14:paraId="18B740A3">
      <w:pPr>
        <w:widowControl w:val="0"/>
        <w:tabs>
          <w:tab w:val="clear" w:pos="284"/>
        </w:tabs>
        <w:rPr>
          <w:rFonts w:ascii="Microsoft Sans Serif" w:hAnsi="Microsoft Sans Serif" w:eastAsia="Calibri" w:cs="Microsoft Sans Serif"/>
          <w:sz w:val="20"/>
          <w:szCs w:val="20"/>
          <w:lang w:val="fr-FR"/>
        </w:rPr>
      </w:pPr>
    </w:p>
    <w:p w14:paraId="493762A3">
      <w:pPr>
        <w:widowControl w:val="0"/>
        <w:tabs>
          <w:tab w:val="clear" w:pos="284"/>
        </w:tabs>
        <w:rPr>
          <w:rFonts w:ascii="Microsoft Sans Serif" w:hAnsi="Microsoft Sans Serif" w:eastAsia="Calibri" w:cs="Microsoft Sans Serif"/>
          <w:sz w:val="20"/>
          <w:szCs w:val="20"/>
          <w:u w:val="single"/>
          <w:lang w:val="fr-FR"/>
        </w:rPr>
      </w:pPr>
      <w:r>
        <w:rPr>
          <w:rFonts w:ascii="Microsoft Sans Serif" w:hAnsi="Microsoft Sans Serif" w:eastAsia="Calibri" w:cs="Microsoft Sans Serif"/>
          <w:sz w:val="20"/>
          <w:szCs w:val="20"/>
          <w:u w:val="single"/>
          <w:lang w:val="fr-FR"/>
        </w:rPr>
        <w:t>Eliminacija</w:t>
      </w:r>
    </w:p>
    <w:p w14:paraId="6CCFF49C">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 xml:space="preserve">Lakozamid se primarno eliminiše iz sistemske cirkulacije putem bubrega i biotransformacijom. Nakon oralne i intravenske primjene radioaktivno označenog lakozamida u mokraći je nađeno oko 95% primjenjene radioaktivnosti, a u fecesu manje od 0,5%. Poluvrijeme eliminacije nepromjenjenog lijeka je oko 13 sati. Farmakokinetika je proporcionalna dozi i konstantna tokom vremena sa malim varijacijama kod svakog ispitanika i među njima. </w:t>
      </w:r>
      <w:r>
        <w:rPr>
          <w:rFonts w:ascii="Microsoft Sans Serif" w:hAnsi="Microsoft Sans Serif" w:eastAsia="Calibri" w:cs="Microsoft Sans Serif"/>
          <w:sz w:val="20"/>
          <w:szCs w:val="20"/>
          <w:lang w:val="sr-Cyrl-RS"/>
        </w:rPr>
        <w:t>Doziranjem dva puta dnevno, stabilne vr</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ednosti koncentracije u plazmi dostižu se nakon tri dana.</w:t>
      </w:r>
      <w:r>
        <w:rPr>
          <w:rFonts w:ascii="Microsoft Sans Serif" w:hAnsi="Microsoft Sans Serif" w:eastAsia="Calibri" w:cs="Microsoft Sans Serif"/>
          <w:sz w:val="20"/>
          <w:szCs w:val="20"/>
          <w:lang w:val="fr-FR"/>
        </w:rPr>
        <w:t xml:space="preserve"> Koncentracija u plazmi raste sa faktorom nakupl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fr-FR"/>
        </w:rPr>
        <w:t>anja vrednosti oko 2.</w:t>
      </w:r>
    </w:p>
    <w:p w14:paraId="5B6F8C67">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Postizanje koncentracija u stanju ravnoteže kod jednokratne udarne doze od 200 mg uporedivo je sa koncentracijama kod oralne primjene 100 mg dva puta dnevno.</w:t>
      </w:r>
    </w:p>
    <w:p w14:paraId="616A35AA">
      <w:pPr>
        <w:widowControl w:val="0"/>
        <w:tabs>
          <w:tab w:val="clear" w:pos="284"/>
        </w:tabs>
        <w:rPr>
          <w:rFonts w:ascii="Microsoft Sans Serif" w:hAnsi="Microsoft Sans Serif" w:eastAsia="Calibri" w:cs="Microsoft Sans Serif"/>
          <w:sz w:val="20"/>
          <w:szCs w:val="20"/>
          <w:u w:val="single"/>
          <w:lang w:val="fr-FR"/>
        </w:rPr>
      </w:pPr>
    </w:p>
    <w:p w14:paraId="4299B5CA">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Farmakokinetika kod posebnih grupa pacijenata</w:t>
      </w:r>
    </w:p>
    <w:p w14:paraId="1DDFE9F7">
      <w:pPr>
        <w:widowControl w:val="0"/>
        <w:tabs>
          <w:tab w:val="clear" w:pos="284"/>
        </w:tabs>
        <w:rPr>
          <w:rFonts w:ascii="Microsoft Sans Serif" w:hAnsi="Microsoft Sans Serif" w:eastAsia="Calibri" w:cs="Microsoft Sans Serif"/>
          <w:sz w:val="20"/>
          <w:szCs w:val="20"/>
          <w:u w:val="single"/>
          <w:lang w:val="sv-SE"/>
        </w:rPr>
      </w:pPr>
    </w:p>
    <w:p w14:paraId="321F6B91">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Pol</w:t>
      </w:r>
    </w:p>
    <w:p w14:paraId="7A6E7469">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Klinička ispitivanja pokazuju da pol nema klinički značajan uticaj na koncentracije lakozamida u plazmi.</w:t>
      </w:r>
    </w:p>
    <w:p w14:paraId="7A74DF12">
      <w:pPr>
        <w:widowControl w:val="0"/>
        <w:tabs>
          <w:tab w:val="clear" w:pos="284"/>
        </w:tabs>
        <w:rPr>
          <w:rFonts w:ascii="Microsoft Sans Serif" w:hAnsi="Microsoft Sans Serif" w:eastAsia="Calibri" w:cs="Microsoft Sans Serif"/>
          <w:sz w:val="20"/>
          <w:szCs w:val="20"/>
          <w:lang w:val="sv-SE"/>
        </w:rPr>
      </w:pPr>
    </w:p>
    <w:p w14:paraId="709EAA5A">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Oštećenje funkcije bubrega</w:t>
      </w:r>
    </w:p>
    <w:p w14:paraId="11FA1F6E">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PIK lakozamida bio je, u poređenju sa zdravim ispitanicima, povećan za oko 30% kod pacijenata sa blagim i umjerenim oštećenjem funkcije bubrega i za 60% kod pacijenata sa teškim oštećenjem funkcije bubrega i kod pacijenata u terminalnom stadijumu bubrežne bolesti koji zahtjevaju hemodijalizu, dok je vrednost C</w:t>
      </w:r>
      <w:r>
        <w:rPr>
          <w:rFonts w:ascii="Microsoft Sans Serif" w:hAnsi="Microsoft Sans Serif" w:eastAsia="Calibri" w:cs="Microsoft Sans Serif"/>
          <w:sz w:val="20"/>
          <w:szCs w:val="20"/>
          <w:vertAlign w:val="subscript"/>
          <w:lang w:val="sv-SE"/>
        </w:rPr>
        <w:t>max</w:t>
      </w:r>
      <w:r>
        <w:rPr>
          <w:rFonts w:ascii="Microsoft Sans Serif" w:hAnsi="Microsoft Sans Serif" w:eastAsia="Calibri" w:cs="Microsoft Sans Serif"/>
          <w:sz w:val="20"/>
          <w:szCs w:val="20"/>
          <w:lang w:val="sv-SE"/>
        </w:rPr>
        <w:t xml:space="preserve"> bila nepromjenjena.</w:t>
      </w:r>
    </w:p>
    <w:p w14:paraId="4394859E">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Lakozamid se efikasno uklanja iz plazme hemodijalizom. Nakon 4-satne hemodijalize vrednost PIK-a lakozamida se smanjila se za oko 50%. Stoga se nakon hemodijalize preporučuje dodatna doza (pogledati dio 4.2). Izloženost O-de</w:t>
      </w:r>
      <w:r>
        <w:rPr>
          <w:rFonts w:ascii="Microsoft Sans Serif" w:hAnsi="Microsoft Sans Serif" w:eastAsia="Calibri" w:cs="Microsoft Sans Serif"/>
          <w:sz w:val="20"/>
          <w:szCs w:val="20"/>
          <w:lang w:val="hr-BA"/>
        </w:rPr>
        <w:t>s</w:t>
      </w:r>
      <w:r>
        <w:rPr>
          <w:rFonts w:ascii="Microsoft Sans Serif" w:hAnsi="Microsoft Sans Serif" w:eastAsia="Calibri" w:cs="Microsoft Sans Serif"/>
          <w:sz w:val="20"/>
          <w:szCs w:val="20"/>
          <w:lang w:val="sv-SE"/>
        </w:rPr>
        <w:t>metil metabolitu je nekoliko puta povećana kod pacijenata sa umjerenim i teškim oštećenjem funkcije bubrega. Kod nehemodijaliziranih pacijenata sa terminalnim stadijumom bubrežne bolesti nivoi su bili povećani i kontinuirano su rasli tokom 24-satnog uzorkovanja. Nije poznato može li povećana izloženost metabolitu kod ispitanika u završnom stadijumu bubrežne bolesti uzrokovati povećanje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enih dejstava, ali farmakološka aktivnost metabolita nije utvrđena.</w:t>
      </w:r>
    </w:p>
    <w:p w14:paraId="33D6E341">
      <w:pPr>
        <w:widowControl w:val="0"/>
        <w:tabs>
          <w:tab w:val="clear" w:pos="284"/>
        </w:tabs>
        <w:rPr>
          <w:rFonts w:ascii="Microsoft Sans Serif" w:hAnsi="Microsoft Sans Serif" w:eastAsia="Calibri" w:cs="Microsoft Sans Serif"/>
          <w:sz w:val="20"/>
          <w:szCs w:val="20"/>
          <w:lang w:val="sv-SE"/>
        </w:rPr>
      </w:pPr>
    </w:p>
    <w:p w14:paraId="55D8FAD2">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Oštećenje funkcije jetre</w:t>
      </w:r>
    </w:p>
    <w:p w14:paraId="001B2BB3">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Ispitanici sa umjerenim oštećenjem jetre (Child-Pugh B) imali su veće koncentracije lakozamida u plazmi (oko 50% veći PIKnorm). Veća izloženost kod ispitanika bila je djelimično zbog smanjene bubrežne funkcije. Procjenjeno je da smanjenje nebubrežnog klirensa kod pacijenata u ispitivanju povećava PIK lakozamida za 20%. Farmakokinetika lakozamida kod pacijenata sa teškim oštećenjem funkcije jetre nije ispitana (pogledati dio 4.2).</w:t>
      </w:r>
    </w:p>
    <w:p w14:paraId="2D682A9A">
      <w:pPr>
        <w:widowControl w:val="0"/>
        <w:tabs>
          <w:tab w:val="clear" w:pos="284"/>
        </w:tabs>
        <w:rPr>
          <w:rFonts w:ascii="Microsoft Sans Serif" w:hAnsi="Microsoft Sans Serif" w:eastAsia="Calibri" w:cs="Microsoft Sans Serif"/>
          <w:sz w:val="20"/>
          <w:szCs w:val="20"/>
          <w:lang w:val="sv-SE"/>
        </w:rPr>
      </w:pPr>
    </w:p>
    <w:p w14:paraId="10370EBF">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Stariji pacijenti (iznad 65 godina života)</w:t>
      </w:r>
    </w:p>
    <w:p w14:paraId="2B3D6B1D">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U ispitivanju sa starijim muškarcima i ženama, ukl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učujući 4 pacijenta starija od 75 godina života, PIK je bio oko 30, odnosno 50% </w:t>
      </w:r>
      <w:r>
        <w:rPr>
          <w:rFonts w:ascii="Microsoft Sans Serif" w:hAnsi="Microsoft Sans Serif" w:eastAsia="Calibri" w:cs="Microsoft Sans Serif"/>
          <w:sz w:val="20"/>
          <w:szCs w:val="20"/>
          <w:lang w:val="sr-Cyrl-RS"/>
        </w:rPr>
        <w:t xml:space="preserve">veći </w:t>
      </w:r>
      <w:r>
        <w:rPr>
          <w:rFonts w:ascii="Microsoft Sans Serif" w:hAnsi="Microsoft Sans Serif" w:eastAsia="Calibri" w:cs="Microsoft Sans Serif"/>
          <w:sz w:val="20"/>
          <w:szCs w:val="20"/>
          <w:lang w:val="sv-SE"/>
        </w:rPr>
        <w:t>nego kod mladih muškaraca. To je dijelom povezano sa manjom tjelesnom masom. Normalizovana razlika prema tjelesnoj masi bila je 26 odnosno 23%. Povećanje varijabilnosti u izloženosti je takođe uočeno. Bubrežni klirens lakozamida bio je neznatno snižen kod starijih ispitanika u tom ispitivanju.</w:t>
      </w:r>
    </w:p>
    <w:p w14:paraId="6E42F413">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Opšte smanjenje doze smatra se nepotrebnim osim ako nije indikovano zbog smanjene bubrežne funkcije (pogledati dio 4.2).</w:t>
      </w:r>
    </w:p>
    <w:p w14:paraId="199A741E">
      <w:pPr>
        <w:widowControl w:val="0"/>
        <w:tabs>
          <w:tab w:val="clear" w:pos="284"/>
        </w:tabs>
        <w:rPr>
          <w:rFonts w:ascii="Microsoft Sans Serif" w:hAnsi="Microsoft Sans Serif" w:eastAsia="Calibri" w:cs="Microsoft Sans Serif"/>
          <w:sz w:val="20"/>
          <w:szCs w:val="20"/>
          <w:lang w:val="sv-SE"/>
        </w:rPr>
      </w:pPr>
    </w:p>
    <w:p w14:paraId="55655613">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Pedijatrijska populacija</w:t>
      </w:r>
    </w:p>
    <w:p w14:paraId="1241E398">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v-SE"/>
        </w:rPr>
        <w:t>Farmakokinetika lakozamida u pedijatrijskoj populaciji utvrđena je populacionom farmakokinetičkom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analizom na osnovu oskudnih podataka o koncentraciji u plazmi prikupl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enih u </w:t>
      </w:r>
      <w:r>
        <w:rPr>
          <w:rFonts w:ascii="Microsoft Sans Serif" w:hAnsi="Microsoft Sans Serif" w:eastAsia="Calibri" w:cs="Microsoft Sans Serif"/>
          <w:sz w:val="20"/>
          <w:szCs w:val="20"/>
          <w:lang w:val="sr-Latn-RS"/>
        </w:rPr>
        <w:t>šest</w:t>
      </w:r>
      <w:r>
        <w:rPr>
          <w:rFonts w:ascii="Microsoft Sans Serif" w:hAnsi="Microsoft Sans Serif" w:eastAsia="Calibri" w:cs="Microsoft Sans Serif"/>
          <w:sz w:val="20"/>
          <w:szCs w:val="20"/>
          <w:lang w:val="sr-Cyrl-RS"/>
        </w:rPr>
        <w:t xml:space="preserve"> placebo- kontrolisan</w:t>
      </w:r>
      <w:r>
        <w:rPr>
          <w:rFonts w:ascii="Microsoft Sans Serif" w:hAnsi="Microsoft Sans Serif" w:eastAsia="Calibri" w:cs="Microsoft Sans Serif"/>
          <w:sz w:val="20"/>
          <w:szCs w:val="20"/>
          <w:lang w:val="sr-Latn-RS"/>
        </w:rPr>
        <w:t>ih</w:t>
      </w:r>
      <w:r>
        <w:rPr>
          <w:rFonts w:ascii="Microsoft Sans Serif" w:hAnsi="Microsoft Sans Serif" w:eastAsia="Calibri" w:cs="Microsoft Sans Serif"/>
          <w:sz w:val="20"/>
          <w:szCs w:val="20"/>
          <w:lang w:val="sr-Cyrl-RS"/>
        </w:rPr>
        <w:t xml:space="preserve"> randomizovan</w:t>
      </w:r>
      <w:r>
        <w:rPr>
          <w:rFonts w:ascii="Microsoft Sans Serif" w:hAnsi="Microsoft Sans Serif" w:eastAsia="Calibri" w:cs="Microsoft Sans Serif"/>
          <w:sz w:val="20"/>
          <w:szCs w:val="20"/>
          <w:lang w:val="sr-Latn-RS"/>
        </w:rPr>
        <w:t>ih</w:t>
      </w:r>
      <w:r>
        <w:rPr>
          <w:rFonts w:ascii="Microsoft Sans Serif" w:hAnsi="Microsoft Sans Serif" w:eastAsia="Calibri" w:cs="Microsoft Sans Serif"/>
          <w:sz w:val="20"/>
          <w:szCs w:val="20"/>
          <w:lang w:val="sr-Cyrl-RS"/>
        </w:rPr>
        <w:t xml:space="preserve"> studiji i </w:t>
      </w:r>
      <w:r>
        <w:rPr>
          <w:rFonts w:ascii="Microsoft Sans Serif" w:hAnsi="Microsoft Sans Serif" w:eastAsia="Calibri" w:cs="Microsoft Sans Serif"/>
          <w:sz w:val="20"/>
          <w:szCs w:val="20"/>
          <w:lang w:val="sr-Latn-RS"/>
        </w:rPr>
        <w:t>pet</w:t>
      </w:r>
      <w:r>
        <w:rPr>
          <w:rFonts w:ascii="Microsoft Sans Serif" w:hAnsi="Microsoft Sans Serif" w:eastAsia="Calibri" w:cs="Microsoft Sans Serif"/>
          <w:sz w:val="20"/>
          <w:szCs w:val="20"/>
          <w:lang w:val="sr-Cyrl-RS"/>
        </w:rPr>
        <w:t xml:space="preserve"> otvoren</w:t>
      </w:r>
      <w:r>
        <w:rPr>
          <w:rFonts w:ascii="Microsoft Sans Serif" w:hAnsi="Microsoft Sans Serif" w:eastAsia="Calibri" w:cs="Microsoft Sans Serif"/>
          <w:sz w:val="20"/>
          <w:szCs w:val="20"/>
          <w:lang w:val="sr-Latn-RS"/>
        </w:rPr>
        <w:t>ih</w:t>
      </w:r>
      <w:r>
        <w:rPr>
          <w:rFonts w:ascii="Microsoft Sans Serif" w:hAnsi="Microsoft Sans Serif" w:eastAsia="Calibri" w:cs="Microsoft Sans Serif"/>
          <w:sz w:val="20"/>
          <w:szCs w:val="20"/>
          <w:lang w:val="sr-Cyrl-RS"/>
        </w:rPr>
        <w:t xml:space="preserve"> studij</w:t>
      </w:r>
      <w:r>
        <w:rPr>
          <w:rFonts w:ascii="Microsoft Sans Serif" w:hAnsi="Microsoft Sans Serif" w:eastAsia="Calibri" w:cs="Microsoft Sans Serif"/>
          <w:sz w:val="20"/>
          <w:szCs w:val="20"/>
          <w:lang w:val="sr-Latn-RS"/>
        </w:rPr>
        <w:t>a</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lang w:val="sr-Latn-RS"/>
        </w:rPr>
        <w:t>1655 odraslih i pedijatrijskih pacijenata</w:t>
      </w:r>
      <w:r>
        <w:rPr>
          <w:rFonts w:ascii="Microsoft Sans Serif" w:hAnsi="Microsoft Sans Serif" w:eastAsia="Calibri" w:cs="Microsoft Sans Serif"/>
          <w:sz w:val="20"/>
          <w:szCs w:val="20"/>
          <w:lang w:val="sr-Cyrl-RS"/>
        </w:rPr>
        <w:t xml:space="preserve"> sa epilepsijom uzrasta od m</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esec</w:t>
      </w:r>
      <w:r>
        <w:rPr>
          <w:rFonts w:ascii="Microsoft Sans Serif" w:hAnsi="Microsoft Sans Serif" w:eastAsia="Calibri" w:cs="Microsoft Sans Serif"/>
          <w:sz w:val="20"/>
          <w:szCs w:val="20"/>
          <w:lang w:val="sr-Latn-RS"/>
        </w:rPr>
        <w:t xml:space="preserve"> dana</w:t>
      </w:r>
      <w:r>
        <w:rPr>
          <w:rFonts w:ascii="Microsoft Sans Serif" w:hAnsi="Microsoft Sans Serif" w:eastAsia="Calibri" w:cs="Microsoft Sans Serif"/>
          <w:sz w:val="20"/>
          <w:szCs w:val="20"/>
          <w:lang w:val="sr-Cyrl-RS"/>
        </w:rPr>
        <w:t xml:space="preserve"> do 17 godina.</w:t>
      </w:r>
      <w:r>
        <w:rPr>
          <w:rFonts w:ascii="Microsoft Sans Serif" w:hAnsi="Microsoft Sans Serif" w:eastAsia="Calibri" w:cs="Microsoft Sans Serif"/>
          <w:sz w:val="20"/>
          <w:szCs w:val="20"/>
          <w:lang w:val="sr-Latn-RS"/>
        </w:rPr>
        <w:t xml:space="preserve"> Tri ispitivanja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lang w:val="sr-Latn-RS"/>
        </w:rPr>
        <w:t xml:space="preserve">provedena su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lang w:val="sr-Latn-RS"/>
        </w:rPr>
        <w:t xml:space="preserve"> odrasli</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lang w:val="sr-Latn-RS"/>
        </w:rPr>
        <w:t>, 7</w:t>
      </w:r>
      <w:r>
        <w:rPr>
          <w:rFonts w:ascii="Microsoft Sans Serif" w:hAnsi="Microsoft Sans Serif" w:eastAsia="Calibri" w:cs="Microsoft Sans Serif"/>
          <w:sz w:val="20"/>
          <w:szCs w:val="20"/>
          <w:lang w:val="sr-Cyrl-RS"/>
        </w:rPr>
        <w:t xml:space="preserve"> kod</w:t>
      </w:r>
      <w:r>
        <w:rPr>
          <w:rFonts w:ascii="Microsoft Sans Serif" w:hAnsi="Microsoft Sans Serif" w:eastAsia="Calibri" w:cs="Microsoft Sans Serif"/>
          <w:sz w:val="20"/>
          <w:szCs w:val="20"/>
          <w:lang w:val="sr-Latn-RS"/>
        </w:rPr>
        <w:t xml:space="preserve"> pedijatrijski</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lang w:val="sr-Latn-RS"/>
        </w:rPr>
        <w:t>, a jedno u mješ</w:t>
      </w:r>
      <w:r>
        <w:rPr>
          <w:rFonts w:ascii="Microsoft Sans Serif" w:hAnsi="Microsoft Sans Serif" w:eastAsia="Calibri" w:cs="Microsoft Sans Serif"/>
          <w:sz w:val="20"/>
          <w:szCs w:val="20"/>
          <w:lang w:val="sr-Cyrl-RS"/>
        </w:rPr>
        <w:t>ovitoj</w:t>
      </w:r>
      <w:r>
        <w:rPr>
          <w:rFonts w:ascii="Microsoft Sans Serif" w:hAnsi="Microsoft Sans Serif" w:eastAsia="Calibri" w:cs="Microsoft Sans Serif"/>
          <w:sz w:val="20"/>
          <w:szCs w:val="20"/>
          <w:lang w:val="sr-Latn-RS"/>
        </w:rPr>
        <w:t xml:space="preserve"> populaciji. Doze lakozamida </w:t>
      </w:r>
      <w:r>
        <w:rPr>
          <w:rFonts w:ascii="Microsoft Sans Serif" w:hAnsi="Microsoft Sans Serif" w:eastAsia="Calibri" w:cs="Microsoft Sans Serif"/>
          <w:sz w:val="20"/>
          <w:szCs w:val="20"/>
          <w:lang w:val="sr-Cyrl-RS"/>
        </w:rPr>
        <w:t>prim</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enjivane</w:t>
      </w:r>
      <w:r>
        <w:rPr>
          <w:rFonts w:ascii="Microsoft Sans Serif" w:hAnsi="Microsoft Sans Serif" w:eastAsia="Calibri" w:cs="Microsoft Sans Serif"/>
          <w:sz w:val="20"/>
          <w:szCs w:val="20"/>
          <w:lang w:val="sr-Latn-RS"/>
        </w:rPr>
        <w:t xml:space="preserve"> su u rasponu od 2 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17,8 mg/kg/dan dva puta na dan, sa maksimalnom dozom od 600 mg/dan</w:t>
      </w:r>
      <w:r>
        <w:rPr>
          <w:rFonts w:ascii="Microsoft Sans Serif" w:hAnsi="Microsoft Sans Serif" w:eastAsia="Calibri" w:cs="Microsoft Sans Serif"/>
          <w:sz w:val="20"/>
          <w:szCs w:val="20"/>
          <w:lang w:val="sr-Cyrl-RS"/>
        </w:rPr>
        <w:t>.</w:t>
      </w:r>
    </w:p>
    <w:p w14:paraId="04C4E82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Uobi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ajeni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klirens</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plazme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procenjen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0,46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 0,81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 1,03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1,34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pedijatrijske</w:t>
      </w:r>
      <w:r>
        <w:rPr>
          <w:rFonts w:ascii="Microsoft Sans Serif" w:hAnsi="Microsoft Sans Serif" w:eastAsia="Calibri" w:cs="Microsoft Sans Serif"/>
          <w:sz w:val="20"/>
          <w:szCs w:val="20"/>
          <w:lang w:val="sr-Cyrl-RS"/>
        </w:rPr>
        <w:t xml:space="preserve"> pacijente </w:t>
      </w:r>
      <w:r>
        <w:rPr>
          <w:rFonts w:ascii="Microsoft Sans Serif" w:hAnsi="Microsoft Sans Serif" w:eastAsia="Calibri" w:cs="Microsoft Sans Serif"/>
          <w:sz w:val="20"/>
          <w:szCs w:val="20"/>
        </w:rPr>
        <w:t>telesne</w:t>
      </w:r>
      <w:r>
        <w:rPr>
          <w:rFonts w:ascii="Microsoft Sans Serif" w:hAnsi="Microsoft Sans Serif" w:eastAsia="Calibri" w:cs="Microsoft Sans Serif"/>
          <w:sz w:val="20"/>
          <w:szCs w:val="20"/>
          <w:lang w:val="sr-Cyrl-RS"/>
        </w:rPr>
        <w:t xml:space="preserve"> mase 10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20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30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50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respektivno.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pore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nju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klirens</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plazme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telesne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mase</w:t>
      </w:r>
      <w:r>
        <w:rPr>
          <w:rFonts w:ascii="Microsoft Sans Serif" w:hAnsi="Microsoft Sans Serif" w:eastAsia="Calibri" w:cs="Microsoft Sans Serif"/>
          <w:sz w:val="20"/>
          <w:szCs w:val="20"/>
          <w:lang w:val="sr-Cyrl-RS"/>
        </w:rPr>
        <w:t xml:space="preserve"> 70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procenjen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1,74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p>
    <w:p w14:paraId="4BB096B0">
      <w:pPr>
        <w:widowControl w:val="0"/>
        <w:tabs>
          <w:tab w:val="clear" w:pos="284"/>
        </w:tabs>
        <w:rPr>
          <w:rFonts w:ascii="Microsoft Sans Serif" w:hAnsi="Microsoft Sans Serif" w:eastAsia="Calibri" w:cs="Microsoft Sans Serif"/>
          <w:sz w:val="20"/>
          <w:szCs w:val="20"/>
          <w:lang w:val="sr-Cyrl-RS"/>
        </w:rPr>
      </w:pPr>
    </w:p>
    <w:p w14:paraId="5091AAA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Farmakokineti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analiza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stanovni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upotrebom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oskudnih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farmakokineti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uzoraka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studije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PGTKN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pokazala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PGTKN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parcijalnim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napadima</w:t>
      </w:r>
      <w:r>
        <w:rPr>
          <w:rFonts w:ascii="Microsoft Sans Serif" w:hAnsi="Microsoft Sans Serif" w:eastAsia="Calibri" w:cs="Microsoft Sans Serif"/>
          <w:sz w:val="20"/>
          <w:szCs w:val="20"/>
          <w:lang w:val="sr-Cyrl-RS"/>
        </w:rPr>
        <w:t>.</w:t>
      </w:r>
    </w:p>
    <w:p w14:paraId="22CD9E90">
      <w:pPr>
        <w:widowControl w:val="0"/>
        <w:tabs>
          <w:tab w:val="clear" w:pos="284"/>
        </w:tabs>
        <w:rPr>
          <w:rFonts w:ascii="Microsoft Sans Serif" w:hAnsi="Microsoft Sans Serif" w:eastAsia="Calibri" w:cs="Microsoft Sans Serif"/>
          <w:sz w:val="20"/>
          <w:szCs w:val="20"/>
          <w:lang w:val="sr-Cyrl-RS"/>
        </w:rPr>
      </w:pPr>
    </w:p>
    <w:p w14:paraId="4AD316AA">
      <w:pPr>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sr-Cyrl-RS"/>
        </w:rPr>
        <w:t xml:space="preserve">5.3. </w:t>
      </w:r>
      <w:r>
        <w:rPr>
          <w:rFonts w:ascii="Microsoft Sans Serif" w:hAnsi="Microsoft Sans Serif" w:cs="Microsoft Sans Serif"/>
          <w:b/>
          <w:bCs/>
          <w:iCs/>
          <w:sz w:val="20"/>
          <w:szCs w:val="20"/>
        </w:rPr>
        <w:t>Neklini</w:t>
      </w:r>
      <w:r>
        <w:rPr>
          <w:rFonts w:ascii="Microsoft Sans Serif" w:hAnsi="Microsoft Sans Serif" w:cs="Microsoft Sans Serif"/>
          <w:b/>
          <w:bCs/>
          <w:iCs/>
          <w:sz w:val="20"/>
          <w:szCs w:val="20"/>
          <w:lang w:val="sr-Cyrl-RS"/>
        </w:rPr>
        <w:t>č</w:t>
      </w:r>
      <w:r>
        <w:rPr>
          <w:rFonts w:ascii="Microsoft Sans Serif" w:hAnsi="Microsoft Sans Serif" w:cs="Microsoft Sans Serif"/>
          <w:b/>
          <w:bCs/>
          <w:iCs/>
          <w:sz w:val="20"/>
          <w:szCs w:val="20"/>
        </w:rPr>
        <w:t>ki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podaci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o</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sigurnosti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primjene</w:t>
      </w:r>
    </w:p>
    <w:p w14:paraId="4B426041">
      <w:pPr>
        <w:rPr>
          <w:rFonts w:ascii="Microsoft Sans Serif" w:hAnsi="Microsoft Sans Serif" w:cs="Microsoft Sans Serif"/>
          <w:sz w:val="20"/>
          <w:szCs w:val="20"/>
          <w:lang w:val="sr-Cyrl-RS"/>
        </w:rPr>
      </w:pPr>
    </w:p>
    <w:p w14:paraId="4C737727">
      <w:pPr>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neznatno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granice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w:t>
      </w:r>
    </w:p>
    <w:p w14:paraId="04AEEF55">
      <w:pPr>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bezbjednosne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farmakologije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anesteziranim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psima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prolazno</w:t>
      </w:r>
      <w:r>
        <w:rPr>
          <w:rFonts w:ascii="Microsoft Sans Serif" w:hAnsi="Microsoft Sans Serif" w:cs="Microsoft Sans Serif"/>
          <w:sz w:val="20"/>
          <w:szCs w:val="20"/>
          <w:lang w:val="sr-Cyrl-RS"/>
        </w:rPr>
        <w:t xml:space="preserve"> povećanje </w:t>
      </w:r>
      <w:r>
        <w:rPr>
          <w:rFonts w:ascii="Microsoft Sans Serif" w:hAnsi="Microsoft Sans Serif" w:cs="Microsoft Sans Serif"/>
          <w:sz w:val="20"/>
          <w:szCs w:val="20"/>
        </w:rPr>
        <w:t>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intervala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vremena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tra</w:t>
      </w:r>
      <w:r>
        <w:rPr>
          <w:rFonts w:ascii="Microsoft Sans Serif" w:hAnsi="Microsoft Sans Serif" w:cs="Microsoft Sans Serif"/>
          <w:sz w:val="20"/>
          <w:szCs w:val="20"/>
          <w:lang w:val="sr-Latn-RS"/>
        </w:rPr>
        <w:t>ja</w:t>
      </w:r>
      <w:r>
        <w:rPr>
          <w:rFonts w:ascii="Microsoft Sans Serif" w:hAnsi="Microsoft Sans Serif" w:cs="Microsoft Sans Serif"/>
          <w:sz w:val="20"/>
          <w:szCs w:val="20"/>
          <w:lang w:val="sr-Cyrl-RS"/>
        </w:rPr>
        <w:t>nj</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QRS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kompleksa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sni</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najverovatnije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kardiodepresivnog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prolazne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raspona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maksimalno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15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60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anesteziranim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psima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makaki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majmunima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usporeno</w:t>
      </w:r>
      <w:r>
        <w:rPr>
          <w:rFonts w:ascii="Microsoft Sans Serif" w:hAnsi="Microsoft Sans Serif" w:cs="Microsoft Sans Serif"/>
          <w:sz w:val="20"/>
          <w:szCs w:val="20"/>
          <w:lang w:val="sr-Cyrl-RS"/>
        </w:rPr>
        <w:t xml:space="preserve"> s</w:t>
      </w:r>
      <w:r>
        <w:rPr>
          <w:rFonts w:ascii="Microsoft Sans Serif" w:hAnsi="Microsoft Sans Serif" w:cs="Microsoft Sans Serif"/>
          <w:sz w:val="20"/>
          <w:szCs w:val="20"/>
        </w:rPr>
        <w:t>provo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impulsa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kroz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pretkomore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atrioventrikularni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atrioventrikularna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disocijacija</w:t>
      </w:r>
      <w:r>
        <w:rPr>
          <w:rFonts w:ascii="Microsoft Sans Serif" w:hAnsi="Microsoft Sans Serif" w:cs="Microsoft Sans Serif"/>
          <w:sz w:val="20"/>
          <w:szCs w:val="20"/>
          <w:lang w:val="sr-Cyrl-RS"/>
        </w:rPr>
        <w:t>.</w:t>
      </w:r>
    </w:p>
    <w:p w14:paraId="46205364">
      <w:pPr>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ponovl</w:t>
      </w:r>
      <w:r>
        <w:rPr>
          <w:rFonts w:ascii="Microsoft Sans Serif" w:hAnsi="Microsoft Sans Serif" w:cs="Microsoft Sans Serif"/>
          <w:sz w:val="20"/>
          <w:szCs w:val="20"/>
          <w:lang w:val="sr-Cyrl-RS"/>
        </w:rPr>
        <w:t>јe</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blage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reverzibilne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obuhvatale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organa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hipertrofiju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hepatocita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ukupni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holesterol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triglicerid</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rPr>
        <w:t>Osim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hipertrofije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hepatocita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histopatolo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w:t>
      </w:r>
    </w:p>
    <w:p w14:paraId="612BF00E">
      <w:pPr>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reproduktivne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glodarima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kuni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teratogeni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mrtvoro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mladunaca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peripartalnom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postepeno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legla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mladunaca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ekivanoj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w:t>
      </w:r>
    </w:p>
    <w:p w14:paraId="6DA522EC">
      <w:pPr>
        <w:rPr>
          <w:rFonts w:ascii="Microsoft Sans Serif" w:hAnsi="Microsoft Sans Serif" w:cs="Microsoft Sans Serif"/>
          <w:sz w:val="20"/>
          <w:szCs w:val="20"/>
          <w:lang w:val="sr-Cyrl-RS"/>
        </w:rPr>
      </w:pP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obzirom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dovol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okarakterisali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potpuni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embriofetotoksi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teratogeni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potencijal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lakozamida</w:t>
      </w:r>
      <w:r>
        <w:rPr>
          <w:rFonts w:ascii="Microsoft Sans Serif" w:hAnsi="Microsoft Sans Serif" w:cs="Microsoft Sans Serif"/>
          <w:sz w:val="20"/>
          <w:szCs w:val="20"/>
          <w:lang w:val="sr-Cyrl-RS"/>
        </w:rPr>
        <w:t>.</w:t>
      </w:r>
    </w:p>
    <w:p w14:paraId="7339AFC4">
      <w:pPr>
        <w:rPr>
          <w:rFonts w:ascii="Microsoft Sans Serif" w:hAnsi="Microsoft Sans Serif" w:cs="Microsoft Sans Serif"/>
          <w:sz w:val="20"/>
          <w:szCs w:val="20"/>
          <w:lang w:val="sr-Cyrl-RS"/>
        </w:rPr>
      </w:pP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njegovi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prolaze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placentalnu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barijeru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mladun</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tenadi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razlikuju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kvalitativno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mladun</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ekivanoj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tenadi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prolazni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CNS</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dozom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ekivane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w:t>
      </w:r>
    </w:p>
    <w:p w14:paraId="0718F21C">
      <w:pPr>
        <w:rPr>
          <w:rFonts w:ascii="Microsoft Sans Serif" w:hAnsi="Microsoft Sans Serif" w:cs="Microsoft Sans Serif"/>
          <w:sz w:val="20"/>
          <w:szCs w:val="20"/>
          <w:lang w:val="sr-Cyrl-RS"/>
        </w:rPr>
      </w:pPr>
    </w:p>
    <w:p w14:paraId="630CD20B">
      <w:pPr>
        <w:rPr>
          <w:rFonts w:ascii="Microsoft Sans Serif" w:hAnsi="Microsoft Sans Serif" w:cs="Microsoft Sans Serif"/>
          <w:sz w:val="20"/>
          <w:szCs w:val="20"/>
          <w:lang w:val="mk-MK"/>
        </w:rPr>
      </w:pPr>
    </w:p>
    <w:p w14:paraId="7DE2E0D6">
      <w:pPr>
        <w:pStyle w:val="31"/>
        <w:spacing w:before="0" w:after="0"/>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6. FARMACEUTSKI PODACI</w:t>
      </w:r>
    </w:p>
    <w:p w14:paraId="27E0BD54">
      <w:pPr>
        <w:pStyle w:val="31"/>
        <w:spacing w:before="0" w:after="0"/>
        <w:jc w:val="both"/>
        <w:rPr>
          <w:rFonts w:ascii="Microsoft Sans Serif" w:hAnsi="Microsoft Sans Serif" w:cs="Microsoft Sans Serif"/>
          <w:sz w:val="20"/>
          <w:szCs w:val="20"/>
          <w:lang w:val="mk-MK"/>
        </w:rPr>
      </w:pPr>
    </w:p>
    <w:p w14:paraId="03D860B7">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mk-MK"/>
        </w:rPr>
        <w:t>6.1. Spisak pomo</w:t>
      </w:r>
      <w:r>
        <w:rPr>
          <w:rFonts w:ascii="Microsoft Sans Serif" w:hAnsi="Microsoft Sans Serif" w:cs="Microsoft Sans Serif"/>
          <w:b/>
          <w:bCs/>
          <w:sz w:val="20"/>
          <w:szCs w:val="20"/>
          <w:lang w:val="sr-Latn-CS"/>
        </w:rPr>
        <w:t>ćnih supstanci</w:t>
      </w:r>
    </w:p>
    <w:p w14:paraId="0BAE7922">
      <w:pPr>
        <w:autoSpaceDE w:val="0"/>
        <w:autoSpaceDN w:val="0"/>
        <w:adjustRightInd w:val="0"/>
        <w:rPr>
          <w:rFonts w:ascii="Microsoft Sans Serif" w:hAnsi="Microsoft Sans Serif" w:cs="Microsoft Sans Serif" w:eastAsiaTheme="minorHAnsi"/>
          <w:color w:val="000000"/>
          <w:sz w:val="20"/>
          <w:szCs w:val="20"/>
          <w:u w:val="single"/>
          <w:lang w:val="mk-MK"/>
        </w:rPr>
      </w:pPr>
    </w:p>
    <w:p w14:paraId="7C2AC736">
      <w:pPr>
        <w:autoSpaceDE w:val="0"/>
        <w:autoSpaceDN w:val="0"/>
        <w:adjustRightInd w:val="0"/>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Latn-RS"/>
        </w:rPr>
        <w:t xml:space="preserve">Losmorid, 50 mg, </w:t>
      </w:r>
      <w:r>
        <w:rPr>
          <w:rFonts w:ascii="Microsoft Sans Serif" w:hAnsi="Microsoft Sans Serif" w:cs="Microsoft Sans Serif" w:eastAsiaTheme="minorHAnsi"/>
          <w:sz w:val="20"/>
          <w:szCs w:val="20"/>
          <w:u w:val="single"/>
          <w:lang w:val="sr-Cyrl-RS"/>
        </w:rPr>
        <w:t>film tablete</w:t>
      </w:r>
    </w:p>
    <w:p w14:paraId="7983EAF5">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Jezgro tablete</w:t>
      </w:r>
      <w:r>
        <w:rPr>
          <w:rFonts w:ascii="Microsoft Sans Serif" w:hAnsi="Microsoft Sans Serif" w:cs="Microsoft Sans Serif" w:eastAsiaTheme="minorHAnsi"/>
          <w:sz w:val="20"/>
          <w:szCs w:val="20"/>
        </w:rPr>
        <w:t>:</w:t>
      </w:r>
    </w:p>
    <w:p w14:paraId="6CF44655">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C</w:t>
      </w:r>
      <w:r>
        <w:rPr>
          <w:rFonts w:ascii="Microsoft Sans Serif" w:hAnsi="Microsoft Sans Serif" w:cs="Microsoft Sans Serif" w:eastAsiaTheme="minorHAnsi"/>
          <w:sz w:val="20"/>
          <w:szCs w:val="20"/>
          <w:lang w:val="sr-Cyrl-RS"/>
        </w:rPr>
        <w:t>eluloza</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ikrokristalna </w:t>
      </w:r>
    </w:p>
    <w:p w14:paraId="34870C1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 niskosupstituisana</w:t>
      </w:r>
    </w:p>
    <w:p w14:paraId="29898CA0">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Krospovidon</w:t>
      </w:r>
    </w:p>
    <w:p w14:paraId="6C1BC1E0">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w:t>
      </w:r>
    </w:p>
    <w:p w14:paraId="78E1A94D">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Silicijum-dioksid, koloidni, bezvodni</w:t>
      </w:r>
    </w:p>
    <w:p w14:paraId="6DC303DC">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Magnezijum-stearat</w:t>
      </w:r>
    </w:p>
    <w:p w14:paraId="6BE4685A">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Film obloga</w:t>
      </w:r>
      <w:r>
        <w:rPr>
          <w:rFonts w:ascii="Microsoft Sans Serif" w:hAnsi="Microsoft Sans Serif" w:cs="Microsoft Sans Serif" w:eastAsiaTheme="minorHAnsi"/>
          <w:sz w:val="20"/>
          <w:szCs w:val="20"/>
        </w:rPr>
        <w:t>:</w:t>
      </w:r>
    </w:p>
    <w:p w14:paraId="5932DE8A">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Polivinil alkohol</w:t>
      </w:r>
    </w:p>
    <w:p w14:paraId="6EF20A2D">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Makrogol</w:t>
      </w:r>
    </w:p>
    <w:p w14:paraId="199D4E9A">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Titan</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dioksid (E171)</w:t>
      </w:r>
    </w:p>
    <w:p w14:paraId="3F124ED6">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Talk</w:t>
      </w:r>
    </w:p>
    <w:p w14:paraId="45FEFCD1">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crveni (E172)</w:t>
      </w:r>
    </w:p>
    <w:p w14:paraId="6093B68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crni (E172)</w:t>
      </w:r>
    </w:p>
    <w:p w14:paraId="14C7319B">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mk-MK"/>
        </w:rPr>
        <w:t xml:space="preserve">Boja </w:t>
      </w:r>
      <w:r>
        <w:rPr>
          <w:rFonts w:ascii="Microsoft Sans Serif" w:hAnsi="Microsoft Sans Serif" w:cs="Microsoft Sans Serif" w:eastAsiaTheme="minorHAnsi"/>
          <w:sz w:val="20"/>
          <w:szCs w:val="20"/>
          <w:lang w:val="sr-Cyrl-RS"/>
        </w:rPr>
        <w:t>Indigo Carmine Aluminium Lake (E132)</w:t>
      </w:r>
    </w:p>
    <w:p w14:paraId="63FF6026">
      <w:pPr>
        <w:autoSpaceDE w:val="0"/>
        <w:autoSpaceDN w:val="0"/>
        <w:adjustRightInd w:val="0"/>
        <w:rPr>
          <w:rFonts w:ascii="Microsoft Sans Serif" w:hAnsi="Microsoft Sans Serif" w:cs="Microsoft Sans Serif" w:eastAsiaTheme="minorHAnsi"/>
          <w:color w:val="FF0000"/>
          <w:sz w:val="20"/>
          <w:szCs w:val="20"/>
          <w:lang w:val="sr-Cyrl-RS"/>
        </w:rPr>
      </w:pPr>
    </w:p>
    <w:p w14:paraId="4ED553FB">
      <w:pPr>
        <w:autoSpaceDE w:val="0"/>
        <w:autoSpaceDN w:val="0"/>
        <w:adjustRightInd w:val="0"/>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Latn-RS"/>
        </w:rPr>
        <w:t xml:space="preserve">Losmorid, 100 mg, </w:t>
      </w:r>
      <w:r>
        <w:rPr>
          <w:rFonts w:ascii="Microsoft Sans Serif" w:hAnsi="Microsoft Sans Serif" w:cs="Microsoft Sans Serif" w:eastAsiaTheme="minorHAnsi"/>
          <w:sz w:val="20"/>
          <w:szCs w:val="20"/>
          <w:u w:val="single"/>
          <w:lang w:val="sr-Cyrl-RS"/>
        </w:rPr>
        <w:t>film tablete</w:t>
      </w:r>
    </w:p>
    <w:p w14:paraId="31504777">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Jezgro tablete</w:t>
      </w:r>
      <w:r>
        <w:rPr>
          <w:rFonts w:ascii="Microsoft Sans Serif" w:hAnsi="Microsoft Sans Serif" w:cs="Microsoft Sans Serif" w:eastAsiaTheme="minorHAnsi"/>
          <w:sz w:val="20"/>
          <w:szCs w:val="20"/>
        </w:rPr>
        <w:t>:</w:t>
      </w:r>
    </w:p>
    <w:p w14:paraId="6FD26B8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Celuloza</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ikrokristalna </w:t>
      </w:r>
    </w:p>
    <w:p w14:paraId="76742F4C">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 niskosupstituisana</w:t>
      </w:r>
    </w:p>
    <w:p w14:paraId="62477037">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Krospovidon</w:t>
      </w:r>
    </w:p>
    <w:p w14:paraId="69A8E6B0">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w:t>
      </w:r>
    </w:p>
    <w:p w14:paraId="0FA6DFA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Silicijum-dioksid, koloidni, bezvodni</w:t>
      </w:r>
    </w:p>
    <w:p w14:paraId="0FDFE5B7">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Magnezijum-stearat</w:t>
      </w:r>
    </w:p>
    <w:p w14:paraId="6903A01E">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Film obloga</w:t>
      </w:r>
      <w:r>
        <w:rPr>
          <w:rFonts w:ascii="Microsoft Sans Serif" w:hAnsi="Microsoft Sans Serif" w:cs="Microsoft Sans Serif" w:eastAsiaTheme="minorHAnsi"/>
          <w:sz w:val="20"/>
          <w:szCs w:val="20"/>
        </w:rPr>
        <w:t>:</w:t>
      </w:r>
    </w:p>
    <w:p w14:paraId="4B229A3B">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Polivinil alkohol</w:t>
      </w:r>
    </w:p>
    <w:p w14:paraId="0983A287">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Makrogol</w:t>
      </w:r>
    </w:p>
    <w:p w14:paraId="19FEC766">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Titan</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dioksid (E171)</w:t>
      </w:r>
    </w:p>
    <w:p w14:paraId="5E3449ED">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Talk</w:t>
      </w:r>
    </w:p>
    <w:p w14:paraId="24FE5DA3">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 (III)-oksid, žuti (E172)</w:t>
      </w:r>
    </w:p>
    <w:p w14:paraId="1FC5CCEC">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crni (E172)</w:t>
      </w:r>
    </w:p>
    <w:p w14:paraId="6D168918">
      <w:pPr>
        <w:autoSpaceDE w:val="0"/>
        <w:autoSpaceDN w:val="0"/>
        <w:adjustRightInd w:val="0"/>
        <w:rPr>
          <w:rFonts w:ascii="Microsoft Sans Serif" w:hAnsi="Microsoft Sans Serif" w:cs="Microsoft Sans Serif" w:eastAsiaTheme="minorHAnsi"/>
          <w:color w:val="FF0000"/>
          <w:sz w:val="20"/>
          <w:szCs w:val="20"/>
          <w:lang w:val="sr-Cyrl-RS"/>
        </w:rPr>
      </w:pPr>
    </w:p>
    <w:p w14:paraId="422A3416">
      <w:pPr>
        <w:autoSpaceDE w:val="0"/>
        <w:autoSpaceDN w:val="0"/>
        <w:adjustRightInd w:val="0"/>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Latn-RS"/>
        </w:rPr>
        <w:t xml:space="preserve">Losmorid, </w:t>
      </w:r>
      <w:r>
        <w:rPr>
          <w:rFonts w:ascii="Microsoft Sans Serif" w:hAnsi="Microsoft Sans Serif" w:cs="Microsoft Sans Serif" w:eastAsiaTheme="minorHAnsi"/>
          <w:sz w:val="20"/>
          <w:szCs w:val="20"/>
          <w:u w:val="single"/>
          <w:lang w:val="sr-Cyrl-RS"/>
        </w:rPr>
        <w:t>1</w:t>
      </w:r>
      <w:r>
        <w:rPr>
          <w:rFonts w:ascii="Microsoft Sans Serif" w:hAnsi="Microsoft Sans Serif" w:cs="Microsoft Sans Serif" w:eastAsiaTheme="minorHAnsi"/>
          <w:sz w:val="20"/>
          <w:szCs w:val="20"/>
          <w:u w:val="single"/>
          <w:lang w:val="sr-Latn-RS"/>
        </w:rPr>
        <w:t xml:space="preserve">50 mg, </w:t>
      </w:r>
      <w:r>
        <w:rPr>
          <w:rFonts w:ascii="Microsoft Sans Serif" w:hAnsi="Microsoft Sans Serif" w:cs="Microsoft Sans Serif" w:eastAsiaTheme="minorHAnsi"/>
          <w:sz w:val="20"/>
          <w:szCs w:val="20"/>
          <w:u w:val="single"/>
          <w:lang w:val="sr-Cyrl-RS"/>
        </w:rPr>
        <w:t>film tablete</w:t>
      </w:r>
    </w:p>
    <w:p w14:paraId="0ECBE713">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Jezgro tablete</w:t>
      </w:r>
      <w:r>
        <w:rPr>
          <w:rFonts w:ascii="Microsoft Sans Serif" w:hAnsi="Microsoft Sans Serif" w:cs="Microsoft Sans Serif" w:eastAsiaTheme="minorHAnsi"/>
          <w:sz w:val="20"/>
          <w:szCs w:val="20"/>
        </w:rPr>
        <w:t>:</w:t>
      </w:r>
    </w:p>
    <w:p w14:paraId="3F6C6FE3">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C</w:t>
      </w:r>
      <w:r>
        <w:rPr>
          <w:rFonts w:ascii="Microsoft Sans Serif" w:hAnsi="Microsoft Sans Serif" w:cs="Microsoft Sans Serif" w:eastAsiaTheme="minorHAnsi"/>
          <w:sz w:val="20"/>
          <w:szCs w:val="20"/>
          <w:lang w:val="sr-Cyrl-RS"/>
        </w:rPr>
        <w:t>eluloza</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ikrokristalna </w:t>
      </w:r>
    </w:p>
    <w:p w14:paraId="3E0D22D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 niskosupstituisana</w:t>
      </w:r>
    </w:p>
    <w:p w14:paraId="18FE87F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Krospovidon</w:t>
      </w:r>
    </w:p>
    <w:p w14:paraId="77B30437">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w:t>
      </w:r>
    </w:p>
    <w:p w14:paraId="29B5AAFE">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Silicijum-dioksid, koloidni, bezvodni</w:t>
      </w:r>
    </w:p>
    <w:p w14:paraId="396D933D">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Magnezijum-stearat</w:t>
      </w:r>
    </w:p>
    <w:p w14:paraId="681D10CC">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Film obloga</w:t>
      </w:r>
      <w:r>
        <w:rPr>
          <w:rFonts w:ascii="Microsoft Sans Serif" w:hAnsi="Microsoft Sans Serif" w:cs="Microsoft Sans Serif" w:eastAsiaTheme="minorHAnsi"/>
          <w:sz w:val="20"/>
          <w:szCs w:val="20"/>
        </w:rPr>
        <w:t>:</w:t>
      </w:r>
    </w:p>
    <w:p w14:paraId="3E1A5606">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Polivinil alkohol</w:t>
      </w:r>
    </w:p>
    <w:p w14:paraId="1362FDF2">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Makrogol</w:t>
      </w:r>
    </w:p>
    <w:p w14:paraId="57B4F79E">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Titan</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dioksid (E171)</w:t>
      </w:r>
    </w:p>
    <w:p w14:paraId="548C45E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Talk</w:t>
      </w:r>
    </w:p>
    <w:p w14:paraId="15A41724">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crveni (E172)</w:t>
      </w:r>
    </w:p>
    <w:p w14:paraId="32F95DEE">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 (III)-oksid, žuti (E172)</w:t>
      </w:r>
    </w:p>
    <w:p w14:paraId="16150605">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crni (E172)</w:t>
      </w:r>
    </w:p>
    <w:p w14:paraId="783997B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Boja Indigo Carmine Aluminium Lake (E132)</w:t>
      </w:r>
    </w:p>
    <w:p w14:paraId="7B3B1798">
      <w:pPr>
        <w:autoSpaceDE w:val="0"/>
        <w:autoSpaceDN w:val="0"/>
        <w:adjustRightInd w:val="0"/>
        <w:rPr>
          <w:rFonts w:ascii="Microsoft Sans Serif" w:hAnsi="Microsoft Sans Serif" w:cs="Microsoft Sans Serif" w:eastAsiaTheme="minorHAnsi"/>
          <w:color w:val="FF0000"/>
          <w:sz w:val="20"/>
          <w:szCs w:val="20"/>
          <w:lang w:val="sr-Cyrl-RS"/>
        </w:rPr>
      </w:pPr>
    </w:p>
    <w:p w14:paraId="11F03078">
      <w:pPr>
        <w:autoSpaceDE w:val="0"/>
        <w:autoSpaceDN w:val="0"/>
        <w:adjustRightInd w:val="0"/>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Latn-RS"/>
        </w:rPr>
        <w:t xml:space="preserve">Losmorid, 200 mg, </w:t>
      </w:r>
      <w:r>
        <w:rPr>
          <w:rFonts w:ascii="Microsoft Sans Serif" w:hAnsi="Microsoft Sans Serif" w:cs="Microsoft Sans Serif" w:eastAsiaTheme="minorHAnsi"/>
          <w:sz w:val="20"/>
          <w:szCs w:val="20"/>
          <w:u w:val="single"/>
          <w:lang w:val="sr-Cyrl-RS"/>
        </w:rPr>
        <w:t>film tablete</w:t>
      </w:r>
    </w:p>
    <w:p w14:paraId="6CC624DD">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Jezgro tablete</w:t>
      </w:r>
      <w:r>
        <w:rPr>
          <w:rFonts w:ascii="Microsoft Sans Serif" w:hAnsi="Microsoft Sans Serif" w:cs="Microsoft Sans Serif" w:eastAsiaTheme="minorHAnsi"/>
          <w:sz w:val="20"/>
          <w:szCs w:val="20"/>
        </w:rPr>
        <w:t>:</w:t>
      </w:r>
    </w:p>
    <w:p w14:paraId="0881149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Celuloza</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ikrokristalna </w:t>
      </w:r>
    </w:p>
    <w:p w14:paraId="5AFFCAA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 niskosupstituisana</w:t>
      </w:r>
    </w:p>
    <w:p w14:paraId="220F6FA5">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Krospovidon</w:t>
      </w:r>
    </w:p>
    <w:p w14:paraId="453ADF23">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w:t>
      </w:r>
    </w:p>
    <w:p w14:paraId="7E8F2584">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Silicijum-dioksid, koloidni, bezvodni</w:t>
      </w:r>
    </w:p>
    <w:p w14:paraId="549F370E">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Magnezijum-stearat</w:t>
      </w:r>
    </w:p>
    <w:p w14:paraId="46802391">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Film obloga</w:t>
      </w:r>
      <w:r>
        <w:rPr>
          <w:rFonts w:ascii="Microsoft Sans Serif" w:hAnsi="Microsoft Sans Serif" w:cs="Microsoft Sans Serif" w:eastAsiaTheme="minorHAnsi"/>
          <w:sz w:val="20"/>
          <w:szCs w:val="20"/>
        </w:rPr>
        <w:t>:</w:t>
      </w:r>
    </w:p>
    <w:p w14:paraId="3CE13F74">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Polivinil alkohol</w:t>
      </w:r>
    </w:p>
    <w:p w14:paraId="284C0D73">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Makrogol</w:t>
      </w:r>
    </w:p>
    <w:p w14:paraId="08ACB31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Titan</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dioksid (E171)</w:t>
      </w:r>
    </w:p>
    <w:p w14:paraId="6460648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Talk</w:t>
      </w:r>
    </w:p>
    <w:p w14:paraId="7716B18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Boja Indigo Carmine Aluminium Lake (E132)</w:t>
      </w:r>
    </w:p>
    <w:p w14:paraId="51336AE6">
      <w:pPr>
        <w:rPr>
          <w:rFonts w:ascii="Microsoft Sans Serif" w:hAnsi="Microsoft Sans Serif" w:cs="Microsoft Sans Serif"/>
          <w:sz w:val="20"/>
          <w:szCs w:val="20"/>
        </w:rPr>
      </w:pPr>
    </w:p>
    <w:p w14:paraId="3C98E095">
      <w:pPr>
        <w:rPr>
          <w:rFonts w:ascii="Microsoft Sans Serif" w:hAnsi="Microsoft Sans Serif" w:cs="Microsoft Sans Serif"/>
          <w:b/>
          <w:bCs/>
          <w:sz w:val="20"/>
          <w:szCs w:val="20"/>
        </w:rPr>
      </w:pPr>
      <w:r>
        <w:rPr>
          <w:rFonts w:ascii="Microsoft Sans Serif" w:hAnsi="Microsoft Sans Serif" w:cs="Microsoft Sans Serif"/>
          <w:b/>
          <w:bCs/>
          <w:sz w:val="20"/>
          <w:szCs w:val="20"/>
        </w:rPr>
        <w:t>6.2. Inkompatibilnost</w:t>
      </w:r>
    </w:p>
    <w:p w14:paraId="4FEC849A">
      <w:pPr>
        <w:rPr>
          <w:rFonts w:ascii="Microsoft Sans Serif" w:hAnsi="Microsoft Sans Serif" w:cs="Microsoft Sans Serif"/>
          <w:b/>
          <w:bCs/>
          <w:sz w:val="20"/>
          <w:szCs w:val="20"/>
        </w:rPr>
      </w:pPr>
    </w:p>
    <w:p w14:paraId="5FB87B7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Nije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enjivo.</w:t>
      </w:r>
    </w:p>
    <w:p w14:paraId="3BDA9819">
      <w:pPr>
        <w:rPr>
          <w:rFonts w:ascii="Microsoft Sans Serif" w:hAnsi="Microsoft Sans Serif" w:cs="Microsoft Sans Serif"/>
          <w:sz w:val="20"/>
          <w:szCs w:val="20"/>
        </w:rPr>
      </w:pPr>
    </w:p>
    <w:p w14:paraId="6C27A4E4">
      <w:pPr>
        <w:rPr>
          <w:rFonts w:ascii="Microsoft Sans Serif" w:hAnsi="Microsoft Sans Serif" w:cs="Microsoft Sans Serif"/>
          <w:b/>
          <w:bCs/>
          <w:sz w:val="20"/>
          <w:szCs w:val="20"/>
        </w:rPr>
      </w:pPr>
    </w:p>
    <w:p w14:paraId="4C09D50B">
      <w:pPr>
        <w:rPr>
          <w:rFonts w:ascii="Microsoft Sans Serif" w:hAnsi="Microsoft Sans Serif" w:cs="Microsoft Sans Serif"/>
          <w:b/>
          <w:bCs/>
          <w:sz w:val="20"/>
          <w:szCs w:val="20"/>
        </w:rPr>
      </w:pPr>
      <w:r>
        <w:rPr>
          <w:rFonts w:ascii="Microsoft Sans Serif" w:hAnsi="Microsoft Sans Serif" w:cs="Microsoft Sans Serif"/>
          <w:b/>
          <w:bCs/>
          <w:sz w:val="20"/>
          <w:szCs w:val="20"/>
        </w:rPr>
        <w:t>6.3. Rok upotrebe</w:t>
      </w:r>
    </w:p>
    <w:p w14:paraId="303ED84B">
      <w:pPr>
        <w:rPr>
          <w:rFonts w:ascii="Microsoft Sans Serif" w:hAnsi="Microsoft Sans Serif" w:cs="Microsoft Sans Serif"/>
          <w:b/>
          <w:bCs/>
          <w:sz w:val="20"/>
          <w:szCs w:val="20"/>
          <w:lang w:val="sr-Cyrl-RS"/>
        </w:rPr>
      </w:pPr>
    </w:p>
    <w:p w14:paraId="470DBA7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Četiri (4) godine.</w:t>
      </w:r>
    </w:p>
    <w:p w14:paraId="757FEB5C">
      <w:pPr>
        <w:tabs>
          <w:tab w:val="left" w:pos="567"/>
          <w:tab w:val="clear" w:pos="284"/>
        </w:tabs>
        <w:rPr>
          <w:rFonts w:ascii="Microsoft Sans Serif" w:hAnsi="Microsoft Sans Serif" w:cs="Microsoft Sans Serif"/>
          <w:sz w:val="20"/>
          <w:szCs w:val="20"/>
          <w:lang w:val="en-GB"/>
        </w:rPr>
      </w:pPr>
    </w:p>
    <w:p w14:paraId="477518BD">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6.4.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 xml:space="preserve">ere </w:t>
      </w:r>
      <w:r>
        <w:rPr>
          <w:rFonts w:ascii="Microsoft Sans Serif" w:hAnsi="Microsoft Sans Serif" w:cs="Microsoft Sans Serif"/>
          <w:b/>
          <w:bCs/>
          <w:sz w:val="20"/>
          <w:szCs w:val="20"/>
        </w:rPr>
        <w:t xml:space="preserve">opreza </w:t>
      </w:r>
      <w:r>
        <w:rPr>
          <w:rFonts w:ascii="Microsoft Sans Serif" w:hAnsi="Microsoft Sans Serif" w:cs="Microsoft Sans Serif"/>
          <w:b/>
          <w:bCs/>
          <w:sz w:val="20"/>
          <w:szCs w:val="20"/>
          <w:lang w:val="ru-RU"/>
        </w:rPr>
        <w:t>pri čuvanju</w:t>
      </w:r>
    </w:p>
    <w:p w14:paraId="696C0B07">
      <w:pPr>
        <w:rPr>
          <w:rFonts w:ascii="Microsoft Sans Serif" w:hAnsi="Microsoft Sans Serif" w:cs="Microsoft Sans Serif"/>
          <w:bCs/>
          <w:color w:val="FF0000"/>
          <w:sz w:val="20"/>
          <w:szCs w:val="20"/>
          <w:lang w:val="ru-RU"/>
        </w:rPr>
      </w:pPr>
    </w:p>
    <w:p w14:paraId="51F9E15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 Lijek treba čuvati na temperaturi do 30⁰C. </w:t>
      </w:r>
    </w:p>
    <w:p w14:paraId="7242EF49">
      <w:pPr>
        <w:rPr>
          <w:rFonts w:ascii="Microsoft Sans Serif" w:hAnsi="Microsoft Sans Serif" w:cs="Microsoft Sans Serif"/>
          <w:sz w:val="20"/>
          <w:szCs w:val="20"/>
        </w:rPr>
      </w:pPr>
    </w:p>
    <w:p w14:paraId="0CE2C18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6.5. Vrsta i sadržaj unutrašnjeg pakovanja</w:t>
      </w:r>
      <w:r>
        <w:rPr>
          <w:rFonts w:ascii="Microsoft Sans Serif" w:hAnsi="Microsoft Sans Serif" w:cs="Microsoft Sans Serif"/>
          <w:b/>
          <w:bCs/>
          <w:sz w:val="20"/>
          <w:szCs w:val="20"/>
          <w:lang w:val="sv-SE"/>
        </w:rPr>
        <w:t xml:space="preserve"> kontejnera</w:t>
      </w:r>
    </w:p>
    <w:p w14:paraId="5DCA1963">
      <w:pPr>
        <w:rPr>
          <w:rFonts w:ascii="Microsoft Sans Serif" w:hAnsi="Microsoft Sans Serif" w:cs="Microsoft Sans Serif"/>
          <w:sz w:val="20"/>
          <w:szCs w:val="20"/>
          <w:lang w:val="sv-SE"/>
        </w:rPr>
      </w:pPr>
    </w:p>
    <w:p w14:paraId="413DB40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Unutrašnje pakovanje: transparentni  </w:t>
      </w:r>
      <w:r>
        <w:rPr>
          <w:rFonts w:ascii="Microsoft Sans Serif" w:hAnsi="Microsoft Sans Serif" w:cs="Microsoft Sans Serif"/>
          <w:bCs/>
          <w:sz w:val="20"/>
          <w:szCs w:val="20"/>
          <w:lang w:val="sr-Latn-RS"/>
        </w:rPr>
        <w:t xml:space="preserve">PVC/PVDC-Al </w:t>
      </w:r>
      <w:r>
        <w:rPr>
          <w:rFonts w:ascii="Microsoft Sans Serif" w:hAnsi="Microsoft Sans Serif" w:cs="Microsoft Sans Serif"/>
          <w:bCs/>
          <w:sz w:val="20"/>
          <w:szCs w:val="20"/>
          <w:lang w:val="mk-MK"/>
        </w:rPr>
        <w:t>blister</w:t>
      </w:r>
      <w:r>
        <w:rPr>
          <w:rFonts w:ascii="Microsoft Sans Serif" w:hAnsi="Microsoft Sans Serif" w:cs="Microsoft Sans Serif"/>
          <w:bCs/>
          <w:sz w:val="20"/>
          <w:szCs w:val="20"/>
          <w:lang w:val="sr-Cyrl-RS"/>
        </w:rPr>
        <w:t xml:space="preserve">. Svaki blister sadrži </w:t>
      </w:r>
      <w:r>
        <w:rPr>
          <w:rFonts w:ascii="Microsoft Sans Serif" w:hAnsi="Microsoft Sans Serif" w:cs="Microsoft Sans Serif"/>
          <w:bCs/>
          <w:sz w:val="20"/>
          <w:szCs w:val="20"/>
          <w:lang w:val="sr-Latn-RS"/>
        </w:rPr>
        <w:t>14</w:t>
      </w:r>
      <w:r>
        <w:rPr>
          <w:rFonts w:ascii="Microsoft Sans Serif" w:hAnsi="Microsoft Sans Serif" w:cs="Microsoft Sans Serif"/>
          <w:bCs/>
          <w:sz w:val="20"/>
          <w:szCs w:val="20"/>
          <w:lang w:val="sr-Cyrl-RS"/>
        </w:rPr>
        <w:t xml:space="preserve"> film tableta.</w:t>
      </w:r>
    </w:p>
    <w:p w14:paraId="773057DE">
      <w:pPr>
        <w:rPr>
          <w:rFonts w:ascii="Microsoft Sans Serif" w:hAnsi="Microsoft Sans Serif" w:cs="Microsoft Sans Serif"/>
          <w:sz w:val="20"/>
          <w:szCs w:val="20"/>
          <w:lang w:val="sr-Latn-RS"/>
        </w:rPr>
      </w:pPr>
      <w:r>
        <w:rPr>
          <w:rFonts w:ascii="Microsoft Sans Serif" w:hAnsi="Microsoft Sans Serif" w:cs="Microsoft Sans Serif"/>
          <w:bCs/>
          <w:sz w:val="20"/>
          <w:szCs w:val="20"/>
          <w:lang w:val="sr-Cyrl-RS"/>
        </w:rPr>
        <w:t xml:space="preserve">Spolјašnje pakovanje: kartonska kutija koja sadrži 56 film tableta (4 </w:t>
      </w:r>
      <w:r>
        <w:rPr>
          <w:rFonts w:ascii="Microsoft Sans Serif" w:hAnsi="Microsoft Sans Serif" w:cs="Microsoft Sans Serif"/>
          <w:bCs/>
          <w:sz w:val="20"/>
          <w:szCs w:val="20"/>
          <w:lang w:val="mk-MK"/>
        </w:rPr>
        <w:t>blistera)</w:t>
      </w:r>
      <w:r>
        <w:rPr>
          <w:rFonts w:ascii="Microsoft Sans Serif" w:hAnsi="Microsoft Sans Serif" w:cs="Microsoft Sans Serif"/>
          <w:bCs/>
          <w:sz w:val="20"/>
          <w:szCs w:val="20"/>
          <w:lang w:val="sr-Latn-RS"/>
        </w:rPr>
        <w:t xml:space="preserve">, uz priloženo </w:t>
      </w:r>
      <w:r>
        <w:rPr>
          <w:rFonts w:ascii="Microsoft Sans Serif" w:hAnsi="Microsoft Sans Serif" w:cs="Microsoft Sans Serif"/>
          <w:bCs/>
          <w:sz w:val="20"/>
          <w:szCs w:val="20"/>
          <w:lang w:val="sr-Cyrl-RS"/>
        </w:rPr>
        <w:t xml:space="preserve">Uputstvo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RS"/>
        </w:rPr>
        <w:t>.</w:t>
      </w:r>
    </w:p>
    <w:p w14:paraId="61AB2080">
      <w:pPr>
        <w:tabs>
          <w:tab w:val="clear" w:pos="284"/>
        </w:tabs>
        <w:rPr>
          <w:rFonts w:ascii="Microsoft Sans Serif" w:hAnsi="Microsoft Sans Serif" w:cs="Microsoft Sans Serif"/>
          <w:sz w:val="20"/>
          <w:szCs w:val="20"/>
          <w:lang w:val="sr-Cyrl-RS"/>
        </w:rPr>
      </w:pPr>
    </w:p>
    <w:p w14:paraId="0823ED47">
      <w:pPr>
        <w:tabs>
          <w:tab w:val="clear" w:pos="284"/>
        </w:tabs>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sr-Cyrl-RS"/>
        </w:rPr>
        <w:t xml:space="preserve">6.6. </w:t>
      </w:r>
      <w:r>
        <w:rPr>
          <w:rFonts w:ascii="Microsoft Sans Serif" w:hAnsi="Microsoft Sans Serif" w:cs="Microsoft Sans Serif"/>
          <w:b/>
          <w:sz w:val="20"/>
          <w:szCs w:val="20"/>
          <w:lang w:val="sr-Latn-BA"/>
        </w:rPr>
        <w:t xml:space="preserve">Uputstva za upotrebu i rukovanje i posebne mjere za uklanjanje neiskorištenog lijeka ili otpadnih materijala koji potiču od lijeka </w:t>
      </w:r>
    </w:p>
    <w:p w14:paraId="39E65444">
      <w:pPr>
        <w:rPr>
          <w:rFonts w:ascii="Microsoft Sans Serif" w:hAnsi="Microsoft Sans Serif" w:cs="Microsoft Sans Serif"/>
          <w:b/>
          <w:bCs/>
          <w:sz w:val="20"/>
          <w:szCs w:val="20"/>
          <w:lang w:val="sr-Latn-CS"/>
        </w:rPr>
      </w:pPr>
    </w:p>
    <w:p w14:paraId="7BCE6667">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Svu neiskorišćenu količinu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eka ili otpadnog materijala nakon njegove upotrebe treba ukloniti u skladu sa važećim propisima.</w:t>
      </w:r>
    </w:p>
    <w:p w14:paraId="5ED03D2D">
      <w:pPr>
        <w:rPr>
          <w:rFonts w:ascii="Microsoft Sans Serif" w:hAnsi="Microsoft Sans Serif" w:cs="Microsoft Sans Serif"/>
          <w:sz w:val="20"/>
          <w:szCs w:val="20"/>
          <w:lang w:val="sr-Latn-RS"/>
        </w:rPr>
      </w:pPr>
    </w:p>
    <w:p w14:paraId="77CFA331">
      <w:pPr>
        <w:rPr>
          <w:rFonts w:ascii="Microsoft Sans Serif" w:hAnsi="Microsoft Sans Serif" w:cs="Microsoft Sans Serif"/>
          <w:b/>
          <w:sz w:val="20"/>
          <w:szCs w:val="20"/>
          <w:lang w:val="sr-Cyrl-CS"/>
        </w:rPr>
      </w:pPr>
      <w:r>
        <w:rPr>
          <w:rFonts w:ascii="Microsoft Sans Serif" w:hAnsi="Microsoft Sans Serif" w:cs="Microsoft Sans Serif"/>
          <w:b/>
          <w:sz w:val="20"/>
          <w:szCs w:val="20"/>
          <w:lang w:val="sr-Latn-RS"/>
        </w:rPr>
        <w:t xml:space="preserve">6.7. </w:t>
      </w:r>
      <w:r>
        <w:rPr>
          <w:rFonts w:ascii="Microsoft Sans Serif" w:hAnsi="Microsoft Sans Serif" w:cs="Microsoft Sans Serif"/>
          <w:b/>
          <w:sz w:val="20"/>
          <w:szCs w:val="20"/>
          <w:lang w:val="sr-Latn-BA"/>
        </w:rPr>
        <w:t>Režim izdavanja</w:t>
      </w:r>
    </w:p>
    <w:p w14:paraId="73B497B1">
      <w:pPr>
        <w:tabs>
          <w:tab w:val="left" w:pos="567"/>
        </w:tabs>
        <w:rPr>
          <w:rFonts w:ascii="Microsoft Sans Serif" w:hAnsi="Microsoft Sans Serif" w:cs="Microsoft Sans Serif"/>
          <w:sz w:val="20"/>
          <w:szCs w:val="20"/>
          <w:lang w:val="sr-Latn-BA"/>
        </w:rPr>
      </w:pPr>
    </w:p>
    <w:p w14:paraId="722C5C1B">
      <w:pPr>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Lijek se izdaje uz ljekarski recept.</w:t>
      </w:r>
    </w:p>
    <w:p w14:paraId="4E819FB3">
      <w:pPr>
        <w:rPr>
          <w:rFonts w:ascii="Microsoft Sans Serif" w:hAnsi="Microsoft Sans Serif" w:cs="Microsoft Sans Serif"/>
          <w:sz w:val="20"/>
          <w:szCs w:val="20"/>
          <w:lang w:val="sr-Latn-RS"/>
        </w:rPr>
      </w:pPr>
    </w:p>
    <w:p w14:paraId="6095DAF8">
      <w:pPr>
        <w:rPr>
          <w:rFonts w:ascii="Microsoft Sans Serif" w:hAnsi="Microsoft Sans Serif" w:cs="Microsoft Sans Serif"/>
          <w:sz w:val="20"/>
          <w:szCs w:val="20"/>
          <w:lang w:val="sr-Latn-RS"/>
        </w:rPr>
      </w:pPr>
    </w:p>
    <w:p w14:paraId="234EBC0F">
      <w:pPr>
        <w:tabs>
          <w:tab w:val="left" w:pos="426"/>
          <w:tab w:val="left" w:pos="993"/>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bCs/>
          <w:sz w:val="20"/>
          <w:szCs w:val="20"/>
          <w:lang w:val="sv-SE"/>
        </w:rPr>
        <w:t>NAZIV I ADRESA PROIZVOĐAČA</w:t>
      </w:r>
    </w:p>
    <w:p w14:paraId="1E91491E">
      <w:pPr>
        <w:pStyle w:val="26"/>
        <w:rPr>
          <w:rFonts w:ascii="Microsoft Sans Serif" w:hAnsi="Microsoft Sans Serif" w:cs="Microsoft Sans Serif"/>
          <w:sz w:val="20"/>
          <w:szCs w:val="20"/>
          <w:lang w:val="sr-Latn-BA"/>
        </w:rPr>
      </w:pPr>
    </w:p>
    <w:p w14:paraId="46AECA2E">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3A8F2F1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220E39C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16CC735F">
      <w:pPr>
        <w:rPr>
          <w:rFonts w:ascii="Microsoft Sans Serif" w:hAnsi="Microsoft Sans Serif" w:cs="Microsoft Sans Serif"/>
          <w:sz w:val="20"/>
          <w:szCs w:val="20"/>
          <w:lang w:val="hr-HR"/>
        </w:rPr>
      </w:pPr>
    </w:p>
    <w:p w14:paraId="3C72CDB1">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1B49D26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ALKALOID AD Skopje </w:t>
      </w:r>
    </w:p>
    <w:p w14:paraId="7A195763">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393A63FB">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5FF339BF">
      <w:pPr>
        <w:pStyle w:val="26"/>
        <w:rPr>
          <w:rFonts w:ascii="Microsoft Sans Serif" w:hAnsi="Microsoft Sans Serif" w:cs="Microsoft Sans Serif"/>
          <w:sz w:val="20"/>
          <w:szCs w:val="20"/>
          <w:lang w:val="sr-Latn-BA"/>
        </w:rPr>
      </w:pPr>
    </w:p>
    <w:p w14:paraId="10FB4FA6">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142B3F11">
      <w:pPr>
        <w:pStyle w:val="26"/>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5A1F25A6">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427E7641">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2A006E2B">
      <w:pPr>
        <w:tabs>
          <w:tab w:val="left" w:pos="567"/>
        </w:tabs>
        <w:rPr>
          <w:rFonts w:ascii="Microsoft Sans Serif" w:hAnsi="Microsoft Sans Serif" w:cs="Microsoft Sans Serif"/>
          <w:sz w:val="20"/>
          <w:szCs w:val="20"/>
          <w:lang w:val="sr-Latn-BA"/>
        </w:rPr>
      </w:pPr>
    </w:p>
    <w:p w14:paraId="0675EB47">
      <w:pPr>
        <w:tabs>
          <w:tab w:val="left" w:pos="567"/>
        </w:tabs>
        <w:rPr>
          <w:rFonts w:ascii="Microsoft Sans Serif" w:hAnsi="Microsoft Sans Serif" w:cs="Microsoft Sans Serif"/>
          <w:sz w:val="20"/>
          <w:szCs w:val="20"/>
          <w:lang w:val="sr-Latn-BA"/>
        </w:rPr>
      </w:pPr>
    </w:p>
    <w:p w14:paraId="6ED68077">
      <w:pPr>
        <w:tabs>
          <w:tab w:val="left" w:pos="360"/>
        </w:tabs>
        <w:rPr>
          <w:rFonts w:ascii="Microsoft Sans Serif" w:hAnsi="Microsoft Sans Serif" w:cs="Microsoft Sans Serif"/>
          <w:b/>
          <w:bCs/>
          <w:sz w:val="20"/>
          <w:szCs w:val="20"/>
          <w:lang w:val="sv-SE"/>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bCs/>
          <w:sz w:val="20"/>
          <w:szCs w:val="20"/>
          <w:lang w:val="sv-SE"/>
        </w:rPr>
        <w:t>BROJ I DATUM RJEŠENJA O DOZVOLI ZA STAVLJANJE GOTOVOG LIJEKA U</w:t>
      </w:r>
    </w:p>
    <w:p w14:paraId="6D8F27AF">
      <w:pPr>
        <w:tabs>
          <w:tab w:val="left" w:pos="360"/>
        </w:tabs>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sv-SE"/>
        </w:rPr>
        <w:t>PROMET</w:t>
      </w:r>
    </w:p>
    <w:p w14:paraId="27F24A07">
      <w:pPr>
        <w:pStyle w:val="31"/>
        <w:spacing w:before="0" w:after="0"/>
        <w:rPr>
          <w:rFonts w:ascii="Microsoft Sans Serif" w:hAnsi="Microsoft Sans Serif" w:cs="Microsoft Sans Serif"/>
          <w:b w:val="0"/>
          <w:sz w:val="20"/>
          <w:szCs w:val="20"/>
          <w:lang w:val="sr-Latn-BA"/>
        </w:rPr>
      </w:pPr>
    </w:p>
    <w:p w14:paraId="52C3ECFB">
      <w:pPr>
        <w:tabs>
          <w:tab w:val="clear" w:pos="284"/>
        </w:tabs>
        <w:autoSpaceDE w:val="0"/>
        <w:autoSpaceDN w:val="0"/>
        <w:adjustRightInd w:val="0"/>
        <w:jc w:val="left"/>
        <w:rPr>
          <w:rFonts w:ascii="MicrosoftSansSerif" w:hAnsi="MicrosoftSansSerif" w:cs="MicrosoftSansSerif"/>
          <w:sz w:val="20"/>
          <w:szCs w:val="20"/>
          <w:lang w:val="sv-SE"/>
        </w:rPr>
      </w:pPr>
      <w:r>
        <w:rPr>
          <w:rFonts w:ascii="MicrosoftSansSerif" w:hAnsi="MicrosoftSansSerif" w:cs="MicrosoftSansSerif"/>
          <w:sz w:val="20"/>
          <w:szCs w:val="20"/>
          <w:lang w:val="sv-SE"/>
        </w:rPr>
        <w:t>Losmorid, 50 mg, film tablete: 04-07.3-1-7168/20 od 23.12.2021.</w:t>
      </w:r>
    </w:p>
    <w:p w14:paraId="416736D8">
      <w:pPr>
        <w:tabs>
          <w:tab w:val="clear" w:pos="284"/>
        </w:tabs>
        <w:autoSpaceDE w:val="0"/>
        <w:autoSpaceDN w:val="0"/>
        <w:adjustRightInd w:val="0"/>
        <w:jc w:val="left"/>
        <w:rPr>
          <w:rFonts w:ascii="MicrosoftSansSerif" w:hAnsi="MicrosoftSansSerif" w:cs="MicrosoftSansSerif"/>
          <w:sz w:val="20"/>
          <w:szCs w:val="20"/>
          <w:lang w:val="sv-SE"/>
        </w:rPr>
      </w:pPr>
      <w:r>
        <w:rPr>
          <w:rFonts w:ascii="MicrosoftSansSerif" w:hAnsi="MicrosoftSansSerif" w:cs="MicrosoftSansSerif"/>
          <w:sz w:val="20"/>
          <w:szCs w:val="20"/>
          <w:lang w:val="sv-SE"/>
        </w:rPr>
        <w:t>Losmorid, 100 mg, film tablete: 04-07.3-1-7169/20 od 23.12.2021.</w:t>
      </w:r>
    </w:p>
    <w:p w14:paraId="2FAFD842">
      <w:pPr>
        <w:tabs>
          <w:tab w:val="clear" w:pos="284"/>
        </w:tabs>
        <w:autoSpaceDE w:val="0"/>
        <w:autoSpaceDN w:val="0"/>
        <w:adjustRightInd w:val="0"/>
        <w:jc w:val="left"/>
        <w:rPr>
          <w:rFonts w:ascii="MicrosoftSansSerif" w:hAnsi="MicrosoftSansSerif" w:cs="MicrosoftSansSerif"/>
          <w:sz w:val="20"/>
          <w:szCs w:val="20"/>
          <w:lang w:val="sv-SE"/>
        </w:rPr>
      </w:pPr>
      <w:r>
        <w:rPr>
          <w:rFonts w:ascii="MicrosoftSansSerif" w:hAnsi="MicrosoftSansSerif" w:cs="MicrosoftSansSerif"/>
          <w:sz w:val="20"/>
          <w:szCs w:val="20"/>
          <w:lang w:val="sv-SE"/>
        </w:rPr>
        <w:t>Losmorid, 150 mg, film tablete: 04-07.3-1-7170/20 od 23.12.2021.</w:t>
      </w:r>
    </w:p>
    <w:p w14:paraId="62860503">
      <w:pPr>
        <w:pStyle w:val="31"/>
        <w:spacing w:before="0" w:after="0"/>
        <w:rPr>
          <w:rFonts w:ascii="Microsoft Sans Serif" w:hAnsi="Microsoft Sans Serif" w:cs="Microsoft Sans Serif"/>
          <w:b w:val="0"/>
          <w:sz w:val="20"/>
          <w:szCs w:val="20"/>
          <w:lang w:val="sr-Latn-RS"/>
        </w:rPr>
      </w:pPr>
      <w:r>
        <w:rPr>
          <w:rFonts w:ascii="MicrosoftSansSerif" w:hAnsi="MicrosoftSansSerif" w:cs="MicrosoftSansSerif"/>
          <w:b w:val="0"/>
          <w:sz w:val="20"/>
          <w:szCs w:val="20"/>
          <w:lang w:val="sv-SE"/>
        </w:rPr>
        <w:t>Losmorid, 200 mg, film tablete: 04-07.3-1-7171/20 od 23.12.2021.</w:t>
      </w:r>
    </w:p>
    <w:p w14:paraId="71715709">
      <w:pPr>
        <w:pStyle w:val="31"/>
        <w:spacing w:before="0" w:after="0"/>
        <w:rPr>
          <w:rFonts w:ascii="Microsoft Sans Serif" w:hAnsi="Microsoft Sans Serif" w:cs="Microsoft Sans Serif"/>
          <w:sz w:val="20"/>
          <w:szCs w:val="20"/>
          <w:lang w:val="sr-Latn-RS"/>
        </w:rPr>
      </w:pPr>
    </w:p>
    <w:p w14:paraId="30585080">
      <w:pPr>
        <w:pStyle w:val="31"/>
        <w:spacing w:before="0" w:after="0"/>
        <w:rPr>
          <w:rFonts w:ascii="Microsoft Sans Serif" w:hAnsi="Microsoft Sans Serif" w:cs="Microsoft Sans Serif"/>
          <w:sz w:val="20"/>
          <w:szCs w:val="20"/>
          <w:lang w:val="sr-Latn-RS"/>
        </w:rPr>
      </w:pPr>
    </w:p>
    <w:p w14:paraId="2BF2B471">
      <w:pPr>
        <w:pStyle w:val="31"/>
        <w:tabs>
          <w:tab w:val="left" w:pos="360"/>
          <w:tab w:val="clear" w:pos="284"/>
        </w:tabs>
        <w:spacing w:before="0" w:after="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xml:space="preserve">9.    </w:t>
      </w:r>
      <w:r>
        <w:rPr>
          <w:rFonts w:ascii="Microsoft Sans Serif" w:hAnsi="Microsoft Sans Serif" w:cs="Microsoft Sans Serif"/>
          <w:sz w:val="20"/>
          <w:szCs w:val="20"/>
          <w:lang w:val="sr-Latn-BA"/>
        </w:rPr>
        <w:t>DATUM REVIZIJE SAŽETKA KARAKTERISTIKA LIJEKA</w:t>
      </w:r>
    </w:p>
    <w:p w14:paraId="19012C98">
      <w:pPr>
        <w:rPr>
          <w:rFonts w:ascii="Microsoft Sans Serif" w:hAnsi="Microsoft Sans Serif" w:cs="Microsoft Sans Serif"/>
          <w:bCs/>
          <w:sz w:val="20"/>
          <w:szCs w:val="20"/>
          <w:lang w:val="sv-SE"/>
        </w:rPr>
      </w:pPr>
    </w:p>
    <w:p w14:paraId="5D18790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Septembar</w:t>
      </w:r>
      <w:r>
        <w:rPr>
          <w:rFonts w:ascii="Microsoft Sans Serif" w:hAnsi="Microsoft Sans Serif" w:cs="Microsoft Sans Serif"/>
          <w:bCs/>
          <w:sz w:val="20"/>
          <w:szCs w:val="20"/>
          <w:lang w:val="sr-Cyrl-RS"/>
        </w:rPr>
        <w:t>, 202</w:t>
      </w:r>
      <w:r>
        <w:rPr>
          <w:rFonts w:ascii="Microsoft Sans Serif" w:hAnsi="Microsoft Sans Serif" w:cs="Microsoft Sans Serif"/>
          <w:bCs/>
          <w:sz w:val="20"/>
          <w:szCs w:val="20"/>
          <w:lang w:val="sv-SE"/>
        </w:rPr>
        <w:t>3</w:t>
      </w:r>
      <w:r>
        <w:rPr>
          <w:rFonts w:ascii="Microsoft Sans Serif" w:hAnsi="Microsoft Sans Serif" w:cs="Microsoft Sans Serif"/>
          <w:bCs/>
          <w:sz w:val="20"/>
          <w:szCs w:val="20"/>
          <w:lang w:val="sr-Cyrl-RS"/>
        </w:rPr>
        <w:t>.</w:t>
      </w:r>
    </w:p>
    <w:p w14:paraId="278AA9E5">
      <w:pPr>
        <w:rPr>
          <w:rFonts w:ascii="Microsoft Sans Serif" w:hAnsi="Microsoft Sans Serif" w:cs="Microsoft Sans Serif"/>
          <w:bCs/>
          <w:sz w:val="20"/>
          <w:szCs w:val="20"/>
          <w:lang w:val="sv-SE"/>
        </w:rPr>
      </w:pP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Segoe Print"/>
    <w:panose1 w:val="00000000000000000000"/>
    <w:charset w:val="00"/>
    <w:family w:val="swiss"/>
    <w:pitch w:val="default"/>
    <w:sig w:usb0="00000000" w:usb1="00000000" w:usb2="00000000" w:usb3="00000000" w:csb0="0000001B" w:csb1="0000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SansSerif">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32083">
    <w:pPr>
      <w:pStyle w:val="25"/>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12</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20</w:t>
            </w:r>
            <w:r>
              <w:rPr>
                <w:sz w:val="18"/>
                <w:szCs w:val="18"/>
              </w:rPr>
              <w:fldChar w:fldCharType="end"/>
            </w:r>
          </w:sdtContent>
        </w:sdt>
      </w:sdtContent>
    </w:sdt>
  </w:p>
  <w:p w14:paraId="4EC32EAF">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DC21">
    <w:pPr>
      <w:pStyle w:val="25"/>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14:paraId="2CA3B655">
    <w:pPr>
      <w:pStyle w:val="2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47DB3"/>
    <w:multiLevelType w:val="multilevel"/>
    <w:tmpl w:val="1A347D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02B3A5E"/>
    <w:multiLevelType w:val="multilevel"/>
    <w:tmpl w:val="202B3A5E"/>
    <w:lvl w:ilvl="0" w:tentative="0">
      <w:start w:val="1"/>
      <w:numFmt w:val="upperRoman"/>
      <w:pStyle w:val="50"/>
      <w:lvlText w:val="%1"/>
      <w:lvlJc w:val="left"/>
      <w:pPr>
        <w:tabs>
          <w:tab w:val="left" w:pos="720"/>
        </w:tabs>
        <w:ind w:left="284" w:hanging="284"/>
      </w:pPr>
      <w:rPr>
        <w:rFonts w:hint="default" w:ascii="Arial" w:hAnsi="Arial" w:cs="Times New Roman"/>
        <w:b/>
        <w:i w:val="0"/>
        <w:sz w:val="24"/>
      </w:rPr>
    </w:lvl>
    <w:lvl w:ilvl="1" w:tentative="0">
      <w:start w:val="1"/>
      <w:numFmt w:val="decimal"/>
      <w:pStyle w:val="51"/>
      <w:lvlText w:val="%1.%2"/>
      <w:lvlJc w:val="left"/>
      <w:pPr>
        <w:tabs>
          <w:tab w:val="left" w:pos="709"/>
        </w:tabs>
        <w:ind w:left="709" w:hanging="425"/>
      </w:pPr>
      <w:rPr>
        <w:rFonts w:hint="default" w:ascii="Arial" w:hAnsi="Arial" w:cs="Times New Roman"/>
        <w:b/>
        <w:i w:val="0"/>
        <w:sz w:val="22"/>
      </w:rPr>
    </w:lvl>
    <w:lvl w:ilvl="2" w:tentative="0">
      <w:start w:val="1"/>
      <w:numFmt w:val="decimal"/>
      <w:pStyle w:val="52"/>
      <w:lvlText w:val="%1.%2.%3"/>
      <w:lvlJc w:val="left"/>
      <w:pPr>
        <w:tabs>
          <w:tab w:val="left" w:pos="1276"/>
        </w:tabs>
        <w:ind w:left="1276" w:hanging="567"/>
      </w:pPr>
      <w:rPr>
        <w:rFonts w:hint="default" w:ascii="Arial" w:hAnsi="Arial" w:cs="Times New Roman"/>
        <w:b/>
        <w:i w:val="0"/>
        <w:sz w:val="22"/>
      </w:rPr>
    </w:lvl>
    <w:lvl w:ilvl="3" w:tentative="0">
      <w:start w:val="1"/>
      <w:numFmt w:val="lowerLetter"/>
      <w:pStyle w:val="53"/>
      <w:lvlText w:val="%4)"/>
      <w:lvlJc w:val="left"/>
      <w:pPr>
        <w:tabs>
          <w:tab w:val="left" w:pos="1276"/>
        </w:tabs>
        <w:ind w:left="1276" w:hanging="567"/>
      </w:pPr>
      <w:rPr>
        <w:rFonts w:hint="default" w:ascii="Arial" w:hAnsi="Arial" w:cs="Times New Roman"/>
        <w:b w:val="0"/>
        <w:i w:val="0"/>
        <w:sz w:val="22"/>
      </w:rPr>
    </w:lvl>
    <w:lvl w:ilvl="4" w:tentative="0">
      <w:start w:val="1"/>
      <w:numFmt w:val="lowerLetter"/>
      <w:lvlRestart w:val="2"/>
      <w:pStyle w:val="54"/>
      <w:lvlText w:val="%5)"/>
      <w:lvlJc w:val="left"/>
      <w:pPr>
        <w:tabs>
          <w:tab w:val="left" w:pos="1701"/>
        </w:tabs>
        <w:ind w:left="1701" w:hanging="425"/>
      </w:pPr>
      <w:rPr>
        <w:rFonts w:hint="default"/>
      </w:rPr>
    </w:lvl>
    <w:lvl w:ilvl="5" w:tentative="0">
      <w:start w:val="1"/>
      <w:numFmt w:val="lowerLetter"/>
      <w:lvlText w:val="%6)"/>
      <w:lvlJc w:val="left"/>
      <w:pPr>
        <w:tabs>
          <w:tab w:val="left" w:pos="1663"/>
        </w:tabs>
        <w:ind w:left="1663" w:hanging="432"/>
      </w:pPr>
      <w:rPr>
        <w:rFonts w:hint="default"/>
      </w:rPr>
    </w:lvl>
    <w:lvl w:ilvl="6" w:tentative="0">
      <w:start w:val="1"/>
      <w:numFmt w:val="lowerRoman"/>
      <w:lvlText w:val="%7)"/>
      <w:lvlJc w:val="right"/>
      <w:pPr>
        <w:tabs>
          <w:tab w:val="left" w:pos="1807"/>
        </w:tabs>
        <w:ind w:left="1807" w:hanging="288"/>
      </w:pPr>
      <w:rPr>
        <w:rFonts w:hint="default"/>
      </w:rPr>
    </w:lvl>
    <w:lvl w:ilvl="7" w:tentative="0">
      <w:start w:val="1"/>
      <w:numFmt w:val="lowerLetter"/>
      <w:lvlText w:val="%8."/>
      <w:lvlJc w:val="left"/>
      <w:pPr>
        <w:tabs>
          <w:tab w:val="left" w:pos="1951"/>
        </w:tabs>
        <w:ind w:left="1951" w:hanging="432"/>
      </w:pPr>
      <w:rPr>
        <w:rFonts w:hint="default"/>
      </w:rPr>
    </w:lvl>
    <w:lvl w:ilvl="8" w:tentative="0">
      <w:start w:val="1"/>
      <w:numFmt w:val="lowerRoman"/>
      <w:lvlText w:val="%9."/>
      <w:lvlJc w:val="left"/>
      <w:pPr>
        <w:tabs>
          <w:tab w:val="left" w:pos="2671"/>
        </w:tabs>
        <w:ind w:left="2311" w:hanging="360"/>
      </w:pPr>
      <w:rPr>
        <w:rFonts w:hint="default" w:ascii="Arial" w:hAnsi="Arial"/>
        <w:b w:val="0"/>
        <w:i w:val="0"/>
        <w:sz w:val="22"/>
      </w:rPr>
    </w:lvl>
  </w:abstractNum>
  <w:abstractNum w:abstractNumId="2">
    <w:nsid w:val="2B063A8B"/>
    <w:multiLevelType w:val="multilevel"/>
    <w:tmpl w:val="2B063A8B"/>
    <w:lvl w:ilvl="0" w:tentative="0">
      <w:start w:val="6"/>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17801"/>
    <w:rsid w:val="00027B21"/>
    <w:rsid w:val="0004716B"/>
    <w:rsid w:val="00051931"/>
    <w:rsid w:val="00063946"/>
    <w:rsid w:val="00064273"/>
    <w:rsid w:val="000661B0"/>
    <w:rsid w:val="000712B8"/>
    <w:rsid w:val="00083BE0"/>
    <w:rsid w:val="00095FB6"/>
    <w:rsid w:val="0009758B"/>
    <w:rsid w:val="000A0F4A"/>
    <w:rsid w:val="000A3580"/>
    <w:rsid w:val="000A46E8"/>
    <w:rsid w:val="000A6A83"/>
    <w:rsid w:val="000A6D39"/>
    <w:rsid w:val="000B081D"/>
    <w:rsid w:val="000B5C81"/>
    <w:rsid w:val="000C5D5A"/>
    <w:rsid w:val="000D5631"/>
    <w:rsid w:val="000E2A5C"/>
    <w:rsid w:val="000E75C0"/>
    <w:rsid w:val="000F5B3A"/>
    <w:rsid w:val="00115375"/>
    <w:rsid w:val="00116C24"/>
    <w:rsid w:val="00117549"/>
    <w:rsid w:val="00123EFA"/>
    <w:rsid w:val="001302CE"/>
    <w:rsid w:val="00141639"/>
    <w:rsid w:val="0014180A"/>
    <w:rsid w:val="001421ED"/>
    <w:rsid w:val="001459EB"/>
    <w:rsid w:val="00146E22"/>
    <w:rsid w:val="00171AE7"/>
    <w:rsid w:val="00173D18"/>
    <w:rsid w:val="00175772"/>
    <w:rsid w:val="00175A7E"/>
    <w:rsid w:val="0018240C"/>
    <w:rsid w:val="001A798E"/>
    <w:rsid w:val="001B57B7"/>
    <w:rsid w:val="001B706A"/>
    <w:rsid w:val="001C00CF"/>
    <w:rsid w:val="001C181C"/>
    <w:rsid w:val="001C5268"/>
    <w:rsid w:val="001C7D5B"/>
    <w:rsid w:val="001D10C9"/>
    <w:rsid w:val="001D497F"/>
    <w:rsid w:val="001D765D"/>
    <w:rsid w:val="001E0A07"/>
    <w:rsid w:val="001E6145"/>
    <w:rsid w:val="001E71C9"/>
    <w:rsid w:val="001F2D4E"/>
    <w:rsid w:val="001F39B6"/>
    <w:rsid w:val="0022218E"/>
    <w:rsid w:val="0022223A"/>
    <w:rsid w:val="0022223D"/>
    <w:rsid w:val="00222602"/>
    <w:rsid w:val="0023041F"/>
    <w:rsid w:val="0024132F"/>
    <w:rsid w:val="00241BDD"/>
    <w:rsid w:val="00242DCD"/>
    <w:rsid w:val="002433BB"/>
    <w:rsid w:val="00244C4C"/>
    <w:rsid w:val="00247C5C"/>
    <w:rsid w:val="00256CD9"/>
    <w:rsid w:val="0026330C"/>
    <w:rsid w:val="00273BE0"/>
    <w:rsid w:val="002A5391"/>
    <w:rsid w:val="002B4745"/>
    <w:rsid w:val="002B6F6A"/>
    <w:rsid w:val="002C0A35"/>
    <w:rsid w:val="002C0FBF"/>
    <w:rsid w:val="002C31AC"/>
    <w:rsid w:val="002F079B"/>
    <w:rsid w:val="002F5E2F"/>
    <w:rsid w:val="0031405D"/>
    <w:rsid w:val="00316FC0"/>
    <w:rsid w:val="003452C0"/>
    <w:rsid w:val="003477E9"/>
    <w:rsid w:val="00357BB9"/>
    <w:rsid w:val="003636ED"/>
    <w:rsid w:val="0036432C"/>
    <w:rsid w:val="00372004"/>
    <w:rsid w:val="003727EB"/>
    <w:rsid w:val="00380E49"/>
    <w:rsid w:val="003821C4"/>
    <w:rsid w:val="00383195"/>
    <w:rsid w:val="00383B5F"/>
    <w:rsid w:val="00385D5D"/>
    <w:rsid w:val="00395ACA"/>
    <w:rsid w:val="00397130"/>
    <w:rsid w:val="003A2DF8"/>
    <w:rsid w:val="003B2082"/>
    <w:rsid w:val="003B4591"/>
    <w:rsid w:val="003C18A4"/>
    <w:rsid w:val="003C71AC"/>
    <w:rsid w:val="003D5E50"/>
    <w:rsid w:val="003E3EC7"/>
    <w:rsid w:val="003F3534"/>
    <w:rsid w:val="003F3AE3"/>
    <w:rsid w:val="00405489"/>
    <w:rsid w:val="00411F57"/>
    <w:rsid w:val="004123CD"/>
    <w:rsid w:val="004126CF"/>
    <w:rsid w:val="00412E1C"/>
    <w:rsid w:val="00417B5E"/>
    <w:rsid w:val="00420D37"/>
    <w:rsid w:val="004234ED"/>
    <w:rsid w:val="004250B9"/>
    <w:rsid w:val="00427D41"/>
    <w:rsid w:val="00434723"/>
    <w:rsid w:val="0044593D"/>
    <w:rsid w:val="00451945"/>
    <w:rsid w:val="00462C33"/>
    <w:rsid w:val="00470CF8"/>
    <w:rsid w:val="004746AD"/>
    <w:rsid w:val="004779B5"/>
    <w:rsid w:val="00484EB2"/>
    <w:rsid w:val="004870FE"/>
    <w:rsid w:val="00492248"/>
    <w:rsid w:val="00497648"/>
    <w:rsid w:val="004A056E"/>
    <w:rsid w:val="004B46C9"/>
    <w:rsid w:val="004B5A11"/>
    <w:rsid w:val="004B7A50"/>
    <w:rsid w:val="004C34CD"/>
    <w:rsid w:val="004D230F"/>
    <w:rsid w:val="004D56EC"/>
    <w:rsid w:val="004F496C"/>
    <w:rsid w:val="00503974"/>
    <w:rsid w:val="0051740F"/>
    <w:rsid w:val="0052230B"/>
    <w:rsid w:val="005233F2"/>
    <w:rsid w:val="00525A8A"/>
    <w:rsid w:val="005276F0"/>
    <w:rsid w:val="00530909"/>
    <w:rsid w:val="00554380"/>
    <w:rsid w:val="00573F29"/>
    <w:rsid w:val="005758CB"/>
    <w:rsid w:val="00596450"/>
    <w:rsid w:val="005A481C"/>
    <w:rsid w:val="005A591E"/>
    <w:rsid w:val="005B3388"/>
    <w:rsid w:val="005B468A"/>
    <w:rsid w:val="005B68A5"/>
    <w:rsid w:val="005C3F73"/>
    <w:rsid w:val="005C5BFE"/>
    <w:rsid w:val="005C7891"/>
    <w:rsid w:val="005D1EEE"/>
    <w:rsid w:val="005D4186"/>
    <w:rsid w:val="005E63E1"/>
    <w:rsid w:val="005F1DF0"/>
    <w:rsid w:val="00603302"/>
    <w:rsid w:val="00604E4F"/>
    <w:rsid w:val="006054EE"/>
    <w:rsid w:val="006118B6"/>
    <w:rsid w:val="00621274"/>
    <w:rsid w:val="00621D17"/>
    <w:rsid w:val="0062214D"/>
    <w:rsid w:val="006270C0"/>
    <w:rsid w:val="00630195"/>
    <w:rsid w:val="006408E8"/>
    <w:rsid w:val="006559AF"/>
    <w:rsid w:val="00665F9A"/>
    <w:rsid w:val="006745F9"/>
    <w:rsid w:val="0068211F"/>
    <w:rsid w:val="006838B5"/>
    <w:rsid w:val="00683D5F"/>
    <w:rsid w:val="00684942"/>
    <w:rsid w:val="00693874"/>
    <w:rsid w:val="00693F46"/>
    <w:rsid w:val="006B1BA2"/>
    <w:rsid w:val="006B1BE8"/>
    <w:rsid w:val="006B29F8"/>
    <w:rsid w:val="006B6DBF"/>
    <w:rsid w:val="006D4573"/>
    <w:rsid w:val="006F158F"/>
    <w:rsid w:val="006F2864"/>
    <w:rsid w:val="006F4DE0"/>
    <w:rsid w:val="007017B8"/>
    <w:rsid w:val="00702494"/>
    <w:rsid w:val="00717CDF"/>
    <w:rsid w:val="007207F5"/>
    <w:rsid w:val="007426B0"/>
    <w:rsid w:val="00746429"/>
    <w:rsid w:val="007511D3"/>
    <w:rsid w:val="00761E36"/>
    <w:rsid w:val="00764648"/>
    <w:rsid w:val="007672F3"/>
    <w:rsid w:val="00770496"/>
    <w:rsid w:val="007766E1"/>
    <w:rsid w:val="007773C2"/>
    <w:rsid w:val="007814C6"/>
    <w:rsid w:val="00792198"/>
    <w:rsid w:val="00797809"/>
    <w:rsid w:val="007A6002"/>
    <w:rsid w:val="007B16C4"/>
    <w:rsid w:val="007B59BB"/>
    <w:rsid w:val="007B6CEE"/>
    <w:rsid w:val="007C0B99"/>
    <w:rsid w:val="007C2D7E"/>
    <w:rsid w:val="007D17FD"/>
    <w:rsid w:val="007D48C5"/>
    <w:rsid w:val="007D5078"/>
    <w:rsid w:val="007E06F0"/>
    <w:rsid w:val="007F7C3E"/>
    <w:rsid w:val="00802DFC"/>
    <w:rsid w:val="00811C29"/>
    <w:rsid w:val="00814781"/>
    <w:rsid w:val="00826658"/>
    <w:rsid w:val="0083210F"/>
    <w:rsid w:val="00834DBB"/>
    <w:rsid w:val="008425C5"/>
    <w:rsid w:val="008425D9"/>
    <w:rsid w:val="00842FFB"/>
    <w:rsid w:val="00861C51"/>
    <w:rsid w:val="0086351A"/>
    <w:rsid w:val="00874B61"/>
    <w:rsid w:val="00886F49"/>
    <w:rsid w:val="00894E71"/>
    <w:rsid w:val="008A3AD3"/>
    <w:rsid w:val="008A48B7"/>
    <w:rsid w:val="008B1BAA"/>
    <w:rsid w:val="008B3EB5"/>
    <w:rsid w:val="008B7AAC"/>
    <w:rsid w:val="008C5809"/>
    <w:rsid w:val="008C697D"/>
    <w:rsid w:val="008D238F"/>
    <w:rsid w:val="008D78C9"/>
    <w:rsid w:val="008E0FC9"/>
    <w:rsid w:val="008E1F42"/>
    <w:rsid w:val="008E64E4"/>
    <w:rsid w:val="008E761D"/>
    <w:rsid w:val="008F1310"/>
    <w:rsid w:val="008F7CDF"/>
    <w:rsid w:val="008F7F5E"/>
    <w:rsid w:val="00900613"/>
    <w:rsid w:val="00906D5B"/>
    <w:rsid w:val="00913684"/>
    <w:rsid w:val="00917D7A"/>
    <w:rsid w:val="00921DD5"/>
    <w:rsid w:val="00923865"/>
    <w:rsid w:val="00927A65"/>
    <w:rsid w:val="0093016E"/>
    <w:rsid w:val="00934B4D"/>
    <w:rsid w:val="009466D2"/>
    <w:rsid w:val="009538F9"/>
    <w:rsid w:val="00955C75"/>
    <w:rsid w:val="009600C4"/>
    <w:rsid w:val="0096143B"/>
    <w:rsid w:val="009677DF"/>
    <w:rsid w:val="009760AE"/>
    <w:rsid w:val="00976598"/>
    <w:rsid w:val="009846DD"/>
    <w:rsid w:val="009946F8"/>
    <w:rsid w:val="00996E6B"/>
    <w:rsid w:val="009A1D64"/>
    <w:rsid w:val="009B1292"/>
    <w:rsid w:val="009B2430"/>
    <w:rsid w:val="009B338B"/>
    <w:rsid w:val="009B58AD"/>
    <w:rsid w:val="009B7935"/>
    <w:rsid w:val="009C7BA2"/>
    <w:rsid w:val="009D053F"/>
    <w:rsid w:val="009D1161"/>
    <w:rsid w:val="009D61D0"/>
    <w:rsid w:val="009D667B"/>
    <w:rsid w:val="009F0831"/>
    <w:rsid w:val="009F202A"/>
    <w:rsid w:val="009F3DCC"/>
    <w:rsid w:val="009F4449"/>
    <w:rsid w:val="00A015CE"/>
    <w:rsid w:val="00A02252"/>
    <w:rsid w:val="00A127F1"/>
    <w:rsid w:val="00A27130"/>
    <w:rsid w:val="00A30A07"/>
    <w:rsid w:val="00A415BE"/>
    <w:rsid w:val="00A41D63"/>
    <w:rsid w:val="00A41D80"/>
    <w:rsid w:val="00A466B5"/>
    <w:rsid w:val="00A51DE4"/>
    <w:rsid w:val="00A56691"/>
    <w:rsid w:val="00A643B7"/>
    <w:rsid w:val="00A7019A"/>
    <w:rsid w:val="00A7147C"/>
    <w:rsid w:val="00A7660B"/>
    <w:rsid w:val="00A826B3"/>
    <w:rsid w:val="00A82B5C"/>
    <w:rsid w:val="00A86897"/>
    <w:rsid w:val="00A93174"/>
    <w:rsid w:val="00A95733"/>
    <w:rsid w:val="00AA6490"/>
    <w:rsid w:val="00AB22EF"/>
    <w:rsid w:val="00AB286F"/>
    <w:rsid w:val="00AB5465"/>
    <w:rsid w:val="00AB6A09"/>
    <w:rsid w:val="00AC1411"/>
    <w:rsid w:val="00AE0961"/>
    <w:rsid w:val="00AE5B0A"/>
    <w:rsid w:val="00B01289"/>
    <w:rsid w:val="00B12BC3"/>
    <w:rsid w:val="00B26FAC"/>
    <w:rsid w:val="00B31AA2"/>
    <w:rsid w:val="00B62521"/>
    <w:rsid w:val="00B63CA1"/>
    <w:rsid w:val="00B746E6"/>
    <w:rsid w:val="00B74C0B"/>
    <w:rsid w:val="00B81A1E"/>
    <w:rsid w:val="00B8400D"/>
    <w:rsid w:val="00B93A37"/>
    <w:rsid w:val="00BA1819"/>
    <w:rsid w:val="00BA5A22"/>
    <w:rsid w:val="00BB55E5"/>
    <w:rsid w:val="00BB57A3"/>
    <w:rsid w:val="00BC0E8F"/>
    <w:rsid w:val="00BD150A"/>
    <w:rsid w:val="00BD2A46"/>
    <w:rsid w:val="00BD725A"/>
    <w:rsid w:val="00BF3750"/>
    <w:rsid w:val="00BF6CAD"/>
    <w:rsid w:val="00C01EDF"/>
    <w:rsid w:val="00C06244"/>
    <w:rsid w:val="00C12301"/>
    <w:rsid w:val="00C1423F"/>
    <w:rsid w:val="00C32356"/>
    <w:rsid w:val="00C33FA8"/>
    <w:rsid w:val="00C47D83"/>
    <w:rsid w:val="00C536C2"/>
    <w:rsid w:val="00C55B3F"/>
    <w:rsid w:val="00C55F47"/>
    <w:rsid w:val="00C56E2E"/>
    <w:rsid w:val="00C64A31"/>
    <w:rsid w:val="00C767FC"/>
    <w:rsid w:val="00C771A6"/>
    <w:rsid w:val="00C82E8B"/>
    <w:rsid w:val="00C8366E"/>
    <w:rsid w:val="00C86052"/>
    <w:rsid w:val="00CB1EF8"/>
    <w:rsid w:val="00CB66B2"/>
    <w:rsid w:val="00CB68F3"/>
    <w:rsid w:val="00CC4C88"/>
    <w:rsid w:val="00CD0B1F"/>
    <w:rsid w:val="00CD3F96"/>
    <w:rsid w:val="00CD66E2"/>
    <w:rsid w:val="00CE09F3"/>
    <w:rsid w:val="00CE44FB"/>
    <w:rsid w:val="00CE73EF"/>
    <w:rsid w:val="00CE7442"/>
    <w:rsid w:val="00CE76DA"/>
    <w:rsid w:val="00D01C4C"/>
    <w:rsid w:val="00D056CA"/>
    <w:rsid w:val="00D0649D"/>
    <w:rsid w:val="00D10F43"/>
    <w:rsid w:val="00D11E94"/>
    <w:rsid w:val="00D2186B"/>
    <w:rsid w:val="00D30389"/>
    <w:rsid w:val="00D337F6"/>
    <w:rsid w:val="00D52CDB"/>
    <w:rsid w:val="00D54121"/>
    <w:rsid w:val="00D61710"/>
    <w:rsid w:val="00D6611E"/>
    <w:rsid w:val="00D82A9A"/>
    <w:rsid w:val="00D859CA"/>
    <w:rsid w:val="00D85F37"/>
    <w:rsid w:val="00D9540F"/>
    <w:rsid w:val="00DA3323"/>
    <w:rsid w:val="00DA462F"/>
    <w:rsid w:val="00DB4534"/>
    <w:rsid w:val="00DB51E2"/>
    <w:rsid w:val="00DB52B2"/>
    <w:rsid w:val="00DB5F94"/>
    <w:rsid w:val="00DC2587"/>
    <w:rsid w:val="00DD17EA"/>
    <w:rsid w:val="00DD1ABB"/>
    <w:rsid w:val="00DD2070"/>
    <w:rsid w:val="00DD2A82"/>
    <w:rsid w:val="00DD6B23"/>
    <w:rsid w:val="00DE0099"/>
    <w:rsid w:val="00DE3881"/>
    <w:rsid w:val="00DF212F"/>
    <w:rsid w:val="00DF279A"/>
    <w:rsid w:val="00DF46E4"/>
    <w:rsid w:val="00DF67B8"/>
    <w:rsid w:val="00E042D6"/>
    <w:rsid w:val="00E04856"/>
    <w:rsid w:val="00E13B56"/>
    <w:rsid w:val="00E364D4"/>
    <w:rsid w:val="00E47242"/>
    <w:rsid w:val="00E504B4"/>
    <w:rsid w:val="00E50CD3"/>
    <w:rsid w:val="00E56089"/>
    <w:rsid w:val="00E85223"/>
    <w:rsid w:val="00E87BE1"/>
    <w:rsid w:val="00E94DCB"/>
    <w:rsid w:val="00E97426"/>
    <w:rsid w:val="00EA00DC"/>
    <w:rsid w:val="00EA020F"/>
    <w:rsid w:val="00EA1F85"/>
    <w:rsid w:val="00EA3328"/>
    <w:rsid w:val="00EC35BB"/>
    <w:rsid w:val="00ED5055"/>
    <w:rsid w:val="00ED735F"/>
    <w:rsid w:val="00EE48B9"/>
    <w:rsid w:val="00EF16C3"/>
    <w:rsid w:val="00EF21FD"/>
    <w:rsid w:val="00EF49D1"/>
    <w:rsid w:val="00EF5FA5"/>
    <w:rsid w:val="00F1360F"/>
    <w:rsid w:val="00F17CA9"/>
    <w:rsid w:val="00F243E2"/>
    <w:rsid w:val="00F5775F"/>
    <w:rsid w:val="00F63F24"/>
    <w:rsid w:val="00F91F63"/>
    <w:rsid w:val="00F960C4"/>
    <w:rsid w:val="00FA1343"/>
    <w:rsid w:val="00FA7151"/>
    <w:rsid w:val="00FA735D"/>
    <w:rsid w:val="00FB307A"/>
    <w:rsid w:val="00FB4C31"/>
    <w:rsid w:val="00FB79E1"/>
    <w:rsid w:val="00FC0C73"/>
    <w:rsid w:val="00FC1145"/>
    <w:rsid w:val="00FC7642"/>
    <w:rsid w:val="00FD1682"/>
    <w:rsid w:val="00FD5938"/>
    <w:rsid w:val="00FD72D9"/>
    <w:rsid w:val="00FE1666"/>
    <w:rsid w:val="00FF0D13"/>
    <w:rsid w:val="00FF2173"/>
    <w:rsid w:val="00FF5415"/>
    <w:rsid w:val="3A2A1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37"/>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link w:val="38"/>
    <w:qFormat/>
    <w:uiPriority w:val="0"/>
    <w:pPr>
      <w:keepNext/>
      <w:jc w:val="center"/>
      <w:outlineLvl w:val="1"/>
    </w:pPr>
    <w:rPr>
      <w:rFonts w:ascii="Arial" w:hAnsi="Arial" w:cs="Arial"/>
      <w:i/>
      <w:iCs/>
      <w:color w:val="999999"/>
      <w:sz w:val="18"/>
    </w:rPr>
  </w:style>
  <w:style w:type="paragraph" w:styleId="4">
    <w:name w:val="heading 3"/>
    <w:basedOn w:val="1"/>
    <w:next w:val="1"/>
    <w:link w:val="39"/>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link w:val="40"/>
    <w:qFormat/>
    <w:uiPriority w:val="0"/>
    <w:pPr>
      <w:keepNext/>
      <w:ind w:right="265"/>
      <w:jc w:val="right"/>
      <w:outlineLvl w:val="3"/>
    </w:pPr>
    <w:rPr>
      <w:rFonts w:ascii="Arial" w:hAnsi="Arial" w:cs="Arial"/>
      <w:i/>
      <w:iCs/>
      <w:color w:val="999999"/>
      <w:sz w:val="16"/>
    </w:rPr>
  </w:style>
  <w:style w:type="paragraph" w:styleId="6">
    <w:name w:val="heading 5"/>
    <w:basedOn w:val="1"/>
    <w:next w:val="1"/>
    <w:link w:val="32"/>
    <w:qFormat/>
    <w:uiPriority w:val="0"/>
    <w:pPr>
      <w:keepNext/>
      <w:tabs>
        <w:tab w:val="left" w:pos="567"/>
        <w:tab w:val="clear" w:pos="284"/>
      </w:tabs>
      <w:spacing w:line="260" w:lineRule="exact"/>
      <w:outlineLvl w:val="4"/>
    </w:pPr>
    <w:rPr>
      <w:szCs w:val="20"/>
      <w:lang w:val="en-GB"/>
    </w:rPr>
  </w:style>
  <w:style w:type="paragraph" w:styleId="7">
    <w:name w:val="heading 6"/>
    <w:basedOn w:val="1"/>
    <w:next w:val="1"/>
    <w:link w:val="33"/>
    <w:qFormat/>
    <w:uiPriority w:val="0"/>
    <w:pPr>
      <w:keepNext/>
      <w:tabs>
        <w:tab w:val="left" w:pos="-720"/>
        <w:tab w:val="left" w:pos="567"/>
        <w:tab w:val="left" w:pos="4536"/>
        <w:tab w:val="clear" w:pos="284"/>
      </w:tabs>
      <w:suppressAutoHyphens/>
      <w:spacing w:line="260" w:lineRule="exact"/>
      <w:jc w:val="left"/>
      <w:outlineLvl w:val="5"/>
    </w:pPr>
    <w:rPr>
      <w:i/>
      <w:szCs w:val="20"/>
      <w:lang w:val="en-GB"/>
    </w:rPr>
  </w:style>
  <w:style w:type="paragraph" w:styleId="8">
    <w:name w:val="heading 7"/>
    <w:basedOn w:val="1"/>
    <w:next w:val="1"/>
    <w:link w:val="34"/>
    <w:qFormat/>
    <w:uiPriority w:val="0"/>
    <w:pPr>
      <w:keepNext/>
      <w:tabs>
        <w:tab w:val="left" w:pos="-720"/>
        <w:tab w:val="left" w:pos="567"/>
        <w:tab w:val="left" w:pos="4536"/>
        <w:tab w:val="clear" w:pos="284"/>
      </w:tabs>
      <w:suppressAutoHyphens/>
      <w:spacing w:line="260" w:lineRule="exact"/>
      <w:outlineLvl w:val="6"/>
    </w:pPr>
    <w:rPr>
      <w:i/>
      <w:szCs w:val="20"/>
      <w:lang w:val="en-GB"/>
    </w:rPr>
  </w:style>
  <w:style w:type="paragraph" w:styleId="9">
    <w:name w:val="heading 8"/>
    <w:basedOn w:val="1"/>
    <w:next w:val="1"/>
    <w:link w:val="35"/>
    <w:qFormat/>
    <w:uiPriority w:val="0"/>
    <w:pPr>
      <w:keepNext/>
      <w:tabs>
        <w:tab w:val="left" w:pos="567"/>
        <w:tab w:val="clear" w:pos="284"/>
      </w:tabs>
      <w:spacing w:line="260" w:lineRule="exact"/>
      <w:ind w:left="567" w:hanging="567"/>
      <w:outlineLvl w:val="7"/>
    </w:pPr>
    <w:rPr>
      <w:b/>
      <w:i/>
      <w:szCs w:val="20"/>
      <w:lang w:val="en-GB"/>
    </w:rPr>
  </w:style>
  <w:style w:type="paragraph" w:styleId="10">
    <w:name w:val="heading 9"/>
    <w:basedOn w:val="1"/>
    <w:next w:val="1"/>
    <w:link w:val="36"/>
    <w:qFormat/>
    <w:uiPriority w:val="0"/>
    <w:pPr>
      <w:keepNext/>
      <w:tabs>
        <w:tab w:val="left" w:pos="567"/>
        <w:tab w:val="clear" w:pos="284"/>
      </w:tabs>
      <w:spacing w:line="260" w:lineRule="exact"/>
      <w:outlineLvl w:val="8"/>
    </w:pPr>
    <w:rPr>
      <w:b/>
      <w:i/>
      <w:szCs w:val="20"/>
      <w:lang w:val="en-GB"/>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7"/>
    <w:semiHidden/>
    <w:qFormat/>
    <w:uiPriority w:val="0"/>
    <w:rPr>
      <w:rFonts w:ascii="Tahoma" w:hAnsi="Tahoma" w:cs="Tahoma"/>
      <w:sz w:val="16"/>
      <w:szCs w:val="16"/>
    </w:rPr>
  </w:style>
  <w:style w:type="paragraph" w:styleId="14">
    <w:name w:val="Body Text"/>
    <w:basedOn w:val="1"/>
    <w:link w:val="45"/>
    <w:qFormat/>
    <w:uiPriority w:val="0"/>
    <w:pPr>
      <w:tabs>
        <w:tab w:val="clear" w:pos="284"/>
      </w:tabs>
      <w:jc w:val="left"/>
    </w:pPr>
    <w:rPr>
      <w:i/>
      <w:color w:val="008000"/>
      <w:szCs w:val="20"/>
      <w:lang w:val="en-GB"/>
    </w:rPr>
  </w:style>
  <w:style w:type="paragraph" w:styleId="15">
    <w:name w:val="Body Text 2"/>
    <w:basedOn w:val="1"/>
    <w:link w:val="46"/>
    <w:qFormat/>
    <w:uiPriority w:val="0"/>
    <w:pPr>
      <w:pBdr>
        <w:top w:val="wave" w:color="auto" w:sz="6" w:space="0"/>
        <w:left w:val="wave" w:color="auto" w:sz="6" w:space="3"/>
        <w:bottom w:val="wave" w:color="auto" w:sz="6" w:space="1"/>
        <w:right w:val="wave" w:color="auto" w:sz="6" w:space="4"/>
      </w:pBdr>
      <w:tabs>
        <w:tab w:val="left" w:pos="567"/>
        <w:tab w:val="clear" w:pos="284"/>
      </w:tabs>
      <w:autoSpaceDE w:val="0"/>
      <w:autoSpaceDN w:val="0"/>
      <w:adjustRightInd w:val="0"/>
      <w:spacing w:line="260" w:lineRule="exact"/>
    </w:pPr>
    <w:rPr>
      <w:b/>
      <w:bCs/>
      <w:color w:val="0000FF"/>
      <w:szCs w:val="22"/>
      <w:u w:val="single"/>
      <w:lang w:val="en-GB"/>
    </w:rPr>
  </w:style>
  <w:style w:type="paragraph" w:styleId="16">
    <w:name w:val="Body Text 3"/>
    <w:basedOn w:val="1"/>
    <w:link w:val="43"/>
    <w:qFormat/>
    <w:uiPriority w:val="0"/>
    <w:pPr>
      <w:tabs>
        <w:tab w:val="clear" w:pos="284"/>
      </w:tabs>
      <w:autoSpaceDE w:val="0"/>
      <w:autoSpaceDN w:val="0"/>
      <w:adjustRightInd w:val="0"/>
    </w:pPr>
    <w:rPr>
      <w:color w:val="0000FF"/>
      <w:szCs w:val="22"/>
      <w:lang w:val="en-GB" w:eastAsia="en-GB"/>
    </w:rPr>
  </w:style>
  <w:style w:type="paragraph" w:styleId="17">
    <w:name w:val="Body Text Indent"/>
    <w:basedOn w:val="1"/>
    <w:link w:val="42"/>
    <w:qFormat/>
    <w:uiPriority w:val="0"/>
    <w:pPr>
      <w:tabs>
        <w:tab w:val="clear" w:pos="284"/>
      </w:tabs>
      <w:autoSpaceDE w:val="0"/>
      <w:autoSpaceDN w:val="0"/>
      <w:adjustRightInd w:val="0"/>
      <w:ind w:left="720"/>
    </w:pPr>
    <w:rPr>
      <w:szCs w:val="22"/>
      <w:lang w:val="en-GB" w:eastAsia="en-GB"/>
    </w:rPr>
  </w:style>
  <w:style w:type="paragraph" w:styleId="18">
    <w:name w:val="Body Text Indent 2"/>
    <w:basedOn w:val="1"/>
    <w:link w:val="44"/>
    <w:qFormat/>
    <w:uiPriority w:val="0"/>
    <w:pPr>
      <w:pBdr>
        <w:top w:val="wave" w:color="auto" w:sz="6" w:space="0"/>
        <w:left w:val="wave" w:color="auto" w:sz="6" w:space="3"/>
        <w:bottom w:val="wave" w:color="auto" w:sz="6" w:space="1"/>
        <w:right w:val="wave" w:color="auto" w:sz="6" w:space="4"/>
      </w:pBdr>
      <w:tabs>
        <w:tab w:val="left" w:pos="567"/>
        <w:tab w:val="clear" w:pos="284"/>
      </w:tabs>
      <w:autoSpaceDE w:val="0"/>
      <w:autoSpaceDN w:val="0"/>
      <w:adjustRightInd w:val="0"/>
      <w:spacing w:line="260" w:lineRule="exact"/>
      <w:ind w:left="1134"/>
    </w:pPr>
    <w:rPr>
      <w:b/>
      <w:bCs/>
      <w:color w:val="0000FF"/>
      <w:szCs w:val="22"/>
      <w:lang w:val="en-GB"/>
    </w:rPr>
  </w:style>
  <w:style w:type="paragraph" w:styleId="19">
    <w:name w:val="Body Text Indent 3"/>
    <w:basedOn w:val="1"/>
    <w:link w:val="55"/>
    <w:qFormat/>
    <w:uiPriority w:val="0"/>
    <w:pPr>
      <w:tabs>
        <w:tab w:val="left" w:pos="567"/>
        <w:tab w:val="left" w:pos="1134"/>
        <w:tab w:val="clear" w:pos="284"/>
      </w:tabs>
      <w:autoSpaceDE w:val="0"/>
      <w:autoSpaceDN w:val="0"/>
      <w:adjustRightInd w:val="0"/>
      <w:spacing w:line="260" w:lineRule="exact"/>
      <w:ind w:left="633"/>
    </w:pPr>
    <w:rPr>
      <w:szCs w:val="21"/>
      <w:lang w:val="en-GB"/>
    </w:rPr>
  </w:style>
  <w:style w:type="character" w:styleId="20">
    <w:name w:val="annotation reference"/>
    <w:qFormat/>
    <w:uiPriority w:val="0"/>
    <w:rPr>
      <w:sz w:val="16"/>
      <w:szCs w:val="16"/>
    </w:rPr>
  </w:style>
  <w:style w:type="paragraph" w:styleId="21">
    <w:name w:val="annotation text"/>
    <w:basedOn w:val="1"/>
    <w:link w:val="47"/>
    <w:semiHidden/>
    <w:qFormat/>
    <w:uiPriority w:val="0"/>
    <w:rPr>
      <w:sz w:val="20"/>
      <w:szCs w:val="20"/>
    </w:rPr>
  </w:style>
  <w:style w:type="paragraph" w:styleId="22">
    <w:name w:val="annotation subject"/>
    <w:basedOn w:val="21"/>
    <w:next w:val="21"/>
    <w:link w:val="58"/>
    <w:semiHidden/>
    <w:qFormat/>
    <w:uiPriority w:val="0"/>
    <w:rPr>
      <w:b/>
      <w:bCs/>
    </w:rPr>
  </w:style>
  <w:style w:type="paragraph" w:styleId="23">
    <w:name w:val="Document Map"/>
    <w:basedOn w:val="1"/>
    <w:link w:val="49"/>
    <w:semiHidden/>
    <w:qFormat/>
    <w:uiPriority w:val="0"/>
    <w:pPr>
      <w:shd w:val="clear" w:color="auto" w:fill="000080"/>
      <w:tabs>
        <w:tab w:val="left" w:pos="567"/>
        <w:tab w:val="clear" w:pos="284"/>
      </w:tabs>
      <w:spacing w:line="260" w:lineRule="exact"/>
      <w:jc w:val="left"/>
    </w:pPr>
    <w:rPr>
      <w:rFonts w:ascii="Tahoma" w:hAnsi="Tahoma" w:cs="Tahoma"/>
      <w:szCs w:val="20"/>
      <w:lang w:val="en-GB"/>
    </w:rPr>
  </w:style>
  <w:style w:type="character" w:styleId="24">
    <w:name w:val="FollowedHyperlink"/>
    <w:qFormat/>
    <w:uiPriority w:val="0"/>
    <w:rPr>
      <w:color w:val="800080"/>
      <w:u w:val="single"/>
    </w:rPr>
  </w:style>
  <w:style w:type="paragraph" w:styleId="25">
    <w:name w:val="footer"/>
    <w:basedOn w:val="1"/>
    <w:link w:val="30"/>
    <w:qFormat/>
    <w:uiPriority w:val="99"/>
    <w:pPr>
      <w:tabs>
        <w:tab w:val="center" w:pos="4536"/>
        <w:tab w:val="right" w:pos="9072"/>
        <w:tab w:val="clear" w:pos="284"/>
      </w:tabs>
    </w:pPr>
  </w:style>
  <w:style w:type="paragraph" w:styleId="26">
    <w:name w:val="header"/>
    <w:basedOn w:val="1"/>
    <w:link w:val="41"/>
    <w:qFormat/>
    <w:uiPriority w:val="0"/>
    <w:pPr>
      <w:tabs>
        <w:tab w:val="center" w:pos="4536"/>
        <w:tab w:val="right" w:pos="9072"/>
        <w:tab w:val="clear" w:pos="284"/>
      </w:tabs>
    </w:pPr>
  </w:style>
  <w:style w:type="character" w:styleId="27">
    <w:name w:val="Hyperlink"/>
    <w:basedOn w:val="11"/>
    <w:qFormat/>
    <w:uiPriority w:val="0"/>
    <w:rPr>
      <w:color w:val="0000FF" w:themeColor="hyperlink"/>
      <w:u w:val="single"/>
      <w14:textFill>
        <w14:solidFill>
          <w14:schemeClr w14:val="hlink"/>
        </w14:solidFill>
      </w14:textFill>
    </w:rPr>
  </w:style>
  <w:style w:type="character" w:styleId="28">
    <w:name w:val="page number"/>
    <w:basedOn w:val="11"/>
    <w:qFormat/>
    <w:uiPriority w:val="0"/>
  </w:style>
  <w:style w:type="table" w:styleId="29">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Footer Char"/>
    <w:basedOn w:val="11"/>
    <w:link w:val="25"/>
    <w:qFormat/>
    <w:uiPriority w:val="99"/>
    <w:rPr>
      <w:rFonts w:ascii="Humanist777" w:hAnsi="Humanist777"/>
      <w:sz w:val="24"/>
      <w:szCs w:val="24"/>
    </w:rPr>
  </w:style>
  <w:style w:type="paragraph" w:customStyle="1" w:styleId="31">
    <w:name w:val="NASLOV 123"/>
    <w:basedOn w:val="1"/>
    <w:qFormat/>
    <w:uiPriority w:val="0"/>
    <w:pPr>
      <w:spacing w:before="200" w:after="200"/>
      <w:jc w:val="left"/>
    </w:pPr>
    <w:rPr>
      <w:b/>
      <w:szCs w:val="22"/>
    </w:rPr>
  </w:style>
  <w:style w:type="character" w:customStyle="1" w:styleId="32">
    <w:name w:val="Heading 5 Char"/>
    <w:basedOn w:val="11"/>
    <w:link w:val="6"/>
    <w:qFormat/>
    <w:uiPriority w:val="0"/>
    <w:rPr>
      <w:sz w:val="22"/>
      <w:lang w:val="en-GB"/>
    </w:rPr>
  </w:style>
  <w:style w:type="character" w:customStyle="1" w:styleId="33">
    <w:name w:val="Heading 6 Char"/>
    <w:basedOn w:val="11"/>
    <w:link w:val="7"/>
    <w:qFormat/>
    <w:uiPriority w:val="0"/>
    <w:rPr>
      <w:i/>
      <w:sz w:val="22"/>
      <w:lang w:val="en-GB"/>
    </w:rPr>
  </w:style>
  <w:style w:type="character" w:customStyle="1" w:styleId="34">
    <w:name w:val="Heading 7 Char"/>
    <w:basedOn w:val="11"/>
    <w:link w:val="8"/>
    <w:qFormat/>
    <w:uiPriority w:val="0"/>
    <w:rPr>
      <w:i/>
      <w:sz w:val="22"/>
      <w:lang w:val="en-GB"/>
    </w:rPr>
  </w:style>
  <w:style w:type="character" w:customStyle="1" w:styleId="35">
    <w:name w:val="Heading 8 Char"/>
    <w:basedOn w:val="11"/>
    <w:link w:val="9"/>
    <w:qFormat/>
    <w:uiPriority w:val="0"/>
    <w:rPr>
      <w:b/>
      <w:i/>
      <w:sz w:val="22"/>
      <w:lang w:val="en-GB"/>
    </w:rPr>
  </w:style>
  <w:style w:type="character" w:customStyle="1" w:styleId="36">
    <w:name w:val="Heading 9 Char"/>
    <w:basedOn w:val="11"/>
    <w:link w:val="10"/>
    <w:qFormat/>
    <w:uiPriority w:val="0"/>
    <w:rPr>
      <w:b/>
      <w:i/>
      <w:sz w:val="22"/>
      <w:lang w:val="en-GB"/>
    </w:rPr>
  </w:style>
  <w:style w:type="character" w:customStyle="1" w:styleId="37">
    <w:name w:val="Heading 1 Char"/>
    <w:basedOn w:val="11"/>
    <w:link w:val="2"/>
    <w:qFormat/>
    <w:uiPriority w:val="0"/>
    <w:rPr>
      <w:rFonts w:ascii="Arial (W1)" w:hAnsi="Arial (W1)" w:cs="Arial"/>
      <w:b/>
      <w:bCs/>
      <w:i/>
      <w:iCs/>
      <w:sz w:val="32"/>
      <w:szCs w:val="24"/>
      <w:u w:val="single"/>
      <w:lang w:val="sr-Latn-CS"/>
    </w:rPr>
  </w:style>
  <w:style w:type="character" w:customStyle="1" w:styleId="38">
    <w:name w:val="Heading 2 Char"/>
    <w:basedOn w:val="11"/>
    <w:link w:val="3"/>
    <w:qFormat/>
    <w:uiPriority w:val="0"/>
    <w:rPr>
      <w:rFonts w:ascii="Arial" w:hAnsi="Arial" w:cs="Arial"/>
      <w:i/>
      <w:iCs/>
      <w:color w:val="999999"/>
      <w:sz w:val="18"/>
      <w:szCs w:val="24"/>
    </w:rPr>
  </w:style>
  <w:style w:type="character" w:customStyle="1" w:styleId="39">
    <w:name w:val="Heading 3 Char"/>
    <w:basedOn w:val="11"/>
    <w:link w:val="4"/>
    <w:qFormat/>
    <w:uiPriority w:val="0"/>
    <w:rPr>
      <w:rFonts w:ascii="Arial" w:hAnsi="Arial" w:cs="Arial"/>
      <w:i/>
      <w:iCs/>
      <w:color w:val="999999"/>
      <w:sz w:val="18"/>
      <w:szCs w:val="24"/>
    </w:rPr>
  </w:style>
  <w:style w:type="character" w:customStyle="1" w:styleId="40">
    <w:name w:val="Heading 4 Char"/>
    <w:basedOn w:val="11"/>
    <w:link w:val="5"/>
    <w:qFormat/>
    <w:uiPriority w:val="0"/>
    <w:rPr>
      <w:rFonts w:ascii="Arial" w:hAnsi="Arial" w:cs="Arial"/>
      <w:i/>
      <w:iCs/>
      <w:color w:val="999999"/>
      <w:sz w:val="16"/>
      <w:szCs w:val="24"/>
    </w:rPr>
  </w:style>
  <w:style w:type="character" w:customStyle="1" w:styleId="41">
    <w:name w:val="Header Char"/>
    <w:basedOn w:val="11"/>
    <w:link w:val="26"/>
    <w:qFormat/>
    <w:uiPriority w:val="0"/>
    <w:rPr>
      <w:sz w:val="22"/>
      <w:szCs w:val="24"/>
    </w:rPr>
  </w:style>
  <w:style w:type="character" w:customStyle="1" w:styleId="42">
    <w:name w:val="Body Text Indent Char"/>
    <w:basedOn w:val="11"/>
    <w:link w:val="17"/>
    <w:qFormat/>
    <w:uiPriority w:val="0"/>
    <w:rPr>
      <w:sz w:val="22"/>
      <w:szCs w:val="22"/>
      <w:lang w:val="en-GB" w:eastAsia="en-GB"/>
    </w:rPr>
  </w:style>
  <w:style w:type="character" w:customStyle="1" w:styleId="43">
    <w:name w:val="Body Text 3 Char"/>
    <w:basedOn w:val="11"/>
    <w:link w:val="16"/>
    <w:qFormat/>
    <w:uiPriority w:val="0"/>
    <w:rPr>
      <w:color w:val="0000FF"/>
      <w:sz w:val="22"/>
      <w:szCs w:val="22"/>
      <w:lang w:val="en-GB" w:eastAsia="en-GB"/>
    </w:rPr>
  </w:style>
  <w:style w:type="character" w:customStyle="1" w:styleId="44">
    <w:name w:val="Body Text Indent 2 Char"/>
    <w:basedOn w:val="11"/>
    <w:link w:val="18"/>
    <w:qFormat/>
    <w:uiPriority w:val="0"/>
    <w:rPr>
      <w:b/>
      <w:bCs/>
      <w:color w:val="0000FF"/>
      <w:sz w:val="22"/>
      <w:szCs w:val="22"/>
      <w:lang w:val="en-GB"/>
    </w:rPr>
  </w:style>
  <w:style w:type="character" w:customStyle="1" w:styleId="45">
    <w:name w:val="Body Text Char"/>
    <w:basedOn w:val="11"/>
    <w:link w:val="14"/>
    <w:qFormat/>
    <w:uiPriority w:val="0"/>
    <w:rPr>
      <w:i/>
      <w:color w:val="008000"/>
      <w:sz w:val="22"/>
      <w:lang w:val="en-GB"/>
    </w:rPr>
  </w:style>
  <w:style w:type="character" w:customStyle="1" w:styleId="46">
    <w:name w:val="Body Text 2 Char"/>
    <w:basedOn w:val="11"/>
    <w:link w:val="15"/>
    <w:qFormat/>
    <w:uiPriority w:val="0"/>
    <w:rPr>
      <w:b/>
      <w:bCs/>
      <w:color w:val="0000FF"/>
      <w:sz w:val="22"/>
      <w:szCs w:val="22"/>
      <w:u w:val="single"/>
      <w:lang w:val="en-GB"/>
    </w:rPr>
  </w:style>
  <w:style w:type="character" w:customStyle="1" w:styleId="47">
    <w:name w:val="Comment Text Char"/>
    <w:basedOn w:val="11"/>
    <w:link w:val="21"/>
    <w:semiHidden/>
    <w:qFormat/>
    <w:uiPriority w:val="0"/>
  </w:style>
  <w:style w:type="paragraph" w:customStyle="1" w:styleId="48">
    <w:name w:val="EMEA En Body Text"/>
    <w:basedOn w:val="1"/>
    <w:qFormat/>
    <w:uiPriority w:val="0"/>
    <w:pPr>
      <w:tabs>
        <w:tab w:val="clear" w:pos="284"/>
      </w:tabs>
      <w:spacing w:before="120" w:after="120"/>
    </w:pPr>
    <w:rPr>
      <w:szCs w:val="20"/>
    </w:rPr>
  </w:style>
  <w:style w:type="character" w:customStyle="1" w:styleId="49">
    <w:name w:val="Document Map Char"/>
    <w:basedOn w:val="11"/>
    <w:link w:val="23"/>
    <w:semiHidden/>
    <w:qFormat/>
    <w:uiPriority w:val="0"/>
    <w:rPr>
      <w:rFonts w:ascii="Tahoma" w:hAnsi="Tahoma" w:cs="Tahoma"/>
      <w:sz w:val="22"/>
      <w:shd w:val="clear" w:color="auto" w:fill="000080"/>
      <w:lang w:val="en-GB"/>
    </w:rPr>
  </w:style>
  <w:style w:type="paragraph" w:customStyle="1" w:styleId="50">
    <w:name w:val="AHeader 1"/>
    <w:basedOn w:val="1"/>
    <w:qFormat/>
    <w:uiPriority w:val="0"/>
    <w:pPr>
      <w:numPr>
        <w:ilvl w:val="0"/>
        <w:numId w:val="1"/>
      </w:numPr>
      <w:tabs>
        <w:tab w:val="clear" w:pos="284"/>
      </w:tabs>
      <w:spacing w:after="120"/>
      <w:jc w:val="left"/>
    </w:pPr>
    <w:rPr>
      <w:rFonts w:ascii="Arial" w:hAnsi="Arial" w:cs="Arial"/>
      <w:b/>
      <w:bCs/>
      <w:sz w:val="24"/>
      <w:szCs w:val="20"/>
      <w:lang w:val="en-GB"/>
    </w:rPr>
  </w:style>
  <w:style w:type="paragraph" w:customStyle="1" w:styleId="51">
    <w:name w:val="AHeader 2"/>
    <w:basedOn w:val="50"/>
    <w:qFormat/>
    <w:uiPriority w:val="0"/>
    <w:pPr>
      <w:numPr>
        <w:ilvl w:val="1"/>
      </w:numPr>
      <w:tabs>
        <w:tab w:val="left" w:pos="360"/>
      </w:tabs>
    </w:pPr>
    <w:rPr>
      <w:sz w:val="22"/>
    </w:rPr>
  </w:style>
  <w:style w:type="paragraph" w:customStyle="1" w:styleId="52">
    <w:name w:val="AHeader 3"/>
    <w:basedOn w:val="51"/>
    <w:qFormat/>
    <w:uiPriority w:val="0"/>
    <w:pPr>
      <w:numPr>
        <w:ilvl w:val="2"/>
      </w:numPr>
    </w:pPr>
  </w:style>
  <w:style w:type="paragraph" w:customStyle="1" w:styleId="53">
    <w:name w:val="AHeader 2 abc"/>
    <w:basedOn w:val="52"/>
    <w:qFormat/>
    <w:uiPriority w:val="0"/>
    <w:pPr>
      <w:numPr>
        <w:ilvl w:val="3"/>
      </w:numPr>
      <w:jc w:val="both"/>
    </w:pPr>
    <w:rPr>
      <w:b w:val="0"/>
      <w:bCs w:val="0"/>
    </w:rPr>
  </w:style>
  <w:style w:type="paragraph" w:customStyle="1" w:styleId="54">
    <w:name w:val="AHeader 3 abc"/>
    <w:basedOn w:val="53"/>
    <w:qFormat/>
    <w:uiPriority w:val="0"/>
    <w:pPr>
      <w:numPr>
        <w:ilvl w:val="4"/>
      </w:numPr>
    </w:pPr>
  </w:style>
  <w:style w:type="character" w:customStyle="1" w:styleId="55">
    <w:name w:val="Body Text Indent 3 Char"/>
    <w:basedOn w:val="11"/>
    <w:link w:val="19"/>
    <w:qFormat/>
    <w:uiPriority w:val="0"/>
    <w:rPr>
      <w:sz w:val="22"/>
      <w:szCs w:val="21"/>
      <w:lang w:val="en-GB"/>
    </w:rPr>
  </w:style>
  <w:style w:type="paragraph" w:customStyle="1" w:styleId="56">
    <w:name w:val="Default"/>
    <w:qFormat/>
    <w:uiPriority w:val="0"/>
    <w:pPr>
      <w:autoSpaceDE w:val="0"/>
      <w:autoSpaceDN w:val="0"/>
      <w:adjustRightInd w:val="0"/>
    </w:pPr>
    <w:rPr>
      <w:rFonts w:ascii="Times New Roman" w:hAnsi="Times New Roman" w:eastAsia="Times New Roman" w:cs="Times New Roman"/>
      <w:lang w:val="en-US" w:eastAsia="en-US" w:bidi="ar-SA"/>
    </w:rPr>
  </w:style>
  <w:style w:type="character" w:customStyle="1" w:styleId="57">
    <w:name w:val="Balloon Text Char"/>
    <w:basedOn w:val="11"/>
    <w:link w:val="13"/>
    <w:semiHidden/>
    <w:qFormat/>
    <w:uiPriority w:val="0"/>
    <w:rPr>
      <w:rFonts w:ascii="Tahoma" w:hAnsi="Tahoma" w:cs="Tahoma"/>
      <w:sz w:val="16"/>
      <w:szCs w:val="16"/>
    </w:rPr>
  </w:style>
  <w:style w:type="character" w:customStyle="1" w:styleId="58">
    <w:name w:val="Comment Subject Char"/>
    <w:basedOn w:val="47"/>
    <w:link w:val="22"/>
    <w:semiHidden/>
    <w:qFormat/>
    <w:uiPriority w:val="0"/>
    <w:rPr>
      <w:b/>
      <w:bCs/>
    </w:rPr>
  </w:style>
  <w:style w:type="paragraph" w:customStyle="1" w:styleId="59">
    <w:name w:val="Body text (Agency)"/>
    <w:basedOn w:val="1"/>
    <w:link w:val="60"/>
    <w:qFormat/>
    <w:uiPriority w:val="0"/>
    <w:pPr>
      <w:tabs>
        <w:tab w:val="clear" w:pos="284"/>
      </w:tabs>
      <w:spacing w:after="140" w:line="280" w:lineRule="atLeast"/>
      <w:jc w:val="left"/>
    </w:pPr>
    <w:rPr>
      <w:rFonts w:ascii="Verdana" w:hAnsi="Verdana" w:eastAsia="Verdana" w:cs="Verdana"/>
      <w:sz w:val="18"/>
      <w:szCs w:val="18"/>
      <w:lang w:val="en-GB" w:eastAsia="en-GB"/>
    </w:rPr>
  </w:style>
  <w:style w:type="character" w:customStyle="1" w:styleId="60">
    <w:name w:val="Body text (Agency) Char"/>
    <w:link w:val="59"/>
    <w:qFormat/>
    <w:uiPriority w:val="0"/>
    <w:rPr>
      <w:rFonts w:ascii="Verdana" w:hAnsi="Verdana" w:eastAsia="Verdana" w:cs="Verdana"/>
      <w:sz w:val="18"/>
      <w:szCs w:val="18"/>
      <w:lang w:val="en-GB" w:eastAsia="en-GB"/>
    </w:rPr>
  </w:style>
  <w:style w:type="table" w:customStyle="1" w:styleId="61">
    <w:name w:val="Table Grid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Table Grid2"/>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Table Grid3"/>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4">
    <w:name w:val="List Paragraph"/>
    <w:basedOn w:val="1"/>
    <w:qFormat/>
    <w:uiPriority w:val="34"/>
    <w:pPr>
      <w:ind w:left="720"/>
      <w:contextualSpacing/>
    </w:pPr>
  </w:style>
  <w:style w:type="paragraph" w:customStyle="1" w:styleId="65">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Props1.xml><?xml version="1.0" encoding="utf-8"?>
<ds:datastoreItem xmlns:ds="http://schemas.openxmlformats.org/officeDocument/2006/customXml" ds:itemID="{45059057-21A5-4A00-B9E5-29B660B2BCE3}">
  <ds:schemaRefs/>
</ds:datastoreItem>
</file>

<file path=customXml/itemProps2.xml><?xml version="1.0" encoding="utf-8"?>
<ds:datastoreItem xmlns:ds="http://schemas.openxmlformats.org/officeDocument/2006/customXml" ds:itemID="{E1D45886-6BE7-4279-9BB0-8C3496E42F5E}">
  <ds:schemaRefs/>
</ds:datastoreItem>
</file>

<file path=customXml/itemProps3.xml><?xml version="1.0" encoding="utf-8"?>
<ds:datastoreItem xmlns:ds="http://schemas.openxmlformats.org/officeDocument/2006/customXml" ds:itemID="{031C583B-8155-4678-BF98-5BC30095B6B2}">
  <ds:schemaRefs/>
</ds:datastoreItem>
</file>

<file path=customXml/itemProps4.xml><?xml version="1.0" encoding="utf-8"?>
<ds:datastoreItem xmlns:ds="http://schemas.openxmlformats.org/officeDocument/2006/customXml" ds:itemID="{45CF95DA-A8BB-4B77-AE17-3B41760AD41F}">
  <ds:schemaRefs/>
</ds:datastoreItem>
</file>

<file path=docProps/app.xml><?xml version="1.0" encoding="utf-8"?>
<Properties xmlns="http://schemas.openxmlformats.org/officeDocument/2006/extended-properties" xmlns:vt="http://schemas.openxmlformats.org/officeDocument/2006/docPropsVTypes">
  <Template>Normal</Template>
  <Pages>19</Pages>
  <Words>8208</Words>
  <Characters>46790</Characters>
  <Lines>389</Lines>
  <Paragraphs>109</Paragraphs>
  <TotalTime>0</TotalTime>
  <ScaleCrop>false</ScaleCrop>
  <LinksUpToDate>false</LinksUpToDate>
  <CharactersWithSpaces>54889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2023-12-04T07:27:00Z</dcterms:created>
  <dc:creator>TANJANE</dc:creator>
  <cp:lastModifiedBy>Haris</cp:lastModifiedBy>
  <cp:lastPrinted>2016-07-25T08:52:00Z</cp:lastPrinted>
  <dcterms:modified xsi:type="dcterms:W3CDTF">2025-02-21T14:59:24Z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13a2a88f650241c2465599613735dedced4772058c9b99f37992ca03c0e57680</vt:lpwstr>
  </property>
  <property fmtid="{D5CDD505-2E9C-101B-9397-08002B2CF9AE}" pid="3" name="ContentTypeId">
    <vt:lpwstr>0x01010006FFE6B2463DCD468DDA6340563834B3</vt:lpwstr>
  </property>
  <property fmtid="{D5CDD505-2E9C-101B-9397-08002B2CF9AE}" pid="4" name="KSOProductBuildVer">
    <vt:lpwstr>1033-12.2.0.19805</vt:lpwstr>
  </property>
  <property fmtid="{D5CDD505-2E9C-101B-9397-08002B2CF9AE}" pid="5" name="ICV">
    <vt:lpwstr>9EB565625CA84032B3BECCD1F4998CAB_13</vt:lpwstr>
  </property>
</Properties>
</file>