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C0023">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1CDE1E0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B511627">
      <w:pPr>
        <w:pStyle w:val="23"/>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296D662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Nodriga</w:t>
      </w:r>
    </w:p>
    <w:p w14:paraId="06FF8D74">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20 mg, 50 mg, 70 mg, 100 mg, 140 mg</w:t>
      </w:r>
    </w:p>
    <w:p w14:paraId="1CCFBB39">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film tablete</w:t>
      </w:r>
    </w:p>
    <w:p w14:paraId="5AE08D1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dasatinib</w:t>
      </w:r>
    </w:p>
    <w:p w14:paraId="7392544B">
      <w:pPr>
        <w:rPr>
          <w:rFonts w:ascii="Microsoft Sans Serif" w:hAnsi="Microsoft Sans Serif" w:cs="Microsoft Sans Serif"/>
          <w:b/>
          <w:bCs/>
          <w:sz w:val="20"/>
          <w:szCs w:val="20"/>
          <w:lang w:val="sv-SE"/>
        </w:rPr>
      </w:pPr>
    </w:p>
    <w:p w14:paraId="102663EE">
      <w:pPr>
        <w:rPr>
          <w:rFonts w:ascii="Microsoft Sans Serif" w:hAnsi="Microsoft Sans Serif" w:cs="Microsoft Sans Serif"/>
          <w:b/>
          <w:bCs/>
          <w:sz w:val="20"/>
          <w:szCs w:val="20"/>
          <w:lang w:val="sv-SE"/>
        </w:rPr>
      </w:pPr>
    </w:p>
    <w:p w14:paraId="4FB8BB6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156DB239">
      <w:pPr>
        <w:pStyle w:val="23"/>
        <w:spacing w:before="0" w:after="0"/>
        <w:jc w:val="both"/>
        <w:rPr>
          <w:rFonts w:ascii="Microsoft Sans Serif" w:hAnsi="Microsoft Sans Serif" w:cs="Microsoft Sans Serif"/>
          <w:sz w:val="20"/>
          <w:szCs w:val="20"/>
          <w:lang w:val="sv-SE"/>
        </w:rPr>
      </w:pPr>
    </w:p>
    <w:p w14:paraId="7CF9551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20 mg, </w:t>
      </w:r>
      <w:r>
        <w:rPr>
          <w:rFonts w:ascii="Microsoft Sans Serif" w:hAnsi="Microsoft Sans Serif" w:cs="Microsoft Sans Serif"/>
          <w:b w:val="0"/>
          <w:sz w:val="20"/>
          <w:szCs w:val="20"/>
          <w:u w:val="single"/>
          <w:lang w:val="sr-Cyrl-RS"/>
        </w:rPr>
        <w:t>film tablete</w:t>
      </w:r>
    </w:p>
    <w:p w14:paraId="044195C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20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31B4E5A">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2999BDD8">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28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A14D792">
      <w:pPr>
        <w:pStyle w:val="23"/>
        <w:spacing w:before="0" w:after="0"/>
        <w:jc w:val="both"/>
        <w:rPr>
          <w:rFonts w:ascii="Microsoft Sans Serif" w:hAnsi="Microsoft Sans Serif" w:cs="Microsoft Sans Serif"/>
          <w:b w:val="0"/>
          <w:sz w:val="20"/>
          <w:szCs w:val="20"/>
          <w:lang w:val="sr-Cyrl-RS"/>
        </w:rPr>
      </w:pPr>
    </w:p>
    <w:p w14:paraId="5C9EB62F">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50 mg, </w:t>
      </w:r>
      <w:r>
        <w:rPr>
          <w:rFonts w:ascii="Microsoft Sans Serif" w:hAnsi="Microsoft Sans Serif" w:cs="Microsoft Sans Serif"/>
          <w:b w:val="0"/>
          <w:sz w:val="20"/>
          <w:szCs w:val="20"/>
          <w:u w:val="single"/>
          <w:lang w:val="sr-Cyrl-RS"/>
        </w:rPr>
        <w:t>film tablete</w:t>
      </w:r>
    </w:p>
    <w:p w14:paraId="4FC0011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50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13F79FC9">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1DB9AB3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69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76EA954D">
      <w:pPr>
        <w:pStyle w:val="23"/>
        <w:spacing w:before="0" w:after="0"/>
        <w:jc w:val="both"/>
        <w:rPr>
          <w:rFonts w:ascii="Microsoft Sans Serif" w:hAnsi="Microsoft Sans Serif" w:cs="Microsoft Sans Serif"/>
          <w:b w:val="0"/>
          <w:sz w:val="20"/>
          <w:szCs w:val="20"/>
          <w:u w:val="single"/>
          <w:lang w:val="sr-Cyrl-RS"/>
        </w:rPr>
      </w:pPr>
    </w:p>
    <w:p w14:paraId="206EA4E2">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70 mg, </w:t>
      </w:r>
      <w:r>
        <w:rPr>
          <w:rFonts w:ascii="Microsoft Sans Serif" w:hAnsi="Microsoft Sans Serif" w:cs="Microsoft Sans Serif"/>
          <w:b w:val="0"/>
          <w:sz w:val="20"/>
          <w:szCs w:val="20"/>
          <w:u w:val="single"/>
          <w:lang w:val="sr-Cyrl-RS"/>
        </w:rPr>
        <w:t>film tablete</w:t>
      </w:r>
    </w:p>
    <w:p w14:paraId="4FB839F5">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70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69944D42">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964D456">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97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2C32CEA5">
      <w:pPr>
        <w:pStyle w:val="23"/>
        <w:spacing w:before="0" w:after="0"/>
        <w:jc w:val="both"/>
        <w:rPr>
          <w:rFonts w:ascii="Microsoft Sans Serif" w:hAnsi="Microsoft Sans Serif" w:cs="Microsoft Sans Serif"/>
          <w:b w:val="0"/>
          <w:sz w:val="20"/>
          <w:szCs w:val="20"/>
          <w:u w:val="single"/>
          <w:lang w:val="sr-Cyrl-RS"/>
        </w:rPr>
      </w:pPr>
    </w:p>
    <w:p w14:paraId="342E5CE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100 mg, </w:t>
      </w:r>
      <w:r>
        <w:rPr>
          <w:rFonts w:ascii="Microsoft Sans Serif" w:hAnsi="Microsoft Sans Serif" w:cs="Microsoft Sans Serif"/>
          <w:b w:val="0"/>
          <w:sz w:val="20"/>
          <w:szCs w:val="20"/>
          <w:u w:val="single"/>
          <w:lang w:val="sr-Cyrl-RS"/>
        </w:rPr>
        <w:t>film tablete</w:t>
      </w:r>
    </w:p>
    <w:p w14:paraId="71AE859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100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4F471DB6">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764BA9B4">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138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4FBA4F62">
      <w:pPr>
        <w:pStyle w:val="23"/>
        <w:spacing w:before="0" w:after="0"/>
        <w:jc w:val="both"/>
        <w:rPr>
          <w:rFonts w:ascii="Microsoft Sans Serif" w:hAnsi="Microsoft Sans Serif" w:cs="Microsoft Sans Serif"/>
          <w:b w:val="0"/>
          <w:sz w:val="20"/>
          <w:szCs w:val="20"/>
          <w:u w:val="single"/>
          <w:lang w:val="sr-Cyrl-RS"/>
        </w:rPr>
      </w:pPr>
    </w:p>
    <w:p w14:paraId="39843925">
      <w:pPr>
        <w:pStyle w:val="23"/>
        <w:spacing w:before="0" w:after="0"/>
        <w:jc w:val="both"/>
        <w:rPr>
          <w:rFonts w:ascii="Microsoft Sans Serif" w:hAnsi="Microsoft Sans Serif" w:cs="Microsoft Sans Serif"/>
          <w:b w:val="0"/>
          <w:sz w:val="20"/>
          <w:szCs w:val="20"/>
          <w:u w:val="single"/>
          <w:lang w:val="sr-Cyrl-RS"/>
        </w:rPr>
      </w:pPr>
      <w:r>
        <w:rPr>
          <w:rFonts w:ascii="Microsoft Sans Serif" w:hAnsi="Microsoft Sans Serif" w:cs="Microsoft Sans Serif"/>
          <w:b w:val="0"/>
          <w:sz w:val="20"/>
          <w:szCs w:val="20"/>
          <w:u w:val="single"/>
          <w:lang w:val="sr-Latn-CS"/>
        </w:rPr>
        <w:t xml:space="preserve">Nodriga, 140 mg, </w:t>
      </w:r>
      <w:r>
        <w:rPr>
          <w:rFonts w:ascii="Microsoft Sans Serif" w:hAnsi="Microsoft Sans Serif" w:cs="Microsoft Sans Serif"/>
          <w:b w:val="0"/>
          <w:sz w:val="20"/>
          <w:szCs w:val="20"/>
          <w:u w:val="single"/>
          <w:lang w:val="sr-Cyrl-RS"/>
        </w:rPr>
        <w:t>film tablete</w:t>
      </w:r>
    </w:p>
    <w:p w14:paraId="2091126A">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v-SE"/>
        </w:rPr>
        <w:t>Jedna</w:t>
      </w:r>
      <w:r>
        <w:rPr>
          <w:rFonts w:ascii="Microsoft Sans Serif" w:hAnsi="Microsoft Sans Serif" w:cs="Microsoft Sans Serif"/>
          <w:b w:val="0"/>
          <w:sz w:val="20"/>
          <w:szCs w:val="20"/>
          <w:lang w:val="sr-Cyrl-RS"/>
        </w:rPr>
        <w:t xml:space="preserve"> film tableta sadrži 140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dasatiniba.</w:t>
      </w:r>
    </w:p>
    <w:p w14:paraId="787C3B67">
      <w:pPr>
        <w:pStyle w:val="23"/>
        <w:spacing w:before="0" w:after="0"/>
        <w:jc w:val="both"/>
        <w:rPr>
          <w:rFonts w:ascii="Microsoft Sans Serif" w:hAnsi="Microsoft Sans Serif" w:cs="Microsoft Sans Serif"/>
          <w:b w:val="0"/>
          <w:sz w:val="20"/>
          <w:szCs w:val="20"/>
          <w:u w:val="single"/>
          <w:lang w:val="fr-FR"/>
        </w:rPr>
      </w:pPr>
      <w:r>
        <w:rPr>
          <w:rFonts w:ascii="Microsoft Sans Serif" w:hAnsi="Microsoft Sans Serif" w:cs="Microsoft Sans Serif"/>
          <w:b w:val="0"/>
          <w:sz w:val="20"/>
          <w:szCs w:val="20"/>
          <w:u w:val="single"/>
          <w:lang w:val="sr-Cyrl-RS"/>
        </w:rPr>
        <w:t>Pomoćne supstance sa potvrđenim dejstvom</w:t>
      </w:r>
      <w:r>
        <w:rPr>
          <w:rFonts w:ascii="Microsoft Sans Serif" w:hAnsi="Microsoft Sans Serif" w:cs="Microsoft Sans Serif"/>
          <w:b w:val="0"/>
          <w:sz w:val="20"/>
          <w:szCs w:val="20"/>
          <w:u w:val="single"/>
          <w:lang w:val="fr-FR"/>
        </w:rPr>
        <w:t>:</w:t>
      </w:r>
    </w:p>
    <w:p w14:paraId="50FFE8E2">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Svaka film tableta sadrži 194 </w:t>
      </w:r>
      <w:r>
        <w:rPr>
          <w:rFonts w:ascii="Microsoft Sans Serif" w:hAnsi="Microsoft Sans Serif" w:cs="Microsoft Sans Serif"/>
          <w:b w:val="0"/>
          <w:sz w:val="20"/>
          <w:szCs w:val="20"/>
          <w:lang w:val="sr-Latn-RS"/>
        </w:rPr>
        <w:t xml:space="preserve">mg </w:t>
      </w:r>
      <w:r>
        <w:rPr>
          <w:rFonts w:ascii="Microsoft Sans Serif" w:hAnsi="Microsoft Sans Serif" w:cs="Microsoft Sans Serif"/>
          <w:b w:val="0"/>
          <w:sz w:val="20"/>
          <w:szCs w:val="20"/>
          <w:lang w:val="sr-Cyrl-RS"/>
        </w:rPr>
        <w:t>laktoze monohidrat.</w:t>
      </w:r>
    </w:p>
    <w:p w14:paraId="049619B8">
      <w:pPr>
        <w:pStyle w:val="23"/>
        <w:spacing w:before="0" w:after="0"/>
        <w:jc w:val="both"/>
        <w:rPr>
          <w:rFonts w:ascii="Microsoft Sans Serif" w:hAnsi="Microsoft Sans Serif" w:cs="Microsoft Sans Serif"/>
          <w:b w:val="0"/>
          <w:sz w:val="20"/>
          <w:szCs w:val="20"/>
          <w:lang w:val="sr-Cyrl-RS"/>
        </w:rPr>
      </w:pPr>
    </w:p>
    <w:p w14:paraId="0D6565BD">
      <w:pPr>
        <w:pStyle w:val="2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Za listu svih pomoćnih supstanci, </w:t>
      </w:r>
      <w:r>
        <w:rPr>
          <w:rFonts w:ascii="Microsoft Sans Serif" w:hAnsi="Microsoft Sans Serif" w:cs="Microsoft Sans Serif"/>
          <w:b w:val="0"/>
          <w:sz w:val="20"/>
          <w:szCs w:val="20"/>
          <w:lang w:val="sr-Latn-RS"/>
        </w:rPr>
        <w:t>pogledat</w:t>
      </w:r>
      <w:r>
        <w:rPr>
          <w:rFonts w:ascii="Microsoft Sans Serif" w:hAnsi="Microsoft Sans Serif" w:cs="Microsoft Sans Serif"/>
          <w:b w:val="0"/>
          <w:sz w:val="20"/>
          <w:szCs w:val="20"/>
          <w:lang w:val="sr-Cyrl-RS"/>
        </w:rPr>
        <w:t xml:space="preserve">i </w:t>
      </w:r>
      <w:r>
        <w:rPr>
          <w:rFonts w:ascii="Microsoft Sans Serif" w:hAnsi="Microsoft Sans Serif" w:cs="Microsoft Sans Serif"/>
          <w:b w:val="0"/>
          <w:sz w:val="20"/>
          <w:szCs w:val="20"/>
        </w:rPr>
        <w:t>dio</w:t>
      </w:r>
      <w:r>
        <w:rPr>
          <w:rFonts w:ascii="Microsoft Sans Serif" w:hAnsi="Microsoft Sans Serif" w:cs="Microsoft Sans Serif"/>
          <w:b w:val="0"/>
          <w:sz w:val="20"/>
          <w:szCs w:val="20"/>
          <w:lang w:val="sr-Cyrl-RS"/>
        </w:rPr>
        <w:t xml:space="preserve"> 6.1.</w:t>
      </w:r>
    </w:p>
    <w:p w14:paraId="05FCB87D">
      <w:pPr>
        <w:widowControl w:val="0"/>
        <w:tabs>
          <w:tab w:val="clear" w:pos="284"/>
        </w:tabs>
        <w:rPr>
          <w:rFonts w:ascii="Microsoft Sans Serif" w:hAnsi="Microsoft Sans Serif" w:eastAsia="Calibri" w:cs="Microsoft Sans Serif"/>
          <w:sz w:val="20"/>
          <w:szCs w:val="20"/>
          <w:u w:val="single"/>
          <w:lang w:val="sr-Cyrl-RS"/>
        </w:rPr>
      </w:pPr>
    </w:p>
    <w:p w14:paraId="754A2D2D">
      <w:pPr>
        <w:pStyle w:val="23"/>
        <w:spacing w:before="0" w:after="0"/>
        <w:jc w:val="both"/>
        <w:rPr>
          <w:rFonts w:ascii="Microsoft Sans Serif" w:hAnsi="Microsoft Sans Serif" w:cs="Microsoft Sans Serif"/>
          <w:sz w:val="20"/>
          <w:szCs w:val="20"/>
          <w:lang w:val="sr-Cyrl-RS"/>
        </w:rPr>
      </w:pPr>
    </w:p>
    <w:p w14:paraId="32867901">
      <w:pPr>
        <w:pStyle w:val="23"/>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4BC3307">
      <w:pPr>
        <w:pStyle w:val="23"/>
        <w:spacing w:before="0" w:after="0"/>
        <w:jc w:val="both"/>
        <w:rPr>
          <w:rFonts w:ascii="Microsoft Sans Serif" w:hAnsi="Microsoft Sans Serif" w:cs="Microsoft Sans Serif"/>
          <w:sz w:val="20"/>
          <w:szCs w:val="20"/>
          <w:lang w:val="sv-SE"/>
        </w:rPr>
      </w:pPr>
    </w:p>
    <w:p w14:paraId="6BDCE35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4C125851">
      <w:pPr>
        <w:widowControl w:val="0"/>
        <w:tabs>
          <w:tab w:val="clear" w:pos="284"/>
        </w:tabs>
        <w:rPr>
          <w:rFonts w:ascii="Microsoft Sans Serif" w:hAnsi="Microsoft Sans Serif" w:eastAsia="Calibri" w:cs="Microsoft Sans Serif"/>
          <w:sz w:val="20"/>
          <w:szCs w:val="20"/>
          <w:u w:val="single"/>
          <w:lang w:val="sr-Latn-RS"/>
        </w:rPr>
      </w:pPr>
    </w:p>
    <w:p w14:paraId="17AE04B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09F8155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0D583055">
      <w:pPr>
        <w:widowControl w:val="0"/>
        <w:tabs>
          <w:tab w:val="clear" w:pos="284"/>
        </w:tabs>
        <w:rPr>
          <w:rFonts w:ascii="Microsoft Sans Serif" w:hAnsi="Microsoft Sans Serif" w:eastAsia="Calibri" w:cs="Microsoft Sans Serif"/>
          <w:sz w:val="20"/>
          <w:szCs w:val="20"/>
          <w:lang w:val="sr-Cyrl-RS"/>
        </w:rPr>
      </w:pPr>
    </w:p>
    <w:p w14:paraId="0B42F26A">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225A959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082892FA">
      <w:pPr>
        <w:widowControl w:val="0"/>
        <w:tabs>
          <w:tab w:val="clear" w:pos="284"/>
        </w:tabs>
        <w:rPr>
          <w:rFonts w:ascii="Microsoft Sans Serif" w:hAnsi="Microsoft Sans Serif" w:eastAsia="Calibri" w:cs="Microsoft Sans Serif"/>
          <w:sz w:val="20"/>
          <w:szCs w:val="20"/>
          <w:lang w:val="sr-Cyrl-RS"/>
        </w:rPr>
      </w:pPr>
    </w:p>
    <w:p w14:paraId="179B363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387CD5E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282779B4">
      <w:pPr>
        <w:widowControl w:val="0"/>
        <w:tabs>
          <w:tab w:val="clear" w:pos="284"/>
        </w:tabs>
        <w:rPr>
          <w:rFonts w:ascii="Microsoft Sans Serif" w:hAnsi="Microsoft Sans Serif" w:eastAsia="Calibri" w:cs="Microsoft Sans Serif"/>
          <w:sz w:val="20"/>
          <w:szCs w:val="20"/>
          <w:lang w:val="sr-Cyrl-RS"/>
        </w:rPr>
      </w:pPr>
    </w:p>
    <w:p w14:paraId="0D74C65C">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53EA745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647DFAEE">
      <w:pPr>
        <w:widowControl w:val="0"/>
        <w:tabs>
          <w:tab w:val="clear" w:pos="284"/>
        </w:tabs>
        <w:rPr>
          <w:rFonts w:ascii="Microsoft Sans Serif" w:hAnsi="Microsoft Sans Serif" w:eastAsia="Calibri" w:cs="Microsoft Sans Serif"/>
          <w:sz w:val="20"/>
          <w:szCs w:val="20"/>
          <w:lang w:val="sr-Cyrl-RS"/>
        </w:rPr>
      </w:pPr>
    </w:p>
    <w:p w14:paraId="501067AF">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20667BA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16A21EF8">
      <w:pPr>
        <w:widowControl w:val="0"/>
        <w:tabs>
          <w:tab w:val="clear" w:pos="284"/>
        </w:tabs>
        <w:rPr>
          <w:rFonts w:ascii="Microsoft Sans Serif" w:hAnsi="Microsoft Sans Serif" w:eastAsia="Calibri" w:cs="Microsoft Sans Serif"/>
          <w:sz w:val="20"/>
          <w:szCs w:val="20"/>
          <w:lang w:val="sr-Cyrl-RS"/>
        </w:rPr>
      </w:pPr>
    </w:p>
    <w:p w14:paraId="547F19BE">
      <w:pPr>
        <w:rPr>
          <w:rFonts w:ascii="Microsoft Sans Serif" w:hAnsi="Microsoft Sans Serif" w:cs="Microsoft Sans Serif"/>
          <w:sz w:val="20"/>
          <w:szCs w:val="20"/>
          <w:lang w:val="sr-Cyrl-RS"/>
        </w:rPr>
      </w:pPr>
    </w:p>
    <w:p w14:paraId="2B0B7653">
      <w:pPr>
        <w:pStyle w:val="23"/>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4EAD8A91">
      <w:pPr>
        <w:rPr>
          <w:rFonts w:ascii="Microsoft Sans Serif" w:hAnsi="Microsoft Sans Serif" w:cs="Microsoft Sans Serif"/>
          <w:b/>
          <w:bCs/>
          <w:sz w:val="20"/>
          <w:szCs w:val="20"/>
          <w:lang w:val="sr-Cyrl-RS"/>
        </w:rPr>
      </w:pPr>
    </w:p>
    <w:p w14:paraId="71C721F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7F70174A">
      <w:pPr>
        <w:rPr>
          <w:rFonts w:ascii="Microsoft Sans Serif" w:hAnsi="Microsoft Sans Serif" w:cs="Microsoft Sans Serif"/>
          <w:b/>
          <w:bCs/>
          <w:sz w:val="20"/>
          <w:szCs w:val="20"/>
          <w:lang w:val="sr-Cyrl-RS"/>
        </w:rPr>
      </w:pPr>
    </w:p>
    <w:p w14:paraId="178BA7E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dikovan za liječenje odraslih pacijenata sa:</w:t>
      </w:r>
    </w:p>
    <w:p w14:paraId="0FEC2CE1">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novodijagnostikovanom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pozitivnim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Filadelfija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hromozomom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fazi</w:t>
      </w:r>
      <w:r>
        <w:rPr>
          <w:rFonts w:ascii="Microsoft Sans Serif" w:hAnsi="Microsoft Sans Serif" w:cs="Microsoft Sans Serif"/>
          <w:bCs/>
          <w:sz w:val="20"/>
          <w:szCs w:val="20"/>
          <w:lang w:val="sr-Cyrl-RS"/>
        </w:rPr>
        <w:t>,</w:t>
      </w:r>
    </w:p>
    <w:p w14:paraId="72827539">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hroni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ubrzanja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fazom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p>
    <w:p w14:paraId="11D80279">
      <w:pPr>
        <w:pStyle w:val="29"/>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uklju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imatinibom</w:t>
      </w:r>
      <w:r>
        <w:rPr>
          <w:rFonts w:ascii="Microsoft Sans Serif" w:hAnsi="Microsoft Sans Serif" w:cs="Microsoft Sans Serif"/>
          <w:bCs/>
          <w:sz w:val="20"/>
          <w:szCs w:val="20"/>
          <w:lang w:val="sr-Cyrl-RS"/>
        </w:rPr>
        <w:t>,</w:t>
      </w:r>
    </w:p>
    <w:p w14:paraId="50B1FE82">
      <w:pPr>
        <w:pStyle w:val="29"/>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Ph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akutnom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leukemijom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limfoidnom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blastnom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rezistentni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podnosili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577D8EB4">
      <w:pPr>
        <w:rPr>
          <w:rFonts w:ascii="Microsoft Sans Serif" w:hAnsi="Microsoft Sans Serif" w:cs="Microsoft Sans Serif"/>
          <w:bCs/>
          <w:sz w:val="20"/>
          <w:szCs w:val="20"/>
          <w:lang w:val="sr-Latn-RS"/>
        </w:rPr>
      </w:pPr>
    </w:p>
    <w:p w14:paraId="120DEA5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mk-MK"/>
        </w:rPr>
        <w:t xml:space="preserve">Lijek </w:t>
      </w:r>
      <w:r>
        <w:rPr>
          <w:rFonts w:ascii="Microsoft Sans Serif" w:hAnsi="Microsoft Sans Serif" w:cs="Microsoft Sans Serif"/>
          <w:bCs/>
          <w:sz w:val="20"/>
          <w:szCs w:val="20"/>
          <w:lang w:val="sr-Latn-RS"/>
        </w:rPr>
        <w:t>Nodriga je indikovan za liječenje pedijatrijskih pacijenata sa:</w:t>
      </w:r>
    </w:p>
    <w:p w14:paraId="66A71AB9">
      <w:pPr>
        <w:pStyle w:val="29"/>
        <w:numPr>
          <w:ilvl w:val="0"/>
          <w:numId w:val="1"/>
        </w:num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novodijagnostikovanom Ph+ HML u hroničnoj fazi (Ph+HML-H</w:t>
      </w:r>
      <w:r>
        <w:rPr>
          <w:rFonts w:ascii="Microsoft Sans Serif" w:hAnsi="Microsoft Sans Serif" w:cs="Microsoft Sans Serif"/>
          <w:bCs/>
          <w:sz w:val="20"/>
          <w:szCs w:val="20"/>
          <w:lang w:val="hr-BA"/>
        </w:rPr>
        <w:t>F</w:t>
      </w:r>
      <w:r>
        <w:rPr>
          <w:rFonts w:ascii="Microsoft Sans Serif" w:hAnsi="Microsoft Sans Serif" w:cs="Microsoft Sans Serif"/>
          <w:bCs/>
          <w:sz w:val="20"/>
          <w:szCs w:val="20"/>
          <w:lang w:val="sr-Latn-RS"/>
        </w:rPr>
        <w:t>) ili Ph+ HML u hroničnoj fazi koji su rezistentni ili nisu podnosili prethodnu terapiju, uključujući terapiju sa imatinibom</w:t>
      </w:r>
      <w:r>
        <w:rPr>
          <w:rFonts w:ascii="Microsoft Sans Serif" w:hAnsi="Microsoft Sans Serif" w:cs="Microsoft Sans Serif"/>
          <w:bCs/>
          <w:sz w:val="20"/>
          <w:szCs w:val="20"/>
          <w:lang w:val="sr-Cyrl-RS"/>
        </w:rPr>
        <w:t>,</w:t>
      </w:r>
    </w:p>
    <w:p w14:paraId="2799D97A">
      <w:pPr>
        <w:pStyle w:val="29"/>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novodijagnostikovanom Ph+ ALL u kombinaciji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h</w:t>
      </w:r>
      <w:r>
        <w:rPr>
          <w:rFonts w:ascii="Microsoft Sans Serif" w:hAnsi="Microsoft Sans Serif" w:cs="Microsoft Sans Serif"/>
          <w:bCs/>
          <w:sz w:val="20"/>
          <w:szCs w:val="20"/>
          <w:lang w:val="sv-SE"/>
        </w:rPr>
        <w:t>em</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v-SE"/>
        </w:rPr>
        <w:t>oterapijom.</w:t>
      </w:r>
    </w:p>
    <w:p w14:paraId="2A90B5DA">
      <w:pPr>
        <w:rPr>
          <w:rFonts w:ascii="Microsoft Sans Serif" w:hAnsi="Microsoft Sans Serif" w:cs="Microsoft Sans Serif"/>
          <w:sz w:val="20"/>
          <w:szCs w:val="20"/>
          <w:lang w:val="sv-SE"/>
        </w:rPr>
      </w:pPr>
    </w:p>
    <w:p w14:paraId="0C9D32B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5AEFA50">
      <w:pPr>
        <w:rPr>
          <w:rFonts w:ascii="Microsoft Sans Serif" w:hAnsi="Microsoft Sans Serif" w:cs="Microsoft Sans Serif"/>
          <w:sz w:val="20"/>
          <w:szCs w:val="20"/>
          <w:lang w:val="sv-SE"/>
        </w:rPr>
      </w:pPr>
    </w:p>
    <w:p w14:paraId="24C5772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Liječenje treba započeti ljekar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iskustvom u dijagnostikovanju i liječenju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leukemijom.</w:t>
      </w:r>
    </w:p>
    <w:p w14:paraId="4678CD76">
      <w:pPr>
        <w:rPr>
          <w:rFonts w:ascii="Microsoft Sans Serif" w:hAnsi="Microsoft Sans Serif" w:cs="Microsoft Sans Serif"/>
          <w:sz w:val="20"/>
          <w:szCs w:val="20"/>
          <w:lang w:val="sv-SE"/>
        </w:rPr>
      </w:pPr>
    </w:p>
    <w:p w14:paraId="236F0DD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7672F97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Odrasli pacijenti</w:t>
      </w:r>
    </w:p>
    <w:p w14:paraId="4F4652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dasatiniba </w:t>
      </w:r>
      <w:r>
        <w:rPr>
          <w:rFonts w:ascii="Microsoft Sans Serif" w:hAnsi="Microsoft Sans Serif" w:cs="Microsoft Sans Serif"/>
          <w:sz w:val="20"/>
          <w:szCs w:val="20"/>
          <w:lang w:val="mk-MK"/>
        </w:rPr>
        <w:t xml:space="preserve">kod </w:t>
      </w:r>
      <w:r>
        <w:rPr>
          <w:rFonts w:ascii="Microsoft Sans Serif" w:hAnsi="Microsoft Sans Serif" w:cs="Microsoft Sans Serif"/>
          <w:sz w:val="20"/>
          <w:szCs w:val="20"/>
          <w:lang w:val="sv-SE"/>
        </w:rPr>
        <w:t>u hroni</w:t>
      </w:r>
      <w:r>
        <w:rPr>
          <w:rFonts w:ascii="Microsoft Sans Serif" w:hAnsi="Microsoft Sans Serif" w:cs="Microsoft Sans Serif"/>
          <w:sz w:val="20"/>
          <w:szCs w:val="20"/>
          <w:lang w:val="hr-BA"/>
        </w:rPr>
        <w:t>čnoj fazi HML</w:t>
      </w:r>
      <w:r>
        <w:rPr>
          <w:rFonts w:ascii="Microsoft Sans Serif" w:hAnsi="Microsoft Sans Serif" w:cs="Microsoft Sans Serif"/>
          <w:sz w:val="20"/>
          <w:szCs w:val="20"/>
          <w:lang w:val="sv-SE"/>
        </w:rPr>
        <w:t xml:space="preserve"> iznosi 100 mg jednom dnevno (pogledati dio 4.4).</w:t>
      </w:r>
    </w:p>
    <w:p w14:paraId="3D98998F">
      <w:pPr>
        <w:rPr>
          <w:rFonts w:ascii="Microsoft Sans Serif" w:hAnsi="Microsoft Sans Serif" w:cs="Microsoft Sans Serif"/>
          <w:sz w:val="20"/>
          <w:szCs w:val="20"/>
          <w:u w:val="single"/>
          <w:lang w:val="sv-SE"/>
        </w:rPr>
      </w:pPr>
    </w:p>
    <w:p w14:paraId="728FB01D">
      <w:pPr>
        <w:rPr>
          <w:rFonts w:ascii="Microsoft Sans Serif" w:hAnsi="Microsoft Sans Serif" w:cs="Microsoft Sans Serif"/>
          <w:sz w:val="20"/>
          <w:szCs w:val="20"/>
        </w:rPr>
      </w:pPr>
      <w:r>
        <w:rPr>
          <w:rFonts w:ascii="Microsoft Sans Serif" w:hAnsi="Microsoft Sans Serif" w:cs="Microsoft Sans Serif"/>
          <w:sz w:val="20"/>
          <w:szCs w:val="20"/>
        </w:rPr>
        <w:t>Preporučena početna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dasatiniba u fazi ubrzanja, mijeloidnoj ili limfoidnoj blast fazi (uznapredovala faza) HML ili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Ph+ ALL iznosi 140 mg jednom dnevno (pogledati dio 4.4).</w:t>
      </w:r>
    </w:p>
    <w:p w14:paraId="0D64364F">
      <w:pPr>
        <w:rPr>
          <w:rFonts w:ascii="Microsoft Sans Serif" w:hAnsi="Microsoft Sans Serif" w:cs="Microsoft Sans Serif"/>
          <w:sz w:val="20"/>
          <w:szCs w:val="20"/>
        </w:rPr>
      </w:pPr>
    </w:p>
    <w:p w14:paraId="294B79C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 xml:space="preserve">Pedijatrijska populacija (Ph+ HML-HF i </w:t>
      </w:r>
      <w:r>
        <w:rPr>
          <w:rFonts w:ascii="Microsoft Sans Serif" w:hAnsi="Microsoft Sans Serif" w:eastAsia="Calibri" w:cs="Microsoft Sans Serif"/>
          <w:sz w:val="20"/>
          <w:szCs w:val="20"/>
          <w:u w:val="single"/>
          <w:lang w:val="sr-Latn-RS"/>
        </w:rPr>
        <w:t>Ph</w:t>
      </w:r>
      <w:r>
        <w:rPr>
          <w:rFonts w:ascii="Microsoft Sans Serif" w:hAnsi="Microsoft Sans Serif" w:eastAsia="Calibri" w:cs="Microsoft Sans Serif"/>
          <w:sz w:val="20"/>
          <w:szCs w:val="20"/>
          <w:u w:val="single"/>
        </w:rPr>
        <w:t>+ ALL)</w:t>
      </w:r>
    </w:p>
    <w:p w14:paraId="678742A0">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rPr>
        <w:t xml:space="preserve">Doziranje </w:t>
      </w:r>
      <w:r>
        <w:rPr>
          <w:rFonts w:ascii="Microsoft Sans Serif" w:hAnsi="Microsoft Sans Serif" w:eastAsia="Calibri" w:cs="Microsoft Sans Serif"/>
          <w:sz w:val="20"/>
          <w:szCs w:val="20"/>
          <w:lang w:val="mk-MK"/>
        </w:rPr>
        <w:t>kod</w:t>
      </w:r>
      <w:r>
        <w:rPr>
          <w:rFonts w:ascii="Microsoft Sans Serif" w:hAnsi="Microsoft Sans Serif" w:eastAsia="Calibri" w:cs="Microsoft Sans Serif"/>
          <w:sz w:val="20"/>
          <w:szCs w:val="20"/>
        </w:rPr>
        <w:t xml:space="preserve"> djece i adolescen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bazira se na tjelesnoj masi (pogledati </w:t>
      </w:r>
      <w:r>
        <w:rPr>
          <w:rFonts w:ascii="Microsoft Sans Serif" w:hAnsi="Microsoft Sans Serif" w:eastAsia="Calibri" w:cs="Microsoft Sans Serif"/>
          <w:sz w:val="20"/>
          <w:szCs w:val="20"/>
          <w:lang w:val="sr-Cyrl-RS"/>
        </w:rPr>
        <w:t>T</w:t>
      </w:r>
      <w:r>
        <w:rPr>
          <w:rFonts w:ascii="Microsoft Sans Serif" w:hAnsi="Microsoft Sans Serif" w:eastAsia="Calibri" w:cs="Microsoft Sans Serif"/>
          <w:sz w:val="20"/>
          <w:szCs w:val="20"/>
        </w:rPr>
        <w:t>abelu 1). Dasatinib se primjenjuje oralno jednom dnevno u obliku dasatinib film tableta ili praška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 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izra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unati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tjelesnoj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masi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čija je tjelesna masa ispod 10 </w:t>
      </w:r>
      <w:r>
        <w:rPr>
          <w:rFonts w:ascii="Microsoft Sans Serif" w:hAnsi="Microsoft Sans Serif" w:eastAsia="Calibri" w:cs="Microsoft Sans Serif"/>
          <w:sz w:val="20"/>
          <w:szCs w:val="20"/>
        </w:rPr>
        <w:t>kg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osnovu</w:t>
      </w:r>
      <w:r>
        <w:rPr>
          <w:rFonts w:ascii="Microsoft Sans Serif" w:hAnsi="Microsoft Sans Serif" w:eastAsia="Calibri" w:cs="Microsoft Sans Serif"/>
          <w:sz w:val="20"/>
          <w:szCs w:val="20"/>
          <w:lang w:val="sr-Cyrl-RS"/>
        </w:rPr>
        <w:t xml:space="preserve"> individualnog </w:t>
      </w:r>
      <w:r>
        <w:rPr>
          <w:rFonts w:ascii="Microsoft Sans Serif" w:hAnsi="Microsoft Sans Serif" w:eastAsia="Calibri" w:cs="Microsoft Sans Serif"/>
          <w:sz w:val="20"/>
          <w:szCs w:val="20"/>
        </w:rPr>
        <w:t>odgovora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Nema iskustva u liječenju 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Nodriga kod djece ispod godinu dana.</w:t>
      </w:r>
    </w:p>
    <w:p w14:paraId="521EEAE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v-SE"/>
        </w:rPr>
        <w:t>Dasatinib film tablete i dasatinib prašak za oralnu suspenziju nisu bioekvivalentni.</w:t>
      </w:r>
      <w:r>
        <w:rPr>
          <w:rFonts w:ascii="Microsoft Sans Serif" w:hAnsi="Microsoft Sans Serif" w:eastAsia="Calibri" w:cs="Microsoft Sans Serif"/>
          <w:sz w:val="20"/>
          <w:szCs w:val="20"/>
          <w:lang w:val="sr-Cyrl-RS"/>
        </w:rPr>
        <w:t xml:space="preserve"> Pacijenti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odnosno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progutati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ž</w:t>
      </w:r>
      <w:r>
        <w:rPr>
          <w:rFonts w:ascii="Microsoft Sans Serif" w:hAnsi="Microsoft Sans Serif" w:eastAsia="Calibri" w:cs="Microsoft Sans Serif"/>
          <w:sz w:val="20"/>
          <w:szCs w:val="20"/>
        </w:rPr>
        <w:t>ele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uslovom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slijede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farmaceutski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oblik</w:t>
      </w:r>
      <w:r>
        <w:rPr>
          <w:rFonts w:ascii="Microsoft Sans Serif" w:hAnsi="Microsoft Sans Serif" w:eastAsia="Calibri" w:cs="Microsoft Sans Serif"/>
          <w:sz w:val="20"/>
          <w:szCs w:val="20"/>
          <w:lang w:val="sr-Cyrl-RS"/>
        </w:rPr>
        <w:t>.</w:t>
      </w:r>
    </w:p>
    <w:p w14:paraId="11CEE5A3">
      <w:pPr>
        <w:widowControl w:val="0"/>
        <w:tabs>
          <w:tab w:val="clear" w:pos="284"/>
        </w:tabs>
        <w:rPr>
          <w:rFonts w:ascii="Microsoft Sans Serif" w:hAnsi="Microsoft Sans Serif" w:eastAsia="Calibri" w:cs="Microsoft Sans Serif"/>
          <w:sz w:val="20"/>
          <w:szCs w:val="20"/>
          <w:lang w:val="sr-Cyrl-RS"/>
        </w:rPr>
      </w:pPr>
    </w:p>
    <w:p w14:paraId="0726C9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prikazana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1.</w:t>
      </w:r>
    </w:p>
    <w:p w14:paraId="761AAEE5">
      <w:pPr>
        <w:widowControl w:val="0"/>
        <w:tabs>
          <w:tab w:val="clear" w:pos="284"/>
        </w:tabs>
        <w:rPr>
          <w:rFonts w:ascii="Microsoft Sans Serif" w:hAnsi="Microsoft Sans Serif" w:eastAsia="Calibri" w:cs="Microsoft Sans Serif"/>
          <w:sz w:val="20"/>
          <w:szCs w:val="20"/>
          <w:lang w:val="sr-Cyrl-RS"/>
        </w:rPr>
      </w:pPr>
    </w:p>
    <w:p w14:paraId="1019772E">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rPr>
        <w:t>Tabela</w:t>
      </w:r>
      <w:r>
        <w:rPr>
          <w:rFonts w:ascii="Microsoft Sans Serif" w:hAnsi="Microsoft Sans Serif" w:eastAsia="Calibri" w:cs="Microsoft Sans Serif"/>
          <w:b/>
          <w:sz w:val="20"/>
          <w:szCs w:val="20"/>
          <w:lang w:val="sr-Cyrl-RS"/>
        </w:rPr>
        <w:t xml:space="preserve"> 1: </w:t>
      </w:r>
      <w:r>
        <w:rPr>
          <w:rFonts w:ascii="Microsoft Sans Serif" w:hAnsi="Microsoft Sans Serif" w:eastAsia="Calibri" w:cs="Microsoft Sans Serif"/>
          <w:b/>
          <w:sz w:val="20"/>
          <w:szCs w:val="20"/>
        </w:rPr>
        <w:t>Doza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Nodriga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tableta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za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pedijatrijske</w:t>
      </w:r>
      <w:r>
        <w:rPr>
          <w:rFonts w:ascii="Microsoft Sans Serif" w:hAnsi="Microsoft Sans Serif" w:eastAsia="Calibri" w:cs="Microsoft Sans Serif"/>
          <w:b/>
          <w:sz w:val="20"/>
          <w:szCs w:val="20"/>
          <w:lang w:val="sr-Cyrl-RS"/>
        </w:rPr>
        <w:t xml:space="preserve"> pacijente </w:t>
      </w:r>
      <w:r>
        <w:rPr>
          <w:rFonts w:ascii="Microsoft Sans Serif" w:hAnsi="Microsoft Sans Serif" w:eastAsia="Calibri" w:cs="Microsoft Sans Serif"/>
          <w:b/>
          <w:sz w:val="20"/>
          <w:szCs w:val="20"/>
        </w:rPr>
        <w:t>s</w:t>
      </w:r>
      <w:r>
        <w:rPr>
          <w:rFonts w:ascii="Microsoft Sans Serif" w:hAnsi="Microsoft Sans Serif" w:eastAsia="Calibri" w:cs="Microsoft Sans Serif"/>
          <w:b/>
          <w:sz w:val="20"/>
          <w:szCs w:val="20"/>
          <w:lang w:val="sr-Cyrl-RS"/>
        </w:rPr>
        <w:t xml:space="preserve">a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HML</w:t>
      </w:r>
      <w:r>
        <w:rPr>
          <w:rFonts w:ascii="Microsoft Sans Serif" w:hAnsi="Microsoft Sans Serif" w:eastAsia="Calibri" w:cs="Microsoft Sans Serif"/>
          <w:b/>
          <w:sz w:val="20"/>
          <w:szCs w:val="20"/>
          <w:lang w:val="sr-Cyrl-RS"/>
        </w:rPr>
        <w:t>-</w:t>
      </w:r>
      <w:r>
        <w:rPr>
          <w:rFonts w:ascii="Microsoft Sans Serif" w:hAnsi="Microsoft Sans Serif" w:eastAsia="Calibri" w:cs="Microsoft Sans Serif"/>
          <w:b/>
          <w:sz w:val="20"/>
          <w:szCs w:val="20"/>
        </w:rPr>
        <w:t>HF</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ili</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Ph</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ALL</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14:paraId="0719A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bottom w:val="single" w:color="auto" w:sz="2" w:space="0"/>
            </w:tcBorders>
          </w:tcPr>
          <w:p w14:paraId="3BFDD270">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Tjelesna masa</w:t>
            </w:r>
            <w:r>
              <w:rPr>
                <w:rFonts w:ascii="Microsoft Sans Serif" w:hAnsi="Microsoft Sans Serif" w:eastAsia="Calibri" w:cs="Microsoft Sans Serif"/>
                <w:b/>
                <w:sz w:val="20"/>
                <w:szCs w:val="20"/>
              </w:rPr>
              <w:t xml:space="preserve"> (kg)</w:t>
            </w:r>
            <w:r>
              <w:rPr>
                <w:rFonts w:ascii="Microsoft Sans Serif" w:hAnsi="Microsoft Sans Serif" w:eastAsia="Calibri" w:cs="Microsoft Sans Serif"/>
                <w:b/>
                <w:sz w:val="20"/>
                <w:szCs w:val="20"/>
                <w:vertAlign w:val="superscript"/>
              </w:rPr>
              <w:t>a</w:t>
            </w:r>
          </w:p>
        </w:tc>
        <w:tc>
          <w:tcPr>
            <w:tcW w:w="4675" w:type="dxa"/>
            <w:tcBorders>
              <w:top w:val="single" w:color="auto" w:sz="2" w:space="0"/>
              <w:bottom w:val="single" w:color="auto" w:sz="2" w:space="0"/>
            </w:tcBorders>
          </w:tcPr>
          <w:p w14:paraId="137EEB68">
            <w:pPr>
              <w:widowControl w:val="0"/>
              <w:tabs>
                <w:tab w:val="left" w:pos="1200"/>
                <w:tab w:val="left" w:pos="6000"/>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Dnevna doza</w:t>
            </w:r>
            <w:r>
              <w:rPr>
                <w:rFonts w:ascii="Microsoft Sans Serif" w:hAnsi="Microsoft Sans Serif" w:eastAsia="Calibri" w:cs="Microsoft Sans Serif"/>
                <w:b/>
                <w:sz w:val="20"/>
                <w:szCs w:val="20"/>
              </w:rPr>
              <w:t xml:space="preserve"> (mg)</w:t>
            </w:r>
          </w:p>
        </w:tc>
      </w:tr>
      <w:tr w14:paraId="3511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top w:val="single" w:color="auto" w:sz="2" w:space="0"/>
            </w:tcBorders>
          </w:tcPr>
          <w:p w14:paraId="7EB4B982">
            <w:pPr>
              <w:widowControl w:val="0"/>
              <w:tabs>
                <w:tab w:val="left" w:pos="1200"/>
                <w:tab w:val="left" w:pos="60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 10 do manje od 20 kg</w:t>
            </w:r>
          </w:p>
        </w:tc>
        <w:tc>
          <w:tcPr>
            <w:tcW w:w="4675" w:type="dxa"/>
            <w:tcBorders>
              <w:top w:val="single" w:color="auto" w:sz="2" w:space="0"/>
            </w:tcBorders>
          </w:tcPr>
          <w:p w14:paraId="763D9F31">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40 mg</w:t>
            </w:r>
          </w:p>
        </w:tc>
      </w:tr>
      <w:tr w14:paraId="0C7E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6C570655">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20 do manje od 30 kg</w:t>
            </w:r>
          </w:p>
        </w:tc>
        <w:tc>
          <w:tcPr>
            <w:tcW w:w="4675" w:type="dxa"/>
          </w:tcPr>
          <w:p w14:paraId="619AD8DF">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mg</w:t>
            </w:r>
          </w:p>
        </w:tc>
      </w:tr>
      <w:tr w14:paraId="3ED7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14:paraId="78DA1DEE">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 xml:space="preserve">Od </w:t>
            </w:r>
            <w:r>
              <w:rPr>
                <w:rFonts w:ascii="Microsoft Sans Serif" w:hAnsi="Microsoft Sans Serif" w:eastAsia="Calibri" w:cs="Microsoft Sans Serif"/>
                <w:sz w:val="20"/>
                <w:szCs w:val="20"/>
              </w:rPr>
              <w:t>30 do manje od 45 kg</w:t>
            </w:r>
          </w:p>
        </w:tc>
        <w:tc>
          <w:tcPr>
            <w:tcW w:w="4675" w:type="dxa"/>
          </w:tcPr>
          <w:p w14:paraId="62BB19BC">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70 mg</w:t>
            </w:r>
          </w:p>
        </w:tc>
      </w:tr>
      <w:tr w14:paraId="551C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Borders>
              <w:bottom w:val="single" w:color="auto" w:sz="2" w:space="0"/>
            </w:tcBorders>
          </w:tcPr>
          <w:p w14:paraId="62A2610D">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najmanje 45 kg</w:t>
            </w:r>
          </w:p>
        </w:tc>
        <w:tc>
          <w:tcPr>
            <w:tcW w:w="4675" w:type="dxa"/>
            <w:tcBorders>
              <w:bottom w:val="single" w:color="auto" w:sz="2" w:space="0"/>
            </w:tcBorders>
          </w:tcPr>
          <w:p w14:paraId="0A7211A8">
            <w:pPr>
              <w:widowControl w:val="0"/>
              <w:tabs>
                <w:tab w:val="left" w:pos="1200"/>
                <w:tab w:val="left" w:pos="60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100 mg</w:t>
            </w:r>
          </w:p>
        </w:tc>
      </w:tr>
    </w:tbl>
    <w:p w14:paraId="32920B2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Tableta se ne preporučuje za pacijente tjelesne mase ispod 10 kg; </w:t>
      </w:r>
      <w:r>
        <w:rPr>
          <w:rFonts w:ascii="Microsoft Sans Serif" w:hAnsi="Microsoft Sans Serif" w:eastAsia="Calibri" w:cs="Microsoft Sans Serif"/>
          <w:sz w:val="20"/>
          <w:szCs w:val="20"/>
          <w:lang w:val="sr-Cyrl-RS"/>
        </w:rPr>
        <w:t>kod tih pacijenata</w:t>
      </w:r>
      <w:r>
        <w:rPr>
          <w:rFonts w:ascii="Microsoft Sans Serif" w:hAnsi="Microsoft Sans Serif" w:eastAsia="Calibri" w:cs="Microsoft Sans Serif"/>
          <w:sz w:val="20"/>
          <w:szCs w:val="20"/>
        </w:rPr>
        <w:t xml:space="preserve"> treba koristiti prašak za 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p>
    <w:p w14:paraId="27C1C150">
      <w:pPr>
        <w:widowControl w:val="0"/>
        <w:tabs>
          <w:tab w:val="clear" w:pos="284"/>
        </w:tabs>
        <w:rPr>
          <w:rFonts w:ascii="Microsoft Sans Serif" w:hAnsi="Microsoft Sans Serif" w:eastAsia="Calibri" w:cs="Microsoft Sans Serif"/>
          <w:sz w:val="20"/>
          <w:szCs w:val="20"/>
        </w:rPr>
      </w:pPr>
    </w:p>
    <w:p w14:paraId="71729C8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Trajanje liječenja</w:t>
      </w:r>
    </w:p>
    <w:p w14:paraId="7137082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kliničkim ispitivanjima liječenje dasatinibom kod odraslih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HML-HF, u fazi ubrzanja, mijeloidnoj ili limfoidnoj blast fazi (uznapredovala faza) HML ili Ph+ ALL i pedijatrijskih pacijenata sa Ph+ HML-HF nastavilo </w:t>
      </w:r>
      <w:r>
        <w:rPr>
          <w:rFonts w:ascii="Microsoft Sans Serif" w:hAnsi="Microsoft Sans Serif" w:eastAsia="Calibri" w:cs="Microsoft Sans Serif"/>
          <w:sz w:val="20"/>
          <w:szCs w:val="20"/>
          <w:lang w:val="mk-MK"/>
        </w:rPr>
        <w:t xml:space="preserve">se </w:t>
      </w:r>
      <w:r>
        <w:rPr>
          <w:rFonts w:ascii="Microsoft Sans Serif" w:hAnsi="Microsoft Sans Serif" w:eastAsia="Calibri" w:cs="Microsoft Sans Serif"/>
          <w:sz w:val="20"/>
          <w:szCs w:val="20"/>
        </w:rPr>
        <w:t>do napredovanja bolesti ili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razvoja nepodnošlјivosti lijeka kod pacijenata. Uticaj prekida liječenja na dugoročan ishod 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postizanja citogenetskog ili molekularnog odgovora [uklјučujući potpun citogenetski odgovor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(engl. </w:t>
      </w:r>
      <w:r>
        <w:rPr>
          <w:rFonts w:ascii="Microsoft Sans Serif" w:hAnsi="Microsoft Sans Serif" w:eastAsia="Calibri" w:cs="Microsoft Sans Serif"/>
          <w:i/>
          <w:sz w:val="20"/>
          <w:szCs w:val="20"/>
        </w:rPr>
        <w:t>complete cytogenetic response (CCyR)</w:t>
      </w:r>
      <w:r>
        <w:rPr>
          <w:rFonts w:ascii="Microsoft Sans Serif" w:hAnsi="Microsoft Sans Serif" w:eastAsia="Calibri" w:cs="Microsoft Sans Serif"/>
          <w:sz w:val="20"/>
          <w:szCs w:val="20"/>
        </w:rPr>
        <w:t xml:space="preserve">), značajan molekularni odgovor (engl. </w:t>
      </w:r>
      <w:r>
        <w:rPr>
          <w:rFonts w:ascii="Microsoft Sans Serif" w:hAnsi="Microsoft Sans Serif" w:eastAsia="Calibri" w:cs="Microsoft Sans Serif"/>
          <w:i/>
          <w:sz w:val="20"/>
          <w:szCs w:val="20"/>
        </w:rPr>
        <w:t>major molecular response (MMR</w:t>
      </w:r>
      <w:r>
        <w:rPr>
          <w:rFonts w:ascii="Microsoft Sans Serif" w:hAnsi="Microsoft Sans Serif" w:eastAsia="Calibri" w:cs="Microsoft Sans Serif"/>
          <w:i/>
          <w:sz w:val="20"/>
          <w:szCs w:val="20"/>
          <w:lang w:val="sr-Cyrl-RS"/>
        </w:rPr>
        <w:t>)</w:t>
      </w:r>
      <w:r>
        <w:rPr>
          <w:rFonts w:ascii="Microsoft Sans Serif" w:hAnsi="Microsoft Sans Serif" w:eastAsia="Calibri" w:cs="Microsoft Sans Serif"/>
          <w:sz w:val="20"/>
          <w:szCs w:val="20"/>
        </w:rPr>
        <w:t>) i MR4,5] nije ispitivan.</w:t>
      </w:r>
    </w:p>
    <w:p w14:paraId="4D1B7CB7">
      <w:pPr>
        <w:widowControl w:val="0"/>
        <w:tabs>
          <w:tab w:val="clear" w:pos="284"/>
        </w:tabs>
        <w:rPr>
          <w:rFonts w:ascii="Microsoft Sans Serif" w:hAnsi="Microsoft Sans Serif" w:eastAsia="Calibri" w:cs="Microsoft Sans Serif"/>
          <w:sz w:val="20"/>
          <w:szCs w:val="20"/>
        </w:rPr>
      </w:pPr>
    </w:p>
    <w:p w14:paraId="41FA13E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 kliničkim ispitivanjima dasatinib</w:t>
      </w:r>
      <w:r>
        <w:rPr>
          <w:rFonts w:ascii="Microsoft Sans Serif" w:hAnsi="Microsoft Sans Serif" w:eastAsia="Calibri" w:cs="Microsoft Sans Serif"/>
          <w:sz w:val="20"/>
          <w:szCs w:val="20"/>
          <w:lang w:val="sr-Cyrl-RS"/>
        </w:rPr>
        <w:t xml:space="preserve"> se</w:t>
      </w:r>
      <w:r>
        <w:rPr>
          <w:rFonts w:ascii="Microsoft Sans Serif" w:hAnsi="Microsoft Sans Serif" w:eastAsia="Calibri" w:cs="Microsoft Sans Serif"/>
          <w:sz w:val="20"/>
          <w:szCs w:val="20"/>
        </w:rPr>
        <w:t xml:space="preserve">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primjenjivao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 xml:space="preserve">kontinuirano, kao dodatak uzastopnim blokovima osnovne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emioterapije, tokom najviše dvije godine.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podvrgnu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transplantiranju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nih</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elija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w:t>
      </w:r>
      <w:r>
        <w:rPr>
          <w:rFonts w:ascii="Microsoft Sans Serif" w:hAnsi="Microsoft Sans Serif" w:eastAsia="Calibri" w:cs="Microsoft Sans Serif"/>
          <w:sz w:val="20"/>
          <w:szCs w:val="20"/>
        </w:rPr>
        <w:t>godinu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w:t>
      </w:r>
      <w:r>
        <w:rPr>
          <w:rFonts w:ascii="Microsoft Sans Serif" w:hAnsi="Microsoft Sans Serif" w:eastAsia="Calibri" w:cs="Microsoft Sans Serif"/>
          <w:sz w:val="20"/>
          <w:szCs w:val="20"/>
          <w:lang w:val="sr-Cyrl-RS"/>
        </w:rPr>
        <w:t>.</w:t>
      </w:r>
    </w:p>
    <w:p w14:paraId="151034F1">
      <w:pPr>
        <w:widowControl w:val="0"/>
        <w:tabs>
          <w:tab w:val="clear" w:pos="284"/>
        </w:tabs>
        <w:rPr>
          <w:rFonts w:ascii="Microsoft Sans Serif" w:hAnsi="Microsoft Sans Serif" w:eastAsia="Calibri" w:cs="Microsoft Sans Serif"/>
          <w:sz w:val="20"/>
          <w:szCs w:val="20"/>
          <w:lang w:val="sr-Cyrl-RS"/>
        </w:rPr>
      </w:pPr>
    </w:p>
    <w:p w14:paraId="31DB9BC8">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 xml:space="preserve">Da bi se postigla preporučena doza, lijek Nodriga je dostupan u obliku </w:t>
      </w:r>
      <w:r>
        <w:rPr>
          <w:rFonts w:ascii="Microsoft Sans Serif" w:hAnsi="Microsoft Sans Serif" w:eastAsia="Calibri" w:cs="Microsoft Sans Serif"/>
          <w:sz w:val="20"/>
          <w:szCs w:val="20"/>
          <w:lang w:val="sr-Cyrl-RS"/>
        </w:rPr>
        <w:t>film</w:t>
      </w:r>
      <w:r>
        <w:rPr>
          <w:rFonts w:ascii="Microsoft Sans Serif" w:hAnsi="Microsoft Sans Serif" w:eastAsia="Calibri" w:cs="Microsoft Sans Serif"/>
          <w:sz w:val="20"/>
          <w:szCs w:val="20"/>
          <w:lang w:val="sv-SE"/>
        </w:rPr>
        <w:t xml:space="preserve"> tableta 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20 mg, 50 mg, 70 mg, 100 mg i 140 mg. Preporučuje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se povećanje ili smanjenje doze na </w:t>
      </w:r>
      <w:r>
        <w:rPr>
          <w:rFonts w:ascii="Microsoft Sans Serif" w:hAnsi="Microsoft Sans Serif" w:eastAsia="Calibri" w:cs="Microsoft Sans Serif"/>
          <w:sz w:val="20"/>
          <w:szCs w:val="20"/>
          <w:lang w:val="sr-Cyrl-RS"/>
        </w:rPr>
        <w:t>osnovu</w:t>
      </w:r>
      <w:r>
        <w:rPr>
          <w:rFonts w:ascii="Microsoft Sans Serif" w:hAnsi="Microsoft Sans Serif" w:eastAsia="Calibri" w:cs="Microsoft Sans Serif"/>
          <w:sz w:val="20"/>
          <w:szCs w:val="20"/>
          <w:lang w:val="sv-SE"/>
        </w:rPr>
        <w:t xml:space="preserve"> kliničkog odgovora pacijenata i podnošl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v-SE"/>
        </w:rPr>
        <w:t>ivosti lijeka.</w:t>
      </w:r>
    </w:p>
    <w:p w14:paraId="1F1FFF1F">
      <w:pPr>
        <w:widowControl w:val="0"/>
        <w:tabs>
          <w:tab w:val="clear" w:pos="284"/>
        </w:tabs>
        <w:rPr>
          <w:rFonts w:ascii="Microsoft Sans Serif" w:hAnsi="Microsoft Sans Serif" w:eastAsia="Calibri" w:cs="Microsoft Sans Serif"/>
          <w:sz w:val="20"/>
          <w:szCs w:val="20"/>
          <w:lang w:val="sv-SE"/>
        </w:rPr>
      </w:pPr>
    </w:p>
    <w:p w14:paraId="298B18BD">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Povećanje doze</w:t>
      </w:r>
    </w:p>
    <w:p w14:paraId="4743D0F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U kliničkim ispitivanjima kod odraslih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HML i Ph+ ALL povećanje doze na 140 mg jednom dnevno (hronična faza HML) ili na 180 mg jednom dnevno (uznapredovala faza HML ili Ph+ALL) bilo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lang w:val="sv-SE"/>
        </w:rPr>
        <w:t>dopušteno kod pacijenata koji nisu postigli hematološki ili citogenetski odgovor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preporučenu početnu dozu.</w:t>
      </w:r>
    </w:p>
    <w:p w14:paraId="60574691">
      <w:pPr>
        <w:widowControl w:val="0"/>
        <w:tabs>
          <w:tab w:val="clear" w:pos="284"/>
        </w:tabs>
        <w:rPr>
          <w:rFonts w:ascii="Microsoft Sans Serif" w:hAnsi="Microsoft Sans Serif" w:eastAsia="Calibri" w:cs="Microsoft Sans Serif"/>
          <w:sz w:val="20"/>
          <w:szCs w:val="20"/>
          <w:lang w:val="sv-SE"/>
        </w:rPr>
      </w:pPr>
    </w:p>
    <w:p w14:paraId="080B694A">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Sljedeća povećanja doza prikazana u Tabeli 2 preporučuje se za pedijatrijske pacijente sa Ph+ HML-HF koji ne postignu hematološki, citogenetski i molekularni odgovor u preporučenim vremenskim tačkama, prema trenutno važećim terapijskim smernicama, i koji podnose liječenje.</w:t>
      </w:r>
    </w:p>
    <w:p w14:paraId="5D9E3619">
      <w:pPr>
        <w:widowControl w:val="0"/>
        <w:tabs>
          <w:tab w:val="clear" w:pos="284"/>
        </w:tabs>
        <w:rPr>
          <w:rFonts w:ascii="Microsoft Sans Serif" w:hAnsi="Microsoft Sans Serif" w:eastAsia="Calibri" w:cs="Microsoft Sans Serif"/>
          <w:sz w:val="20"/>
          <w:szCs w:val="20"/>
          <w:lang w:val="sv-SE"/>
        </w:rPr>
      </w:pPr>
    </w:p>
    <w:p w14:paraId="5D7A40FB">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b/>
          <w:sz w:val="20"/>
          <w:szCs w:val="20"/>
          <w:lang w:val="sv-SE"/>
        </w:rPr>
        <w:t>Tabela 2: Povećanje doze za pedijatrijsku populaciju sa Ph+ HML u hroničnoj fazi</w:t>
      </w:r>
    </w:p>
    <w:tbl>
      <w:tblPr>
        <w:tblStyle w:val="12"/>
        <w:tblW w:w="0" w:type="auto"/>
        <w:tblInd w:w="0" w:type="dxa"/>
        <w:tblLayout w:type="fixed"/>
        <w:tblCellMar>
          <w:top w:w="0" w:type="dxa"/>
          <w:left w:w="0" w:type="dxa"/>
          <w:bottom w:w="0" w:type="dxa"/>
          <w:right w:w="0" w:type="dxa"/>
        </w:tblCellMar>
      </w:tblPr>
      <w:tblGrid>
        <w:gridCol w:w="2387"/>
        <w:gridCol w:w="3150"/>
        <w:gridCol w:w="3102"/>
      </w:tblGrid>
      <w:tr w14:paraId="2F1BBA78">
        <w:tblPrEx>
          <w:tblCellMar>
            <w:top w:w="0" w:type="dxa"/>
            <w:left w:w="0" w:type="dxa"/>
            <w:bottom w:w="0" w:type="dxa"/>
            <w:right w:w="0" w:type="dxa"/>
          </w:tblCellMar>
        </w:tblPrEx>
        <w:trPr>
          <w:trHeight w:val="344" w:hRule="exact"/>
        </w:trPr>
        <w:tc>
          <w:tcPr>
            <w:tcW w:w="8639" w:type="dxa"/>
            <w:gridSpan w:val="3"/>
            <w:tcBorders>
              <w:top w:val="single" w:color="000000" w:sz="4" w:space="0"/>
              <w:left w:val="nil"/>
              <w:bottom w:val="single" w:color="000000" w:sz="4" w:space="0"/>
              <w:right w:val="nil"/>
            </w:tcBorders>
          </w:tcPr>
          <w:p w14:paraId="4E18F92B">
            <w:pPr>
              <w:spacing w:before="6"/>
              <w:jc w:val="center"/>
              <w:rPr>
                <w:rFonts w:ascii="Microsoft Sans Serif" w:hAnsi="Microsoft Sans Serif" w:cs="Microsoft Sans Serif"/>
                <w:b/>
                <w:bCs/>
                <w:spacing w:val="-1"/>
                <w:w w:val="103"/>
                <w:sz w:val="20"/>
                <w:szCs w:val="20"/>
              </w:rPr>
            </w:pPr>
            <w:r>
              <w:rPr>
                <w:rFonts w:ascii="Microsoft Sans Serif" w:hAnsi="Microsoft Sans Serif" w:cs="Microsoft Sans Serif"/>
                <w:b/>
                <w:bCs/>
                <w:position w:val="-1"/>
                <w:sz w:val="20"/>
                <w:szCs w:val="20"/>
              </w:rPr>
              <w:t>Doza (maksimalna dnevna doza)</w:t>
            </w:r>
          </w:p>
        </w:tc>
      </w:tr>
      <w:tr w14:paraId="07E89B85">
        <w:tblPrEx>
          <w:tblCellMar>
            <w:top w:w="0" w:type="dxa"/>
            <w:left w:w="0" w:type="dxa"/>
            <w:bottom w:w="0" w:type="dxa"/>
            <w:right w:w="0" w:type="dxa"/>
          </w:tblCellMar>
        </w:tblPrEx>
        <w:trPr>
          <w:trHeight w:val="344" w:hRule="exact"/>
        </w:trPr>
        <w:tc>
          <w:tcPr>
            <w:tcW w:w="2387" w:type="dxa"/>
            <w:tcBorders>
              <w:top w:val="single" w:color="000000" w:sz="4" w:space="0"/>
              <w:left w:val="nil"/>
              <w:bottom w:val="single" w:color="000000" w:sz="4" w:space="0"/>
              <w:right w:val="nil"/>
            </w:tcBorders>
          </w:tcPr>
          <w:p w14:paraId="55CD4AE2">
            <w:pPr>
              <w:rPr>
                <w:rFonts w:ascii="Microsoft Sans Serif" w:hAnsi="Microsoft Sans Serif" w:cs="Microsoft Sans Serif"/>
                <w:sz w:val="20"/>
                <w:szCs w:val="20"/>
              </w:rPr>
            </w:pPr>
          </w:p>
        </w:tc>
        <w:tc>
          <w:tcPr>
            <w:tcW w:w="3150" w:type="dxa"/>
            <w:tcBorders>
              <w:top w:val="single" w:color="000000" w:sz="4" w:space="0"/>
              <w:left w:val="nil"/>
              <w:bottom w:val="single" w:color="000000" w:sz="4" w:space="0"/>
              <w:right w:val="nil"/>
            </w:tcBorders>
          </w:tcPr>
          <w:p w14:paraId="3FBEB045">
            <w:pPr>
              <w:spacing w:before="6"/>
              <w:rPr>
                <w:rFonts w:ascii="Microsoft Sans Serif" w:hAnsi="Microsoft Sans Serif" w:cs="Microsoft Sans Serif"/>
                <w:sz w:val="20"/>
                <w:szCs w:val="20"/>
              </w:rPr>
            </w:pPr>
            <w:r>
              <w:rPr>
                <w:rFonts w:ascii="Microsoft Sans Serif" w:hAnsi="Microsoft Sans Serif" w:cs="Microsoft Sans Serif"/>
                <w:b/>
                <w:bCs/>
                <w:sz w:val="20"/>
                <w:szCs w:val="20"/>
              </w:rPr>
              <w:t>Početna doza</w:t>
            </w:r>
          </w:p>
        </w:tc>
        <w:tc>
          <w:tcPr>
            <w:tcW w:w="3102" w:type="dxa"/>
            <w:tcBorders>
              <w:top w:val="single" w:color="000000" w:sz="4" w:space="0"/>
              <w:left w:val="nil"/>
              <w:bottom w:val="single" w:color="000000" w:sz="4" w:space="0"/>
              <w:right w:val="nil"/>
            </w:tcBorders>
          </w:tcPr>
          <w:p w14:paraId="117D1DB0">
            <w:pPr>
              <w:spacing w:before="6"/>
              <w:rPr>
                <w:rFonts w:ascii="Microsoft Sans Serif" w:hAnsi="Microsoft Sans Serif" w:cs="Microsoft Sans Serif"/>
                <w:sz w:val="20"/>
                <w:szCs w:val="20"/>
              </w:rPr>
            </w:pPr>
            <w:r>
              <w:rPr>
                <w:rFonts w:ascii="Microsoft Sans Serif" w:hAnsi="Microsoft Sans Serif" w:cs="Microsoft Sans Serif"/>
                <w:b/>
                <w:bCs/>
                <w:spacing w:val="-1"/>
                <w:w w:val="103"/>
                <w:sz w:val="20"/>
                <w:szCs w:val="20"/>
              </w:rPr>
              <w:t>Povećanje doze</w:t>
            </w:r>
          </w:p>
        </w:tc>
      </w:tr>
      <w:tr w14:paraId="4572BBDF">
        <w:tblPrEx>
          <w:tblCellMar>
            <w:top w:w="0" w:type="dxa"/>
            <w:left w:w="0" w:type="dxa"/>
            <w:bottom w:w="0" w:type="dxa"/>
            <w:right w:w="0" w:type="dxa"/>
          </w:tblCellMar>
        </w:tblPrEx>
        <w:trPr>
          <w:trHeight w:val="1032" w:hRule="exact"/>
        </w:trPr>
        <w:tc>
          <w:tcPr>
            <w:tcW w:w="2387" w:type="dxa"/>
            <w:tcBorders>
              <w:top w:val="single" w:color="000000" w:sz="4" w:space="0"/>
              <w:left w:val="nil"/>
              <w:bottom w:val="single" w:color="000000" w:sz="4" w:space="0"/>
              <w:right w:val="nil"/>
            </w:tcBorders>
          </w:tcPr>
          <w:p w14:paraId="01A2E1BC">
            <w:pPr>
              <w:spacing w:before="6"/>
              <w:rPr>
                <w:rFonts w:ascii="Microsoft Sans Serif" w:hAnsi="Microsoft Sans Serif" w:cs="Microsoft Sans Serif"/>
                <w:sz w:val="20"/>
                <w:szCs w:val="20"/>
              </w:rPr>
            </w:pPr>
            <w:r>
              <w:rPr>
                <w:rFonts w:ascii="Microsoft Sans Serif" w:hAnsi="Microsoft Sans Serif" w:cs="Microsoft Sans Serif"/>
                <w:b/>
                <w:bCs/>
                <w:w w:val="103"/>
                <w:sz w:val="20"/>
                <w:szCs w:val="20"/>
              </w:rPr>
              <w:t>Tablete</w:t>
            </w:r>
          </w:p>
        </w:tc>
        <w:tc>
          <w:tcPr>
            <w:tcW w:w="3150" w:type="dxa"/>
            <w:tcBorders>
              <w:top w:val="single" w:color="000000" w:sz="4" w:space="0"/>
              <w:left w:val="nil"/>
              <w:bottom w:val="single" w:color="000000" w:sz="4" w:space="0"/>
              <w:right w:val="nil"/>
            </w:tcBorders>
          </w:tcPr>
          <w:p w14:paraId="60BAA769">
            <w:pPr>
              <w:spacing w:before="5"/>
              <w:rPr>
                <w:rFonts w:ascii="Microsoft Sans Serif" w:hAnsi="Microsoft Sans Serif" w:cs="Microsoft Sans Serif"/>
                <w:sz w:val="20"/>
                <w:szCs w:val="20"/>
              </w:rPr>
            </w:pPr>
            <w:r>
              <w:rPr>
                <w:rFonts w:ascii="Microsoft Sans Serif" w:hAnsi="Microsoft Sans Serif" w:cs="Microsoft Sans Serif"/>
                <w:sz w:val="20"/>
                <w:szCs w:val="20"/>
              </w:rPr>
              <w:t>40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73B5573C">
            <w:pPr>
              <w:spacing w:before="9"/>
              <w:rPr>
                <w:rFonts w:ascii="Microsoft Sans Serif" w:hAnsi="Microsoft Sans Serif" w:cs="Microsoft Sans Serif"/>
                <w:sz w:val="20"/>
                <w:szCs w:val="20"/>
              </w:rPr>
            </w:pPr>
            <w:r>
              <w:rPr>
                <w:rFonts w:ascii="Microsoft Sans Serif" w:hAnsi="Microsoft Sans Serif" w:cs="Microsoft Sans Serif"/>
                <w:sz w:val="20"/>
                <w:szCs w:val="20"/>
              </w:rPr>
              <w:t>60</w:t>
            </w:r>
            <w:r>
              <w:rPr>
                <w:rFonts w:ascii="Microsoft Sans Serif" w:hAnsi="Microsoft Sans Serif" w:cs="Microsoft Sans Serif"/>
                <w:spacing w:val="10"/>
                <w:sz w:val="20"/>
                <w:szCs w:val="20"/>
              </w:rPr>
              <w:t xml:space="preserve"> </w:t>
            </w:r>
            <w:r>
              <w:rPr>
                <w:rFonts w:ascii="Microsoft Sans Serif" w:hAnsi="Microsoft Sans Serif" w:cs="Microsoft Sans Serif"/>
                <w:spacing w:val="-1"/>
                <w:w w:val="103"/>
                <w:sz w:val="20"/>
                <w:szCs w:val="20"/>
              </w:rPr>
              <w:t>m</w:t>
            </w:r>
            <w:r>
              <w:rPr>
                <w:rFonts w:ascii="Microsoft Sans Serif" w:hAnsi="Microsoft Sans Serif" w:cs="Microsoft Sans Serif"/>
                <w:w w:val="103"/>
                <w:sz w:val="20"/>
                <w:szCs w:val="20"/>
              </w:rPr>
              <w:t>g</w:t>
            </w:r>
          </w:p>
          <w:p w14:paraId="0EE09A47">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w w:val="103"/>
                <w:sz w:val="20"/>
                <w:szCs w:val="20"/>
              </w:rPr>
              <w:t>mg</w:t>
            </w:r>
          </w:p>
          <w:p w14:paraId="598B4479">
            <w:pPr>
              <w:spacing w:before="7"/>
              <w:rPr>
                <w:rFonts w:ascii="Microsoft Sans Serif" w:hAnsi="Microsoft Sans Serif" w:cs="Microsoft Sans Serif"/>
                <w:sz w:val="20"/>
                <w:szCs w:val="20"/>
              </w:rPr>
            </w:pPr>
            <w:r>
              <w:rPr>
                <w:rFonts w:ascii="Microsoft Sans Serif" w:hAnsi="Microsoft Sans Serif" w:cs="Microsoft Sans Serif"/>
                <w:w w:val="103"/>
                <w:sz w:val="20"/>
                <w:szCs w:val="20"/>
              </w:rPr>
              <w:t>100 mg</w:t>
            </w:r>
          </w:p>
        </w:tc>
        <w:tc>
          <w:tcPr>
            <w:tcW w:w="3102" w:type="dxa"/>
            <w:tcBorders>
              <w:top w:val="single" w:color="000000" w:sz="4" w:space="0"/>
              <w:left w:val="nil"/>
              <w:bottom w:val="single" w:color="000000" w:sz="4" w:space="0"/>
              <w:right w:val="nil"/>
            </w:tcBorders>
          </w:tcPr>
          <w:p w14:paraId="4ECEB604">
            <w:pPr>
              <w:spacing w:before="5"/>
              <w:rPr>
                <w:rFonts w:ascii="Microsoft Sans Serif" w:hAnsi="Microsoft Sans Serif" w:cs="Microsoft Sans Serif"/>
                <w:sz w:val="20"/>
                <w:szCs w:val="20"/>
              </w:rPr>
            </w:pPr>
            <w:r>
              <w:rPr>
                <w:rFonts w:ascii="Microsoft Sans Serif" w:hAnsi="Microsoft Sans Serif" w:cs="Microsoft Sans Serif"/>
                <w:sz w:val="20"/>
                <w:szCs w:val="20"/>
              </w:rPr>
              <w:t>50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B298C0B">
            <w:pPr>
              <w:spacing w:before="9"/>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33EE84F9">
            <w:pPr>
              <w:spacing w:before="7"/>
              <w:rPr>
                <w:rFonts w:ascii="Microsoft Sans Serif" w:hAnsi="Microsoft Sans Serif" w:cs="Microsoft Sans Serif"/>
                <w:w w:val="103"/>
                <w:sz w:val="20"/>
                <w:szCs w:val="20"/>
              </w:rPr>
            </w:pPr>
            <w:r>
              <w:rPr>
                <w:rFonts w:ascii="Microsoft Sans Serif" w:hAnsi="Microsoft Sans Serif" w:cs="Microsoft Sans Serif"/>
                <w:sz w:val="20"/>
                <w:szCs w:val="20"/>
              </w:rPr>
              <w:t>90</w:t>
            </w:r>
            <w:r>
              <w:rPr>
                <w:rFonts w:ascii="Microsoft Sans Serif" w:hAnsi="Microsoft Sans Serif" w:cs="Microsoft Sans Serif"/>
                <w:spacing w:val="10"/>
                <w:sz w:val="20"/>
                <w:szCs w:val="20"/>
              </w:rPr>
              <w:t xml:space="preserve"> </w:t>
            </w:r>
            <w:r>
              <w:rPr>
                <w:rFonts w:ascii="Microsoft Sans Serif" w:hAnsi="Microsoft Sans Serif" w:cs="Microsoft Sans Serif"/>
                <w:spacing w:val="-2"/>
                <w:w w:val="103"/>
                <w:sz w:val="20"/>
                <w:szCs w:val="20"/>
              </w:rPr>
              <w:t>m</w:t>
            </w:r>
            <w:r>
              <w:rPr>
                <w:rFonts w:ascii="Microsoft Sans Serif" w:hAnsi="Microsoft Sans Serif" w:cs="Microsoft Sans Serif"/>
                <w:w w:val="103"/>
                <w:sz w:val="20"/>
                <w:szCs w:val="20"/>
              </w:rPr>
              <w:t>g</w:t>
            </w:r>
          </w:p>
          <w:p w14:paraId="60700B6A">
            <w:pPr>
              <w:spacing w:before="7"/>
              <w:rPr>
                <w:rFonts w:ascii="Microsoft Sans Serif" w:hAnsi="Microsoft Sans Serif" w:cs="Microsoft Sans Serif"/>
                <w:w w:val="103"/>
                <w:sz w:val="20"/>
                <w:szCs w:val="20"/>
              </w:rPr>
            </w:pPr>
            <w:r>
              <w:rPr>
                <w:rFonts w:ascii="Microsoft Sans Serif" w:hAnsi="Microsoft Sans Serif" w:cs="Microsoft Sans Serif"/>
                <w:w w:val="103"/>
                <w:sz w:val="20"/>
                <w:szCs w:val="20"/>
              </w:rPr>
              <w:t>120 mg</w:t>
            </w:r>
          </w:p>
        </w:tc>
      </w:tr>
    </w:tbl>
    <w:p w14:paraId="6DF2F3C4">
      <w:pPr>
        <w:widowControl w:val="0"/>
        <w:tabs>
          <w:tab w:val="clear" w:pos="284"/>
        </w:tabs>
        <w:rPr>
          <w:rFonts w:ascii="Microsoft Sans Serif" w:hAnsi="Microsoft Sans Serif" w:eastAsia="Calibri" w:cs="Microsoft Sans Serif"/>
          <w:sz w:val="20"/>
          <w:szCs w:val="20"/>
          <w:lang w:val="sr-Cyrl-RS"/>
        </w:rPr>
      </w:pPr>
    </w:p>
    <w:p w14:paraId="38B64A6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tih</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w:t>
      </w:r>
    </w:p>
    <w:p w14:paraId="4450A9EE">
      <w:pPr>
        <w:widowControl w:val="0"/>
        <w:tabs>
          <w:tab w:val="clear" w:pos="284"/>
        </w:tabs>
        <w:rPr>
          <w:rFonts w:ascii="Microsoft Sans Serif" w:hAnsi="Microsoft Sans Serif" w:eastAsia="Calibri" w:cs="Microsoft Sans Serif"/>
          <w:sz w:val="20"/>
          <w:szCs w:val="20"/>
          <w:lang w:val="sr-Cyrl-RS"/>
        </w:rPr>
      </w:pPr>
    </w:p>
    <w:p w14:paraId="20BFAFCD">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Prilago</w:t>
      </w:r>
      <w:r>
        <w:rPr>
          <w:rFonts w:ascii="Microsoft Sans Serif" w:hAnsi="Microsoft Sans Serif" w:eastAsia="Calibri" w:cs="Microsoft Sans Serif"/>
          <w:sz w:val="20"/>
          <w:szCs w:val="20"/>
          <w:u w:val="single"/>
          <w:lang w:val="sr-Cyrl-RS"/>
        </w:rPr>
        <w:t>đ</w:t>
      </w:r>
      <w:r>
        <w:rPr>
          <w:rFonts w:ascii="Microsoft Sans Serif" w:hAnsi="Microsoft Sans Serif" w:eastAsia="Calibri" w:cs="Microsoft Sans Serif"/>
          <w:sz w:val="20"/>
          <w:szCs w:val="20"/>
          <w:u w:val="single"/>
        </w:rPr>
        <w:t>avanje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doze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lijeka</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zbog</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enih</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reakcija</w:t>
      </w:r>
    </w:p>
    <w:p w14:paraId="74C80E9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Mijelosupresija</w:t>
      </w:r>
    </w:p>
    <w:p w14:paraId="2E067B1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w:t>
      </w:r>
      <w:r>
        <w:rPr>
          <w:rFonts w:ascii="Microsoft Sans Serif" w:hAnsi="Microsoft Sans Serif" w:eastAsia="Calibri" w:cs="Microsoft Sans Serif"/>
          <w:sz w:val="20"/>
          <w:szCs w:val="20"/>
          <w:lang w:val="sr-Cyrl-RS"/>
        </w:rPr>
        <w:t xml:space="preserve">om se upravlјala prekidom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mk-MK"/>
        </w:rPr>
        <w:t xml:space="preserve"> ukidanjem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Cyrl-RS"/>
        </w:rPr>
        <w:t xml:space="preserve">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transfuzija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eritrocita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potrebi</w:t>
      </w:r>
      <w:r>
        <w:rPr>
          <w:rFonts w:ascii="Microsoft Sans Serif" w:hAnsi="Microsoft Sans Serif" w:eastAsia="Calibri" w:cs="Microsoft Sans Serif"/>
          <w:sz w:val="20"/>
          <w:szCs w:val="20"/>
          <w:lang w:val="sr-Cyrl-RS"/>
        </w:rPr>
        <w:t>.</w:t>
      </w:r>
    </w:p>
    <w:p w14:paraId="49ABD39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Hematopoetski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primjenjivan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rezistentnom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mijelosupresijom</w:t>
      </w:r>
      <w:r>
        <w:rPr>
          <w:rFonts w:ascii="Microsoft Sans Serif" w:hAnsi="Microsoft Sans Serif" w:eastAsia="Calibri" w:cs="Microsoft Sans Serif"/>
          <w:sz w:val="20"/>
          <w:szCs w:val="20"/>
          <w:lang w:val="sr-Cyrl-RS"/>
        </w:rPr>
        <w:t>.</w:t>
      </w:r>
    </w:p>
    <w:p w14:paraId="5FE19D06">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sumirane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HF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Smjernice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navedene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zasebnom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odlomku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tabela</w:t>
      </w:r>
      <w:r>
        <w:rPr>
          <w:rFonts w:ascii="Microsoft Sans Serif" w:hAnsi="Microsoft Sans Serif" w:eastAsia="Calibri" w:cs="Microsoft Sans Serif"/>
          <w:sz w:val="20"/>
          <w:szCs w:val="20"/>
          <w:lang w:val="sr-Cyrl-RS"/>
        </w:rPr>
        <w:t>.</w:t>
      </w:r>
    </w:p>
    <w:p w14:paraId="1EA82AF6">
      <w:pPr>
        <w:widowControl w:val="0"/>
        <w:tabs>
          <w:tab w:val="left" w:pos="1300"/>
          <w:tab w:val="clear" w:pos="284"/>
        </w:tabs>
        <w:rPr>
          <w:rFonts w:ascii="Microsoft Sans Serif" w:hAnsi="Microsoft Sans Serif" w:cs="Microsoft Sans Serif"/>
          <w:b/>
          <w:bCs/>
          <w:sz w:val="20"/>
          <w:szCs w:val="20"/>
          <w:lang w:val="sr-Cyrl-RS"/>
        </w:rPr>
      </w:pPr>
    </w:p>
    <w:p w14:paraId="3484DE15">
      <w:pPr>
        <w:widowControl w:val="0"/>
        <w:tabs>
          <w:tab w:val="left" w:pos="1300"/>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3</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Prilago</w:t>
      </w:r>
      <w:r>
        <w:rPr>
          <w:rFonts w:ascii="Microsoft Sans Serif" w:hAnsi="Microsoft Sans Serif" w:cs="Microsoft Sans Serif"/>
          <w:b/>
          <w:sz w:val="20"/>
          <w:szCs w:val="20"/>
          <w:lang w:val="sr-Cyrl-RS"/>
        </w:rPr>
        <w:t>đ</w:t>
      </w:r>
      <w:r>
        <w:rPr>
          <w:rFonts w:ascii="Microsoft Sans Serif" w:hAnsi="Microsoft Sans Serif" w:cs="Microsoft Sans Serif"/>
          <w:b/>
          <w:sz w:val="20"/>
          <w:szCs w:val="20"/>
        </w:rPr>
        <w:t>avanje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doze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zbog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neutropenije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trombocitopenije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odraslih</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517"/>
        <w:gridCol w:w="4506"/>
      </w:tblGrid>
      <w:tr w14:paraId="47D1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29DB5637">
            <w:pPr>
              <w:widowControl w:val="0"/>
              <w:tabs>
                <w:tab w:val="left" w:pos="130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Odrasli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w:t>
            </w:r>
          </w:p>
        </w:tc>
        <w:tc>
          <w:tcPr>
            <w:tcW w:w="2517" w:type="dxa"/>
          </w:tcPr>
          <w:p w14:paraId="5E8745EF">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 xml:space="preserve">/l </w:t>
            </w:r>
            <w:r>
              <w:rPr>
                <w:rFonts w:ascii="Microsoft Sans Serif" w:hAnsi="Microsoft Sans Serif" w:eastAsia="Calibri" w:cs="Microsoft Sans Serif"/>
                <w:sz w:val="20"/>
                <w:szCs w:val="20"/>
                <w:lang w:val="hr-BA"/>
              </w:rPr>
              <w:t>i/ili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trombociti</w:t>
            </w:r>
            <w:r>
              <w:rPr>
                <w:rFonts w:ascii="Microsoft Sans Serif" w:hAnsi="Microsoft Sans Serif" w:eastAsia="Calibri" w:cs="Microsoft Sans Serif"/>
                <w:sz w:val="20"/>
                <w:szCs w:val="20"/>
                <w:lang w:val="sr-Cyrl-RS"/>
              </w:rPr>
              <w:t xml:space="preserve"> &lt; 50 </w:t>
            </w:r>
            <w:r>
              <w:rPr>
                <w:rFonts w:ascii="Microsoft Sans Serif" w:hAnsi="Microsoft Sans Serif" w:eastAsia="Calibri" w:cs="Microsoft Sans Serif"/>
                <w:sz w:val="20"/>
                <w:szCs w:val="20"/>
              </w:rPr>
              <w:t>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lang w:val="sr-Latn-ME"/>
              </w:rPr>
              <w:t>/l</w:t>
            </w:r>
          </w:p>
        </w:tc>
        <w:tc>
          <w:tcPr>
            <w:tcW w:w="4506" w:type="dxa"/>
          </w:tcPr>
          <w:p w14:paraId="2DAF1FB2">
            <w:pPr>
              <w:widowControl w:val="0"/>
              <w:tabs>
                <w:tab w:val="left" w:pos="1300"/>
                <w:tab w:val="clear" w:pos="284"/>
              </w:tabs>
              <w:contextualSpacing/>
              <w:rPr>
                <w:rFonts w:ascii="Microsoft Sans Serif" w:hAnsi="Microsoft Sans Serif" w:eastAsia="Calibri" w:cs="Microsoft Sans Serif"/>
                <w:sz w:val="20"/>
                <w:szCs w:val="20"/>
                <w:lang w:val="fr-FR"/>
              </w:rPr>
            </w:pPr>
            <w:r>
              <w:rPr>
                <w:rFonts w:ascii="Microsoft Sans Serif" w:hAnsi="Microsoft Sans Serif" w:eastAsia="Calibri" w:cs="Microsoft Sans Serif"/>
                <w:sz w:val="20"/>
                <w:szCs w:val="20"/>
                <w:lang w:val="fr-FR"/>
              </w:rPr>
              <w:t xml:space="preserve">1. Prekinuti terapiju dok ANC ne bude </w:t>
            </w:r>
            <w:r>
              <w:rPr>
                <w:rFonts w:ascii="Microsoft Sans Serif" w:hAnsi="Microsoft Sans Serif" w:eastAsia="Calibri" w:cs="Microsoft Sans Serif"/>
                <w:sz w:val="20"/>
                <w:szCs w:val="20"/>
                <w:lang w:val="sr-Cyrl-RS"/>
              </w:rPr>
              <w:t>≥ 1.0</w:t>
            </w:r>
            <w:r>
              <w:rPr>
                <w:rFonts w:ascii="Microsoft Sans Serif" w:hAnsi="Microsoft Sans Serif" w:eastAsia="Calibri" w:cs="Microsoft Sans Serif"/>
                <w:sz w:val="20"/>
                <w:szCs w:val="20"/>
                <w:lang w:val="fr-FR"/>
              </w:rPr>
              <w:t xml:space="preserve"> 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 xml:space="preserve">/l i trombociti </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hr-BA"/>
              </w:rPr>
              <w:t xml:space="preserve"> 50 </w:t>
            </w:r>
            <w:r>
              <w:rPr>
                <w:rFonts w:ascii="Microsoft Sans Serif" w:hAnsi="Microsoft Sans Serif" w:eastAsia="Calibri" w:cs="Microsoft Sans Serif"/>
                <w:sz w:val="20"/>
                <w:szCs w:val="20"/>
                <w:lang w:val="fr-FR"/>
              </w:rPr>
              <w:t>x 10</w:t>
            </w:r>
            <w:r>
              <w:rPr>
                <w:rFonts w:ascii="Microsoft Sans Serif" w:hAnsi="Microsoft Sans Serif" w:eastAsia="Calibri" w:cs="Microsoft Sans Serif"/>
                <w:sz w:val="20"/>
                <w:szCs w:val="20"/>
                <w:vertAlign w:val="superscript"/>
                <w:lang w:val="fr-FR"/>
              </w:rPr>
              <w:t>9</w:t>
            </w:r>
            <w:r>
              <w:rPr>
                <w:rFonts w:ascii="Microsoft Sans Serif" w:hAnsi="Microsoft Sans Serif" w:eastAsia="Calibri" w:cs="Microsoft Sans Serif"/>
                <w:sz w:val="20"/>
                <w:szCs w:val="20"/>
                <w:lang w:val="fr-FR"/>
              </w:rPr>
              <w:t>/l</w:t>
            </w:r>
          </w:p>
          <w:p w14:paraId="4B40BDF6">
            <w:pPr>
              <w:widowControl w:val="0"/>
              <w:tabs>
                <w:tab w:val="left" w:pos="1300"/>
                <w:tab w:val="clear" w:pos="284"/>
              </w:tabs>
              <w:contextualSpacing/>
              <w:rPr>
                <w:rFonts w:ascii="Microsoft Sans Serif" w:hAnsi="Microsoft Sans Serif" w:eastAsia="Calibri" w:cs="Microsoft Sans Serif"/>
                <w:sz w:val="20"/>
                <w:szCs w:val="20"/>
                <w:lang w:val="fr-FR"/>
              </w:rPr>
            </w:pPr>
          </w:p>
          <w:p w14:paraId="2B8264D7">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2. Nastaviti liječenje dozom kojom se i započelo</w:t>
            </w:r>
          </w:p>
          <w:p w14:paraId="6EE5E01E">
            <w:pPr>
              <w:widowControl w:val="0"/>
              <w:tabs>
                <w:tab w:val="left" w:pos="1300"/>
                <w:tab w:val="clear" w:pos="284"/>
              </w:tabs>
              <w:contextualSpacing/>
              <w:rPr>
                <w:rFonts w:ascii="Microsoft Sans Serif" w:hAnsi="Microsoft Sans Serif" w:eastAsia="Calibri" w:cs="Microsoft Sans Serif"/>
                <w:sz w:val="20"/>
                <w:szCs w:val="20"/>
                <w:lang w:val="sv-SE"/>
              </w:rPr>
            </w:pPr>
          </w:p>
          <w:p w14:paraId="0692C662">
            <w:pPr>
              <w:widowControl w:val="0"/>
              <w:tabs>
                <w:tab w:val="left" w:pos="1300"/>
                <w:tab w:val="clear" w:pos="284"/>
              </w:tabs>
              <w:contextualSpacing/>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sv-SE"/>
              </w:rPr>
              <w:t>3. Ako su trombociti &lt; 25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i/ili se ANC smanjijo na &lt; 0.5 x 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tokom &gt; 7 dana ponoviti 1. korak, a terapiju nastaviti smanjenom dozom od 80 mg jednom dnevno za drugu epizodu. Kod treće epizode potrebno je dalje smanjenje doze na 50 mg jednom dnevno (za novodijagnostifikovane pacijente) ili prekidanje terapije (kod pacijenata koji ne podnose ili su rezistentni na prethodnu terapiju uključujući terapiju imatinibom).</w:t>
            </w:r>
          </w:p>
        </w:tc>
      </w:tr>
      <w:tr w14:paraId="055E8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3" w:type="dxa"/>
          </w:tcPr>
          <w:p w14:paraId="541E554E">
            <w:pPr>
              <w:widowControl w:val="0"/>
              <w:tabs>
                <w:tab w:val="left" w:pos="1300"/>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Odrasli u fazi ubrzanja i blastnoj fazi HML i Ph+ALL (početna doza od 140 mg 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dnevno)</w:t>
            </w:r>
          </w:p>
        </w:tc>
        <w:tc>
          <w:tcPr>
            <w:tcW w:w="2517" w:type="dxa"/>
          </w:tcPr>
          <w:p w14:paraId="2ABB6FF9">
            <w:pPr>
              <w:widowControl w:val="0"/>
              <w:tabs>
                <w:tab w:val="left" w:pos="1300"/>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ANC &lt; 0.5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i/ili trombociti &lt;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w:t>
            </w:r>
          </w:p>
        </w:tc>
        <w:tc>
          <w:tcPr>
            <w:tcW w:w="4506" w:type="dxa"/>
          </w:tcPr>
          <w:p w14:paraId="73C366BD">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1</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Provjeriti povezanost citopenije s</w:t>
            </w:r>
            <w:r>
              <w:rPr>
                <w:rFonts w:ascii="Microsoft Sans Serif" w:hAnsi="Microsoft Sans Serif" w:eastAsia="Calibri" w:cs="Microsoft Sans Serif"/>
                <w:sz w:val="20"/>
                <w:szCs w:val="20"/>
                <w:lang w:val="sr-Cyrl-RS"/>
              </w:rPr>
              <w:t>a</w:t>
            </w:r>
          </w:p>
          <w:p w14:paraId="5CBC8888">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(aspirat ili biopsija koštane</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rPr>
              <w:t>srži).</w:t>
            </w:r>
          </w:p>
          <w:p w14:paraId="47CEA0EC">
            <w:pPr>
              <w:widowControl w:val="0"/>
              <w:tabs>
                <w:tab w:val="left" w:pos="1300"/>
                <w:tab w:val="clear" w:pos="284"/>
              </w:tabs>
              <w:contextualSpacing/>
              <w:rPr>
                <w:rFonts w:ascii="Microsoft Sans Serif" w:hAnsi="Microsoft Sans Serif" w:eastAsia="Calibri" w:cs="Microsoft Sans Serif"/>
                <w:sz w:val="20"/>
                <w:szCs w:val="20"/>
              </w:rPr>
            </w:pPr>
          </w:p>
          <w:p w14:paraId="5D005D91">
            <w:pPr>
              <w:widowControl w:val="0"/>
              <w:tabs>
                <w:tab w:val="left" w:pos="1300"/>
                <w:tab w:val="clear" w:pos="284"/>
              </w:tabs>
              <w:contextualSpacing/>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2</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Ako citopenija nije povezana s</w:t>
            </w:r>
            <w:r>
              <w:rPr>
                <w:rFonts w:ascii="Microsoft Sans Serif" w:hAnsi="Microsoft Sans Serif" w:eastAsia="Calibri" w:cs="Microsoft Sans Serif"/>
                <w:sz w:val="20"/>
                <w:szCs w:val="20"/>
                <w:lang w:val="sr-Cyrl-RS"/>
              </w:rPr>
              <w:t>a</w:t>
            </w:r>
          </w:p>
          <w:p w14:paraId="476EED8B">
            <w:pPr>
              <w:widowControl w:val="0"/>
              <w:tabs>
                <w:tab w:val="left" w:pos="1300"/>
                <w:tab w:val="clear" w:pos="284"/>
              </w:tabs>
              <w:contextualSpacing/>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leukemijom, prekinuti liječenje dok A</w:t>
            </w:r>
            <w:r>
              <w:rPr>
                <w:rFonts w:ascii="Microsoft Sans Serif" w:hAnsi="Microsoft Sans Serif" w:eastAsia="Calibri" w:cs="Microsoft Sans Serif"/>
                <w:sz w:val="20"/>
                <w:szCs w:val="20"/>
                <w:lang w:val="sr-Latn-RS"/>
              </w:rPr>
              <w:t>NC</w:t>
            </w:r>
            <w:r>
              <w:rPr>
                <w:rFonts w:ascii="Microsoft Sans Serif" w:hAnsi="Microsoft Sans Serif" w:eastAsia="Calibri" w:cs="Microsoft Sans Serif"/>
                <w:sz w:val="20"/>
                <w:szCs w:val="20"/>
              </w:rPr>
              <w:t xml:space="preserve"> ne bude ≥ 1,0 x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i trombociti ≥ 20 x</w:t>
            </w:r>
          </w:p>
          <w:p w14:paraId="059BD9C5">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10</w:t>
            </w:r>
            <w:r>
              <w:rPr>
                <w:rFonts w:ascii="Microsoft Sans Serif" w:hAnsi="Microsoft Sans Serif" w:eastAsia="Calibri" w:cs="Microsoft Sans Serif"/>
                <w:sz w:val="20"/>
                <w:szCs w:val="20"/>
                <w:vertAlign w:val="superscript"/>
                <w:lang w:val="sv-SE"/>
              </w:rPr>
              <w:t>9</w:t>
            </w:r>
            <w:r>
              <w:rPr>
                <w:rFonts w:ascii="Microsoft Sans Serif" w:hAnsi="Microsoft Sans Serif" w:eastAsia="Calibri" w:cs="Microsoft Sans Serif"/>
                <w:sz w:val="20"/>
                <w:szCs w:val="20"/>
                <w:lang w:val="sv-SE"/>
              </w:rPr>
              <w:t>/l pa nastaviti liječenje dozom kojom</w:t>
            </w:r>
          </w:p>
          <w:p w14:paraId="46FE201A">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se i započelo.</w:t>
            </w:r>
          </w:p>
          <w:p w14:paraId="1E224E81">
            <w:pPr>
              <w:widowControl w:val="0"/>
              <w:tabs>
                <w:tab w:val="left" w:pos="1300"/>
                <w:tab w:val="clear" w:pos="284"/>
              </w:tabs>
              <w:contextualSpacing/>
              <w:rPr>
                <w:rFonts w:ascii="Microsoft Sans Serif" w:hAnsi="Microsoft Sans Serif" w:eastAsia="Calibri" w:cs="Microsoft Sans Serif"/>
                <w:sz w:val="20"/>
                <w:szCs w:val="20"/>
                <w:lang w:val="sv-SE"/>
              </w:rPr>
            </w:pPr>
          </w:p>
          <w:p w14:paraId="66049AAE">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3</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se ponovo javi citopenija, ponoviti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 xml:space="preserve">1. korak, a liječenje nastaviti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lang w:val="sv-SE"/>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lang w:val="sv-SE"/>
              </w:rPr>
              <w:t>om 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od 100 mg jednom dnevno</w:t>
            </w:r>
            <w:r>
              <w:rPr>
                <w:rFonts w:ascii="Microsoft Sans Serif" w:hAnsi="Microsoft Sans Serif" w:eastAsia="Calibri" w:cs="Microsoft Sans Serif"/>
                <w:sz w:val="20"/>
                <w:szCs w:val="20"/>
                <w:lang w:val="mk-MK"/>
              </w:rPr>
              <w:t xml:space="preserve"> </w:t>
            </w:r>
            <w:r>
              <w:rPr>
                <w:rFonts w:ascii="Microsoft Sans Serif" w:hAnsi="Microsoft Sans Serif" w:eastAsia="Calibri" w:cs="Microsoft Sans Serif"/>
                <w:sz w:val="20"/>
                <w:szCs w:val="20"/>
                <w:lang w:val="sv-SE"/>
              </w:rPr>
              <w:t>(druga epizoda) ili 80 mg jednom</w:t>
            </w:r>
          </w:p>
          <w:p w14:paraId="59AEF29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dnevno (treća epizoda).</w:t>
            </w:r>
          </w:p>
          <w:p w14:paraId="279E05A4">
            <w:pPr>
              <w:widowControl w:val="0"/>
              <w:tabs>
                <w:tab w:val="left" w:pos="1300"/>
                <w:tab w:val="clear" w:pos="284"/>
              </w:tabs>
              <w:contextualSpacing/>
              <w:rPr>
                <w:rFonts w:ascii="Microsoft Sans Serif" w:hAnsi="Microsoft Sans Serif" w:eastAsia="Calibri" w:cs="Microsoft Sans Serif"/>
                <w:sz w:val="20"/>
                <w:szCs w:val="20"/>
                <w:lang w:val="sv-SE"/>
              </w:rPr>
            </w:pPr>
          </w:p>
          <w:p w14:paraId="744B3C8B">
            <w:pPr>
              <w:widowControl w:val="0"/>
              <w:tabs>
                <w:tab w:val="left" w:pos="1300"/>
                <w:tab w:val="clear" w:pos="284"/>
              </w:tabs>
              <w:contextualSpacing/>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4</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v-SE"/>
              </w:rPr>
              <w:t xml:space="preserve"> Ako je citopenija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leukemijom,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razmotriti postepeno povećanje doze 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180 mg jednom dnevno.</w:t>
            </w:r>
          </w:p>
        </w:tc>
      </w:tr>
    </w:tbl>
    <w:p w14:paraId="15F236B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ANC: </w:t>
      </w:r>
      <w:r>
        <w:rPr>
          <w:rFonts w:ascii="Microsoft Sans Serif" w:hAnsi="Microsoft Sans Serif" w:cs="Microsoft Sans Serif"/>
          <w:sz w:val="20"/>
          <w:szCs w:val="20"/>
          <w:lang w:val="sr-Cyrl-RS"/>
        </w:rPr>
        <w:t xml:space="preserve">apsolutni broj neutrofila (engl. </w:t>
      </w:r>
      <w:r>
        <w:rPr>
          <w:rFonts w:ascii="Microsoft Sans Serif" w:hAnsi="Microsoft Sans Serif" w:cs="Microsoft Sans Serif"/>
          <w:i/>
          <w:sz w:val="20"/>
          <w:szCs w:val="20"/>
          <w:lang w:val="sv-SE"/>
        </w:rPr>
        <w:t>absolute neutrophil count</w:t>
      </w:r>
      <w:r>
        <w:rPr>
          <w:rFonts w:ascii="Microsoft Sans Serif" w:hAnsi="Microsoft Sans Serif" w:cs="Microsoft Sans Serif"/>
          <w:sz w:val="20"/>
          <w:szCs w:val="20"/>
          <w:lang w:val="sr-Cyrl-RS"/>
        </w:rPr>
        <w:t>)</w:t>
      </w:r>
    </w:p>
    <w:p w14:paraId="11A62924">
      <w:pPr>
        <w:widowControl w:val="0"/>
        <w:tabs>
          <w:tab w:val="clear" w:pos="284"/>
        </w:tabs>
        <w:rPr>
          <w:rFonts w:ascii="Microsoft Sans Serif" w:hAnsi="Microsoft Sans Serif" w:cs="Microsoft Sans Serif"/>
          <w:sz w:val="20"/>
          <w:szCs w:val="20"/>
          <w:lang w:val="sr-Latn-RS"/>
        </w:rPr>
      </w:pPr>
    </w:p>
    <w:p w14:paraId="3A8A7BA8">
      <w:pPr>
        <w:widowControl w:val="0"/>
        <w:tabs>
          <w:tab w:val="clear" w:pos="284"/>
        </w:tabs>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Tabela 4: Prilagođavanje doze zbog neutropenije i trombocitopenije kod pedijatrijske populacije sa</w:t>
      </w:r>
    </w:p>
    <w:p w14:paraId="1A6BFB7C">
      <w:pPr>
        <w:widowControl w:val="0"/>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Ph+ HML u hroničnoj fazi</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912"/>
        <w:gridCol w:w="1696"/>
        <w:gridCol w:w="1625"/>
        <w:gridCol w:w="1779"/>
      </w:tblGrid>
      <w:tr w14:paraId="7FDA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restart"/>
          </w:tcPr>
          <w:p w14:paraId="095852F2">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1. Ako citopenija traje duže od 3 nedelje, proveriti da li je povezana sa leukemijom (aspirat ili biopsija koštane</w:t>
            </w:r>
          </w:p>
          <w:p w14:paraId="1C72B76D">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srži).</w:t>
            </w:r>
          </w:p>
          <w:p w14:paraId="5C7B7B7E">
            <w:pPr>
              <w:pStyle w:val="29"/>
              <w:spacing w:before="37"/>
              <w:ind w:left="330"/>
              <w:rPr>
                <w:rFonts w:ascii="Microsoft Sans Serif" w:hAnsi="Microsoft Sans Serif" w:eastAsia="Times New Roman" w:cs="Microsoft Sans Serif"/>
                <w:w w:val="103"/>
                <w:sz w:val="20"/>
                <w:szCs w:val="20"/>
              </w:rPr>
            </w:pPr>
          </w:p>
          <w:p w14:paraId="67555677">
            <w:pPr>
              <w:pStyle w:val="29"/>
              <w:spacing w:before="37"/>
              <w:ind w:left="330"/>
              <w:rPr>
                <w:rFonts w:ascii="Microsoft Sans Serif" w:hAnsi="Microsoft Sans Serif" w:eastAsia="Times New Roman" w:cs="Microsoft Sans Serif"/>
                <w:w w:val="103"/>
                <w:sz w:val="20"/>
                <w:szCs w:val="20"/>
              </w:rPr>
            </w:pPr>
            <w:r>
              <w:rPr>
                <w:rFonts w:ascii="Microsoft Sans Serif" w:hAnsi="Microsoft Sans Serif" w:eastAsia="Times New Roman" w:cs="Microsoft Sans Serif"/>
                <w:w w:val="103"/>
                <w:sz w:val="20"/>
                <w:szCs w:val="20"/>
              </w:rPr>
              <w:t>2. Ako citopenija nije povezana sa leukemijom, prekinuti terapiju dok ANC ne bude ≥1,0x10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i trombociti ≥75 x 10</w:t>
            </w:r>
            <w:r>
              <w:rPr>
                <w:rFonts w:ascii="Microsoft Sans Serif" w:hAnsi="Microsoft Sans Serif" w:eastAsia="Times New Roman" w:cs="Microsoft Sans Serif"/>
                <w:w w:val="103"/>
                <w:sz w:val="20"/>
                <w:szCs w:val="20"/>
                <w:vertAlign w:val="superscript"/>
              </w:rPr>
              <w:t>9</w:t>
            </w:r>
            <w:r>
              <w:rPr>
                <w:rFonts w:ascii="Microsoft Sans Serif" w:hAnsi="Microsoft Sans Serif" w:eastAsia="Times New Roman" w:cs="Microsoft Sans Serif"/>
                <w:w w:val="103"/>
                <w:sz w:val="20"/>
                <w:szCs w:val="20"/>
              </w:rPr>
              <w:t>/l pa nastaviti terapiju početnom dozom ili smanjenom dozom.</w:t>
            </w:r>
          </w:p>
          <w:p w14:paraId="0BCFC83C">
            <w:pPr>
              <w:pStyle w:val="29"/>
              <w:spacing w:before="37"/>
              <w:ind w:left="330"/>
              <w:rPr>
                <w:rFonts w:ascii="Microsoft Sans Serif" w:hAnsi="Microsoft Sans Serif" w:eastAsia="Times New Roman" w:cs="Microsoft Sans Serif"/>
                <w:w w:val="103"/>
                <w:sz w:val="20"/>
                <w:szCs w:val="20"/>
              </w:rPr>
            </w:pPr>
          </w:p>
          <w:p w14:paraId="3AA38298">
            <w:pPr>
              <w:pStyle w:val="29"/>
              <w:spacing w:before="37"/>
              <w:ind w:left="330"/>
              <w:rPr>
                <w:rFonts w:ascii="Microsoft Sans Serif" w:hAnsi="Microsoft Sans Serif" w:eastAsia="Times New Roman" w:cs="Microsoft Sans Serif"/>
                <w:w w:val="103"/>
                <w:sz w:val="20"/>
                <w:szCs w:val="20"/>
                <w:lang w:val="mk-MK"/>
              </w:rPr>
            </w:pPr>
            <w:r>
              <w:rPr>
                <w:rFonts w:ascii="Microsoft Sans Serif" w:hAnsi="Microsoft Sans Serif" w:eastAsia="Times New Roman" w:cs="Microsoft Sans Serif"/>
                <w:w w:val="103"/>
                <w:sz w:val="20"/>
                <w:szCs w:val="20"/>
              </w:rPr>
              <w:t>3. Ako se citopenija ponovno javi, ponoviti aspirat/biopsiju koštane srži i nastaviti terapiju smanjenom dozom</w:t>
            </w:r>
            <w:r>
              <w:rPr>
                <w:rFonts w:ascii="Microsoft Sans Serif" w:hAnsi="Microsoft Sans Serif" w:eastAsia="Times New Roman" w:cs="Microsoft Sans Serif"/>
                <w:w w:val="103"/>
                <w:sz w:val="20"/>
                <w:szCs w:val="20"/>
                <w:lang w:val="mk-MK"/>
              </w:rPr>
              <w:t>.</w:t>
            </w:r>
          </w:p>
        </w:tc>
        <w:tc>
          <w:tcPr>
            <w:tcW w:w="6012" w:type="dxa"/>
            <w:gridSpan w:val="4"/>
          </w:tcPr>
          <w:p w14:paraId="2DD5D85D">
            <w:pPr>
              <w:widowControl w:val="0"/>
              <w:spacing w:line="228"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Doza (maksimalna dnevna doza)</w:t>
            </w:r>
          </w:p>
        </w:tc>
      </w:tr>
      <w:tr w14:paraId="054D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6EC1BA96">
            <w:pPr>
              <w:widowControl w:val="0"/>
              <w:spacing w:before="37"/>
              <w:rPr>
                <w:rFonts w:ascii="Microsoft Sans Serif" w:hAnsi="Microsoft Sans Serif" w:eastAsia="Times New Roman" w:cs="Microsoft Sans Serif"/>
                <w:b/>
                <w:bCs/>
                <w:sz w:val="20"/>
                <w:szCs w:val="20"/>
              </w:rPr>
            </w:pPr>
          </w:p>
        </w:tc>
        <w:tc>
          <w:tcPr>
            <w:tcW w:w="912" w:type="dxa"/>
            <w:tcBorders>
              <w:right w:val="nil"/>
            </w:tcBorders>
          </w:tcPr>
          <w:p w14:paraId="191FF3AC">
            <w:pPr>
              <w:widowControl w:val="0"/>
              <w:spacing w:before="37"/>
              <w:rPr>
                <w:rFonts w:ascii="Microsoft Sans Serif" w:hAnsi="Microsoft Sans Serif" w:eastAsia="Times New Roman" w:cs="Microsoft Sans Serif"/>
                <w:b/>
                <w:bCs/>
                <w:sz w:val="20"/>
                <w:szCs w:val="20"/>
              </w:rPr>
            </w:pPr>
          </w:p>
        </w:tc>
        <w:tc>
          <w:tcPr>
            <w:tcW w:w="1696" w:type="dxa"/>
            <w:tcBorders>
              <w:left w:val="nil"/>
              <w:right w:val="nil"/>
            </w:tcBorders>
          </w:tcPr>
          <w:p w14:paraId="758E37A3">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Prvobitna</w:t>
            </w:r>
          </w:p>
          <w:p w14:paraId="79D3C59A">
            <w:pPr>
              <w:widowControl w:val="0"/>
              <w:spacing w:before="37"/>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početna doza</w:t>
            </w:r>
          </w:p>
        </w:tc>
        <w:tc>
          <w:tcPr>
            <w:tcW w:w="1625" w:type="dxa"/>
            <w:tcBorders>
              <w:left w:val="nil"/>
              <w:right w:val="nil"/>
            </w:tcBorders>
          </w:tcPr>
          <w:p w14:paraId="744A5C64">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63C75007">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jedan</w:t>
            </w:r>
          </w:p>
          <w:p w14:paraId="4C50A705">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w:t>
            </w:r>
          </w:p>
        </w:tc>
        <w:tc>
          <w:tcPr>
            <w:tcW w:w="1779" w:type="dxa"/>
            <w:tcBorders>
              <w:left w:val="nil"/>
            </w:tcBorders>
          </w:tcPr>
          <w:p w14:paraId="3C6E7F56">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Smanjenje</w:t>
            </w:r>
          </w:p>
          <w:p w14:paraId="7617E03A">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doze za dva</w:t>
            </w:r>
          </w:p>
          <w:p w14:paraId="4D24513E">
            <w:pPr>
              <w:widowControl w:val="0"/>
              <w:spacing w:before="37"/>
              <w:jc w:val="center"/>
              <w:rPr>
                <w:rFonts w:ascii="Microsoft Sans Serif" w:hAnsi="Microsoft Sans Serif" w:eastAsia="Times New Roman" w:cs="Microsoft Sans Serif"/>
                <w:b/>
                <w:bCs/>
                <w:sz w:val="20"/>
                <w:szCs w:val="20"/>
                <w:lang w:val="sv-SE"/>
              </w:rPr>
            </w:pPr>
            <w:r>
              <w:rPr>
                <w:rFonts w:ascii="Microsoft Sans Serif" w:hAnsi="Microsoft Sans Serif" w:eastAsia="Calibri" w:cs="Microsoft Sans Serif"/>
                <w:b/>
                <w:bCs/>
                <w:sz w:val="20"/>
                <w:szCs w:val="20"/>
                <w:lang w:val="sv-SE"/>
              </w:rPr>
              <w:t>nivoa</w:t>
            </w:r>
          </w:p>
        </w:tc>
      </w:tr>
      <w:tr w14:paraId="4D66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4" w:type="dxa"/>
            <w:vMerge w:val="continue"/>
          </w:tcPr>
          <w:p w14:paraId="0D8BFA6A">
            <w:pPr>
              <w:widowControl w:val="0"/>
              <w:spacing w:before="37"/>
              <w:rPr>
                <w:rFonts w:ascii="Microsoft Sans Serif" w:hAnsi="Microsoft Sans Serif" w:eastAsia="Times New Roman" w:cs="Microsoft Sans Serif"/>
                <w:b/>
                <w:bCs/>
                <w:sz w:val="20"/>
                <w:szCs w:val="20"/>
                <w:lang w:val="sv-SE"/>
              </w:rPr>
            </w:pPr>
          </w:p>
        </w:tc>
        <w:tc>
          <w:tcPr>
            <w:tcW w:w="912" w:type="dxa"/>
            <w:tcBorders>
              <w:right w:val="nil"/>
            </w:tcBorders>
          </w:tcPr>
          <w:p w14:paraId="4E1274F2">
            <w:pPr>
              <w:widowControl w:val="0"/>
              <w:spacing w:before="37"/>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Tablete</w:t>
            </w:r>
          </w:p>
        </w:tc>
        <w:tc>
          <w:tcPr>
            <w:tcW w:w="1696" w:type="dxa"/>
            <w:tcBorders>
              <w:left w:val="nil"/>
              <w:right w:val="nil"/>
            </w:tcBorders>
          </w:tcPr>
          <w:p w14:paraId="351D49D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3FA6CCD1">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7D0C5699">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p w14:paraId="5D63224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100 mg</w:t>
            </w:r>
          </w:p>
        </w:tc>
        <w:tc>
          <w:tcPr>
            <w:tcW w:w="1625" w:type="dxa"/>
            <w:tcBorders>
              <w:left w:val="nil"/>
              <w:right w:val="nil"/>
            </w:tcBorders>
          </w:tcPr>
          <w:p w14:paraId="3F26801E">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430DCA9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40 mg</w:t>
            </w:r>
          </w:p>
          <w:p w14:paraId="032154C7">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60 mg</w:t>
            </w:r>
          </w:p>
          <w:p w14:paraId="30BE14EF">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80 mg</w:t>
            </w:r>
          </w:p>
        </w:tc>
        <w:tc>
          <w:tcPr>
            <w:tcW w:w="1779" w:type="dxa"/>
            <w:tcBorders>
              <w:left w:val="nil"/>
            </w:tcBorders>
          </w:tcPr>
          <w:p w14:paraId="0735E8FA">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w:t>
            </w:r>
          </w:p>
          <w:p w14:paraId="3A376243">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20 mg</w:t>
            </w:r>
          </w:p>
          <w:p w14:paraId="79C17AF4">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50 mg</w:t>
            </w:r>
          </w:p>
          <w:p w14:paraId="0E96E1F2">
            <w:pPr>
              <w:widowControl w:val="0"/>
              <w:spacing w:before="37"/>
              <w:jc w:val="center"/>
              <w:rPr>
                <w:rFonts w:ascii="Microsoft Sans Serif" w:hAnsi="Microsoft Sans Serif" w:eastAsia="Times New Roman" w:cs="Microsoft Sans Serif"/>
                <w:bCs/>
                <w:sz w:val="20"/>
                <w:szCs w:val="20"/>
              </w:rPr>
            </w:pPr>
            <w:r>
              <w:rPr>
                <w:rFonts w:ascii="Microsoft Sans Serif" w:hAnsi="Microsoft Sans Serif" w:eastAsia="Calibri" w:cs="Microsoft Sans Serif"/>
                <w:bCs/>
                <w:sz w:val="20"/>
                <w:szCs w:val="20"/>
              </w:rPr>
              <w:t>70 mg</w:t>
            </w:r>
          </w:p>
        </w:tc>
      </w:tr>
    </w:tbl>
    <w:p w14:paraId="4D4D1C3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ANC: </w:t>
      </w:r>
      <w:r>
        <w:rPr>
          <w:rFonts w:ascii="Microsoft Sans Serif" w:hAnsi="Microsoft Sans Serif" w:cs="Microsoft Sans Serif"/>
          <w:sz w:val="20"/>
          <w:szCs w:val="20"/>
          <w:lang w:val="sr-Cyrl-RS"/>
        </w:rPr>
        <w:t>apsolutni broj neutrofila</w:t>
      </w:r>
    </w:p>
    <w:p w14:paraId="2849317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hr-BA"/>
        </w:rPr>
        <w:t>nije dostupna tableta u nižoj dozi</w:t>
      </w:r>
    </w:p>
    <w:p w14:paraId="2E8500DA">
      <w:pPr>
        <w:widowControl w:val="0"/>
        <w:tabs>
          <w:tab w:val="clear" w:pos="284"/>
        </w:tabs>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se kod pedijatrijskih pacijenata sa Ph+ HML u hroničnoj fazi ponovo javi neutropenija ili trombocitopenija stepena ≥ 3 tokom potpunog hematološkog odgovora, primjenu lijeka Nodriga treba privremeno prekinuti, a zatim se terapija može nastaviti smanjenom dozom. Po potrebi treba privremeno smanjiti dozu u slučaju citopenije srednjeg stepena i odgovora bolesti.</w:t>
      </w:r>
    </w:p>
    <w:p w14:paraId="6CB60FCF">
      <w:pPr>
        <w:widowControl w:val="0"/>
        <w:tabs>
          <w:tab w:val="clear" w:pos="284"/>
        </w:tabs>
        <w:rPr>
          <w:rFonts w:ascii="Microsoft Sans Serif" w:hAnsi="Microsoft Sans Serif" w:eastAsia="Calibri" w:cs="Microsoft Sans Serif"/>
          <w:sz w:val="20"/>
          <w:szCs w:val="20"/>
          <w:lang w:val="sr-Cyrl-RS"/>
        </w:rPr>
      </w:pPr>
    </w:p>
    <w:p w14:paraId="2DB0EAE4">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toksi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1 - 4.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sljede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jo</w:t>
      </w:r>
      <w:r>
        <w:rPr>
          <w:rFonts w:ascii="Microsoft Sans Serif" w:hAnsi="Microsoft Sans Serif" w:eastAsia="Calibri" w:cs="Microsoft Sans Serif"/>
          <w:sz w:val="20"/>
          <w:szCs w:val="20"/>
          <w:lang w:val="sr-Cyrl-RS"/>
        </w:rPr>
        <w:t xml:space="preserve">š 7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ocenu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odredili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postotak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blasta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&lt; 10%,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bude</w:t>
      </w:r>
      <w:r>
        <w:rPr>
          <w:rFonts w:ascii="Microsoft Sans Serif" w:hAnsi="Microsoft Sans Serif" w:eastAsia="Calibri" w:cs="Microsoft Sans Serif"/>
          <w:sz w:val="20"/>
          <w:szCs w:val="20"/>
          <w:lang w:val="sr-Cyrl-RS"/>
        </w:rPr>
        <w:t xml:space="preserve"> &gt; 500//</w:t>
      </w:r>
      <w:r>
        <w:rPr>
          <w:rFonts w:ascii="Microsoft Sans Serif" w:hAnsi="Microsoft Sans Serif" w:eastAsia="Calibri" w:cs="Microsoft Sans Serif"/>
          <w:sz w:val="20"/>
          <w:szCs w:val="20"/>
        </w:rPr>
        <w:t>μl</w:t>
      </w:r>
      <w:r>
        <w:rPr>
          <w:rFonts w:ascii="Microsoft Sans Serif" w:hAnsi="Microsoft Sans Serif" w:eastAsia="Calibri" w:cs="Microsoft Sans Serif"/>
          <w:sz w:val="20"/>
          <w:szCs w:val="20"/>
          <w:lang w:val="sr-Cyrl-RS"/>
        </w:rPr>
        <w:t xml:space="preserve"> (0,5 </w:t>
      </w:r>
      <w:r>
        <w:rPr>
          <w:rFonts w:ascii="Microsoft Sans Serif" w:hAnsi="Microsoft Sans Serif" w:eastAsia="Calibri" w:cs="Microsoft Sans Serif"/>
          <w:sz w:val="20"/>
          <w:szCs w:val="20"/>
        </w:rPr>
        <w:t>x</w:t>
      </w:r>
      <w:r>
        <w:rPr>
          <w:rFonts w:ascii="Microsoft Sans Serif" w:hAnsi="Microsoft Sans Serif" w:eastAsia="Calibri" w:cs="Microsoft Sans Serif"/>
          <w:sz w:val="20"/>
          <w:szCs w:val="20"/>
          <w:lang w:val="sr-Cyrl-RS"/>
        </w:rPr>
        <w:t xml:space="preserve"> 10</w:t>
      </w:r>
      <w:r>
        <w:rPr>
          <w:rFonts w:ascii="Microsoft Sans Serif" w:hAnsi="Microsoft Sans Serif" w:eastAsia="Calibri" w:cs="Microsoft Sans Serif"/>
          <w:sz w:val="20"/>
          <w:szCs w:val="20"/>
          <w:vertAlign w:val="superscript"/>
          <w:lang w:val="sr-Cyrl-RS"/>
        </w:rPr>
        <w:t>9</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celularnost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&gt; 10%,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7300145">
      <w:pPr>
        <w:widowControl w:val="0"/>
        <w:tabs>
          <w:tab w:val="clear" w:pos="284"/>
        </w:tabs>
        <w:rPr>
          <w:rFonts w:ascii="Microsoft Sans Serif" w:hAnsi="Microsoft Sans Serif" w:eastAsia="Calibri" w:cs="Microsoft Sans Serif"/>
          <w:sz w:val="20"/>
          <w:szCs w:val="20"/>
          <w:lang w:val="sr-Cyrl-RS"/>
        </w:rPr>
      </w:pPr>
    </w:p>
    <w:p w14:paraId="16C78475">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rPr>
        <w:t>Nehematološke n</w:t>
      </w:r>
      <w:r>
        <w:rPr>
          <w:rFonts w:ascii="Microsoft Sans Serif" w:hAnsi="Microsoft Sans Serif" w:eastAsia="Calibri" w:cs="Microsoft Sans Serif"/>
          <w:i/>
          <w:sz w:val="20"/>
          <w:szCs w:val="20"/>
          <w:lang w:val="sr-Cyrl-RS"/>
        </w:rPr>
        <w:t>eželјene reakcije</w:t>
      </w:r>
    </w:p>
    <w:p w14:paraId="7F31428F">
      <w:pPr>
        <w:widowControl w:val="0"/>
        <w:tabs>
          <w:tab w:val="clear" w:pos="284"/>
        </w:tabs>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javi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povratka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pojavila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nehematolo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s</w:t>
      </w:r>
      <w:r>
        <w:rPr>
          <w:rFonts w:ascii="Microsoft Sans Serif" w:hAnsi="Microsoft Sans Serif" w:eastAsia="Calibri" w:cs="Microsoft Sans Serif"/>
          <w:sz w:val="20"/>
          <w:szCs w:val="20"/>
        </w:rPr>
        <w:t>manj</w:t>
      </w:r>
      <w:r>
        <w:rPr>
          <w:rFonts w:ascii="Microsoft Sans Serif" w:hAnsi="Microsoft Sans Serif" w:eastAsia="Calibri" w:cs="Microsoft Sans Serif"/>
          <w:sz w:val="20"/>
          <w:szCs w:val="20"/>
          <w:lang w:val="mk-MK"/>
        </w:rPr>
        <w:t>en</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zavisno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d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Kod pacijenata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hronićnoj fazi koji su primali 100 mg jednom dnevno, preporučuje se smanjenje doze na 80 mg jednom dnevno uz dalje smanjenje doze sa 80 mg jednm dnevno na 50 mg jednom dnevno, ukoliko je potrebno. Kod pacijenata sa HML u uznapredovaloj fazi ili sa Ph+ ALL koji primaju 140 mg jednom dnevno, preporučuje se smanjiti dozu na 100 mg jednom dnevno uz dal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 xml:space="preserve">e smanjenje sa 100 mg jednom dnevno na 50 mg jednom dnevno, ako je potrebno.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lang w:val="hr-BA"/>
        </w:rPr>
        <w:t xml:space="preserve">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HML u hroničnoj fazi koji imaju nehematološke neželjene reakcije treba se pridržavati prethodno navedenih preporuka za smanjenje doze u slučaju hematoloških neželjenih reakcija. Kod pedijatrijskih pacijenata sa Ph+ ALL koji imaju nehematološke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ene reakcije po potrebi treba smanjiti dozu za jed</w:t>
      </w:r>
      <w:r>
        <w:rPr>
          <w:rFonts w:ascii="Microsoft Sans Serif" w:hAnsi="Microsoft Sans Serif" w:eastAsia="Calibri" w:cs="Microsoft Sans Serif"/>
          <w:sz w:val="20"/>
          <w:szCs w:val="20"/>
          <w:lang w:val="sr-Cyrl-RS"/>
        </w:rPr>
        <w:t>an stepen</w:t>
      </w:r>
      <w:r>
        <w:rPr>
          <w:rFonts w:ascii="Microsoft Sans Serif" w:hAnsi="Microsoft Sans Serif" w:eastAsia="Calibri" w:cs="Microsoft Sans Serif"/>
          <w:sz w:val="20"/>
          <w:szCs w:val="20"/>
          <w:lang w:val="hr-BA"/>
        </w:rPr>
        <w:t>,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hr-BA"/>
        </w:rPr>
        <w:t xml:space="preserve"> prethodno navedenim preporukama za smanjenje doze u slučaju hematoloških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hr-BA"/>
        </w:rPr>
        <w:t>enih reakcija.</w:t>
      </w:r>
    </w:p>
    <w:p w14:paraId="1FD361C9">
      <w:pPr>
        <w:widowControl w:val="0"/>
        <w:tabs>
          <w:tab w:val="clear" w:pos="284"/>
        </w:tabs>
        <w:rPr>
          <w:rFonts w:ascii="Microsoft Sans Serif" w:hAnsi="Microsoft Sans Serif" w:eastAsia="Calibri" w:cs="Microsoft Sans Serif"/>
          <w:sz w:val="20"/>
          <w:szCs w:val="20"/>
          <w:lang w:val="sr-Latn-RS"/>
        </w:rPr>
      </w:pPr>
    </w:p>
    <w:p w14:paraId="3E652594">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Pleuralni iz</w:t>
      </w:r>
      <w:r>
        <w:rPr>
          <w:rFonts w:ascii="Microsoft Sans Serif" w:hAnsi="Microsoft Sans Serif" w:eastAsia="Calibri" w:cs="Microsoft Sans Serif"/>
          <w:i/>
          <w:sz w:val="20"/>
          <w:szCs w:val="20"/>
          <w:lang w:val="sr-Cyrl-RS"/>
        </w:rPr>
        <w:t>li</w:t>
      </w:r>
      <w:r>
        <w:rPr>
          <w:rFonts w:ascii="Microsoft Sans Serif" w:hAnsi="Microsoft Sans Serif" w:eastAsia="Calibri" w:cs="Microsoft Sans Serif"/>
          <w:i/>
          <w:sz w:val="20"/>
          <w:szCs w:val="20"/>
          <w:lang w:val="sr-Latn-RS"/>
        </w:rPr>
        <w:t>v</w:t>
      </w:r>
    </w:p>
    <w:p w14:paraId="495F7CCD">
      <w:pPr>
        <w:widowControl w:val="0"/>
        <w:tabs>
          <w:tab w:val="clear" w:pos="284"/>
        </w:tabs>
        <w:rPr>
          <w:rFonts w:ascii="Microsoft Sans Serif" w:hAnsi="Microsoft Sans Serif" w:eastAsia="Calibri" w:cs="Microsoft Sans Serif"/>
          <w:sz w:val="20"/>
          <w:szCs w:val="20"/>
          <w:lang w:val="sr-Latn-RS"/>
        </w:rPr>
      </w:pPr>
      <w:r>
        <w:rPr>
          <w:rFonts w:ascii="Microsoft Sans Serif" w:hAnsi="Microsoft Sans Serif" w:eastAsia="Calibri" w:cs="Microsoft Sans Serif"/>
          <w:sz w:val="20"/>
          <w:szCs w:val="20"/>
          <w:lang w:val="sr-Latn-RS"/>
        </w:rPr>
        <w:t>Ako se dijagnostikuje pleuralni izliv, treba prekinuti primjenu dasatiniba sve 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pacijent ne</w:t>
      </w:r>
      <w:r>
        <w:rPr>
          <w:rFonts w:ascii="Microsoft Sans Serif" w:hAnsi="Microsoft Sans Serif" w:eastAsia="Calibri" w:cs="Microsoft Sans Serif"/>
          <w:sz w:val="20"/>
          <w:szCs w:val="20"/>
          <w:lang w:val="mk-MK"/>
        </w:rPr>
        <w:t xml:space="preserve"> bude</w:t>
      </w:r>
      <w:r>
        <w:rPr>
          <w:rFonts w:ascii="Microsoft Sans Serif" w:hAnsi="Microsoft Sans Serif" w:eastAsia="Calibri" w:cs="Microsoft Sans Serif"/>
          <w:sz w:val="20"/>
          <w:szCs w:val="20"/>
          <w:lang w:val="sr-Latn-RS"/>
        </w:rPr>
        <w:t xml:space="preserve"> pregleda</w:t>
      </w:r>
      <w:r>
        <w:rPr>
          <w:rFonts w:ascii="Microsoft Sans Serif" w:hAnsi="Microsoft Sans Serif" w:eastAsia="Calibri" w:cs="Microsoft Sans Serif"/>
          <w:sz w:val="20"/>
          <w:szCs w:val="20"/>
          <w:lang w:val="mk-MK"/>
        </w:rPr>
        <w:t>n</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mk-MK"/>
        </w:rPr>
        <w:t>asimptomatski</w:t>
      </w:r>
      <w:r>
        <w:rPr>
          <w:rFonts w:ascii="Microsoft Sans Serif" w:hAnsi="Microsoft Sans Serif" w:eastAsia="Calibri" w:cs="Microsoft Sans Serif"/>
          <w:sz w:val="20"/>
          <w:szCs w:val="20"/>
          <w:lang w:val="sr-Latn-RS"/>
        </w:rPr>
        <w:t xml:space="preserve"> ili </w:t>
      </w:r>
      <w:r>
        <w:rPr>
          <w:rFonts w:ascii="Microsoft Sans Serif" w:hAnsi="Microsoft Sans Serif" w:eastAsia="Calibri" w:cs="Microsoft Sans Serif"/>
          <w:sz w:val="20"/>
          <w:szCs w:val="20"/>
          <w:lang w:val="mk-MK"/>
        </w:rPr>
        <w:t xml:space="preserve">se ne vrati </w:t>
      </w:r>
      <w:r>
        <w:rPr>
          <w:rFonts w:ascii="Microsoft Sans Serif" w:hAnsi="Microsoft Sans Serif" w:eastAsia="Calibri" w:cs="Microsoft Sans Serif"/>
          <w:sz w:val="20"/>
          <w:szCs w:val="20"/>
          <w:lang w:val="sr-Latn-RS"/>
        </w:rPr>
        <w:t>na početno stanje. Ako se ova epizoda ne pobol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ša u roku od približno nedel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 xml:space="preserve">u dana, treba razmotriti primjenu diuretika ili kortikosteroida ili oba istovremeno (pogledati dijelove 4.4 i 4.8). Nakon povlačenja prve epizode, treba razmotriti ponovno uvođenje dasatiniba u istoj dozi. Nakon povlačenja naredne epizode, treba ponovo uvesti dasatinib u dozi </w:t>
      </w:r>
      <w:r>
        <w:rPr>
          <w:rFonts w:ascii="Microsoft Sans Serif" w:hAnsi="Microsoft Sans Serif" w:eastAsia="Calibri" w:cs="Microsoft Sans Serif"/>
          <w:sz w:val="20"/>
          <w:szCs w:val="20"/>
          <w:lang w:val="mk-MK"/>
        </w:rPr>
        <w:t>smanjenoj</w:t>
      </w:r>
      <w:r>
        <w:rPr>
          <w:rFonts w:ascii="Microsoft Sans Serif" w:hAnsi="Microsoft Sans Serif" w:eastAsia="Calibri" w:cs="Microsoft Sans Serif"/>
          <w:sz w:val="20"/>
          <w:szCs w:val="20"/>
          <w:lang w:val="sr-Latn-RS"/>
        </w:rPr>
        <w:t xml:space="preserve"> za jedan stepen. Nakon povlačenja teške (3. ili 4. stepen) epizode, liječenje se može prema potrebi nastaviti smanjenom dozom, 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lang w:val="sr-Latn-RS"/>
        </w:rPr>
        <w:t xml:space="preserve"> početne težine nežel</w:t>
      </w:r>
      <w:r>
        <w:rPr>
          <w:rFonts w:ascii="Microsoft Sans Serif" w:hAnsi="Microsoft Sans Serif" w:eastAsia="Calibri" w:cs="Microsoft Sans Serif"/>
          <w:sz w:val="20"/>
          <w:szCs w:val="20"/>
        </w:rPr>
        <w:t>ј</w:t>
      </w:r>
      <w:r>
        <w:rPr>
          <w:rFonts w:ascii="Microsoft Sans Serif" w:hAnsi="Microsoft Sans Serif" w:eastAsia="Calibri" w:cs="Microsoft Sans Serif"/>
          <w:sz w:val="20"/>
          <w:szCs w:val="20"/>
          <w:lang w:val="sr-Latn-RS"/>
        </w:rPr>
        <w:t>ene reakcije.</w:t>
      </w:r>
    </w:p>
    <w:p w14:paraId="6F439CBC">
      <w:pPr>
        <w:widowControl w:val="0"/>
        <w:tabs>
          <w:tab w:val="clear" w:pos="284"/>
        </w:tabs>
        <w:rPr>
          <w:rFonts w:ascii="Microsoft Sans Serif" w:hAnsi="Microsoft Sans Serif" w:eastAsia="Calibri" w:cs="Microsoft Sans Serif"/>
          <w:sz w:val="20"/>
          <w:szCs w:val="20"/>
          <w:lang w:val="sr-Latn-RS"/>
        </w:rPr>
      </w:pPr>
    </w:p>
    <w:p w14:paraId="004F7D28">
      <w:pPr>
        <w:widowControl w:val="0"/>
        <w:tabs>
          <w:tab w:val="clear" w:pos="284"/>
        </w:tabs>
        <w:rPr>
          <w:rFonts w:ascii="Microsoft Sans Serif" w:hAnsi="Microsoft Sans Serif" w:eastAsia="Calibri" w:cs="Microsoft Sans Serif"/>
          <w:i/>
          <w:sz w:val="20"/>
          <w:szCs w:val="20"/>
          <w:lang w:val="sr-Latn-RS"/>
        </w:rPr>
      </w:pPr>
      <w:r>
        <w:rPr>
          <w:rFonts w:ascii="Microsoft Sans Serif" w:hAnsi="Microsoft Sans Serif" w:eastAsia="Calibri" w:cs="Microsoft Sans Serif"/>
          <w:i/>
          <w:sz w:val="20"/>
          <w:szCs w:val="20"/>
          <w:lang w:val="sr-Latn-RS"/>
        </w:rPr>
        <w:t>Smanjenje doze kod istovremene primjene snažnih inhibitora CYP3A4</w:t>
      </w:r>
    </w:p>
    <w:p w14:paraId="0481183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Latn-RS"/>
        </w:rPr>
        <w:t>Potrebno je izbjegavati istovremenu primjenu snažnih inhibitora CYP3A4 i uzimanje soka od grejp</w:t>
      </w:r>
      <w:r>
        <w:rPr>
          <w:rFonts w:ascii="Microsoft Sans Serif" w:hAnsi="Microsoft Sans Serif" w:eastAsia="Calibri" w:cs="Microsoft Sans Serif"/>
          <w:sz w:val="20"/>
          <w:szCs w:val="20"/>
          <w:lang w:val="sr-Cyrl-RS"/>
        </w:rPr>
        <w:t xml:space="preserve">fruta </w:t>
      </w:r>
      <w:r>
        <w:rPr>
          <w:rFonts w:ascii="Microsoft Sans Serif" w:hAnsi="Microsoft Sans Serif" w:eastAsia="Calibri" w:cs="Microsoft Sans Serif"/>
          <w:sz w:val="20"/>
          <w:szCs w:val="20"/>
          <w:lang w:val="sr-Latn-RS"/>
        </w:rPr>
        <w:t>zajedno sa lijekom Nodriga (pogledati dio 4.5). Ako je moguće, za istovremenu primjenu 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 xml:space="preserve">izabrati neki drugi lijek, koji ne inhibira ili minimalno inhibira enzimsku aktivnost. Ako se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r-Latn-RS"/>
        </w:rPr>
        <w:t>Nodriga mora primjenjivati istovremeno sa snažnim inhibitorom CYP3A4, potrebno je razmotriti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doze na:</w:t>
      </w:r>
    </w:p>
    <w:p w14:paraId="678B922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7073FBD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100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2C92185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- 20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tablete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70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p>
    <w:p w14:paraId="015950D7">
      <w:pPr>
        <w:widowControl w:val="0"/>
        <w:tabs>
          <w:tab w:val="clear" w:pos="284"/>
        </w:tabs>
        <w:rPr>
          <w:rFonts w:ascii="Microsoft Sans Serif" w:hAnsi="Microsoft Sans Serif" w:eastAsia="Calibri" w:cs="Microsoft Sans Serif"/>
          <w:sz w:val="20"/>
          <w:szCs w:val="20"/>
          <w:lang w:val="sr-Cyrl-RS"/>
        </w:rPr>
      </w:pPr>
    </w:p>
    <w:p w14:paraId="7BBD81E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uzimaju</w:t>
      </w:r>
      <w:r>
        <w:rPr>
          <w:rFonts w:ascii="Microsoft Sans Serif" w:hAnsi="Microsoft Sans Serif" w:eastAsia="Calibri" w:cs="Microsoft Sans Serif"/>
          <w:sz w:val="20"/>
          <w:szCs w:val="20"/>
          <w:lang w:val="sr-Cyrl-RS"/>
        </w:rPr>
        <w:t xml:space="preserve"> tablete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40 </w:t>
      </w:r>
      <w:r>
        <w:rPr>
          <w:rFonts w:ascii="Microsoft Sans Serif" w:hAnsi="Microsoft Sans Serif" w:eastAsia="Calibri" w:cs="Microsoft Sans Serif"/>
          <w:sz w:val="20"/>
          <w:szCs w:val="20"/>
        </w:rPr>
        <w:t>mg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dnevno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prelazak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oralnu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suspenziju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ćenja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ponovnog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641D8FE6">
      <w:pPr>
        <w:widowControl w:val="0"/>
        <w:tabs>
          <w:tab w:val="clear" w:pos="284"/>
        </w:tabs>
        <w:rPr>
          <w:rFonts w:ascii="Microsoft Sans Serif" w:hAnsi="Microsoft Sans Serif" w:eastAsia="Calibri" w:cs="Microsoft Sans Serif"/>
          <w:sz w:val="20"/>
          <w:szCs w:val="20"/>
          <w:lang w:val="sr-Cyrl-RS"/>
        </w:rPr>
      </w:pPr>
    </w:p>
    <w:p w14:paraId="302E284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Predvi</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krive</w:t>
      </w:r>
      <w:r>
        <w:rPr>
          <w:rFonts w:ascii="Microsoft Sans Serif" w:hAnsi="Microsoft Sans Serif" w:eastAsia="Calibri" w:cs="Microsoft Sans Serif"/>
          <w:sz w:val="20"/>
          <w:szCs w:val="20"/>
          <w:lang w:val="sr-Cyrl-RS"/>
        </w:rPr>
        <w:t xml:space="preserve"> (PIK)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dostupni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takve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prilago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r-Latn-RS"/>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podnosi</w:t>
      </w:r>
      <w:r>
        <w:rPr>
          <w:rFonts w:ascii="Microsoft Sans Serif" w:hAnsi="Microsoft Sans Serif" w:eastAsia="Calibri" w:cs="Microsoft Sans Serif"/>
          <w:sz w:val="20"/>
          <w:szCs w:val="20"/>
          <w:lang w:val="sr-Cyrl-RS"/>
        </w:rPr>
        <w:t xml:space="preserve"> lijek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obustaviti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čiš</w:t>
      </w:r>
      <w:r>
        <w:rPr>
          <w:rFonts w:ascii="Microsoft Sans Serif" w:hAnsi="Microsoft Sans Serif" w:eastAsia="Calibri" w:cs="Microsoft Sans Serif"/>
          <w:sz w:val="20"/>
          <w:szCs w:val="20"/>
          <w:lang w:val="sr-Cyrl-RS"/>
        </w:rPr>
        <w:t xml:space="preserve">ćenje organizma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pribli</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w:t>
      </w:r>
    </w:p>
    <w:p w14:paraId="75CC1B35">
      <w:pPr>
        <w:widowControl w:val="0"/>
        <w:tabs>
          <w:tab w:val="clear" w:pos="284"/>
        </w:tabs>
        <w:rPr>
          <w:rFonts w:ascii="Microsoft Sans Serif" w:hAnsi="Microsoft Sans Serif" w:eastAsia="Calibri" w:cs="Microsoft Sans Serif"/>
          <w:sz w:val="20"/>
          <w:szCs w:val="20"/>
          <w:lang w:val="sr-Cyrl-RS"/>
        </w:rPr>
      </w:pPr>
    </w:p>
    <w:p w14:paraId="2008AE73">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08192CC0">
      <w:pPr>
        <w:widowControl w:val="0"/>
        <w:tabs>
          <w:tab w:val="clear" w:pos="284"/>
        </w:tabs>
        <w:rPr>
          <w:rFonts w:ascii="Microsoft Sans Serif" w:hAnsi="Microsoft Sans Serif" w:eastAsia="Calibri" w:cs="Microsoft Sans Serif"/>
          <w:sz w:val="20"/>
          <w:szCs w:val="20"/>
          <w:lang w:val="sr-Cyrl-RS"/>
        </w:rPr>
      </w:pPr>
    </w:p>
    <w:p w14:paraId="48D6735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Starije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osobe</w:t>
      </w:r>
    </w:p>
    <w:p w14:paraId="661426F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pacijenata </w:t>
      </w: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va</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razlike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staro</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nikakva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posebna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doziranje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starijih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osoba</w:t>
      </w:r>
      <w:r>
        <w:rPr>
          <w:rFonts w:ascii="Microsoft Sans Serif" w:hAnsi="Microsoft Sans Serif" w:eastAsia="Calibri" w:cs="Microsoft Sans Serif"/>
          <w:sz w:val="20"/>
          <w:szCs w:val="20"/>
          <w:lang w:val="sr-Cyrl-RS"/>
        </w:rPr>
        <w:t>.</w:t>
      </w:r>
    </w:p>
    <w:p w14:paraId="2E281226">
      <w:pPr>
        <w:widowControl w:val="0"/>
        <w:tabs>
          <w:tab w:val="clear" w:pos="284"/>
        </w:tabs>
        <w:rPr>
          <w:rFonts w:ascii="Microsoft Sans Serif" w:hAnsi="Microsoft Sans Serif" w:eastAsia="Calibri" w:cs="Microsoft Sans Serif"/>
          <w:sz w:val="20"/>
          <w:szCs w:val="20"/>
          <w:lang w:val="sr-Cyrl-RS"/>
        </w:rPr>
      </w:pPr>
    </w:p>
    <w:p w14:paraId="524D00AA">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O</w:t>
      </w:r>
      <w:r>
        <w:rPr>
          <w:rFonts w:ascii="Microsoft Sans Serif" w:hAnsi="Microsoft Sans Serif" w:eastAsia="Calibri" w:cs="Microsoft Sans Serif"/>
          <w:i/>
          <w:sz w:val="20"/>
          <w:szCs w:val="20"/>
          <w:u w:val="single"/>
          <w:lang w:val="sr-Cyrl-RS"/>
        </w:rPr>
        <w:t>š</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enje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funkcije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jetre</w:t>
      </w:r>
    </w:p>
    <w:p w14:paraId="6F1F50D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Pacijenti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Ipak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Nodriga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koristiti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oprezom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w:t>
      </w:r>
    </w:p>
    <w:p w14:paraId="1F6C8B0B">
      <w:pPr>
        <w:widowControl w:val="0"/>
        <w:tabs>
          <w:tab w:val="clear" w:pos="284"/>
        </w:tabs>
        <w:rPr>
          <w:rFonts w:ascii="Microsoft Sans Serif" w:hAnsi="Microsoft Sans Serif" w:eastAsia="Calibri" w:cs="Microsoft Sans Serif"/>
          <w:sz w:val="20"/>
          <w:szCs w:val="20"/>
          <w:lang w:val="sr-Cyrl-RS"/>
        </w:rPr>
      </w:pPr>
    </w:p>
    <w:p w14:paraId="1FEC285E">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O</w:t>
      </w:r>
      <w:r>
        <w:rPr>
          <w:rFonts w:ascii="Microsoft Sans Serif" w:hAnsi="Microsoft Sans Serif" w:eastAsia="Calibri" w:cs="Microsoft Sans Serif"/>
          <w:sz w:val="20"/>
          <w:szCs w:val="20"/>
          <w:u w:val="single"/>
          <w:lang w:val="sr-Cyrl-RS"/>
        </w:rPr>
        <w:t>š</w:t>
      </w:r>
      <w:r>
        <w:rPr>
          <w:rFonts w:ascii="Microsoft Sans Serif" w:hAnsi="Microsoft Sans Serif" w:eastAsia="Calibri" w:cs="Microsoft Sans Serif"/>
          <w:sz w:val="20"/>
          <w:szCs w:val="20"/>
          <w:u w:val="single"/>
        </w:rPr>
        <w:t>te</w:t>
      </w:r>
      <w:r>
        <w:rPr>
          <w:rFonts w:ascii="Microsoft Sans Serif" w:hAnsi="Microsoft Sans Serif" w:eastAsia="Calibri" w:cs="Microsoft Sans Serif"/>
          <w:sz w:val="20"/>
          <w:szCs w:val="20"/>
          <w:u w:val="single"/>
          <w:lang w:val="sr-Cyrl-RS"/>
        </w:rPr>
        <w:t>ć</w:t>
      </w:r>
      <w:r>
        <w:rPr>
          <w:rFonts w:ascii="Microsoft Sans Serif" w:hAnsi="Microsoft Sans Serif" w:eastAsia="Calibri" w:cs="Microsoft Sans Serif"/>
          <w:sz w:val="20"/>
          <w:szCs w:val="20"/>
          <w:u w:val="single"/>
        </w:rPr>
        <w:t>enje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funkcije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bubrega</w:t>
      </w:r>
    </w:p>
    <w:p w14:paraId="306CB001">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Nisu</w:t>
      </w:r>
      <w:r>
        <w:rPr>
          <w:rFonts w:ascii="Microsoft Sans Serif" w:hAnsi="Microsoft Sans Serif" w:eastAsia="Calibri" w:cs="Microsoft Sans Serif"/>
          <w:sz w:val="20"/>
          <w:szCs w:val="20"/>
          <w:lang w:val="sr-Cyrl-RS"/>
        </w:rPr>
        <w:t xml:space="preserve"> s</w:t>
      </w:r>
      <w:r>
        <w:rPr>
          <w:rFonts w:ascii="Microsoft Sans Serif" w:hAnsi="Microsoft Sans Serif" w:eastAsia="Calibri" w:cs="Microsoft Sans Serif"/>
          <w:sz w:val="20"/>
          <w:szCs w:val="20"/>
        </w:rPr>
        <w:t>provedena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bubrega</w:t>
      </w:r>
      <w:r>
        <w:rPr>
          <w:rFonts w:ascii="Microsoft Sans Serif" w:hAnsi="Microsoft Sans Serif" w:eastAsia="Calibri" w:cs="Microsoft Sans Serif"/>
          <w:sz w:val="20"/>
          <w:szCs w:val="20"/>
          <w:lang w:val="sr-Cyrl-RS"/>
        </w:rPr>
        <w:t xml:space="preserve"> (studije kod pacijenata sa novodijagnostifikovanom HML u hroničnoj fazi isključile su pacijente sa koncentracijom kreatinina u serumu koja je bila &gt;3 puta od gornje granice normalne vrijednosti, a studije kod pacijenata sa HML u hroničnoj fazi koji ne podnose ili su rezistentni na prethodnu tarapiju imatinibom isključile su pacijente sa koncentracijom kreatinina u serumu koja je bila &gt; 1.5 puta od gornje granice normalne vrijednosti). </w:t>
      </w:r>
      <w:r>
        <w:rPr>
          <w:rFonts w:ascii="Microsoft Sans Serif" w:hAnsi="Microsoft Sans Serif" w:eastAsia="Calibri" w:cs="Microsoft Sans Serif"/>
          <w:sz w:val="20"/>
          <w:szCs w:val="20"/>
        </w:rPr>
        <w:t>Budu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metabolita</w:t>
      </w:r>
      <w:r>
        <w:rPr>
          <w:rFonts w:ascii="Microsoft Sans Serif" w:hAnsi="Microsoft Sans Serif" w:eastAsia="Calibri" w:cs="Microsoft Sans Serif"/>
          <w:sz w:val="20"/>
          <w:szCs w:val="20"/>
          <w:lang w:val="sr-Cyrl-RS"/>
        </w:rPr>
        <w:t xml:space="preserve"> &lt;4%,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bubre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insuficijencijom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ekuje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ukupnog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klirensa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organizma</w:t>
      </w:r>
      <w:r>
        <w:rPr>
          <w:rFonts w:ascii="Microsoft Sans Serif" w:hAnsi="Microsoft Sans Serif" w:eastAsia="Calibri" w:cs="Microsoft Sans Serif"/>
          <w:sz w:val="20"/>
          <w:szCs w:val="20"/>
          <w:lang w:val="sr-Cyrl-RS"/>
        </w:rPr>
        <w:t>.</w:t>
      </w:r>
    </w:p>
    <w:p w14:paraId="7A0C8769">
      <w:pPr>
        <w:widowControl w:val="0"/>
        <w:tabs>
          <w:tab w:val="clear" w:pos="284"/>
        </w:tabs>
        <w:rPr>
          <w:rFonts w:ascii="Microsoft Sans Serif" w:hAnsi="Microsoft Sans Serif" w:eastAsia="Calibri" w:cs="Microsoft Sans Serif"/>
          <w:sz w:val="20"/>
          <w:szCs w:val="20"/>
          <w:lang w:val="sr-Cyrl-RS"/>
        </w:rPr>
      </w:pPr>
    </w:p>
    <w:p w14:paraId="4DB3CBD8">
      <w:pPr>
        <w:widowControl w:val="0"/>
        <w:tabs>
          <w:tab w:val="clear" w:pos="284"/>
        </w:tabs>
        <w:rPr>
          <w:rFonts w:ascii="Microsoft Sans Serif" w:hAnsi="Microsoft Sans Serif" w:eastAsia="Calibri" w:cs="Microsoft Sans Serif"/>
          <w:sz w:val="20"/>
          <w:szCs w:val="20"/>
          <w:u w:val="single"/>
          <w:lang w:val="sv-SE"/>
        </w:rPr>
      </w:pPr>
      <w:r>
        <w:rPr>
          <w:rFonts w:ascii="Microsoft Sans Serif" w:hAnsi="Microsoft Sans Serif" w:eastAsia="Calibri" w:cs="Microsoft Sans Serif"/>
          <w:sz w:val="20"/>
          <w:szCs w:val="20"/>
          <w:u w:val="single"/>
          <w:lang w:val="sv-SE"/>
        </w:rPr>
        <w:t>Način primjene</w:t>
      </w:r>
    </w:p>
    <w:p w14:paraId="059FEB5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mora primjeniti oralno.</w:t>
      </w:r>
    </w:p>
    <w:p w14:paraId="7CF1DE64">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v-SE"/>
        </w:rPr>
        <w:t>Film tablete ne smiju se drobiti, sjeći niti žvakati, kako bi se održala dosljednost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doziranja i smanjio rizik dodira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lang w:val="sv-SE"/>
        </w:rPr>
        <w:t xml:space="preserve"> kožom; moraju se progutati cijele. Film tablete ne smiju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se rastvarati jer je izloženost lijeku kod pacijenata koji uzmu rastvorenu tabletu manja nego kod onih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progutaju cijelu tabletu. Za</w:t>
      </w:r>
      <w:r>
        <w:rPr>
          <w:rFonts w:ascii="Microsoft Sans Serif" w:hAnsi="Microsoft Sans Serif" w:eastAsia="Calibri" w:cs="Microsoft Sans Serif"/>
          <w:sz w:val="20"/>
          <w:szCs w:val="20"/>
          <w:lang w:val="sr-Cyrl-RS"/>
        </w:rPr>
        <w:t xml:space="preserve"> pedijatrijske</w:t>
      </w:r>
      <w:r>
        <w:rPr>
          <w:rFonts w:ascii="Microsoft Sans Serif" w:hAnsi="Microsoft Sans Serif" w:eastAsia="Calibri" w:cs="Microsoft Sans Serif"/>
          <w:sz w:val="20"/>
          <w:szCs w:val="20"/>
          <w:lang w:val="sv-SE"/>
        </w:rPr>
        <w:t xml:space="preserve"> pacijente </w:t>
      </w:r>
      <w:r>
        <w:rPr>
          <w:rFonts w:ascii="Microsoft Sans Serif" w:hAnsi="Microsoft Sans Serif" w:eastAsia="Calibri" w:cs="Microsoft Sans Serif"/>
          <w:sz w:val="20"/>
          <w:szCs w:val="20"/>
          <w:lang w:val="sr-Cyrl-RS"/>
        </w:rPr>
        <w:t>sa</w:t>
      </w:r>
      <w:r>
        <w:rPr>
          <w:rFonts w:ascii="Microsoft Sans Serif" w:hAnsi="Microsoft Sans Serif" w:cs="Microsoft Sans Serif"/>
          <w:sz w:val="20"/>
          <w:szCs w:val="20"/>
          <w:lang w:val="sv-SE"/>
        </w:rPr>
        <w:t xml:space="preserve"> Ph+ HML-HF i </w:t>
      </w:r>
      <w:r>
        <w:rPr>
          <w:rFonts w:ascii="Microsoft Sans Serif" w:hAnsi="Microsoft Sans Serif" w:eastAsia="Calibri" w:cs="Microsoft Sans Serif"/>
          <w:sz w:val="20"/>
          <w:szCs w:val="20"/>
          <w:lang w:val="sr-Cyrl-RS"/>
        </w:rPr>
        <w:t xml:space="preserve">Ph+ ALL </w:t>
      </w:r>
      <w:r>
        <w:rPr>
          <w:rFonts w:ascii="Microsoft Sans Serif" w:hAnsi="Microsoft Sans Serif" w:eastAsia="Calibri" w:cs="Microsoft Sans Serif"/>
          <w:sz w:val="20"/>
          <w:szCs w:val="20"/>
          <w:lang w:val="hr-BA"/>
        </w:rPr>
        <w:t xml:space="preserve">i odrasle pacijente sa HML u hroničnoj fazi </w:t>
      </w:r>
      <w:r>
        <w:rPr>
          <w:rFonts w:ascii="Microsoft Sans Serif" w:hAnsi="Microsoft Sans Serif" w:eastAsia="Calibri" w:cs="Microsoft Sans Serif"/>
          <w:sz w:val="20"/>
          <w:szCs w:val="20"/>
          <w:lang w:val="sv-SE"/>
        </w:rPr>
        <w:t>koji ne mogu progutati tablete dostupan je i prašak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za oralnu suspenziju.</w:t>
      </w:r>
    </w:p>
    <w:p w14:paraId="65EDA7B3">
      <w:pPr>
        <w:widowControl w:val="0"/>
        <w:tabs>
          <w:tab w:val="clear" w:pos="284"/>
        </w:tabs>
        <w:rPr>
          <w:rFonts w:ascii="Microsoft Sans Serif" w:hAnsi="Microsoft Sans Serif" w:eastAsia="Calibri" w:cs="Microsoft Sans Serif"/>
          <w:sz w:val="20"/>
          <w:szCs w:val="20"/>
          <w:lang w:val="sv-SE"/>
        </w:rPr>
      </w:pP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može uzimati uz obrok ili bez njega, ali se mora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uvijek dosljedno ili ujutro ili uveče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lang w:val="sr-Cyrl-RS"/>
        </w:rPr>
        <w:t xml:space="preserve"> 5.2)</w:t>
      </w:r>
      <w:r>
        <w:rPr>
          <w:rFonts w:ascii="Microsoft Sans Serif" w:hAnsi="Microsoft Sans Serif" w:eastAsia="Calibri" w:cs="Microsoft Sans Serif"/>
          <w:sz w:val="20"/>
          <w:szCs w:val="20"/>
          <w:lang w:val="sv-SE"/>
        </w:rPr>
        <w:t xml:space="preserve">. </w:t>
      </w:r>
      <w:r>
        <w:rPr>
          <w:rFonts w:ascii="Microsoft Sans Serif" w:hAnsi="Microsoft Sans Serif" w:eastAsia="Calibri" w:cs="Microsoft Sans Serif"/>
          <w:sz w:val="20"/>
          <w:szCs w:val="20"/>
          <w:lang w:val="sr-Cyrl-RS"/>
        </w:rPr>
        <w:t xml:space="preserve">Lijek </w:t>
      </w:r>
      <w:r>
        <w:rPr>
          <w:rFonts w:ascii="Microsoft Sans Serif" w:hAnsi="Microsoft Sans Serif" w:eastAsia="Calibri" w:cs="Microsoft Sans Serif"/>
          <w:sz w:val="20"/>
          <w:szCs w:val="20"/>
          <w:lang w:val="sv-SE"/>
        </w:rPr>
        <w:t>Nodriga se ne smije uzimati sa grejpfrutom ni sokom od grejpfruta (pogledati dio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sv-SE"/>
        </w:rPr>
        <w:t>4.5).</w:t>
      </w:r>
    </w:p>
    <w:p w14:paraId="69476427">
      <w:pPr>
        <w:widowControl w:val="0"/>
        <w:tabs>
          <w:tab w:val="clear" w:pos="284"/>
        </w:tabs>
        <w:rPr>
          <w:rFonts w:ascii="Microsoft Sans Serif" w:hAnsi="Microsoft Sans Serif" w:eastAsia="Calibri" w:cs="Microsoft Sans Serif"/>
          <w:sz w:val="20"/>
          <w:szCs w:val="20"/>
          <w:lang w:val="sv-SE"/>
        </w:rPr>
      </w:pPr>
    </w:p>
    <w:p w14:paraId="561C66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1A938361">
      <w:pPr>
        <w:rPr>
          <w:rFonts w:ascii="Microsoft Sans Serif" w:hAnsi="Microsoft Sans Serif" w:cs="Microsoft Sans Serif"/>
          <w:b/>
          <w:bCs/>
          <w:sz w:val="20"/>
          <w:szCs w:val="20"/>
          <w:lang w:val="sv-SE"/>
        </w:rPr>
      </w:pPr>
    </w:p>
    <w:p w14:paraId="2823D0C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ivost na aktivnu supstancu ili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neku od pomoćnih supstanci navedenih u dijelu 6.1.</w:t>
      </w:r>
    </w:p>
    <w:p w14:paraId="1DFA4D50">
      <w:pPr>
        <w:rPr>
          <w:rFonts w:ascii="Microsoft Sans Serif" w:hAnsi="Microsoft Sans Serif" w:cs="Microsoft Sans Serif"/>
          <w:b/>
          <w:bCs/>
          <w:sz w:val="20"/>
          <w:szCs w:val="20"/>
          <w:lang w:val="sv-SE"/>
        </w:rPr>
      </w:pPr>
    </w:p>
    <w:p w14:paraId="2F7C1E4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4.4. Posebna upozorenja i mjere opreza pri upotrebi </w:t>
      </w:r>
      <w:r>
        <w:rPr>
          <w:rFonts w:ascii="Microsoft Sans Serif" w:hAnsi="Microsoft Sans Serif" w:cs="Microsoft Sans Serif"/>
          <w:b/>
          <w:bCs/>
          <w:sz w:val="20"/>
          <w:szCs w:val="20"/>
          <w:lang w:val="sr-Latn-RS"/>
        </w:rPr>
        <w:t>lijeka</w:t>
      </w:r>
    </w:p>
    <w:p w14:paraId="47A20436">
      <w:pPr>
        <w:widowControl w:val="0"/>
        <w:tabs>
          <w:tab w:val="clear" w:pos="284"/>
        </w:tabs>
        <w:rPr>
          <w:rFonts w:ascii="Microsoft Sans Serif" w:hAnsi="Microsoft Sans Serif" w:cs="Microsoft Sans Serif"/>
          <w:sz w:val="20"/>
          <w:szCs w:val="20"/>
          <w:lang w:val="sv-SE"/>
        </w:rPr>
      </w:pPr>
    </w:p>
    <w:p w14:paraId="2D886439">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Klinički značajne interakcije</w:t>
      </w:r>
    </w:p>
    <w:p w14:paraId="64799D5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Dasatinib je supstrat i inhibitor citohroma P450 (CYP) 3A4. Stoga postoji mogućnost interakcije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 xml:space="preserve">drugim istovremeno primjenjenim lijekovima koji se metabolišu primarno preko </w:t>
      </w:r>
      <w:r>
        <w:rPr>
          <w:rFonts w:ascii="Microsoft Sans Serif" w:hAnsi="Microsoft Sans Serif" w:cs="Microsoft Sans Serif"/>
          <w:sz w:val="20"/>
          <w:szCs w:val="20"/>
          <w:lang w:val="sr-Latn-RS"/>
        </w:rPr>
        <w:t>CYP</w:t>
      </w:r>
      <w:r>
        <w:rPr>
          <w:rFonts w:ascii="Microsoft Sans Serif" w:hAnsi="Microsoft Sans Serif" w:cs="Microsoft Sans Serif"/>
          <w:sz w:val="20"/>
          <w:szCs w:val="20"/>
          <w:lang w:val="sv-SE"/>
        </w:rPr>
        <w:t>3A4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mijenjaju aktivnost tog enzima (pogledati dio 4.5).</w:t>
      </w:r>
    </w:p>
    <w:p w14:paraId="22280796">
      <w:pPr>
        <w:widowControl w:val="0"/>
        <w:tabs>
          <w:tab w:val="clear" w:pos="284"/>
        </w:tabs>
        <w:rPr>
          <w:rFonts w:ascii="Microsoft Sans Serif" w:hAnsi="Microsoft Sans Serif" w:cs="Microsoft Sans Serif"/>
          <w:sz w:val="20"/>
          <w:szCs w:val="20"/>
          <w:lang w:val="sv-SE"/>
        </w:rPr>
      </w:pPr>
    </w:p>
    <w:p w14:paraId="289633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dasatiniba i lijekova ili supstanci koje potentno inhibiraju CYP3A4 (npr. 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itrakonazol, eritromicin, klaritromicin, ritonavir, telitromicin, sok od grejpfruta) može povećati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dasatinibu. Stoga se kod pacijenata koji primaju dasatinib ne preporučuje istovremena primjena potentnih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CYP3A4 (pogledati dio 4.5).</w:t>
      </w:r>
    </w:p>
    <w:p w14:paraId="5C608495">
      <w:pPr>
        <w:widowControl w:val="0"/>
        <w:tabs>
          <w:tab w:val="clear" w:pos="284"/>
        </w:tabs>
        <w:rPr>
          <w:rFonts w:ascii="Microsoft Sans Serif" w:hAnsi="Microsoft Sans Serif" w:cs="Microsoft Sans Serif"/>
          <w:sz w:val="20"/>
          <w:szCs w:val="20"/>
          <w:lang w:val="sv-SE"/>
        </w:rPr>
      </w:pPr>
    </w:p>
    <w:p w14:paraId="2541A87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dasatiniba i lijekova koji indukuju CYP3A4 (npr. deksametazon, 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 rifampicin, fenobarbital ili bilјni pr</w:t>
      </w:r>
      <w:r>
        <w:rPr>
          <w:rFonts w:ascii="Microsoft Sans Serif" w:hAnsi="Microsoft Sans Serif" w:cs="Microsoft Sans Serif"/>
          <w:sz w:val="20"/>
          <w:szCs w:val="20"/>
          <w:lang w:val="sr-Cyrl-RS"/>
        </w:rPr>
        <w:t>eparati</w:t>
      </w:r>
      <w:r>
        <w:rPr>
          <w:rFonts w:ascii="Microsoft Sans Serif" w:hAnsi="Microsoft Sans Serif" w:cs="Microsoft Sans Serif"/>
          <w:sz w:val="20"/>
          <w:szCs w:val="20"/>
        </w:rPr>
        <w:t xml:space="preserve"> koji sadrže Hypericum perforatum,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 pod imenom „kantarion“) mogu znatno smanjiti izloženost dasatinibu i time povećati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 od neuspjeha liječenja. Stoga je kod pacijenata koji primaju dasatinib potrebno izabrati alternativne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manjim potencijalom za indukciju CYP3A4 (pogledati dio 4.5).</w:t>
      </w:r>
    </w:p>
    <w:p w14:paraId="62E97CBA">
      <w:pPr>
        <w:widowControl w:val="0"/>
        <w:tabs>
          <w:tab w:val="clear" w:pos="284"/>
        </w:tabs>
        <w:rPr>
          <w:rFonts w:ascii="Microsoft Sans Serif" w:hAnsi="Microsoft Sans Serif" w:cs="Microsoft Sans Serif"/>
          <w:sz w:val="20"/>
          <w:szCs w:val="20"/>
        </w:rPr>
      </w:pPr>
    </w:p>
    <w:p w14:paraId="2E0DAB08">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 primjena dasatiniba i supstrata CYP3A4 može povećati izloženost supstratu CYP3A4.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primjenjuje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w:t>
      </w:r>
      <w:r>
        <w:rPr>
          <w:rFonts w:ascii="Microsoft Sans Serif" w:hAnsi="Microsoft Sans Serif" w:eastAsia="Calibri" w:cs="Microsoft Sans Serif"/>
          <w:sz w:val="20"/>
          <w:szCs w:val="20"/>
          <w:lang w:val="sr-Cyrl-RS"/>
        </w:rPr>
        <w:t>3</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4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indeks</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astemizol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terfenadin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pimozid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lang w:val="mk-MK"/>
        </w:rPr>
        <w:t>h</w:t>
      </w:r>
      <w:r>
        <w:rPr>
          <w:rFonts w:ascii="Microsoft Sans Serif" w:hAnsi="Microsoft Sans Serif" w:eastAsia="Calibri" w:cs="Microsoft Sans Serif"/>
          <w:sz w:val="20"/>
          <w:szCs w:val="20"/>
        </w:rPr>
        <w:t>inidin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bepridil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alkaloidi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ergotamin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dihidroergotamin</w:t>
      </w:r>
      <w:r>
        <w:rPr>
          <w:rFonts w:ascii="Microsoft Sans Serif" w:hAnsi="Microsoft Sans Serif" w:eastAsia="Calibri" w:cs="Microsoft Sans Serif"/>
          <w:sz w:val="20"/>
          <w:szCs w:val="20"/>
          <w:lang w:val="sr-Cyrl-RS"/>
        </w:rPr>
        <w:t>)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6B2BC3BC">
      <w:pPr>
        <w:widowControl w:val="0"/>
        <w:tabs>
          <w:tab w:val="clear" w:pos="284"/>
        </w:tabs>
        <w:rPr>
          <w:rFonts w:ascii="Microsoft Sans Serif" w:hAnsi="Microsoft Sans Serif" w:eastAsia="Calibri" w:cs="Microsoft Sans Serif"/>
          <w:sz w:val="20"/>
          <w:szCs w:val="20"/>
          <w:lang w:val="sr-Cyrl-RS"/>
        </w:rPr>
      </w:pPr>
    </w:p>
    <w:p w14:paraId="5D67156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histaminskih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famotidin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npr</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omeprazol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enost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antagonista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w:t>
      </w:r>
      <w:r>
        <w:rPr>
          <w:rFonts w:ascii="Microsoft Sans Serif" w:hAnsi="Microsoft Sans Serif" w:eastAsia="Calibri" w:cs="Microsoft Sans Serif"/>
          <w:sz w:val="20"/>
          <w:szCs w:val="20"/>
          <w:lang w:val="sr-Cyrl-RS"/>
        </w:rPr>
        <w:t xml:space="preserve">2 </w:t>
      </w:r>
      <w:r>
        <w:rPr>
          <w:rFonts w:ascii="Microsoft Sans Serif" w:hAnsi="Microsoft Sans Serif" w:eastAsia="Calibri" w:cs="Microsoft Sans Serif"/>
          <w:sz w:val="20"/>
          <w:szCs w:val="20"/>
        </w:rPr>
        <w:t>receptora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inhibitora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proizvodi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aluminijum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rPr>
        <w:t>magnezijum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hidroksidom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sata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poslije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4.5).</w:t>
      </w:r>
    </w:p>
    <w:p w14:paraId="0DC7D6CA">
      <w:pPr>
        <w:widowControl w:val="0"/>
        <w:tabs>
          <w:tab w:val="clear" w:pos="284"/>
        </w:tabs>
        <w:rPr>
          <w:rFonts w:ascii="Microsoft Sans Serif" w:hAnsi="Microsoft Sans Serif" w:eastAsia="Calibri" w:cs="Microsoft Sans Serif"/>
          <w:sz w:val="20"/>
          <w:szCs w:val="20"/>
          <w:lang w:val="sr-Cyrl-RS"/>
        </w:rPr>
      </w:pPr>
    </w:p>
    <w:p w14:paraId="4687AFD1">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Posebne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populacije</w:t>
      </w:r>
    </w:p>
    <w:p w14:paraId="5E70B3C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podacima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farmakokineti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lang w:val="sr-Cyrl-RS"/>
        </w:rPr>
        <w:t xml:space="preserve"> studije pojedinačne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blagim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umjerenim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jetre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mogu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5.2). </w:t>
      </w:r>
      <w:r>
        <w:rPr>
          <w:rFonts w:ascii="Microsoft Sans Serif" w:hAnsi="Microsoft Sans Serif" w:eastAsia="Calibri" w:cs="Microsoft Sans Serif"/>
          <w:sz w:val="20"/>
          <w:szCs w:val="20"/>
        </w:rPr>
        <w:t>Zbog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funkcijom</w:t>
      </w:r>
      <w:r>
        <w:rPr>
          <w:rFonts w:ascii="Microsoft Sans Serif" w:hAnsi="Microsoft Sans Serif" w:eastAsia="Calibri" w:cs="Microsoft Sans Serif"/>
          <w:sz w:val="20"/>
          <w:szCs w:val="20"/>
          <w:lang w:val="sr-Cyrl-RS"/>
        </w:rPr>
        <w:t xml:space="preserve"> jetre.</w:t>
      </w:r>
    </w:p>
    <w:p w14:paraId="63453D78">
      <w:pPr>
        <w:widowControl w:val="0"/>
        <w:tabs>
          <w:tab w:val="clear" w:pos="284"/>
        </w:tabs>
        <w:rPr>
          <w:rFonts w:ascii="Microsoft Sans Serif" w:hAnsi="Microsoft Sans Serif" w:eastAsia="Calibri" w:cs="Microsoft Sans Serif"/>
          <w:sz w:val="20"/>
          <w:szCs w:val="20"/>
          <w:lang w:val="sr-Cyrl-RS"/>
        </w:rPr>
      </w:pPr>
    </w:p>
    <w:p w14:paraId="72541535">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rPr>
        <w:t>Va</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ne</w:t>
      </w:r>
      <w:r>
        <w:rPr>
          <w:rFonts w:ascii="Microsoft Sans Serif" w:hAnsi="Microsoft Sans Serif" w:eastAsia="Calibri" w:cs="Microsoft Sans Serif"/>
          <w:sz w:val="20"/>
          <w:szCs w:val="20"/>
          <w:u w:val="single"/>
          <w:lang w:val="sr-Cyrl-RS"/>
        </w:rPr>
        <w:t>ž</w:t>
      </w:r>
      <w:r>
        <w:rPr>
          <w:rFonts w:ascii="Microsoft Sans Serif" w:hAnsi="Microsoft Sans Serif" w:eastAsia="Calibri" w:cs="Microsoft Sans Serif"/>
          <w:sz w:val="20"/>
          <w:szCs w:val="20"/>
          <w:u w:val="single"/>
        </w:rPr>
        <w:t>el</w:t>
      </w:r>
      <w:r>
        <w:rPr>
          <w:rFonts w:ascii="Microsoft Sans Serif" w:hAnsi="Microsoft Sans Serif" w:eastAsia="Calibri" w:cs="Microsoft Sans Serif"/>
          <w:sz w:val="20"/>
          <w:szCs w:val="20"/>
          <w:u w:val="single"/>
          <w:lang w:val="sr-Cyrl-RS"/>
        </w:rPr>
        <w:t>ј</w:t>
      </w:r>
      <w:r>
        <w:rPr>
          <w:rFonts w:ascii="Microsoft Sans Serif" w:hAnsi="Microsoft Sans Serif" w:eastAsia="Calibri" w:cs="Microsoft Sans Serif"/>
          <w:sz w:val="20"/>
          <w:szCs w:val="20"/>
          <w:u w:val="single"/>
        </w:rPr>
        <w:t>ene</w:t>
      </w:r>
      <w:r>
        <w:rPr>
          <w:rFonts w:ascii="Microsoft Sans Serif" w:hAnsi="Microsoft Sans Serif" w:eastAsia="Calibri" w:cs="Microsoft Sans Serif"/>
          <w:sz w:val="20"/>
          <w:szCs w:val="20"/>
          <w:u w:val="single"/>
          <w:lang w:val="sr-Cyrl-RS"/>
        </w:rPr>
        <w:t xml:space="preserve"> </w:t>
      </w:r>
      <w:r>
        <w:rPr>
          <w:rFonts w:ascii="Microsoft Sans Serif" w:hAnsi="Microsoft Sans Serif" w:eastAsia="Calibri" w:cs="Microsoft Sans Serif"/>
          <w:sz w:val="20"/>
          <w:szCs w:val="20"/>
          <w:u w:val="single"/>
        </w:rPr>
        <w:t>reakcije</w:t>
      </w:r>
    </w:p>
    <w:p w14:paraId="4E4EEA8D">
      <w:pPr>
        <w:widowControl w:val="0"/>
        <w:tabs>
          <w:tab w:val="clear" w:pos="284"/>
        </w:tabs>
        <w:rPr>
          <w:rFonts w:ascii="Microsoft Sans Serif" w:hAnsi="Microsoft Sans Serif" w:eastAsia="Calibri" w:cs="Microsoft Sans Serif"/>
          <w:i/>
          <w:sz w:val="20"/>
          <w:szCs w:val="20"/>
          <w:u w:val="single"/>
          <w:lang w:val="sr-Cyrl-RS"/>
        </w:rPr>
      </w:pPr>
    </w:p>
    <w:p w14:paraId="1EBE92A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Mijelosupresija</w:t>
      </w:r>
    </w:p>
    <w:p w14:paraId="027219B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anemijom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neutropenijom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ihova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ranija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monoterapiji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prva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odraslih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svake</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12 </w:t>
      </w:r>
      <w:r>
        <w:rPr>
          <w:rFonts w:ascii="Microsoft Sans Serif" w:hAnsi="Microsoft Sans Serif" w:eastAsia="Calibri" w:cs="Microsoft Sans Serif"/>
          <w:sz w:val="20"/>
          <w:szCs w:val="20"/>
        </w:rPr>
        <w:t>nedel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mjeseca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toga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Kod </w:t>
      </w:r>
      <w:r>
        <w:rPr>
          <w:rFonts w:ascii="Microsoft Sans Serif" w:hAnsi="Microsoft Sans Serif" w:eastAsia="Calibri" w:cs="Microsoft Sans Serif"/>
          <w:sz w:val="20"/>
          <w:szCs w:val="20"/>
        </w:rPr>
        <w:t>pedijatrijskih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kombinaciji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indikaciji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konsolidacijskih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blokova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kompletnu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krvnu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sliku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treba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svaka</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dana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oporavka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w:t>
      </w:r>
      <w:r>
        <w:rPr>
          <w:rFonts w:ascii="Microsoft Sans Serif" w:hAnsi="Microsoft Sans Serif" w:cs="Microsoft Sans Serif"/>
          <w:sz w:val="20"/>
          <w:szCs w:val="20"/>
          <w:lang w:val="sr-Cyrl-RS"/>
        </w:rPr>
        <w:t xml:space="preserve"> </w:t>
      </w:r>
      <w:r>
        <w:rPr>
          <w:rFonts w:ascii="Microsoft Sans Serif" w:hAnsi="Microsoft Sans Serif" w:eastAsia="Calibri" w:cs="Microsoft Sans Serif"/>
          <w:sz w:val="20"/>
          <w:szCs w:val="20"/>
        </w:rPr>
        <w:t>Mijelosupresija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obi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reverzibilna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šć</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zbrinjava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privremenim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prekidom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smanjenjem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r>
        <w:rPr>
          <w:rFonts w:ascii="Microsoft Sans Serif" w:hAnsi="Microsoft Sans Serif" w:eastAsia="Calibri" w:cs="Microsoft Sans Serif"/>
          <w:sz w:val="20"/>
          <w:szCs w:val="20"/>
          <w:lang w:val="sr-Cyrl-RS"/>
        </w:rPr>
        <w:t>.</w:t>
      </w:r>
    </w:p>
    <w:p w14:paraId="50ECE726">
      <w:pPr>
        <w:widowControl w:val="0"/>
        <w:tabs>
          <w:tab w:val="clear" w:pos="284"/>
        </w:tabs>
        <w:rPr>
          <w:rFonts w:ascii="Microsoft Sans Serif" w:hAnsi="Microsoft Sans Serif" w:cs="Microsoft Sans Serif"/>
          <w:sz w:val="20"/>
          <w:szCs w:val="20"/>
          <w:lang w:val="sr-Cyrl-RS"/>
        </w:rPr>
      </w:pPr>
    </w:p>
    <w:p w14:paraId="2B6C8E3F">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Krvarenje</w:t>
      </w:r>
    </w:p>
    <w:p w14:paraId="7E99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=548), 5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sr-Cyrl-RS"/>
        </w:rPr>
        <w:t xml:space="preserve">=304),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centralnom nervnom sistemu (</w:t>
      </w:r>
      <w:r>
        <w:rPr>
          <w:rFonts w:ascii="Microsoft Sans Serif" w:hAnsi="Microsoft Sans Serif" w:cs="Microsoft Sans Serif"/>
          <w:sz w:val="20"/>
          <w:szCs w:val="20"/>
        </w:rPr>
        <w:t>CNS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trombocitopenijom</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Common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Toxicity</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CTC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r-Cyrl-RS"/>
        </w:rPr>
        <w:t>).</w:t>
      </w:r>
    </w:p>
    <w:p w14:paraId="76EBB78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Gastrointestinalno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HML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generalno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zahtjevalo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transfuzije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Druga krvarenja 3. ili 4. stepena javila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 se kod 2%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HML u uznapredovaloj fazi.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tih pacijenata većina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povezanih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krvarenjima bila je povezana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trombocitopenijom 3. ili 4. stepena (pogledati dio 4.8). Dodatno,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određivanje trombocita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upućuje na to</w:t>
      </w:r>
      <w:r>
        <w:rPr>
          <w:rFonts w:ascii="Microsoft Sans Serif" w:hAnsi="Microsoft Sans Serif" w:cs="Microsoft Sans Serif"/>
          <w:sz w:val="20"/>
          <w:szCs w:val="20"/>
          <w:lang w:val="sv-SE"/>
        </w:rPr>
        <w:t xml:space="preserve"> da liječenje dasatinibom reverzibilno utiče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aktivaciju trombocita.</w:t>
      </w:r>
      <w:r>
        <w:rPr>
          <w:rFonts w:ascii="Microsoft Sans Serif" w:hAnsi="Microsoft Sans Serif" w:cs="Microsoft Sans Serif"/>
          <w:sz w:val="20"/>
          <w:szCs w:val="20"/>
          <w:lang w:val="sr-Cyrl-RS"/>
        </w:rPr>
        <w:t xml:space="preserve"> </w:t>
      </w:r>
    </w:p>
    <w:p w14:paraId="5E7EA738">
      <w:pPr>
        <w:widowControl w:val="0"/>
        <w:tabs>
          <w:tab w:val="clear" w:pos="284"/>
        </w:tabs>
        <w:rPr>
          <w:rFonts w:ascii="Microsoft Sans Serif" w:hAnsi="Microsoft Sans Serif" w:cs="Microsoft Sans Serif"/>
          <w:sz w:val="20"/>
          <w:szCs w:val="20"/>
          <w:lang w:val="sr-Cyrl-RS"/>
        </w:rPr>
      </w:pPr>
    </w:p>
    <w:p w14:paraId="7054D0F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Oprez je potreban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antikoagulanse</w:t>
      </w:r>
      <w:r>
        <w:rPr>
          <w:rFonts w:ascii="Microsoft Sans Serif" w:hAnsi="Microsoft Sans Serif" w:cs="Microsoft Sans Serif"/>
          <w:sz w:val="20"/>
          <w:szCs w:val="20"/>
          <w:lang w:val="sr-Cyrl-RS"/>
        </w:rPr>
        <w:t>.</w:t>
      </w:r>
    </w:p>
    <w:p w14:paraId="5304E70A">
      <w:pPr>
        <w:widowControl w:val="0"/>
        <w:tabs>
          <w:tab w:val="clear" w:pos="284"/>
        </w:tabs>
        <w:rPr>
          <w:rFonts w:ascii="Microsoft Sans Serif" w:hAnsi="Microsoft Sans Serif" w:eastAsia="Calibri" w:cs="Microsoft Sans Serif"/>
          <w:i/>
          <w:sz w:val="20"/>
          <w:szCs w:val="20"/>
          <w:lang w:val="sr-Cyrl-RS"/>
        </w:rPr>
      </w:pPr>
    </w:p>
    <w:p w14:paraId="7E20572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Zadr</w:t>
      </w:r>
      <w:r>
        <w:rPr>
          <w:rFonts w:ascii="Microsoft Sans Serif" w:hAnsi="Microsoft Sans Serif" w:eastAsia="Calibri" w:cs="Microsoft Sans Serif"/>
          <w:i/>
          <w:sz w:val="20"/>
          <w:szCs w:val="20"/>
          <w:u w:val="single"/>
          <w:lang w:val="sr-Cyrl-RS"/>
        </w:rPr>
        <w:t>ž</w:t>
      </w:r>
      <w:r>
        <w:rPr>
          <w:rFonts w:ascii="Microsoft Sans Serif" w:hAnsi="Microsoft Sans Serif" w:eastAsia="Calibri" w:cs="Microsoft Sans Serif"/>
          <w:i/>
          <w:sz w:val="20"/>
          <w:szCs w:val="20"/>
          <w:u w:val="single"/>
        </w:rPr>
        <w:t>avanje</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te</w:t>
      </w:r>
      <w:r>
        <w:rPr>
          <w:rFonts w:ascii="Microsoft Sans Serif" w:hAnsi="Microsoft Sans Serif" w:eastAsia="Calibri" w:cs="Microsoft Sans Serif"/>
          <w:i/>
          <w:sz w:val="20"/>
          <w:szCs w:val="20"/>
          <w:u w:val="single"/>
          <w:lang w:val="sr-Cyrl-RS"/>
        </w:rPr>
        <w:t>č</w:t>
      </w:r>
      <w:r>
        <w:rPr>
          <w:rFonts w:ascii="Microsoft Sans Serif" w:hAnsi="Microsoft Sans Serif" w:eastAsia="Calibri" w:cs="Microsoft Sans Serif"/>
          <w:i/>
          <w:sz w:val="20"/>
          <w:szCs w:val="20"/>
          <w:u w:val="single"/>
        </w:rPr>
        <w:t>nosti</w:t>
      </w:r>
    </w:p>
    <w:p w14:paraId="7BB42F6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III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najmanje</w:t>
      </w:r>
      <w:r>
        <w:rPr>
          <w:rFonts w:ascii="Microsoft Sans Serif" w:hAnsi="Microsoft Sans Serif" w:eastAsia="Calibri" w:cs="Microsoft Sans Serif"/>
          <w:sz w:val="20"/>
          <w:szCs w:val="20"/>
          <w:lang w:val="sr-Cyrl-RS"/>
        </w:rPr>
        <w:t xml:space="preserve"> 60 </w:t>
      </w:r>
      <w:r>
        <w:rPr>
          <w:rFonts w:ascii="Microsoft Sans Serif" w:hAnsi="Microsoft Sans Serif" w:eastAsia="Calibri" w:cs="Microsoft Sans Serif"/>
          <w:sz w:val="20"/>
          <w:szCs w:val="20"/>
        </w:rPr>
        <w:t>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pra</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13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(5%)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i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hroni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32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(6%) </w:t>
      </w:r>
      <w:r>
        <w:rPr>
          <w:rFonts w:ascii="Microsoft Sans Serif" w:hAnsi="Microsoft Sans Serif" w:eastAsia="Calibri" w:cs="Microsoft Sans Serif"/>
          <w:sz w:val="20"/>
          <w:szCs w:val="20"/>
        </w:rPr>
        <w:t>koja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=548).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klini</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HML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uznapredovaloj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preporu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w:t>
      </w:r>
      <w:r>
        <w:rPr>
          <w:rFonts w:ascii="Microsoft Sans Serif" w:hAnsi="Microsoft Sans Serif" w:eastAsia="Calibri" w:cs="Microsoft Sans Serif"/>
          <w:sz w:val="20"/>
          <w:szCs w:val="20"/>
          <w:lang w:val="sr-Cyrl-RS"/>
        </w:rPr>
        <w:t xml:space="preserve">=304),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8%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7%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Me</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edem</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1%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jednako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w:t>
      </w:r>
    </w:p>
    <w:p w14:paraId="3645BDF2">
      <w:pPr>
        <w:widowControl w:val="0"/>
        <w:tabs>
          <w:tab w:val="clear" w:pos="284"/>
        </w:tabs>
        <w:rPr>
          <w:rFonts w:ascii="Microsoft Sans Serif" w:hAnsi="Microsoft Sans Serif" w:eastAsia="Calibri" w:cs="Microsoft Sans Serif"/>
          <w:sz w:val="20"/>
          <w:szCs w:val="20"/>
          <w:lang w:val="sr-Cyrl-RS"/>
        </w:rPr>
      </w:pPr>
    </w:p>
    <w:p w14:paraId="4A8BD98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Kod pacijenata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upu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kao</w:t>
      </w:r>
      <w:r>
        <w:rPr>
          <w:rFonts w:ascii="Microsoft Sans Serif" w:hAnsi="Microsoft Sans Serif" w:eastAsia="Calibri" w:cs="Microsoft Sans Serif"/>
          <w:sz w:val="20"/>
          <w:szCs w:val="20"/>
          <w:lang w:val="sr-Cyrl-RS"/>
        </w:rPr>
        <w:t xml:space="preserve"> š</w:t>
      </w:r>
      <w:r>
        <w:rPr>
          <w:rFonts w:ascii="Microsoft Sans Serif" w:hAnsi="Microsoft Sans Serif" w:eastAsia="Calibri" w:cs="Microsoft Sans Serif"/>
          <w:sz w:val="20"/>
          <w:szCs w:val="20"/>
        </w:rPr>
        <w:t>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suvi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al</w:t>
      </w:r>
      <w:r>
        <w:rPr>
          <w:rFonts w:ascii="Microsoft Sans Serif" w:hAnsi="Microsoft Sans Serif" w:eastAsia="Calibri" w:cs="Microsoft Sans Serif"/>
          <w:sz w:val="20"/>
          <w:szCs w:val="20"/>
          <w:lang w:val="sr-Cyrl-RS"/>
        </w:rPr>
        <w:t xml:space="preserve">ј,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uraditi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rendgenski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snimak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w:t>
      </w:r>
      <w:r>
        <w:rPr>
          <w:rFonts w:ascii="Microsoft Sans Serif" w:hAnsi="Microsoft Sans Serif" w:eastAsia="Calibri" w:cs="Microsoft Sans Serif"/>
          <w:sz w:val="20"/>
          <w:szCs w:val="20"/>
          <w:lang w:val="sr-Cyrl-RS"/>
        </w:rPr>
        <w:t xml:space="preserve"> 3.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4. </w:t>
      </w:r>
      <w:r>
        <w:rPr>
          <w:rFonts w:ascii="Microsoft Sans Serif" w:hAnsi="Microsoft Sans Serif" w:eastAsia="Calibri" w:cs="Microsoft Sans Serif"/>
          <w:sz w:val="20"/>
          <w:szCs w:val="20"/>
        </w:rPr>
        <w:t>mo</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zahtjevati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torakocenteze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kiseonikom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zadr</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avanja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nosti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uglavnom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zbrinute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uvo</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suportivnih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ivale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diuretika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kratkotrajnu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steroida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dijelove</w:t>
      </w:r>
      <w:r>
        <w:rPr>
          <w:rFonts w:ascii="Microsoft Sans Serif" w:hAnsi="Microsoft Sans Serif" w:eastAsia="Calibri" w:cs="Microsoft Sans Serif"/>
          <w:sz w:val="20"/>
          <w:szCs w:val="20"/>
          <w:lang w:val="sr-Cyrl-RS"/>
        </w:rPr>
        <w:t xml:space="preserve"> 4.2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4.8). Kod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starosti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65 </w:t>
      </w:r>
      <w:r>
        <w:rPr>
          <w:rFonts w:ascii="Microsoft Sans Serif" w:hAnsi="Microsoft Sans Serif" w:eastAsia="Calibri" w:cs="Microsoft Sans Serif"/>
          <w:sz w:val="20"/>
          <w:szCs w:val="20"/>
        </w:rPr>
        <w:t>godina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mk-MK"/>
        </w:rPr>
        <w: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vjerovatno</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javlјanja </w:t>
      </w:r>
      <w:r>
        <w:rPr>
          <w:rFonts w:ascii="Microsoft Sans Serif" w:hAnsi="Microsoft Sans Serif" w:eastAsia="Calibri" w:cs="Microsoft Sans Serif"/>
          <w:sz w:val="20"/>
          <w:szCs w:val="20"/>
        </w:rPr>
        <w:t>pleuralnog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dispneje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perikardijalnog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kongestivnog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zastoja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nego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mla</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stoga</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stariji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moraju</w:t>
      </w:r>
      <w:r>
        <w:rPr>
          <w:rFonts w:ascii="Microsoft Sans Serif" w:hAnsi="Microsoft Sans Serif" w:eastAsia="Calibri" w:cs="Microsoft Sans Serif"/>
          <w:sz w:val="20"/>
          <w:szCs w:val="20"/>
          <w:lang w:val="sr-Cyrl-RS"/>
        </w:rPr>
        <w:t xml:space="preserve"> pažlјivo pratiti.</w:t>
      </w:r>
      <w:r>
        <w:rPr>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hilotoraksa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pleuralnim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6E0F7CD3">
      <w:pPr>
        <w:widowControl w:val="0"/>
        <w:tabs>
          <w:tab w:val="clear" w:pos="284"/>
        </w:tabs>
        <w:rPr>
          <w:rFonts w:ascii="Microsoft Sans Serif" w:hAnsi="Microsoft Sans Serif" w:eastAsia="Calibri" w:cs="Microsoft Sans Serif"/>
          <w:sz w:val="20"/>
          <w:szCs w:val="20"/>
          <w:lang w:val="sr-Cyrl-RS"/>
        </w:rPr>
      </w:pPr>
    </w:p>
    <w:p w14:paraId="63349041">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rPr>
        <w:t>Plu</w:t>
      </w:r>
      <w:r>
        <w:rPr>
          <w:rFonts w:ascii="Microsoft Sans Serif" w:hAnsi="Microsoft Sans Serif" w:eastAsia="Calibri" w:cs="Microsoft Sans Serif"/>
          <w:i/>
          <w:sz w:val="20"/>
          <w:szCs w:val="20"/>
          <w:u w:val="single"/>
          <w:lang w:val="sr-Cyrl-RS"/>
        </w:rPr>
        <w:t>ć</w:t>
      </w:r>
      <w:r>
        <w:rPr>
          <w:rFonts w:ascii="Microsoft Sans Serif" w:hAnsi="Microsoft Sans Serif" w:eastAsia="Calibri" w:cs="Microsoft Sans Serif"/>
          <w:i/>
          <w:sz w:val="20"/>
          <w:szCs w:val="20"/>
          <w:u w:val="single"/>
        </w:rPr>
        <w:t>na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arterijska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hipertenzija</w:t>
      </w:r>
      <w:r>
        <w:rPr>
          <w:rFonts w:ascii="Microsoft Sans Serif" w:hAnsi="Microsoft Sans Serif" w:eastAsia="Calibri" w:cs="Microsoft Sans Serif"/>
          <w:i/>
          <w:sz w:val="20"/>
          <w:szCs w:val="20"/>
          <w:u w:val="single"/>
          <w:lang w:val="sr-Cyrl-RS"/>
        </w:rPr>
        <w:t xml:space="preserve"> (</w:t>
      </w:r>
      <w:r>
        <w:rPr>
          <w:rFonts w:ascii="Microsoft Sans Serif" w:hAnsi="Microsoft Sans Serif" w:eastAsia="Calibri" w:cs="Microsoft Sans Serif"/>
          <w:i/>
          <w:sz w:val="20"/>
          <w:szCs w:val="20"/>
          <w:u w:val="single"/>
        </w:rPr>
        <w:t>PAH</w:t>
      </w:r>
      <w:r>
        <w:rPr>
          <w:rFonts w:ascii="Microsoft Sans Serif" w:hAnsi="Microsoft Sans Serif" w:eastAsia="Calibri" w:cs="Microsoft Sans Serif"/>
          <w:i/>
          <w:sz w:val="20"/>
          <w:szCs w:val="20"/>
          <w:u w:val="single"/>
          <w:lang w:val="sr-Cyrl-RS"/>
        </w:rPr>
        <w:t>)</w:t>
      </w:r>
    </w:p>
    <w:p w14:paraId="728EF323">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en</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prekapilarna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arterijska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hipertenzija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potvr</w:t>
      </w:r>
      <w:r>
        <w:rPr>
          <w:rFonts w:ascii="Microsoft Sans Serif" w:hAnsi="Microsoft Sans Serif" w:eastAsia="Calibri" w:cs="Microsoft Sans Serif"/>
          <w:sz w:val="20"/>
          <w:szCs w:val="20"/>
          <w:lang w:val="sr-Cyrl-RS"/>
        </w:rPr>
        <w:t>đ</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kateterizacijom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desne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povezana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enjem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dio</w:t>
      </w:r>
      <w:r>
        <w:rPr>
          <w:rFonts w:ascii="Microsoft Sans Serif" w:hAnsi="Microsoft Sans Serif" w:eastAsia="Calibri" w:cs="Microsoft Sans Serif"/>
          <w:sz w:val="20"/>
          <w:szCs w:val="20"/>
          <w:lang w:val="sr-Cyrl-RS"/>
        </w:rPr>
        <w:t xml:space="preserve"> 4.8). </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slu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ajevima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PAH</w:t>
      </w:r>
      <w:r>
        <w:rPr>
          <w:rFonts w:ascii="Microsoft Sans Serif" w:hAnsi="Microsoft Sans Serif" w:eastAsia="Calibri" w:cs="Microsoft Sans Serif"/>
          <w:sz w:val="20"/>
          <w:szCs w:val="20"/>
          <w:lang w:val="sr-Cyrl-RS"/>
        </w:rPr>
        <w:t xml:space="preserve"> je </w:t>
      </w:r>
      <w:r>
        <w:rPr>
          <w:rFonts w:ascii="Microsoft Sans Serif" w:hAnsi="Microsoft Sans Serif" w:eastAsia="Calibri" w:cs="Microsoft Sans Serif"/>
          <w:sz w:val="20"/>
          <w:szCs w:val="20"/>
        </w:rPr>
        <w:t>bi</w:t>
      </w:r>
      <w:r>
        <w:rPr>
          <w:rFonts w:ascii="Microsoft Sans Serif" w:hAnsi="Microsoft Sans Serif" w:eastAsia="Calibri" w:cs="Microsoft Sans Serif"/>
          <w:sz w:val="20"/>
          <w:szCs w:val="20"/>
          <w:lang w:val="sr-Cyrl-RS"/>
        </w:rPr>
        <w:t xml:space="preserve">la </w:t>
      </w:r>
      <w:r>
        <w:rPr>
          <w:rFonts w:ascii="Microsoft Sans Serif" w:hAnsi="Microsoft Sans Serif" w:eastAsia="Calibri" w:cs="Microsoft Sans Serif"/>
          <w:sz w:val="20"/>
          <w:szCs w:val="20"/>
        </w:rPr>
        <w:t>zabilje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w:t>
      </w:r>
      <w:r>
        <w:rPr>
          <w:rFonts w:ascii="Microsoft Sans Serif" w:hAnsi="Microsoft Sans Serif" w:eastAsia="Calibri" w:cs="Microsoft Sans Serif"/>
          <w:sz w:val="20"/>
          <w:szCs w:val="20"/>
          <w:lang w:val="sr-Cyrl-RS"/>
        </w:rPr>
        <w:t>ј</w:t>
      </w:r>
      <w:r>
        <w:rPr>
          <w:rFonts w:ascii="Microsoft Sans Serif" w:hAnsi="Microsoft Sans Serif" w:eastAsia="Calibri" w:cs="Microsoft Sans Serif"/>
          <w:sz w:val="20"/>
          <w:szCs w:val="20"/>
        </w:rPr>
        <w:t>u</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uju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slučajeve </w:t>
      </w:r>
      <w:r>
        <w:rPr>
          <w:rFonts w:ascii="Microsoft Sans Serif" w:hAnsi="Microsoft Sans Serif" w:eastAsia="Calibri" w:cs="Microsoft Sans Serif"/>
          <w:sz w:val="20"/>
          <w:szCs w:val="20"/>
        </w:rPr>
        <w:t>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vi</w:t>
      </w:r>
      <w:r>
        <w:rPr>
          <w:rFonts w:ascii="Microsoft Sans Serif" w:hAnsi="Microsoft Sans Serif" w:eastAsia="Calibri" w:cs="Microsoft Sans Serif"/>
          <w:sz w:val="20"/>
          <w:szCs w:val="20"/>
          <w:lang w:val="sr-Cyrl-RS"/>
        </w:rPr>
        <w:t>š</w:t>
      </w:r>
      <w:r>
        <w:rPr>
          <w:rFonts w:ascii="Microsoft Sans Serif" w:hAnsi="Microsoft Sans Serif" w:eastAsia="Calibri" w:cs="Microsoft Sans Serif"/>
          <w:sz w:val="20"/>
          <w:szCs w:val="20"/>
        </w:rPr>
        <w: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jedne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godine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w:t>
      </w:r>
    </w:p>
    <w:p w14:paraId="064359A2">
      <w:pPr>
        <w:widowControl w:val="0"/>
        <w:tabs>
          <w:tab w:val="clear" w:pos="284"/>
        </w:tabs>
        <w:rPr>
          <w:rFonts w:ascii="Microsoft Sans Serif" w:hAnsi="Microsoft Sans Serif" w:eastAsia="Calibri" w:cs="Microsoft Sans Serif"/>
          <w:sz w:val="20"/>
          <w:szCs w:val="20"/>
          <w:lang w:val="sr-Cyrl-RS"/>
        </w:rPr>
      </w:pPr>
    </w:p>
    <w:p w14:paraId="71128AA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Prije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sr-Cyrl-RS"/>
        </w:rPr>
        <w:t xml:space="preserve">e treba </w:t>
      </w:r>
      <w:r>
        <w:rPr>
          <w:rFonts w:ascii="Microsoft Sans Serif" w:hAnsi="Microsoft Sans Serif" w:eastAsia="Calibri" w:cs="Microsoft Sans Serif"/>
          <w:sz w:val="20"/>
          <w:szCs w:val="20"/>
        </w:rPr>
        <w:t>pregledati</w:t>
      </w:r>
      <w:r>
        <w:rPr>
          <w:rFonts w:ascii="Microsoft Sans Serif" w:hAnsi="Microsoft Sans Serif" w:eastAsia="Calibri" w:cs="Microsoft Sans Serif"/>
          <w:sz w:val="20"/>
          <w:szCs w:val="20"/>
          <w:lang w:val="sr-Cyrl-RS"/>
        </w:rPr>
        <w:t xml:space="preserve"> kako bi se utvrdili </w:t>
      </w:r>
      <w:r>
        <w:rPr>
          <w:rFonts w:ascii="Microsoft Sans Serif" w:hAnsi="Microsoft Sans Serif" w:eastAsia="Calibri" w:cs="Microsoft Sans Serif"/>
          <w:sz w:val="20"/>
          <w:szCs w:val="20"/>
        </w:rPr>
        <w:t>zna</w:t>
      </w:r>
      <w:r>
        <w:rPr>
          <w:rFonts w:ascii="Microsoft Sans Serif" w:hAnsi="Microsoft Sans Serif" w:eastAsia="Calibri" w:cs="Microsoft Sans Serif"/>
          <w:sz w:val="20"/>
          <w:szCs w:val="20"/>
          <w:lang w:val="sr-Cyrl-RS"/>
        </w:rPr>
        <w:t xml:space="preserve">ci </w:t>
      </w:r>
      <w:r>
        <w:rPr>
          <w:rFonts w:ascii="Microsoft Sans Serif" w:hAnsi="Microsoft Sans Serif" w:eastAsia="Calibri" w:cs="Microsoft Sans Serif"/>
          <w:sz w:val="20"/>
          <w:szCs w:val="20"/>
        </w:rPr>
        <w: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w:t>
      </w:r>
      <w:r>
        <w:rPr>
          <w:rFonts w:ascii="Microsoft Sans Serif" w:hAnsi="Microsoft Sans Serif" w:eastAsia="Calibri" w:cs="Microsoft Sans Serif"/>
          <w:sz w:val="20"/>
          <w:szCs w:val="20"/>
          <w:lang w:val="sr-Cyrl-RS"/>
        </w:rPr>
        <w:t xml:space="preserve">i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etku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w:t>
      </w:r>
      <w:r>
        <w:rPr>
          <w:rFonts w:ascii="Microsoft Sans Serif" w:hAnsi="Microsoft Sans Serif" w:eastAsia="Calibri" w:cs="Microsoft Sans Serif"/>
          <w:sz w:val="20"/>
          <w:szCs w:val="20"/>
          <w:lang w:val="sr-Cyrl-RS"/>
        </w:rPr>
        <w:t>č</w:t>
      </w:r>
      <w:r>
        <w:rPr>
          <w:rFonts w:ascii="Microsoft Sans Serif" w:hAnsi="Microsoft Sans Serif" w:eastAsia="Calibri" w:cs="Microsoft Sans Serif"/>
          <w:sz w:val="20"/>
          <w:szCs w:val="20"/>
        </w:rPr>
        <w:t>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napraviti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svakog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kojeg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simptomi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razmotriti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ultrazvuka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postoje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faktori</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bolesti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w:t>
      </w:r>
      <w:r>
        <w:rPr>
          <w:rFonts w:ascii="Microsoft Sans Serif" w:hAnsi="Microsoft Sans Serif" w:eastAsia="Calibri" w:cs="Microsoft Sans Serif"/>
          <w:sz w:val="20"/>
          <w:szCs w:val="20"/>
          <w:lang w:val="sr-Cyrl-RS"/>
        </w:rPr>
        <w:t>ć</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Kod</w:t>
      </w:r>
      <w:r>
        <w:rPr>
          <w:rFonts w:ascii="Microsoft Sans Serif" w:hAnsi="Microsoft Sans Serif" w:eastAsia="Calibri" w:cs="Microsoft Sans Serif"/>
          <w:sz w:val="20"/>
          <w:szCs w:val="20"/>
        </w:rPr>
        <w:t xml:space="preserve"> pacijenata koji razviju dispneju i umor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početka terapije mora se razmotriti uobičajena etiologija tih simptoma, uklјučujući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plućni edem, anemiju ili infiltraciju pluća. U skladu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preporukama za liječenje nehematoloških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neželјenih reakcija (pogledati dio 4.2), za vrijeme ove evaluacije mora se smanjiti doza dasatiniba ili prekinuti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njegova primjena. Ako se ne pronađe objašnjenje ili uzrok ili ako nema pobolјšanja na smanjenje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doze ili prekid terapije, mora se razmotriti dijagnoza PAH-a. Dijagnostički pristup mora sljediti i biti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 skladu sa standardnim smjernicama. Ako se potvrdi PAH, primjena dasatiniba mora se trajno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prekinuti. Praćenje pacijenata mora biti u skladu sa standardnim smjernicama. Nakon prestanka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terapije dasatinibom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 koji su primali dasatinib primjećena su pobolјšanja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hemodinamskih i kliničkih parametara.</w:t>
      </w:r>
    </w:p>
    <w:p w14:paraId="6F5D720B">
      <w:pPr>
        <w:widowControl w:val="0"/>
        <w:tabs>
          <w:tab w:val="clear" w:pos="284"/>
        </w:tabs>
        <w:rPr>
          <w:rFonts w:ascii="Microsoft Sans Serif" w:hAnsi="Microsoft Sans Serif" w:eastAsia="Calibri" w:cs="Microsoft Sans Serif"/>
          <w:i/>
          <w:sz w:val="20"/>
          <w:szCs w:val="20"/>
        </w:rPr>
      </w:pPr>
    </w:p>
    <w:p w14:paraId="31A127A1">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 xml:space="preserve">Produženje QT intervala </w:t>
      </w:r>
    </w:p>
    <w:p w14:paraId="0E7A06C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Podaci iz ispitivanja </w:t>
      </w:r>
      <w:r>
        <w:rPr>
          <w:rFonts w:ascii="Microsoft Sans Serif" w:hAnsi="Microsoft Sans Serif" w:eastAsia="Calibri" w:cs="Microsoft Sans Serif"/>
          <w:i/>
          <w:sz w:val="20"/>
          <w:szCs w:val="20"/>
        </w:rPr>
        <w:t>in vitro</w:t>
      </w:r>
      <w:r>
        <w:rPr>
          <w:rFonts w:ascii="Microsoft Sans Serif" w:hAnsi="Microsoft Sans Serif" w:eastAsia="Calibri" w:cs="Microsoft Sans Serif"/>
          <w:sz w:val="20"/>
          <w:szCs w:val="20"/>
        </w:rPr>
        <w:t xml:space="preserve"> pokazuju da dasatinib može produžiti repolarizaciju srčane komore (QT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 (pogledati dio 5.3). Od 258 pacijenata liječenih dasatinibom i 258 pacijenata liječenih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imatinibom u ispitivanju faze III terapije novodijagnostikovane CML u hroničnoj fazi, nakon najmanje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60 mjeseci praćenja, po 1 pacijent (&lt; 1%) u svakoj grupi imao je produženje 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prijavlјeno kao neželјena reakcija. </w:t>
      </w:r>
      <w:r>
        <w:rPr>
          <w:rFonts w:ascii="Microsoft Sans Serif" w:hAnsi="Microsoft Sans Serif" w:eastAsia="Calibri" w:cs="Microsoft Sans Serif"/>
          <w:sz w:val="20"/>
          <w:szCs w:val="20"/>
          <w:lang w:val="sr-Cyrl-RS"/>
        </w:rPr>
        <w:t>Srednja vrijednost</w:t>
      </w:r>
      <w:r>
        <w:rPr>
          <w:rFonts w:ascii="Microsoft Sans Serif" w:hAnsi="Microsoft Sans Serif" w:eastAsia="Calibri" w:cs="Microsoft Sans Serif"/>
          <w:sz w:val="20"/>
          <w:szCs w:val="20"/>
        </w:rPr>
        <w:t xml:space="preserve"> promene QT</w:t>
      </w:r>
      <w:r>
        <w:rPr>
          <w:rFonts w:ascii="Microsoft Sans Serif" w:hAnsi="Microsoft Sans Serif" w:eastAsia="Calibri" w:cs="Microsoft Sans Serif"/>
          <w:sz w:val="20"/>
          <w:szCs w:val="20"/>
          <w:lang w:val="sr-Latn-RS"/>
        </w:rPr>
        <w:t>cF</w:t>
      </w:r>
      <w:r>
        <w:rPr>
          <w:rFonts w:ascii="Microsoft Sans Serif" w:hAnsi="Microsoft Sans Serif" w:eastAsia="Calibri" w:cs="Microsoft Sans Serif"/>
          <w:sz w:val="20"/>
          <w:szCs w:val="20"/>
        </w:rPr>
        <w:t xml:space="preserve"> u odnosu na početnu vrijednost iznosila je 3,0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kod pacijenata liječenih dasatinibom u odnosu na 8,2 msec kod pacijenata liječenih imatinibom. Po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jedan </w:t>
      </w:r>
      <w:r>
        <w:rPr>
          <w:rFonts w:ascii="Microsoft Sans Serif" w:hAnsi="Microsoft Sans Serif" w:eastAsia="Calibri" w:cs="Microsoft Sans Serif"/>
          <w:sz w:val="20"/>
          <w:szCs w:val="20"/>
          <w:lang w:val="sr-Cyrl-RS"/>
        </w:rPr>
        <w:t>pacijent</w:t>
      </w:r>
      <w:r>
        <w:rPr>
          <w:rFonts w:ascii="Microsoft Sans Serif" w:hAnsi="Microsoft Sans Serif" w:eastAsia="Calibri" w:cs="Microsoft Sans Serif"/>
          <w:sz w:val="20"/>
          <w:szCs w:val="20"/>
        </w:rPr>
        <w:t xml:space="preserve"> (&lt;1%) u svakoj grupi imao je QTcF &gt;500 msec.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865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leukemijom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bili lečeni dasatinibom u kliničkim ispitivanjima faze II, prosječne promjene od početnih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vrijednosti QTc intervala prema Fridericija metodi (QTcF) iznosile su 4-6 msec; gornje granice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intervala pouzdanosti za sve prosječne promjene u odnosu na početne vrijednosti bile su &lt;7 msec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(pogledati dio 4.8).</w:t>
      </w:r>
    </w:p>
    <w:p w14:paraId="7A620DF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Produženja QTc intervala bila su prijavlјena kao neželјene reakcije u 15 (1%) od 2182 pacijenata koji su rezistentni </w:t>
      </w:r>
      <w:r>
        <w:rPr>
          <w:rFonts w:ascii="Microsoft Sans Serif" w:hAnsi="Microsoft Sans Serif" w:eastAsia="Calibri" w:cs="Microsoft Sans Serif"/>
          <w:sz w:val="20"/>
          <w:szCs w:val="20"/>
          <w:lang w:val="sr-Cyrl-RS"/>
        </w:rPr>
        <w:t>ili ne podnose</w:t>
      </w:r>
      <w:r>
        <w:rPr>
          <w:rFonts w:ascii="Microsoft Sans Serif" w:hAnsi="Microsoft Sans Serif" w:eastAsia="Calibri" w:cs="Microsoft Sans Serif"/>
          <w:sz w:val="20"/>
          <w:szCs w:val="20"/>
        </w:rPr>
        <w:t xml:space="preserve"> prethodnu terapiju imatinibom, a koji su primali dasatinib u kliničkim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ispitivanjima.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21 pacijenta (&lt;1%) zabilježen je QTcF &gt;500 msec.</w:t>
      </w:r>
    </w:p>
    <w:p w14:paraId="0070777B">
      <w:pPr>
        <w:widowControl w:val="0"/>
        <w:tabs>
          <w:tab w:val="clear" w:pos="284"/>
        </w:tabs>
        <w:rPr>
          <w:rFonts w:ascii="Microsoft Sans Serif" w:hAnsi="Microsoft Sans Serif" w:eastAsia="Calibri" w:cs="Microsoft Sans Serif"/>
          <w:sz w:val="20"/>
          <w:szCs w:val="20"/>
        </w:rPr>
      </w:pPr>
    </w:p>
    <w:p w14:paraId="3B3D359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se mora primjenjivati sa oprezom kod pacijenata koji imaju ili kod kojih se može razviti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produženje QTc intervala. To uklјučuje 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hipokalemijom ili hipomagnezemijom,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kongenitalnim sindromom dugog QT intervala, pacijente koji uzimaju antiaritmike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druge lijekove koji mogu dovesti do produženja QT intervala te pacijente na kumulativno visokoj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dozi antraciklinske terapije. Hipokalemija ili hipomagnezemija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moraju korigovati prije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w:t>
      </w:r>
    </w:p>
    <w:p w14:paraId="47A87D47">
      <w:pPr>
        <w:widowControl w:val="0"/>
        <w:tabs>
          <w:tab w:val="clear" w:pos="284"/>
        </w:tabs>
        <w:rPr>
          <w:rFonts w:ascii="Microsoft Sans Serif" w:hAnsi="Microsoft Sans Serif" w:eastAsia="Calibri" w:cs="Microsoft Sans Serif"/>
          <w:sz w:val="20"/>
          <w:szCs w:val="20"/>
        </w:rPr>
      </w:pPr>
    </w:p>
    <w:p w14:paraId="25DAE56F">
      <w:pPr>
        <w:widowControl w:val="0"/>
        <w:tabs>
          <w:tab w:val="clear" w:pos="284"/>
        </w:tabs>
        <w:rPr>
          <w:rFonts w:ascii="Microsoft Sans Serif" w:hAnsi="Microsoft Sans Serif" w:eastAsia="Calibri" w:cs="Microsoft Sans Serif"/>
          <w:i/>
          <w:sz w:val="20"/>
          <w:szCs w:val="20"/>
          <w:u w:val="single"/>
          <w:lang w:val="sr-Cyrl-RS"/>
        </w:rPr>
      </w:pPr>
      <w:r>
        <w:rPr>
          <w:rFonts w:ascii="Microsoft Sans Serif" w:hAnsi="Microsoft Sans Serif" w:eastAsia="Calibri" w:cs="Microsoft Sans Serif"/>
          <w:i/>
          <w:sz w:val="20"/>
          <w:szCs w:val="20"/>
          <w:u w:val="single"/>
          <w:lang w:val="sr-Cyrl-RS"/>
        </w:rPr>
        <w:t>Kardiološke neželјene reakcije</w:t>
      </w:r>
    </w:p>
    <w:p w14:paraId="03709DD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Dasatinib je ispitivan u randomizovanom kliničkom ispitivanju kod 519 pacijenata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novodijagnostikovanom HML u hroničnoj fazi u koje su bili uklјučeni pacijenti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postojećom srčanom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bolešću.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kao što su kongestivna srčana insuficijencija/srčana disfunkcija,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aritmije, palpitacije, produženje QT intervala i infarkt miokarda (uklјučujući slučajeve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smrtnim ishodom) bile su zabilježene kod pacijenata koji su uzimali dasatinib. </w:t>
      </w:r>
      <w:r>
        <w:rPr>
          <w:rFonts w:ascii="Microsoft Sans Serif" w:hAnsi="Microsoft Sans Serif" w:eastAsia="Calibri" w:cs="Microsoft Sans Serif"/>
          <w:sz w:val="20"/>
          <w:szCs w:val="20"/>
          <w:lang w:val="sr-Cyrl-RS"/>
        </w:rPr>
        <w:t>Kardiološke neželјene reakcije</w:t>
      </w:r>
      <w:r>
        <w:rPr>
          <w:rFonts w:ascii="Microsoft Sans Serif" w:hAnsi="Microsoft Sans Serif" w:eastAsia="Calibri" w:cs="Microsoft Sans Serif"/>
          <w:sz w:val="20"/>
          <w:szCs w:val="20"/>
        </w:rPr>
        <w:t xml:space="preserve"> bile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češće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 </w:t>
      </w:r>
      <w:r>
        <w:rPr>
          <w:rFonts w:ascii="Microsoft Sans Serif" w:hAnsi="Microsoft Sans Serif" w:eastAsia="Calibri" w:cs="Microsoft Sans Serif"/>
          <w:sz w:val="20"/>
          <w:szCs w:val="20"/>
          <w:lang w:val="sr-Cyrl-RS"/>
        </w:rPr>
        <w:t xml:space="preserve">rizika </w:t>
      </w:r>
      <w:r>
        <w:rPr>
          <w:rFonts w:ascii="Microsoft Sans Serif" w:hAnsi="Microsoft Sans Serif" w:eastAsia="Calibri" w:cs="Microsoft Sans Serif"/>
          <w:sz w:val="20"/>
          <w:szCs w:val="20"/>
        </w:rPr>
        <w:t xml:space="preserve">ili srčanom bolešću u anamnezi.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faktorima</w:t>
      </w:r>
      <w:r>
        <w:rPr>
          <w:rFonts w:ascii="Microsoft Sans Serif" w:hAnsi="Microsoft Sans Serif" w:eastAsia="Calibri" w:cs="Microsoft Sans Serif"/>
          <w:sz w:val="20"/>
          <w:szCs w:val="20"/>
          <w:lang w:val="sr-Cyrl-RS"/>
        </w:rPr>
        <w:t xml:space="preserve"> rizika </w:t>
      </w:r>
      <w:r>
        <w:rPr>
          <w:rFonts w:ascii="Microsoft Sans Serif" w:hAnsi="Microsoft Sans Serif" w:eastAsia="Calibri" w:cs="Microsoft Sans Serif"/>
          <w:sz w:val="20"/>
          <w:szCs w:val="20"/>
        </w:rPr>
        <w:t>(npr. hipertenzija, hiperlipidemija, šećerna bolest) ili srčanom bolešću u anamnezi (npr. prethodna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perkutana koronarna intervencija, potvrđena bolest koronarnih arterija) moraju se pažlјivo pratiti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zbog kliničkih znakova i simptoma koji upućuju na disfunkciju srca, kao što su bol u grudima,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nedostatak vazduha i dijaforeza.</w:t>
      </w:r>
    </w:p>
    <w:p w14:paraId="6DF3881B">
      <w:pPr>
        <w:widowControl w:val="0"/>
        <w:tabs>
          <w:tab w:val="clear" w:pos="284"/>
        </w:tabs>
        <w:rPr>
          <w:rFonts w:ascii="Microsoft Sans Serif" w:hAnsi="Microsoft Sans Serif" w:eastAsia="Calibri" w:cs="Microsoft Sans Serif"/>
          <w:sz w:val="20"/>
          <w:szCs w:val="20"/>
        </w:rPr>
      </w:pPr>
    </w:p>
    <w:p w14:paraId="0608510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Ako se razviju ti klinički znakovi ili simptomi, ljekarima se savjetuje da privremeno prekinu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primjenu dasatiniba i razmotre potrebu za primjenom neke druge terapije specifične za CML.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povlačenja tih znakova i simptoma, a prije nastavka liječenja dasatinibom, mora se izvršiti procjena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srčane funkcije. </w:t>
      </w:r>
      <w:r>
        <w:rPr>
          <w:rFonts w:ascii="Microsoft Sans Serif" w:hAnsi="Microsoft Sans Serif" w:eastAsia="Calibri" w:cs="Microsoft Sans Serif"/>
          <w:sz w:val="20"/>
          <w:szCs w:val="20"/>
          <w:lang w:val="sr-Cyrl-RS"/>
        </w:rPr>
        <w:t>Može se nastaviti sa primjenom dasatiniba</w:t>
      </w:r>
      <w:r>
        <w:rPr>
          <w:rFonts w:ascii="Microsoft Sans Serif" w:hAnsi="Microsoft Sans Serif" w:eastAsia="Calibri" w:cs="Microsoft Sans Serif"/>
          <w:sz w:val="20"/>
          <w:szCs w:val="20"/>
        </w:rPr>
        <w:t xml:space="preserve"> u prethodnoj dozi u slučaju da su neželјene reakcije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bile blage/umjerene (≤2 stepena) ili u smanjenoj dozi u slučaju teških neželјenih reakcija (≥3 stepena) (</w:t>
      </w:r>
      <w:r>
        <w:rPr>
          <w:rFonts w:ascii="Microsoft Sans Serif" w:hAnsi="Microsoft Sans Serif" w:eastAsia="Calibri" w:cs="Microsoft Sans Serif"/>
          <w:sz w:val="20"/>
          <w:szCs w:val="20"/>
          <w:lang w:val="hr-BA"/>
        </w:rPr>
        <w:t>pogledati dio</w:t>
      </w:r>
      <w:r>
        <w:rPr>
          <w:rFonts w:ascii="Microsoft Sans Serif" w:hAnsi="Microsoft Sans Serif" w:eastAsia="Calibri" w:cs="Microsoft Sans Serif"/>
          <w:sz w:val="20"/>
          <w:szCs w:val="20"/>
        </w:rPr>
        <w:t xml:space="preserve"> 4.2).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kod kojih se nastavlјa liječenje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se periodično kontrolisati.</w:t>
      </w:r>
    </w:p>
    <w:p w14:paraId="2A6EC66C">
      <w:pPr>
        <w:widowControl w:val="0"/>
        <w:tabs>
          <w:tab w:val="clear" w:pos="284"/>
        </w:tabs>
        <w:rPr>
          <w:rFonts w:ascii="Microsoft Sans Serif" w:hAnsi="Microsoft Sans Serif" w:eastAsia="Calibri" w:cs="Microsoft Sans Serif"/>
          <w:sz w:val="20"/>
          <w:szCs w:val="20"/>
          <w:lang w:val="sr-Cyrl-RS"/>
        </w:rPr>
      </w:pPr>
    </w:p>
    <w:p w14:paraId="081A42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nekontrolisanom ili značajnom kardiovaskularnom bolešću nisu bili uklјučeni u klinička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ispitivanja.</w:t>
      </w:r>
    </w:p>
    <w:p w14:paraId="16760FFA">
      <w:pPr>
        <w:widowControl w:val="0"/>
        <w:tabs>
          <w:tab w:val="clear" w:pos="284"/>
        </w:tabs>
        <w:rPr>
          <w:rFonts w:ascii="Microsoft Sans Serif" w:hAnsi="Microsoft Sans Serif" w:eastAsia="Calibri" w:cs="Microsoft Sans Serif"/>
          <w:i/>
          <w:sz w:val="20"/>
          <w:szCs w:val="20"/>
          <w:u w:val="single"/>
        </w:rPr>
      </w:pPr>
    </w:p>
    <w:p w14:paraId="6D5949ED">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Trombotična mikroangiopatija (TMA)</w:t>
      </w:r>
    </w:p>
    <w:p w14:paraId="0B1341C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Inhibitori BCR-ABL tirozin kinaze povezani su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trombotičnom mikroangiopatijom (TMA),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uklјučujući pojedinačne slučajeve prijavlјene </w:t>
      </w:r>
      <w:r>
        <w:rPr>
          <w:rFonts w:ascii="Microsoft Sans Serif" w:hAnsi="Microsoft Sans Serif" w:eastAsia="Calibri" w:cs="Microsoft Sans Serif"/>
          <w:sz w:val="20"/>
          <w:szCs w:val="20"/>
          <w:lang w:val="sr-Cyrl-RS"/>
        </w:rPr>
        <w:t>prilikom</w:t>
      </w:r>
      <w:r>
        <w:rPr>
          <w:rFonts w:ascii="Microsoft Sans Serif" w:hAnsi="Microsoft Sans Serif" w:eastAsia="Calibri" w:cs="Microsoft Sans Serif"/>
          <w:sz w:val="20"/>
          <w:szCs w:val="20"/>
        </w:rPr>
        <w:t xml:space="preserve"> primjene dasatiniba (pogledati dio 4.8). Ako</w:t>
      </w:r>
      <w:r>
        <w:rPr>
          <w:rFonts w:ascii="Microsoft Sans Serif" w:hAnsi="Microsoft Sans Serif" w:eastAsia="Calibri" w:cs="Microsoft Sans Serif"/>
          <w:sz w:val="20"/>
          <w:szCs w:val="20"/>
          <w:lang w:val="sr-Cyrl-RS"/>
        </w:rPr>
        <w:t xml:space="preserve"> se </w:t>
      </w:r>
      <w:r>
        <w:rPr>
          <w:rFonts w:ascii="Microsoft Sans Serif" w:hAnsi="Microsoft Sans Serif" w:eastAsia="Calibri" w:cs="Microsoft Sans Serif"/>
          <w:sz w:val="20"/>
          <w:szCs w:val="20"/>
        </w:rPr>
        <w:t xml:space="preserve">laboratorijski ili klinički nalazi </w:t>
      </w:r>
      <w:r>
        <w:rPr>
          <w:rFonts w:ascii="Microsoft Sans Serif" w:hAnsi="Microsoft Sans Serif" w:eastAsia="Calibri" w:cs="Microsoft Sans Serif"/>
          <w:sz w:val="20"/>
          <w:szCs w:val="20"/>
          <w:lang w:val="sr-Cyrl-RS"/>
        </w:rPr>
        <w:t xml:space="preserve">povezani sa </w:t>
      </w:r>
      <w:r>
        <w:rPr>
          <w:rFonts w:ascii="Microsoft Sans Serif" w:hAnsi="Microsoft Sans Serif" w:eastAsia="Calibri" w:cs="Microsoft Sans Serif"/>
          <w:sz w:val="20"/>
          <w:szCs w:val="20"/>
        </w:rPr>
        <w:t xml:space="preserve">TMA </w:t>
      </w:r>
      <w:r>
        <w:rPr>
          <w:rFonts w:ascii="Microsoft Sans Serif" w:hAnsi="Microsoft Sans Serif" w:eastAsia="Calibri" w:cs="Microsoft Sans Serif"/>
          <w:sz w:val="20"/>
          <w:szCs w:val="20"/>
          <w:lang w:val="mk-MK"/>
        </w:rPr>
        <w:t xml:space="preserve">pojave </w:t>
      </w:r>
      <w:r>
        <w:rPr>
          <w:rFonts w:ascii="Microsoft Sans Serif" w:hAnsi="Microsoft Sans Serif" w:eastAsia="Calibri" w:cs="Microsoft Sans Serif"/>
          <w:sz w:val="20"/>
          <w:szCs w:val="20"/>
        </w:rPr>
        <w:t>kod pacijenta koji prima dasatinib, potrebno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prekinuti liječenje dasatinibom i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provesti detalјnu procjenu zbog utvrđivanja TMA, uklјučujući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određivanje aktivnosti enzima ADAMTS13 i postojanja </w:t>
      </w:r>
      <w:r>
        <w:rPr>
          <w:rFonts w:ascii="Microsoft Sans Serif" w:hAnsi="Microsoft Sans Serif" w:eastAsia="Calibri" w:cs="Microsoft Sans Serif"/>
          <w:sz w:val="20"/>
          <w:szCs w:val="20"/>
          <w:lang w:val="mk-MK"/>
        </w:rPr>
        <w:t>anti-</w:t>
      </w:r>
      <w:r>
        <w:rPr>
          <w:rFonts w:ascii="Microsoft Sans Serif" w:hAnsi="Microsoft Sans Serif" w:eastAsia="Calibri" w:cs="Microsoft Sans Serif"/>
          <w:sz w:val="20"/>
          <w:szCs w:val="20"/>
        </w:rPr>
        <w:t>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Ako je </w:t>
      </w:r>
      <w:r>
        <w:rPr>
          <w:rFonts w:ascii="Microsoft Sans Serif" w:hAnsi="Microsoft Sans Serif" w:eastAsia="Calibri" w:cs="Microsoft Sans Serif"/>
          <w:sz w:val="20"/>
          <w:szCs w:val="20"/>
          <w:lang w:val="sr-Cyrl-RS"/>
        </w:rPr>
        <w:t>nivo anti-</w:t>
      </w:r>
      <w:r>
        <w:rPr>
          <w:rFonts w:ascii="Microsoft Sans Serif" w:hAnsi="Microsoft Sans Serif" w:eastAsia="Calibri" w:cs="Microsoft Sans Serif"/>
          <w:sz w:val="20"/>
          <w:szCs w:val="20"/>
        </w:rPr>
        <w:t xml:space="preserve"> ADAMTS13</w:t>
      </w:r>
      <w:r>
        <w:rPr>
          <w:rFonts w:ascii="Microsoft Sans Serif" w:hAnsi="Microsoft Sans Serif" w:eastAsia="Calibri" w:cs="Microsoft Sans Serif"/>
          <w:sz w:val="20"/>
          <w:szCs w:val="20"/>
          <w:lang w:val="mk-MK"/>
        </w:rPr>
        <w:t xml:space="preserve"> antitijela</w:t>
      </w:r>
      <w:r>
        <w:rPr>
          <w:rFonts w:ascii="Microsoft Sans Serif" w:hAnsi="Microsoft Sans Serif" w:eastAsia="Calibri" w:cs="Microsoft Sans Serif"/>
          <w:sz w:val="20"/>
          <w:szCs w:val="20"/>
        </w:rPr>
        <w:t xml:space="preserve"> povišen, a aktivnost enzima ADAMTS13 niska, liječenje dasatinibom </w:t>
      </w:r>
      <w:r>
        <w:rPr>
          <w:rFonts w:ascii="Microsoft Sans Serif" w:hAnsi="Microsoft Sans Serif" w:eastAsia="Calibri" w:cs="Microsoft Sans Serif"/>
          <w:sz w:val="20"/>
          <w:szCs w:val="20"/>
          <w:lang w:val="sr-Cyrl-RS"/>
        </w:rPr>
        <w:t>se</w:t>
      </w:r>
      <w:r>
        <w:rPr>
          <w:rFonts w:ascii="Microsoft Sans Serif" w:hAnsi="Microsoft Sans Serif" w:eastAsia="Calibri" w:cs="Microsoft Sans Serif"/>
          <w:sz w:val="20"/>
          <w:szCs w:val="20"/>
        </w:rPr>
        <w:t xml:space="preserve"> 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smije nastaviti.</w:t>
      </w:r>
    </w:p>
    <w:p w14:paraId="7CCFB985">
      <w:pPr>
        <w:widowControl w:val="0"/>
        <w:tabs>
          <w:tab w:val="clear" w:pos="284"/>
        </w:tabs>
        <w:rPr>
          <w:rFonts w:ascii="Microsoft Sans Serif" w:hAnsi="Microsoft Sans Serif" w:eastAsia="Calibri" w:cs="Microsoft Sans Serif"/>
          <w:sz w:val="20"/>
          <w:szCs w:val="20"/>
          <w:lang w:val="sr-Latn-RS"/>
        </w:rPr>
      </w:pPr>
    </w:p>
    <w:p w14:paraId="043672B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 xml:space="preserve">Reaktivacija virusa </w:t>
      </w:r>
      <w:r>
        <w:rPr>
          <w:rFonts w:ascii="Microsoft Sans Serif" w:hAnsi="Microsoft Sans Serif" w:eastAsia="Calibri" w:cs="Microsoft Sans Serif"/>
          <w:i/>
          <w:sz w:val="20"/>
          <w:szCs w:val="20"/>
          <w:u w:val="single"/>
        </w:rPr>
        <w:t>hepatitis B</w:t>
      </w:r>
    </w:p>
    <w:p w14:paraId="37DC498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hronični nosioci virusa hepatitis B pojavila se ponovna aktivacija tog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što su primili inhibitore BCR-ABL tirozin kinaze. U 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 transplantacije jetre ili smrtnog ishoda.</w:t>
      </w:r>
    </w:p>
    <w:p w14:paraId="74B8AD5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Pacijente</w:t>
      </w:r>
      <w:r>
        <w:rPr>
          <w:rFonts w:ascii="Microsoft Sans Serif" w:hAnsi="Microsoft Sans Serif" w:eastAsia="Calibri" w:cs="Microsoft Sans Serif"/>
          <w:sz w:val="20"/>
          <w:szCs w:val="20"/>
        </w:rPr>
        <w:t xml:space="preserve"> je potrebno testirati na infekciju HBV-om prije početka liječenja </w:t>
      </w:r>
      <w:r>
        <w:rPr>
          <w:rFonts w:ascii="Microsoft Sans Serif" w:hAnsi="Microsoft Sans Serif" w:eastAsia="Calibri" w:cs="Microsoft Sans Serif"/>
          <w:sz w:val="20"/>
          <w:szCs w:val="20"/>
          <w:lang w:val="hr-BA"/>
        </w:rPr>
        <w:t>Nodriga</w:t>
      </w:r>
      <w:r>
        <w:rPr>
          <w:rFonts w:ascii="Microsoft Sans Serif" w:hAnsi="Microsoft Sans Serif" w:eastAsia="Calibri" w:cs="Microsoft Sans Serif"/>
          <w:sz w:val="20"/>
          <w:szCs w:val="20"/>
        </w:rPr>
        <w:t>. Prije početka liječenja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pozitivnim serološkim nalazima na hepatitis B (uklјučujući one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aktivnom bolešću) i za pacijente za koje se pokaže da su pozitivni na HBV tokom liječenja,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potrebno je savjetovati se sa stručnjacima za bolesti jetre i liječenje hepatitisa B. Nosi</w:t>
      </w:r>
      <w:r>
        <w:rPr>
          <w:rFonts w:ascii="Microsoft Sans Serif" w:hAnsi="Microsoft Sans Serif" w:eastAsia="Calibri" w:cs="Microsoft Sans Serif"/>
          <w:sz w:val="20"/>
          <w:szCs w:val="20"/>
          <w:lang w:val="sr-Cyrl-RS"/>
        </w:rPr>
        <w:t>oce</w:t>
      </w:r>
      <w:r>
        <w:rPr>
          <w:rFonts w:ascii="Microsoft Sans Serif" w:hAnsi="Microsoft Sans Serif" w:eastAsia="Calibri" w:cs="Microsoft Sans Serif"/>
          <w:sz w:val="20"/>
          <w:szCs w:val="20"/>
        </w:rPr>
        <w:t xml:space="preserve"> virusa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HBV kojima je potrebno liječenje lijekom Nodriga, potrebno je pažlјivo pratiti zbog utvrđivanja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eventualnih znakova i simptoma aktivne infekcije HBV-om tokom terapije te nekoliko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nakon završetka terapije (pogledati dio 4.8).</w:t>
      </w:r>
    </w:p>
    <w:p w14:paraId="6BDDC075">
      <w:pPr>
        <w:widowControl w:val="0"/>
        <w:tabs>
          <w:tab w:val="clear" w:pos="284"/>
        </w:tabs>
        <w:rPr>
          <w:rFonts w:ascii="Microsoft Sans Serif" w:hAnsi="Microsoft Sans Serif" w:eastAsia="Calibri" w:cs="Microsoft Sans Serif"/>
          <w:sz w:val="20"/>
          <w:szCs w:val="20"/>
        </w:rPr>
      </w:pPr>
    </w:p>
    <w:p w14:paraId="405B8463">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Uticaj na rast i razvoj kod pedijatrijskih pacijenata</w:t>
      </w:r>
    </w:p>
    <w:p w14:paraId="11F29F5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ispitivanjima dasatiniba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 koji su bili rezistentni na imatinib/nisu podnosili imatinib 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Ph+ HML u hroničnoj fazi</w:t>
      </w:r>
      <w:r>
        <w:rPr>
          <w:rFonts w:ascii="Microsoft Sans Serif" w:hAnsi="Microsoft Sans Serif" w:cs="Microsoft Sans Serif"/>
          <w:sz w:val="20"/>
          <w:szCs w:val="20"/>
          <w:lang w:val="sr-Cyrl-RS"/>
        </w:rPr>
        <w:t xml:space="preserve"> koji prethodno nisu bili liječeni</w:t>
      </w:r>
      <w:r>
        <w:rPr>
          <w:rFonts w:ascii="Microsoft Sans Serif" w:hAnsi="Microsoft Sans Serif" w:cs="Microsoft Sans Serif"/>
          <w:sz w:val="20"/>
          <w:szCs w:val="20"/>
        </w:rPr>
        <w:t>, lijekom uzrokovani neželјeni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najmanje 2 godine liječenja prijavlјeni kod 6 (4,6%) pacijenata, a jedan od njih bio je teškog intenziteta (zastoj u rastu 3. stepena). Tih 6 slučajeva uklјučivalo je slučajeve kasnog srastanja epifize, osteopenije, zastoja u rastu i ginekomastije (pogledati dio 5.1). Ove rezultate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teško tumačiti u kontekstu hroničnih bolesti kao što je HML i zahtjevaju dugoročno praćenje.</w:t>
      </w:r>
    </w:p>
    <w:p w14:paraId="0933E405">
      <w:pPr>
        <w:widowControl w:val="0"/>
        <w:tabs>
          <w:tab w:val="clear" w:pos="284"/>
        </w:tabs>
        <w:rPr>
          <w:rFonts w:ascii="Microsoft Sans Serif" w:hAnsi="Microsoft Sans Serif" w:cs="Microsoft Sans Serif"/>
          <w:sz w:val="20"/>
          <w:szCs w:val="20"/>
        </w:rPr>
      </w:pPr>
    </w:p>
    <w:p w14:paraId="23D66F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ispitivanjima dasatiniba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hem</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oterapijom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provedenim kod pedijatrijskih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novodijagnostikovanim Ph+ ALL, lijekom uzrokovani neželјeni 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rastom i razvojem kostiju su nakon najviše 2 godine liječenja prijavlјeni kod 1 (0,6%) pacijenta. Radilo se o osteopeniji 1. stepena.</w:t>
      </w:r>
    </w:p>
    <w:p w14:paraId="5B7711AC">
      <w:pPr>
        <w:widowControl w:val="0"/>
        <w:tabs>
          <w:tab w:val="clear" w:pos="284"/>
        </w:tabs>
        <w:rPr>
          <w:rFonts w:ascii="Microsoft Sans Serif" w:hAnsi="Microsoft Sans Serif" w:cs="Microsoft Sans Serif"/>
          <w:sz w:val="20"/>
          <w:szCs w:val="20"/>
        </w:rPr>
      </w:pPr>
    </w:p>
    <w:p w14:paraId="3AF72600">
      <w:pPr>
        <w:widowControl w:val="0"/>
        <w:tabs>
          <w:tab w:val="clear" w:pos="284"/>
        </w:tabs>
        <w:spacing w:line="248" w:lineRule="auto"/>
        <w:jc w:val="left"/>
        <w:rPr>
          <w:rFonts w:ascii="Microsoft Sans Serif" w:hAnsi="Microsoft Sans Serif" w:cs="Microsoft Sans Serif"/>
          <w:sz w:val="20"/>
          <w:szCs w:val="20"/>
        </w:rPr>
      </w:pPr>
      <w:r>
        <w:rPr>
          <w:rFonts w:ascii="Microsoft Sans Serif" w:hAnsi="Microsoft Sans Serif" w:cs="Microsoft Sans Serif"/>
          <w:sz w:val="20"/>
          <w:szCs w:val="20"/>
        </w:rPr>
        <w:t>U kliničkim ispitivanjima primjećeno je usporavanje rasta kod pedijatrijskih pacijenata liječenih dasatinibom (pogledati dio 4.8). Poslije najviše 2 godine liječenja, primijećen je opadajući trend očekivane visine, u istom stepenu kao što je primijećeno kod upotrebe samo hemoterapije, bez uticaja na očekivanu težinu i indeks tjelesne težine (BMI) i bez povezanosti sa abnormalnostima nivoa hormona ili sa abnormalnostima drugih laboratorijskih parametara. Preporučuje se praćenje rasta i razvoja kostiju kod pedijatrijskih pacijenata</w:t>
      </w:r>
      <w:r>
        <w:rPr>
          <w:szCs w:val="22"/>
        </w:rPr>
        <w:t>.</w:t>
      </w:r>
    </w:p>
    <w:p w14:paraId="6A3B6AD3">
      <w:pPr>
        <w:widowControl w:val="0"/>
        <w:tabs>
          <w:tab w:val="clear" w:pos="284"/>
        </w:tabs>
        <w:rPr>
          <w:rFonts w:ascii="Microsoft Sans Serif" w:hAnsi="Microsoft Sans Serif" w:eastAsia="Calibri" w:cs="Microsoft Sans Serif"/>
          <w:sz w:val="20"/>
          <w:szCs w:val="20"/>
          <w:u w:val="single"/>
        </w:rPr>
      </w:pPr>
    </w:p>
    <w:p w14:paraId="00B7A7E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Pomoćne supstance</w:t>
      </w:r>
    </w:p>
    <w:p w14:paraId="5EEC33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Ovaj lijek sadrži laktozu, monohidrat.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rijetkim nasljednim poreme</w:t>
      </w:r>
      <w:r>
        <w:rPr>
          <w:rFonts w:ascii="Microsoft Sans Serif" w:hAnsi="Microsoft Sans Serif" w:eastAsia="Calibri" w:cs="Microsoft Sans Serif"/>
          <w:sz w:val="20"/>
          <w:szCs w:val="20"/>
          <w:lang w:val="hr-BA"/>
        </w:rPr>
        <w:t>ćajem nepodnošenja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galaktoz</w:t>
      </w:r>
      <w:r>
        <w:rPr>
          <w:rFonts w:ascii="Microsoft Sans Serif" w:hAnsi="Microsoft Sans Serif" w:eastAsia="Calibri" w:cs="Microsoft Sans Serif"/>
          <w:sz w:val="20"/>
          <w:szCs w:val="20"/>
          <w:lang w:val="hr-BA"/>
        </w:rPr>
        <w:t>e</w:t>
      </w:r>
      <w:r>
        <w:rPr>
          <w:rFonts w:ascii="Microsoft Sans Serif" w:hAnsi="Microsoft Sans Serif" w:eastAsia="Calibri" w:cs="Microsoft Sans Serif"/>
          <w:sz w:val="20"/>
          <w:szCs w:val="20"/>
        </w:rPr>
        <w:t xml:space="preserve">, totalnim nedostatkom laktaze ili </w:t>
      </w:r>
      <w:r>
        <w:rPr>
          <w:rFonts w:ascii="Microsoft Sans Serif" w:hAnsi="Microsoft Sans Serif" w:eastAsia="Calibri" w:cs="Microsoft Sans Serif"/>
          <w:sz w:val="20"/>
          <w:szCs w:val="20"/>
          <w:lang w:val="sr-Cyrl-RS"/>
        </w:rPr>
        <w:t>glukozn</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-galaktoz</w:t>
      </w:r>
      <w:r>
        <w:rPr>
          <w:rFonts w:ascii="Microsoft Sans Serif" w:hAnsi="Microsoft Sans Serif" w:eastAsia="Calibri" w:cs="Microsoft Sans Serif"/>
          <w:sz w:val="20"/>
          <w:szCs w:val="20"/>
          <w:lang w:val="hr-BA"/>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malapsorpcijom</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 xml:space="preserve">ne </w:t>
      </w:r>
      <w:r>
        <w:rPr>
          <w:rFonts w:ascii="Microsoft Sans Serif" w:hAnsi="Microsoft Sans Serif" w:eastAsia="Calibri" w:cs="Microsoft Sans Serif"/>
          <w:sz w:val="20"/>
          <w:szCs w:val="20"/>
          <w:lang w:val="hr-BA"/>
        </w:rPr>
        <w:t>bi trebali uzimati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ovaj lijek.</w:t>
      </w:r>
    </w:p>
    <w:p w14:paraId="25D010EE">
      <w:pPr>
        <w:rPr>
          <w:rFonts w:ascii="Microsoft Sans Serif" w:hAnsi="Microsoft Sans Serif" w:cs="Microsoft Sans Serif"/>
          <w:sz w:val="20"/>
          <w:szCs w:val="20"/>
        </w:rPr>
      </w:pPr>
    </w:p>
    <w:p w14:paraId="3A263A3A">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67948CA6">
      <w:pPr>
        <w:widowControl w:val="0"/>
        <w:tabs>
          <w:tab w:val="clear" w:pos="284"/>
        </w:tabs>
        <w:rPr>
          <w:rFonts w:ascii="Microsoft Sans Serif" w:hAnsi="Microsoft Sans Serif" w:cs="Microsoft Sans Serif"/>
          <w:sz w:val="20"/>
          <w:szCs w:val="20"/>
          <w:u w:val="single" w:color="000000"/>
        </w:rPr>
      </w:pPr>
    </w:p>
    <w:p w14:paraId="48E4A461">
      <w:pPr>
        <w:widowControl w:val="0"/>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Aktivne supstance</w:t>
      </w:r>
      <w:r>
        <w:rPr>
          <w:rFonts w:ascii="Microsoft Sans Serif" w:hAnsi="Microsoft Sans Serif" w:cs="Microsoft Sans Serif"/>
          <w:sz w:val="20"/>
          <w:szCs w:val="20"/>
          <w:u w:val="single"/>
        </w:rPr>
        <w:t xml:space="preserve"> koje mogu povećati koncentraciju dasatiniba u plazmi</w:t>
      </w:r>
    </w:p>
    <w:p w14:paraId="068302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ispitivanja pokazuju da je dasatinib supstrat enzima CYP3A4. Istovremena primjena dasatiniba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 ili supstanci koje su potentni inhibitori CYP3A4 (npr. ketokonazol, itrakonazol, eritromicin,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klaritromicin, ritonavir, telitromicin, sok od grejpfruta) može povećati izloženost dasatinibu. Stoga se 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preporučuje sistemska primjena jakih inhibitora enzima CYP3A4 kod </w:t>
      </w:r>
      <w:r>
        <w:rPr>
          <w:rFonts w:ascii="Microsoft Sans Serif" w:hAnsi="Microsoft Sans Serif" w:cs="Microsoft Sans Serif"/>
          <w:sz w:val="20"/>
          <w:szCs w:val="20"/>
          <w:lang w:val="sr-Cyrl-RS"/>
        </w:rPr>
        <w:t>pacijenata</w:t>
      </w:r>
      <w:r>
        <w:rPr>
          <w:rFonts w:ascii="Microsoft Sans Serif" w:hAnsi="Microsoft Sans Serif" w:cs="Microsoft Sans Serif"/>
          <w:sz w:val="20"/>
          <w:szCs w:val="20"/>
        </w:rPr>
        <w:t xml:space="preserve"> koji 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 (pogledati dio 4.2).</w:t>
      </w:r>
    </w:p>
    <w:p w14:paraId="20AED32B">
      <w:pPr>
        <w:widowControl w:val="0"/>
        <w:tabs>
          <w:tab w:val="clear" w:pos="284"/>
        </w:tabs>
        <w:rPr>
          <w:rFonts w:ascii="Microsoft Sans Serif" w:hAnsi="Microsoft Sans Serif" w:cs="Microsoft Sans Serif"/>
          <w:sz w:val="20"/>
          <w:szCs w:val="20"/>
        </w:rPr>
      </w:pPr>
    </w:p>
    <w:p w14:paraId="471398D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Na osnovu ispitivanja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vezanje dasatiniba za proteine plazme pri klinički značajnim koncentracijama iznosi oko 96%. Nisu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 xml:space="preserve">provedena ispitivanja kojima bi se </w:t>
      </w:r>
      <w:r>
        <w:rPr>
          <w:rFonts w:ascii="Microsoft Sans Serif" w:hAnsi="Microsoft Sans Serif" w:cs="Microsoft Sans Serif"/>
          <w:sz w:val="20"/>
          <w:szCs w:val="20"/>
          <w:lang w:val="sr-Cyrl-RS"/>
        </w:rPr>
        <w:t>procjenile</w:t>
      </w:r>
      <w:r>
        <w:rPr>
          <w:rFonts w:ascii="Microsoft Sans Serif" w:hAnsi="Microsoft Sans Serif" w:cs="Microsoft Sans Serif"/>
          <w:sz w:val="20"/>
          <w:szCs w:val="20"/>
        </w:rPr>
        <w:t xml:space="preserv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drugim </w:t>
      </w:r>
      <w:r>
        <w:rPr>
          <w:rFonts w:ascii="Microsoft Sans Serif" w:hAnsi="Microsoft Sans Serif" w:cs="Microsoft Sans Serif"/>
          <w:sz w:val="20"/>
          <w:szCs w:val="20"/>
        </w:rPr>
        <w:t xml:space="preserve">lijekovima </w:t>
      </w:r>
      <w:r>
        <w:rPr>
          <w:rFonts w:ascii="Microsoft Sans Serif" w:hAnsi="Microsoft Sans Serif" w:cs="Microsoft Sans Serif"/>
          <w:sz w:val="20"/>
          <w:szCs w:val="20"/>
          <w:lang w:val="sr-Cyrl-RS"/>
        </w:rPr>
        <w:t>vezanim</w:t>
      </w:r>
      <w:r>
        <w:rPr>
          <w:rFonts w:ascii="Microsoft Sans Serif" w:hAnsi="Microsoft Sans Serif" w:cs="Microsoft Sans Serif"/>
          <w:sz w:val="20"/>
          <w:szCs w:val="20"/>
        </w:rPr>
        <w:t xml:space="preserve"> za proteine. Nije poznato u kojoj mjeri dasatinib može istisnuti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 lijekove iz veze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proteinima i obrnuto i koliki klinički značaj to ima.</w:t>
      </w:r>
    </w:p>
    <w:p w14:paraId="55DB9E2A">
      <w:pPr>
        <w:widowControl w:val="0"/>
        <w:tabs>
          <w:tab w:val="clear" w:pos="284"/>
        </w:tabs>
        <w:rPr>
          <w:rFonts w:ascii="Microsoft Sans Serif" w:hAnsi="Microsoft Sans Serif" w:cs="Microsoft Sans Serif"/>
          <w:sz w:val="20"/>
          <w:szCs w:val="20"/>
        </w:rPr>
      </w:pPr>
    </w:p>
    <w:p w14:paraId="64278EA3">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koje mogu smanjiti koncentraciju dasatiniba u plazmi</w:t>
      </w:r>
    </w:p>
    <w:p w14:paraId="4AEB1E0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Kad</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se dasatinib primjenio nakon 8 dana svakodnevne primjene 600 mg rifampicina, potentnog</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induktora CYP3A4, PIK dasatiniba smanjio se za 82%. Drugi lijekovi koji indu</w:t>
      </w:r>
      <w:r>
        <w:rPr>
          <w:rFonts w:ascii="Microsoft Sans Serif" w:hAnsi="Microsoft Sans Serif" w:eastAsia="Calibri" w:cs="Microsoft Sans Serif"/>
          <w:sz w:val="20"/>
          <w:szCs w:val="20"/>
          <w:lang w:val="sr-Cyrl-RS"/>
        </w:rPr>
        <w:t>kuju</w:t>
      </w:r>
      <w:r>
        <w:rPr>
          <w:rFonts w:ascii="Microsoft Sans Serif" w:hAnsi="Microsoft Sans Serif" w:eastAsia="Calibri" w:cs="Microsoft Sans Serif"/>
          <w:sz w:val="20"/>
          <w:szCs w:val="20"/>
        </w:rPr>
        <w:t xml:space="preserve"> aktivnost</w:t>
      </w:r>
    </w:p>
    <w:p w14:paraId="38EBF0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CYP3A4 (npr. deksametazon, fenitoin, karbamazepin, fenobarbital ili bilјni preparati koji sadrže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i/>
          <w:sz w:val="20"/>
          <w:szCs w:val="20"/>
        </w:rPr>
        <w:t>Hypericum perforatum</w:t>
      </w:r>
      <w:r>
        <w:rPr>
          <w:rFonts w:ascii="Microsoft Sans Serif" w:hAnsi="Microsoft Sans Serif" w:eastAsia="Calibri" w:cs="Microsoft Sans Serif"/>
          <w:sz w:val="20"/>
          <w:szCs w:val="20"/>
        </w:rPr>
        <w:t>, poznat i kao „kantarion“) takođe mogu pojačati metabolizam i smanjiti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koncentraciju dasatiniba u plazmi. Stoga se ne preporučuje istovremena primjena potentnih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i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kod kojih je indikovana primjena rifampicina ili drugih induktora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CYP3A4 moraju se koristiti alternativni lijekovi </w:t>
      </w:r>
      <w:r>
        <w:rPr>
          <w:rFonts w:ascii="Microsoft Sans Serif" w:hAnsi="Microsoft Sans Serif" w:eastAsia="Calibri" w:cs="Microsoft Sans Serif"/>
          <w:sz w:val="20"/>
          <w:szCs w:val="20"/>
          <w:lang w:val="sr-Cyrl-RS"/>
        </w:rPr>
        <w:t>sa manjim potencijalom za indukciju ovog</w:t>
      </w:r>
      <w:r>
        <w:rPr>
          <w:rFonts w:ascii="Microsoft Sans Serif" w:hAnsi="Microsoft Sans Serif" w:eastAsia="Calibri" w:cs="Microsoft Sans Serif"/>
          <w:sz w:val="20"/>
          <w:szCs w:val="20"/>
        </w:rPr>
        <w:t xml:space="preserve"> enzim</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Dopuštena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istovremena primjena dasatiniba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slabim induktorom CYP3A4; kod istovremene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primjene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deksametazonom očekuje se smanjenje </w:t>
      </w:r>
      <w:r>
        <w:rPr>
          <w:rFonts w:ascii="Microsoft Sans Serif" w:hAnsi="Microsoft Sans Serif" w:eastAsia="Calibri" w:cs="Microsoft Sans Serif"/>
          <w:sz w:val="20"/>
          <w:szCs w:val="20"/>
          <w:lang w:val="sr-Latn-RS"/>
        </w:rPr>
        <w:t>PIK-a</w:t>
      </w:r>
      <w:r>
        <w:rPr>
          <w:rFonts w:ascii="Microsoft Sans Serif" w:hAnsi="Microsoft Sans Serif" w:eastAsia="Calibri" w:cs="Microsoft Sans Serif"/>
          <w:sz w:val="20"/>
          <w:szCs w:val="20"/>
        </w:rPr>
        <w:t xml:space="preserve"> dasatiniba za približno 25%, što vjerovatno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nije klinički značajno.</w:t>
      </w:r>
    </w:p>
    <w:p w14:paraId="6027188F">
      <w:pPr>
        <w:widowControl w:val="0"/>
        <w:tabs>
          <w:tab w:val="clear" w:pos="284"/>
        </w:tabs>
        <w:rPr>
          <w:rFonts w:ascii="Microsoft Sans Serif" w:hAnsi="Microsoft Sans Serif" w:eastAsia="Calibri" w:cs="Microsoft Sans Serif"/>
          <w:sz w:val="20"/>
          <w:szCs w:val="20"/>
        </w:rPr>
      </w:pPr>
    </w:p>
    <w:p w14:paraId="56E61CB6">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Antagonisti histaminskih H2 receptora i inhibitori protonske pumpe</w:t>
      </w:r>
    </w:p>
    <w:p w14:paraId="54E8482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Dugotrajna supresija sekrecije želudačne kiseline antagonistima </w:t>
      </w:r>
      <w:r>
        <w:rPr>
          <w:rFonts w:ascii="Microsoft Sans Serif" w:hAnsi="Microsoft Sans Serif" w:eastAsia="Calibri" w:cs="Microsoft Sans Serif"/>
          <w:sz w:val="20"/>
          <w:szCs w:val="20"/>
          <w:lang w:val="sr-Latn-RS"/>
        </w:rPr>
        <w:t>H</w:t>
      </w:r>
      <w:r>
        <w:rPr>
          <w:rFonts w:ascii="Microsoft Sans Serif" w:hAnsi="Microsoft Sans Serif" w:eastAsia="Calibri" w:cs="Microsoft Sans Serif"/>
          <w:sz w:val="20"/>
          <w:szCs w:val="20"/>
        </w:rPr>
        <w:t>2 receptora ili inhibitorima protonske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pumpe (npr. famotidin i omeprazol) vjerovatno će smanjiti izloženost dasatinibu. U ispitivanju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pojedinačne doze kod zdravih ispitanika, primjenom famotidina 10 sati prije pojedinačne doze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dasatiniba smanjila se izloženost dasatinibu za 61%. U ispitivanju 14 zdravih ispitanika, primjena</w:t>
      </w:r>
      <w:r>
        <w:rPr>
          <w:rFonts w:ascii="Microsoft Sans Serif" w:hAnsi="Microsoft Sans Serif" w:eastAsia="Calibri" w:cs="Microsoft Sans Serif"/>
          <w:sz w:val="20"/>
          <w:szCs w:val="20"/>
          <w:lang w:val="sr-Cyrl-RS"/>
        </w:rPr>
        <w:t xml:space="preserve"> pojedinačne</w:t>
      </w:r>
      <w:r>
        <w:rPr>
          <w:rFonts w:ascii="Microsoft Sans Serif" w:hAnsi="Microsoft Sans Serif" w:eastAsia="Calibri" w:cs="Microsoft Sans Serif"/>
          <w:sz w:val="20"/>
          <w:szCs w:val="20"/>
        </w:rPr>
        <w:t xml:space="preserve"> doze dasatiniba od 100 mg</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rPr>
        <w:t xml:space="preserve"> 22 sata nakon četverodnevne primjene doze omeprazola od 40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u stanju dinamičke ravnote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 smanjila je PIK dasatiniba za 43%, a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dasatiniba za 42%. </w:t>
      </w:r>
      <w:r>
        <w:rPr>
          <w:rFonts w:ascii="Microsoft Sans Serif" w:hAnsi="Microsoft Sans Serif" w:eastAsia="Calibri" w:cs="Microsoft Sans Serif"/>
          <w:sz w:val="20"/>
          <w:szCs w:val="20"/>
          <w:lang w:val="sr-Cyrl-RS"/>
        </w:rPr>
        <w:t xml:space="preserve">Kod </w:t>
      </w:r>
      <w:r>
        <w:rPr>
          <w:rFonts w:ascii="Microsoft Sans Serif" w:hAnsi="Microsoft Sans Serif" w:eastAsia="Calibri" w:cs="Microsoft Sans Serif"/>
          <w:sz w:val="20"/>
          <w:szCs w:val="20"/>
        </w:rPr>
        <w:t>pacijenata koji primaju dasatinib mora se razmotriti primjena antacida umesto antagonista H2</w:t>
      </w:r>
      <w:r>
        <w:rPr>
          <w:rFonts w:eastAsia="Calibri"/>
          <w:szCs w:val="22"/>
          <w:lang w:val="sr-Cyrl-RS"/>
        </w:rPr>
        <w:t xml:space="preserve"> </w:t>
      </w:r>
      <w:r>
        <w:rPr>
          <w:rFonts w:ascii="Microsoft Sans Serif" w:hAnsi="Microsoft Sans Serif" w:eastAsia="Calibri" w:cs="Microsoft Sans Serif"/>
          <w:sz w:val="20"/>
          <w:szCs w:val="20"/>
        </w:rPr>
        <w:t>receptora ili inhibitora protonske pumpe (pogledati dio 4.4).</w:t>
      </w:r>
    </w:p>
    <w:p w14:paraId="07A4BCB8">
      <w:pPr>
        <w:widowControl w:val="0"/>
        <w:tabs>
          <w:tab w:val="clear" w:pos="284"/>
        </w:tabs>
        <w:rPr>
          <w:rFonts w:ascii="Microsoft Sans Serif" w:hAnsi="Microsoft Sans Serif" w:cs="Microsoft Sans Serif"/>
          <w:sz w:val="20"/>
          <w:szCs w:val="20"/>
        </w:rPr>
      </w:pPr>
    </w:p>
    <w:p w14:paraId="55E8923E">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Antacidi</w:t>
      </w:r>
    </w:p>
    <w:p w14:paraId="563F45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Pret</w:t>
      </w:r>
      <w:r>
        <w:rPr>
          <w:rFonts w:ascii="Microsoft Sans Serif" w:hAnsi="Microsoft Sans Serif" w:cs="Microsoft Sans Serif"/>
          <w:sz w:val="20"/>
          <w:szCs w:val="20"/>
        </w:rPr>
        <w:t>klinički podaci pokazuju da rastvorlјivost dasatiniba zavisi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pH.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zdravih ispitanika 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primjena antacida </w:t>
      </w:r>
      <w:r>
        <w:rPr>
          <w:rFonts w:ascii="Microsoft Sans Serif" w:hAnsi="Microsoft Sans Serif" w:cs="Microsoft Sans Serif"/>
          <w:sz w:val="20"/>
          <w:szCs w:val="20"/>
          <w:lang w:val="sr-Cyrl-RS"/>
        </w:rPr>
        <w:t>na bazi</w:t>
      </w:r>
      <w:r>
        <w:rPr>
          <w:rFonts w:ascii="Microsoft Sans Serif" w:hAnsi="Microsoft Sans Serif" w:cs="Microsoft Sans Serif"/>
          <w:sz w:val="20"/>
          <w:szCs w:val="20"/>
        </w:rPr>
        <w:t xml:space="preserve"> aluminijum hidroksida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magnezijum hidroksida i dasatiniba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smanjila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nakon pojedinačne doze za 55%,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58%. Međutim, kad su antacidi bili primjenjeni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2 sata prije pojedinačne doze dasatiniba, nisu bile </w:t>
      </w:r>
      <w:r>
        <w:rPr>
          <w:rFonts w:ascii="Microsoft Sans Serif" w:hAnsi="Microsoft Sans Serif" w:cs="Microsoft Sans Serif"/>
          <w:sz w:val="20"/>
          <w:szCs w:val="20"/>
          <w:lang w:val="sr-Cyrl-RS"/>
        </w:rPr>
        <w:t>za</w:t>
      </w:r>
      <w:r>
        <w:rPr>
          <w:rFonts w:ascii="Microsoft Sans Serif" w:hAnsi="Microsoft Sans Serif" w:cs="Microsoft Sans Serif"/>
          <w:sz w:val="20"/>
          <w:szCs w:val="20"/>
        </w:rPr>
        <w:t>pažene nikakve značajne promjene u koncentraciji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dasatiniba ili izloženosti dasatinibu. Stoga se antacidi mogu primjeniti najmanje 2 sata prije ili 2 sata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 primjene dasatiniba (pogledati dio 4.4).</w:t>
      </w:r>
    </w:p>
    <w:p w14:paraId="2E756003">
      <w:pPr>
        <w:widowControl w:val="0"/>
        <w:tabs>
          <w:tab w:val="clear" w:pos="284"/>
        </w:tabs>
        <w:rPr>
          <w:rFonts w:ascii="Microsoft Sans Serif" w:hAnsi="Microsoft Sans Serif" w:eastAsia="Calibri" w:cs="Microsoft Sans Serif"/>
          <w:sz w:val="20"/>
          <w:szCs w:val="20"/>
        </w:rPr>
      </w:pPr>
    </w:p>
    <w:p w14:paraId="67F1322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lang w:val="sr-Cyrl-RS"/>
        </w:rPr>
        <w:t>Aktivne supstance</w:t>
      </w:r>
      <w:r>
        <w:rPr>
          <w:rFonts w:ascii="Microsoft Sans Serif" w:hAnsi="Microsoft Sans Serif" w:eastAsia="Calibri" w:cs="Microsoft Sans Serif"/>
          <w:sz w:val="20"/>
          <w:szCs w:val="20"/>
          <w:u w:val="single"/>
        </w:rPr>
        <w:t xml:space="preserve"> čije koncentracije u plazmi </w:t>
      </w:r>
      <w:r>
        <w:rPr>
          <w:rFonts w:ascii="Microsoft Sans Serif" w:hAnsi="Microsoft Sans Serif" w:eastAsia="Calibri" w:cs="Microsoft Sans Serif"/>
          <w:sz w:val="20"/>
          <w:szCs w:val="20"/>
          <w:u w:val="single"/>
          <w:lang w:val="sr-Cyrl-RS"/>
        </w:rPr>
        <w:t xml:space="preserve">mogu da budu </w:t>
      </w:r>
      <w:r>
        <w:rPr>
          <w:rFonts w:ascii="Microsoft Sans Serif" w:hAnsi="Microsoft Sans Serif" w:eastAsia="Calibri" w:cs="Microsoft Sans Serif"/>
          <w:sz w:val="20"/>
          <w:szCs w:val="20"/>
          <w:u w:val="single"/>
        </w:rPr>
        <w:t>promjenjene zbog dasatiniba</w:t>
      </w:r>
    </w:p>
    <w:p w14:paraId="2B1EAF15">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Istovremena primjena dasatiniba i supstrata CYP3A4 može povećati izloženost supstratu CYP3A4. </w:t>
      </w:r>
      <w:r>
        <w:rPr>
          <w:rFonts w:ascii="Microsoft Sans Serif" w:hAnsi="Microsoft Sans Serif" w:eastAsia="Calibri" w:cs="Microsoft Sans Serif"/>
          <w:sz w:val="20"/>
          <w:szCs w:val="20"/>
          <w:lang w:val="sr-Cyrl-RS"/>
        </w:rPr>
        <w:t xml:space="preserve">U </w:t>
      </w:r>
      <w:r>
        <w:rPr>
          <w:rFonts w:ascii="Microsoft Sans Serif" w:hAnsi="Microsoft Sans Serif" w:eastAsia="Calibri" w:cs="Microsoft Sans Serif"/>
          <w:sz w:val="20"/>
          <w:szCs w:val="20"/>
        </w:rPr>
        <w:t>ispitivanju kod zdravih ispitanika, pojedinačna doza od 100 mg dasatiniba povećala je PIK i C</w:t>
      </w:r>
      <w:r>
        <w:rPr>
          <w:rFonts w:ascii="Microsoft Sans Serif" w:hAnsi="Microsoft Sans Serif" w:eastAsia="Calibri" w:cs="Microsoft Sans Serif"/>
          <w:sz w:val="20"/>
          <w:szCs w:val="20"/>
          <w:vertAlign w:val="subscript"/>
        </w:rPr>
        <w:t>max</w:t>
      </w:r>
      <w:r>
        <w:rPr>
          <w:rFonts w:ascii="Microsoft Sans Serif" w:hAnsi="Microsoft Sans Serif" w:eastAsia="Calibri" w:cs="Microsoft Sans Serif"/>
          <w:sz w:val="20"/>
          <w:szCs w:val="20"/>
        </w:rPr>
        <w:t xml:space="preserve"> izloženosti simvastatinu, poznatom supstratu CYP3A4, za 20% odnosno za 37%. Ne može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isklјučiti mogućnost da su takvi uticaji još veći nakon višestrukih doza dasatiniba. Zbog toga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supstrati CYP3A4 za koje se zna da imaju </w:t>
      </w:r>
      <w:r>
        <w:rPr>
          <w:rFonts w:ascii="Microsoft Sans Serif" w:hAnsi="Microsoft Sans Serif" w:eastAsia="Calibri" w:cs="Microsoft Sans Serif"/>
          <w:sz w:val="20"/>
          <w:szCs w:val="20"/>
          <w:lang w:val="sr-Cyrl-RS"/>
        </w:rPr>
        <w:t>uzak</w:t>
      </w:r>
      <w:r>
        <w:rPr>
          <w:rFonts w:ascii="Microsoft Sans Serif" w:hAnsi="Microsoft Sans Serif" w:eastAsia="Calibri" w:cs="Microsoft Sans Serif"/>
          <w:sz w:val="20"/>
          <w:szCs w:val="20"/>
        </w:rPr>
        <w:t xml:space="preserve"> terapijski indeks (npr. astemizol, terfenadin, cisaprid,</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pimozid,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inidin, bepridil ili ergot alkaloidi [ergotamin, dihidroergotamin]) mora</w:t>
      </w:r>
      <w:r>
        <w:rPr>
          <w:rFonts w:ascii="Microsoft Sans Serif" w:hAnsi="Microsoft Sans Serif" w:eastAsia="Calibri" w:cs="Microsoft Sans Serif"/>
          <w:sz w:val="20"/>
          <w:szCs w:val="20"/>
          <w:lang w:val="sr-Cyrl-RS"/>
        </w:rPr>
        <w:t>ju</w:t>
      </w:r>
      <w:r>
        <w:rPr>
          <w:rFonts w:ascii="Microsoft Sans Serif" w:hAnsi="Microsoft Sans Serif" w:eastAsia="Calibri" w:cs="Microsoft Sans Serif"/>
          <w:sz w:val="20"/>
          <w:szCs w:val="20"/>
        </w:rPr>
        <w:t xml:space="preserve"> primjenjivati sa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oprezom kod pacijenata koji primaju dasatinib (pogledati dio 4.4).</w:t>
      </w:r>
    </w:p>
    <w:p w14:paraId="532F7E1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Podaci iz ispitivanja in vitro pokazuju da postoji i potencijalni rizik od interakcije sa supstratima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CYP2C8, kao što su glitazoni.</w:t>
      </w:r>
    </w:p>
    <w:p w14:paraId="6E34564C">
      <w:pPr>
        <w:widowControl w:val="0"/>
        <w:tabs>
          <w:tab w:val="clear" w:pos="284"/>
        </w:tabs>
        <w:rPr>
          <w:rFonts w:ascii="Microsoft Sans Serif" w:hAnsi="Microsoft Sans Serif" w:eastAsia="Calibri" w:cs="Microsoft Sans Serif"/>
          <w:sz w:val="20"/>
          <w:szCs w:val="20"/>
        </w:rPr>
      </w:pPr>
    </w:p>
    <w:p w14:paraId="68DF979F">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4C88BE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 xml:space="preserve">Ispitivanja interakcija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samo kod odraslih</w:t>
      </w:r>
      <w:r>
        <w:rPr>
          <w:rFonts w:ascii="Microsoft Sans Serif" w:hAnsi="Microsoft Sans Serif" w:eastAsia="Calibri" w:cs="Microsoft Sans Serif"/>
          <w:sz w:val="20"/>
          <w:szCs w:val="20"/>
          <w:lang w:val="sr-Cyrl-RS"/>
        </w:rPr>
        <w:t>.</w:t>
      </w:r>
    </w:p>
    <w:p w14:paraId="41D96D59">
      <w:pPr>
        <w:rPr>
          <w:rFonts w:ascii="Microsoft Sans Serif" w:hAnsi="Microsoft Sans Serif" w:cs="Microsoft Sans Serif"/>
          <w:sz w:val="20"/>
          <w:szCs w:val="20"/>
        </w:rPr>
      </w:pPr>
    </w:p>
    <w:p w14:paraId="4D44D648">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64DD7806">
      <w:pPr>
        <w:rPr>
          <w:rFonts w:ascii="Microsoft Sans Serif" w:hAnsi="Microsoft Sans Serif" w:cs="Microsoft Sans Serif"/>
          <w:sz w:val="20"/>
          <w:szCs w:val="20"/>
        </w:rPr>
      </w:pPr>
    </w:p>
    <w:p w14:paraId="1F525F4A">
      <w:pPr>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ene u reproduktivnom periodu/kontracepcija kod muškaraca i žena</w:t>
      </w:r>
    </w:p>
    <w:p w14:paraId="361E5CF2">
      <w:pPr>
        <w:rPr>
          <w:rFonts w:ascii="Microsoft Sans Serif" w:hAnsi="Microsoft Sans Serif" w:cs="Microsoft Sans Serif"/>
          <w:sz w:val="20"/>
          <w:szCs w:val="20"/>
        </w:rPr>
      </w:pPr>
      <w:r>
        <w:rPr>
          <w:rFonts w:ascii="Microsoft Sans Serif" w:hAnsi="Microsoft Sans Serif" w:cs="Microsoft Sans Serif"/>
          <w:sz w:val="20"/>
          <w:szCs w:val="20"/>
        </w:rPr>
        <w:t>Muškarci i žene u reproduktivnom periodu koji su polno aktivni trebaju koristiti efikasne 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 tokom liječenja.</w:t>
      </w:r>
    </w:p>
    <w:p w14:paraId="45E07932">
      <w:pPr>
        <w:rPr>
          <w:rFonts w:ascii="Microsoft Sans Serif" w:hAnsi="Microsoft Sans Serif" w:cs="Microsoft Sans Serif"/>
          <w:sz w:val="20"/>
          <w:szCs w:val="20"/>
        </w:rPr>
      </w:pPr>
    </w:p>
    <w:p w14:paraId="4F963F5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C60778F">
      <w:pPr>
        <w:rPr>
          <w:rFonts w:ascii="Microsoft Sans Serif" w:hAnsi="Microsoft Sans Serif" w:cs="Microsoft Sans Serif"/>
          <w:sz w:val="20"/>
          <w:szCs w:val="20"/>
        </w:rPr>
      </w:pPr>
      <w:r>
        <w:rPr>
          <w:rFonts w:ascii="Microsoft Sans Serif" w:hAnsi="Microsoft Sans Serif" w:cs="Microsoft Sans Serif"/>
          <w:sz w:val="20"/>
          <w:szCs w:val="20"/>
        </w:rPr>
        <w:t>Iskustva kod lјudi ukazuju na sumnju da dasatinib uzrokuje kongenitalne malformacije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oštećenje neuralne cijevi i štetan farmakološki uticaj na fetus ako se primjenjuje tokom trudnoće.</w:t>
      </w:r>
    </w:p>
    <w:p w14:paraId="7BD77FB6">
      <w:pPr>
        <w:rPr>
          <w:rFonts w:ascii="Microsoft Sans Serif" w:hAnsi="Microsoft Sans Serif" w:cs="Microsoft Sans Serif"/>
          <w:sz w:val="20"/>
          <w:szCs w:val="20"/>
        </w:rPr>
      </w:pPr>
      <w:r>
        <w:rPr>
          <w:rFonts w:ascii="Microsoft Sans Serif" w:hAnsi="Microsoft Sans Serif" w:cs="Microsoft Sans Serif"/>
          <w:sz w:val="20"/>
          <w:szCs w:val="20"/>
        </w:rPr>
        <w:t>Ispitivanja kod životinja pokazala su reproduktivnu toksičnost (vidjeti odjeljak 5.3).</w:t>
      </w:r>
    </w:p>
    <w:p w14:paraId="5CD8A11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 xml:space="preserve">Nodriga se ne smije uzimati tokom trudnoće osim ako kliničko stanje </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ne zahtjeva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liječenje dasatinibom. U slučaju da se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rPr>
        <w:t>Nodriga primjenjuje tokom trudnoće, pacijent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informisati o potencijalnim rizicima za fetus.</w:t>
      </w:r>
    </w:p>
    <w:p w14:paraId="2DC924D4">
      <w:pPr>
        <w:widowControl w:val="0"/>
        <w:tabs>
          <w:tab w:val="clear" w:pos="284"/>
        </w:tabs>
        <w:rPr>
          <w:rFonts w:ascii="Microsoft Sans Serif" w:hAnsi="Microsoft Sans Serif" w:eastAsia="Calibri" w:cs="Microsoft Sans Serif"/>
          <w:sz w:val="20"/>
          <w:szCs w:val="20"/>
        </w:rPr>
      </w:pPr>
    </w:p>
    <w:p w14:paraId="1896A0BA">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Dojenje</w:t>
      </w:r>
    </w:p>
    <w:p w14:paraId="600790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Informacije o izlučivanju dasatiniba u majčino mlijeko kod lјudi ili životinja </w:t>
      </w:r>
      <w:r>
        <w:rPr>
          <w:rFonts w:ascii="Microsoft Sans Serif" w:hAnsi="Microsoft Sans Serif" w:eastAsia="Calibri" w:cs="Microsoft Sans Serif"/>
          <w:sz w:val="20"/>
          <w:szCs w:val="20"/>
          <w:lang w:val="sr-Cyrl-RS"/>
        </w:rPr>
        <w:t>nedovolјne</w:t>
      </w:r>
      <w:r>
        <w:rPr>
          <w:rFonts w:ascii="Microsoft Sans Serif" w:hAnsi="Microsoft Sans Serif" w:eastAsia="Calibri" w:cs="Microsoft Sans Serif"/>
          <w:sz w:val="20"/>
          <w:szCs w:val="20"/>
        </w:rPr>
        <w:t xml:space="preserve"> su ili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ograničene. Fizičko-hemijski i dostupni farmakodinamski/toksikološki podaci ukazuju na to da se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kod lјudi izlučuje u majčino mlijeko i ne može se isklјučiti rizik za odojče.</w:t>
      </w:r>
    </w:p>
    <w:p w14:paraId="1D3700C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Za vrijeme liječenja lijekom Nodriga dojenje se mora prekinuti.</w:t>
      </w:r>
    </w:p>
    <w:p w14:paraId="370BCD15">
      <w:pPr>
        <w:widowControl w:val="0"/>
        <w:tabs>
          <w:tab w:val="clear" w:pos="284"/>
        </w:tabs>
        <w:rPr>
          <w:rFonts w:ascii="Microsoft Sans Serif" w:hAnsi="Microsoft Sans Serif" w:eastAsia="Calibri" w:cs="Microsoft Sans Serif"/>
          <w:sz w:val="20"/>
          <w:szCs w:val="20"/>
        </w:rPr>
      </w:pPr>
    </w:p>
    <w:p w14:paraId="5AC766A2">
      <w:pPr>
        <w:widowControl w:val="0"/>
        <w:tabs>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Cyrl-RS"/>
        </w:rPr>
        <w:t>Plodnost</w:t>
      </w:r>
    </w:p>
    <w:p w14:paraId="601DB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na životinjama liječenje dasatinibom nije uticalo na plodnost mužjaka ni ženki</w:t>
      </w:r>
      <w:r>
        <w:rPr>
          <w:rFonts w:ascii="Microsoft Sans Serif" w:hAnsi="Microsoft Sans Serif" w:eastAsia="Calibri" w:cs="Microsoft Sans Serif"/>
          <w:sz w:val="20"/>
          <w:szCs w:val="20"/>
          <w:lang w:val="sr-Cyrl-RS"/>
        </w:rPr>
        <w:t xml:space="preserve"> pacova</w:t>
      </w:r>
      <w:r>
        <w:rPr>
          <w:rFonts w:ascii="Microsoft Sans Serif" w:hAnsi="Microsoft Sans Serif" w:eastAsia="Calibri" w:cs="Microsoft Sans Serif"/>
          <w:sz w:val="20"/>
          <w:szCs w:val="20"/>
        </w:rPr>
        <w:t xml:space="preserve"> (pogledati dio 5.3). Ljekari i drugi zdravstveni radnici treba da savjetuju muškarce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odgovarajuće starosti o mogućim efektima lijeka Nodriga na plodnost. To savjetovanje može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uklјučivati razmatranje mogućnosti odlaganja sperme.</w:t>
      </w:r>
    </w:p>
    <w:p w14:paraId="168003E2">
      <w:pPr>
        <w:rPr>
          <w:rFonts w:ascii="Microsoft Sans Serif" w:hAnsi="Microsoft Sans Serif" w:cs="Microsoft Sans Serif"/>
          <w:sz w:val="20"/>
          <w:szCs w:val="20"/>
        </w:rPr>
      </w:pPr>
    </w:p>
    <w:p w14:paraId="4821B80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4.7. </w:t>
      </w:r>
      <w:r>
        <w:rPr>
          <w:rFonts w:ascii="Microsoft Sans Serif" w:hAnsi="Microsoft Sans Serif" w:cs="Microsoft Sans Serif"/>
          <w:b/>
          <w:bCs/>
          <w:sz w:val="20"/>
          <w:szCs w:val="20"/>
          <w:lang w:val="sr-Latn-CS"/>
        </w:rPr>
        <w:t>Uticaj lijeka na sposobnost upravlјanja vozilima i rukovanja mašinama</w:t>
      </w:r>
    </w:p>
    <w:p w14:paraId="509D2CCC">
      <w:pPr>
        <w:rPr>
          <w:rFonts w:ascii="Microsoft Sans Serif" w:hAnsi="Microsoft Sans Serif" w:cs="Microsoft Sans Serif"/>
          <w:bCs/>
          <w:sz w:val="20"/>
          <w:szCs w:val="20"/>
          <w:lang w:val="ru-RU"/>
        </w:rPr>
      </w:pPr>
    </w:p>
    <w:p w14:paraId="38CC628E">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 xml:space="preserve">Lijek </w:t>
      </w:r>
      <w:r>
        <w:rPr>
          <w:rFonts w:ascii="Microsoft Sans Serif" w:hAnsi="Microsoft Sans Serif" w:cs="Microsoft Sans Serif"/>
          <w:bCs/>
          <w:sz w:val="20"/>
          <w:szCs w:val="20"/>
        </w:rPr>
        <w:t>Nodriga</w:t>
      </w:r>
      <w:r>
        <w:rPr>
          <w:rFonts w:ascii="Microsoft Sans Serif" w:hAnsi="Microsoft Sans Serif" w:cs="Microsoft Sans Serif"/>
          <w:bCs/>
          <w:sz w:val="20"/>
          <w:szCs w:val="20"/>
          <w:lang w:val="ru-RU"/>
        </w:rPr>
        <w:t xml:space="preserve"> ima mali uticaj na sposobnost upravlјanja vozilima i rukovanja mašinama. Pacijent se mora upozoriti na neželјen</w:t>
      </w:r>
      <w:r>
        <w:rPr>
          <w:rFonts w:ascii="Microsoft Sans Serif" w:hAnsi="Microsoft Sans Serif" w:cs="Microsoft Sans Serif"/>
          <w:bCs/>
          <w:sz w:val="20"/>
          <w:szCs w:val="20"/>
        </w:rPr>
        <w:t>a djelovanja</w:t>
      </w:r>
      <w:r>
        <w:rPr>
          <w:rFonts w:ascii="Microsoft Sans Serif" w:hAnsi="Microsoft Sans Serif" w:cs="Microsoft Sans Serif"/>
          <w:bCs/>
          <w:sz w:val="20"/>
          <w:szCs w:val="20"/>
          <w:lang w:val="ru-RU"/>
        </w:rPr>
        <w:t xml:space="preserve"> poput vrtoglavice ili zamaglјenog vida, koje se mogu javiti tokom liječenja dasatinibom. Stoga se preporučuje oprez prilikom upravlјanja vozilima i rukovanja mašinama.</w:t>
      </w:r>
    </w:p>
    <w:p w14:paraId="47338CBF">
      <w:pPr>
        <w:rPr>
          <w:rFonts w:ascii="Microsoft Sans Serif" w:hAnsi="Microsoft Sans Serif" w:cs="Microsoft Sans Serif"/>
          <w:sz w:val="20"/>
          <w:szCs w:val="20"/>
        </w:rPr>
      </w:pPr>
    </w:p>
    <w:p w14:paraId="1FAB5E85">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0C55D3B6">
      <w:pPr>
        <w:rPr>
          <w:rFonts w:ascii="Microsoft Sans Serif" w:hAnsi="Microsoft Sans Serif" w:cs="Microsoft Sans Serif"/>
          <w:sz w:val="20"/>
          <w:szCs w:val="20"/>
          <w:u w:val="single"/>
          <w:lang w:val="hr-HR"/>
        </w:rPr>
      </w:pPr>
    </w:p>
    <w:p w14:paraId="72572350">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Sažetak bezbjedonosnog profila</w:t>
      </w:r>
    </w:p>
    <w:p w14:paraId="3A84DC1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Podaci navedeni u nastavku </w:t>
      </w:r>
      <w:r>
        <w:rPr>
          <w:rFonts w:ascii="Microsoft Sans Serif" w:hAnsi="Microsoft Sans Serif" w:cs="Microsoft Sans Serif"/>
          <w:sz w:val="20"/>
          <w:szCs w:val="20"/>
          <w:lang w:val="mk-MK"/>
        </w:rPr>
        <w:t xml:space="preserve">teksta </w:t>
      </w:r>
      <w:r>
        <w:rPr>
          <w:rFonts w:ascii="Microsoft Sans Serif" w:hAnsi="Microsoft Sans Serif" w:cs="Microsoft Sans Serif"/>
          <w:sz w:val="20"/>
          <w:szCs w:val="20"/>
          <w:lang w:val="hr-HR"/>
        </w:rPr>
        <w:t>odražavaju izloženost dasatinibu u monoterapiji u svim dozama koje su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ispitivale u kliničkim ispitivanjima (N=2900), a obuhvataju 324 odrasla 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novodijagnostikovanim HML u hroničnoj fazi, 2388 odraslih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Ph+ ALL ili HML 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HR"/>
        </w:rPr>
        <w:t>hroničnoj ili uznapredovaloj fazi koji su bili rezistentni na imatinib ili ga nisu podnosili i 188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pedijatrijskih pacijenata.</w:t>
      </w:r>
    </w:p>
    <w:p w14:paraId="004D0881">
      <w:pPr>
        <w:rPr>
          <w:rFonts w:ascii="Microsoft Sans Serif" w:hAnsi="Microsoft Sans Serif" w:cs="Microsoft Sans Serif"/>
          <w:sz w:val="20"/>
          <w:szCs w:val="20"/>
          <w:lang w:val="sr-Cyrl-RS"/>
        </w:rPr>
      </w:pPr>
    </w:p>
    <w:p w14:paraId="15FC8E11">
      <w:pPr>
        <w:rPr>
          <w:rFonts w:ascii="Microsoft Sans Serif" w:hAnsi="Microsoft Sans Serif" w:cs="Microsoft Sans Serif"/>
          <w:sz w:val="20"/>
          <w:szCs w:val="20"/>
          <w:lang w:val="hr-HR"/>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HR"/>
        </w:rPr>
        <w:t xml:space="preserve"> 2712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 HML u uznapredovaloj fazi ili Ph+ ALL,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trajanja liječenja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19,2 mjeseca (raspon 0-93,2 mjeseca). U randomizovanom ispitivanju</w:t>
      </w:r>
      <w:r>
        <w:rPr>
          <w:rFonts w:ascii="Microsoft Sans Serif" w:hAnsi="Microsoft Sans Serif" w:cs="Microsoft Sans Serif"/>
          <w:sz w:val="20"/>
          <w:szCs w:val="20"/>
          <w:lang w:val="sr-Cyrl-RS"/>
        </w:rPr>
        <w:t xml:space="preserve"> s</w:t>
      </w:r>
      <w:r>
        <w:rPr>
          <w:rFonts w:ascii="Microsoft Sans Serif" w:hAnsi="Microsoft Sans Serif" w:cs="Microsoft Sans Serif"/>
          <w:sz w:val="20"/>
          <w:szCs w:val="20"/>
          <w:lang w:val="hr-HR"/>
        </w:rPr>
        <w:t>provedenom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novodijagnostikovanom HML u hroničnoj fazi,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iznosila je približno 60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1618 odraslih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hroničnoj fazi iznosila je 29 mjeseci (raspon 0-9</w:t>
      </w:r>
      <w:r>
        <w:rPr>
          <w:rFonts w:ascii="Microsoft Sans Serif" w:hAnsi="Microsoft Sans Serif" w:cs="Microsoft Sans Serif"/>
          <w:sz w:val="20"/>
          <w:szCs w:val="20"/>
          <w:lang w:val="mk-MK"/>
        </w:rPr>
        <w:t>2</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mk-MK"/>
        </w:rPr>
        <w:t>9</w:t>
      </w:r>
      <w:r>
        <w:rPr>
          <w:rFonts w:ascii="Microsoft Sans Serif" w:hAnsi="Microsoft Sans Serif" w:cs="Microsoft Sans Serif"/>
          <w:sz w:val="20"/>
          <w:szCs w:val="20"/>
          <w:lang w:val="hr-HR"/>
        </w:rPr>
        <w:t xml:space="preserve"> mjeseci).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1094 odrasla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pacijenta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uznapredovaloj fazi ili Ph+ ALL iznosi</w:t>
      </w:r>
      <w:r>
        <w:rPr>
          <w:rFonts w:ascii="Microsoft Sans Serif" w:hAnsi="Microsoft Sans Serif" w:cs="Microsoft Sans Serif"/>
          <w:sz w:val="20"/>
          <w:szCs w:val="20"/>
          <w:lang w:val="sr-Cyrl-RS"/>
        </w:rPr>
        <w:t>la</w:t>
      </w:r>
      <w:r>
        <w:rPr>
          <w:rFonts w:ascii="Microsoft Sans Serif" w:hAnsi="Microsoft Sans Serif" w:cs="Microsoft Sans Serif"/>
          <w:sz w:val="20"/>
          <w:szCs w:val="20"/>
          <w:lang w:val="hr-HR"/>
        </w:rPr>
        <w:t xml:space="preserve"> je 6,2 mjeseca (raspon </w:t>
      </w:r>
      <w:r>
        <w:rPr>
          <w:rFonts w:ascii="Microsoft Sans Serif" w:hAnsi="Microsoft Sans Serif" w:cs="Microsoft Sans Serif"/>
          <w:sz w:val="20"/>
          <w:szCs w:val="20"/>
          <w:lang w:val="mk-MK"/>
        </w:rPr>
        <w:t>0-93,2</w:t>
      </w:r>
      <w:r>
        <w:rPr>
          <w:rFonts w:ascii="Microsoft Sans Serif" w:hAnsi="Microsoft Sans Serif" w:cs="Microsoft Sans Serif"/>
          <w:sz w:val="20"/>
          <w:szCs w:val="20"/>
          <w:lang w:val="hr-HR"/>
        </w:rPr>
        <w:t xml:space="preserve"> mjeseci).</w:t>
      </w:r>
    </w:p>
    <w:p w14:paraId="14E2D3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kod 188 </w:t>
      </w:r>
      <w:r>
        <w:rPr>
          <w:rFonts w:ascii="Microsoft Sans Serif" w:hAnsi="Microsoft Sans Serif" w:cs="Microsoft Sans Serif"/>
          <w:sz w:val="20"/>
          <w:szCs w:val="20"/>
          <w:lang w:val="mk-MK"/>
        </w:rPr>
        <w:t>pacijenata</w:t>
      </w:r>
      <w:r>
        <w:rPr>
          <w:rFonts w:ascii="Microsoft Sans Serif" w:hAnsi="Microsoft Sans Serif" w:cs="Microsoft Sans Serif"/>
          <w:sz w:val="20"/>
          <w:szCs w:val="20"/>
          <w:lang w:val="hr-HR"/>
        </w:rPr>
        <w:t xml:space="preserve"> u pedijatrijskim ispitivanjima iznosila je 26,3 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(raspon 0-99,6 mjeseci). U podgrupi od 130 pedijatrijskih pacijenat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liječenih dasatinibom,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HR"/>
        </w:rPr>
        <w:t xml:space="preserve"> trajanja liječenja iznosila je 42,3 mjeseca (raspon 0,1- 99,6 mjeseci).</w:t>
      </w:r>
    </w:p>
    <w:p w14:paraId="43FB5623">
      <w:pPr>
        <w:widowControl w:val="0"/>
        <w:tabs>
          <w:tab w:val="clear" w:pos="284"/>
        </w:tabs>
        <w:rPr>
          <w:rFonts w:ascii="Microsoft Sans Serif" w:hAnsi="Microsoft Sans Serif" w:cs="Microsoft Sans Serif"/>
          <w:sz w:val="20"/>
          <w:szCs w:val="20"/>
          <w:lang w:val="sr-Cyrl-RS"/>
        </w:rPr>
      </w:pPr>
    </w:p>
    <w:p w14:paraId="1C24517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Većina pacijenata koji su primali dasatinib u nekom trenutku tokom liječenja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razvila neželјena djelovanja. U cjelokupnoj populaciji od 2712 odraslih ispitanika liječenih dasatinibom, kod 520 (19%) razvile su se neželјena djelovanja koje su dovele do prekida liječenja.</w:t>
      </w:r>
    </w:p>
    <w:p w14:paraId="1CE3251F">
      <w:pPr>
        <w:widowControl w:val="0"/>
        <w:tabs>
          <w:tab w:val="clear" w:pos="284"/>
        </w:tabs>
        <w:rPr>
          <w:rFonts w:ascii="Microsoft Sans Serif" w:hAnsi="Microsoft Sans Serif" w:eastAsia="Calibri" w:cs="Microsoft Sans Serif"/>
          <w:sz w:val="20"/>
          <w:szCs w:val="20"/>
        </w:rPr>
      </w:pPr>
    </w:p>
    <w:p w14:paraId="3855E0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Cjelokupan sigurnosni profil dasatiniba u pedijatrijskoj populaciji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w:t>
      </w:r>
      <w:r>
        <w:rPr>
          <w:rFonts w:ascii="Microsoft Sans Serif" w:hAnsi="Microsoft Sans Serif" w:eastAsia="Calibri" w:cs="Microsoft Sans Serif"/>
          <w:sz w:val="20"/>
          <w:szCs w:val="20"/>
          <w:lang w:val="hr-BA"/>
        </w:rPr>
        <w:t>H</w:t>
      </w:r>
      <w:r>
        <w:rPr>
          <w:rFonts w:ascii="Microsoft Sans Serif" w:hAnsi="Microsoft Sans Serif" w:eastAsia="Calibri" w:cs="Microsoft Sans Serif"/>
          <w:sz w:val="20"/>
          <w:szCs w:val="20"/>
        </w:rPr>
        <w:t>ML u hroničnoj fazi bio je sličan onome u odrasloj populaciji, nezavisno o</w:t>
      </w:r>
      <w:r>
        <w:rPr>
          <w:rFonts w:ascii="Microsoft Sans Serif" w:hAnsi="Microsoft Sans Serif" w:eastAsia="Calibri" w:cs="Microsoft Sans Serif"/>
          <w:sz w:val="20"/>
          <w:szCs w:val="20"/>
          <w:lang w:val="sr-Cyrl-RS"/>
        </w:rPr>
        <w:t>d</w:t>
      </w:r>
      <w:r>
        <w:rPr>
          <w:rFonts w:ascii="Microsoft Sans Serif" w:hAnsi="Microsoft Sans Serif" w:eastAsia="Calibri" w:cs="Microsoft Sans Serif"/>
          <w:sz w:val="20"/>
          <w:szCs w:val="20"/>
        </w:rPr>
        <w:t xml:space="preserve"> formulacije, s tim da kod pedijatrijskih pacijenata nisu prijavlјeni slučajevi perikardijalnog izliva, pleuralnog izliva, plućnog edema ni plućne hipertenzije. Od 130 pedijatrijskih ispitanika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liječenih dasatinibom,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2 (1,5%) pacijenta javile su se neželјena djelovanja koje su dovele do prekida liječenja.</w:t>
      </w:r>
      <w:r>
        <w:rPr>
          <w:rFonts w:ascii="Microsoft Sans Serif" w:hAnsi="Microsoft Sans Serif" w:eastAsia="Calibri" w:cs="Microsoft Sans Serif"/>
          <w:sz w:val="20"/>
          <w:szCs w:val="20"/>
          <w:lang w:val="sr-Cyrl-RS"/>
        </w:rPr>
        <w:t xml:space="preserve"> </w:t>
      </w:r>
    </w:p>
    <w:p w14:paraId="41EA98D4">
      <w:pPr>
        <w:widowControl w:val="0"/>
        <w:tabs>
          <w:tab w:val="clear" w:pos="284"/>
        </w:tabs>
        <w:rPr>
          <w:rFonts w:ascii="Microsoft Sans Serif" w:hAnsi="Microsoft Sans Serif" w:eastAsia="Calibri" w:cs="Microsoft Sans Serif"/>
          <w:sz w:val="20"/>
          <w:szCs w:val="20"/>
        </w:rPr>
      </w:pPr>
    </w:p>
    <w:p w14:paraId="5FF5D19C">
      <w:pPr>
        <w:widowControl w:val="0"/>
        <w:tabs>
          <w:tab w:val="clear" w:pos="284"/>
        </w:tabs>
        <w:rPr>
          <w:rFonts w:ascii="Microsoft Sans Serif" w:hAnsi="Microsoft Sans Serif" w:eastAsia="Calibri" w:cs="Microsoft Sans Serif"/>
          <w:sz w:val="20"/>
          <w:szCs w:val="20"/>
          <w:u w:val="single"/>
          <w:lang w:val="hr-BA"/>
        </w:rPr>
      </w:pPr>
      <w:r>
        <w:rPr>
          <w:rFonts w:ascii="Microsoft Sans Serif" w:hAnsi="Microsoft Sans Serif" w:eastAsia="Calibri" w:cs="Microsoft Sans Serif"/>
          <w:sz w:val="20"/>
          <w:szCs w:val="20"/>
          <w:u w:val="single"/>
        </w:rPr>
        <w:t xml:space="preserve">Tabelarni pregled neželјenih </w:t>
      </w:r>
      <w:r>
        <w:rPr>
          <w:rFonts w:ascii="Microsoft Sans Serif" w:hAnsi="Microsoft Sans Serif" w:eastAsia="Calibri" w:cs="Microsoft Sans Serif"/>
          <w:sz w:val="20"/>
          <w:szCs w:val="20"/>
          <w:u w:val="single"/>
          <w:lang w:val="hr-BA"/>
        </w:rPr>
        <w:t>dejstava</w:t>
      </w:r>
    </w:p>
    <w:p w14:paraId="74772A4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l</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rPr>
        <w:t>edeća neželјena djelovanja su, osim promjena u laboratorijskim nalazima, bile prijavlјene kod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liječenih dasatinibom kao monoterapijom, uklјučenih u klinička ispitivanja dasatiniba i iskustvo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stavlјanja lijeka u promet (Tabela </w:t>
      </w:r>
      <w:r>
        <w:rPr>
          <w:rFonts w:ascii="Microsoft Sans Serif" w:hAnsi="Microsoft Sans Serif" w:eastAsia="Calibri" w:cs="Microsoft Sans Serif"/>
          <w:sz w:val="20"/>
          <w:szCs w:val="20"/>
          <w:lang w:val="sr-Latn-RS"/>
        </w:rPr>
        <w:t>5</w:t>
      </w:r>
      <w:r>
        <w:rPr>
          <w:rFonts w:ascii="Microsoft Sans Serif" w:hAnsi="Microsoft Sans Serif" w:eastAsia="Calibri" w:cs="Microsoft Sans Serif"/>
          <w:sz w:val="20"/>
          <w:szCs w:val="20"/>
        </w:rPr>
        <w:t xml:space="preserve">). Neželјena djelovanja su prikazana prema </w:t>
      </w:r>
      <w:r>
        <w:rPr>
          <w:rFonts w:ascii="Microsoft Sans Serif" w:hAnsi="Microsoft Sans Serif" w:eastAsia="Calibri" w:cs="Microsoft Sans Serif"/>
          <w:sz w:val="20"/>
          <w:szCs w:val="20"/>
          <w:lang w:val="mk-MK"/>
        </w:rPr>
        <w:t xml:space="preserve">klasi </w:t>
      </w:r>
      <w:r>
        <w:rPr>
          <w:rFonts w:ascii="Microsoft Sans Serif" w:hAnsi="Microsoft Sans Serif" w:eastAsia="Calibri" w:cs="Microsoft Sans Serif"/>
          <w:sz w:val="20"/>
          <w:szCs w:val="20"/>
        </w:rPr>
        <w:t>sistem</w:t>
      </w:r>
      <w:r>
        <w:rPr>
          <w:rFonts w:ascii="Microsoft Sans Serif" w:hAnsi="Microsoft Sans Serif" w:eastAsia="Calibri" w:cs="Microsoft Sans Serif"/>
          <w:sz w:val="20"/>
          <w:szCs w:val="20"/>
          <w:lang w:val="mk-MK"/>
        </w:rPr>
        <w:t>a</w:t>
      </w:r>
      <w:r>
        <w:rPr>
          <w:rFonts w:ascii="Microsoft Sans Serif" w:hAnsi="Microsoft Sans Serif" w:eastAsia="Calibri" w:cs="Microsoft Sans Serif"/>
          <w:sz w:val="20"/>
          <w:szCs w:val="20"/>
        </w:rPr>
        <w:t xml:space="preserve"> organa 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učestalosti. Učestalost se definiše na sljedeći način: veoma često (≥1/10); često (≥1/100 i &lt;1/10); </w:t>
      </w:r>
      <w:r>
        <w:rPr>
          <w:rFonts w:ascii="Microsoft Sans Serif" w:hAnsi="Microsoft Sans Serif" w:eastAsia="Calibri" w:cs="Microsoft Sans Serif"/>
          <w:sz w:val="20"/>
          <w:szCs w:val="20"/>
          <w:lang w:val="sr-Cyrl-RS"/>
        </w:rPr>
        <w:t>povremeno</w:t>
      </w:r>
      <w:r>
        <w:rPr>
          <w:rFonts w:ascii="Microsoft Sans Serif" w:hAnsi="Microsoft Sans Serif" w:eastAsia="Calibri" w:cs="Microsoft Sans Serif"/>
          <w:sz w:val="20"/>
          <w:szCs w:val="20"/>
        </w:rPr>
        <w:t xml:space="preserve"> (≥1/1000 i &lt;1/100); rijetko (≥1/10 000 i &lt;1/1000); nepoznato (ne može se procijeniti na osnovu raspoloživih podataka).</w:t>
      </w:r>
    </w:p>
    <w:p w14:paraId="1A9DF97B">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Unutar svake grupe učestalosti neželјena djelovanja su prikazane u </w:t>
      </w:r>
      <w:r>
        <w:rPr>
          <w:rFonts w:ascii="Microsoft Sans Serif" w:hAnsi="Microsoft Sans Serif" w:eastAsia="Calibri" w:cs="Microsoft Sans Serif"/>
          <w:sz w:val="20"/>
          <w:szCs w:val="20"/>
          <w:lang w:val="sr-Cyrl-RS"/>
        </w:rPr>
        <w:t>o</w:t>
      </w:r>
      <w:r>
        <w:rPr>
          <w:rFonts w:ascii="Microsoft Sans Serif" w:hAnsi="Microsoft Sans Serif" w:eastAsia="Calibri" w:cs="Microsoft Sans Serif"/>
          <w:sz w:val="20"/>
          <w:szCs w:val="20"/>
        </w:rPr>
        <w:t>padajućem nizu prema ozbilјnosti.</w:t>
      </w:r>
    </w:p>
    <w:p w14:paraId="72584A6A">
      <w:pPr>
        <w:widowControl w:val="0"/>
        <w:tabs>
          <w:tab w:val="clear" w:pos="284"/>
        </w:tabs>
        <w:rPr>
          <w:rFonts w:ascii="Microsoft Sans Serif" w:hAnsi="Microsoft Sans Serif" w:eastAsia="Calibri" w:cs="Microsoft Sans Serif"/>
          <w:b/>
          <w:sz w:val="20"/>
          <w:szCs w:val="20"/>
          <w:lang w:val="sr-Cyrl-RS"/>
        </w:rPr>
      </w:pPr>
    </w:p>
    <w:p w14:paraId="173FF120">
      <w:pPr>
        <w:widowControl w:val="0"/>
        <w:tabs>
          <w:tab w:val="clear" w:pos="284"/>
        </w:tabs>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sr-Cyrl-RS"/>
        </w:rPr>
        <w:t xml:space="preserve">Tabela </w:t>
      </w:r>
      <w:r>
        <w:rPr>
          <w:rFonts w:ascii="Microsoft Sans Serif" w:hAnsi="Microsoft Sans Serif" w:eastAsia="Calibri" w:cs="Microsoft Sans Serif"/>
          <w:b/>
          <w:sz w:val="20"/>
          <w:szCs w:val="20"/>
          <w:lang w:val="sr-Latn-RS"/>
        </w:rPr>
        <w:t>5</w:t>
      </w:r>
      <w:r>
        <w:rPr>
          <w:rFonts w:ascii="Microsoft Sans Serif" w:hAnsi="Microsoft Sans Serif" w:eastAsia="Calibri" w:cs="Microsoft Sans Serif"/>
          <w:b/>
          <w:sz w:val="20"/>
          <w:szCs w:val="20"/>
          <w:lang w:val="sr-Cyrl-RS"/>
        </w:rPr>
        <w:t xml:space="preserve">: Tabelarni pregled neželјenih </w:t>
      </w:r>
      <w:r>
        <w:rPr>
          <w:rFonts w:ascii="Microsoft Sans Serif" w:hAnsi="Microsoft Sans Serif" w:eastAsia="Calibri" w:cs="Microsoft Sans Serif"/>
          <w:b/>
          <w:sz w:val="20"/>
          <w:szCs w:val="20"/>
          <w:lang w:val="hr-BA"/>
        </w:rPr>
        <w:t>dejstava</w:t>
      </w:r>
    </w:p>
    <w:tbl>
      <w:tblPr>
        <w:tblStyle w:val="12"/>
        <w:tblW w:w="9356" w:type="dxa"/>
        <w:tblInd w:w="5" w:type="dxa"/>
        <w:tblLayout w:type="autofit"/>
        <w:tblCellMar>
          <w:top w:w="0" w:type="dxa"/>
          <w:left w:w="0" w:type="dxa"/>
          <w:bottom w:w="0" w:type="dxa"/>
          <w:right w:w="0" w:type="dxa"/>
        </w:tblCellMar>
      </w:tblPr>
      <w:tblGrid>
        <w:gridCol w:w="1700"/>
        <w:gridCol w:w="7656"/>
      </w:tblGrid>
      <w:tr w14:paraId="4577A227">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05E1C7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Infekcije i infestacije</w:t>
            </w:r>
          </w:p>
        </w:tc>
      </w:tr>
      <w:tr w14:paraId="2F87FD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9949B9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521DF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infekcije</w:t>
            </w:r>
            <w:r>
              <w:rPr>
                <w:rFonts w:ascii="Microsoft Sans Serif" w:hAnsi="Microsoft Sans Serif" w:cs="Microsoft Sans Serif"/>
                <w:sz w:val="20"/>
                <w:szCs w:val="20"/>
              </w:rPr>
              <w:t xml:space="preserve"> (uklјučujući bakterijske, virusne, glјivične, nespecifične)</w:t>
            </w:r>
          </w:p>
        </w:tc>
      </w:tr>
      <w:tr w14:paraId="0F6BD14A">
        <w:tblPrEx>
          <w:tblCellMar>
            <w:top w:w="0" w:type="dxa"/>
            <w:left w:w="0" w:type="dxa"/>
            <w:bottom w:w="0" w:type="dxa"/>
            <w:right w:w="0" w:type="dxa"/>
          </w:tblCellMar>
        </w:tblPrEx>
        <w:trPr>
          <w:trHeight w:val="1027" w:hRule="exact"/>
        </w:trPr>
        <w:tc>
          <w:tcPr>
            <w:tcW w:w="1700" w:type="dxa"/>
            <w:tcBorders>
              <w:top w:val="single" w:color="000000" w:sz="4" w:space="0"/>
              <w:left w:val="single" w:color="000000" w:sz="4" w:space="0"/>
              <w:bottom w:val="single" w:color="000000" w:sz="4" w:space="0"/>
              <w:right w:val="single" w:color="000000" w:sz="4" w:space="0"/>
            </w:tcBorders>
          </w:tcPr>
          <w:p w14:paraId="0F1CB1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AE146F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(uklјučujući bakterijsku, virusnu i glјivičnu), infekcije/upale gornjih dijelova respiratornog trakta, infekcija herpes virusom </w:t>
            </w:r>
            <w:r>
              <w:rPr>
                <w:rFonts w:ascii="Microsoft Sans Serif" w:hAnsi="Microsoft Sans Serif" w:cs="Microsoft Sans Serif"/>
                <w:sz w:val="20"/>
                <w:szCs w:val="20"/>
                <w:lang w:val="sr-Cyrl-RS"/>
              </w:rPr>
              <w:t xml:space="preserve">(uklјučujući citomegalovirus- </w:t>
            </w:r>
            <w:r>
              <w:rPr>
                <w:rFonts w:ascii="Microsoft Sans Serif" w:hAnsi="Microsoft Sans Serif" w:cs="Microsoft Sans Serif"/>
                <w:sz w:val="20"/>
                <w:szCs w:val="20"/>
                <w:lang w:val="sr-Latn-RS"/>
              </w:rPr>
              <w:t>CMV</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infektivni enterokolitis, sepsa (uklјučujući povremene slučajeve sa smrtnim ishodima)</w:t>
            </w:r>
          </w:p>
        </w:tc>
      </w:tr>
      <w:tr w14:paraId="592B7A8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648C4C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Nepoznato</w:t>
            </w:r>
          </w:p>
        </w:tc>
        <w:tc>
          <w:tcPr>
            <w:tcW w:w="7656" w:type="dxa"/>
            <w:tcBorders>
              <w:top w:val="single" w:color="000000" w:sz="4" w:space="0"/>
              <w:left w:val="single" w:color="000000" w:sz="4" w:space="0"/>
              <w:bottom w:val="single" w:color="000000" w:sz="4" w:space="0"/>
              <w:right w:val="single" w:color="000000" w:sz="4" w:space="0"/>
            </w:tcBorders>
          </w:tcPr>
          <w:p w14:paraId="20B19EF2">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reaktivacija </w:t>
            </w:r>
            <w:r>
              <w:rPr>
                <w:rFonts w:ascii="Microsoft Sans Serif" w:hAnsi="Microsoft Sans Serif" w:cs="Microsoft Sans Serif"/>
                <w:sz w:val="20"/>
                <w:szCs w:val="20"/>
                <w:lang w:val="sr-Cyrl-RS"/>
              </w:rPr>
              <w:t xml:space="preserve">virusa hepatitis </w:t>
            </w:r>
            <w:r>
              <w:rPr>
                <w:rFonts w:ascii="Microsoft Sans Serif" w:hAnsi="Microsoft Sans Serif" w:cs="Microsoft Sans Serif"/>
                <w:sz w:val="20"/>
                <w:szCs w:val="20"/>
                <w:lang w:val="sr-Latn-RS"/>
              </w:rPr>
              <w:t>B</w:t>
            </w:r>
          </w:p>
        </w:tc>
      </w:tr>
      <w:tr w14:paraId="0F6E9BDC">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408C4B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00FF58F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15E0D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03BCB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mijelosupresija</w:t>
            </w:r>
            <w:r>
              <w:rPr>
                <w:rFonts w:ascii="Microsoft Sans Serif" w:hAnsi="Microsoft Sans Serif" w:cs="Microsoft Sans Serif"/>
                <w:sz w:val="20"/>
                <w:szCs w:val="20"/>
              </w:rPr>
              <w:t xml:space="preserve"> (uklјučujući anemiju, neutropeniju, trombocitopeniju)</w:t>
            </w:r>
          </w:p>
        </w:tc>
      </w:tr>
      <w:tr w14:paraId="42D6A0F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F05038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E6424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r>
      <w:tr w14:paraId="726309D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EE94FF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17AD675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l</w:t>
            </w:r>
            <w:r>
              <w:rPr>
                <w:rFonts w:ascii="Microsoft Sans Serif" w:hAnsi="Microsoft Sans Serif" w:cs="Microsoft Sans Serif"/>
                <w:sz w:val="20"/>
                <w:szCs w:val="20"/>
              </w:rPr>
              <w:t>imfadenopatija, limfopenija</w:t>
            </w:r>
          </w:p>
        </w:tc>
      </w:tr>
      <w:tr w14:paraId="17E63E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7D59A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4FE4CF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plazija </w:t>
            </w:r>
            <w:r>
              <w:rPr>
                <w:rFonts w:ascii="Microsoft Sans Serif" w:hAnsi="Microsoft Sans Serif" w:cs="Microsoft Sans Serif"/>
                <w:sz w:val="20"/>
                <w:szCs w:val="20"/>
                <w:lang w:val="sr-Cyrl-RS"/>
              </w:rPr>
              <w:t>čistih crvenih krvnih zrnaca</w:t>
            </w:r>
          </w:p>
        </w:tc>
      </w:tr>
      <w:tr w14:paraId="09CE41C2">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704AF8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62560EA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8BD6B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5C06E5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reosjetlјivost (uklјučujući nodozni eritem)</w:t>
            </w:r>
          </w:p>
        </w:tc>
      </w:tr>
      <w:tr w14:paraId="0A57FAC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A7CA0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A1D1F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anafilaktički šok </w:t>
            </w:r>
          </w:p>
        </w:tc>
      </w:tr>
      <w:tr w14:paraId="7B9F8B1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C3D02C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Endokrini poremećaji</w:t>
            </w:r>
          </w:p>
        </w:tc>
      </w:tr>
      <w:tr w14:paraId="2DCAE97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32A8D2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118EC9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hipotireoidizam </w:t>
            </w:r>
          </w:p>
        </w:tc>
      </w:tr>
      <w:tr w14:paraId="69D5757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6AB4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4A5DB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hipertireoidizam</w:t>
            </w:r>
            <w:r>
              <w:rPr>
                <w:rFonts w:ascii="Microsoft Sans Serif" w:hAnsi="Microsoft Sans Serif" w:cs="Microsoft Sans Serif"/>
                <w:sz w:val="20"/>
                <w:szCs w:val="20"/>
              </w:rPr>
              <w:t>, tireoiditis</w:t>
            </w:r>
          </w:p>
        </w:tc>
      </w:tr>
      <w:tr w14:paraId="724A9CE8">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07E0D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metabolizma i ishrane</w:t>
            </w:r>
          </w:p>
        </w:tc>
      </w:tr>
      <w:tr w14:paraId="1C818E5E">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725E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5A315A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apetita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hiperurikemija</w:t>
            </w:r>
          </w:p>
        </w:tc>
      </w:tr>
      <w:tr w14:paraId="61B8B129">
        <w:tblPrEx>
          <w:tblCellMar>
            <w:top w:w="0" w:type="dxa"/>
            <w:left w:w="0" w:type="dxa"/>
            <w:bottom w:w="0" w:type="dxa"/>
            <w:right w:w="0" w:type="dxa"/>
          </w:tblCellMar>
        </w:tblPrEx>
        <w:trPr>
          <w:trHeight w:val="578" w:hRule="exact"/>
        </w:trPr>
        <w:tc>
          <w:tcPr>
            <w:tcW w:w="1700" w:type="dxa"/>
            <w:tcBorders>
              <w:top w:val="single" w:color="000000" w:sz="4" w:space="0"/>
              <w:left w:val="single" w:color="000000" w:sz="4" w:space="0"/>
              <w:bottom w:val="single" w:color="000000" w:sz="4" w:space="0"/>
              <w:right w:val="single" w:color="000000" w:sz="4" w:space="0"/>
            </w:tcBorders>
          </w:tcPr>
          <w:p w14:paraId="313F6D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695AF6B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rom </w:t>
            </w:r>
            <w:r>
              <w:rPr>
                <w:rFonts w:ascii="Microsoft Sans Serif" w:hAnsi="Microsoft Sans Serif" w:cs="Microsoft Sans Serif"/>
                <w:sz w:val="20"/>
                <w:szCs w:val="20"/>
                <w:lang w:val="sr-Cyrl-RS"/>
              </w:rPr>
              <w:t>lize tumora</w:t>
            </w:r>
            <w:r>
              <w:rPr>
                <w:rFonts w:ascii="Microsoft Sans Serif" w:hAnsi="Microsoft Sans Serif" w:cs="Microsoft Sans Serif"/>
                <w:sz w:val="20"/>
                <w:szCs w:val="20"/>
              </w:rPr>
              <w:t>, dehidratacija, hipoalbuminemija, hiperh</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lesterolemija</w:t>
            </w:r>
          </w:p>
        </w:tc>
      </w:tr>
      <w:tr w14:paraId="384D98B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715F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Rijetko</w:t>
            </w:r>
          </w:p>
        </w:tc>
        <w:tc>
          <w:tcPr>
            <w:tcW w:w="7656" w:type="dxa"/>
            <w:tcBorders>
              <w:top w:val="single" w:color="000000" w:sz="4" w:space="0"/>
              <w:left w:val="single" w:color="000000" w:sz="4" w:space="0"/>
              <w:bottom w:val="single" w:color="000000" w:sz="4" w:space="0"/>
              <w:right w:val="single" w:color="000000" w:sz="4" w:space="0"/>
            </w:tcBorders>
          </w:tcPr>
          <w:p w14:paraId="69673A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p>
        </w:tc>
      </w:tr>
      <w:tr w14:paraId="6C09093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3E8FB9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Psihijatrijski poremećaji</w:t>
            </w:r>
          </w:p>
        </w:tc>
      </w:tr>
      <w:tr w14:paraId="59B7EE79">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1B3DE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Često</w:t>
            </w:r>
          </w:p>
        </w:tc>
        <w:tc>
          <w:tcPr>
            <w:tcW w:w="7656" w:type="dxa"/>
            <w:tcBorders>
              <w:top w:val="single" w:color="000000" w:sz="4" w:space="0"/>
              <w:left w:val="single" w:color="000000" w:sz="4" w:space="0"/>
              <w:bottom w:val="single" w:color="000000" w:sz="4" w:space="0"/>
              <w:right w:val="single" w:color="000000" w:sz="4" w:space="0"/>
            </w:tcBorders>
          </w:tcPr>
          <w:p w14:paraId="5C6996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depresija</w:t>
            </w:r>
            <w:r>
              <w:rPr>
                <w:rFonts w:ascii="Microsoft Sans Serif" w:hAnsi="Microsoft Sans Serif" w:cs="Microsoft Sans Serif"/>
                <w:sz w:val="20"/>
                <w:szCs w:val="20"/>
              </w:rPr>
              <w:t>, insomnija</w:t>
            </w:r>
          </w:p>
        </w:tc>
      </w:tr>
      <w:tr w14:paraId="4B0016EE">
        <w:tblPrEx>
          <w:tblCellMar>
            <w:top w:w="0" w:type="dxa"/>
            <w:left w:w="0" w:type="dxa"/>
            <w:bottom w:w="0" w:type="dxa"/>
            <w:right w:w="0" w:type="dxa"/>
          </w:tblCellMar>
        </w:tblPrEx>
        <w:trPr>
          <w:trHeight w:val="331" w:hRule="exact"/>
        </w:trPr>
        <w:tc>
          <w:tcPr>
            <w:tcW w:w="1700" w:type="dxa"/>
            <w:tcBorders>
              <w:top w:val="single" w:color="000000" w:sz="4" w:space="0"/>
              <w:left w:val="single" w:color="000000" w:sz="4" w:space="0"/>
              <w:bottom w:val="single" w:color="000000" w:sz="4" w:space="0"/>
              <w:right w:val="single" w:color="000000" w:sz="4" w:space="0"/>
            </w:tcBorders>
          </w:tcPr>
          <w:p w14:paraId="004484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Povremeno</w:t>
            </w:r>
          </w:p>
        </w:tc>
        <w:tc>
          <w:tcPr>
            <w:tcW w:w="7656" w:type="dxa"/>
            <w:tcBorders>
              <w:top w:val="single" w:color="000000" w:sz="4" w:space="0"/>
              <w:left w:val="single" w:color="000000" w:sz="4" w:space="0"/>
              <w:bottom w:val="single" w:color="000000" w:sz="4" w:space="0"/>
              <w:right w:val="single" w:color="000000" w:sz="4" w:space="0"/>
            </w:tcBorders>
          </w:tcPr>
          <w:p w14:paraId="5F9750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nksioznost, konfuzno stanje, emocionaln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nestabilnost, smanjen libido</w:t>
            </w:r>
          </w:p>
        </w:tc>
      </w:tr>
      <w:tr w14:paraId="0F76D4EE">
        <w:tblPrEx>
          <w:tblCellMar>
            <w:top w:w="0" w:type="dxa"/>
            <w:left w:w="0" w:type="dxa"/>
            <w:bottom w:w="0" w:type="dxa"/>
            <w:right w:w="0" w:type="dxa"/>
          </w:tblCellMar>
        </w:tblPrEx>
        <w:trPr>
          <w:trHeight w:val="248"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D7C954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407C82EB">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CD35AA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34A326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lavobolјa </w:t>
            </w:r>
          </w:p>
        </w:tc>
      </w:tr>
      <w:tr w14:paraId="1B5A8645">
        <w:tblPrEx>
          <w:tblCellMar>
            <w:top w:w="0" w:type="dxa"/>
            <w:left w:w="0" w:type="dxa"/>
            <w:bottom w:w="0" w:type="dxa"/>
            <w:right w:w="0" w:type="dxa"/>
          </w:tblCellMar>
        </w:tblPrEx>
        <w:trPr>
          <w:trHeight w:val="550" w:hRule="exact"/>
        </w:trPr>
        <w:tc>
          <w:tcPr>
            <w:tcW w:w="1700" w:type="dxa"/>
            <w:tcBorders>
              <w:top w:val="single" w:color="000000" w:sz="4" w:space="0"/>
              <w:left w:val="single" w:color="000000" w:sz="4" w:space="0"/>
              <w:bottom w:val="single" w:color="000000" w:sz="4" w:space="0"/>
              <w:right w:val="single" w:color="000000" w:sz="4" w:space="0"/>
            </w:tcBorders>
          </w:tcPr>
          <w:p w14:paraId="03B741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5D38D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rPr>
              <w:t xml:space="preserve"> (uklјučujući perifernu neuropatiju), vrtoglavica, disgeuzija, somnolencija</w:t>
            </w:r>
          </w:p>
        </w:tc>
      </w:tr>
      <w:tr w14:paraId="0ADACA0D">
        <w:tblPrEx>
          <w:tblCellMar>
            <w:top w:w="0" w:type="dxa"/>
            <w:left w:w="0" w:type="dxa"/>
            <w:bottom w:w="0" w:type="dxa"/>
            <w:right w:w="0" w:type="dxa"/>
          </w:tblCellMar>
        </w:tblPrEx>
        <w:trPr>
          <w:trHeight w:val="352" w:hRule="exact"/>
        </w:trPr>
        <w:tc>
          <w:tcPr>
            <w:tcW w:w="1700" w:type="dxa"/>
            <w:tcBorders>
              <w:top w:val="single" w:color="000000" w:sz="4" w:space="0"/>
              <w:left w:val="single" w:color="000000" w:sz="4" w:space="0"/>
              <w:bottom w:val="single" w:color="000000" w:sz="4" w:space="0"/>
              <w:right w:val="single" w:color="000000" w:sz="4" w:space="0"/>
            </w:tcBorders>
          </w:tcPr>
          <w:p w14:paraId="7ADDC9B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298FC08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rvarenje </w:t>
            </w:r>
            <w:r>
              <w:rPr>
                <w:rFonts w:ascii="Microsoft Sans Serif" w:hAnsi="Microsoft Sans Serif" w:cs="Microsoft Sans Serif"/>
                <w:sz w:val="20"/>
                <w:szCs w:val="20"/>
                <w:lang w:val="sr-Cyrl-RS"/>
              </w:rPr>
              <w:t>u CNS-u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sinkopa, tremor, amnezija, poremećaj ravnoteže</w:t>
            </w:r>
          </w:p>
        </w:tc>
      </w:tr>
      <w:tr w14:paraId="70660B77">
        <w:tblPrEx>
          <w:tblCellMar>
            <w:top w:w="0" w:type="dxa"/>
            <w:left w:w="0" w:type="dxa"/>
            <w:bottom w:w="0" w:type="dxa"/>
            <w:right w:w="0" w:type="dxa"/>
          </w:tblCellMar>
        </w:tblPrEx>
        <w:trPr>
          <w:trHeight w:val="640" w:hRule="exact"/>
        </w:trPr>
        <w:tc>
          <w:tcPr>
            <w:tcW w:w="1700" w:type="dxa"/>
            <w:tcBorders>
              <w:top w:val="single" w:color="000000" w:sz="4" w:space="0"/>
              <w:left w:val="single" w:color="000000" w:sz="4" w:space="0"/>
              <w:bottom w:val="single" w:color="000000" w:sz="4" w:space="0"/>
              <w:right w:val="single" w:color="000000" w:sz="4" w:space="0"/>
            </w:tcBorders>
          </w:tcPr>
          <w:p w14:paraId="06860C9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5F9EF69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oždani </w:t>
            </w:r>
            <w:r>
              <w:rPr>
                <w:rFonts w:ascii="Microsoft Sans Serif" w:hAnsi="Microsoft Sans Serif" w:cs="Microsoft Sans Serif"/>
                <w:sz w:val="20"/>
                <w:szCs w:val="20"/>
                <w:lang w:val="sr-Cyrl-RS"/>
              </w:rPr>
              <w:t>udar</w:t>
            </w:r>
            <w:r>
              <w:rPr>
                <w:rFonts w:ascii="Microsoft Sans Serif" w:hAnsi="Microsoft Sans Serif" w:cs="Microsoft Sans Serif"/>
                <w:sz w:val="20"/>
                <w:szCs w:val="20"/>
              </w:rPr>
              <w:t xml:space="preserve">, tranzitorni ishemijski napad, konvulzije, optički neuritis, </w:t>
            </w:r>
            <w:r>
              <w:rPr>
                <w:rFonts w:ascii="Microsoft Sans Serif" w:hAnsi="Microsoft Sans Serif" w:cs="Microsoft Sans Serif"/>
                <w:sz w:val="20"/>
                <w:szCs w:val="20"/>
                <w:lang w:val="sr-Cyrl-RS"/>
              </w:rPr>
              <w:t xml:space="preserve">paraliza </w:t>
            </w:r>
            <w:r>
              <w:rPr>
                <w:rFonts w:ascii="Microsoft Sans Serif" w:hAnsi="Microsoft Sans Serif" w:cs="Microsoft Sans Serif"/>
                <w:sz w:val="20"/>
                <w:szCs w:val="20"/>
              </w:rPr>
              <w:t>VII</w:t>
            </w:r>
            <w:r>
              <w:rPr>
                <w:rFonts w:ascii="Microsoft Sans Serif" w:hAnsi="Microsoft Sans Serif" w:cs="Microsoft Sans Serif"/>
                <w:sz w:val="20"/>
                <w:szCs w:val="20"/>
                <w:lang w:val="sr-Cyrl-RS"/>
              </w:rPr>
              <w:t xml:space="preserve"> moždanog nerva</w:t>
            </w:r>
            <w:r>
              <w:rPr>
                <w:rFonts w:ascii="Microsoft Sans Serif" w:hAnsi="Microsoft Sans Serif" w:cs="Microsoft Sans Serif"/>
                <w:sz w:val="20"/>
                <w:szCs w:val="20"/>
              </w:rPr>
              <w:t>, demencija, ataksija</w:t>
            </w:r>
          </w:p>
        </w:tc>
      </w:tr>
      <w:tr w14:paraId="4FFF28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5D2B8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53DFC141">
        <w:tblPrEx>
          <w:tblCellMar>
            <w:top w:w="0" w:type="dxa"/>
            <w:left w:w="0" w:type="dxa"/>
            <w:bottom w:w="0" w:type="dxa"/>
            <w:right w:w="0" w:type="dxa"/>
          </w:tblCellMar>
        </w:tblPrEx>
        <w:trPr>
          <w:trHeight w:val="568" w:hRule="exact"/>
        </w:trPr>
        <w:tc>
          <w:tcPr>
            <w:tcW w:w="1700" w:type="dxa"/>
            <w:tcBorders>
              <w:top w:val="single" w:color="000000" w:sz="4" w:space="0"/>
              <w:left w:val="single" w:color="000000" w:sz="4" w:space="0"/>
              <w:bottom w:val="single" w:color="000000" w:sz="4" w:space="0"/>
              <w:right w:val="single" w:color="000000" w:sz="4" w:space="0"/>
            </w:tcBorders>
          </w:tcPr>
          <w:p w14:paraId="0AB54B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820F8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oremećaji </w:t>
            </w:r>
            <w:r>
              <w:rPr>
                <w:rFonts w:ascii="Microsoft Sans Serif" w:hAnsi="Microsoft Sans Serif" w:cs="Microsoft Sans Serif"/>
                <w:sz w:val="20"/>
                <w:szCs w:val="20"/>
                <w:lang w:val="sr-Cyrl-RS"/>
              </w:rPr>
              <w:t>vida</w:t>
            </w:r>
            <w:r>
              <w:rPr>
                <w:rFonts w:ascii="Microsoft Sans Serif" w:hAnsi="Microsoft Sans Serif" w:cs="Microsoft Sans Serif"/>
                <w:sz w:val="20"/>
                <w:szCs w:val="20"/>
              </w:rPr>
              <w:t xml:space="preserve"> (uklјučujući smetnje vida, zamaglјen vid i smanjena oštrina vida), suvoća oka</w:t>
            </w:r>
          </w:p>
        </w:tc>
      </w:tr>
      <w:tr w14:paraId="1A97544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A05C1F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9EE008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smetnje vida</w:t>
            </w:r>
            <w:r>
              <w:rPr>
                <w:rFonts w:ascii="Microsoft Sans Serif" w:hAnsi="Microsoft Sans Serif" w:cs="Microsoft Sans Serif"/>
                <w:sz w:val="20"/>
                <w:szCs w:val="20"/>
              </w:rPr>
              <w:t>, konjuktivitis, fotofobija, pojačano suzenje</w:t>
            </w:r>
          </w:p>
        </w:tc>
      </w:tr>
      <w:tr w14:paraId="2C2EBBD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A88C65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uha i labirinta</w:t>
            </w:r>
          </w:p>
        </w:tc>
      </w:tr>
      <w:tr w14:paraId="441D5D15">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7E83F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3DB036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tinitus </w:t>
            </w:r>
          </w:p>
        </w:tc>
      </w:tr>
      <w:tr w14:paraId="443EFF8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588B4F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89416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ubitak </w:t>
            </w:r>
            <w:r>
              <w:rPr>
                <w:rFonts w:ascii="Microsoft Sans Serif" w:hAnsi="Microsoft Sans Serif" w:cs="Microsoft Sans Serif"/>
                <w:sz w:val="20"/>
                <w:szCs w:val="20"/>
                <w:lang w:val="sr-Cyrl-RS"/>
              </w:rPr>
              <w:t>sluha</w:t>
            </w:r>
            <w:r>
              <w:rPr>
                <w:rFonts w:ascii="Microsoft Sans Serif" w:hAnsi="Microsoft Sans Serif" w:cs="Microsoft Sans Serif"/>
                <w:sz w:val="20"/>
                <w:szCs w:val="20"/>
              </w:rPr>
              <w:t xml:space="preserve">, vrtoglavica </w:t>
            </w:r>
          </w:p>
        </w:tc>
      </w:tr>
      <w:tr w14:paraId="2D4D84BB">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FDD71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 xml:space="preserve">Srčani poremećaji </w:t>
            </w:r>
          </w:p>
        </w:tc>
      </w:tr>
      <w:tr w14:paraId="2C1A073F">
        <w:tblPrEx>
          <w:tblCellMar>
            <w:top w:w="0" w:type="dxa"/>
            <w:left w:w="0" w:type="dxa"/>
            <w:bottom w:w="0" w:type="dxa"/>
            <w:right w:w="0" w:type="dxa"/>
          </w:tblCellMar>
        </w:tblPrEx>
        <w:trPr>
          <w:trHeight w:val="658" w:hRule="exact"/>
        </w:trPr>
        <w:tc>
          <w:tcPr>
            <w:tcW w:w="1700" w:type="dxa"/>
            <w:tcBorders>
              <w:top w:val="single" w:color="000000" w:sz="4" w:space="0"/>
              <w:left w:val="single" w:color="000000" w:sz="4" w:space="0"/>
              <w:bottom w:val="single" w:color="000000" w:sz="4" w:space="0"/>
              <w:right w:val="single" w:color="000000" w:sz="4" w:space="0"/>
            </w:tcBorders>
          </w:tcPr>
          <w:p w14:paraId="11E9B8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E54F3C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 xml:space="preserve">ongestivni </w:t>
            </w:r>
            <w:r>
              <w:rPr>
                <w:rFonts w:ascii="Microsoft Sans Serif" w:hAnsi="Microsoft Sans Serif" w:cs="Microsoft Sans Serif"/>
                <w:sz w:val="20"/>
                <w:szCs w:val="20"/>
                <w:lang w:val="sr-Cyrl-RS"/>
              </w:rPr>
              <w:t>srčani zastoj</w:t>
            </w:r>
            <w:r>
              <w:rPr>
                <w:rFonts w:ascii="Microsoft Sans Serif" w:hAnsi="Microsoft Sans Serif" w:cs="Microsoft Sans Serif"/>
                <w:sz w:val="20"/>
                <w:szCs w:val="20"/>
              </w:rPr>
              <w:t>/srčana disfunkcija</w:t>
            </w:r>
            <w:r>
              <w:rPr>
                <w:rFonts w:ascii="Microsoft Sans Serif" w:hAnsi="Microsoft Sans Serif" w:cs="Microsoft Sans Serif"/>
                <w:sz w:val="20"/>
                <w:szCs w:val="20"/>
                <w:vertAlign w:val="superscript"/>
              </w:rPr>
              <w:t>*c</w:t>
            </w:r>
            <w:r>
              <w:rPr>
                <w:rFonts w:ascii="Microsoft Sans Serif" w:hAnsi="Microsoft Sans Serif" w:cs="Microsoft Sans Serif"/>
                <w:sz w:val="20"/>
                <w:szCs w:val="20"/>
              </w:rPr>
              <w:t>, perikardijalni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aritmije (uklјučujući tahikardiju), palpitacije </w:t>
            </w:r>
          </w:p>
        </w:tc>
      </w:tr>
      <w:tr w14:paraId="2721069C">
        <w:tblPrEx>
          <w:tblCellMar>
            <w:top w:w="0" w:type="dxa"/>
            <w:left w:w="0" w:type="dxa"/>
            <w:bottom w:w="0" w:type="dxa"/>
            <w:right w:w="0" w:type="dxa"/>
          </w:tblCellMar>
        </w:tblPrEx>
        <w:trPr>
          <w:trHeight w:val="1055" w:hRule="exact"/>
        </w:trPr>
        <w:tc>
          <w:tcPr>
            <w:tcW w:w="1700" w:type="dxa"/>
            <w:tcBorders>
              <w:top w:val="single" w:color="000000" w:sz="4" w:space="0"/>
              <w:left w:val="single" w:color="000000" w:sz="4" w:space="0"/>
              <w:bottom w:val="single" w:color="000000" w:sz="4" w:space="0"/>
              <w:right w:val="single" w:color="000000" w:sz="4" w:space="0"/>
            </w:tcBorders>
          </w:tcPr>
          <w:p w14:paraId="7D94B47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4CDBCBA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rPr>
              <w:t xml:space="preserve"> (uklјučujući one sa smrtnim ishodom)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elektrokardiografski vidlјivo produženje </w:t>
            </w:r>
            <w:r>
              <w:rPr>
                <w:rFonts w:ascii="Microsoft Sans Serif" w:hAnsi="Microsoft Sans Serif" w:cs="Microsoft Sans Serif"/>
                <w:sz w:val="20"/>
                <w:szCs w:val="20"/>
                <w:lang w:val="sr-Latn-RS"/>
              </w:rPr>
              <w:t>QT</w:t>
            </w:r>
            <w:r>
              <w:rPr>
                <w:rFonts w:ascii="Microsoft Sans Serif" w:hAnsi="Microsoft Sans Serif" w:cs="Microsoft Sans Serif"/>
                <w:sz w:val="20"/>
                <w:szCs w:val="20"/>
                <w:lang w:val="sr-Cyrl-RS"/>
              </w:rPr>
              <w:t xml:space="preserve"> intervala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perikarditis, ventrikularna aritmija (uklјučujući ventrikularnu tahikardiju), angina pektoris, kardiomegalija, abnormalnost </w:t>
            </w:r>
            <w:r>
              <w:rPr>
                <w:rFonts w:ascii="Microsoft Sans Serif" w:hAnsi="Microsoft Sans Serif" w:cs="Microsoft Sans Serif"/>
                <w:sz w:val="20"/>
                <w:szCs w:val="20"/>
                <w:lang w:val="sr-Cyrl-RS"/>
              </w:rPr>
              <w:t>T- talasa na elektrokardiogramu</w:t>
            </w:r>
            <w:r>
              <w:rPr>
                <w:rFonts w:ascii="Microsoft Sans Serif" w:hAnsi="Microsoft Sans Serif" w:cs="Microsoft Sans Serif"/>
                <w:sz w:val="20"/>
                <w:szCs w:val="20"/>
              </w:rPr>
              <w:t>, povišene vrijednosti troponina</w:t>
            </w:r>
          </w:p>
        </w:tc>
      </w:tr>
      <w:tr w14:paraId="60C30025">
        <w:tblPrEx>
          <w:tblCellMar>
            <w:top w:w="0" w:type="dxa"/>
            <w:left w:w="0" w:type="dxa"/>
            <w:bottom w:w="0" w:type="dxa"/>
            <w:right w:w="0" w:type="dxa"/>
          </w:tblCellMar>
        </w:tblPrEx>
        <w:trPr>
          <w:trHeight w:val="558" w:hRule="exact"/>
        </w:trPr>
        <w:tc>
          <w:tcPr>
            <w:tcW w:w="1700" w:type="dxa"/>
            <w:tcBorders>
              <w:top w:val="single" w:color="000000" w:sz="4" w:space="0"/>
              <w:left w:val="single" w:color="000000" w:sz="4" w:space="0"/>
              <w:bottom w:val="single" w:color="000000" w:sz="4" w:space="0"/>
              <w:right w:val="single" w:color="000000" w:sz="4" w:space="0"/>
            </w:tcBorders>
          </w:tcPr>
          <w:p w14:paraId="39075D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6AABED7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lućno </w:t>
            </w:r>
            <w:r>
              <w:rPr>
                <w:rFonts w:ascii="Microsoft Sans Serif" w:hAnsi="Microsoft Sans Serif" w:cs="Microsoft Sans Serif"/>
                <w:sz w:val="20"/>
                <w:szCs w:val="20"/>
                <w:lang w:val="sr-Cyrl-RS"/>
              </w:rPr>
              <w:t>srce</w:t>
            </w:r>
            <w:r>
              <w:rPr>
                <w:rFonts w:ascii="Microsoft Sans Serif" w:hAnsi="Microsoft Sans Serif" w:cs="Microsoft Sans Serif"/>
                <w:sz w:val="20"/>
                <w:szCs w:val="20"/>
              </w:rPr>
              <w:t xml:space="preserve">, miokarditis, akutni koronarni sindrom, srčani zastoj, produženje </w:t>
            </w:r>
            <w:r>
              <w:rPr>
                <w:rFonts w:ascii="Microsoft Sans Serif" w:hAnsi="Microsoft Sans Serif" w:cs="Microsoft Sans Serif"/>
                <w:sz w:val="20"/>
                <w:szCs w:val="20"/>
                <w:lang w:val="sr-Latn-RS"/>
              </w:rPr>
              <w:t xml:space="preserve">PR </w:t>
            </w:r>
            <w:r>
              <w:rPr>
                <w:rFonts w:ascii="Microsoft Sans Serif" w:hAnsi="Microsoft Sans Serif" w:cs="Microsoft Sans Serif"/>
                <w:sz w:val="20"/>
                <w:szCs w:val="20"/>
                <w:lang w:val="sr-Cyrl-RS"/>
              </w:rPr>
              <w:t>intervala na elektrokardiogramu</w:t>
            </w:r>
            <w:r>
              <w:rPr>
                <w:rFonts w:ascii="Microsoft Sans Serif" w:hAnsi="Microsoft Sans Serif" w:cs="Microsoft Sans Serif"/>
                <w:sz w:val="20"/>
                <w:szCs w:val="20"/>
              </w:rPr>
              <w:t>, bolest koronarnih arterija, pleuroperikarditis</w:t>
            </w:r>
          </w:p>
        </w:tc>
      </w:tr>
      <w:tr w14:paraId="05AF107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33E9719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DB6B7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trijalna </w:t>
            </w:r>
            <w:r>
              <w:rPr>
                <w:rFonts w:ascii="Microsoft Sans Serif" w:hAnsi="Microsoft Sans Serif" w:cs="Microsoft Sans Serif"/>
                <w:sz w:val="20"/>
                <w:szCs w:val="20"/>
                <w:lang w:val="sr-Cyrl-RS"/>
              </w:rPr>
              <w:t>fibrilacija</w:t>
            </w:r>
            <w:r>
              <w:rPr>
                <w:rFonts w:ascii="Microsoft Sans Serif" w:hAnsi="Microsoft Sans Serif" w:cs="Microsoft Sans Serif"/>
                <w:sz w:val="20"/>
                <w:szCs w:val="20"/>
              </w:rPr>
              <w:t>/atrijalni flater</w:t>
            </w:r>
          </w:p>
        </w:tc>
      </w:tr>
      <w:tr w14:paraId="35A9EEF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817D74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4617BB3">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534275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379B859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w:t>
            </w:r>
            <w:r>
              <w:rPr>
                <w:rFonts w:ascii="Microsoft Sans Serif" w:hAnsi="Microsoft Sans Serif" w:cs="Microsoft Sans Serif"/>
                <w:sz w:val="20"/>
                <w:szCs w:val="20"/>
                <w:vertAlign w:val="superscript"/>
              </w:rPr>
              <w:t>*d</w:t>
            </w:r>
          </w:p>
        </w:tc>
      </w:tr>
      <w:tr w14:paraId="6A26325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AD36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6C1E86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ipertenzija, naleti crvenila</w:t>
            </w:r>
          </w:p>
        </w:tc>
      </w:tr>
      <w:tr w14:paraId="15EF215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66766D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57E20BE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w:t>
            </w:r>
            <w:r>
              <w:rPr>
                <w:rFonts w:ascii="Microsoft Sans Serif" w:hAnsi="Microsoft Sans Serif" w:cs="Microsoft Sans Serif"/>
                <w:sz w:val="20"/>
                <w:szCs w:val="20"/>
              </w:rPr>
              <w:t>ipotenzija, tromboflebitis, tromboza</w:t>
            </w:r>
          </w:p>
        </w:tc>
      </w:tr>
      <w:tr w14:paraId="22B2F63D">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11DED59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2CB479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embolija, livedo reticularis</w:t>
            </w:r>
          </w:p>
        </w:tc>
      </w:tr>
      <w:tr w14:paraId="1315911D">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469D406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19BD6D4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trombotična mikroangiopatija</w:t>
            </w:r>
          </w:p>
        </w:tc>
      </w:tr>
      <w:tr w14:paraId="0F9AD2E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D6CBCF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4DB425B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199F36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4A1CCB6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dispneja</w:t>
            </w:r>
          </w:p>
        </w:tc>
      </w:tr>
      <w:tr w14:paraId="77B21493">
        <w:tblPrEx>
          <w:tblCellMar>
            <w:top w:w="0" w:type="dxa"/>
            <w:left w:w="0" w:type="dxa"/>
            <w:bottom w:w="0" w:type="dxa"/>
            <w:right w:w="0" w:type="dxa"/>
          </w:tblCellMar>
        </w:tblPrEx>
        <w:trPr>
          <w:trHeight w:val="608" w:hRule="exact"/>
        </w:trPr>
        <w:tc>
          <w:tcPr>
            <w:tcW w:w="1700" w:type="dxa"/>
            <w:tcBorders>
              <w:top w:val="single" w:color="000000" w:sz="4" w:space="0"/>
              <w:left w:val="single" w:color="000000" w:sz="4" w:space="0"/>
              <w:bottom w:val="single" w:color="000000" w:sz="4" w:space="0"/>
              <w:right w:val="single" w:color="000000" w:sz="4" w:space="0"/>
            </w:tcBorders>
          </w:tcPr>
          <w:p w14:paraId="13174AD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7F9E51B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lućni </w:t>
            </w: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hipertenzija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plućni infiltrati, pneumonitis, kašalј</w:t>
            </w:r>
          </w:p>
        </w:tc>
      </w:tr>
      <w:tr w14:paraId="4C8BBD2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5CC3AA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6F3A84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lućna </w:t>
            </w:r>
            <w:r>
              <w:rPr>
                <w:rFonts w:ascii="Microsoft Sans Serif" w:hAnsi="Microsoft Sans Serif" w:cs="Microsoft Sans Serif"/>
                <w:sz w:val="20"/>
                <w:szCs w:val="20"/>
                <w:lang w:val="sr-Cyrl-RS"/>
              </w:rPr>
              <w:t>arterijska hipertenzija</w:t>
            </w:r>
            <w:r>
              <w:rPr>
                <w:rFonts w:ascii="Microsoft Sans Serif" w:hAnsi="Microsoft Sans Serif" w:cs="Microsoft Sans Serif"/>
                <w:sz w:val="20"/>
                <w:szCs w:val="20"/>
              </w:rPr>
              <w:t>, bronhospazam, astma, hilotoraks</w:t>
            </w:r>
            <w:r>
              <w:rPr>
                <w:w w:val="103"/>
                <w:vertAlign w:val="superscript"/>
              </w:rPr>
              <w:t>*</w:t>
            </w:r>
          </w:p>
        </w:tc>
      </w:tr>
      <w:tr w14:paraId="1DB78E04">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7E469B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0B7940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rPr>
              <w:t>, akutni respiratorni distres sindrom</w:t>
            </w:r>
          </w:p>
        </w:tc>
      </w:tr>
      <w:tr w14:paraId="4BFA23AB">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25CFFA6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6C5592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intestinalna bolest pluća</w:t>
            </w:r>
          </w:p>
        </w:tc>
      </w:tr>
      <w:tr w14:paraId="1D024EB1">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563727E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3FD075F6">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C918F4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773177D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dijareja</w:t>
            </w:r>
            <w:r>
              <w:rPr>
                <w:rFonts w:ascii="Microsoft Sans Serif" w:hAnsi="Microsoft Sans Serif" w:cs="Microsoft Sans Serif"/>
                <w:sz w:val="20"/>
                <w:szCs w:val="20"/>
              </w:rPr>
              <w:t>, povraćanje, mučnina, abdominalni bol</w:t>
            </w:r>
          </w:p>
        </w:tc>
      </w:tr>
      <w:tr w14:paraId="4CBD19FC">
        <w:tblPrEx>
          <w:tblCellMar>
            <w:top w:w="0" w:type="dxa"/>
            <w:left w:w="0" w:type="dxa"/>
            <w:bottom w:w="0" w:type="dxa"/>
            <w:right w:w="0" w:type="dxa"/>
          </w:tblCellMar>
        </w:tblPrEx>
        <w:trPr>
          <w:trHeight w:val="766" w:hRule="exact"/>
        </w:trPr>
        <w:tc>
          <w:tcPr>
            <w:tcW w:w="1700" w:type="dxa"/>
            <w:tcBorders>
              <w:top w:val="single" w:color="000000" w:sz="4" w:space="0"/>
              <w:left w:val="single" w:color="000000" w:sz="4" w:space="0"/>
              <w:bottom w:val="single" w:color="000000" w:sz="4" w:space="0"/>
              <w:right w:val="single" w:color="000000" w:sz="4" w:space="0"/>
            </w:tcBorders>
          </w:tcPr>
          <w:p w14:paraId="3B4A310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847275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astrointestinalno </w:t>
            </w:r>
            <w:r>
              <w:rPr>
                <w:rFonts w:ascii="Microsoft Sans Serif" w:hAnsi="Microsoft Sans Serif" w:cs="Microsoft Sans Serif"/>
                <w:sz w:val="20"/>
                <w:szCs w:val="20"/>
                <w:lang w:val="sr-Cyrl-RS"/>
              </w:rPr>
              <w:t>krvarenje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kolitis (uklјučujući neutropenijski kolitis), gastritis, upala sluznica (uklјučujući mukozitis/stomatitis),  dispepsija, distenzija abdomena, konstipacija, poremećaji mekih tkiva usne duplјe</w:t>
            </w:r>
          </w:p>
        </w:tc>
      </w:tr>
      <w:tr w14:paraId="4505D30E">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0D9AA9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158C18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pankreatitis</w:t>
            </w:r>
            <w:r>
              <w:rPr>
                <w:rFonts w:ascii="Microsoft Sans Serif" w:hAnsi="Microsoft Sans Serif" w:cs="Microsoft Sans Serif"/>
                <w:sz w:val="20"/>
                <w:szCs w:val="20"/>
              </w:rPr>
              <w:t xml:space="preserve"> (uklјučujući akutni pankreatitis), ulkus u gornjem delu gastrointestinalnog trakta, ezofagitis, ascite</w:t>
            </w:r>
            <w:r>
              <w:rPr>
                <w:rFonts w:ascii="Microsoft Sans Serif" w:hAnsi="Microsoft Sans Serif" w:cs="Microsoft Sans Serif"/>
                <w:sz w:val="20"/>
                <w:szCs w:val="20"/>
                <w:lang w:val="sr-Cyrl-RS"/>
              </w:rPr>
              <w:t>s</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analna fisura, disfagija, gastroezofagusna refluksna bolest</w:t>
            </w:r>
          </w:p>
        </w:tc>
      </w:tr>
      <w:tr w14:paraId="2B73756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B7E869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0FFE57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gastroenteropatija sa gubitkom proteina</w:t>
            </w:r>
            <w:r>
              <w:rPr>
                <w:rFonts w:ascii="Microsoft Sans Serif" w:hAnsi="Microsoft Sans Serif" w:cs="Microsoft Sans Serif"/>
                <w:sz w:val="20"/>
                <w:szCs w:val="20"/>
              </w:rPr>
              <w:t>, ileus, analna fistula</w:t>
            </w:r>
          </w:p>
        </w:tc>
      </w:tr>
      <w:tr w14:paraId="45C1CB0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076ADA3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294136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 xml:space="preserve">atalno </w:t>
            </w:r>
            <w:r>
              <w:rPr>
                <w:rFonts w:ascii="Microsoft Sans Serif" w:hAnsi="Microsoft Sans Serif" w:cs="Microsoft Sans Serif"/>
                <w:sz w:val="20"/>
                <w:szCs w:val="20"/>
                <w:lang w:val="sr-Cyrl-RS"/>
              </w:rPr>
              <w:t>gastrointestinalno krvarenje</w:t>
            </w:r>
            <w:r>
              <w:rPr>
                <w:rFonts w:ascii="Microsoft Sans Serif" w:hAnsi="Microsoft Sans Serif" w:cs="Microsoft Sans Serif"/>
                <w:sz w:val="20"/>
                <w:szCs w:val="20"/>
                <w:vertAlign w:val="superscript"/>
              </w:rPr>
              <w:t>*</w:t>
            </w:r>
          </w:p>
        </w:tc>
      </w:tr>
      <w:tr w14:paraId="31ED825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695F53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7C01E54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FAD4BD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64479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rPr>
              <w:t>, holecistitis, holestaza</w:t>
            </w:r>
          </w:p>
        </w:tc>
      </w:tr>
      <w:tr w14:paraId="05888D95">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6FC5778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25B720A3">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2AC3E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04E6CF9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kožni osip</w:t>
            </w:r>
            <w:r>
              <w:rPr>
                <w:rFonts w:ascii="Microsoft Sans Serif" w:hAnsi="Microsoft Sans Serif" w:cs="Microsoft Sans Serif"/>
                <w:sz w:val="20"/>
                <w:szCs w:val="20"/>
                <w:vertAlign w:val="superscript"/>
              </w:rPr>
              <w:t>e</w:t>
            </w:r>
          </w:p>
        </w:tc>
      </w:tr>
      <w:tr w14:paraId="0F704733">
        <w:tblPrEx>
          <w:tblCellMar>
            <w:top w:w="0" w:type="dxa"/>
            <w:left w:w="0" w:type="dxa"/>
            <w:bottom w:w="0" w:type="dxa"/>
            <w:right w:w="0" w:type="dxa"/>
          </w:tblCellMar>
        </w:tblPrEx>
        <w:trPr>
          <w:trHeight w:val="560" w:hRule="exact"/>
        </w:trPr>
        <w:tc>
          <w:tcPr>
            <w:tcW w:w="1700" w:type="dxa"/>
            <w:tcBorders>
              <w:top w:val="single" w:color="000000" w:sz="4" w:space="0"/>
              <w:left w:val="single" w:color="000000" w:sz="4" w:space="0"/>
              <w:bottom w:val="single" w:color="000000" w:sz="4" w:space="0"/>
              <w:right w:val="single" w:color="000000" w:sz="4" w:space="0"/>
            </w:tcBorders>
          </w:tcPr>
          <w:p w14:paraId="7D6BD0F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2C3BDBE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a</w:t>
            </w:r>
            <w:r>
              <w:rPr>
                <w:rFonts w:ascii="Microsoft Sans Serif" w:hAnsi="Microsoft Sans Serif" w:cs="Microsoft Sans Serif"/>
                <w:sz w:val="20"/>
                <w:szCs w:val="20"/>
              </w:rPr>
              <w:t>lopecija, dermatitis (uklјučujući ekcem), pruritus, akne, suva koža, urtikarija, hiperhidroza</w:t>
            </w:r>
          </w:p>
        </w:tc>
      </w:tr>
      <w:tr w14:paraId="66E85BC4">
        <w:tblPrEx>
          <w:tblCellMar>
            <w:top w:w="0" w:type="dxa"/>
            <w:left w:w="0" w:type="dxa"/>
            <w:bottom w:w="0" w:type="dxa"/>
            <w:right w:w="0" w:type="dxa"/>
          </w:tblCellMar>
        </w:tblPrEx>
        <w:trPr>
          <w:trHeight w:val="852" w:hRule="exact"/>
        </w:trPr>
        <w:tc>
          <w:tcPr>
            <w:tcW w:w="1700" w:type="dxa"/>
            <w:tcBorders>
              <w:top w:val="single" w:color="000000" w:sz="4" w:space="0"/>
              <w:left w:val="single" w:color="000000" w:sz="4" w:space="0"/>
              <w:bottom w:val="single" w:color="000000" w:sz="4" w:space="0"/>
              <w:right w:val="single" w:color="000000" w:sz="4" w:space="0"/>
            </w:tcBorders>
          </w:tcPr>
          <w:p w14:paraId="616822E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7310CF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neutrofilna dermatoza</w:t>
            </w:r>
            <w:r>
              <w:rPr>
                <w:rFonts w:ascii="Microsoft Sans Serif" w:hAnsi="Microsoft Sans Serif" w:cs="Microsoft Sans Serif"/>
                <w:sz w:val="20"/>
                <w:szCs w:val="20"/>
              </w:rPr>
              <w:t>, fotosenzitivnost, poremećaj pigmentacije, panikulitis, kožni ulkus, bulozna stanja, poremećaj noktiju, sindrom</w:t>
            </w:r>
            <w:r>
              <w:rPr>
                <w:rFonts w:ascii="Microsoft Sans Serif" w:hAnsi="Microsoft Sans Serif" w:cs="Microsoft Sans Serif"/>
                <w:sz w:val="20"/>
                <w:szCs w:val="20"/>
                <w:lang w:val="sr-Cyrl-RS"/>
              </w:rPr>
              <w:t xml:space="preserve"> palmarno plantarne eritrodizestezije</w:t>
            </w:r>
            <w:r>
              <w:rPr>
                <w:rFonts w:ascii="Microsoft Sans Serif" w:hAnsi="Microsoft Sans Serif" w:cs="Microsoft Sans Serif"/>
                <w:sz w:val="20"/>
                <w:szCs w:val="20"/>
              </w:rPr>
              <w:t>, poremećaj kose</w:t>
            </w:r>
          </w:p>
        </w:tc>
      </w:tr>
      <w:tr w14:paraId="47C0D62C">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B15626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7E6D722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rPr>
              <w:t>, kožna fibroza</w:t>
            </w:r>
          </w:p>
        </w:tc>
      </w:tr>
      <w:tr w14:paraId="34ECC48D">
        <w:tblPrEx>
          <w:tblCellMar>
            <w:top w:w="0" w:type="dxa"/>
            <w:left w:w="0" w:type="dxa"/>
            <w:bottom w:w="0" w:type="dxa"/>
            <w:right w:w="0" w:type="dxa"/>
          </w:tblCellMar>
        </w:tblPrEx>
        <w:trPr>
          <w:trHeight w:val="315" w:hRule="exact"/>
        </w:trPr>
        <w:tc>
          <w:tcPr>
            <w:tcW w:w="1700" w:type="dxa"/>
            <w:tcBorders>
              <w:top w:val="single" w:color="000000" w:sz="4" w:space="0"/>
              <w:left w:val="single" w:color="000000" w:sz="4" w:space="0"/>
              <w:bottom w:val="single" w:color="000000" w:sz="4" w:space="0"/>
              <w:right w:val="single" w:color="000000" w:sz="4" w:space="0"/>
            </w:tcBorders>
          </w:tcPr>
          <w:p w14:paraId="4BE5430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548623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 ov</w:t>
            </w:r>
            <w:r>
              <w:rPr>
                <w:rFonts w:ascii="Microsoft Sans Serif" w:hAnsi="Microsoft Sans Serif" w:cs="Microsoft Sans Serif"/>
                <w:sz w:val="20"/>
                <w:szCs w:val="20"/>
              </w:rPr>
              <w:t xml:space="preserve"> sindrom</w:t>
            </w:r>
            <w:r>
              <w:rPr>
                <w:rFonts w:ascii="Microsoft Sans Serif" w:hAnsi="Microsoft Sans Serif" w:cs="Microsoft Sans Serif"/>
                <w:sz w:val="20"/>
                <w:szCs w:val="20"/>
                <w:vertAlign w:val="superscript"/>
              </w:rPr>
              <w:t>f</w:t>
            </w:r>
          </w:p>
        </w:tc>
      </w:tr>
      <w:tr w14:paraId="19659D6D">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7A3D36A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 koštanog sistema i vezivnog tkiva</w:t>
            </w:r>
          </w:p>
        </w:tc>
      </w:tr>
      <w:tr w14:paraId="7FF28CEA">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6A55177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D722B4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išićno-</w:t>
            </w:r>
            <w:r>
              <w:rPr>
                <w:rFonts w:ascii="Microsoft Sans Serif" w:hAnsi="Microsoft Sans Serif" w:cs="Microsoft Sans Serif"/>
                <w:sz w:val="20"/>
                <w:szCs w:val="20"/>
                <w:lang w:val="sr-Cyrl-RS"/>
              </w:rPr>
              <w:t xml:space="preserve"> koštani bol</w:t>
            </w:r>
            <w:r>
              <w:rPr>
                <w:rFonts w:ascii="Microsoft Sans Serif" w:hAnsi="Microsoft Sans Serif" w:cs="Microsoft Sans Serif"/>
                <w:sz w:val="20"/>
                <w:szCs w:val="20"/>
                <w:vertAlign w:val="superscript"/>
              </w:rPr>
              <w:t>g</w:t>
            </w:r>
          </w:p>
        </w:tc>
      </w:tr>
      <w:tr w14:paraId="401075DC">
        <w:tblPrEx>
          <w:tblCellMar>
            <w:top w:w="0" w:type="dxa"/>
            <w:left w:w="0" w:type="dxa"/>
            <w:bottom w:w="0" w:type="dxa"/>
            <w:right w:w="0" w:type="dxa"/>
          </w:tblCellMar>
        </w:tblPrEx>
        <w:trPr>
          <w:trHeight w:val="351" w:hRule="exact"/>
        </w:trPr>
        <w:tc>
          <w:tcPr>
            <w:tcW w:w="1700" w:type="dxa"/>
            <w:tcBorders>
              <w:top w:val="single" w:color="000000" w:sz="4" w:space="0"/>
              <w:left w:val="single" w:color="000000" w:sz="4" w:space="0"/>
              <w:bottom w:val="single" w:color="000000" w:sz="4" w:space="0"/>
              <w:right w:val="single" w:color="000000" w:sz="4" w:space="0"/>
            </w:tcBorders>
          </w:tcPr>
          <w:p w14:paraId="1714FC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1B2A47C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artralgija</w:t>
            </w:r>
            <w:r>
              <w:rPr>
                <w:rFonts w:ascii="Microsoft Sans Serif" w:hAnsi="Microsoft Sans Serif" w:cs="Microsoft Sans Serif"/>
                <w:sz w:val="20"/>
                <w:szCs w:val="20"/>
              </w:rPr>
              <w:t>, mijalgija, mišićna slabost, mišićno- koštana ukočenost, spazam mišića</w:t>
            </w:r>
          </w:p>
        </w:tc>
      </w:tr>
      <w:tr w14:paraId="0486CBD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286473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0467286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rabdomioliza</w:t>
            </w:r>
            <w:r>
              <w:rPr>
                <w:rFonts w:ascii="Microsoft Sans Serif" w:hAnsi="Microsoft Sans Serif" w:cs="Microsoft Sans Serif"/>
                <w:sz w:val="20"/>
                <w:szCs w:val="20"/>
              </w:rPr>
              <w:t>, osteonekroza, upala mišića, tendinitis, artritis</w:t>
            </w:r>
          </w:p>
        </w:tc>
      </w:tr>
      <w:tr w14:paraId="1E8387F1">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4245F22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068C61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kasno srastanje epifiza</w:t>
            </w:r>
            <w:r>
              <w:rPr>
                <w:rFonts w:ascii="Microsoft Sans Serif" w:hAnsi="Microsoft Sans Serif" w:cs="Microsoft Sans Serif"/>
                <w:sz w:val="20"/>
                <w:szCs w:val="20"/>
                <w:vertAlign w:val="superscript"/>
              </w:rPr>
              <w:t>h</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zastoj u rastu</w:t>
            </w:r>
            <w:r>
              <w:rPr>
                <w:rFonts w:ascii="Microsoft Sans Serif" w:hAnsi="Microsoft Sans Serif" w:cs="Microsoft Sans Serif"/>
                <w:sz w:val="20"/>
                <w:szCs w:val="20"/>
                <w:vertAlign w:val="superscript"/>
              </w:rPr>
              <w:t>h</w:t>
            </w:r>
          </w:p>
        </w:tc>
      </w:tr>
      <w:tr w14:paraId="07911E3F">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3702F58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2A2ECADF">
        <w:tblPrEx>
          <w:tblCellMar>
            <w:top w:w="0" w:type="dxa"/>
            <w:left w:w="0" w:type="dxa"/>
            <w:bottom w:w="0" w:type="dxa"/>
            <w:right w:w="0" w:type="dxa"/>
          </w:tblCellMar>
        </w:tblPrEx>
        <w:trPr>
          <w:trHeight w:val="534" w:hRule="exact"/>
        </w:trPr>
        <w:tc>
          <w:tcPr>
            <w:tcW w:w="1700" w:type="dxa"/>
            <w:tcBorders>
              <w:top w:val="single" w:color="000000" w:sz="4" w:space="0"/>
              <w:left w:val="single" w:color="000000" w:sz="4" w:space="0"/>
              <w:bottom w:val="single" w:color="000000" w:sz="4" w:space="0"/>
              <w:right w:val="single" w:color="000000" w:sz="4" w:space="0"/>
            </w:tcBorders>
          </w:tcPr>
          <w:p w14:paraId="65421C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44084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bubrega</w:t>
            </w:r>
            <w:r>
              <w:rPr>
                <w:rFonts w:ascii="Microsoft Sans Serif" w:hAnsi="Microsoft Sans Serif" w:cs="Microsoft Sans Serif"/>
                <w:sz w:val="20"/>
                <w:szCs w:val="20"/>
              </w:rPr>
              <w:t xml:space="preserve"> (uklјučujući bubrežnu insuficijenciju), učestalo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 proteinurija</w:t>
            </w:r>
          </w:p>
        </w:tc>
      </w:tr>
      <w:tr w14:paraId="12640CD7">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029A7A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Nepoznato </w:t>
            </w:r>
          </w:p>
        </w:tc>
        <w:tc>
          <w:tcPr>
            <w:tcW w:w="7656" w:type="dxa"/>
            <w:tcBorders>
              <w:top w:val="single" w:color="000000" w:sz="4" w:space="0"/>
              <w:left w:val="single" w:color="000000" w:sz="4" w:space="0"/>
              <w:bottom w:val="single" w:color="000000" w:sz="4" w:space="0"/>
              <w:right w:val="single" w:color="000000" w:sz="4" w:space="0"/>
            </w:tcBorders>
          </w:tcPr>
          <w:p w14:paraId="3912697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r>
      <w:tr w14:paraId="65A07DBB">
        <w:tblPrEx>
          <w:tblCellMar>
            <w:top w:w="0" w:type="dxa"/>
            <w:left w:w="0" w:type="dxa"/>
            <w:bottom w:w="0" w:type="dxa"/>
            <w:right w:w="0" w:type="dxa"/>
          </w:tblCellMar>
        </w:tblPrEx>
        <w:trPr>
          <w:trHeight w:val="266"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34D401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Trudnoća, puerperijum i perinatalna stanja</w:t>
            </w:r>
          </w:p>
        </w:tc>
      </w:tr>
      <w:tr w14:paraId="28849172">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590464C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189BB53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abortus </w:t>
            </w:r>
          </w:p>
        </w:tc>
      </w:tr>
      <w:tr w14:paraId="40D6065A">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00CC834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reproduktivnog sistema i dojki</w:t>
            </w:r>
          </w:p>
        </w:tc>
      </w:tr>
      <w:tr w14:paraId="3D5DAD1A">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6DBE7B5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F8DC8D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ginekomastija</w:t>
            </w:r>
            <w:r>
              <w:rPr>
                <w:rFonts w:ascii="Microsoft Sans Serif" w:hAnsi="Microsoft Sans Serif" w:cs="Microsoft Sans Serif"/>
                <w:sz w:val="20"/>
                <w:szCs w:val="20"/>
              </w:rPr>
              <w:t>, menstrualni poremećaj</w:t>
            </w:r>
          </w:p>
        </w:tc>
      </w:tr>
      <w:tr w14:paraId="5726162E">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4DC69A9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estu primjene</w:t>
            </w:r>
          </w:p>
        </w:tc>
      </w:tr>
      <w:tr w14:paraId="59D615CF">
        <w:tblPrEx>
          <w:tblCellMar>
            <w:top w:w="0" w:type="dxa"/>
            <w:left w:w="0" w:type="dxa"/>
            <w:bottom w:w="0" w:type="dxa"/>
            <w:right w:w="0" w:type="dxa"/>
          </w:tblCellMar>
        </w:tblPrEx>
        <w:trPr>
          <w:trHeight w:val="329" w:hRule="exact"/>
        </w:trPr>
        <w:tc>
          <w:tcPr>
            <w:tcW w:w="1700" w:type="dxa"/>
            <w:tcBorders>
              <w:top w:val="single" w:color="000000" w:sz="4" w:space="0"/>
              <w:left w:val="single" w:color="000000" w:sz="4" w:space="0"/>
              <w:bottom w:val="single" w:color="000000" w:sz="4" w:space="0"/>
              <w:right w:val="single" w:color="000000" w:sz="4" w:space="0"/>
            </w:tcBorders>
          </w:tcPr>
          <w:p w14:paraId="6B2DD5C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Veoma često</w:t>
            </w:r>
          </w:p>
        </w:tc>
        <w:tc>
          <w:tcPr>
            <w:tcW w:w="7656" w:type="dxa"/>
            <w:tcBorders>
              <w:top w:val="single" w:color="000000" w:sz="4" w:space="0"/>
              <w:left w:val="single" w:color="000000" w:sz="4" w:space="0"/>
              <w:bottom w:val="single" w:color="000000" w:sz="4" w:space="0"/>
              <w:right w:val="single" w:color="000000" w:sz="4" w:space="0"/>
            </w:tcBorders>
          </w:tcPr>
          <w:p w14:paraId="586FF3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periferni edem</w:t>
            </w:r>
            <w:r>
              <w:rPr>
                <w:rFonts w:ascii="Microsoft Sans Serif" w:hAnsi="Microsoft Sans Serif" w:cs="Microsoft Sans Serif"/>
                <w:sz w:val="20"/>
                <w:szCs w:val="20"/>
                <w:vertAlign w:val="superscript"/>
              </w:rPr>
              <w:t>i</w:t>
            </w:r>
            <w:r>
              <w:rPr>
                <w:rFonts w:ascii="Microsoft Sans Serif" w:hAnsi="Microsoft Sans Serif" w:cs="Microsoft Sans Serif"/>
                <w:sz w:val="20"/>
                <w:szCs w:val="20"/>
              </w:rPr>
              <w:t>, umor, pireksija, edem lica</w:t>
            </w:r>
            <w:r>
              <w:rPr>
                <w:rFonts w:ascii="Microsoft Sans Serif" w:hAnsi="Microsoft Sans Serif" w:cs="Microsoft Sans Serif"/>
                <w:sz w:val="20"/>
                <w:szCs w:val="20"/>
                <w:vertAlign w:val="superscript"/>
              </w:rPr>
              <w:t>j</w:t>
            </w:r>
          </w:p>
        </w:tc>
      </w:tr>
      <w:tr w14:paraId="73EB7336">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050F869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3FA9E60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astenija</w:t>
            </w:r>
            <w:r>
              <w:rPr>
                <w:rFonts w:ascii="Microsoft Sans Serif" w:hAnsi="Microsoft Sans Serif" w:cs="Microsoft Sans Serif"/>
                <w:sz w:val="20"/>
                <w:szCs w:val="20"/>
              </w:rPr>
              <w:t>, bol, bol u grudima, generalizovani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drhtavica</w:t>
            </w:r>
          </w:p>
        </w:tc>
      </w:tr>
      <w:tr w14:paraId="1A4C72FF">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2AAFCD7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35690E0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malaksalost</w:t>
            </w:r>
            <w:r>
              <w:rPr>
                <w:rFonts w:ascii="Microsoft Sans Serif" w:hAnsi="Microsoft Sans Serif" w:cs="Microsoft Sans Serif"/>
                <w:sz w:val="20"/>
                <w:szCs w:val="20"/>
              </w:rPr>
              <w:t>, drugi povr</w:t>
            </w:r>
            <w:r>
              <w:rPr>
                <w:rFonts w:ascii="Microsoft Sans Serif" w:hAnsi="Microsoft Sans Serif" w:cs="Microsoft Sans Serif"/>
                <w:sz w:val="20"/>
                <w:szCs w:val="20"/>
                <w:lang w:val="sr-Cyrl-RS"/>
              </w:rPr>
              <w:t>šinski edemi</w:t>
            </w:r>
            <w:r>
              <w:rPr>
                <w:rFonts w:ascii="Microsoft Sans Serif" w:hAnsi="Microsoft Sans Serif" w:cs="Microsoft Sans Serif"/>
                <w:sz w:val="20"/>
                <w:szCs w:val="20"/>
                <w:vertAlign w:val="superscript"/>
              </w:rPr>
              <w:t>l</w:t>
            </w:r>
          </w:p>
        </w:tc>
      </w:tr>
      <w:tr w14:paraId="387FAA7F">
        <w:tblPrEx>
          <w:tblCellMar>
            <w:top w:w="0" w:type="dxa"/>
            <w:left w:w="0" w:type="dxa"/>
            <w:bottom w:w="0" w:type="dxa"/>
            <w:right w:w="0" w:type="dxa"/>
          </w:tblCellMar>
        </w:tblPrEx>
        <w:trPr>
          <w:trHeight w:val="307" w:hRule="exact"/>
        </w:trPr>
        <w:tc>
          <w:tcPr>
            <w:tcW w:w="1700" w:type="dxa"/>
            <w:tcBorders>
              <w:top w:val="single" w:color="000000" w:sz="4" w:space="0"/>
              <w:left w:val="single" w:color="000000" w:sz="4" w:space="0"/>
              <w:bottom w:val="single" w:color="000000" w:sz="4" w:space="0"/>
              <w:right w:val="single" w:color="000000" w:sz="4" w:space="0"/>
            </w:tcBorders>
          </w:tcPr>
          <w:p w14:paraId="01E460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Rijetko </w:t>
            </w:r>
          </w:p>
        </w:tc>
        <w:tc>
          <w:tcPr>
            <w:tcW w:w="7656" w:type="dxa"/>
            <w:tcBorders>
              <w:top w:val="single" w:color="000000" w:sz="4" w:space="0"/>
              <w:left w:val="single" w:color="000000" w:sz="4" w:space="0"/>
              <w:bottom w:val="single" w:color="000000" w:sz="4" w:space="0"/>
              <w:right w:val="single" w:color="000000" w:sz="4" w:space="0"/>
            </w:tcBorders>
          </w:tcPr>
          <w:p w14:paraId="3158D8B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hoda</w:t>
            </w:r>
          </w:p>
        </w:tc>
      </w:tr>
      <w:tr w14:paraId="04F97EC2">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14BCA0D5">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Analize </w:t>
            </w:r>
          </w:p>
          <w:p w14:paraId="2372C4ED">
            <w:pPr>
              <w:widowControl w:val="0"/>
              <w:tabs>
                <w:tab w:val="clear" w:pos="284"/>
              </w:tabs>
              <w:rPr>
                <w:rFonts w:ascii="Microsoft Sans Serif" w:hAnsi="Microsoft Sans Serif" w:cs="Microsoft Sans Serif"/>
                <w:sz w:val="20"/>
                <w:szCs w:val="20"/>
                <w:lang w:val="sr-Cyrl-RS"/>
              </w:rPr>
            </w:pPr>
          </w:p>
        </w:tc>
      </w:tr>
      <w:tr w14:paraId="25906175">
        <w:tblPrEx>
          <w:tblCellMar>
            <w:top w:w="0" w:type="dxa"/>
            <w:left w:w="0" w:type="dxa"/>
            <w:bottom w:w="0" w:type="dxa"/>
            <w:right w:w="0" w:type="dxa"/>
          </w:tblCellMar>
        </w:tblPrEx>
        <w:trPr>
          <w:trHeight w:val="247" w:hRule="exact"/>
        </w:trPr>
        <w:tc>
          <w:tcPr>
            <w:tcW w:w="1700" w:type="dxa"/>
            <w:tcBorders>
              <w:top w:val="single" w:color="000000" w:sz="4" w:space="0"/>
              <w:left w:val="single" w:color="000000" w:sz="4" w:space="0"/>
              <w:bottom w:val="single" w:color="000000" w:sz="4" w:space="0"/>
              <w:right w:val="single" w:color="000000" w:sz="4" w:space="0"/>
            </w:tcBorders>
          </w:tcPr>
          <w:p w14:paraId="72809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4A2C6E4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smanjenje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elesne težine</w:t>
            </w:r>
            <w:r>
              <w:rPr>
                <w:rFonts w:ascii="Microsoft Sans Serif" w:hAnsi="Microsoft Sans Serif" w:cs="Microsoft Sans Serif"/>
                <w:sz w:val="20"/>
                <w:szCs w:val="20"/>
              </w:rPr>
              <w:t>, povećanje tjelesne težine</w:t>
            </w:r>
          </w:p>
        </w:tc>
      </w:tr>
      <w:tr w14:paraId="6F017158">
        <w:tblPrEx>
          <w:tblCellMar>
            <w:top w:w="0" w:type="dxa"/>
            <w:left w:w="0" w:type="dxa"/>
            <w:bottom w:w="0" w:type="dxa"/>
            <w:right w:w="0" w:type="dxa"/>
          </w:tblCellMar>
        </w:tblPrEx>
        <w:trPr>
          <w:trHeight w:val="619" w:hRule="exact"/>
        </w:trPr>
        <w:tc>
          <w:tcPr>
            <w:tcW w:w="1700" w:type="dxa"/>
            <w:tcBorders>
              <w:top w:val="single" w:color="000000" w:sz="4" w:space="0"/>
              <w:left w:val="single" w:color="000000" w:sz="4" w:space="0"/>
              <w:bottom w:val="single" w:color="000000" w:sz="4" w:space="0"/>
              <w:right w:val="single" w:color="000000" w:sz="4" w:space="0"/>
            </w:tcBorders>
          </w:tcPr>
          <w:p w14:paraId="2EF7850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Povremeno </w:t>
            </w:r>
          </w:p>
        </w:tc>
        <w:tc>
          <w:tcPr>
            <w:tcW w:w="7656" w:type="dxa"/>
            <w:tcBorders>
              <w:top w:val="single" w:color="000000" w:sz="4" w:space="0"/>
              <w:left w:val="single" w:color="000000" w:sz="4" w:space="0"/>
              <w:bottom w:val="single" w:color="000000" w:sz="4" w:space="0"/>
              <w:right w:val="single" w:color="000000" w:sz="4" w:space="0"/>
            </w:tcBorders>
          </w:tcPr>
          <w:p w14:paraId="68B7D20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povišene vrijednosti kreatin fosfokinaze</w:t>
            </w:r>
            <w:r>
              <w:rPr>
                <w:rFonts w:ascii="Microsoft Sans Serif" w:hAnsi="Microsoft Sans Serif" w:cs="Microsoft Sans Serif"/>
                <w:sz w:val="20"/>
                <w:szCs w:val="20"/>
              </w:rPr>
              <w:t>, povišene vrijednosti gama- glutamil transferaze</w:t>
            </w:r>
          </w:p>
        </w:tc>
      </w:tr>
      <w:tr w14:paraId="5A128319">
        <w:tblPrEx>
          <w:tblCellMar>
            <w:top w:w="0" w:type="dxa"/>
            <w:left w:w="0" w:type="dxa"/>
            <w:bottom w:w="0" w:type="dxa"/>
            <w:right w:w="0" w:type="dxa"/>
          </w:tblCellMar>
        </w:tblPrEx>
        <w:trPr>
          <w:trHeight w:val="247" w:hRule="exact"/>
        </w:trPr>
        <w:tc>
          <w:tcPr>
            <w:tcW w:w="9356" w:type="dxa"/>
            <w:gridSpan w:val="2"/>
            <w:tcBorders>
              <w:top w:val="single" w:color="000000" w:sz="4" w:space="0"/>
              <w:left w:val="single" w:color="000000" w:sz="4" w:space="0"/>
              <w:bottom w:val="single" w:color="000000" w:sz="4" w:space="0"/>
              <w:right w:val="single" w:color="000000" w:sz="4" w:space="0"/>
            </w:tcBorders>
          </w:tcPr>
          <w:p w14:paraId="2566212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7B3A9FD1">
        <w:tblPrEx>
          <w:tblCellMar>
            <w:top w:w="0" w:type="dxa"/>
            <w:left w:w="0" w:type="dxa"/>
            <w:bottom w:w="0" w:type="dxa"/>
            <w:right w:w="0" w:type="dxa"/>
          </w:tblCellMar>
        </w:tblPrEx>
        <w:trPr>
          <w:trHeight w:val="248" w:hRule="exact"/>
        </w:trPr>
        <w:tc>
          <w:tcPr>
            <w:tcW w:w="1700" w:type="dxa"/>
            <w:tcBorders>
              <w:top w:val="single" w:color="000000" w:sz="4" w:space="0"/>
              <w:left w:val="single" w:color="000000" w:sz="4" w:space="0"/>
              <w:bottom w:val="single" w:color="000000" w:sz="4" w:space="0"/>
              <w:right w:val="single" w:color="000000" w:sz="4" w:space="0"/>
            </w:tcBorders>
          </w:tcPr>
          <w:p w14:paraId="133C3D30">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Često </w:t>
            </w:r>
          </w:p>
        </w:tc>
        <w:tc>
          <w:tcPr>
            <w:tcW w:w="7656" w:type="dxa"/>
            <w:tcBorders>
              <w:top w:val="single" w:color="000000" w:sz="4" w:space="0"/>
              <w:left w:val="single" w:color="000000" w:sz="4" w:space="0"/>
              <w:bottom w:val="single" w:color="000000" w:sz="4" w:space="0"/>
              <w:right w:val="single" w:color="000000" w:sz="4" w:space="0"/>
            </w:tcBorders>
          </w:tcPr>
          <w:p w14:paraId="09040B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kontuzije </w:t>
            </w:r>
          </w:p>
        </w:tc>
      </w:tr>
    </w:tbl>
    <w:p w14:paraId="1311FF1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a</w:t>
      </w:r>
      <w:r>
        <w:rPr>
          <w:rFonts w:ascii="Microsoft Sans Serif" w:hAnsi="Microsoft Sans Serif" w:eastAsia="Calibri" w:cs="Microsoft Sans Serif"/>
          <w:sz w:val="20"/>
          <w:szCs w:val="20"/>
          <w:lang w:val="sr-Cyrl-RS"/>
        </w:rPr>
        <w:t xml:space="preserve"> Uklјučuje smanjen apetit, brz nastup os</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eća</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a sitosti, pojačan apetit</w:t>
      </w:r>
    </w:p>
    <w:p w14:paraId="34744AC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lang w:val="sr-Cyrl-RS"/>
        </w:rPr>
        <w:t xml:space="preserve"> Uklјučuje krvarenje u centralnom nervnom sistemu, cerebralni hematom, cerebralno krvarenje, ekstraduralni hematom, intrakranijalno krvarenje, hemoragijski moždani udar, subarahnoidalno krvarenje, subduralni hematom ili subduralno krvarenje</w:t>
      </w:r>
    </w:p>
    <w:p w14:paraId="6C64C4CC">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c</w:t>
      </w:r>
      <w:r>
        <w:rPr>
          <w:rFonts w:ascii="Microsoft Sans Serif" w:hAnsi="Microsoft Sans Serif" w:eastAsia="Calibri" w:cs="Microsoft Sans Serif"/>
          <w:sz w:val="20"/>
          <w:szCs w:val="20"/>
          <w:lang w:val="sr-Cyrl-RS"/>
        </w:rPr>
        <w:t xml:space="preserve"> Uklјučuje povišene vrijednosti natriuretskog peptida</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u mozgu, ventrikularnu disfunkciju, disfunkciju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disfunkciju desne komore, srčanu insuficijenciju, akutnu srčanu insuficijenciju, hroničnu srčanu insuficijenciju, kongestivnu srčanu insuficijenciju, kardiomiopatiju, kongestivnu kardiomiopatiju, dijastolnu disfunkciju, smanjenje ejekcione frakcije i insuficijenciju komore, insuficijenciju l</w:t>
      </w:r>
      <w:r>
        <w:rPr>
          <w:rFonts w:ascii="Microsoft Sans Serif" w:hAnsi="Microsoft Sans Serif" w:eastAsia="Calibri" w:cs="Microsoft Sans Serif"/>
          <w:sz w:val="20"/>
          <w:szCs w:val="20"/>
          <w:lang w:val="sr-Latn-RS"/>
        </w:rPr>
        <w:t>ij</w:t>
      </w:r>
      <w:r>
        <w:rPr>
          <w:rFonts w:ascii="Microsoft Sans Serif" w:hAnsi="Microsoft Sans Serif" w:eastAsia="Calibri" w:cs="Microsoft Sans Serif"/>
          <w:sz w:val="20"/>
          <w:szCs w:val="20"/>
          <w:lang w:val="sr-Cyrl-RS"/>
        </w:rPr>
        <w:t>eve komore, insuficijenciju desne komore i ventrikularnu hipokineziju</w:t>
      </w:r>
    </w:p>
    <w:p w14:paraId="70DEBB85">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d</w:t>
      </w:r>
      <w:r>
        <w:rPr>
          <w:rFonts w:ascii="Microsoft Sans Serif" w:hAnsi="Microsoft Sans Serif" w:eastAsia="Calibri" w:cs="Microsoft Sans Serif"/>
          <w:sz w:val="20"/>
          <w:szCs w:val="20"/>
          <w:lang w:val="sr-Cyrl-RS"/>
        </w:rPr>
        <w:t xml:space="preserve"> Isklјučuje gastrointestinalno krvarenje i krvarenje u centralnom nervnom sistemu; ov</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djelovanja</w:t>
      </w:r>
      <w:r>
        <w:rPr>
          <w:rFonts w:ascii="Microsoft Sans Serif" w:hAnsi="Microsoft Sans Serif" w:eastAsia="Calibri" w:cs="Microsoft Sans Serif"/>
          <w:sz w:val="20"/>
          <w:szCs w:val="20"/>
          <w:lang w:val="sr-Cyrl-RS"/>
        </w:rPr>
        <w:t xml:space="preserve"> su prijavlјen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u okviru gastrointestinalnih poremećaja odnosno poremećaja nervnog sistema</w:t>
      </w:r>
    </w:p>
    <w:p w14:paraId="2BCCCF6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e</w:t>
      </w:r>
      <w:r>
        <w:rPr>
          <w:rFonts w:ascii="Microsoft Sans Serif" w:hAnsi="Microsoft Sans Serif" w:eastAsia="Calibri" w:cs="Microsoft Sans Serif"/>
          <w:sz w:val="20"/>
          <w:szCs w:val="20"/>
          <w:lang w:val="sr-Cyrl-RS"/>
        </w:rPr>
        <w:t xml:space="preserve"> Uklјučuje medikamentoznu erupciju, eritem, multiformni eritem, eritrozu, eksfolijativni osip, generalizirani eritem, genitalni osip, osip sa osećajem vrućine, milia, milijariju, pustuloznu psorijazu, osip, eritematozni osip, folikularni osip, generalizirani osip, makularni osip, makulopapulozni osip, papulozni osip, pruritički osip, pustulozni osip, vezikularni osip, lјuštenje kože, nadraženost kože, toksičnu kožnu erupciju, vezikularnu urtikariju i vaskulitični osip</w:t>
      </w:r>
    </w:p>
    <w:p w14:paraId="6B3EA16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f</w:t>
      </w:r>
      <w:r>
        <w:rPr>
          <w:rFonts w:ascii="Microsoft Sans Serif" w:hAnsi="Microsoft Sans Serif" w:eastAsia="Calibri" w:cs="Microsoft Sans Serif"/>
          <w:sz w:val="20"/>
          <w:szCs w:val="20"/>
          <w:lang w:val="sr-Cyrl-RS"/>
        </w:rPr>
        <w:t xml:space="preserve"> Nakon stavlјanja lijeka u promet prijavlјeni su pojedinačni slučajevi </w:t>
      </w:r>
      <w:r>
        <w:rPr>
          <w:rFonts w:ascii="Microsoft Sans Serif" w:hAnsi="Microsoft Sans Serif" w:eastAsia="Calibri" w:cs="Microsoft Sans Serif"/>
          <w:sz w:val="20"/>
          <w:szCs w:val="20"/>
          <w:lang w:val="sr-Latn-RS"/>
        </w:rPr>
        <w:t>Stevens</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Johnson-</w:t>
      </w:r>
      <w:r>
        <w:rPr>
          <w:rFonts w:ascii="Microsoft Sans Serif" w:hAnsi="Microsoft Sans Serif" w:eastAsia="Calibri" w:cs="Microsoft Sans Serif"/>
          <w:sz w:val="20"/>
          <w:szCs w:val="20"/>
          <w:lang w:val="sr-Cyrl-RS"/>
        </w:rPr>
        <w:t>ovog sindroma. Nije se moglo utvrditi da li je t</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mukokutan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neželјen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dejstvo</w:t>
      </w:r>
      <w:r>
        <w:rPr>
          <w:rFonts w:ascii="Microsoft Sans Serif" w:hAnsi="Microsoft Sans Serif" w:eastAsia="Calibri" w:cs="Microsoft Sans Serif"/>
          <w:sz w:val="20"/>
          <w:szCs w:val="20"/>
          <w:lang w:val="sr-Cyrl-RS"/>
        </w:rPr>
        <w:t xml:space="preserve"> direktno povezan</w:t>
      </w:r>
      <w:r>
        <w:rPr>
          <w:rFonts w:ascii="Microsoft Sans Serif" w:hAnsi="Microsoft Sans Serif" w:eastAsia="Calibri" w:cs="Microsoft Sans Serif"/>
          <w:sz w:val="20"/>
          <w:szCs w:val="20"/>
        </w:rPr>
        <w:t>o</w:t>
      </w:r>
      <w:r>
        <w:rPr>
          <w:rFonts w:ascii="Microsoft Sans Serif" w:hAnsi="Microsoft Sans Serif" w:eastAsia="Calibri" w:cs="Microsoft Sans Serif"/>
          <w:sz w:val="20"/>
          <w:szCs w:val="20"/>
          <w:lang w:val="sr-Cyrl-RS"/>
        </w:rPr>
        <w:t xml:space="preserve"> sa dasatinibom ili sa istovremeno prim</w:t>
      </w:r>
      <w:r>
        <w:rPr>
          <w:rFonts w:ascii="Microsoft Sans Serif" w:hAnsi="Microsoft Sans Serif" w:eastAsia="Calibri" w:cs="Microsoft Sans Serif"/>
          <w:sz w:val="20"/>
          <w:szCs w:val="20"/>
          <w:lang w:val="sr-Latn-RS"/>
        </w:rPr>
        <w:t>j</w:t>
      </w:r>
      <w:r>
        <w:rPr>
          <w:rFonts w:ascii="Microsoft Sans Serif" w:hAnsi="Microsoft Sans Serif" w:eastAsia="Calibri" w:cs="Microsoft Sans Serif"/>
          <w:sz w:val="20"/>
          <w:szCs w:val="20"/>
          <w:lang w:val="sr-Cyrl-RS"/>
        </w:rPr>
        <w:t>enjivanim lijekovima</w:t>
      </w:r>
    </w:p>
    <w:p w14:paraId="5CC1C7B9">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g</w:t>
      </w:r>
      <w:r>
        <w:rPr>
          <w:rFonts w:ascii="Microsoft Sans Serif" w:hAnsi="Microsoft Sans Serif" w:eastAsia="Calibri" w:cs="Microsoft Sans Serif"/>
          <w:sz w:val="20"/>
          <w:szCs w:val="20"/>
          <w:lang w:val="sr-Cyrl-RS"/>
        </w:rPr>
        <w:t xml:space="preserve"> Mišićno- koštani bol prijavlјen tokom liječenja ili nakon prekida liječenja</w:t>
      </w:r>
    </w:p>
    <w:p w14:paraId="1117FB1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h</w:t>
      </w:r>
      <w:r>
        <w:rPr>
          <w:rFonts w:ascii="Microsoft Sans Serif" w:hAnsi="Microsoft Sans Serif" w:eastAsia="Calibri" w:cs="Microsoft Sans Serif"/>
          <w:sz w:val="20"/>
          <w:szCs w:val="20"/>
          <w:lang w:val="sr-Cyrl-RS"/>
        </w:rPr>
        <w:t xml:space="preserve"> Prijavlјeno često u pedijatrijskim ispitivanjima</w:t>
      </w:r>
    </w:p>
    <w:p w14:paraId="600991DA">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i</w:t>
      </w:r>
      <w:r>
        <w:rPr>
          <w:rFonts w:ascii="Microsoft Sans Serif" w:hAnsi="Microsoft Sans Serif" w:eastAsia="Calibri" w:cs="Microsoft Sans Serif"/>
          <w:sz w:val="20"/>
          <w:szCs w:val="20"/>
          <w:lang w:val="sr-Cyrl-RS"/>
        </w:rPr>
        <w:t xml:space="preserve"> Gravitacijski edem, lokalizovani edem, periferni edem</w:t>
      </w:r>
    </w:p>
    <w:p w14:paraId="6A2D3DDF">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sr-Cyrl-RS"/>
        </w:rPr>
        <w:t>j</w:t>
      </w:r>
      <w:r>
        <w:rPr>
          <w:rFonts w:ascii="Microsoft Sans Serif" w:hAnsi="Microsoft Sans Serif" w:eastAsia="Calibri" w:cs="Microsoft Sans Serif"/>
          <w:sz w:val="20"/>
          <w:szCs w:val="20"/>
          <w:lang w:val="sr-Cyrl-RS"/>
        </w:rPr>
        <w:t xml:space="preserve"> Edem konjunktiva, edem oka, oticanje oka, edem očnih kapaka, edem lica, edem usana, makularni edem, edem usta, orbitalni edem, periorbitalni edem, oticanje lica</w:t>
      </w:r>
    </w:p>
    <w:p w14:paraId="64AB8082">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k</w:t>
      </w:r>
      <w:r>
        <w:rPr>
          <w:rFonts w:ascii="Microsoft Sans Serif" w:hAnsi="Microsoft Sans Serif" w:eastAsia="Calibri" w:cs="Microsoft Sans Serif"/>
          <w:sz w:val="20"/>
          <w:szCs w:val="20"/>
          <w:lang w:val="sr-Cyrl-RS"/>
        </w:rPr>
        <w:t xml:space="preserve"> Preopterećenje tečnošću, zadržavanje tečnosti, gastrointestinalni edem, generalizovani edem, periferno oticanje, edem, edem zbog srčane bolesti, perinefritički izliv, postproceduralni edem, viscelarni edem</w:t>
      </w:r>
    </w:p>
    <w:p w14:paraId="226DD5AB">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vertAlign w:val="superscript"/>
          <w:lang w:val="hr-BA"/>
        </w:rPr>
        <w:t>l</w:t>
      </w:r>
      <w:r>
        <w:rPr>
          <w:rFonts w:ascii="Microsoft Sans Serif" w:hAnsi="Microsoft Sans Serif" w:eastAsia="Calibri" w:cs="Microsoft Sans Serif"/>
          <w:sz w:val="20"/>
          <w:szCs w:val="20"/>
          <w:lang w:val="sr-Cyrl-RS"/>
        </w:rPr>
        <w:t xml:space="preserve"> Oticanje genitalija, edem na mestu incizije, genitalni edem, edem penisa, oticanje penisa, edem skrotuma, oticanje kože, oticanje testisa, vulvovaginalno oticanje</w:t>
      </w:r>
    </w:p>
    <w:p w14:paraId="6AAABDD0">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 xml:space="preserve">* Za detalјnije informacije, vidjeti dio Opis odabranih neželјenih </w:t>
      </w:r>
      <w:r>
        <w:rPr>
          <w:rFonts w:ascii="Microsoft Sans Serif" w:hAnsi="Microsoft Sans Serif" w:eastAsia="Calibri" w:cs="Microsoft Sans Serif"/>
          <w:sz w:val="20"/>
          <w:szCs w:val="20"/>
        </w:rPr>
        <w:t>dejstava</w:t>
      </w:r>
    </w:p>
    <w:p w14:paraId="419ED6E1">
      <w:pPr>
        <w:widowControl w:val="0"/>
        <w:tabs>
          <w:tab w:val="clear" w:pos="284"/>
        </w:tabs>
        <w:rPr>
          <w:rFonts w:ascii="Microsoft Sans Serif" w:hAnsi="Microsoft Sans Serif" w:eastAsia="Calibri" w:cs="Microsoft Sans Serif"/>
          <w:sz w:val="20"/>
          <w:szCs w:val="20"/>
          <w:u w:val="single"/>
        </w:rPr>
      </w:pPr>
    </w:p>
    <w:p w14:paraId="63F6D31C">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Opis odabranih neželјenih dejstava</w:t>
      </w:r>
    </w:p>
    <w:p w14:paraId="0F0DD854">
      <w:pPr>
        <w:widowControl w:val="0"/>
        <w:tabs>
          <w:tab w:val="clear" w:pos="284"/>
        </w:tabs>
        <w:rPr>
          <w:rFonts w:ascii="Microsoft Sans Serif" w:hAnsi="Microsoft Sans Serif" w:eastAsia="Calibri" w:cs="Microsoft Sans Serif"/>
          <w:sz w:val="20"/>
          <w:szCs w:val="20"/>
          <w:u w:val="single"/>
        </w:rPr>
      </w:pPr>
    </w:p>
    <w:p w14:paraId="2130CB5C">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Mijelosupresija</w:t>
      </w:r>
    </w:p>
    <w:p w14:paraId="67F64EC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Liječenje dasatinibom povezano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anemijom, neutropenijom i trombocitopenijom. </w:t>
      </w:r>
      <w:r>
        <w:rPr>
          <w:rFonts w:ascii="Microsoft Sans Serif" w:hAnsi="Microsoft Sans Serif" w:eastAsia="Calibri" w:cs="Microsoft Sans Serif"/>
          <w:sz w:val="20"/>
          <w:szCs w:val="20"/>
          <w:lang w:val="sr-Cyrl-RS"/>
        </w:rPr>
        <w:t>Ove</w:t>
      </w:r>
      <w:r>
        <w:rPr>
          <w:rFonts w:ascii="Microsoft Sans Serif" w:hAnsi="Microsoft Sans Serif" w:eastAsia="Calibri" w:cs="Microsoft Sans Serif"/>
          <w:sz w:val="20"/>
          <w:szCs w:val="20"/>
        </w:rPr>
        <w:t xml:space="preserve"> promjene </w:t>
      </w:r>
      <w:r>
        <w:rPr>
          <w:rFonts w:ascii="Microsoft Sans Serif" w:hAnsi="Microsoft Sans Serif" w:eastAsia="Calibri" w:cs="Microsoft Sans Serif"/>
          <w:sz w:val="20"/>
          <w:szCs w:val="20"/>
          <w:lang w:val="sr-Cyrl-RS"/>
        </w:rPr>
        <w:t xml:space="preserve">se </w:t>
      </w:r>
      <w:r>
        <w:rPr>
          <w:rFonts w:ascii="Microsoft Sans Serif" w:hAnsi="Microsoft Sans Serif" w:eastAsia="Calibri" w:cs="Microsoft Sans Serif"/>
          <w:sz w:val="20"/>
          <w:szCs w:val="20"/>
        </w:rPr>
        <w:t>ranije i češće javlјaju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Latn-RS"/>
        </w:rPr>
        <w:t>HML</w:t>
      </w:r>
      <w:r>
        <w:rPr>
          <w:rFonts w:ascii="Microsoft Sans Serif" w:hAnsi="Microsoft Sans Serif" w:eastAsia="Calibri" w:cs="Microsoft Sans Serif"/>
          <w:sz w:val="20"/>
          <w:szCs w:val="20"/>
        </w:rPr>
        <w:t xml:space="preserve"> u uznapredovaloj fazi ili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nego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(pogledati dio 4.4).</w:t>
      </w:r>
    </w:p>
    <w:p w14:paraId="6F3917A2">
      <w:pPr>
        <w:widowControl w:val="0"/>
        <w:tabs>
          <w:tab w:val="clear" w:pos="284"/>
        </w:tabs>
        <w:rPr>
          <w:rFonts w:ascii="Microsoft Sans Serif" w:hAnsi="Microsoft Sans Serif" w:eastAsia="Calibri" w:cs="Microsoft Sans Serif"/>
          <w:sz w:val="20"/>
          <w:szCs w:val="20"/>
        </w:rPr>
      </w:pPr>
    </w:p>
    <w:p w14:paraId="7C4C9EE7">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Krvarenje</w:t>
      </w:r>
    </w:p>
    <w:p w14:paraId="22790A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 pacijenata</w:t>
      </w:r>
      <w:r>
        <w:rPr>
          <w:rFonts w:ascii="Microsoft Sans Serif" w:hAnsi="Microsoft Sans Serif" w:eastAsia="Calibri" w:cs="Microsoft Sans Serif"/>
          <w:sz w:val="20"/>
          <w:szCs w:val="20"/>
        </w:rPr>
        <w:t xml:space="preserve"> koji su uzimali dasatinib zabilježene su neželјene reakcije krvarenja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lijekom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rasponu od petehija i epistakse do gastrointestinalnog krvarenja i krvarenja u centralnom nervnom sistemu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(CNS) 3. ili 4. stepena (pogledati dio 4.4).</w:t>
      </w:r>
    </w:p>
    <w:p w14:paraId="0038CC45">
      <w:pPr>
        <w:widowControl w:val="0"/>
        <w:tabs>
          <w:tab w:val="clear" w:pos="284"/>
        </w:tabs>
        <w:rPr>
          <w:rFonts w:ascii="Microsoft Sans Serif" w:hAnsi="Microsoft Sans Serif" w:cs="Microsoft Sans Serif"/>
          <w:sz w:val="20"/>
          <w:szCs w:val="20"/>
        </w:rPr>
      </w:pPr>
    </w:p>
    <w:p w14:paraId="1E012499">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Zadržavanje tečnosti</w:t>
      </w:r>
    </w:p>
    <w:p w14:paraId="2CE5B78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Razna neželјena djelovanja poput pleuralnog izliva, ascita, plućnog edema i perikardijalnog izliva sa ili bez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površinskih edema mogu se zajednički opisati kao “zadržavanje tečnosti”. Nakon najmanje 60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mjeseci praćenja u ispitivanju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provedenom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novodijagnostikovanom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neželјena djelovanja zadržavanja tečnosti uzrokovana primjenom dasatiniba uklјučivale su pleuralni izliv</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(28%), površinski edem (14%), plućnu hipertenziju (5%), generalizirani edem (4%) i perikardijalni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izliv (4%). Kongestivna srčana insuficijencija/srčana disfunkcija i plućni edem prijavlјeni su kod &lt; 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Kumulativna stopa pleuralnog izliva (svi stepeni) uzrokovana primjenom dasatiniba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tokom vremena iznosila je 10% nakon 12 mjeseci, 14% nakon 24 mjeseca, 19% nakon 36 mjeseci,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24% nakon 48 mjeseci i 28% nakon 60 mjeseci. Ukupno je 46 pacijenata liječenih dasatinibom imalo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rekurentne pleuralne izlive.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17 pacijenata zabilježena su 2 odvojena neželјena djelovanja, kod njih 6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3 neželјena djelovanja, kod 18 pacijenata zabilježeno je 4 – 8 neželјenih dejstava, dok je kod 5 pacijenata zabilježeno &gt; 8</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epizoda pleuralnog izliva.</w:t>
      </w:r>
    </w:p>
    <w:p w14:paraId="2E389B6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vremena do nastupa prvog pleuralnog izliva 1. ili 2. stepena uzrokovanog primjenom dasatiniba iznosila je 114 nedelјa (raspon: 4 - 299 nedelјa). Manje od 10%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imalo je teške pleuralne izlive (3. ili 4. stepena) uzrokovane primjenom dasatiniba. 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vremena do nastupa prvog pleuralnog izliva ≥ 3. stepena uzrokovanog primjenom dasatiniba iznosila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175 nedelјa (raspon: 114 - 274 nedelјa).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trajanja pleuralnog izliva (svi stepeni)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uzrokovanog primjenom dasatiniba iznosila je 283 dana (~40 nedelјa).</w:t>
      </w:r>
    </w:p>
    <w:p w14:paraId="1D3950E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Pleuralni izliv obično je bio reverzibilan i zbrinjavao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privremenim prekidom liječenja dasatinibom i primjenom diuretika ili drugim </w:t>
      </w:r>
      <w:r>
        <w:rPr>
          <w:rFonts w:ascii="Microsoft Sans Serif" w:hAnsi="Microsoft Sans Serif" w:cs="Microsoft Sans Serif"/>
          <w:sz w:val="20"/>
          <w:szCs w:val="20"/>
          <w:lang w:val="mk-MK"/>
        </w:rPr>
        <w:t>o</w:t>
      </w:r>
      <w:r>
        <w:rPr>
          <w:rFonts w:ascii="Microsoft Sans Serif" w:hAnsi="Microsoft Sans Serif" w:cs="Microsoft Sans Serif"/>
          <w:sz w:val="20"/>
          <w:szCs w:val="20"/>
          <w:lang w:val="sr-Latn-RS"/>
        </w:rPr>
        <w:t>dg</w:t>
      </w:r>
      <w:r>
        <w:rPr>
          <w:rFonts w:ascii="Microsoft Sans Serif" w:hAnsi="Microsoft Sans Serif" w:cs="Microsoft Sans Serif"/>
          <w:sz w:val="20"/>
          <w:szCs w:val="20"/>
          <w:lang w:val="mk-MK"/>
        </w:rPr>
        <w:t>ovaraju</w:t>
      </w:r>
      <w:r>
        <w:rPr>
          <w:rFonts w:ascii="Microsoft Sans Serif" w:hAnsi="Microsoft Sans Serif" w:cs="Microsoft Sans Serif"/>
          <w:sz w:val="20"/>
          <w:szCs w:val="20"/>
          <w:lang w:val="sr-Cyrl-RS"/>
        </w:rPr>
        <w:t>ćim suportivnim terapijskim mjerama</w:t>
      </w:r>
      <w:r>
        <w:rPr>
          <w:rFonts w:ascii="Microsoft Sans Serif" w:hAnsi="Microsoft Sans Serif" w:cs="Microsoft Sans Serif"/>
          <w:sz w:val="20"/>
          <w:szCs w:val="20"/>
        </w:rPr>
        <w:t xml:space="preserve"> (pogledati dijelove 4.2 i 4.4). Među pacijentima liječenim dasatinibom koji su imali pleuralni izliv uzrokovan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primjenom lijeka (n=73),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njih 45 (62%) privremeno je prekinuta primjena lijeka, dok je kod 30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(41%) smanjena doza. Uz to, 34 (47%) pacijenta primala su diuretike, 23 (32%)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kortikosteroide, a njih 20 (27%) i kortikosteroide i diuretike. Devet (12%) pacijenata bilo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podvrgnuto terapijskoj torakocentezi.</w:t>
      </w:r>
    </w:p>
    <w:p w14:paraId="3AE1EC0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Šest posto pacijenata liječenih dasatinibom prekinulo je liječenje zbog pleuralnog izliva uzrokovanog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 lijeka. Pleuralni izliv nije uticao na sposobnost pacijenata da postignu odgovor. 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pleuralnim izlivom liječenim dasatinibom, njih 96% postiglo je cCCyR, 82% postiglo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MMR, a njih 50% postiglo je MR4,5 uprkos privremenom prekidu primjene lijeka ili prilagođenoj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w:t>
      </w:r>
    </w:p>
    <w:p w14:paraId="082802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Pogledati dio 4.4 za više informacija o pacijentima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u hroničnoj fazi i HML u uznapredovaloj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fazi ili Ph+ ALL.</w:t>
      </w:r>
    </w:p>
    <w:p w14:paraId="0DC5A4D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Prijavljeni su slučajevi hilotoraksa kod pacijenata sa pleuralnim izlivom. Neki slučajevi hilotoraksa su se povukli nakon prekida, prestanka ili smanjenja doze dasatiniba, ali je većina slučajeva takođe zahtjevala dodatni tretman. </w:t>
      </w:r>
    </w:p>
    <w:p w14:paraId="3AF1D0EB">
      <w:pPr>
        <w:widowControl w:val="0"/>
        <w:tabs>
          <w:tab w:val="clear" w:pos="284"/>
        </w:tabs>
        <w:rPr>
          <w:rFonts w:ascii="Microsoft Sans Serif" w:hAnsi="Microsoft Sans Serif" w:eastAsia="Calibri" w:cs="Microsoft Sans Serif"/>
          <w:sz w:val="20"/>
          <w:szCs w:val="20"/>
        </w:rPr>
      </w:pPr>
    </w:p>
    <w:p w14:paraId="69E89C90">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Plućna arterijska hipertenzija (PAH)</w:t>
      </w:r>
    </w:p>
    <w:p w14:paraId="5CBC590D">
      <w:pPr>
        <w:widowControl w:val="0"/>
        <w:tabs>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rPr>
        <w:t>Prijavlјena je PAH (prekapilarna plućna arterijska hipertenzija potvrđena kateterizacijom desne strane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srca) povezana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izloženošću dasatinibu. U tim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PAH bila zabilježena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nakon početka terapije dasatinibom, pa čak i nakon više od godinu dana liječenja.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prijavlјenom tokom liječenja dasatinibom često su istovremeno uzimali druge lijekove ili imali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komorbiditet uz osnovnu malignu bolest. Nakon prekida primjene dasatiniba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PAH-om</w:t>
      </w:r>
      <w:r>
        <w:rPr>
          <w:rFonts w:ascii="Microsoft Sans Serif" w:hAnsi="Microsoft Sans Serif" w:eastAsia="Calibri" w:cs="Microsoft Sans Serif"/>
          <w:sz w:val="20"/>
          <w:szCs w:val="20"/>
          <w:lang w:val="sr-Cyrl-RS"/>
        </w:rPr>
        <w:t xml:space="preserve"> za</w:t>
      </w:r>
      <w:r>
        <w:rPr>
          <w:rFonts w:ascii="Microsoft Sans Serif" w:hAnsi="Microsoft Sans Serif" w:eastAsia="Calibri" w:cs="Microsoft Sans Serif"/>
          <w:sz w:val="20"/>
          <w:szCs w:val="20"/>
        </w:rPr>
        <w:t>pažena su pobolјšanja hemodinamskih i kliničkih parametara.</w:t>
      </w:r>
    </w:p>
    <w:p w14:paraId="008E1CF2">
      <w:pPr>
        <w:widowControl w:val="0"/>
        <w:tabs>
          <w:tab w:val="clear" w:pos="284"/>
        </w:tabs>
        <w:rPr>
          <w:rFonts w:ascii="Microsoft Sans Serif" w:hAnsi="Microsoft Sans Serif" w:eastAsia="Calibri" w:cs="Microsoft Sans Serif"/>
          <w:sz w:val="20"/>
          <w:szCs w:val="20"/>
        </w:rPr>
      </w:pPr>
    </w:p>
    <w:p w14:paraId="66F92F9A">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rPr>
        <w:t>Produženje QT intervala</w:t>
      </w:r>
    </w:p>
    <w:p w14:paraId="00A41D9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faze III kod pacijenata sa novodijagnostikovanom HML u hroničnoj fazi, nakon najmanje 12</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mjeseci praćenja (pogledati dio 4.4), jedan pacijent (&lt;1%) u grupi liječenoj dasatinibom imao je QTcF</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&gt;500 msec. Nakon najmanje 60 mjeseci praćenja nije bilo dodatnih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QTcF &gt;500 msec.</w:t>
      </w:r>
    </w:p>
    <w:p w14:paraId="330F7149">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5 kliničkih ispitivanja faze II kod pacijenata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urađeni su EKG pregledi prije početka i za vrijeme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unapred određenim vremenskim tačkama, uz centralno očitavanje nalaza, kod svih 865 pacijenata koji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su primali dasatinib u dozi od 70 mg dva puta dnevno. QT interval je bio korigovan za srčanu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frekvenciju prema Fridericijinoj metodi. U svim vremenskim tačkama nakon doze 8. dana, prosječna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promjena u dužini QTcF intervala u odnosu na početnu iznosila je 4-6 msec, uz gornju granicu 95%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raspona pouzdanosti od &lt;7 msec. Od 2182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koji su rezistentni</w:t>
      </w:r>
      <w:r>
        <w:rPr>
          <w:rFonts w:ascii="Microsoft Sans Serif" w:hAnsi="Microsoft Sans Serif" w:eastAsia="Calibri" w:cs="Microsoft Sans Serif"/>
          <w:sz w:val="20"/>
          <w:szCs w:val="20"/>
          <w:lang w:val="sr-Cyrl-RS"/>
        </w:rPr>
        <w:t xml:space="preserve"> ili</w:t>
      </w:r>
      <w:r>
        <w:rPr>
          <w:rFonts w:ascii="Microsoft Sans Serif" w:hAnsi="Microsoft Sans Serif" w:eastAsia="Calibri" w:cs="Microsoft Sans Serif"/>
          <w:sz w:val="20"/>
          <w:szCs w:val="20"/>
        </w:rPr>
        <w:t xml:space="preserve"> ne podnose prethodnu terapiju imatinibom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 primali su dasatinib u kliničkim ispitivanjima, 15 (1%) je imalo produ</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enje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QT</w:t>
      </w:r>
      <w:r>
        <w:rPr>
          <w:rFonts w:ascii="Microsoft Sans Serif" w:hAnsi="Microsoft Sans Serif" w:eastAsia="Calibri" w:cs="Microsoft Sans Serif"/>
          <w:sz w:val="20"/>
          <w:szCs w:val="20"/>
          <w:lang w:val="sr-Latn-RS"/>
        </w:rPr>
        <w:t>c</w:t>
      </w:r>
      <w:r>
        <w:rPr>
          <w:rFonts w:ascii="Microsoft Sans Serif" w:hAnsi="Microsoft Sans Serif" w:eastAsia="Calibri" w:cs="Microsoft Sans Serif"/>
          <w:sz w:val="20"/>
          <w:szCs w:val="20"/>
        </w:rPr>
        <w:t xml:space="preserve"> intervala koje je zabilježeno kao neželјeno dejstvo. Dvadeset jedan pacijent (1%) imao je QTcF &gt; 500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msec (pogledati dio 4.4).</w:t>
      </w:r>
    </w:p>
    <w:p w14:paraId="6E23F8B1">
      <w:pPr>
        <w:widowControl w:val="0"/>
        <w:tabs>
          <w:tab w:val="clear" w:pos="284"/>
        </w:tabs>
        <w:rPr>
          <w:rFonts w:ascii="Microsoft Sans Serif" w:hAnsi="Microsoft Sans Serif" w:cs="Microsoft Sans Serif"/>
          <w:i/>
          <w:sz w:val="20"/>
          <w:szCs w:val="20"/>
          <w:u w:val="single"/>
        </w:rPr>
      </w:pPr>
    </w:p>
    <w:p w14:paraId="5C00E67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Srčana neželјena djelovanja</w:t>
      </w:r>
    </w:p>
    <w:p w14:paraId="2995E27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rPr>
        <w:t xml:space="preserve">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faktorima </w:t>
      </w:r>
      <w:r>
        <w:rPr>
          <w:rFonts w:ascii="Microsoft Sans Serif" w:hAnsi="Microsoft Sans Serif" w:cs="Microsoft Sans Serif"/>
          <w:sz w:val="20"/>
          <w:szCs w:val="20"/>
          <w:lang w:val="sr-Cyrl-RS"/>
        </w:rPr>
        <w:t xml:space="preserve">rizika </w:t>
      </w:r>
      <w:r>
        <w:rPr>
          <w:rFonts w:ascii="Microsoft Sans Serif" w:hAnsi="Microsoft Sans Serif" w:cs="Microsoft Sans Serif"/>
          <w:sz w:val="20"/>
          <w:szCs w:val="20"/>
        </w:rPr>
        <w:t>ili srčanom bolešću u anamnezi mora se pažlјivo pratiti na znakove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simptome poremećaja srčane funkcije i </w:t>
      </w:r>
      <w:r>
        <w:rPr>
          <w:rFonts w:ascii="Microsoft Sans Serif" w:hAnsi="Microsoft Sans Serif" w:cs="Microsoft Sans Serif"/>
          <w:sz w:val="20"/>
          <w:szCs w:val="20"/>
          <w:lang w:val="sr-Cyrl-RS"/>
        </w:rPr>
        <w:t>treba ih procijeniti</w:t>
      </w:r>
      <w:r>
        <w:rPr>
          <w:rFonts w:ascii="Microsoft Sans Serif" w:hAnsi="Microsoft Sans Serif" w:cs="Microsoft Sans Serif"/>
          <w:sz w:val="20"/>
          <w:szCs w:val="20"/>
        </w:rPr>
        <w:t xml:space="preserve"> i liječiti na odgovarajući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način (pogledati dio 4.4).</w:t>
      </w:r>
    </w:p>
    <w:p w14:paraId="2041B7CF">
      <w:pPr>
        <w:widowControl w:val="0"/>
        <w:tabs>
          <w:tab w:val="clear" w:pos="284"/>
        </w:tabs>
        <w:rPr>
          <w:rFonts w:ascii="Microsoft Sans Serif" w:hAnsi="Microsoft Sans Serif" w:eastAsia="Calibri" w:cs="Microsoft Sans Serif"/>
          <w:sz w:val="20"/>
          <w:szCs w:val="20"/>
        </w:rPr>
      </w:pPr>
    </w:p>
    <w:p w14:paraId="14354B48">
      <w:pPr>
        <w:widowControl w:val="0"/>
        <w:tabs>
          <w:tab w:val="clear" w:pos="284"/>
        </w:tabs>
        <w:rPr>
          <w:rFonts w:ascii="Microsoft Sans Serif" w:hAnsi="Microsoft Sans Serif" w:eastAsia="Calibri" w:cs="Microsoft Sans Serif"/>
          <w:i/>
          <w:sz w:val="20"/>
          <w:szCs w:val="20"/>
          <w:u w:val="single"/>
        </w:rPr>
      </w:pPr>
      <w:r>
        <w:rPr>
          <w:rFonts w:ascii="Microsoft Sans Serif" w:hAnsi="Microsoft Sans Serif" w:eastAsia="Calibri" w:cs="Microsoft Sans Serif"/>
          <w:i/>
          <w:sz w:val="20"/>
          <w:szCs w:val="20"/>
          <w:u w:val="single"/>
          <w:lang w:val="sr-Cyrl-RS"/>
        </w:rPr>
        <w:t>Reaktivacija virusa</w:t>
      </w:r>
      <w:r>
        <w:rPr>
          <w:rFonts w:ascii="Microsoft Sans Serif" w:hAnsi="Microsoft Sans Serif" w:eastAsia="Calibri" w:cs="Microsoft Sans Serif"/>
          <w:i/>
          <w:sz w:val="20"/>
          <w:szCs w:val="20"/>
          <w:u w:val="single"/>
        </w:rPr>
        <w:t xml:space="preserve"> hepatitis B</w:t>
      </w:r>
    </w:p>
    <w:p w14:paraId="1A782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Reaktivacija virusa</w:t>
      </w:r>
      <w:r>
        <w:rPr>
          <w:rFonts w:ascii="Microsoft Sans Serif" w:hAnsi="Microsoft Sans Serif" w:eastAsia="Calibri" w:cs="Microsoft Sans Serif"/>
          <w:sz w:val="20"/>
          <w:szCs w:val="20"/>
        </w:rPr>
        <w:t xml:space="preserve"> hepatitis B zabilježena je u vezi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inhibitorima BCR-ABL tirozin kinaze.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nekim slučajevima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došlo do akutne insuficijencije jetre ili fulminantnog hepatitisa što je dovelo do</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transplantacije jetre ili smrtnog ishoda (pogledati dio 4.4).</w:t>
      </w:r>
    </w:p>
    <w:p w14:paraId="24D6381B">
      <w:pPr>
        <w:widowControl w:val="0"/>
        <w:tabs>
          <w:tab w:val="clear" w:pos="284"/>
        </w:tabs>
        <w:rPr>
          <w:rFonts w:ascii="Microsoft Sans Serif" w:hAnsi="Microsoft Sans Serif" w:eastAsia="Calibri" w:cs="Microsoft Sans Serif"/>
          <w:sz w:val="20"/>
          <w:szCs w:val="20"/>
        </w:rPr>
      </w:pPr>
    </w:p>
    <w:p w14:paraId="33971B2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prethodnu terapiju imatinibom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bila je 30 mjeseci), incidenca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pleuralnog izliva i kongestivne insuficijencije srca/srčane disfunkcije bila je manja u grupi koja je primala dasatinib u dozi od 100 mg jednom dnevno nego u grupi koja je primala dasatinib u dozi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Manja učestalost mijelosupresije prijavlјena je u grupi liječenoj dozom od 100 mg jednom dnevno (pogledati </w:t>
      </w:r>
      <w:r>
        <w:rPr>
          <w:rFonts w:ascii="Microsoft Sans Serif" w:hAnsi="Microsoft Sans Serif" w:eastAsia="Calibri" w:cs="Microsoft Sans Serif"/>
          <w:sz w:val="20"/>
          <w:szCs w:val="20"/>
          <w:lang w:val="sr-Cyrl-RS"/>
        </w:rPr>
        <w:t>u nastavku teksta</w:t>
      </w:r>
      <w:r>
        <w:rPr>
          <w:rFonts w:ascii="Microsoft Sans Serif" w:hAnsi="Microsoft Sans Serif" w:eastAsia="Calibri" w:cs="Microsoft Sans Serif"/>
          <w:sz w:val="20"/>
          <w:szCs w:val="20"/>
        </w:rPr>
        <w:t xml:space="preserve"> pod Laboratorijski poremećaji).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grupi liječenoj dozom od 100 mg jednom dnevno iznosila je 37 mjeseci (raspon: 1-91 mjesec).</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Kumulativne stope odabranih neželјenih dejstava prijavlјenih u grupi liječenoj preporučenom početnom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dozom od 100 mg jednom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a.</w:t>
      </w:r>
    </w:p>
    <w:p w14:paraId="416AE1E7">
      <w:pPr>
        <w:widowControl w:val="0"/>
        <w:tabs>
          <w:tab w:val="clear" w:pos="284"/>
        </w:tabs>
        <w:rPr>
          <w:rFonts w:ascii="Microsoft Sans Serif" w:hAnsi="Microsoft Sans Serif" w:eastAsia="Calibri" w:cs="Microsoft Sans Serif"/>
          <w:sz w:val="20"/>
          <w:szCs w:val="20"/>
        </w:rPr>
      </w:pPr>
    </w:p>
    <w:p w14:paraId="3C6938CE">
      <w:pPr>
        <w:widowControl w:val="0"/>
        <w:tabs>
          <w:tab w:val="clear" w:pos="284"/>
        </w:tabs>
        <w:rPr>
          <w:rFonts w:ascii="Microsoft Sans Serif" w:hAnsi="Microsoft Sans Serif" w:eastAsia="Calibri" w:cs="Microsoft Sans Serif"/>
          <w:b/>
          <w:sz w:val="20"/>
          <w:szCs w:val="20"/>
          <w:vertAlign w:val="superscript"/>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6</w:t>
      </w:r>
      <w:r>
        <w:rPr>
          <w:rFonts w:ascii="Microsoft Sans Serif" w:hAnsi="Microsoft Sans Serif" w:eastAsia="Calibri" w:cs="Microsoft Sans Serif"/>
          <w:b/>
          <w:sz w:val="20"/>
          <w:szCs w:val="20"/>
        </w:rPr>
        <w:t>a: Odabrana neželјena djelovanja prijavlјena u ispitivanju optimizacije doze faze 3 (pacijenti sa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HML u hroničnoj fazi su rezistentni </w:t>
      </w:r>
      <w:r>
        <w:rPr>
          <w:rFonts w:ascii="Microsoft Sans Serif" w:hAnsi="Microsoft Sans Serif" w:eastAsia="Calibri" w:cs="Microsoft Sans Serif"/>
          <w:b/>
          <w:sz w:val="20"/>
          <w:szCs w:val="20"/>
          <w:lang w:val="sr-Cyrl-RS"/>
        </w:rPr>
        <w:t xml:space="preserve">ili </w:t>
      </w:r>
      <w:r>
        <w:rPr>
          <w:rFonts w:ascii="Microsoft Sans Serif" w:hAnsi="Microsoft Sans Serif" w:eastAsia="Calibri" w:cs="Microsoft Sans Serif"/>
          <w:b/>
          <w:sz w:val="20"/>
          <w:szCs w:val="20"/>
        </w:rPr>
        <w:t>ne podnose imatinib)</w:t>
      </w:r>
      <w:r>
        <w:rPr>
          <w:rFonts w:ascii="Microsoft Sans Serif" w:hAnsi="Microsoft Sans Serif" w:eastAsia="Calibri" w:cs="Microsoft Sans Serif"/>
          <w:b/>
          <w:sz w:val="20"/>
          <w:szCs w:val="20"/>
          <w:vertAlign w:val="superscript"/>
        </w:rPr>
        <w:t>a</w:t>
      </w:r>
    </w:p>
    <w:tbl>
      <w:tblPr>
        <w:tblStyle w:val="12"/>
        <w:tblW w:w="9053" w:type="dxa"/>
        <w:tblInd w:w="0" w:type="dxa"/>
        <w:tblLayout w:type="fixed"/>
        <w:tblCellMar>
          <w:top w:w="0" w:type="dxa"/>
          <w:left w:w="0" w:type="dxa"/>
          <w:bottom w:w="0" w:type="dxa"/>
          <w:right w:w="0" w:type="dxa"/>
        </w:tblCellMar>
      </w:tblPr>
      <w:tblGrid>
        <w:gridCol w:w="2851"/>
        <w:gridCol w:w="2066"/>
        <w:gridCol w:w="2067"/>
        <w:gridCol w:w="2069"/>
      </w:tblGrid>
      <w:tr w14:paraId="04243768">
        <w:tblPrEx>
          <w:tblCellMar>
            <w:top w:w="0" w:type="dxa"/>
            <w:left w:w="0" w:type="dxa"/>
            <w:bottom w:w="0" w:type="dxa"/>
            <w:right w:w="0" w:type="dxa"/>
          </w:tblCellMar>
        </w:tblPrEx>
        <w:trPr>
          <w:trHeight w:val="549" w:hRule="exact"/>
        </w:trPr>
        <w:tc>
          <w:tcPr>
            <w:tcW w:w="2851" w:type="dxa"/>
            <w:tcBorders>
              <w:top w:val="single" w:color="000000" w:sz="4" w:space="0"/>
              <w:left w:val="nil"/>
              <w:bottom w:val="single" w:color="000000" w:sz="4" w:space="0"/>
              <w:right w:val="single" w:color="000000" w:sz="4" w:space="0"/>
            </w:tcBorders>
          </w:tcPr>
          <w:p w14:paraId="59FA894A">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7B71BE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2 godine praćenja</w:t>
            </w:r>
          </w:p>
        </w:tc>
        <w:tc>
          <w:tcPr>
            <w:tcW w:w="2067" w:type="dxa"/>
            <w:tcBorders>
              <w:top w:val="single" w:color="000000" w:sz="4" w:space="0"/>
              <w:left w:val="single" w:color="000000" w:sz="4" w:space="0"/>
              <w:bottom w:val="single" w:color="000000" w:sz="4" w:space="0"/>
              <w:right w:val="single" w:color="000000" w:sz="4" w:space="0"/>
            </w:tcBorders>
          </w:tcPr>
          <w:p w14:paraId="559FDD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5 godina praćenja</w:t>
            </w:r>
          </w:p>
        </w:tc>
        <w:tc>
          <w:tcPr>
            <w:tcW w:w="2069" w:type="dxa"/>
            <w:tcBorders>
              <w:top w:val="single" w:color="000000" w:sz="4" w:space="0"/>
              <w:left w:val="single" w:color="000000" w:sz="4" w:space="0"/>
              <w:bottom w:val="single" w:color="000000" w:sz="4" w:space="0"/>
              <w:right w:val="nil"/>
            </w:tcBorders>
          </w:tcPr>
          <w:p w14:paraId="70EE61A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Minimalno 7 godina praćenja</w:t>
            </w:r>
          </w:p>
        </w:tc>
      </w:tr>
      <w:tr w14:paraId="28DDDBDD">
        <w:tblPrEx>
          <w:tblCellMar>
            <w:top w:w="0" w:type="dxa"/>
            <w:left w:w="0" w:type="dxa"/>
            <w:bottom w:w="0" w:type="dxa"/>
            <w:right w:w="0" w:type="dxa"/>
          </w:tblCellMar>
        </w:tblPrEx>
        <w:trPr>
          <w:trHeight w:val="595" w:hRule="exact"/>
        </w:trPr>
        <w:tc>
          <w:tcPr>
            <w:tcW w:w="2851" w:type="dxa"/>
            <w:tcBorders>
              <w:top w:val="single" w:color="000000" w:sz="4" w:space="0"/>
              <w:left w:val="nil"/>
              <w:bottom w:val="single" w:color="000000" w:sz="4" w:space="0"/>
              <w:right w:val="single" w:color="000000" w:sz="4" w:space="0"/>
            </w:tcBorders>
          </w:tcPr>
          <w:p w14:paraId="7C6E430E">
            <w:pPr>
              <w:widowControl w:val="0"/>
              <w:tabs>
                <w:tab w:val="clear" w:pos="284"/>
              </w:tabs>
              <w:rPr>
                <w:rFonts w:ascii="Microsoft Sans Serif" w:hAnsi="Microsoft Sans Serif" w:eastAsia="Calibri" w:cs="Microsoft Sans Serif"/>
                <w:sz w:val="20"/>
                <w:szCs w:val="20"/>
              </w:rPr>
            </w:pPr>
          </w:p>
        </w:tc>
        <w:tc>
          <w:tcPr>
            <w:tcW w:w="2066" w:type="dxa"/>
            <w:tcBorders>
              <w:top w:val="single" w:color="000000" w:sz="4" w:space="0"/>
              <w:left w:val="single" w:color="000000" w:sz="4" w:space="0"/>
              <w:bottom w:val="single" w:color="000000" w:sz="4" w:space="0"/>
              <w:right w:val="single" w:color="000000" w:sz="4" w:space="0"/>
            </w:tcBorders>
          </w:tcPr>
          <w:p w14:paraId="2D0F6BB8">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43A44098">
            <w:pPr>
              <w:widowControl w:val="0"/>
              <w:tabs>
                <w:tab w:val="left" w:pos="1300"/>
                <w:tab w:val="left" w:pos="1460"/>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stepeni         stepen</w:t>
            </w:r>
          </w:p>
        </w:tc>
        <w:tc>
          <w:tcPr>
            <w:tcW w:w="2067" w:type="dxa"/>
            <w:tcBorders>
              <w:top w:val="single" w:color="000000" w:sz="4" w:space="0"/>
              <w:left w:val="single" w:color="000000" w:sz="4" w:space="0"/>
              <w:bottom w:val="single" w:color="000000" w:sz="4" w:space="0"/>
              <w:right w:val="single" w:color="000000" w:sz="4" w:space="0"/>
            </w:tcBorders>
          </w:tcPr>
          <w:p w14:paraId="0F4EDD64">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F8FF47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c>
          <w:tcPr>
            <w:tcW w:w="2069" w:type="dxa"/>
            <w:tcBorders>
              <w:top w:val="single" w:color="000000" w:sz="4" w:space="0"/>
              <w:left w:val="single" w:color="000000" w:sz="4" w:space="0"/>
              <w:bottom w:val="single" w:color="000000" w:sz="4" w:space="0"/>
              <w:right w:val="nil"/>
            </w:tcBorders>
          </w:tcPr>
          <w:p w14:paraId="30A21003">
            <w:pPr>
              <w:widowControl w:val="0"/>
              <w:tabs>
                <w:tab w:val="left" w:pos="1300"/>
                <w:tab w:val="left" w:pos="1460"/>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Svi                    3/4</w:t>
            </w:r>
          </w:p>
          <w:p w14:paraId="544CFEF5">
            <w:pPr>
              <w:widowControl w:val="0"/>
              <w:tabs>
                <w:tab w:val="left" w:pos="1300"/>
                <w:tab w:val="left" w:pos="1460"/>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stepeni         stepen</w:t>
            </w:r>
          </w:p>
        </w:tc>
      </w:tr>
      <w:tr w14:paraId="035C2B69">
        <w:tblPrEx>
          <w:tblCellMar>
            <w:top w:w="0" w:type="dxa"/>
            <w:left w:w="0" w:type="dxa"/>
            <w:bottom w:w="0" w:type="dxa"/>
            <w:right w:w="0" w:type="dxa"/>
          </w:tblCellMar>
        </w:tblPrEx>
        <w:trPr>
          <w:trHeight w:val="307" w:hRule="exact"/>
        </w:trPr>
        <w:tc>
          <w:tcPr>
            <w:tcW w:w="2851" w:type="dxa"/>
            <w:tcBorders>
              <w:top w:val="single" w:color="000000" w:sz="4" w:space="0"/>
              <w:left w:val="nil"/>
              <w:bottom w:val="single" w:color="000000" w:sz="4" w:space="0"/>
              <w:right w:val="single" w:color="000000" w:sz="4" w:space="0"/>
            </w:tcBorders>
          </w:tcPr>
          <w:p w14:paraId="6248857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202" w:type="dxa"/>
            <w:gridSpan w:val="3"/>
            <w:tcBorders>
              <w:top w:val="single" w:color="000000" w:sz="4" w:space="0"/>
              <w:left w:val="single" w:color="000000" w:sz="4" w:space="0"/>
              <w:bottom w:val="single" w:color="000000" w:sz="4" w:space="0"/>
              <w:right w:val="nil"/>
            </w:tcBorders>
          </w:tcPr>
          <w:p w14:paraId="13356B25">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sz w:val="20"/>
                <w:szCs w:val="20"/>
                <w:lang w:val="sr-Cyrl-RS"/>
              </w:rPr>
              <w:t>Procenat</w:t>
            </w:r>
            <w:r>
              <w:rPr>
                <w:rFonts w:ascii="Microsoft Sans Serif" w:hAnsi="Microsoft Sans Serif" w:cs="Microsoft Sans Serif"/>
                <w:sz w:val="20"/>
                <w:szCs w:val="20"/>
              </w:rPr>
              <w:t xml:space="preserve"> (%) pacijenata</w:t>
            </w:r>
          </w:p>
        </w:tc>
      </w:tr>
      <w:tr w14:paraId="453E336F">
        <w:tblPrEx>
          <w:tblCellMar>
            <w:top w:w="0" w:type="dxa"/>
            <w:left w:w="0" w:type="dxa"/>
            <w:bottom w:w="0" w:type="dxa"/>
            <w:right w:w="0" w:type="dxa"/>
          </w:tblCellMar>
        </w:tblPrEx>
        <w:trPr>
          <w:trHeight w:val="2132" w:hRule="exact"/>
        </w:trPr>
        <w:tc>
          <w:tcPr>
            <w:tcW w:w="2851" w:type="dxa"/>
            <w:tcBorders>
              <w:top w:val="single" w:color="000000" w:sz="4" w:space="0"/>
              <w:left w:val="nil"/>
              <w:bottom w:val="single" w:color="000000" w:sz="4" w:space="0"/>
              <w:right w:val="single" w:color="000000" w:sz="4" w:space="0"/>
            </w:tcBorders>
          </w:tcPr>
          <w:p w14:paraId="01F9FAC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p w14:paraId="6E15FDB4">
            <w:pPr>
              <w:widowControl w:val="0"/>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Zadržavanje tečnosti</w:t>
            </w:r>
            <w:r>
              <w:rPr>
                <w:rFonts w:ascii="Microsoft Sans Serif" w:hAnsi="Microsoft Sans Serif" w:cs="Microsoft Sans Serif"/>
                <w:b/>
                <w:bCs/>
                <w:sz w:val="20"/>
                <w:szCs w:val="20"/>
              </w:rPr>
              <w:t xml:space="preserve"> </w:t>
            </w:r>
          </w:p>
          <w:p w14:paraId="5CB2CDB0">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Površinski edem</w:t>
            </w:r>
            <w:r>
              <w:rPr>
                <w:rFonts w:ascii="Microsoft Sans Serif" w:hAnsi="Microsoft Sans Serif" w:cs="Microsoft Sans Serif"/>
                <w:sz w:val="20"/>
                <w:szCs w:val="20"/>
              </w:rPr>
              <w:t xml:space="preserve"> </w:t>
            </w:r>
          </w:p>
          <w:p w14:paraId="5289CE0D">
            <w:pPr>
              <w:widowControl w:val="0"/>
              <w:tabs>
                <w:tab w:val="clear" w:pos="284"/>
              </w:tabs>
              <w:ind w:firstLine="142"/>
              <w:rPr>
                <w:rFonts w:ascii="Microsoft Sans Serif" w:hAnsi="Microsoft Sans Serif" w:cs="Microsoft Sans Serif"/>
                <w:sz w:val="20"/>
                <w:szCs w:val="20"/>
              </w:rPr>
            </w:pPr>
            <w:r>
              <w:rPr>
                <w:rFonts w:ascii="Microsoft Sans Serif" w:hAnsi="Microsoft Sans Serif" w:cs="Microsoft Sans Serif"/>
                <w:sz w:val="20"/>
                <w:szCs w:val="20"/>
                <w:lang w:val="sr-Cyrl-RS"/>
              </w:rPr>
              <w:t>Pleuralni izliv</w:t>
            </w:r>
            <w:r>
              <w:rPr>
                <w:rFonts w:ascii="Microsoft Sans Serif" w:hAnsi="Microsoft Sans Serif" w:cs="Microsoft Sans Serif"/>
                <w:sz w:val="20"/>
                <w:szCs w:val="20"/>
              </w:rPr>
              <w:t xml:space="preserve"> </w:t>
            </w:r>
          </w:p>
          <w:p w14:paraId="0BB29EE5">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w:t>
            </w:r>
          </w:p>
          <w:p w14:paraId="5E866652">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p w14:paraId="65103B4B">
            <w:pPr>
              <w:widowControl w:val="0"/>
              <w:tabs>
                <w:tab w:val="clear" w:pos="284"/>
              </w:tabs>
              <w:ind w:firstLine="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Plućna hipertenzija</w:t>
            </w:r>
          </w:p>
          <w:p w14:paraId="3ABF8E7A">
            <w:pPr>
              <w:widowControl w:val="0"/>
              <w:tabs>
                <w:tab w:val="clear" w:pos="284"/>
              </w:tabs>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Hemoragija</w:t>
            </w:r>
          </w:p>
          <w:p w14:paraId="61C9BD2E">
            <w:pPr>
              <w:widowControl w:val="0"/>
              <w:tabs>
                <w:tab w:val="clear" w:pos="284"/>
              </w:tabs>
              <w:ind w:left="14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066" w:type="dxa"/>
            <w:tcBorders>
              <w:top w:val="single" w:color="000000" w:sz="4" w:space="0"/>
              <w:left w:val="single" w:color="000000" w:sz="4" w:space="0"/>
              <w:bottom w:val="single" w:color="000000" w:sz="4" w:space="0"/>
              <w:right w:val="single" w:color="000000" w:sz="4" w:space="0"/>
            </w:tcBorders>
          </w:tcPr>
          <w:p w14:paraId="136B65E8">
            <w:pPr>
              <w:widowControl w:val="0"/>
              <w:tabs>
                <w:tab w:val="left" w:pos="1397"/>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27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1A3120BE">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69C1D9F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4CD484E5">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0FFB11B2">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2DE29E9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9EB319D">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EDB52A9">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EFF1C8C">
            <w:pPr>
              <w:widowControl w:val="0"/>
              <w:tabs>
                <w:tab w:val="left" w:pos="136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7" w:type="dxa"/>
            <w:tcBorders>
              <w:top w:val="single" w:color="000000" w:sz="4" w:space="0"/>
              <w:left w:val="single" w:color="000000" w:sz="4" w:space="0"/>
              <w:bottom w:val="single" w:color="000000" w:sz="4" w:space="0"/>
              <w:right w:val="single" w:color="000000" w:sz="4" w:space="0"/>
            </w:tcBorders>
          </w:tcPr>
          <w:p w14:paraId="5BF70A23">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F4CD46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42 </w:t>
            </w:r>
            <w:r>
              <w:rPr>
                <w:rFonts w:ascii="Microsoft Sans Serif" w:hAnsi="Microsoft Sans Serif" w:cs="Microsoft Sans Serif"/>
                <w:sz w:val="20"/>
                <w:szCs w:val="20"/>
              </w:rPr>
              <w:tab/>
            </w:r>
            <w:r>
              <w:rPr>
                <w:rFonts w:ascii="Microsoft Sans Serif" w:hAnsi="Microsoft Sans Serif" w:cs="Microsoft Sans Serif"/>
                <w:sz w:val="20"/>
                <w:szCs w:val="20"/>
              </w:rPr>
              <w:t>6</w:t>
            </w:r>
          </w:p>
          <w:p w14:paraId="317D5EA4">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21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31A490A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24 </w:t>
            </w:r>
            <w:r>
              <w:rPr>
                <w:rFonts w:ascii="Microsoft Sans Serif" w:hAnsi="Microsoft Sans Serif" w:cs="Microsoft Sans Serif"/>
                <w:sz w:val="20"/>
                <w:szCs w:val="20"/>
              </w:rPr>
              <w:tab/>
            </w:r>
            <w:r>
              <w:rPr>
                <w:rFonts w:ascii="Microsoft Sans Serif" w:hAnsi="Microsoft Sans Serif" w:cs="Microsoft Sans Serif"/>
                <w:sz w:val="20"/>
                <w:szCs w:val="20"/>
              </w:rPr>
              <w:t>4</w:t>
            </w:r>
          </w:p>
          <w:p w14:paraId="114DE65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489FCE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6CB91D2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0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4A1957A">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11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5F03779">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c>
          <w:tcPr>
            <w:tcW w:w="2069" w:type="dxa"/>
            <w:tcBorders>
              <w:top w:val="single" w:color="000000" w:sz="4" w:space="0"/>
              <w:left w:val="single" w:color="000000" w:sz="4" w:space="0"/>
              <w:bottom w:val="single" w:color="000000" w:sz="4" w:space="0"/>
              <w:right w:val="nil"/>
            </w:tcBorders>
          </w:tcPr>
          <w:p w14:paraId="3B8CE1BE">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2</w:t>
            </w:r>
          </w:p>
          <w:p w14:paraId="26BD062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48 </w:t>
            </w:r>
            <w:r>
              <w:rPr>
                <w:rFonts w:ascii="Microsoft Sans Serif" w:hAnsi="Microsoft Sans Serif" w:cs="Microsoft Sans Serif"/>
                <w:sz w:val="20"/>
                <w:szCs w:val="20"/>
              </w:rPr>
              <w:tab/>
            </w:r>
            <w:r>
              <w:rPr>
                <w:rFonts w:ascii="Microsoft Sans Serif" w:hAnsi="Microsoft Sans Serif" w:cs="Microsoft Sans Serif"/>
                <w:sz w:val="20"/>
                <w:szCs w:val="20"/>
              </w:rPr>
              <w:t>7</w:t>
            </w:r>
          </w:p>
          <w:p w14:paraId="3CA0B3C5">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22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7C1D649B">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28 </w:t>
            </w:r>
            <w:r>
              <w:rPr>
                <w:rFonts w:ascii="Microsoft Sans Serif" w:hAnsi="Microsoft Sans Serif" w:cs="Microsoft Sans Serif"/>
                <w:sz w:val="20"/>
                <w:szCs w:val="20"/>
              </w:rPr>
              <w:tab/>
            </w:r>
            <w:r>
              <w:rPr>
                <w:rFonts w:ascii="Microsoft Sans Serif" w:hAnsi="Microsoft Sans Serif" w:cs="Microsoft Sans Serif"/>
                <w:sz w:val="20"/>
                <w:szCs w:val="20"/>
              </w:rPr>
              <w:t>5</w:t>
            </w:r>
          </w:p>
          <w:p w14:paraId="0EA9788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4 </w:t>
            </w:r>
            <w:r>
              <w:rPr>
                <w:rFonts w:ascii="Microsoft Sans Serif" w:hAnsi="Microsoft Sans Serif" w:cs="Microsoft Sans Serif"/>
                <w:sz w:val="20"/>
                <w:szCs w:val="20"/>
              </w:rPr>
              <w:tab/>
            </w:r>
            <w:r>
              <w:rPr>
                <w:rFonts w:ascii="Microsoft Sans Serif" w:hAnsi="Microsoft Sans Serif" w:cs="Microsoft Sans Serif"/>
                <w:sz w:val="20"/>
                <w:szCs w:val="20"/>
              </w:rPr>
              <w:t>0</w:t>
            </w:r>
          </w:p>
          <w:p w14:paraId="1682CF4F">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3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3357B682">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47016488">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12 </w:t>
            </w:r>
            <w:r>
              <w:rPr>
                <w:rFonts w:ascii="Microsoft Sans Serif" w:hAnsi="Microsoft Sans Serif" w:cs="Microsoft Sans Serif"/>
                <w:sz w:val="20"/>
                <w:szCs w:val="20"/>
              </w:rPr>
              <w:tab/>
            </w:r>
            <w:r>
              <w:rPr>
                <w:rFonts w:ascii="Microsoft Sans Serif" w:hAnsi="Microsoft Sans Serif" w:cs="Microsoft Sans Serif"/>
                <w:sz w:val="20"/>
                <w:szCs w:val="20"/>
              </w:rPr>
              <w:t>1</w:t>
            </w:r>
          </w:p>
          <w:p w14:paraId="1B7A7DF0">
            <w:pPr>
              <w:widowControl w:val="0"/>
              <w:tabs>
                <w:tab w:val="left" w:pos="1420"/>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2 </w:t>
            </w:r>
            <w:r>
              <w:rPr>
                <w:rFonts w:ascii="Microsoft Sans Serif" w:hAnsi="Microsoft Sans Serif" w:cs="Microsoft Sans Serif"/>
                <w:sz w:val="20"/>
                <w:szCs w:val="20"/>
              </w:rPr>
              <w:tab/>
            </w:r>
            <w:r>
              <w:rPr>
                <w:rFonts w:ascii="Microsoft Sans Serif" w:hAnsi="Microsoft Sans Serif" w:cs="Microsoft Sans Serif"/>
                <w:sz w:val="20"/>
                <w:szCs w:val="20"/>
              </w:rPr>
              <w:t>1</w:t>
            </w:r>
          </w:p>
        </w:tc>
      </w:tr>
    </w:tbl>
    <w:p w14:paraId="7E47FB9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u populaciji liječenoj preporučenom početnom dozom od 100</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mg jedanput dnevno (</w:t>
      </w:r>
      <w:r>
        <w:rPr>
          <w:rFonts w:ascii="Microsoft Sans Serif" w:hAnsi="Microsoft Sans Serif" w:eastAsia="Calibri" w:cs="Microsoft Sans Serif"/>
          <w:sz w:val="20"/>
          <w:szCs w:val="20"/>
          <w:lang w:val="sr-Latn-RS"/>
        </w:rPr>
        <w:t>n</w:t>
      </w:r>
      <w:r>
        <w:rPr>
          <w:rFonts w:ascii="Microsoft Sans Serif" w:hAnsi="Microsoft Sans Serif" w:eastAsia="Calibri" w:cs="Microsoft Sans Serif"/>
          <w:sz w:val="20"/>
          <w:szCs w:val="20"/>
        </w:rPr>
        <w:t>=165)</w:t>
      </w:r>
    </w:p>
    <w:p w14:paraId="2A8BE0FE">
      <w:pPr>
        <w:widowControl w:val="0"/>
        <w:tabs>
          <w:tab w:val="clear" w:pos="284"/>
        </w:tabs>
        <w:rPr>
          <w:rFonts w:ascii="Microsoft Sans Serif" w:hAnsi="Microsoft Sans Serif" w:eastAsia="Calibri" w:cs="Microsoft Sans Serif"/>
          <w:sz w:val="20"/>
          <w:szCs w:val="20"/>
        </w:rPr>
      </w:pPr>
    </w:p>
    <w:p w14:paraId="07FC944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optimizacije doze faze III kod pacijenata u uznapredovaloj fazi HML i Ph+ ALL, medijana trajanja liječenja bi</w:t>
      </w:r>
      <w:r>
        <w:rPr>
          <w:rFonts w:ascii="Microsoft Sans Serif" w:hAnsi="Microsoft Sans Serif" w:eastAsia="Calibri" w:cs="Microsoft Sans Serif"/>
          <w:sz w:val="20"/>
          <w:szCs w:val="20"/>
          <w:lang w:val="sr-Cyrl-RS"/>
        </w:rPr>
        <w:t>la</w:t>
      </w:r>
      <w:r>
        <w:rPr>
          <w:rFonts w:ascii="Microsoft Sans Serif" w:hAnsi="Microsoft Sans Serif" w:eastAsia="Calibri" w:cs="Microsoft Sans Serif"/>
          <w:sz w:val="20"/>
          <w:szCs w:val="20"/>
        </w:rPr>
        <w:t xml:space="preserve"> je 14 mjeseci za ubrzanu fazu HML, 3 mjeseca za mijeloidnu blastnu krizu HML, 4 mjeseca za limfoidnu blastnu krizu HML i 3 mjeseca za Ph+ ALL. Odabrana ne</w:t>
      </w:r>
      <w:r>
        <w:rPr>
          <w:rFonts w:ascii="Microsoft Sans Serif" w:hAnsi="Microsoft Sans Serif" w:eastAsia="Calibri" w:cs="Microsoft Sans Serif"/>
          <w:sz w:val="20"/>
          <w:szCs w:val="20"/>
          <w:lang w:val="sr-Cyrl-RS"/>
        </w:rPr>
        <w:t>želјen</w:t>
      </w:r>
      <w:r>
        <w:rPr>
          <w:rFonts w:ascii="Microsoft Sans Serif" w:hAnsi="Microsoft Sans Serif" w:eastAsia="Calibri" w:cs="Microsoft Sans Serif"/>
          <w:sz w:val="20"/>
          <w:szCs w:val="20"/>
        </w:rPr>
        <w: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djelovanja prijavlјena uz primjenu preporučene početne doze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 prikazane su u Tabeli </w:t>
      </w:r>
      <w:r>
        <w:rPr>
          <w:rFonts w:ascii="Microsoft Sans Serif" w:hAnsi="Microsoft Sans Serif" w:eastAsia="Calibri" w:cs="Microsoft Sans Serif"/>
          <w:sz w:val="20"/>
          <w:szCs w:val="20"/>
          <w:lang w:val="sr-Latn-RS"/>
        </w:rPr>
        <w:t>6</w:t>
      </w:r>
      <w:r>
        <w:rPr>
          <w:rFonts w:ascii="Microsoft Sans Serif" w:hAnsi="Microsoft Sans Serif" w:eastAsia="Calibri" w:cs="Microsoft Sans Serif"/>
          <w:sz w:val="20"/>
          <w:szCs w:val="20"/>
        </w:rPr>
        <w:t>b. Ispitivan je i režim liječenja dozom od 70 mg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put</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dnevno. Režim liječenja dozom od 140 mg jednom dnevno pokazao je sličan profil djelotvornosti kao i režim liječenja dozom od 70 mg dva puta dnevno, ali je imao povolјniji profil sigurnosti.</w:t>
      </w:r>
    </w:p>
    <w:p w14:paraId="0373BCF0">
      <w:pPr>
        <w:widowControl w:val="0"/>
        <w:tabs>
          <w:tab w:val="clear" w:pos="284"/>
        </w:tabs>
        <w:rPr>
          <w:rFonts w:ascii="Microsoft Sans Serif" w:hAnsi="Microsoft Sans Serif" w:cs="Microsoft Sans Serif"/>
          <w:sz w:val="20"/>
          <w:szCs w:val="20"/>
        </w:rPr>
      </w:pPr>
    </w:p>
    <w:p w14:paraId="20505C97">
      <w:pPr>
        <w:widowControl w:val="0"/>
        <w:tabs>
          <w:tab w:val="clear" w:pos="284"/>
        </w:tabs>
        <w:rPr>
          <w:rFonts w:ascii="Microsoft Sans Serif" w:hAnsi="Microsoft Sans Serif" w:cs="Microsoft Sans Serif"/>
          <w:b/>
          <w:sz w:val="20"/>
          <w:szCs w:val="20"/>
          <w:vertAlign w:val="superscript"/>
        </w:rPr>
      </w:pPr>
      <w:r>
        <w:rPr>
          <w:rFonts w:ascii="Microsoft Sans Serif" w:hAnsi="Microsoft Sans Serif" w:cs="Microsoft Sans Serif"/>
          <w:b/>
          <w:sz w:val="20"/>
          <w:szCs w:val="20"/>
        </w:rPr>
        <w:t xml:space="preserve">Tabela </w:t>
      </w:r>
      <w:r>
        <w:rPr>
          <w:rFonts w:ascii="Microsoft Sans Serif" w:hAnsi="Microsoft Sans Serif" w:cs="Microsoft Sans Serif"/>
          <w:b/>
          <w:sz w:val="20"/>
          <w:szCs w:val="20"/>
          <w:lang w:val="sr-Latn-RS"/>
        </w:rPr>
        <w:t>6</w:t>
      </w:r>
      <w:r>
        <w:rPr>
          <w:rFonts w:ascii="Microsoft Sans Serif" w:hAnsi="Microsoft Sans Serif" w:cs="Microsoft Sans Serif"/>
          <w:b/>
          <w:sz w:val="20"/>
          <w:szCs w:val="20"/>
        </w:rPr>
        <w:t>b: Odabrana neželјena djelovanja prijavlјena u ispitivanju optimizacije doze faze III: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uznapredovala faza HML i Ph+ ALL</w:t>
      </w:r>
      <w:r>
        <w:rPr>
          <w:rFonts w:ascii="Microsoft Sans Serif" w:hAnsi="Microsoft Sans Serif" w:cs="Microsoft Sans Serif"/>
          <w:b/>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8"/>
        <w:gridCol w:w="2820"/>
        <w:gridCol w:w="3204"/>
      </w:tblGrid>
      <w:tr w14:paraId="03BDA65F">
        <w:tblPrEx>
          <w:tblCellMar>
            <w:top w:w="0" w:type="dxa"/>
            <w:left w:w="0" w:type="dxa"/>
            <w:bottom w:w="0" w:type="dxa"/>
            <w:right w:w="0" w:type="dxa"/>
          </w:tblCellMar>
        </w:tblPrEx>
        <w:trPr>
          <w:trHeight w:val="693" w:hRule="exact"/>
        </w:trPr>
        <w:tc>
          <w:tcPr>
            <w:tcW w:w="3048" w:type="dxa"/>
            <w:tcBorders>
              <w:top w:val="single" w:color="auto" w:sz="4" w:space="0"/>
              <w:left w:val="nil"/>
              <w:right w:val="nil"/>
            </w:tcBorders>
          </w:tcPr>
          <w:p w14:paraId="0DCE4E95">
            <w:pPr>
              <w:widowControl w:val="0"/>
              <w:tabs>
                <w:tab w:val="clear" w:pos="284"/>
              </w:tabs>
              <w:rPr>
                <w:rFonts w:ascii="Microsoft Sans Serif" w:hAnsi="Microsoft Sans Serif" w:eastAsia="Calibri" w:cs="Microsoft Sans Serif"/>
                <w:sz w:val="20"/>
                <w:szCs w:val="20"/>
              </w:rPr>
            </w:pPr>
          </w:p>
        </w:tc>
        <w:tc>
          <w:tcPr>
            <w:tcW w:w="6024" w:type="dxa"/>
            <w:gridSpan w:val="2"/>
            <w:tcBorders>
              <w:top w:val="single" w:color="auto" w:sz="4" w:space="0"/>
              <w:left w:val="nil"/>
              <w:right w:val="nil"/>
            </w:tcBorders>
          </w:tcPr>
          <w:p w14:paraId="3EA96612">
            <w:pPr>
              <w:widowControl w:val="0"/>
              <w:tabs>
                <w:tab w:val="clear" w:pos="284"/>
              </w:tabs>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140 mg jednom dnevno</w:t>
            </w:r>
            <w:r>
              <w:rPr>
                <w:rFonts w:ascii="Microsoft Sans Serif" w:hAnsi="Microsoft Sans Serif" w:eastAsia="Calibri" w:cs="Microsoft Sans Serif"/>
                <w:b/>
                <w:sz w:val="20"/>
                <w:szCs w:val="20"/>
              </w:rPr>
              <w:br w:type="textWrapping"/>
            </w:r>
            <w:r>
              <w:rPr>
                <w:rFonts w:ascii="Microsoft Sans Serif" w:hAnsi="Microsoft Sans Serif" w:eastAsia="Calibri" w:cs="Microsoft Sans Serif"/>
                <w:b/>
                <w:sz w:val="20"/>
                <w:szCs w:val="20"/>
                <w:u w:val="single"/>
              </w:rPr>
              <w:t>n=304</w:t>
            </w:r>
          </w:p>
        </w:tc>
      </w:tr>
      <w:tr w14:paraId="3062F9EE">
        <w:tblPrEx>
          <w:tblCellMar>
            <w:top w:w="0" w:type="dxa"/>
            <w:left w:w="0" w:type="dxa"/>
            <w:bottom w:w="0" w:type="dxa"/>
            <w:right w:w="0" w:type="dxa"/>
          </w:tblCellMar>
        </w:tblPrEx>
        <w:trPr>
          <w:trHeight w:val="381" w:hRule="exact"/>
        </w:trPr>
        <w:tc>
          <w:tcPr>
            <w:tcW w:w="3048" w:type="dxa"/>
            <w:tcBorders>
              <w:top w:val="nil"/>
              <w:left w:val="nil"/>
              <w:right w:val="nil"/>
            </w:tcBorders>
          </w:tcPr>
          <w:p w14:paraId="1DA43838">
            <w:pPr>
              <w:widowControl w:val="0"/>
              <w:tabs>
                <w:tab w:val="clear" w:pos="284"/>
              </w:tabs>
              <w:rPr>
                <w:rFonts w:ascii="Microsoft Sans Serif" w:hAnsi="Microsoft Sans Serif" w:eastAsia="Calibri" w:cs="Microsoft Sans Serif"/>
                <w:sz w:val="20"/>
                <w:szCs w:val="20"/>
              </w:rPr>
            </w:pPr>
          </w:p>
        </w:tc>
        <w:tc>
          <w:tcPr>
            <w:tcW w:w="2820" w:type="dxa"/>
            <w:tcBorders>
              <w:left w:val="nil"/>
              <w:right w:val="nil"/>
            </w:tcBorders>
          </w:tcPr>
          <w:p w14:paraId="400D8E8A">
            <w:pPr>
              <w:widowControl w:val="0"/>
              <w:tabs>
                <w:tab w:val="clear" w:pos="284"/>
              </w:tabs>
              <w:rPr>
                <w:rFonts w:ascii="Microsoft Sans Serif" w:hAnsi="Microsoft Sans Serif" w:eastAsia="Calibri" w:cs="Microsoft Sans Serif"/>
                <w:b/>
                <w:sz w:val="20"/>
                <w:szCs w:val="20"/>
                <w:lang w:val="sr-Cyrl-RS"/>
              </w:rPr>
            </w:pPr>
            <w:r>
              <w:rPr>
                <w:rFonts w:ascii="Microsoft Sans Serif" w:hAnsi="Microsoft Sans Serif" w:eastAsia="Calibri" w:cs="Microsoft Sans Serif"/>
                <w:b/>
                <w:sz w:val="20"/>
                <w:szCs w:val="20"/>
                <w:lang w:val="sr-Cyrl-RS"/>
              </w:rPr>
              <w:t>Svi stepeni</w:t>
            </w:r>
          </w:p>
        </w:tc>
        <w:tc>
          <w:tcPr>
            <w:tcW w:w="3204" w:type="dxa"/>
            <w:tcBorders>
              <w:left w:val="nil"/>
              <w:right w:val="nil"/>
            </w:tcBorders>
          </w:tcPr>
          <w:p w14:paraId="632227EF">
            <w:pPr>
              <w:widowControl w:val="0"/>
              <w:tabs>
                <w:tab w:val="clear" w:pos="284"/>
              </w:tabs>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lang w:val="sr-Cyrl-RS"/>
              </w:rPr>
              <w:t>Stepen</w:t>
            </w:r>
            <w:r>
              <w:rPr>
                <w:rFonts w:ascii="Microsoft Sans Serif" w:hAnsi="Microsoft Sans Serif" w:eastAsia="Calibri" w:cs="Microsoft Sans Serif"/>
                <w:b/>
                <w:sz w:val="20"/>
                <w:szCs w:val="20"/>
              </w:rPr>
              <w:t xml:space="preserve"> 3/4</w:t>
            </w:r>
          </w:p>
        </w:tc>
      </w:tr>
      <w:tr w14:paraId="4E6DDA0F">
        <w:tblPrEx>
          <w:tblCellMar>
            <w:top w:w="0" w:type="dxa"/>
            <w:left w:w="0" w:type="dxa"/>
            <w:bottom w:w="0" w:type="dxa"/>
            <w:right w:w="0" w:type="dxa"/>
          </w:tblCellMar>
        </w:tblPrEx>
        <w:trPr>
          <w:trHeight w:val="292" w:hRule="exact"/>
        </w:trPr>
        <w:tc>
          <w:tcPr>
            <w:tcW w:w="3048" w:type="dxa"/>
            <w:tcBorders>
              <w:top w:val="nil"/>
              <w:left w:val="nil"/>
              <w:bottom w:val="single" w:color="000000" w:sz="4" w:space="0"/>
              <w:right w:val="nil"/>
            </w:tcBorders>
          </w:tcPr>
          <w:p w14:paraId="601AED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Preporučen naziv</w:t>
            </w:r>
          </w:p>
        </w:tc>
        <w:tc>
          <w:tcPr>
            <w:tcW w:w="6024" w:type="dxa"/>
            <w:gridSpan w:val="2"/>
            <w:tcBorders>
              <w:left w:val="nil"/>
              <w:bottom w:val="single" w:color="000000" w:sz="4" w:space="0"/>
              <w:right w:val="nil"/>
            </w:tcBorders>
          </w:tcPr>
          <w:p w14:paraId="0423046F">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A9E1923">
        <w:tblPrEx>
          <w:tblCellMar>
            <w:top w:w="0" w:type="dxa"/>
            <w:left w:w="0" w:type="dxa"/>
            <w:bottom w:w="0" w:type="dxa"/>
            <w:right w:w="0" w:type="dxa"/>
          </w:tblCellMar>
        </w:tblPrEx>
        <w:trPr>
          <w:trHeight w:val="268" w:hRule="exact"/>
        </w:trPr>
        <w:tc>
          <w:tcPr>
            <w:tcW w:w="3048" w:type="dxa"/>
            <w:tcBorders>
              <w:top w:val="single" w:color="000000" w:sz="4" w:space="0"/>
              <w:left w:val="nil"/>
              <w:bottom w:val="nil"/>
              <w:right w:val="nil"/>
            </w:tcBorders>
          </w:tcPr>
          <w:p w14:paraId="675353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Dijareja</w:t>
            </w:r>
          </w:p>
        </w:tc>
        <w:tc>
          <w:tcPr>
            <w:tcW w:w="2820" w:type="dxa"/>
            <w:tcBorders>
              <w:top w:val="single" w:color="000000" w:sz="4" w:space="0"/>
              <w:left w:val="nil"/>
              <w:bottom w:val="nil"/>
              <w:right w:val="nil"/>
            </w:tcBorders>
          </w:tcPr>
          <w:p w14:paraId="02A71A1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3204" w:type="dxa"/>
            <w:tcBorders>
              <w:top w:val="single" w:color="000000" w:sz="4" w:space="0"/>
              <w:left w:val="nil"/>
              <w:bottom w:val="nil"/>
              <w:right w:val="nil"/>
            </w:tcBorders>
          </w:tcPr>
          <w:p w14:paraId="5FA15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w:t>
            </w:r>
          </w:p>
        </w:tc>
      </w:tr>
      <w:tr w14:paraId="79E39EBA">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2E37217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Zadržavanje tečnosti</w:t>
            </w:r>
          </w:p>
        </w:tc>
        <w:tc>
          <w:tcPr>
            <w:tcW w:w="2820" w:type="dxa"/>
            <w:tcBorders>
              <w:top w:val="nil"/>
              <w:left w:val="nil"/>
              <w:bottom w:val="nil"/>
              <w:right w:val="nil"/>
            </w:tcBorders>
          </w:tcPr>
          <w:p w14:paraId="140CA71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3204" w:type="dxa"/>
            <w:tcBorders>
              <w:top w:val="nil"/>
              <w:left w:val="nil"/>
              <w:bottom w:val="nil"/>
              <w:right w:val="nil"/>
            </w:tcBorders>
          </w:tcPr>
          <w:p w14:paraId="44728E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w:t>
            </w:r>
          </w:p>
        </w:tc>
      </w:tr>
      <w:tr w14:paraId="5836CF37">
        <w:tblPrEx>
          <w:tblCellMar>
            <w:top w:w="0" w:type="dxa"/>
            <w:left w:w="0" w:type="dxa"/>
            <w:bottom w:w="0" w:type="dxa"/>
            <w:right w:w="0" w:type="dxa"/>
          </w:tblCellMar>
        </w:tblPrEx>
        <w:trPr>
          <w:trHeight w:val="256" w:hRule="exact"/>
        </w:trPr>
        <w:tc>
          <w:tcPr>
            <w:tcW w:w="3048" w:type="dxa"/>
            <w:tcBorders>
              <w:top w:val="nil"/>
              <w:left w:val="nil"/>
              <w:bottom w:val="nil"/>
              <w:right w:val="nil"/>
            </w:tcBorders>
          </w:tcPr>
          <w:p w14:paraId="2C4D2F3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Površinski edemi</w:t>
            </w:r>
          </w:p>
        </w:tc>
        <w:tc>
          <w:tcPr>
            <w:tcW w:w="2820" w:type="dxa"/>
            <w:tcBorders>
              <w:top w:val="nil"/>
              <w:left w:val="nil"/>
              <w:bottom w:val="nil"/>
              <w:right w:val="nil"/>
            </w:tcBorders>
          </w:tcPr>
          <w:p w14:paraId="281955A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3204" w:type="dxa"/>
            <w:tcBorders>
              <w:top w:val="nil"/>
              <w:left w:val="nil"/>
              <w:bottom w:val="nil"/>
              <w:right w:val="nil"/>
            </w:tcBorders>
          </w:tcPr>
          <w:p w14:paraId="6EF8C1F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&lt; 1</w:t>
            </w:r>
          </w:p>
        </w:tc>
      </w:tr>
      <w:tr w14:paraId="25D67F4F">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49B855C2">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Pleuralni izliv</w:t>
            </w:r>
          </w:p>
        </w:tc>
        <w:tc>
          <w:tcPr>
            <w:tcW w:w="2820" w:type="dxa"/>
            <w:tcBorders>
              <w:top w:val="nil"/>
              <w:left w:val="nil"/>
              <w:bottom w:val="nil"/>
              <w:right w:val="nil"/>
            </w:tcBorders>
          </w:tcPr>
          <w:p w14:paraId="3FBED9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3204" w:type="dxa"/>
            <w:tcBorders>
              <w:top w:val="nil"/>
              <w:left w:val="nil"/>
              <w:bottom w:val="nil"/>
              <w:right w:val="nil"/>
            </w:tcBorders>
          </w:tcPr>
          <w:p w14:paraId="179AB9C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r w14:paraId="1F15BD7C">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30DEB605">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Generalizovani edemi</w:t>
            </w:r>
          </w:p>
        </w:tc>
        <w:tc>
          <w:tcPr>
            <w:tcW w:w="2820" w:type="dxa"/>
            <w:tcBorders>
              <w:top w:val="nil"/>
              <w:left w:val="nil"/>
              <w:bottom w:val="nil"/>
              <w:right w:val="nil"/>
            </w:tcBorders>
          </w:tcPr>
          <w:p w14:paraId="6AF999C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048C8D4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710D4DA">
        <w:tblPrEx>
          <w:tblCellMar>
            <w:top w:w="0" w:type="dxa"/>
            <w:left w:w="0" w:type="dxa"/>
            <w:bottom w:w="0" w:type="dxa"/>
            <w:right w:w="0" w:type="dxa"/>
          </w:tblCellMar>
        </w:tblPrEx>
        <w:trPr>
          <w:trHeight w:val="730" w:hRule="exact"/>
        </w:trPr>
        <w:tc>
          <w:tcPr>
            <w:tcW w:w="3048" w:type="dxa"/>
            <w:tcBorders>
              <w:top w:val="nil"/>
              <w:left w:val="nil"/>
              <w:bottom w:val="nil"/>
              <w:right w:val="nil"/>
            </w:tcBorders>
          </w:tcPr>
          <w:p w14:paraId="11AE9485">
            <w:pPr>
              <w:widowControl w:val="0"/>
              <w:tabs>
                <w:tab w:val="clear" w:pos="284"/>
              </w:tabs>
              <w:ind w:left="152"/>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 srčana disfunkcija</w:t>
            </w:r>
            <w:r>
              <w:rPr>
                <w:rFonts w:ascii="Microsoft Sans Serif" w:hAnsi="Microsoft Sans Serif" w:cs="Microsoft Sans Serif"/>
                <w:sz w:val="20"/>
                <w:szCs w:val="20"/>
                <w:vertAlign w:val="superscript"/>
              </w:rPr>
              <w:t>b`</w:t>
            </w:r>
          </w:p>
        </w:tc>
        <w:tc>
          <w:tcPr>
            <w:tcW w:w="2820" w:type="dxa"/>
            <w:tcBorders>
              <w:top w:val="nil"/>
              <w:left w:val="nil"/>
              <w:bottom w:val="nil"/>
              <w:right w:val="nil"/>
            </w:tcBorders>
          </w:tcPr>
          <w:p w14:paraId="7184641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7EFFD16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75FCCD16">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1BC27BD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Perikardijalni izliv</w:t>
            </w:r>
          </w:p>
        </w:tc>
        <w:tc>
          <w:tcPr>
            <w:tcW w:w="2820" w:type="dxa"/>
            <w:tcBorders>
              <w:top w:val="nil"/>
              <w:left w:val="nil"/>
              <w:bottom w:val="nil"/>
              <w:right w:val="nil"/>
            </w:tcBorders>
          </w:tcPr>
          <w:p w14:paraId="0F1606B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w:t>
            </w:r>
          </w:p>
        </w:tc>
        <w:tc>
          <w:tcPr>
            <w:tcW w:w="3204" w:type="dxa"/>
            <w:tcBorders>
              <w:top w:val="nil"/>
              <w:left w:val="nil"/>
              <w:bottom w:val="nil"/>
              <w:right w:val="nil"/>
            </w:tcBorders>
          </w:tcPr>
          <w:p w14:paraId="5B0BFD2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72319970">
        <w:tblPrEx>
          <w:tblCellMar>
            <w:top w:w="0" w:type="dxa"/>
            <w:left w:w="0" w:type="dxa"/>
            <w:bottom w:w="0" w:type="dxa"/>
            <w:right w:w="0" w:type="dxa"/>
          </w:tblCellMar>
        </w:tblPrEx>
        <w:trPr>
          <w:trHeight w:val="257" w:hRule="exact"/>
        </w:trPr>
        <w:tc>
          <w:tcPr>
            <w:tcW w:w="3048" w:type="dxa"/>
            <w:tcBorders>
              <w:top w:val="nil"/>
              <w:left w:val="nil"/>
              <w:bottom w:val="nil"/>
              <w:right w:val="nil"/>
            </w:tcBorders>
          </w:tcPr>
          <w:p w14:paraId="7E54BD19">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Plućni edem</w:t>
            </w:r>
          </w:p>
        </w:tc>
        <w:tc>
          <w:tcPr>
            <w:tcW w:w="2820" w:type="dxa"/>
            <w:tcBorders>
              <w:top w:val="nil"/>
              <w:left w:val="nil"/>
              <w:bottom w:val="nil"/>
              <w:right w:val="nil"/>
            </w:tcBorders>
          </w:tcPr>
          <w:p w14:paraId="13E76EE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c>
          <w:tcPr>
            <w:tcW w:w="3204" w:type="dxa"/>
            <w:tcBorders>
              <w:top w:val="nil"/>
              <w:left w:val="nil"/>
              <w:bottom w:val="nil"/>
              <w:right w:val="nil"/>
            </w:tcBorders>
          </w:tcPr>
          <w:p w14:paraId="30957EE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w:t>
            </w:r>
          </w:p>
        </w:tc>
      </w:tr>
      <w:tr w14:paraId="01E621A3">
        <w:tblPrEx>
          <w:tblCellMar>
            <w:top w:w="0" w:type="dxa"/>
            <w:left w:w="0" w:type="dxa"/>
            <w:bottom w:w="0" w:type="dxa"/>
            <w:right w:w="0" w:type="dxa"/>
          </w:tblCellMar>
        </w:tblPrEx>
        <w:trPr>
          <w:trHeight w:val="259" w:hRule="exact"/>
        </w:trPr>
        <w:tc>
          <w:tcPr>
            <w:tcW w:w="3048" w:type="dxa"/>
            <w:tcBorders>
              <w:top w:val="nil"/>
              <w:left w:val="nil"/>
              <w:bottom w:val="nil"/>
              <w:right w:val="nil"/>
            </w:tcBorders>
          </w:tcPr>
          <w:p w14:paraId="73D848C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Hemoragija</w:t>
            </w:r>
          </w:p>
        </w:tc>
        <w:tc>
          <w:tcPr>
            <w:tcW w:w="2820" w:type="dxa"/>
            <w:tcBorders>
              <w:top w:val="nil"/>
              <w:left w:val="nil"/>
              <w:bottom w:val="nil"/>
              <w:right w:val="nil"/>
            </w:tcBorders>
          </w:tcPr>
          <w:p w14:paraId="4B6C2A0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204" w:type="dxa"/>
            <w:tcBorders>
              <w:top w:val="nil"/>
              <w:left w:val="nil"/>
              <w:bottom w:val="nil"/>
              <w:right w:val="nil"/>
            </w:tcBorders>
          </w:tcPr>
          <w:p w14:paraId="0F95D3A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r>
      <w:tr w14:paraId="2D551C19">
        <w:tblPrEx>
          <w:tblCellMar>
            <w:top w:w="0" w:type="dxa"/>
            <w:left w:w="0" w:type="dxa"/>
            <w:bottom w:w="0" w:type="dxa"/>
            <w:right w:w="0" w:type="dxa"/>
          </w:tblCellMar>
        </w:tblPrEx>
        <w:trPr>
          <w:trHeight w:val="369" w:hRule="exact"/>
        </w:trPr>
        <w:tc>
          <w:tcPr>
            <w:tcW w:w="3048" w:type="dxa"/>
            <w:tcBorders>
              <w:top w:val="nil"/>
              <w:left w:val="nil"/>
              <w:bottom w:val="single" w:color="000000" w:sz="4" w:space="0"/>
              <w:right w:val="nil"/>
            </w:tcBorders>
          </w:tcPr>
          <w:p w14:paraId="74A52DDF">
            <w:pPr>
              <w:widowControl w:val="0"/>
              <w:tabs>
                <w:tab w:val="clear" w:pos="284"/>
              </w:tabs>
              <w:ind w:left="15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Gastrointestinalno krvarenje</w:t>
            </w:r>
          </w:p>
        </w:tc>
        <w:tc>
          <w:tcPr>
            <w:tcW w:w="2820" w:type="dxa"/>
            <w:tcBorders>
              <w:top w:val="nil"/>
              <w:left w:val="nil"/>
              <w:bottom w:val="single" w:color="000000" w:sz="4" w:space="0"/>
              <w:right w:val="nil"/>
            </w:tcBorders>
          </w:tcPr>
          <w:p w14:paraId="7FDDC50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3204" w:type="dxa"/>
            <w:tcBorders>
              <w:top w:val="nil"/>
              <w:left w:val="nil"/>
              <w:bottom w:val="single" w:color="000000" w:sz="4" w:space="0"/>
              <w:right w:val="nil"/>
            </w:tcBorders>
          </w:tcPr>
          <w:p w14:paraId="79DCF94E">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w:t>
            </w:r>
          </w:p>
        </w:tc>
      </w:tr>
    </w:tbl>
    <w:p w14:paraId="3523C12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ispitivanja optimizacije doze faze 3 u populaciji liječenoj preporučenom početnom dozom od 140 mg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 (n=304) prijavlјeni nakon 2 godine praćenja u sklopu ispitivanja</w:t>
      </w:r>
    </w:p>
    <w:p w14:paraId="37B6A9E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b </w:t>
      </w:r>
      <w:r>
        <w:rPr>
          <w:rFonts w:ascii="Microsoft Sans Serif" w:hAnsi="Microsoft Sans Serif" w:cs="Microsoft Sans Serif"/>
          <w:sz w:val="20"/>
          <w:szCs w:val="20"/>
        </w:rPr>
        <w:t>Uklјučuje ventrikularnu disfunkciju, srčanu insuficijenciju, kongestivnu srčanu insuficijenciju, kardiomiopatiju, kongestivnu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kardiomiopatiju, dijastolnu disfunkciju, smanjenje ejekcione frakcije i insuficijenciju komora.</w:t>
      </w:r>
    </w:p>
    <w:p w14:paraId="759FB7A2">
      <w:pPr>
        <w:widowControl w:val="0"/>
        <w:tabs>
          <w:tab w:val="clear" w:pos="284"/>
        </w:tabs>
        <w:rPr>
          <w:rFonts w:ascii="Microsoft Sans Serif" w:hAnsi="Microsoft Sans Serif" w:cs="Microsoft Sans Serif"/>
          <w:b/>
          <w:sz w:val="20"/>
          <w:szCs w:val="20"/>
        </w:rPr>
      </w:pPr>
    </w:p>
    <w:p w14:paraId="39921CB6">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Dodatno</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z w:val="20"/>
          <w:szCs w:val="20"/>
          <w:lang w:val="sr-Cyrl-RS"/>
        </w:rPr>
        <w:t>s</w:t>
      </w:r>
      <w:r>
        <w:rPr>
          <w:rFonts w:ascii="Microsoft Sans Serif" w:hAnsi="Microsoft Sans Serif" w:eastAsia="Calibri" w:cs="Microsoft Sans Serif"/>
          <w:sz w:val="20"/>
          <w:szCs w:val="20"/>
        </w:rPr>
        <w:t>provedena su dva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ukupno 161 </w:t>
      </w:r>
      <w:r>
        <w:rPr>
          <w:rFonts w:ascii="Microsoft Sans Serif" w:hAnsi="Microsoft Sans Serif" w:eastAsia="Calibri" w:cs="Microsoft Sans Serif"/>
          <w:sz w:val="20"/>
          <w:szCs w:val="20"/>
          <w:lang w:val="mk-MK"/>
        </w:rPr>
        <w:t xml:space="preserve">pedijatrijskim </w:t>
      </w:r>
      <w:r>
        <w:rPr>
          <w:rFonts w:ascii="Microsoft Sans Serif" w:hAnsi="Microsoft Sans Serif" w:eastAsia="Calibri" w:cs="Microsoft Sans Serif"/>
          <w:sz w:val="20"/>
          <w:szCs w:val="20"/>
        </w:rPr>
        <w:t>pacijent</w:t>
      </w:r>
      <w:r>
        <w:rPr>
          <w:rFonts w:ascii="Microsoft Sans Serif" w:hAnsi="Microsoft Sans Serif" w:eastAsia="Calibri" w:cs="Microsoft Sans Serif"/>
          <w:sz w:val="20"/>
          <w:szCs w:val="20"/>
          <w:lang w:val="mk-MK"/>
        </w:rPr>
        <w:t>ima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koji su primali dasatinib u kombinaciji sa </w:t>
      </w:r>
      <w:r>
        <w:rPr>
          <w:rFonts w:ascii="Microsoft Sans Serif" w:hAnsi="Microsoft Sans Serif" w:eastAsia="Calibri" w:cs="Microsoft Sans Serif"/>
          <w:sz w:val="20"/>
          <w:szCs w:val="20"/>
          <w:lang w:val="sr-Cyrl-RS"/>
        </w:rPr>
        <w:t>h</w:t>
      </w:r>
      <w:r>
        <w:rPr>
          <w:rFonts w:ascii="Microsoft Sans Serif" w:hAnsi="Microsoft Sans Serif" w:eastAsia="Calibri" w:cs="Microsoft Sans Serif"/>
          <w:sz w:val="20"/>
          <w:szCs w:val="20"/>
        </w:rPr>
        <w:t>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U pivotalnom ispitivanju </w:t>
      </w:r>
      <w:r>
        <w:rPr>
          <w:rFonts w:ascii="Microsoft Sans Serif" w:hAnsi="Microsoft Sans Serif" w:eastAsia="Calibri" w:cs="Microsoft Sans Serif"/>
          <w:sz w:val="20"/>
          <w:szCs w:val="20"/>
          <w:lang w:val="sr-Cyrl-RS"/>
        </w:rPr>
        <w:t xml:space="preserve">je </w:t>
      </w:r>
      <w:r>
        <w:rPr>
          <w:rFonts w:ascii="Microsoft Sans Serif" w:hAnsi="Microsoft Sans Serif" w:eastAsia="Calibri" w:cs="Microsoft Sans Serif"/>
          <w:sz w:val="20"/>
          <w:szCs w:val="20"/>
        </w:rPr>
        <w:t>učestvovalo 106 pedijatrijskih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koji su primali 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potpornom ispitivanju, u kom je učestvovalo 55 pedijatrijskih pacijenata, njih 35 primalo je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dasatinib u kombinaciji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 xml:space="preserve">oterapijom prema režimu isprekidane primjene (dvije nedelјe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zatim jednu do dvije nedelјe bez </w:t>
      </w:r>
      <w:r>
        <w:rPr>
          <w:rFonts w:ascii="Microsoft Sans Serif" w:hAnsi="Microsoft Sans Serif" w:eastAsia="Calibri" w:cs="Microsoft Sans Serif"/>
          <w:sz w:val="20"/>
          <w:szCs w:val="20"/>
          <w:lang w:val="mk-MK"/>
        </w:rPr>
        <w:t>terapije</w:t>
      </w:r>
      <w:r>
        <w:rPr>
          <w:rFonts w:ascii="Microsoft Sans Serif" w:hAnsi="Microsoft Sans Serif" w:eastAsia="Calibri" w:cs="Microsoft Sans Serif"/>
          <w:sz w:val="20"/>
          <w:szCs w:val="20"/>
        </w:rPr>
        <w:t>), dok je 20 pacijenata primalo dasatinib u kombinaciji s</w:t>
      </w:r>
      <w:r>
        <w:rPr>
          <w:rFonts w:ascii="Microsoft Sans Serif" w:hAnsi="Microsoft Sans Serif" w:eastAsia="Calibri" w:cs="Microsoft Sans Serif"/>
          <w:sz w:val="20"/>
          <w:szCs w:val="20"/>
          <w:lang w:val="sr-Cyrl-RS"/>
        </w:rPr>
        <w:t xml:space="preserve">a </w:t>
      </w:r>
      <w:r>
        <w:rPr>
          <w:rFonts w:ascii="Microsoft Sans Serif" w:hAnsi="Microsoft Sans Serif" w:eastAsia="Calibri" w:cs="Microsoft Sans Serif"/>
          <w:sz w:val="20"/>
          <w:szCs w:val="20"/>
        </w:rPr>
        <w:t>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prema režimu kontinuirane primjene. Medijan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trajanja liječenja među 126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lijekom dasatinib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iznosila je 23,6 mjeseca (raspon 1,4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33 mjeseca).</w:t>
      </w:r>
    </w:p>
    <w:p w14:paraId="107EC8D8">
      <w:pPr>
        <w:widowControl w:val="0"/>
        <w:tabs>
          <w:tab w:val="clear" w:pos="284"/>
        </w:tabs>
        <w:rPr>
          <w:rFonts w:ascii="Microsoft Sans Serif" w:hAnsi="Microsoft Sans Serif" w:eastAsia="Calibri" w:cs="Microsoft Sans Serif"/>
          <w:sz w:val="20"/>
          <w:szCs w:val="20"/>
        </w:rPr>
      </w:pPr>
    </w:p>
    <w:p w14:paraId="3564360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Od 126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liječenih prema re</w:t>
      </w:r>
      <w:r>
        <w:rPr>
          <w:rFonts w:ascii="Microsoft Sans Serif" w:hAnsi="Microsoft Sans Serif" w:eastAsia="Calibri" w:cs="Microsoft Sans Serif"/>
          <w:sz w:val="20"/>
          <w:szCs w:val="20"/>
          <w:lang w:val="sr-Cyrl-RS"/>
        </w:rPr>
        <w:t>ž</w:t>
      </w:r>
      <w:r>
        <w:rPr>
          <w:rFonts w:ascii="Microsoft Sans Serif" w:hAnsi="Microsoft Sans Serif" w:eastAsia="Calibri" w:cs="Microsoft Sans Serif"/>
          <w:sz w:val="20"/>
          <w:szCs w:val="20"/>
        </w:rPr>
        <w:t>imu kontinuirane primjene, 2 (1,6%)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pacijenta imala su neželјena djelovanja koje su dovela do prekida liječenja. Neželјena djelovanja prijavlјene u ta dva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pedijatrijska ispitivanja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učestalošću od </w:t>
      </w:r>
      <w:r>
        <w:rPr>
          <w:rFonts w:eastAsia="Calibri"/>
          <w:szCs w:val="22"/>
        </w:rPr>
        <w:t>≥</w:t>
      </w:r>
      <w:r>
        <w:rPr>
          <w:rFonts w:ascii="Microsoft Sans Serif" w:hAnsi="Microsoft Sans Serif" w:eastAsia="Calibri" w:cs="Microsoft Sans Serif"/>
          <w:sz w:val="20"/>
          <w:szCs w:val="20"/>
        </w:rPr>
        <w:t>10% kod pacijenata liječenih prema režimu kontinuirane</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primjene prikazane su u Tabeli </w:t>
      </w:r>
      <w:r>
        <w:rPr>
          <w:rFonts w:ascii="Microsoft Sans Serif" w:hAnsi="Microsoft Sans Serif" w:eastAsia="Calibri" w:cs="Microsoft Sans Serif"/>
          <w:sz w:val="20"/>
          <w:szCs w:val="20"/>
          <w:lang w:val="sr-Latn-RS"/>
        </w:rPr>
        <w:t>7</w:t>
      </w:r>
      <w:r>
        <w:rPr>
          <w:rFonts w:ascii="Microsoft Sans Serif" w:hAnsi="Microsoft Sans Serif" w:eastAsia="Calibri" w:cs="Microsoft Sans Serif"/>
          <w:sz w:val="20"/>
          <w:szCs w:val="20"/>
        </w:rPr>
        <w:t>. Treba napomenuti da je pleuralni izliv prijavlјen kod 7 (5,6%)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toj grupi i stoga nije uklјučen u tabelu.</w:t>
      </w:r>
    </w:p>
    <w:p w14:paraId="6CCF6599">
      <w:pPr>
        <w:widowControl w:val="0"/>
        <w:tabs>
          <w:tab w:val="clear" w:pos="284"/>
        </w:tabs>
        <w:rPr>
          <w:rFonts w:ascii="Microsoft Sans Serif" w:hAnsi="Microsoft Sans Serif" w:eastAsia="Calibri" w:cs="Microsoft Sans Serif"/>
          <w:sz w:val="20"/>
          <w:szCs w:val="20"/>
        </w:rPr>
      </w:pPr>
    </w:p>
    <w:p w14:paraId="6B799F3B">
      <w:pPr>
        <w:widowControl w:val="0"/>
        <w:tabs>
          <w:tab w:val="left" w:pos="1260"/>
          <w:tab w:val="clear" w:pos="284"/>
        </w:tabs>
        <w:rPr>
          <w:rFonts w:ascii="Microsoft Sans Serif" w:hAnsi="Microsoft Sans Serif" w:cs="Microsoft Sans Serif"/>
          <w:bCs/>
          <w:sz w:val="20"/>
          <w:szCs w:val="20"/>
          <w:vertAlign w:val="superscript"/>
        </w:rPr>
      </w:pPr>
      <w:r>
        <w:rPr>
          <w:rFonts w:ascii="Microsoft Sans Serif" w:hAnsi="Microsoft Sans Serif" w:cs="Microsoft Sans Serif"/>
          <w:b/>
          <w:bCs/>
          <w:sz w:val="20"/>
          <w:szCs w:val="20"/>
        </w:rPr>
        <w:t xml:space="preserve">Tabela </w:t>
      </w:r>
      <w:r>
        <w:rPr>
          <w:rFonts w:ascii="Microsoft Sans Serif" w:hAnsi="Microsoft Sans Serif" w:cs="Microsoft Sans Serif"/>
          <w:b/>
          <w:bCs/>
          <w:sz w:val="20"/>
          <w:szCs w:val="20"/>
          <w:lang w:val="sr-Latn-RS"/>
        </w:rPr>
        <w:t>7</w:t>
      </w:r>
      <w:r>
        <w:rPr>
          <w:rFonts w:ascii="Microsoft Sans Serif" w:hAnsi="Microsoft Sans Serif" w:cs="Microsoft Sans Serif"/>
          <w:b/>
          <w:bCs/>
          <w:sz w:val="20"/>
          <w:szCs w:val="20"/>
        </w:rPr>
        <w:t>: Neželјena djelovanja prijavlјene u ≥ 10% pedijatrijskih pacijenata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rPr>
        <w:t xml:space="preserve"> Ph+ ALL liječenih lijekom </w:t>
      </w:r>
      <w:r>
        <w:rPr>
          <w:rFonts w:ascii="Microsoft Sans Serif" w:hAnsi="Microsoft Sans Serif" w:cs="Microsoft Sans Serif"/>
          <w:b/>
          <w:bCs/>
          <w:sz w:val="20"/>
          <w:szCs w:val="20"/>
          <w:lang w:val="sr-Cyrl-RS"/>
        </w:rPr>
        <w:t>dasatinib</w:t>
      </w:r>
      <w:r>
        <w:rPr>
          <w:rFonts w:ascii="Microsoft Sans Serif" w:hAnsi="Microsoft Sans Serif" w:cs="Microsoft Sans Serif"/>
          <w:b/>
          <w:bCs/>
          <w:sz w:val="20"/>
          <w:szCs w:val="20"/>
        </w:rPr>
        <w:t xml:space="preserve"> prema režimu kontinuirane primjene u kombinaciji s</w:t>
      </w:r>
      <w:r>
        <w:rPr>
          <w:rFonts w:ascii="Microsoft Sans Serif" w:hAnsi="Microsoft Sans Serif" w:cs="Microsoft Sans Serif"/>
          <w:b/>
          <w:bCs/>
          <w:sz w:val="20"/>
          <w:szCs w:val="20"/>
          <w:lang w:val="sr-Cyrl-RS"/>
        </w:rPr>
        <w:t xml:space="preserve">a </w:t>
      </w:r>
      <w:r>
        <w:rPr>
          <w:rFonts w:ascii="Microsoft Sans Serif" w:hAnsi="Microsoft Sans Serif" w:cs="Microsoft Sans Serif"/>
          <w:b/>
          <w:bCs/>
          <w:sz w:val="20"/>
          <w:szCs w:val="20"/>
        </w:rPr>
        <w:t>hem</w:t>
      </w: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oterapijom (N=126)</w:t>
      </w:r>
      <w:r>
        <w:rPr>
          <w:rFonts w:ascii="Microsoft Sans Serif" w:hAnsi="Microsoft Sans Serif" w:cs="Microsoft Sans Serif"/>
          <w:bCs/>
          <w:sz w:val="20"/>
          <w:szCs w:val="20"/>
          <w:vertAlign w:val="superscript"/>
        </w:rPr>
        <w:t>a</w:t>
      </w:r>
    </w:p>
    <w:tbl>
      <w:tblPr>
        <w:tblStyle w:val="12"/>
        <w:tblW w:w="9072" w:type="dxa"/>
        <w:tblInd w:w="0" w:type="dxa"/>
        <w:tblLayout w:type="fixed"/>
        <w:tblCellMar>
          <w:top w:w="0" w:type="dxa"/>
          <w:left w:w="0" w:type="dxa"/>
          <w:bottom w:w="0" w:type="dxa"/>
          <w:right w:w="0" w:type="dxa"/>
        </w:tblCellMar>
      </w:tblPr>
      <w:tblGrid>
        <w:gridCol w:w="3040"/>
        <w:gridCol w:w="2681"/>
        <w:gridCol w:w="3351"/>
      </w:tblGrid>
      <w:tr w14:paraId="41588881">
        <w:tblPrEx>
          <w:tblCellMar>
            <w:top w:w="0" w:type="dxa"/>
            <w:left w:w="0" w:type="dxa"/>
            <w:bottom w:w="0" w:type="dxa"/>
            <w:right w:w="0" w:type="dxa"/>
          </w:tblCellMar>
        </w:tblPrEx>
        <w:trPr>
          <w:trHeight w:val="337" w:hRule="exact"/>
        </w:trPr>
        <w:tc>
          <w:tcPr>
            <w:tcW w:w="9072" w:type="dxa"/>
            <w:gridSpan w:val="3"/>
            <w:tcBorders>
              <w:top w:val="single" w:color="000000" w:sz="4" w:space="0"/>
              <w:left w:val="nil"/>
              <w:bottom w:val="nil"/>
              <w:right w:val="nil"/>
            </w:tcBorders>
          </w:tcPr>
          <w:p w14:paraId="7D2CF8FA">
            <w:pPr>
              <w:widowControl w:val="0"/>
              <w:tabs>
                <w:tab w:val="clear" w:pos="284"/>
              </w:tabs>
              <w:jc w:val="center"/>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Procenat</w:t>
            </w:r>
            <w:r>
              <w:rPr>
                <w:rFonts w:ascii="Microsoft Sans Serif" w:hAnsi="Microsoft Sans Serif" w:cs="Microsoft Sans Serif"/>
                <w:b/>
                <w:bCs/>
                <w:sz w:val="20"/>
                <w:szCs w:val="20"/>
              </w:rPr>
              <w:t xml:space="preserve"> (%) pacijenata</w:t>
            </w:r>
          </w:p>
        </w:tc>
      </w:tr>
      <w:tr w14:paraId="4E490B3C">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7C799619">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Neželјene reakcije</w:t>
            </w:r>
          </w:p>
        </w:tc>
        <w:tc>
          <w:tcPr>
            <w:tcW w:w="2681" w:type="dxa"/>
            <w:tcBorders>
              <w:top w:val="single" w:color="000000" w:sz="4" w:space="0"/>
              <w:left w:val="nil"/>
              <w:bottom w:val="nil"/>
              <w:right w:val="nil"/>
            </w:tcBorders>
          </w:tcPr>
          <w:p w14:paraId="5F804A1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Svi stepeni</w:t>
            </w:r>
          </w:p>
        </w:tc>
        <w:tc>
          <w:tcPr>
            <w:tcW w:w="3351" w:type="dxa"/>
            <w:tcBorders>
              <w:top w:val="single" w:color="000000" w:sz="4" w:space="0"/>
              <w:left w:val="nil"/>
              <w:bottom w:val="nil"/>
              <w:right w:val="nil"/>
            </w:tcBorders>
          </w:tcPr>
          <w:p w14:paraId="57A775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b/>
                <w:bCs/>
                <w:sz w:val="20"/>
                <w:szCs w:val="20"/>
                <w:lang w:val="sr-Cyrl-RS"/>
              </w:rPr>
              <w:t>Stepen</w:t>
            </w:r>
            <w:r>
              <w:rPr>
                <w:rFonts w:ascii="Microsoft Sans Serif" w:hAnsi="Microsoft Sans Serif" w:cs="Microsoft Sans Serif"/>
                <w:b/>
                <w:bCs/>
                <w:sz w:val="20"/>
                <w:szCs w:val="20"/>
              </w:rPr>
              <w:t xml:space="preserve"> 3/4</w:t>
            </w:r>
          </w:p>
        </w:tc>
      </w:tr>
      <w:tr w14:paraId="7BBA3499">
        <w:tblPrEx>
          <w:tblCellMar>
            <w:top w:w="0" w:type="dxa"/>
            <w:left w:w="0" w:type="dxa"/>
            <w:bottom w:w="0" w:type="dxa"/>
            <w:right w:w="0" w:type="dxa"/>
          </w:tblCellMar>
        </w:tblPrEx>
        <w:trPr>
          <w:trHeight w:val="271" w:hRule="exact"/>
        </w:trPr>
        <w:tc>
          <w:tcPr>
            <w:tcW w:w="3040" w:type="dxa"/>
            <w:tcBorders>
              <w:top w:val="single" w:color="000000" w:sz="4" w:space="0"/>
              <w:left w:val="nil"/>
              <w:bottom w:val="nil"/>
              <w:right w:val="nil"/>
            </w:tcBorders>
          </w:tcPr>
          <w:p w14:paraId="6340DC7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Febrilna neutropenija</w:t>
            </w:r>
          </w:p>
        </w:tc>
        <w:tc>
          <w:tcPr>
            <w:tcW w:w="2681" w:type="dxa"/>
            <w:tcBorders>
              <w:top w:val="single" w:color="000000" w:sz="4" w:space="0"/>
              <w:left w:val="nil"/>
              <w:bottom w:val="nil"/>
              <w:right w:val="nil"/>
            </w:tcBorders>
          </w:tcPr>
          <w:p w14:paraId="4A5732C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27.0</w:t>
            </w:r>
          </w:p>
        </w:tc>
        <w:tc>
          <w:tcPr>
            <w:tcW w:w="3351" w:type="dxa"/>
            <w:tcBorders>
              <w:top w:val="single" w:color="000000" w:sz="4" w:space="0"/>
              <w:left w:val="nil"/>
              <w:bottom w:val="nil"/>
              <w:right w:val="nil"/>
            </w:tcBorders>
          </w:tcPr>
          <w:p w14:paraId="0E44AD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26.2</w:t>
            </w:r>
          </w:p>
        </w:tc>
      </w:tr>
      <w:tr w14:paraId="3A0B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3180BD8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Mučnina</w:t>
            </w:r>
          </w:p>
        </w:tc>
        <w:tc>
          <w:tcPr>
            <w:tcW w:w="2681" w:type="dxa"/>
            <w:tcBorders>
              <w:top w:val="nil"/>
              <w:left w:val="nil"/>
              <w:bottom w:val="nil"/>
              <w:right w:val="nil"/>
            </w:tcBorders>
          </w:tcPr>
          <w:p w14:paraId="32F4C0A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7290DA1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13971904">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A309D7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Povraćanje</w:t>
            </w:r>
          </w:p>
        </w:tc>
        <w:tc>
          <w:tcPr>
            <w:tcW w:w="2681" w:type="dxa"/>
            <w:tcBorders>
              <w:top w:val="nil"/>
              <w:left w:val="nil"/>
              <w:bottom w:val="nil"/>
              <w:right w:val="nil"/>
            </w:tcBorders>
          </w:tcPr>
          <w:p w14:paraId="1614EE9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20.6</w:t>
            </w:r>
          </w:p>
        </w:tc>
        <w:tc>
          <w:tcPr>
            <w:tcW w:w="3351" w:type="dxa"/>
            <w:tcBorders>
              <w:top w:val="nil"/>
              <w:left w:val="nil"/>
              <w:bottom w:val="nil"/>
              <w:right w:val="nil"/>
            </w:tcBorders>
          </w:tcPr>
          <w:p w14:paraId="3C11D7F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DE442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6A772B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abdomenu</w:t>
            </w:r>
          </w:p>
        </w:tc>
        <w:tc>
          <w:tcPr>
            <w:tcW w:w="2681" w:type="dxa"/>
            <w:tcBorders>
              <w:top w:val="nil"/>
              <w:left w:val="nil"/>
              <w:bottom w:val="nil"/>
              <w:right w:val="nil"/>
            </w:tcBorders>
          </w:tcPr>
          <w:p w14:paraId="00E89C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14.3</w:t>
            </w:r>
          </w:p>
        </w:tc>
        <w:tc>
          <w:tcPr>
            <w:tcW w:w="3351" w:type="dxa"/>
            <w:tcBorders>
              <w:top w:val="nil"/>
              <w:left w:val="nil"/>
              <w:bottom w:val="nil"/>
              <w:right w:val="nil"/>
            </w:tcBorders>
          </w:tcPr>
          <w:p w14:paraId="76BBCE3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3.2</w:t>
            </w:r>
          </w:p>
        </w:tc>
      </w:tr>
      <w:tr w14:paraId="6B83360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58DE823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w:t>
            </w:r>
          </w:p>
        </w:tc>
        <w:tc>
          <w:tcPr>
            <w:tcW w:w="2681" w:type="dxa"/>
            <w:tcBorders>
              <w:top w:val="nil"/>
              <w:left w:val="nil"/>
              <w:bottom w:val="nil"/>
              <w:right w:val="nil"/>
            </w:tcBorders>
          </w:tcPr>
          <w:p w14:paraId="6B359D77">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02E6CE4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3F32FAC">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23BBAC85">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2681" w:type="dxa"/>
            <w:tcBorders>
              <w:top w:val="nil"/>
              <w:left w:val="nil"/>
              <w:bottom w:val="nil"/>
              <w:right w:val="nil"/>
            </w:tcBorders>
          </w:tcPr>
          <w:p w14:paraId="71D620F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12.7</w:t>
            </w:r>
          </w:p>
        </w:tc>
        <w:tc>
          <w:tcPr>
            <w:tcW w:w="3351" w:type="dxa"/>
            <w:tcBorders>
              <w:top w:val="nil"/>
              <w:left w:val="nil"/>
              <w:bottom w:val="nil"/>
              <w:right w:val="nil"/>
            </w:tcBorders>
          </w:tcPr>
          <w:p w14:paraId="3EBA80F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5.6</w:t>
            </w:r>
          </w:p>
        </w:tc>
      </w:tr>
      <w:tr w14:paraId="31D24781">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7378911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681" w:type="dxa"/>
            <w:tcBorders>
              <w:top w:val="nil"/>
              <w:left w:val="nil"/>
              <w:bottom w:val="nil"/>
              <w:right w:val="nil"/>
            </w:tcBorders>
          </w:tcPr>
          <w:p w14:paraId="7362A3E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11.1</w:t>
            </w:r>
          </w:p>
        </w:tc>
        <w:tc>
          <w:tcPr>
            <w:tcW w:w="3351" w:type="dxa"/>
            <w:tcBorders>
              <w:top w:val="nil"/>
              <w:left w:val="nil"/>
              <w:bottom w:val="nil"/>
              <w:right w:val="nil"/>
            </w:tcBorders>
          </w:tcPr>
          <w:p w14:paraId="2A37981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56BBC880">
        <w:tblPrEx>
          <w:tblCellMar>
            <w:top w:w="0" w:type="dxa"/>
            <w:left w:w="0" w:type="dxa"/>
            <w:bottom w:w="0" w:type="dxa"/>
            <w:right w:w="0" w:type="dxa"/>
          </w:tblCellMar>
        </w:tblPrEx>
        <w:trPr>
          <w:trHeight w:val="261" w:hRule="exact"/>
        </w:trPr>
        <w:tc>
          <w:tcPr>
            <w:tcW w:w="3040" w:type="dxa"/>
            <w:tcBorders>
              <w:top w:val="nil"/>
              <w:left w:val="nil"/>
              <w:bottom w:val="nil"/>
              <w:right w:val="nil"/>
            </w:tcBorders>
          </w:tcPr>
          <w:p w14:paraId="6B0DEC9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p>
        </w:tc>
        <w:tc>
          <w:tcPr>
            <w:tcW w:w="2681" w:type="dxa"/>
            <w:tcBorders>
              <w:top w:val="nil"/>
              <w:left w:val="nil"/>
              <w:bottom w:val="nil"/>
              <w:right w:val="nil"/>
            </w:tcBorders>
          </w:tcPr>
          <w:p w14:paraId="103A36B3">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nil"/>
              <w:right w:val="nil"/>
            </w:tcBorders>
          </w:tcPr>
          <w:p w14:paraId="24511C6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4.8</w:t>
            </w:r>
          </w:p>
        </w:tc>
      </w:tr>
      <w:tr w14:paraId="18D3428A">
        <w:tblPrEx>
          <w:tblCellMar>
            <w:top w:w="0" w:type="dxa"/>
            <w:left w:w="0" w:type="dxa"/>
            <w:bottom w:w="0" w:type="dxa"/>
            <w:right w:w="0" w:type="dxa"/>
          </w:tblCellMar>
        </w:tblPrEx>
        <w:trPr>
          <w:trHeight w:val="260" w:hRule="exact"/>
        </w:trPr>
        <w:tc>
          <w:tcPr>
            <w:tcW w:w="3040" w:type="dxa"/>
            <w:tcBorders>
              <w:top w:val="nil"/>
              <w:left w:val="nil"/>
              <w:bottom w:val="single" w:color="000000" w:sz="4" w:space="0"/>
              <w:right w:val="nil"/>
            </w:tcBorders>
          </w:tcPr>
          <w:p w14:paraId="7D07C6F7">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p>
        </w:tc>
        <w:tc>
          <w:tcPr>
            <w:tcW w:w="2681" w:type="dxa"/>
            <w:tcBorders>
              <w:top w:val="nil"/>
              <w:left w:val="nil"/>
              <w:bottom w:val="single" w:color="000000" w:sz="4" w:space="0"/>
              <w:right w:val="nil"/>
            </w:tcBorders>
          </w:tcPr>
          <w:p w14:paraId="2E68E43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351" w:type="dxa"/>
            <w:tcBorders>
              <w:top w:val="nil"/>
              <w:left w:val="nil"/>
              <w:bottom w:val="single" w:color="000000" w:sz="4" w:space="0"/>
              <w:right w:val="nil"/>
            </w:tcBorders>
          </w:tcPr>
          <w:p w14:paraId="0908272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7BAC5829">
      <w:pPr>
        <w:widowControl w:val="0"/>
        <w:tabs>
          <w:tab w:val="left" w:pos="1260"/>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Od ukupno 106 pacijenata u pivotalnom ispitivanju, 24 pacijenta primila su prašak za oralnu suspenziju 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dok je njih 8 primalo isklјučivo prašak za oralnu suspenziju.</w:t>
      </w:r>
    </w:p>
    <w:p w14:paraId="2B0DA2A3">
      <w:pPr>
        <w:widowControl w:val="0"/>
        <w:tabs>
          <w:tab w:val="clear" w:pos="284"/>
        </w:tabs>
        <w:rPr>
          <w:rFonts w:ascii="Microsoft Sans Serif" w:hAnsi="Microsoft Sans Serif" w:cs="Microsoft Sans Serif"/>
          <w:sz w:val="20"/>
          <w:szCs w:val="20"/>
        </w:rPr>
      </w:pPr>
    </w:p>
    <w:p w14:paraId="452520D4">
      <w:pPr>
        <w:widowControl w:val="0"/>
        <w:tabs>
          <w:tab w:val="clear" w:pos="284"/>
        </w:tabs>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Poremećaji laboratorijskih nalaza</w:t>
      </w:r>
    </w:p>
    <w:p w14:paraId="3C694825">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rPr>
        <w:t>Hematologija</w:t>
      </w:r>
    </w:p>
    <w:p w14:paraId="2E01993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ispitivanju faze III novodijagnostikovane HML u </w:t>
      </w:r>
      <w:r>
        <w:rPr>
          <w:rFonts w:ascii="Microsoft Sans Serif" w:hAnsi="Microsoft Sans Serif" w:cs="Microsoft Sans Serif"/>
          <w:sz w:val="20"/>
          <w:szCs w:val="20"/>
          <w:lang w:val="sr-Cyrl-RS"/>
        </w:rPr>
        <w:t>h</w:t>
      </w:r>
      <w:r>
        <w:rPr>
          <w:rFonts w:ascii="Microsoft Sans Serif" w:hAnsi="Microsoft Sans Serif" w:cs="Microsoft Sans Serif"/>
          <w:sz w:val="20"/>
          <w:szCs w:val="20"/>
        </w:rPr>
        <w:t>roničnoj fazi, nakon najmanje 12 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praćenja bili su zabilježeni sljedeći poremećaji laboratorijskih nalaza 3. i 4. stepena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 uzimali dasatinib: neutropenija (21%), trombocitopenija (19%) i anemija (10%). Nakon 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60 mjeseci praćenja, kumulativna stopa pojave neutropenije bila je 29%, trombocitopenije 22%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anemije 13%.</w:t>
      </w:r>
    </w:p>
    <w:p w14:paraId="5DD64EA0">
      <w:pPr>
        <w:widowControl w:val="0"/>
        <w:tabs>
          <w:tab w:val="clear" w:pos="284"/>
        </w:tabs>
        <w:rPr>
          <w:rFonts w:ascii="Microsoft Sans Serif" w:hAnsi="Microsoft Sans Serif" w:cs="Microsoft Sans Serif"/>
          <w:sz w:val="20"/>
          <w:szCs w:val="20"/>
        </w:rPr>
      </w:pPr>
    </w:p>
    <w:p w14:paraId="0E5EE04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Nakon najmanje 12 mjeseci praćenja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novodijagnostikovanom HML u hroničnoj fazi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liječenih dasatinibom kod kojih se razvila mijelosupresija 3. ili 4. stepena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rPr>
        <w:t>oporavka je 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došlo nakon kratkog prekida terapije i/ili nakon smanjenja doze lijeka, dok je do trajnog 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liječenja došlo kod 1,6% pacijenata. Nakon najmanje 60 mjeseci praćenja kumulativna stopa 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 liječenja zbog mijelosupresije 3. ili 4. stepena bila je 2,3%.</w:t>
      </w:r>
    </w:p>
    <w:p w14:paraId="6A459192">
      <w:pPr>
        <w:widowControl w:val="0"/>
        <w:tabs>
          <w:tab w:val="clear" w:pos="284"/>
        </w:tabs>
        <w:rPr>
          <w:rFonts w:ascii="Microsoft Sans Serif" w:hAnsi="Microsoft Sans Serif" w:cs="Microsoft Sans Serif"/>
          <w:sz w:val="20"/>
          <w:szCs w:val="20"/>
          <w:lang w:val="sr-Cyrl-RS"/>
        </w:rPr>
      </w:pPr>
    </w:p>
    <w:p w14:paraId="68CE670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HML koji su rezistentni </w:t>
      </w:r>
      <w:r>
        <w:rPr>
          <w:rFonts w:ascii="Microsoft Sans Serif" w:hAnsi="Microsoft Sans Serif" w:cs="Microsoft Sans Serif"/>
          <w:sz w:val="20"/>
          <w:szCs w:val="20"/>
          <w:lang w:val="mk-MK"/>
        </w:rPr>
        <w:t xml:space="preserve">ili </w:t>
      </w:r>
      <w:r>
        <w:rPr>
          <w:rFonts w:ascii="Microsoft Sans Serif" w:hAnsi="Microsoft Sans Serif" w:cs="Microsoft Sans Serif"/>
          <w:sz w:val="20"/>
          <w:szCs w:val="20"/>
        </w:rPr>
        <w:t>ne podnose prethodnu terapiju 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citopenije (trombocitopenija, neutropenija i anemija) su bile konzistentan nalaz. Međutim, 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citopenija takođe je jasno zavisio o</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 xml:space="preserve"> stadiju</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bolesti. Učestalost hematoloških poremećaja 3. ili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stepena prikazana je u Tabeli </w:t>
      </w:r>
      <w:r>
        <w:rPr>
          <w:rFonts w:ascii="Microsoft Sans Serif" w:hAnsi="Microsoft Sans Serif" w:cs="Microsoft Sans Serif"/>
          <w:sz w:val="20"/>
          <w:szCs w:val="20"/>
          <w:lang w:val="sr-Latn-RS"/>
        </w:rPr>
        <w:t>8</w:t>
      </w:r>
      <w:r>
        <w:rPr>
          <w:rFonts w:ascii="Microsoft Sans Serif" w:hAnsi="Microsoft Sans Serif" w:cs="Microsoft Sans Serif"/>
          <w:sz w:val="20"/>
          <w:szCs w:val="20"/>
        </w:rPr>
        <w:t>.</w:t>
      </w:r>
    </w:p>
    <w:p w14:paraId="6EA6B4B6">
      <w:pPr>
        <w:widowControl w:val="0"/>
        <w:tabs>
          <w:tab w:val="clear" w:pos="284"/>
        </w:tabs>
        <w:rPr>
          <w:rFonts w:ascii="Microsoft Sans Serif" w:hAnsi="Microsoft Sans Serif" w:eastAsia="Calibri" w:cs="Microsoft Sans Serif"/>
          <w:sz w:val="20"/>
          <w:szCs w:val="20"/>
        </w:rPr>
      </w:pPr>
    </w:p>
    <w:p w14:paraId="0C6F9B1D">
      <w:pPr>
        <w:widowControl w:val="0"/>
        <w:tabs>
          <w:tab w:val="clear" w:pos="284"/>
        </w:tabs>
        <w:rPr>
          <w:rFonts w:ascii="Microsoft Sans Serif" w:hAnsi="Microsoft Sans Serif" w:eastAsia="Calibri" w:cs="Microsoft Sans Serif"/>
          <w:b/>
          <w:sz w:val="20"/>
          <w:szCs w:val="20"/>
          <w:vertAlign w:val="superscript"/>
          <w:lang w:val="sr-Cyrl-RS"/>
        </w:rPr>
      </w:pPr>
      <w:r>
        <w:rPr>
          <w:rFonts w:ascii="Microsoft Sans Serif" w:hAnsi="Microsoft Sans Serif" w:eastAsia="Calibri" w:cs="Microsoft Sans Serif"/>
          <w:b/>
          <w:sz w:val="20"/>
          <w:szCs w:val="20"/>
        </w:rPr>
        <w:t xml:space="preserve">Tabela </w:t>
      </w:r>
      <w:r>
        <w:rPr>
          <w:rFonts w:ascii="Microsoft Sans Serif" w:hAnsi="Microsoft Sans Serif" w:eastAsia="Calibri" w:cs="Microsoft Sans Serif"/>
          <w:b/>
          <w:sz w:val="20"/>
          <w:szCs w:val="20"/>
          <w:lang w:val="sr-Latn-RS"/>
        </w:rPr>
        <w:t>8</w:t>
      </w:r>
      <w:r>
        <w:rPr>
          <w:rFonts w:ascii="Microsoft Sans Serif" w:hAnsi="Microsoft Sans Serif" w:eastAsia="Calibri" w:cs="Microsoft Sans Serif"/>
          <w:b/>
          <w:sz w:val="20"/>
          <w:szCs w:val="20"/>
        </w:rPr>
        <w:t>: Hematološki laboratorijski poremećaji 3/4 CTC stepena u kliničkim ispitivanjima</w:t>
      </w:r>
      <w:r>
        <w:rPr>
          <w:rFonts w:ascii="Microsoft Sans Serif" w:hAnsi="Microsoft Sans Serif" w:eastAsia="Calibri" w:cs="Microsoft Sans Serif"/>
          <w:b/>
          <w:sz w:val="20"/>
          <w:szCs w:val="20"/>
          <w:lang w:val="sr-Cyrl-RS"/>
        </w:rPr>
        <w:t xml:space="preserve"> </w:t>
      </w:r>
      <w:r>
        <w:rPr>
          <w:rFonts w:ascii="Microsoft Sans Serif" w:hAnsi="Microsoft Sans Serif" w:eastAsia="Calibri" w:cs="Microsoft Sans Serif"/>
          <w:b/>
          <w:sz w:val="20"/>
          <w:szCs w:val="20"/>
        </w:rPr>
        <w:t xml:space="preserve">kod pacijenata </w:t>
      </w:r>
      <w:r>
        <w:rPr>
          <w:rFonts w:ascii="Microsoft Sans Serif" w:hAnsi="Microsoft Sans Serif" w:eastAsia="Calibri" w:cs="Microsoft Sans Serif"/>
          <w:b/>
          <w:sz w:val="20"/>
          <w:szCs w:val="20"/>
          <w:lang w:val="sr-Cyrl-RS"/>
        </w:rPr>
        <w:t xml:space="preserve">koji </w:t>
      </w:r>
      <w:r>
        <w:rPr>
          <w:rFonts w:ascii="Microsoft Sans Serif" w:hAnsi="Microsoft Sans Serif" w:eastAsia="Calibri" w:cs="Microsoft Sans Serif"/>
          <w:b/>
          <w:sz w:val="20"/>
          <w:szCs w:val="20"/>
        </w:rPr>
        <w:t xml:space="preserve">su rezistentni </w:t>
      </w:r>
      <w:r>
        <w:rPr>
          <w:rFonts w:ascii="Microsoft Sans Serif" w:hAnsi="Microsoft Sans Serif" w:eastAsia="Calibri" w:cs="Microsoft Sans Serif"/>
          <w:b/>
          <w:sz w:val="20"/>
          <w:szCs w:val="20"/>
          <w:lang w:val="mk-MK"/>
        </w:rPr>
        <w:t>ili nisu</w:t>
      </w:r>
      <w:r>
        <w:rPr>
          <w:rFonts w:ascii="Microsoft Sans Serif" w:hAnsi="Microsoft Sans Serif" w:eastAsia="Calibri" w:cs="Microsoft Sans Serif"/>
          <w:b/>
          <w:sz w:val="20"/>
          <w:szCs w:val="20"/>
        </w:rPr>
        <w:t xml:space="preserve"> podnosili prethodnu terapiju imatinibom</w:t>
      </w:r>
    </w:p>
    <w:tbl>
      <w:tblPr>
        <w:tblStyle w:val="12"/>
        <w:tblW w:w="0" w:type="auto"/>
        <w:tblInd w:w="0" w:type="dxa"/>
        <w:tblLayout w:type="fixed"/>
        <w:tblCellMar>
          <w:top w:w="0" w:type="dxa"/>
          <w:left w:w="0" w:type="dxa"/>
          <w:bottom w:w="0" w:type="dxa"/>
          <w:right w:w="0" w:type="dxa"/>
        </w:tblCellMar>
      </w:tblPr>
      <w:tblGrid>
        <w:gridCol w:w="3097"/>
        <w:gridCol w:w="1763"/>
        <w:gridCol w:w="1285"/>
        <w:gridCol w:w="1524"/>
        <w:gridCol w:w="1262"/>
      </w:tblGrid>
      <w:tr w14:paraId="1E14683A">
        <w:tblPrEx>
          <w:tblCellMar>
            <w:top w:w="0" w:type="dxa"/>
            <w:left w:w="0" w:type="dxa"/>
            <w:bottom w:w="0" w:type="dxa"/>
            <w:right w:w="0" w:type="dxa"/>
          </w:tblCellMar>
        </w:tblPrEx>
        <w:trPr>
          <w:trHeight w:val="1141" w:hRule="exact"/>
        </w:trPr>
        <w:tc>
          <w:tcPr>
            <w:tcW w:w="3097" w:type="dxa"/>
            <w:tcBorders>
              <w:top w:val="single" w:color="auto" w:sz="4" w:space="0"/>
              <w:left w:val="nil"/>
              <w:bottom w:val="nil"/>
              <w:right w:val="nil"/>
            </w:tcBorders>
          </w:tcPr>
          <w:p w14:paraId="4597D974">
            <w:pPr>
              <w:widowControl w:val="0"/>
              <w:tabs>
                <w:tab w:val="clear" w:pos="284"/>
              </w:tabs>
              <w:rPr>
                <w:rFonts w:ascii="Microsoft Sans Serif" w:hAnsi="Microsoft Sans Serif" w:cs="Microsoft Sans Serif"/>
                <w:sz w:val="20"/>
                <w:szCs w:val="20"/>
              </w:rPr>
            </w:pPr>
          </w:p>
        </w:tc>
        <w:tc>
          <w:tcPr>
            <w:tcW w:w="1763" w:type="dxa"/>
            <w:tcBorders>
              <w:top w:val="single" w:color="auto" w:sz="4" w:space="0"/>
              <w:left w:val="nil"/>
              <w:bottom w:val="single" w:color="auto" w:sz="12" w:space="0"/>
              <w:right w:val="nil"/>
            </w:tcBorders>
            <w:vAlign w:val="bottom"/>
          </w:tcPr>
          <w:p w14:paraId="6D7E060A">
            <w:pPr>
              <w:widowControl w:val="0"/>
              <w:tabs>
                <w:tab w:val="clear" w:pos="284"/>
              </w:tabs>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Hronična faza</w:t>
            </w:r>
          </w:p>
          <w:p w14:paraId="16BA91BD">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(n= 165)</w:t>
            </w:r>
            <w:r>
              <w:rPr>
                <w:rFonts w:ascii="Microsoft Sans Serif" w:hAnsi="Microsoft Sans Serif" w:cs="Microsoft Sans Serif"/>
                <w:b/>
                <w:sz w:val="20"/>
                <w:szCs w:val="20"/>
                <w:vertAlign w:val="superscript"/>
              </w:rPr>
              <w:t>b</w:t>
            </w:r>
          </w:p>
        </w:tc>
        <w:tc>
          <w:tcPr>
            <w:tcW w:w="1285" w:type="dxa"/>
            <w:tcBorders>
              <w:top w:val="single" w:color="auto" w:sz="4" w:space="0"/>
              <w:left w:val="nil"/>
              <w:bottom w:val="single" w:color="auto" w:sz="12" w:space="0"/>
              <w:right w:val="nil"/>
            </w:tcBorders>
            <w:vAlign w:val="bottom"/>
          </w:tcPr>
          <w:p w14:paraId="0E75CC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Ubrzana faza</w:t>
            </w:r>
          </w:p>
          <w:p w14:paraId="5842EAE6">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bCs/>
                <w:sz w:val="20"/>
                <w:szCs w:val="20"/>
              </w:rPr>
              <w:t>(n= 157)</w:t>
            </w:r>
            <w:r>
              <w:rPr>
                <w:rFonts w:ascii="Microsoft Sans Serif" w:hAnsi="Microsoft Sans Serif" w:cs="Microsoft Sans Serif"/>
                <w:b/>
                <w:bCs/>
                <w:sz w:val="20"/>
                <w:szCs w:val="20"/>
                <w:vertAlign w:val="superscript"/>
              </w:rPr>
              <w:t>c</w:t>
            </w:r>
          </w:p>
        </w:tc>
        <w:tc>
          <w:tcPr>
            <w:tcW w:w="1524" w:type="dxa"/>
            <w:tcBorders>
              <w:top w:val="single" w:color="auto" w:sz="4" w:space="0"/>
              <w:left w:val="nil"/>
              <w:bottom w:val="single" w:color="auto" w:sz="12" w:space="0"/>
              <w:right w:val="nil"/>
            </w:tcBorders>
            <w:vAlign w:val="bottom"/>
          </w:tcPr>
          <w:p w14:paraId="7B4C51AB">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Mijeloidna blastna faza</w:t>
            </w:r>
            <w:r>
              <w:rPr>
                <w:rFonts w:ascii="Microsoft Sans Serif" w:hAnsi="Microsoft Sans Serif" w:cs="Microsoft Sans Serif"/>
                <w:b/>
                <w:bCs/>
                <w:sz w:val="20"/>
                <w:szCs w:val="20"/>
              </w:rPr>
              <w:t xml:space="preserve"> </w:t>
            </w:r>
          </w:p>
          <w:p w14:paraId="1A3A54BF">
            <w:pPr>
              <w:widowControl w:val="0"/>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(n= 74)</w:t>
            </w:r>
            <w:r>
              <w:rPr>
                <w:rFonts w:ascii="Microsoft Sans Serif" w:hAnsi="Microsoft Sans Serif" w:cs="Microsoft Sans Serif"/>
                <w:b/>
                <w:bCs/>
                <w:sz w:val="20"/>
                <w:szCs w:val="20"/>
                <w:vertAlign w:val="superscript"/>
              </w:rPr>
              <w:t>c</w:t>
            </w:r>
          </w:p>
        </w:tc>
        <w:tc>
          <w:tcPr>
            <w:tcW w:w="1262" w:type="dxa"/>
            <w:tcBorders>
              <w:top w:val="single" w:color="auto" w:sz="4" w:space="0"/>
              <w:left w:val="nil"/>
              <w:bottom w:val="single" w:color="auto" w:sz="12" w:space="0"/>
              <w:right w:val="nil"/>
            </w:tcBorders>
            <w:vAlign w:val="bottom"/>
          </w:tcPr>
          <w:p w14:paraId="4AD1D9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 xml:space="preserve">Limfoidna blastna faza i </w:t>
            </w:r>
            <w:r>
              <w:rPr>
                <w:rFonts w:ascii="Microsoft Sans Serif" w:hAnsi="Microsoft Sans Serif" w:cs="Microsoft Sans Serif"/>
                <w:b/>
                <w:bCs/>
                <w:sz w:val="20"/>
                <w:szCs w:val="20"/>
              </w:rPr>
              <w:t xml:space="preserve"> Ph+ ALL</w:t>
            </w:r>
          </w:p>
          <w:p w14:paraId="6F800A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168)</w:t>
            </w:r>
            <w:r>
              <w:rPr>
                <w:rFonts w:ascii="Microsoft Sans Serif" w:hAnsi="Microsoft Sans Serif" w:cs="Microsoft Sans Serif"/>
                <w:b/>
                <w:bCs/>
                <w:sz w:val="20"/>
                <w:szCs w:val="20"/>
                <w:vertAlign w:val="superscript"/>
              </w:rPr>
              <w:t>c</w:t>
            </w:r>
          </w:p>
        </w:tc>
      </w:tr>
      <w:tr w14:paraId="72C293AB">
        <w:tblPrEx>
          <w:tblCellMar>
            <w:top w:w="0" w:type="dxa"/>
            <w:left w:w="0" w:type="dxa"/>
            <w:bottom w:w="0" w:type="dxa"/>
            <w:right w:w="0" w:type="dxa"/>
          </w:tblCellMar>
        </w:tblPrEx>
        <w:trPr>
          <w:trHeight w:val="263" w:hRule="exact"/>
        </w:trPr>
        <w:tc>
          <w:tcPr>
            <w:tcW w:w="3097" w:type="dxa"/>
            <w:tcBorders>
              <w:top w:val="nil"/>
              <w:left w:val="nil"/>
              <w:bottom w:val="single" w:color="auto" w:sz="12" w:space="0"/>
              <w:right w:val="nil"/>
            </w:tcBorders>
          </w:tcPr>
          <w:p w14:paraId="0FEF2BF3">
            <w:pPr>
              <w:widowControl w:val="0"/>
              <w:tabs>
                <w:tab w:val="clear" w:pos="284"/>
              </w:tabs>
              <w:rPr>
                <w:rFonts w:ascii="Microsoft Sans Serif" w:hAnsi="Microsoft Sans Serif" w:cs="Microsoft Sans Serif"/>
                <w:sz w:val="20"/>
                <w:szCs w:val="20"/>
              </w:rPr>
            </w:pPr>
          </w:p>
        </w:tc>
        <w:tc>
          <w:tcPr>
            <w:tcW w:w="5834" w:type="dxa"/>
            <w:gridSpan w:val="4"/>
            <w:tcBorders>
              <w:top w:val="single" w:color="auto" w:sz="12" w:space="0"/>
              <w:left w:val="nil"/>
              <w:bottom w:val="single" w:color="auto" w:sz="12" w:space="0"/>
              <w:right w:val="nil"/>
            </w:tcBorders>
          </w:tcPr>
          <w:p w14:paraId="6575C990">
            <w:pPr>
              <w:widowControl w:val="0"/>
              <w:tabs>
                <w:tab w:val="clear" w:pos="284"/>
              </w:tabs>
              <w:jc w:val="center"/>
              <w:rPr>
                <w:rFonts w:ascii="Microsoft Sans Serif" w:hAnsi="Microsoft Sans Serif" w:cs="Microsoft Sans Serif"/>
                <w:b/>
                <w:sz w:val="20"/>
                <w:szCs w:val="20"/>
              </w:rPr>
            </w:pPr>
            <w:r>
              <w:rPr>
                <w:rFonts w:ascii="Microsoft Sans Serif" w:hAnsi="Microsoft Sans Serif" w:cs="Microsoft Sans Serif"/>
                <w:b/>
                <w:sz w:val="20"/>
                <w:szCs w:val="20"/>
                <w:lang w:val="sr-Cyrl-RS"/>
              </w:rPr>
              <w:t>Procenat</w:t>
            </w:r>
            <w:r>
              <w:rPr>
                <w:rFonts w:ascii="Microsoft Sans Serif" w:hAnsi="Microsoft Sans Serif" w:cs="Microsoft Sans Serif"/>
                <w:b/>
                <w:sz w:val="20"/>
                <w:szCs w:val="20"/>
              </w:rPr>
              <w:t xml:space="preserve"> (%) pacijenata</w:t>
            </w:r>
          </w:p>
        </w:tc>
      </w:tr>
      <w:tr w14:paraId="6ED0BA16">
        <w:tblPrEx>
          <w:tblCellMar>
            <w:top w:w="0" w:type="dxa"/>
            <w:left w:w="0" w:type="dxa"/>
            <w:bottom w:w="0" w:type="dxa"/>
            <w:right w:w="0" w:type="dxa"/>
          </w:tblCellMar>
        </w:tblPrEx>
        <w:trPr>
          <w:trHeight w:val="263" w:hRule="exact"/>
        </w:trPr>
        <w:tc>
          <w:tcPr>
            <w:tcW w:w="3097" w:type="dxa"/>
            <w:tcBorders>
              <w:top w:val="single" w:color="auto" w:sz="12" w:space="0"/>
              <w:left w:val="nil"/>
              <w:bottom w:val="nil"/>
              <w:right w:val="nil"/>
            </w:tcBorders>
          </w:tcPr>
          <w:p w14:paraId="2DA7F8B7">
            <w:pPr>
              <w:widowControl w:val="0"/>
              <w:tabs>
                <w:tab w:val="clear" w:pos="284"/>
              </w:tabs>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Hematološki parametri</w:t>
            </w:r>
          </w:p>
        </w:tc>
        <w:tc>
          <w:tcPr>
            <w:tcW w:w="1763" w:type="dxa"/>
            <w:tcBorders>
              <w:top w:val="single" w:color="auto" w:sz="12" w:space="0"/>
              <w:left w:val="nil"/>
              <w:bottom w:val="nil"/>
              <w:right w:val="nil"/>
            </w:tcBorders>
          </w:tcPr>
          <w:p w14:paraId="1FFD460C">
            <w:pPr>
              <w:widowControl w:val="0"/>
              <w:tabs>
                <w:tab w:val="clear" w:pos="284"/>
              </w:tabs>
              <w:rPr>
                <w:rFonts w:ascii="Microsoft Sans Serif" w:hAnsi="Microsoft Sans Serif" w:cs="Microsoft Sans Serif"/>
                <w:sz w:val="20"/>
                <w:szCs w:val="20"/>
              </w:rPr>
            </w:pPr>
          </w:p>
        </w:tc>
        <w:tc>
          <w:tcPr>
            <w:tcW w:w="1285" w:type="dxa"/>
            <w:tcBorders>
              <w:top w:val="single" w:color="auto" w:sz="12" w:space="0"/>
              <w:left w:val="nil"/>
              <w:bottom w:val="nil"/>
              <w:right w:val="nil"/>
            </w:tcBorders>
          </w:tcPr>
          <w:p w14:paraId="5274EB5D">
            <w:pPr>
              <w:widowControl w:val="0"/>
              <w:tabs>
                <w:tab w:val="clear" w:pos="284"/>
              </w:tabs>
              <w:rPr>
                <w:rFonts w:ascii="Microsoft Sans Serif" w:hAnsi="Microsoft Sans Serif" w:cs="Microsoft Sans Serif"/>
                <w:sz w:val="20"/>
                <w:szCs w:val="20"/>
              </w:rPr>
            </w:pPr>
          </w:p>
        </w:tc>
        <w:tc>
          <w:tcPr>
            <w:tcW w:w="1524" w:type="dxa"/>
            <w:tcBorders>
              <w:top w:val="single" w:color="auto" w:sz="12" w:space="0"/>
              <w:left w:val="nil"/>
              <w:bottom w:val="nil"/>
              <w:right w:val="nil"/>
            </w:tcBorders>
          </w:tcPr>
          <w:p w14:paraId="6A7620AE">
            <w:pPr>
              <w:widowControl w:val="0"/>
              <w:tabs>
                <w:tab w:val="clear" w:pos="284"/>
              </w:tabs>
              <w:rPr>
                <w:rFonts w:ascii="Microsoft Sans Serif" w:hAnsi="Microsoft Sans Serif" w:cs="Microsoft Sans Serif"/>
                <w:sz w:val="20"/>
                <w:szCs w:val="20"/>
              </w:rPr>
            </w:pPr>
          </w:p>
        </w:tc>
        <w:tc>
          <w:tcPr>
            <w:tcW w:w="1262" w:type="dxa"/>
            <w:tcBorders>
              <w:top w:val="single" w:color="auto" w:sz="12" w:space="0"/>
              <w:left w:val="nil"/>
              <w:bottom w:val="nil"/>
              <w:right w:val="nil"/>
            </w:tcBorders>
          </w:tcPr>
          <w:p w14:paraId="50D0A181">
            <w:pPr>
              <w:widowControl w:val="0"/>
              <w:tabs>
                <w:tab w:val="clear" w:pos="284"/>
              </w:tabs>
              <w:rPr>
                <w:rFonts w:ascii="Microsoft Sans Serif" w:hAnsi="Microsoft Sans Serif" w:cs="Microsoft Sans Serif"/>
                <w:sz w:val="20"/>
                <w:szCs w:val="20"/>
              </w:rPr>
            </w:pPr>
          </w:p>
        </w:tc>
      </w:tr>
      <w:tr w14:paraId="0B0EB917">
        <w:tblPrEx>
          <w:tblCellMar>
            <w:top w:w="0" w:type="dxa"/>
            <w:left w:w="0" w:type="dxa"/>
            <w:bottom w:w="0" w:type="dxa"/>
            <w:right w:w="0" w:type="dxa"/>
          </w:tblCellMar>
        </w:tblPrEx>
        <w:trPr>
          <w:trHeight w:val="263" w:hRule="exact"/>
        </w:trPr>
        <w:tc>
          <w:tcPr>
            <w:tcW w:w="3097" w:type="dxa"/>
            <w:tcBorders>
              <w:top w:val="nil"/>
              <w:left w:val="nil"/>
              <w:bottom w:val="nil"/>
              <w:right w:val="nil"/>
            </w:tcBorders>
          </w:tcPr>
          <w:p w14:paraId="587FD13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p>
        </w:tc>
        <w:tc>
          <w:tcPr>
            <w:tcW w:w="1763" w:type="dxa"/>
            <w:tcBorders>
              <w:top w:val="nil"/>
              <w:left w:val="nil"/>
              <w:bottom w:val="nil"/>
              <w:right w:val="nil"/>
            </w:tcBorders>
          </w:tcPr>
          <w:p w14:paraId="3A8AAC5C">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285" w:type="dxa"/>
            <w:tcBorders>
              <w:top w:val="nil"/>
              <w:left w:val="nil"/>
              <w:bottom w:val="nil"/>
              <w:right w:val="nil"/>
            </w:tcBorders>
          </w:tcPr>
          <w:p w14:paraId="75031CC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58</w:t>
            </w:r>
          </w:p>
        </w:tc>
        <w:tc>
          <w:tcPr>
            <w:tcW w:w="1524" w:type="dxa"/>
            <w:tcBorders>
              <w:top w:val="nil"/>
              <w:left w:val="nil"/>
              <w:bottom w:val="nil"/>
              <w:right w:val="nil"/>
            </w:tcBorders>
          </w:tcPr>
          <w:p w14:paraId="13744348">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77</w:t>
            </w:r>
          </w:p>
        </w:tc>
        <w:tc>
          <w:tcPr>
            <w:tcW w:w="1262" w:type="dxa"/>
            <w:tcBorders>
              <w:top w:val="nil"/>
              <w:left w:val="nil"/>
              <w:bottom w:val="nil"/>
              <w:right w:val="nil"/>
            </w:tcBorders>
          </w:tcPr>
          <w:p w14:paraId="6E45E929">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76</w:t>
            </w:r>
          </w:p>
        </w:tc>
      </w:tr>
      <w:tr w14:paraId="7A58FB62">
        <w:tblPrEx>
          <w:tblCellMar>
            <w:top w:w="0" w:type="dxa"/>
            <w:left w:w="0" w:type="dxa"/>
            <w:bottom w:w="0" w:type="dxa"/>
            <w:right w:w="0" w:type="dxa"/>
          </w:tblCellMar>
        </w:tblPrEx>
        <w:trPr>
          <w:trHeight w:val="266" w:hRule="exact"/>
        </w:trPr>
        <w:tc>
          <w:tcPr>
            <w:tcW w:w="3097" w:type="dxa"/>
            <w:tcBorders>
              <w:top w:val="nil"/>
              <w:left w:val="nil"/>
              <w:bottom w:val="nil"/>
              <w:right w:val="nil"/>
            </w:tcBorders>
          </w:tcPr>
          <w:p w14:paraId="4EDF701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w:t>
            </w:r>
          </w:p>
        </w:tc>
        <w:tc>
          <w:tcPr>
            <w:tcW w:w="1763" w:type="dxa"/>
            <w:tcBorders>
              <w:top w:val="nil"/>
              <w:left w:val="nil"/>
              <w:bottom w:val="nil"/>
              <w:right w:val="nil"/>
            </w:tcBorders>
          </w:tcPr>
          <w:p w14:paraId="6CDCCA52">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85" w:type="dxa"/>
            <w:tcBorders>
              <w:top w:val="nil"/>
              <w:left w:val="nil"/>
              <w:bottom w:val="nil"/>
              <w:right w:val="nil"/>
            </w:tcBorders>
          </w:tcPr>
          <w:p w14:paraId="6D4A980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524" w:type="dxa"/>
            <w:tcBorders>
              <w:top w:val="nil"/>
              <w:left w:val="nil"/>
              <w:bottom w:val="nil"/>
              <w:right w:val="nil"/>
            </w:tcBorders>
          </w:tcPr>
          <w:p w14:paraId="61B8636B">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78</w:t>
            </w:r>
          </w:p>
        </w:tc>
        <w:tc>
          <w:tcPr>
            <w:tcW w:w="1262" w:type="dxa"/>
            <w:tcBorders>
              <w:top w:val="nil"/>
              <w:left w:val="nil"/>
              <w:bottom w:val="nil"/>
              <w:right w:val="nil"/>
            </w:tcBorders>
          </w:tcPr>
          <w:p w14:paraId="79CAF654">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r>
      <w:tr w14:paraId="79C81354">
        <w:tblPrEx>
          <w:tblCellMar>
            <w:top w:w="0" w:type="dxa"/>
            <w:left w:w="0" w:type="dxa"/>
            <w:bottom w:w="0" w:type="dxa"/>
            <w:right w:w="0" w:type="dxa"/>
          </w:tblCellMar>
        </w:tblPrEx>
        <w:trPr>
          <w:trHeight w:val="248" w:hRule="exact"/>
        </w:trPr>
        <w:tc>
          <w:tcPr>
            <w:tcW w:w="3097" w:type="dxa"/>
            <w:tcBorders>
              <w:top w:val="nil"/>
              <w:left w:val="nil"/>
              <w:bottom w:val="single" w:color="000000" w:sz="4" w:space="0"/>
              <w:right w:val="nil"/>
            </w:tcBorders>
          </w:tcPr>
          <w:p w14:paraId="42B0DD01">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Anemija</w:t>
            </w:r>
          </w:p>
        </w:tc>
        <w:tc>
          <w:tcPr>
            <w:tcW w:w="1763" w:type="dxa"/>
            <w:tcBorders>
              <w:top w:val="nil"/>
              <w:left w:val="nil"/>
              <w:bottom w:val="single" w:color="000000" w:sz="4" w:space="0"/>
              <w:right w:val="nil"/>
            </w:tcBorders>
          </w:tcPr>
          <w:p w14:paraId="161B59B0">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285" w:type="dxa"/>
            <w:tcBorders>
              <w:top w:val="nil"/>
              <w:left w:val="nil"/>
              <w:bottom w:val="single" w:color="000000" w:sz="4" w:space="0"/>
              <w:right w:val="nil"/>
            </w:tcBorders>
          </w:tcPr>
          <w:p w14:paraId="324C851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524" w:type="dxa"/>
            <w:tcBorders>
              <w:top w:val="nil"/>
              <w:left w:val="nil"/>
              <w:bottom w:val="single" w:color="000000" w:sz="4" w:space="0"/>
              <w:right w:val="nil"/>
            </w:tcBorders>
          </w:tcPr>
          <w:p w14:paraId="3C9B6AA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74</w:t>
            </w:r>
          </w:p>
        </w:tc>
        <w:tc>
          <w:tcPr>
            <w:tcW w:w="1262" w:type="dxa"/>
            <w:tcBorders>
              <w:top w:val="nil"/>
              <w:left w:val="nil"/>
              <w:bottom w:val="single" w:color="000000" w:sz="4" w:space="0"/>
              <w:right w:val="nil"/>
            </w:tcBorders>
          </w:tcPr>
          <w:p w14:paraId="3157363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44</w:t>
            </w:r>
          </w:p>
        </w:tc>
      </w:tr>
    </w:tbl>
    <w:p w14:paraId="0B9A6991">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a</w:t>
      </w:r>
      <w:r>
        <w:rPr>
          <w:rFonts w:ascii="Microsoft Sans Serif" w:hAnsi="Microsoft Sans Serif" w:eastAsia="Calibri" w:cs="Microsoft Sans Serif"/>
          <w:sz w:val="20"/>
          <w:szCs w:val="20"/>
        </w:rPr>
        <w:t xml:space="preserve"> Rezultati ispitivanja optimizacije doze faze 3 prijavlјeni nakon 2 godine praćenja u sklopu ispitivanja</w:t>
      </w:r>
    </w:p>
    <w:p w14:paraId="3DD0907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lang w:val="hr-BA"/>
        </w:rPr>
        <w:t>b</w:t>
      </w:r>
      <w:r>
        <w:rPr>
          <w:rFonts w:ascii="Microsoft Sans Serif" w:hAnsi="Microsoft Sans Serif" w:eastAsia="Calibri" w:cs="Microsoft Sans Serif"/>
          <w:sz w:val="20"/>
          <w:szCs w:val="20"/>
          <w:vertAlign w:val="superscript"/>
        </w:rPr>
        <w:t xml:space="preserve"> </w:t>
      </w:r>
      <w:r>
        <w:rPr>
          <w:rFonts w:ascii="Microsoft Sans Serif" w:hAnsi="Microsoft Sans Serif" w:eastAsia="Calibri" w:cs="Microsoft Sans Serif"/>
          <w:sz w:val="20"/>
          <w:szCs w:val="20"/>
        </w:rPr>
        <w:t xml:space="preserve">Rezultati ispitivanja CA180-034 uz preporučenu početnu dozu od 100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0542958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vertAlign w:val="superscript"/>
        </w:rPr>
        <w:t>c</w:t>
      </w:r>
      <w:r>
        <w:rPr>
          <w:rFonts w:ascii="Microsoft Sans Serif" w:hAnsi="Microsoft Sans Serif" w:eastAsia="Calibri" w:cs="Microsoft Sans Serif"/>
          <w:sz w:val="20"/>
          <w:szCs w:val="20"/>
        </w:rPr>
        <w:t xml:space="preserve"> Rezultati ispitivanja CA180-035 uz preporučenu početnu dozu od 140 mg </w:t>
      </w:r>
      <w:r>
        <w:rPr>
          <w:rFonts w:ascii="Microsoft Sans Serif" w:hAnsi="Microsoft Sans Serif" w:eastAsia="Calibri" w:cs="Microsoft Sans Serif"/>
          <w:sz w:val="20"/>
          <w:szCs w:val="20"/>
          <w:lang w:val="sr-Cyrl-RS"/>
        </w:rPr>
        <w:t>jednom</w:t>
      </w:r>
      <w:r>
        <w:rPr>
          <w:rFonts w:ascii="Microsoft Sans Serif" w:hAnsi="Microsoft Sans Serif" w:eastAsia="Calibri" w:cs="Microsoft Sans Serif"/>
          <w:sz w:val="20"/>
          <w:szCs w:val="20"/>
        </w:rPr>
        <w:t xml:space="preserve"> dnevno</w:t>
      </w:r>
    </w:p>
    <w:p w14:paraId="666DFD6E">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CTC stepeni: neutropenija (stepen 3 ≥ 0.5– &lt; 1.0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0.5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trombocitopenija (stepen 3 ≥ 25 – &lt;</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50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stepen 4 &lt; 25 × 10</w:t>
      </w:r>
      <w:r>
        <w:rPr>
          <w:rFonts w:ascii="Microsoft Sans Serif" w:hAnsi="Microsoft Sans Serif" w:eastAsia="Calibri" w:cs="Microsoft Sans Serif"/>
          <w:sz w:val="20"/>
          <w:szCs w:val="20"/>
          <w:vertAlign w:val="superscript"/>
        </w:rPr>
        <w:t>9</w:t>
      </w:r>
      <w:r>
        <w:rPr>
          <w:rFonts w:ascii="Microsoft Sans Serif" w:hAnsi="Microsoft Sans Serif" w:eastAsia="Calibri" w:cs="Microsoft Sans Serif"/>
          <w:sz w:val="20"/>
          <w:szCs w:val="20"/>
        </w:rPr>
        <w:t>/l); anemija (hemoglobin stepen 3 ≥ 65 – &lt; 80 g/l, stepen 4 &lt; 65 g/l).</w:t>
      </w:r>
    </w:p>
    <w:p w14:paraId="24FD14C5">
      <w:pPr>
        <w:widowControl w:val="0"/>
        <w:tabs>
          <w:tab w:val="clear" w:pos="284"/>
        </w:tabs>
        <w:rPr>
          <w:rFonts w:ascii="Microsoft Sans Serif" w:hAnsi="Microsoft Sans Serif" w:eastAsia="Calibri" w:cs="Microsoft Sans Serif"/>
          <w:sz w:val="20"/>
          <w:szCs w:val="20"/>
        </w:rPr>
      </w:pPr>
    </w:p>
    <w:p w14:paraId="1127E91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Među pacijentima liječenim dozom od 100 mg jednom dnevno kumulativna incidenca citopenije 3.</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ili 4. stepena bila je slična u 2. i 5. godini, uklјučujući: neutropeniju (35% nasuprot 36%),</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trombocitopeniju (23% nasuprot 24%) i anemiju (13% nasuprot 13%).</w:t>
      </w:r>
    </w:p>
    <w:p w14:paraId="4324B67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pacijenata koji su razvili mijelosupresiju 3. ili 4. stepena, </w:t>
      </w:r>
      <w:r>
        <w:rPr>
          <w:rFonts w:ascii="Microsoft Sans Serif" w:hAnsi="Microsoft Sans Serif" w:eastAsia="Calibri" w:cs="Microsoft Sans Serif"/>
          <w:sz w:val="20"/>
          <w:szCs w:val="20"/>
          <w:lang w:val="sr-Cyrl-RS"/>
        </w:rPr>
        <w:t xml:space="preserve">do </w:t>
      </w:r>
      <w:r>
        <w:rPr>
          <w:rFonts w:ascii="Microsoft Sans Serif" w:hAnsi="Microsoft Sans Serif" w:eastAsia="Calibri" w:cs="Microsoft Sans Serif"/>
          <w:sz w:val="20"/>
          <w:szCs w:val="20"/>
        </w:rPr>
        <w:t>oporavka je generalno došlo nakon</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kratkih prekida davanja lijeka i/ili smanjenja doze, dok je liječenje trajno prekinuto kod 5% 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Većina pacijenata nastavila je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liječenjem bez dalјih znakova mijelosupresije.</w:t>
      </w:r>
    </w:p>
    <w:p w14:paraId="66CED09B">
      <w:pPr>
        <w:widowControl w:val="0"/>
        <w:tabs>
          <w:tab w:val="clear" w:pos="284"/>
        </w:tabs>
        <w:rPr>
          <w:rFonts w:ascii="Microsoft Sans Serif" w:hAnsi="Microsoft Sans Serif" w:eastAsia="Calibri" w:cs="Microsoft Sans Serif"/>
          <w:sz w:val="20"/>
          <w:szCs w:val="20"/>
        </w:rPr>
      </w:pPr>
    </w:p>
    <w:p w14:paraId="2725B323">
      <w:pPr>
        <w:widowControl w:val="0"/>
        <w:tabs>
          <w:tab w:val="clear" w:pos="284"/>
        </w:tabs>
        <w:rPr>
          <w:rFonts w:ascii="Microsoft Sans Serif" w:hAnsi="Microsoft Sans Serif" w:eastAsia="Calibri" w:cs="Microsoft Sans Serif"/>
          <w:i/>
          <w:sz w:val="20"/>
          <w:szCs w:val="20"/>
        </w:rPr>
      </w:pPr>
      <w:r>
        <w:rPr>
          <w:rFonts w:ascii="Microsoft Sans Serif" w:hAnsi="Microsoft Sans Serif" w:eastAsia="Calibri" w:cs="Microsoft Sans Serif"/>
          <w:i/>
          <w:sz w:val="20"/>
          <w:szCs w:val="20"/>
        </w:rPr>
        <w:t>Biohemijska ispitivanja</w:t>
      </w:r>
    </w:p>
    <w:p w14:paraId="39EF36D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ispitivanju novodijagnostikovane HML u hroničnoj fazi, nakon najmanje 12 mjeseci praćenja,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hipofosfatemija 3. ili 4. stepena bila je zabilježena kod 4% pacijenata liječenih dasatinibom, dok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kreatinina i bilirubina 3. ili 4. stepena bile zabilježene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Nakon najmanje 60 mjeseci praćenja kumulativna stopa pojave hipofosfatemije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stepena bila je 7%, povišenje kreatinina</w:t>
      </w:r>
      <w:r>
        <w:rPr>
          <w:rFonts w:ascii="Microsoft Sans Serif" w:hAnsi="Microsoft Sans Serif" w:eastAsia="Calibri" w:cs="Microsoft Sans Serif"/>
          <w:sz w:val="20"/>
          <w:szCs w:val="20"/>
          <w:lang w:val="sr-Cyrl-RS"/>
        </w:rPr>
        <w:t xml:space="preserve"> i bilirubina</w:t>
      </w:r>
      <w:r>
        <w:rPr>
          <w:rFonts w:ascii="Microsoft Sans Serif" w:hAnsi="Microsoft Sans Serif" w:eastAsia="Calibri" w:cs="Microsoft Sans Serif"/>
          <w:sz w:val="20"/>
          <w:szCs w:val="20"/>
        </w:rPr>
        <w:t xml:space="preserve"> 3. ili 4. stepena bilo je 1%, a povišenje transaminaza 3. ili 4.</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st</w:t>
      </w:r>
      <w:r>
        <w:rPr>
          <w:rFonts w:ascii="Microsoft Sans Serif" w:hAnsi="Microsoft Sans Serif" w:eastAsia="Calibri" w:cs="Microsoft Sans Serif"/>
          <w:sz w:val="20"/>
          <w:szCs w:val="20"/>
          <w:lang w:val="sr-Cyrl-RS"/>
        </w:rPr>
        <w:t>ep</w:t>
      </w:r>
      <w:r>
        <w:rPr>
          <w:rFonts w:ascii="Microsoft Sans Serif" w:hAnsi="Microsoft Sans Serif" w:eastAsia="Calibri" w:cs="Microsoft Sans Serif"/>
          <w:sz w:val="20"/>
          <w:szCs w:val="20"/>
          <w:lang w:val="sr-Latn-RS"/>
        </w:rPr>
        <w:t>e</w:t>
      </w:r>
      <w:r>
        <w:rPr>
          <w:rFonts w:ascii="Microsoft Sans Serif" w:hAnsi="Microsoft Sans Serif" w:eastAsia="Calibri" w:cs="Microsoft Sans Serif"/>
          <w:sz w:val="20"/>
          <w:szCs w:val="20"/>
          <w:lang w:val="sr-Cyrl-RS"/>
        </w:rPr>
        <w:t>na</w:t>
      </w:r>
      <w:r>
        <w:rPr>
          <w:rFonts w:ascii="Microsoft Sans Serif" w:hAnsi="Microsoft Sans Serif" w:eastAsia="Calibri" w:cs="Microsoft Sans Serif"/>
          <w:sz w:val="20"/>
          <w:szCs w:val="20"/>
        </w:rPr>
        <w:t xml:space="preserve"> je ostalo 1%. Nije bilo prekida terapije dasatinibom zbog ovih promjena biohemijskih</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laboratorijskih parametara.</w:t>
      </w:r>
    </w:p>
    <w:p w14:paraId="4F1F5F0D">
      <w:pPr>
        <w:widowControl w:val="0"/>
        <w:tabs>
          <w:tab w:val="clear" w:pos="284"/>
        </w:tabs>
        <w:rPr>
          <w:rFonts w:ascii="Microsoft Sans Serif" w:hAnsi="Microsoft Sans Serif" w:eastAsia="Calibri" w:cs="Microsoft Sans Serif"/>
          <w:sz w:val="20"/>
          <w:szCs w:val="20"/>
        </w:rPr>
      </w:pPr>
    </w:p>
    <w:p w14:paraId="018E4EAB">
      <w:pPr>
        <w:widowControl w:val="0"/>
        <w:tabs>
          <w:tab w:val="clear" w:pos="284"/>
        </w:tabs>
        <w:rPr>
          <w:rFonts w:ascii="Microsoft Sans Serif" w:hAnsi="Microsoft Sans Serif" w:eastAsia="Calibri" w:cs="Microsoft Sans Serif"/>
          <w:i/>
          <w:sz w:val="20"/>
          <w:szCs w:val="20"/>
          <w:lang w:val="sr-Cyrl-RS"/>
        </w:rPr>
      </w:pPr>
      <w:r>
        <w:rPr>
          <w:rFonts w:ascii="Microsoft Sans Serif" w:hAnsi="Microsoft Sans Serif" w:eastAsia="Calibri" w:cs="Microsoft Sans Serif"/>
          <w:i/>
          <w:sz w:val="20"/>
          <w:szCs w:val="20"/>
          <w:lang w:val="sr-Cyrl-RS"/>
        </w:rPr>
        <w:t>Dvogodišnje praćenje</w:t>
      </w:r>
    </w:p>
    <w:p w14:paraId="20715E4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3. ili 4. stepena u vrijednostima transaminaza ili bilirubina bilo je prijavlјeno kod 1%</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(koji su rezistentni </w:t>
      </w:r>
      <w:r>
        <w:rPr>
          <w:rFonts w:ascii="Microsoft Sans Serif" w:hAnsi="Microsoft Sans Serif" w:eastAsia="Calibri" w:cs="Microsoft Sans Serif"/>
          <w:sz w:val="20"/>
          <w:szCs w:val="20"/>
          <w:lang w:val="sr-Cyrl-RS"/>
        </w:rPr>
        <w:t xml:space="preserve">ili </w:t>
      </w:r>
      <w:r>
        <w:rPr>
          <w:rFonts w:ascii="Microsoft Sans Serif" w:hAnsi="Microsoft Sans Serif" w:eastAsia="Calibri" w:cs="Microsoft Sans Serif"/>
          <w:sz w:val="20"/>
          <w:szCs w:val="20"/>
        </w:rPr>
        <w:t>ne podnose imatinib), uz zabilježenu povećanu učestalost od 1 do 7% kod pacijenata u uznapredovaloj fazi HML i Ph+ ALL.</w:t>
      </w:r>
    </w:p>
    <w:p w14:paraId="13B3E70C">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Vrijednosti su se obično normalizovale nakon smanjenja doze ili privremenog prekida liječenja.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ispitivanju optimizacije doze faze III, povišenje 3. ili 4. stepena vrijednosti transaminaza ili bilirubina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bilo je prijavlјeno kod ≤1% </w:t>
      </w:r>
      <w:r>
        <w:rPr>
          <w:rFonts w:ascii="Microsoft Sans Serif" w:hAnsi="Microsoft Sans Serif" w:eastAsia="Calibri" w:cs="Microsoft Sans Serif"/>
          <w:sz w:val="20"/>
          <w:szCs w:val="20"/>
          <w:lang w:val="sr-Cyrl-RS"/>
        </w:rPr>
        <w:t>pacijenata</w:t>
      </w:r>
      <w:r>
        <w:rPr>
          <w:rFonts w:ascii="Microsoft Sans Serif" w:hAnsi="Microsoft Sans Serif" w:eastAsia="Calibri" w:cs="Microsoft Sans Serif"/>
          <w:sz w:val="20"/>
          <w:szCs w:val="20"/>
        </w:rPr>
        <w:t xml:space="preserv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 slično nisku incidencu u sve četiri</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 xml:space="preserve">liječene </w:t>
      </w:r>
      <w:r>
        <w:rPr>
          <w:rFonts w:ascii="Microsoft Sans Serif" w:hAnsi="Microsoft Sans Serif" w:eastAsia="Calibri" w:cs="Microsoft Sans Serif"/>
          <w:sz w:val="20"/>
          <w:szCs w:val="20"/>
          <w:lang w:val="sr-Cyrl-RS"/>
        </w:rPr>
        <w:t>grupe</w:t>
      </w:r>
      <w:r>
        <w:rPr>
          <w:rFonts w:ascii="Microsoft Sans Serif" w:hAnsi="Microsoft Sans Serif" w:eastAsia="Calibri" w:cs="Microsoft Sans Serif"/>
          <w:sz w:val="20"/>
          <w:szCs w:val="20"/>
        </w:rPr>
        <w:t>. U ispitivanju optimizacije doze faze III u uznapredovaloj fazi HML i Ph+ ALL,</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povišene vrijednosti transaminaza ili bilirubina 3. ili 4. stepena bile su zabilježene kod 1% do 5%</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pacijenata u svim terapijskim grupama.</w:t>
      </w:r>
    </w:p>
    <w:p w14:paraId="42F9145C">
      <w:pPr>
        <w:widowControl w:val="0"/>
        <w:tabs>
          <w:tab w:val="clear" w:pos="284"/>
        </w:tabs>
        <w:rPr>
          <w:rFonts w:ascii="Microsoft Sans Serif" w:hAnsi="Microsoft Sans Serif" w:eastAsia="Calibri" w:cs="Microsoft Sans Serif"/>
          <w:sz w:val="20"/>
          <w:szCs w:val="20"/>
        </w:rPr>
      </w:pPr>
    </w:p>
    <w:p w14:paraId="3CD0BA7A">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oko 5% pacijenata liječenih dasatinibom, koji su imali normalne početne vrijednosti kalcijuma, 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nekom trenutku tokom trajanja ispitivanja</w:t>
      </w:r>
      <w:r>
        <w:rPr>
          <w:rFonts w:ascii="Microsoft Sans Serif" w:hAnsi="Microsoft Sans Serif" w:eastAsia="Calibri" w:cs="Microsoft Sans Serif"/>
          <w:sz w:val="20"/>
          <w:szCs w:val="20"/>
          <w:lang w:val="sr-Cyrl-RS"/>
        </w:rPr>
        <w:t xml:space="preserve"> je</w:t>
      </w:r>
      <w:r>
        <w:rPr>
          <w:rFonts w:ascii="Microsoft Sans Serif" w:hAnsi="Microsoft Sans Serif" w:eastAsia="Calibri" w:cs="Microsoft Sans Serif"/>
          <w:sz w:val="20"/>
          <w:szCs w:val="20"/>
        </w:rPr>
        <w:t xml:space="preserve"> nastupila prolazna hipokalcijemija 3. ili 4. stepena.</w:t>
      </w:r>
    </w:p>
    <w:p w14:paraId="2E8EC0C0">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lang w:val="sr-Cyrl-RS"/>
        </w:rPr>
        <w:t>Generalno</w:t>
      </w:r>
      <w:r>
        <w:rPr>
          <w:rFonts w:ascii="Microsoft Sans Serif" w:hAnsi="Microsoft Sans Serif" w:eastAsia="Calibri" w:cs="Microsoft Sans Serif"/>
          <w:sz w:val="20"/>
          <w:szCs w:val="20"/>
        </w:rPr>
        <w:t>, snižene vrijednosti kalcijuma nisu bile povezane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kliničkim simptomima. </w:t>
      </w:r>
      <w:r>
        <w:rPr>
          <w:rFonts w:ascii="Microsoft Sans Serif" w:hAnsi="Microsoft Sans Serif" w:eastAsia="Calibri" w:cs="Microsoft Sans Serif"/>
          <w:sz w:val="20"/>
          <w:szCs w:val="20"/>
          <w:lang w:val="sr-Cyrl-RS"/>
        </w:rPr>
        <w:t>Pacijenti</w:t>
      </w:r>
      <w:r>
        <w:rPr>
          <w:rFonts w:ascii="Microsoft Sans Serif" w:hAnsi="Microsoft Sans Serif" w:eastAsia="Calibri" w:cs="Microsoft Sans Serif"/>
          <w:sz w:val="20"/>
          <w:szCs w:val="20"/>
        </w:rPr>
        <w:t xml:space="preserve"> koji su</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razvili hipokalcijemiju 3. ili 4. stepena često bi se oporavili uz uzimanje oralnih preparata za</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nadoknadu kalcijuma.</w:t>
      </w:r>
    </w:p>
    <w:p w14:paraId="358544D7">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Hipokalcijemija, hipokalijemija i hipofosfatemija 3. ili 4. stepena prijavlјene su kod pacijenata u svim</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fazama HML, ali češće kod pacijenata u mijeloidnoj ili limfoidnoj blastnoj krizi HML i Ph+ ALL.</w:t>
      </w:r>
    </w:p>
    <w:p w14:paraId="54AEC3B2">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Povišenje kreatinina 3. ili 4. stepena bilo je prijavlјeno kod &lt;1%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HML u hroničnoj fazi, uz</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povećanu učestalost od 1 do 4% kod pacijenata u uznapredovaloj fazi HML.</w:t>
      </w:r>
    </w:p>
    <w:p w14:paraId="3404783F">
      <w:pPr>
        <w:widowControl w:val="0"/>
        <w:tabs>
          <w:tab w:val="clear" w:pos="284"/>
        </w:tabs>
        <w:rPr>
          <w:rFonts w:ascii="Microsoft Sans Serif" w:hAnsi="Microsoft Sans Serif" w:eastAsia="Calibri" w:cs="Microsoft Sans Serif"/>
          <w:sz w:val="20"/>
          <w:szCs w:val="20"/>
        </w:rPr>
      </w:pPr>
    </w:p>
    <w:p w14:paraId="2A85D491">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Pedijatrijska populacija</w:t>
      </w:r>
    </w:p>
    <w:p w14:paraId="6B3883AF">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Sigurnosni profil dasatiniba u monoterapiji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HML u hroničnoj</w:t>
      </w:r>
      <w:r>
        <w:rPr>
          <w:rFonts w:ascii="Microsoft Sans Serif" w:hAnsi="Microsoft Sans Serif" w:eastAsia="Calibri" w:cs="Microsoft Sans Serif"/>
          <w:sz w:val="20"/>
          <w:szCs w:val="20"/>
          <w:lang w:val="sr-Cyrl-RS"/>
        </w:rPr>
        <w:t xml:space="preserve"> </w:t>
      </w:r>
      <w:r>
        <w:rPr>
          <w:rFonts w:ascii="Microsoft Sans Serif" w:hAnsi="Microsoft Sans Serif" w:eastAsia="Calibri" w:cs="Microsoft Sans Serif"/>
          <w:sz w:val="20"/>
          <w:szCs w:val="20"/>
        </w:rPr>
        <w:t>fazi bio je uporediv sa sigurnosnim profilom kod odraslih. Sigurnosni profil dasatiniba koji se primjenjuje u kombinaciji sa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oterapijom kod pedijatrijskih pacijenata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Ph+ ALL bio je u skladu sa poznatim sigurnosnim profilom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odraslih i očekivanim efektima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oterapije, uz izuzetak niže stope pleuralnog izliva kod pedijatrijskih pacijenata u odnosu na odrasle.</w:t>
      </w:r>
    </w:p>
    <w:p w14:paraId="1C8953C4">
      <w:pPr>
        <w:widowControl w:val="0"/>
        <w:tabs>
          <w:tab w:val="clear" w:pos="284"/>
        </w:tabs>
        <w:rPr>
          <w:rFonts w:ascii="Microsoft Sans Serif" w:hAnsi="Microsoft Sans Serif" w:eastAsia="Calibri" w:cs="Microsoft Sans Serif"/>
          <w:sz w:val="20"/>
          <w:szCs w:val="20"/>
        </w:rPr>
      </w:pPr>
    </w:p>
    <w:p w14:paraId="7220B593">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HML kod pedijatrijskih pacijenata stope odstupanja u laboratorijskim nalazima odgovarale su poznatom profilu za laboratorijske parametre kod odraslih.</w:t>
      </w:r>
    </w:p>
    <w:p w14:paraId="1DFE8725">
      <w:pPr>
        <w:widowControl w:val="0"/>
        <w:tabs>
          <w:tab w:val="clear" w:pos="284"/>
        </w:tabs>
        <w:rPr>
          <w:rFonts w:ascii="Microsoft Sans Serif" w:hAnsi="Microsoft Sans Serif" w:eastAsia="Calibri" w:cs="Microsoft Sans Serif"/>
          <w:sz w:val="20"/>
          <w:szCs w:val="20"/>
        </w:rPr>
      </w:pPr>
    </w:p>
    <w:p w14:paraId="6BE2C2E8">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U ispitivanjima liječenja ALL kod pedijatrijskih pacijenata stope odstupanja u laboratorijskim nalazima odgovarale su poznatom profilu za laboratorijske parametre kod odraslih, u kontekstu pacijen</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ta s</w:t>
      </w:r>
      <w:r>
        <w:rPr>
          <w:rFonts w:ascii="Microsoft Sans Serif" w:hAnsi="Microsoft Sans Serif" w:eastAsia="Calibri" w:cs="Microsoft Sans Serif"/>
          <w:sz w:val="20"/>
          <w:szCs w:val="20"/>
          <w:lang w:val="sr-Cyrl-RS"/>
        </w:rPr>
        <w:t>a</w:t>
      </w:r>
      <w:r>
        <w:rPr>
          <w:rFonts w:ascii="Microsoft Sans Serif" w:hAnsi="Microsoft Sans Serif" w:eastAsia="Calibri" w:cs="Microsoft Sans Serif"/>
          <w:sz w:val="20"/>
          <w:szCs w:val="20"/>
        </w:rPr>
        <w:t xml:space="preserve"> akutnom leukemijom liječenom osnovnim hem</w:t>
      </w:r>
      <w:r>
        <w:rPr>
          <w:rFonts w:ascii="Microsoft Sans Serif" w:hAnsi="Microsoft Sans Serif" w:eastAsia="Calibri" w:cs="Microsoft Sans Serif"/>
          <w:sz w:val="20"/>
          <w:szCs w:val="20"/>
          <w:lang w:val="sr-Cyrl-RS"/>
        </w:rPr>
        <w:t>i</w:t>
      </w:r>
      <w:r>
        <w:rPr>
          <w:rFonts w:ascii="Microsoft Sans Serif" w:hAnsi="Microsoft Sans Serif" w:eastAsia="Calibri" w:cs="Microsoft Sans Serif"/>
          <w:sz w:val="20"/>
          <w:szCs w:val="20"/>
        </w:rPr>
        <w:t>oterapijskim režimom.</w:t>
      </w:r>
    </w:p>
    <w:p w14:paraId="7D6AE491">
      <w:pPr>
        <w:widowControl w:val="0"/>
        <w:tabs>
          <w:tab w:val="clear" w:pos="284"/>
        </w:tabs>
        <w:rPr>
          <w:rFonts w:ascii="Microsoft Sans Serif" w:hAnsi="Microsoft Sans Serif" w:eastAsia="Calibri" w:cs="Microsoft Sans Serif"/>
          <w:sz w:val="20"/>
          <w:szCs w:val="20"/>
        </w:rPr>
      </w:pPr>
    </w:p>
    <w:p w14:paraId="08CF7BC6">
      <w:pPr>
        <w:widowControl w:val="0"/>
        <w:tabs>
          <w:tab w:val="clear" w:pos="284"/>
        </w:tabs>
        <w:rPr>
          <w:rFonts w:ascii="Microsoft Sans Serif" w:hAnsi="Microsoft Sans Serif" w:eastAsia="Calibri" w:cs="Microsoft Sans Serif"/>
          <w:sz w:val="20"/>
          <w:szCs w:val="20"/>
          <w:u w:val="single"/>
        </w:rPr>
      </w:pPr>
      <w:r>
        <w:rPr>
          <w:rFonts w:ascii="Microsoft Sans Serif" w:hAnsi="Microsoft Sans Serif" w:eastAsia="Calibri" w:cs="Microsoft Sans Serif"/>
          <w:sz w:val="20"/>
          <w:szCs w:val="20"/>
          <w:u w:val="single"/>
        </w:rPr>
        <w:t>Posebna populacija</w:t>
      </w:r>
    </w:p>
    <w:p w14:paraId="1ACC2064">
      <w:pPr>
        <w:widowControl w:val="0"/>
        <w:tabs>
          <w:tab w:val="clear" w:pos="284"/>
        </w:tabs>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Dok je sigurnosni profil dasatiniba </w:t>
      </w:r>
      <w:r>
        <w:rPr>
          <w:rFonts w:ascii="Microsoft Sans Serif" w:hAnsi="Microsoft Sans Serif" w:eastAsia="Calibri" w:cs="Microsoft Sans Serif"/>
          <w:sz w:val="20"/>
          <w:szCs w:val="20"/>
          <w:lang w:val="sr-Cyrl-RS"/>
        </w:rPr>
        <w:t>kod</w:t>
      </w:r>
      <w:r>
        <w:rPr>
          <w:rFonts w:ascii="Microsoft Sans Serif" w:hAnsi="Microsoft Sans Serif" w:eastAsia="Calibri" w:cs="Microsoft Sans Serif"/>
          <w:sz w:val="20"/>
          <w:szCs w:val="20"/>
        </w:rPr>
        <w:t xml:space="preserve"> starijih pacijenata bio sličan onome u mlađoj populaciji, kod pacijenata starosti od 65 godina i više veća je vjerovatnoća nastanka često prijavlјenih neželјenih </w:t>
      </w:r>
      <w:r>
        <w:rPr>
          <w:rFonts w:ascii="Microsoft Sans Serif" w:hAnsi="Microsoft Sans Serif" w:eastAsia="Calibri" w:cs="Microsoft Sans Serif"/>
          <w:sz w:val="20"/>
          <w:szCs w:val="20"/>
          <w:lang w:val="hr-BA"/>
        </w:rPr>
        <w:t>dejstava</w:t>
      </w:r>
      <w:r>
        <w:rPr>
          <w:rFonts w:ascii="Microsoft Sans Serif" w:hAnsi="Microsoft Sans Serif" w:eastAsia="Calibri" w:cs="Microsoft Sans Serif"/>
          <w:sz w:val="20"/>
          <w:szCs w:val="20"/>
        </w:rPr>
        <w:t xml:space="preserve"> poput umora, pleuralnog izliva, dispneje, kašlјa, krvarenja u donjem delu gastrointestinalnog trakta i poremećaja apetita, kao i manje često prijavlјenih neželјenih dejstava poput distenzije abdomena, vrtoglavice, perikardijalnog izliva, kongestivne srčane insuficijencije i smanjenja tjelesne mase, pa stoga starije osobe moraju biti strogo praćene (pogledati dio 4.4).</w:t>
      </w:r>
    </w:p>
    <w:p w14:paraId="65C7034F">
      <w:pPr>
        <w:rPr>
          <w:rFonts w:ascii="Microsoft Sans Serif" w:hAnsi="Microsoft Sans Serif" w:cs="Microsoft Sans Serif"/>
          <w:sz w:val="20"/>
          <w:szCs w:val="20"/>
          <w:u w:val="single"/>
          <w:lang w:val="hr-HR"/>
        </w:rPr>
      </w:pPr>
    </w:p>
    <w:p w14:paraId="2413ADC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21FF671E">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E23B4FA">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AE2B4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63F48D0">
      <w:pPr>
        <w:numPr>
          <w:ilvl w:val="0"/>
          <w:numId w:val="2"/>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44D8FE59">
      <w:pPr>
        <w:rPr>
          <w:rFonts w:ascii="Microsoft Sans Serif" w:hAnsi="Microsoft Sans Serif" w:cs="Microsoft Sans Serif"/>
          <w:b/>
          <w:bCs/>
          <w:sz w:val="20"/>
          <w:szCs w:val="20"/>
        </w:rPr>
      </w:pPr>
    </w:p>
    <w:p w14:paraId="683AC8B8">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32332C23">
      <w:pPr>
        <w:rPr>
          <w:rFonts w:ascii="Microsoft Sans Serif" w:hAnsi="Microsoft Sans Serif" w:cs="Microsoft Sans Serif"/>
          <w:sz w:val="20"/>
          <w:szCs w:val="20"/>
        </w:rPr>
      </w:pPr>
    </w:p>
    <w:p w14:paraId="703106C4">
      <w:pPr>
        <w:rPr>
          <w:rFonts w:ascii="Microsoft Sans Serif" w:hAnsi="Microsoft Sans Serif" w:cs="Microsoft Sans Serif"/>
          <w:sz w:val="20"/>
          <w:szCs w:val="20"/>
        </w:rPr>
      </w:pPr>
      <w:r>
        <w:rPr>
          <w:rFonts w:ascii="Microsoft Sans Serif" w:hAnsi="Microsoft Sans Serif" w:cs="Microsoft Sans Serif"/>
          <w:sz w:val="20"/>
          <w:szCs w:val="20"/>
        </w:rPr>
        <w:t>Iskustvo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predoziranjem dasatinibom u kliničkim ispitivanjima ograničeno je na izolovane slučajeve.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Najveće predoziranje od 280 mg dnevno tokom jedne nedelјe prijavlјeno je kod dva pacijenta kod 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potom došlo do značajno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smanjenja broja trombocita. Budući da je dasatinib povezan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mijelosupresijom 3. ili 4. stepena (pogledati dio 4.4), pacijenti koji uzmu dozu veću od preporučene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 biti strogo praćeni zbog moguće mijelosupresije i primiti odgovarajuću suportivnu terapiju.</w:t>
      </w:r>
    </w:p>
    <w:p w14:paraId="01E06AA3">
      <w:pPr>
        <w:rPr>
          <w:rFonts w:ascii="Microsoft Sans Serif" w:hAnsi="Microsoft Sans Serif" w:cs="Microsoft Sans Serif"/>
          <w:sz w:val="20"/>
          <w:szCs w:val="20"/>
        </w:rPr>
      </w:pPr>
    </w:p>
    <w:p w14:paraId="40D9E314">
      <w:pPr>
        <w:rPr>
          <w:rFonts w:ascii="Microsoft Sans Serif" w:hAnsi="Microsoft Sans Serif" w:cs="Microsoft Sans Serif"/>
          <w:sz w:val="20"/>
          <w:szCs w:val="20"/>
        </w:rPr>
      </w:pPr>
    </w:p>
    <w:p w14:paraId="1967ACCF">
      <w:pPr>
        <w:rPr>
          <w:rFonts w:ascii="Microsoft Sans Serif" w:hAnsi="Microsoft Sans Serif" w:cs="Microsoft Sans Serif"/>
          <w:b/>
          <w:sz w:val="20"/>
          <w:szCs w:val="20"/>
        </w:rPr>
      </w:pPr>
      <w:r>
        <w:rPr>
          <w:rFonts w:ascii="Microsoft Sans Serif" w:hAnsi="Microsoft Sans Serif" w:cs="Microsoft Sans Serif"/>
          <w:b/>
          <w:sz w:val="20"/>
          <w:szCs w:val="20"/>
        </w:rPr>
        <w:t>5. FARMAKOLOŠKE KARAKTERISTIKE</w:t>
      </w:r>
    </w:p>
    <w:p w14:paraId="39C3A07F">
      <w:pPr>
        <w:rPr>
          <w:rFonts w:ascii="Microsoft Sans Serif" w:hAnsi="Microsoft Sans Serif" w:cs="Microsoft Sans Serif"/>
          <w:b/>
          <w:bCs/>
          <w:sz w:val="20"/>
          <w:szCs w:val="20"/>
        </w:rPr>
      </w:pPr>
    </w:p>
    <w:p w14:paraId="395D4084">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5.1. Farmakodinamske karakteristike </w:t>
      </w:r>
    </w:p>
    <w:p w14:paraId="367F889F">
      <w:pPr>
        <w:rPr>
          <w:rFonts w:ascii="Microsoft Sans Serif" w:hAnsi="Microsoft Sans Serif" w:cs="Microsoft Sans Serif"/>
          <w:b/>
          <w:bCs/>
          <w:sz w:val="20"/>
          <w:szCs w:val="20"/>
        </w:rPr>
      </w:pPr>
    </w:p>
    <w:p w14:paraId="4980E51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lang w:val="sr-Cyrl-RS"/>
        </w:rPr>
        <w:t xml:space="preserve"> Antineoplastici, inhibitori protein kinaze</w:t>
      </w:r>
    </w:p>
    <w:p w14:paraId="1447E77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lang w:val="sr-Cyrl-RS"/>
        </w:rPr>
        <w:t xml:space="preserve"> L01EA02</w:t>
      </w:r>
      <w:r>
        <w:rPr>
          <w:rFonts w:ascii="Microsoft Sans Serif" w:hAnsi="Microsoft Sans Serif" w:cs="Microsoft Sans Serif"/>
          <w:b/>
          <w:bCs/>
          <w:sz w:val="20"/>
          <w:szCs w:val="20"/>
          <w:lang w:val="sr-Cyrl-RS"/>
        </w:rPr>
        <w:t xml:space="preserve"> </w:t>
      </w:r>
    </w:p>
    <w:p w14:paraId="25870590">
      <w:pPr>
        <w:rPr>
          <w:rFonts w:ascii="Microsoft Sans Serif" w:hAnsi="Microsoft Sans Serif" w:cs="Microsoft Sans Serif"/>
          <w:b/>
          <w:bCs/>
          <w:sz w:val="20"/>
          <w:szCs w:val="20"/>
          <w:u w:val="single"/>
          <w:lang w:val="sr-Cyrl-RS"/>
        </w:rPr>
      </w:pPr>
    </w:p>
    <w:p w14:paraId="47ED3689">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Farmakodinamski efekti</w:t>
      </w:r>
    </w:p>
    <w:p w14:paraId="7251FBB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inhibira aktivnost </w:t>
      </w:r>
      <w:r>
        <w:rPr>
          <w:rFonts w:ascii="Microsoft Sans Serif" w:hAnsi="Microsoft Sans Serif" w:cs="Microsoft Sans Serif"/>
          <w:bCs/>
          <w:sz w:val="20"/>
          <w:szCs w:val="20"/>
          <w:lang w:val="sr-Latn-RS"/>
        </w:rPr>
        <w:t>BCR-ABL</w:t>
      </w:r>
      <w:r>
        <w:rPr>
          <w:rFonts w:ascii="Microsoft Sans Serif" w:hAnsi="Microsoft Sans Serif" w:cs="Microsoft Sans Serif"/>
          <w:bCs/>
          <w:sz w:val="20"/>
          <w:szCs w:val="20"/>
          <w:lang w:val="sr-Cyrl-RS"/>
        </w:rPr>
        <w:t xml:space="preserve"> kinaze iz porodice </w:t>
      </w:r>
      <w:r>
        <w:rPr>
          <w:rFonts w:ascii="Microsoft Sans Serif" w:hAnsi="Microsoft Sans Serif" w:cs="Microsoft Sans Serif"/>
          <w:bCs/>
          <w:sz w:val="20"/>
          <w:szCs w:val="20"/>
          <w:lang w:val="sr-Latn-RS"/>
        </w:rPr>
        <w:t xml:space="preserve">SRC </w:t>
      </w:r>
      <w:r>
        <w:rPr>
          <w:rFonts w:ascii="Microsoft Sans Serif" w:hAnsi="Microsoft Sans Serif" w:cs="Microsoft Sans Serif"/>
          <w:bCs/>
          <w:sz w:val="20"/>
          <w:szCs w:val="20"/>
          <w:lang w:val="sr-Cyrl-RS"/>
        </w:rPr>
        <w:t>kinaza, kao i mnogih drugih odabranih onkogenih kinaza, uklјučujući c-K</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T, kinaze receptora efrina (E</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xml:space="preserve">) i receptora </w:t>
      </w:r>
      <w:r>
        <w:rPr>
          <w:rFonts w:ascii="Microsoft Sans Serif" w:hAnsi="Microsoft Sans Serif" w:cs="Microsoft Sans Serif"/>
          <w:bCs/>
          <w:sz w:val="20"/>
          <w:szCs w:val="20"/>
          <w:lang w:val="sr-Latn-RS"/>
        </w:rPr>
        <w:t>PDGF</w:t>
      </w:r>
      <w:r>
        <w:rPr>
          <w:rFonts w:ascii="Microsoft Sans Serif" w:hAnsi="Microsoft Sans Serif" w:cs="Microsoft Sans Serif"/>
          <w:bCs/>
          <w:sz w:val="20"/>
          <w:szCs w:val="20"/>
          <w:lang w:val="sr-Cyrl-RS"/>
        </w:rPr>
        <w:t>β. Dasatinib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snažan, subnanomolarni inhibitor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potentnošću već pri koncentraciji od samo 0,6-0,8 n</w:t>
      </w:r>
      <w:r>
        <w:rPr>
          <w:rFonts w:ascii="Microsoft Sans Serif" w:hAnsi="Microsoft Sans Serif" w:cs="Microsoft Sans Serif"/>
          <w:bCs/>
          <w:sz w:val="20"/>
          <w:szCs w:val="20"/>
          <w:lang w:val="sr-Latn-RS"/>
        </w:rPr>
        <w:t>M</w:t>
      </w:r>
      <w:r>
        <w:rPr>
          <w:rFonts w:ascii="Microsoft Sans Serif" w:hAnsi="Microsoft Sans Serif" w:cs="Microsoft Sans Serif"/>
          <w:bCs/>
          <w:sz w:val="20"/>
          <w:szCs w:val="20"/>
          <w:lang w:val="sr-Cyrl-RS"/>
        </w:rPr>
        <w:t xml:space="preserve">. Dasatinib se veže i za aktivni i za neaktivni oblik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enzima.</w:t>
      </w:r>
    </w:p>
    <w:p w14:paraId="4E325C11">
      <w:pPr>
        <w:rPr>
          <w:rFonts w:ascii="Microsoft Sans Serif" w:hAnsi="Microsoft Sans Serif" w:cs="Microsoft Sans Serif"/>
          <w:b/>
          <w:bCs/>
          <w:sz w:val="20"/>
          <w:szCs w:val="20"/>
          <w:lang w:val="sr-Cyrl-RS"/>
        </w:rPr>
      </w:pPr>
    </w:p>
    <w:p w14:paraId="7D02E831">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Mehanizam djelovanja</w:t>
      </w:r>
    </w:p>
    <w:p w14:paraId="73928ED7">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 deluje na ćelij</w:t>
      </w:r>
      <w:r>
        <w:rPr>
          <w:rFonts w:ascii="Microsoft Sans Serif" w:hAnsi="Microsoft Sans Serif" w:cs="Microsoft Sans Serif"/>
          <w:bCs/>
          <w:sz w:val="20"/>
          <w:szCs w:val="20"/>
          <w:lang w:val="mk-MK"/>
        </w:rPr>
        <w:t>ske linije</w:t>
      </w:r>
      <w:r>
        <w:rPr>
          <w:rFonts w:ascii="Microsoft Sans Serif" w:hAnsi="Microsoft Sans Serif" w:cs="Microsoft Sans Serif"/>
          <w:bCs/>
          <w:sz w:val="20"/>
          <w:szCs w:val="20"/>
          <w:lang w:val="sr-Cyrl-RS"/>
        </w:rPr>
        <w:t xml:space="preserve"> leukemije koje predstavlјaju varijante bolesti osjetljive i rezistentne na imatinib. Ova neklinička ispitivanja pokazuju da dasatinib može da savlada otpornost na imatinib koja je rezultat prekom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erne ekspresije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mutacije domena </w:t>
      </w:r>
      <w:r>
        <w:rPr>
          <w:rFonts w:ascii="Microsoft Sans Serif" w:hAnsi="Microsoft Sans Serif" w:cs="Microsoft Sans Serif"/>
          <w:bCs/>
          <w:sz w:val="20"/>
          <w:szCs w:val="20"/>
          <w:lang w:val="sr-Latn-RS"/>
        </w:rPr>
        <w:t>BCR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BL</w:t>
      </w:r>
      <w:r>
        <w:rPr>
          <w:rFonts w:ascii="Microsoft Sans Serif" w:hAnsi="Microsoft Sans Serif" w:cs="Microsoft Sans Serif"/>
          <w:bCs/>
          <w:sz w:val="20"/>
          <w:szCs w:val="20"/>
          <w:lang w:val="sr-Cyrl-RS"/>
        </w:rPr>
        <w:t xml:space="preserve"> kinaze,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aktivacije alternativnih puteva signalizacije koji uklјučuju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w:t>
      </w:r>
      <w:r>
        <w:rPr>
          <w:rFonts w:ascii="Microsoft Sans Serif" w:hAnsi="Microsoft Sans Serif" w:cs="Microsoft Sans Serif"/>
          <w:bCs/>
          <w:sz w:val="20"/>
          <w:szCs w:val="20"/>
          <w:lang w:val="sr-Latn-RS"/>
        </w:rPr>
        <w:t>LYN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HCK</w:t>
      </w:r>
      <w:r>
        <w:rPr>
          <w:rFonts w:ascii="Microsoft Sans Serif" w:hAnsi="Microsoft Sans Serif" w:cs="Microsoft Sans Serif"/>
          <w:bCs/>
          <w:sz w:val="20"/>
          <w:szCs w:val="20"/>
          <w:lang w:val="sr-Cyrl-RS"/>
        </w:rPr>
        <w:t>)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prekomerne ekspresije gena za rezistenciju na više lijekova. Dodatno, dasatinib inhibira porodicu </w:t>
      </w:r>
      <w:r>
        <w:rPr>
          <w:rFonts w:ascii="Microsoft Sans Serif" w:hAnsi="Microsoft Sans Serif" w:cs="Microsoft Sans Serif"/>
          <w:bCs/>
          <w:sz w:val="20"/>
          <w:szCs w:val="20"/>
          <w:lang w:val="sr-Latn-RS"/>
        </w:rPr>
        <w:t>SRC</w:t>
      </w:r>
      <w:r>
        <w:rPr>
          <w:rFonts w:ascii="Microsoft Sans Serif" w:hAnsi="Microsoft Sans Serif" w:cs="Microsoft Sans Serif"/>
          <w:bCs/>
          <w:sz w:val="20"/>
          <w:szCs w:val="20"/>
          <w:lang w:val="sr-Cyrl-RS"/>
        </w:rPr>
        <w:t xml:space="preserve"> kinaza u subnanomolarnim koncentracijama.</w:t>
      </w:r>
    </w:p>
    <w:p w14:paraId="2F6BC771">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In vivo</w:t>
      </w:r>
      <w:r>
        <w:rPr>
          <w:rFonts w:ascii="Microsoft Sans Serif" w:hAnsi="Microsoft Sans Serif" w:cs="Microsoft Sans Serif"/>
          <w:bCs/>
          <w:sz w:val="20"/>
          <w:szCs w:val="20"/>
          <w:lang w:val="sr-Cyrl-RS"/>
        </w:rPr>
        <w:t>, u zasebnim eksperimentima na mišjem modelu HML, dasatinib je zaustavio progresiju hronične HML do blastne faze i produžio preživljavanje miša koji je bio nosilac kulture ćelijskih linija HML pacijenata na različitim mjestima, uključujući i centralni nervni sistem.</w:t>
      </w:r>
    </w:p>
    <w:p w14:paraId="587ED5CD">
      <w:pPr>
        <w:rPr>
          <w:rFonts w:ascii="Microsoft Sans Serif" w:hAnsi="Microsoft Sans Serif" w:cs="Microsoft Sans Serif"/>
          <w:b/>
          <w:bCs/>
          <w:sz w:val="20"/>
          <w:szCs w:val="20"/>
          <w:lang w:val="sr-Cyrl-RS"/>
        </w:rPr>
      </w:pPr>
    </w:p>
    <w:p w14:paraId="1907B95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Klinička efikasnost i bezbjednost</w:t>
      </w:r>
    </w:p>
    <w:p w14:paraId="585CF75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xml:space="preserve">U studiji faze </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 xml:space="preserve"> zabilježeni su hematološki i citogenetski odgovori u svim fazama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 kod</w:t>
      </w:r>
      <w:r>
        <w:rPr>
          <w:rFonts w:ascii="Microsoft Sans Serif" w:hAnsi="Microsoft Sans Serif" w:cs="Microsoft Sans Serif"/>
          <w:bCs/>
          <w:sz w:val="20"/>
          <w:szCs w:val="20"/>
          <w:lang w:val="sr-Cyrl-RS"/>
        </w:rPr>
        <w:t xml:space="preserve"> prvih </w:t>
      </w:r>
      <w:r>
        <w:rPr>
          <w:rFonts w:ascii="Microsoft Sans Serif" w:hAnsi="Microsoft Sans Serif" w:cs="Microsoft Sans Serif"/>
          <w:bCs/>
          <w:sz w:val="20"/>
          <w:szCs w:val="20"/>
          <w:lang w:val="hr-BA"/>
        </w:rPr>
        <w:t xml:space="preserve">84 </w:t>
      </w:r>
      <w:r>
        <w:rPr>
          <w:rFonts w:ascii="Microsoft Sans Serif" w:hAnsi="Microsoft Sans Serif" w:cs="Microsoft Sans Serif"/>
          <w:bCs/>
          <w:sz w:val="20"/>
          <w:szCs w:val="20"/>
          <w:lang w:val="sr-Cyrl-RS"/>
        </w:rPr>
        <w:t>liječenih pacijenata, koji su bili praćeni do 27 mjeseci. Odgovori su trajali za vrijeme svih faza</w:t>
      </w:r>
      <w:r>
        <w:rPr>
          <w:rFonts w:ascii="Microsoft Sans Serif" w:hAnsi="Microsoft Sans Serif" w:cs="Microsoft Sans Serif"/>
          <w:bCs/>
          <w:sz w:val="20"/>
          <w:szCs w:val="20"/>
          <w:lang w:val="hr-BA"/>
        </w:rPr>
        <w:t xml:space="preserve"> HML 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557780C1">
      <w:pPr>
        <w:rPr>
          <w:rFonts w:ascii="Microsoft Sans Serif" w:hAnsi="Microsoft Sans Serif" w:cs="Microsoft Sans Serif"/>
          <w:bCs/>
          <w:sz w:val="20"/>
          <w:szCs w:val="20"/>
          <w:lang w:val="sr-Cyrl-RS"/>
        </w:rPr>
      </w:pPr>
    </w:p>
    <w:p w14:paraId="65F9604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Sprovedene su četiri nekontrolisane otvorene kliničke studije faze II na jednoj grupi ispitanika da bi  se utvrdila efikasnost i bezbjednost primjene dasatiniba kod pacijenata sa HML u hroničnoj fazi, fazi ubrzanja ili mijeloidnoj blastnoj fazi, koji su rezistentni ili ne podnose imatinib. Jedna randomizovana nekomparativna studija sprovedena je kod pacijenata sa </w:t>
      </w:r>
      <w:r>
        <w:rPr>
          <w:rFonts w:ascii="Microsoft Sans Serif" w:hAnsi="Microsoft Sans Serif" w:cs="Microsoft Sans Serif"/>
          <w:bCs/>
          <w:sz w:val="20"/>
          <w:szCs w:val="20"/>
          <w:lang w:val="hr-BA"/>
        </w:rPr>
        <w:t>H</w:t>
      </w:r>
      <w:r>
        <w:rPr>
          <w:rFonts w:ascii="Microsoft Sans Serif" w:hAnsi="Microsoft Sans Serif" w:cs="Microsoft Sans Serif"/>
          <w:bCs/>
          <w:sz w:val="20"/>
          <w:szCs w:val="20"/>
          <w:lang w:val="sr-Cyrl-RS"/>
        </w:rPr>
        <w:t>ML u hroničnoj fazi kod kojih prethodno liječenje imatinibom u dozi od 400 mg ili 600 mg nije bilo uspješno. Početna doza dasatiniba iznosila je 70 mg dva puta dnevno. Bila su dozvoljena prilagođavanja doze radi poboljšanja efikasnosti i</w:t>
      </w:r>
      <w:r>
        <w:rPr>
          <w:rFonts w:ascii="Microsoft Sans Serif" w:hAnsi="Microsoft Sans Serif" w:cs="Microsoft Sans Serif"/>
          <w:bCs/>
          <w:sz w:val="20"/>
          <w:szCs w:val="20"/>
        </w:rPr>
        <w:t>li</w:t>
      </w:r>
      <w:r>
        <w:rPr>
          <w:rFonts w:ascii="Microsoft Sans Serif" w:hAnsi="Microsoft Sans Serif" w:cs="Microsoft Sans Serif"/>
          <w:bCs/>
          <w:sz w:val="20"/>
          <w:szCs w:val="20"/>
          <w:lang w:val="sr-Cyrl-RS"/>
        </w:rPr>
        <w:t xml:space="preserve"> smanjenja toksičnosti (pogledati dio 4.2). Sprovedene su dvije randomizovane, otvorene studije faze III radi procjene efikasnosti  dasatiniba kada se primijenjuje jednom dnevno u poređenju sa primjenom dasatiniba dva puta dnevno. Uz to je sprovedena i jedna otvorena, randomizovana, komparativna studija faze III kod odraslih pacijenata sa novodijagnostifikovanom HML u hroničnoj fazi.</w:t>
      </w:r>
    </w:p>
    <w:p w14:paraId="5B3828E8">
      <w:pPr>
        <w:rPr>
          <w:rFonts w:ascii="Microsoft Sans Serif" w:hAnsi="Microsoft Sans Serif" w:cs="Microsoft Sans Serif"/>
          <w:bCs/>
          <w:sz w:val="20"/>
          <w:szCs w:val="20"/>
          <w:lang w:val="sr-Cyrl-RS"/>
        </w:rPr>
      </w:pPr>
    </w:p>
    <w:p w14:paraId="64934A7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zasniva se na stopi hematoloških i citogenetskih odgovora.</w:t>
      </w:r>
    </w:p>
    <w:p w14:paraId="019BEB8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Trajnost odgovora i procjena stope preživlјavanja dodatni su dokazi kliničke koristi dasatiniba.</w:t>
      </w:r>
    </w:p>
    <w:p w14:paraId="521DAD8F">
      <w:pPr>
        <w:rPr>
          <w:rFonts w:ascii="Microsoft Sans Serif" w:hAnsi="Microsoft Sans Serif" w:cs="Microsoft Sans Serif"/>
          <w:bCs/>
          <w:sz w:val="20"/>
          <w:szCs w:val="20"/>
          <w:lang w:val="sr-Cyrl-RS"/>
        </w:rPr>
      </w:pPr>
    </w:p>
    <w:p w14:paraId="55A86EE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Klinička ispitivanja uklјučila su ukupno 2712 pacijen</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ta, od kojih je 23% bilo od 65 godina i stariji, a 5% su bili od 75 godina i stariji.</w:t>
      </w:r>
    </w:p>
    <w:p w14:paraId="776A286E">
      <w:pPr>
        <w:rPr>
          <w:rFonts w:ascii="Microsoft Sans Serif" w:hAnsi="Microsoft Sans Serif" w:cs="Microsoft Sans Serif"/>
          <w:bCs/>
          <w:sz w:val="20"/>
          <w:szCs w:val="20"/>
          <w:lang w:val="sr-Latn-RS"/>
        </w:rPr>
      </w:pPr>
    </w:p>
    <w:p w14:paraId="3E85B278">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Hronična faza HML - novodijagnostifikovana</w:t>
      </w:r>
    </w:p>
    <w:p w14:paraId="3175BCC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Sprovedena je jedna međunarodna, otvorena, multicentrična, randomizovana, komparativna studija faze III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kod odraslih pacijenata sa novodijagnostifikovanom HML u hroničnoj fazi. Pacijenti su bili randomizovani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grupu koja je primala dasatinib 100 mg jednom dnevno ili imatinib 400 mg jednom dnevno. Primarni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parametar praćenja bila je stopa potvrđenog potpunog citogenetskog odgovora (cCCyR) u roku od 12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Sekundarni parametri praćenja uključivali su vreme cCCyR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erilo trajanja odgovora),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javljanja cCCyR, stopu značajnog molekularnog odgovora (MMR), vr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eme do MMR, preživljavanje bez</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progresije bolesti (PFS) i ukupno preživljavanje (OS). Ostali važni rezultati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erenja efikasnosti uključivali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su stope CCyR i potpunog molekularnog odgovora (CMR). Studija je u toku.</w:t>
      </w:r>
    </w:p>
    <w:p w14:paraId="1A0E570E">
      <w:pPr>
        <w:rPr>
          <w:rFonts w:ascii="Microsoft Sans Serif" w:hAnsi="Microsoft Sans Serif" w:cs="Microsoft Sans Serif"/>
          <w:bCs/>
          <w:sz w:val="20"/>
          <w:szCs w:val="20"/>
          <w:lang w:val="sr-Latn-RS"/>
        </w:rPr>
      </w:pPr>
    </w:p>
    <w:p w14:paraId="0F954C6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Ukupno je 519 pacijenata bilo randomizovano u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terapijske grupe: 259 u grupu koja je primala dasatinib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260 u grupu koja je primala imatinib. Osnovne karakteristike su bile dobro izbalansirane kod te dv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terapijske grupe, uključujući starost (medijana starosti iznosila je 46 godina u grupi koja je primala dasatinib,</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u kojoj je 10% pacijenata bilo staro</w:t>
      </w:r>
      <w:r>
        <w:rPr>
          <w:rFonts w:ascii="Microsoft Sans Serif" w:hAnsi="Microsoft Sans Serif" w:cs="Microsoft Sans Serif"/>
          <w:bCs/>
          <w:sz w:val="20"/>
          <w:szCs w:val="20"/>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rPr>
        <w:t xml:space="preserve">godina </w:t>
      </w:r>
      <w:r>
        <w:rPr>
          <w:rFonts w:ascii="Microsoft Sans Serif" w:hAnsi="Microsoft Sans Serif" w:cs="Microsoft Sans Serif"/>
          <w:bCs/>
          <w:sz w:val="20"/>
          <w:szCs w:val="20"/>
          <w:lang w:val="sr-Cyrl-RS"/>
        </w:rPr>
        <w:t>ili više, a 49 godina u grupi koja je primala imatinib, u kojoj 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11% pacijenata bilo staro</w:t>
      </w:r>
      <w:r>
        <w:rPr>
          <w:rFonts w:ascii="Microsoft Sans Serif" w:hAnsi="Microsoft Sans Serif" w:cs="Microsoft Sans Serif"/>
          <w:bCs/>
          <w:sz w:val="20"/>
          <w:szCs w:val="20"/>
          <w:lang w:val="hr-BA"/>
        </w:rPr>
        <w:t>sti</w:t>
      </w:r>
      <w:r>
        <w:rPr>
          <w:rFonts w:ascii="Microsoft Sans Serif" w:hAnsi="Microsoft Sans Serif" w:cs="Microsoft Sans Serif"/>
          <w:bCs/>
          <w:sz w:val="20"/>
          <w:szCs w:val="20"/>
          <w:lang w:val="sr-Cyrl-RS"/>
        </w:rPr>
        <w:t xml:space="preserve"> 65 </w:t>
      </w:r>
      <w:r>
        <w:rPr>
          <w:rFonts w:ascii="Microsoft Sans Serif" w:hAnsi="Microsoft Sans Serif" w:cs="Microsoft Sans Serif"/>
          <w:bCs/>
          <w:sz w:val="20"/>
          <w:szCs w:val="20"/>
          <w:lang w:val="hr-BA"/>
        </w:rPr>
        <w:t xml:space="preserve">godina </w:t>
      </w:r>
      <w:r>
        <w:rPr>
          <w:rFonts w:ascii="Microsoft Sans Serif" w:hAnsi="Microsoft Sans Serif" w:cs="Microsoft Sans Serif"/>
          <w:bCs/>
          <w:sz w:val="20"/>
          <w:szCs w:val="20"/>
          <w:lang w:val="sr-Cyrl-RS"/>
        </w:rPr>
        <w:t>ili više), pol (44% žena u grupi koja je primala dasatinib i 37% u grupi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rasa (51%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 42% azijata u grupi koja je primala dasatinib i 55%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elaca 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37% azijata u grupi koja je primala imatinib). Hasford</w:t>
      </w:r>
      <w:r>
        <w:rPr>
          <w:rFonts w:ascii="Microsoft Sans Serif" w:hAnsi="Microsoft Sans Serif" w:cs="Microsoft Sans Serif"/>
          <w:bCs/>
          <w:sz w:val="20"/>
          <w:szCs w:val="20"/>
          <w:lang w:val="hr-BA"/>
        </w:rPr>
        <w:t>-</w:t>
      </w:r>
      <w:r>
        <w:rPr>
          <w:rFonts w:ascii="Microsoft Sans Serif" w:hAnsi="Microsoft Sans Serif" w:cs="Microsoft Sans Serif"/>
          <w:bCs/>
          <w:sz w:val="20"/>
          <w:szCs w:val="20"/>
          <w:lang w:val="sr-Cyrl-RS"/>
        </w:rPr>
        <w:t>ovi skorovi na početku studije bili su slični kod ob</w:t>
      </w:r>
      <w:r>
        <w:rPr>
          <w:rFonts w:ascii="Microsoft Sans Serif" w:hAnsi="Microsoft Sans Serif" w:cs="Microsoft Sans Serif"/>
          <w:bCs/>
          <w:sz w:val="20"/>
          <w:szCs w:val="20"/>
          <w:lang w:val="sr-Latn-RS"/>
        </w:rPr>
        <w:t xml:space="preserve">je </w:t>
      </w:r>
      <w:r>
        <w:rPr>
          <w:rFonts w:ascii="Microsoft Sans Serif" w:hAnsi="Microsoft Sans Serif" w:cs="Microsoft Sans Serif"/>
          <w:bCs/>
          <w:sz w:val="20"/>
          <w:szCs w:val="20"/>
          <w:lang w:val="sr-Cyrl-RS"/>
        </w:rPr>
        <w:t>terapijske grupe (nizak rizik: 33% u grupi koja je primala dasatinib i 34% u grupi koja je primala imatinib;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eren rizik: 48% u grupi koja je primala dasatinib i 47% u grupi koja je primala imatinib; visok rizik: 19%</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grupi koja je primala dasatinib i 19% u grupi koja je primala imatinib).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85% pacijenata randomiz</w:t>
      </w:r>
      <w:r>
        <w:rPr>
          <w:rFonts w:ascii="Microsoft Sans Serif" w:hAnsi="Microsoft Sans Serif" w:cs="Microsoft Sans Serif"/>
          <w:bCs/>
          <w:sz w:val="20"/>
          <w:szCs w:val="20"/>
          <w:lang w:val="hr-BA"/>
        </w:rPr>
        <w:t>ovanih</w:t>
      </w:r>
      <w:r>
        <w:rPr>
          <w:rFonts w:ascii="Microsoft Sans Serif" w:hAnsi="Microsoft Sans Serif" w:cs="Microsoft Sans Serif"/>
          <w:bCs/>
          <w:sz w:val="20"/>
          <w:szCs w:val="20"/>
          <w:lang w:val="sr-Cyrl-RS"/>
        </w:rPr>
        <w:t xml:space="preserve"> u grupu koja je primala dasatinib i 81% pacijenata randomiz</w:t>
      </w:r>
      <w:r>
        <w:rPr>
          <w:rFonts w:ascii="Microsoft Sans Serif" w:hAnsi="Microsoft Sans Serif" w:cs="Microsoft Sans Serif"/>
          <w:bCs/>
          <w:sz w:val="20"/>
          <w:szCs w:val="20"/>
        </w:rPr>
        <w:t>ovanih</w:t>
      </w:r>
      <w:r>
        <w:rPr>
          <w:rFonts w:ascii="Microsoft Sans Serif" w:hAnsi="Microsoft Sans Serif" w:cs="Microsoft Sans Serif"/>
          <w:bCs/>
          <w:sz w:val="20"/>
          <w:szCs w:val="20"/>
          <w:lang w:val="sr-Cyrl-RS"/>
        </w:rPr>
        <w:t xml:space="preserve"> u grupu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koja je primala imatinib i dalje je primalo terapiju prve linije. Prekid terapije u roku od 12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zbog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napredovanja bolesti zab</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ežen je kod 3%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ekom dasatinib i 5%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7A0DE37C">
      <w:pPr>
        <w:rPr>
          <w:rFonts w:ascii="Microsoft Sans Serif" w:hAnsi="Microsoft Sans Serif" w:cs="Microsoft Sans Serif"/>
          <w:bCs/>
          <w:sz w:val="20"/>
          <w:szCs w:val="20"/>
          <w:lang w:val="sr-Latn-RS"/>
        </w:rPr>
      </w:pPr>
    </w:p>
    <w:p w14:paraId="0A56905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najmanje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praćenja pacijenata, 60% pacijenata randomizovanih u dasatinib grupu i 63%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randomizovanih u imatinib grupu primalo je prvu liniju terapije. Do prekida u roku od 60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zbog napredovanja bolesti došlo je kod 11%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dasatinibom i 14% pacijenata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imatinibom.</w:t>
      </w:r>
    </w:p>
    <w:p w14:paraId="2A642D90">
      <w:pPr>
        <w:rPr>
          <w:rFonts w:ascii="Microsoft Sans Serif" w:hAnsi="Microsoft Sans Serif" w:cs="Microsoft Sans Serif"/>
          <w:bCs/>
          <w:sz w:val="20"/>
          <w:szCs w:val="20"/>
          <w:lang w:val="sr-Latn-RS"/>
        </w:rPr>
      </w:pPr>
    </w:p>
    <w:p w14:paraId="422D1BC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Rezultati studije efikasnosti prikazani su u Tabeli 9. Udio pacijenata koji su postigli cCCyR bio je statistički značajno veći u grupi koja je primala dasatinib nego u grupi koja je primala imatinib u prvih 12 mjeseci terapije. Efikasnost lijeka dasatinib konzistentno je pokazana u svim podgrupama prema starosti, polu i početnom nivou skora rizika po Hasford</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w:t>
      </w:r>
    </w:p>
    <w:p w14:paraId="181A1463">
      <w:pPr>
        <w:rPr>
          <w:rFonts w:ascii="Microsoft Sans Serif" w:hAnsi="Microsoft Sans Serif" w:cs="Microsoft Sans Serif"/>
          <w:bCs/>
          <w:sz w:val="20"/>
          <w:szCs w:val="20"/>
          <w:lang w:val="sr-Latn-RS"/>
        </w:rPr>
      </w:pPr>
    </w:p>
    <w:p w14:paraId="578F558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9: Rezultati efikasnosti kod novodijagnostifikovanih pacijenata sa HML u hroničnoj fazi iz</w:t>
      </w:r>
    </w:p>
    <w:p w14:paraId="6034AA4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studije faze 3</w:t>
      </w:r>
    </w:p>
    <w:tbl>
      <w:tblPr>
        <w:tblStyle w:val="21"/>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75"/>
        <w:gridCol w:w="2381"/>
        <w:gridCol w:w="1332"/>
        <w:gridCol w:w="752"/>
        <w:gridCol w:w="1932"/>
      </w:tblGrid>
      <w:tr w14:paraId="3A23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675" w:type="dxa"/>
            <w:tcBorders>
              <w:top w:val="single" w:color="auto" w:sz="2" w:space="0"/>
              <w:bottom w:val="single" w:color="auto" w:sz="2" w:space="0"/>
            </w:tcBorders>
          </w:tcPr>
          <w:p w14:paraId="49DD4432">
            <w:pPr>
              <w:widowControl w:val="0"/>
              <w:tabs>
                <w:tab w:val="left" w:pos="1160"/>
              </w:tabs>
              <w:spacing w:line="247" w:lineRule="auto"/>
              <w:jc w:val="center"/>
              <w:rPr>
                <w:rFonts w:ascii="Times New Roman" w:hAnsi="Times New Roman" w:eastAsia="Times New Roman"/>
              </w:rPr>
            </w:pPr>
          </w:p>
        </w:tc>
        <w:tc>
          <w:tcPr>
            <w:tcW w:w="2381" w:type="dxa"/>
            <w:tcBorders>
              <w:top w:val="single" w:color="auto" w:sz="2" w:space="0"/>
              <w:bottom w:val="single" w:color="auto" w:sz="2" w:space="0"/>
            </w:tcBorders>
          </w:tcPr>
          <w:p w14:paraId="488E0EC6">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Dasatinib</w:t>
            </w:r>
          </w:p>
          <w:p w14:paraId="0CD9AF41">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N=259</w:t>
            </w:r>
          </w:p>
        </w:tc>
        <w:tc>
          <w:tcPr>
            <w:tcW w:w="2084" w:type="dxa"/>
            <w:gridSpan w:val="2"/>
            <w:tcBorders>
              <w:top w:val="single" w:color="auto" w:sz="2" w:space="0"/>
              <w:bottom w:val="single" w:color="auto" w:sz="2" w:space="0"/>
            </w:tcBorders>
          </w:tcPr>
          <w:p w14:paraId="1625049E">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Imatinib</w:t>
            </w:r>
          </w:p>
          <w:p w14:paraId="252ED720">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n=260</w:t>
            </w:r>
          </w:p>
        </w:tc>
        <w:tc>
          <w:tcPr>
            <w:tcW w:w="1932" w:type="dxa"/>
            <w:tcBorders>
              <w:top w:val="single" w:color="auto" w:sz="2" w:space="0"/>
              <w:bottom w:val="single" w:color="auto" w:sz="2" w:space="0"/>
            </w:tcBorders>
          </w:tcPr>
          <w:p w14:paraId="10FFA32C">
            <w:pPr>
              <w:widowControl w:val="0"/>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p-vrijednost</w:t>
            </w:r>
          </w:p>
        </w:tc>
      </w:tr>
      <w:tr w14:paraId="3A4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top w:val="single" w:color="auto" w:sz="2" w:space="0"/>
              <w:bottom w:val="single" w:color="auto" w:sz="2" w:space="0"/>
            </w:tcBorders>
          </w:tcPr>
          <w:p w14:paraId="7DF7CA0E">
            <w:pPr>
              <w:widowControl w:val="0"/>
              <w:tabs>
                <w:tab w:val="left" w:pos="1160"/>
              </w:tabs>
              <w:spacing w:line="247" w:lineRule="auto"/>
              <w:jc w:val="center"/>
              <w:rPr>
                <w:rFonts w:ascii="Times New Roman" w:hAnsi="Times New Roman" w:eastAsia="Times New Roman"/>
              </w:rPr>
            </w:pPr>
          </w:p>
        </w:tc>
        <w:tc>
          <w:tcPr>
            <w:tcW w:w="6397" w:type="dxa"/>
            <w:gridSpan w:val="4"/>
            <w:tcBorders>
              <w:top w:val="single" w:color="auto" w:sz="2" w:space="0"/>
              <w:bottom w:val="single" w:color="auto" w:sz="2" w:space="0"/>
            </w:tcBorders>
          </w:tcPr>
          <w:p w14:paraId="260F76A5">
            <w:pPr>
              <w:widowControl w:val="0"/>
              <w:tabs>
                <w:tab w:val="left" w:pos="1160"/>
              </w:tabs>
              <w:spacing w:line="247" w:lineRule="auto"/>
              <w:jc w:val="center"/>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odgovora (95% CI)</w:t>
            </w:r>
          </w:p>
        </w:tc>
      </w:tr>
      <w:tr w14:paraId="64957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5F2D36A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p>
        </w:tc>
      </w:tr>
      <w:tr w14:paraId="0C64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072" w:type="dxa"/>
            <w:gridSpan w:val="5"/>
          </w:tcPr>
          <w:p w14:paraId="542AE370">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u roku od 12 mjeseci</w:t>
            </w:r>
          </w:p>
        </w:tc>
      </w:tr>
      <w:tr w14:paraId="58A6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2675" w:type="dxa"/>
          </w:tcPr>
          <w:p w14:paraId="7653EBC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0C89FF6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(71</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w:t>
            </w:r>
          </w:p>
        </w:tc>
        <w:tc>
          <w:tcPr>
            <w:tcW w:w="2084" w:type="dxa"/>
            <w:gridSpan w:val="2"/>
          </w:tcPr>
          <w:p w14:paraId="2517C37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66</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pacing w:val="-1"/>
                <w:sz w:val="20"/>
                <w:szCs w:val="20"/>
              </w:rPr>
              <w:t>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1BB3B8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lang w:val="sr-Cyrl-RS"/>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r>
      <w:tr w14:paraId="787F7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073FA9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C6115D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8</w:t>
            </w:r>
            <w:r>
              <w:rPr>
                <w:rFonts w:ascii="Microsoft Sans Serif" w:hAnsi="Microsoft Sans Serif" w:eastAsia="Calibri" w:cs="Microsoft Sans Serif"/>
                <w:spacing w:val="-1"/>
                <w:position w:val="1"/>
                <w:sz w:val="20"/>
                <w:szCs w:val="20"/>
              </w:rPr>
              <w:t>5</w:t>
            </w:r>
            <w:r>
              <w:rPr>
                <w:rFonts w:ascii="Microsoft Sans Serif" w:hAnsi="Microsoft Sans Serif" w:eastAsia="Times New Roman" w:cs="Microsoft Sans Serif"/>
                <w:spacing w:val="2"/>
                <w:position w:val="1"/>
                <w:sz w:val="20"/>
                <w:szCs w:val="20"/>
                <w:lang w:val="sr-Cyrl-RS"/>
              </w:rPr>
              <w:t>,</w:t>
            </w:r>
            <w:r>
              <w:rPr>
                <w:rFonts w:ascii="Microsoft Sans Serif" w:hAnsi="Microsoft Sans Serif" w:eastAsia="Calibri" w:cs="Microsoft Sans Serif"/>
                <w:position w:val="1"/>
                <w:sz w:val="20"/>
                <w:szCs w:val="20"/>
              </w:rPr>
              <w:t>3%</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(80</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4-89</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4</w:t>
            </w:r>
            <w:r>
              <w:rPr>
                <w:rFonts w:ascii="Microsoft Sans Serif" w:hAnsi="Microsoft Sans Serif" w:eastAsia="Calibri" w:cs="Microsoft Sans Serif"/>
                <w:position w:val="1"/>
                <w:sz w:val="20"/>
                <w:szCs w:val="20"/>
              </w:rPr>
              <w:t>)</w:t>
            </w:r>
          </w:p>
        </w:tc>
        <w:tc>
          <w:tcPr>
            <w:tcW w:w="2084" w:type="dxa"/>
            <w:gridSpan w:val="2"/>
          </w:tcPr>
          <w:p w14:paraId="438FF90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73</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position w:val="1"/>
                <w:sz w:val="20"/>
                <w:szCs w:val="20"/>
              </w:rPr>
              <w:t>5%</w:t>
            </w:r>
            <w:r>
              <w:rPr>
                <w:rFonts w:ascii="Microsoft Sans Serif" w:hAnsi="Microsoft Sans Serif" w:eastAsia="Calibri" w:cs="Microsoft Sans Serif"/>
                <w:spacing w:val="18"/>
                <w:position w:val="1"/>
                <w:sz w:val="20"/>
                <w:szCs w:val="20"/>
              </w:rPr>
              <w:t xml:space="preserve"> </w:t>
            </w:r>
            <w:r>
              <w:rPr>
                <w:rFonts w:ascii="Microsoft Sans Serif" w:hAnsi="Microsoft Sans Serif" w:eastAsia="Calibri" w:cs="Microsoft Sans Serif"/>
                <w:position w:val="1"/>
                <w:sz w:val="20"/>
                <w:szCs w:val="20"/>
              </w:rPr>
              <w:t>(</w:t>
            </w:r>
            <w:r>
              <w:rPr>
                <w:rFonts w:ascii="Microsoft Sans Serif" w:hAnsi="Microsoft Sans Serif" w:eastAsia="Calibri" w:cs="Microsoft Sans Serif"/>
                <w:spacing w:val="1"/>
                <w:position w:val="1"/>
                <w:sz w:val="20"/>
                <w:szCs w:val="20"/>
              </w:rPr>
              <w:t>6</w:t>
            </w:r>
            <w:r>
              <w:rPr>
                <w:rFonts w:ascii="Microsoft Sans Serif" w:hAnsi="Microsoft Sans Serif" w:eastAsia="Calibri" w:cs="Microsoft Sans Serif"/>
                <w:spacing w:val="-1"/>
                <w:position w:val="1"/>
                <w:sz w:val="20"/>
                <w:szCs w:val="20"/>
              </w:rPr>
              <w:t>7</w:t>
            </w:r>
            <w:r>
              <w:rPr>
                <w:rFonts w:ascii="Microsoft Sans Serif" w:hAnsi="Microsoft Sans Serif" w:eastAsia="Times New Roman" w:cs="Microsoft Sans Serif"/>
                <w:position w:val="1"/>
                <w:sz w:val="20"/>
                <w:szCs w:val="20"/>
                <w:lang w:val="sr-Cyrl-RS"/>
              </w:rPr>
              <w:t>,</w:t>
            </w:r>
            <w:r>
              <w:rPr>
                <w:rFonts w:ascii="Microsoft Sans Serif" w:hAnsi="Microsoft Sans Serif" w:eastAsia="Calibri" w:cs="Microsoft Sans Serif"/>
                <w:position w:val="1"/>
                <w:sz w:val="20"/>
                <w:szCs w:val="20"/>
              </w:rPr>
              <w:t>7-78</w:t>
            </w:r>
            <w:r>
              <w:rPr>
                <w:rFonts w:ascii="Microsoft Sans Serif" w:hAnsi="Microsoft Sans Serif" w:eastAsia="Times New Roman" w:cs="Microsoft Sans Serif"/>
                <w:spacing w:val="1"/>
                <w:position w:val="1"/>
                <w:sz w:val="20"/>
                <w:szCs w:val="20"/>
                <w:lang w:val="sr-Cyrl-RS"/>
              </w:rPr>
              <w:t>,</w:t>
            </w:r>
            <w:r>
              <w:rPr>
                <w:rFonts w:ascii="Microsoft Sans Serif" w:hAnsi="Microsoft Sans Serif" w:eastAsia="Calibri" w:cs="Microsoft Sans Serif"/>
                <w:spacing w:val="-1"/>
                <w:position w:val="1"/>
                <w:sz w:val="20"/>
                <w:szCs w:val="20"/>
              </w:rPr>
              <w:t>7</w:t>
            </w:r>
            <w:r>
              <w:rPr>
                <w:rFonts w:ascii="Microsoft Sans Serif" w:hAnsi="Microsoft Sans Serif" w:eastAsia="Calibri" w:cs="Microsoft Sans Serif"/>
                <w:position w:val="1"/>
                <w:sz w:val="20"/>
                <w:szCs w:val="20"/>
              </w:rPr>
              <w:t>)</w:t>
            </w:r>
          </w:p>
        </w:tc>
        <w:tc>
          <w:tcPr>
            <w:tcW w:w="1932" w:type="dxa"/>
          </w:tcPr>
          <w:p w14:paraId="055066A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6575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9072" w:type="dxa"/>
            <w:gridSpan w:val="5"/>
          </w:tcPr>
          <w:p w14:paraId="4CF7B7EA">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u roku od 24 mjeseca</w:t>
            </w:r>
          </w:p>
        </w:tc>
      </w:tr>
      <w:tr w14:paraId="73E2E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0CB946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4D0A5C30">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217F6CA4">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74</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2%</w:t>
            </w:r>
          </w:p>
        </w:tc>
        <w:tc>
          <w:tcPr>
            <w:tcW w:w="1932" w:type="dxa"/>
          </w:tcPr>
          <w:p w14:paraId="307782D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59A9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20A8B3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8ACA6A">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2084" w:type="dxa"/>
            <w:gridSpan w:val="2"/>
          </w:tcPr>
          <w:p w14:paraId="6C8428C2">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251C9C0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7A2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644C765">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36 mjeseci</w:t>
            </w:r>
          </w:p>
        </w:tc>
      </w:tr>
      <w:tr w14:paraId="41A0B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6460D9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28847BC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7D8D48EC">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3%</w:t>
            </w:r>
          </w:p>
        </w:tc>
        <w:tc>
          <w:tcPr>
            <w:tcW w:w="1932" w:type="dxa"/>
          </w:tcPr>
          <w:p w14:paraId="30337873">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512D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CBB51D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49405EA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457D19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6B45006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01A85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508E643D">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48 mjeseci</w:t>
            </w:r>
          </w:p>
        </w:tc>
      </w:tr>
      <w:tr w14:paraId="5D2D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7B2EDF">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3AC1E20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82</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3B09E52D">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05A9C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28CE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C4EA59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30341209">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87</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6%</w:t>
            </w:r>
          </w:p>
        </w:tc>
        <w:tc>
          <w:tcPr>
            <w:tcW w:w="2084" w:type="dxa"/>
            <w:gridSpan w:val="2"/>
          </w:tcPr>
          <w:p w14:paraId="58A4BE3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4322CAE7">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BD59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4AF8031">
            <w:pPr>
              <w:widowControl w:val="0"/>
              <w:tabs>
                <w:tab w:val="left" w:pos="1160"/>
              </w:tabs>
              <w:spacing w:line="247"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position w:val="1"/>
                <w:sz w:val="20"/>
                <w:szCs w:val="20"/>
              </w:rPr>
              <w:t>u roku od 60 mjeseci</w:t>
            </w:r>
          </w:p>
        </w:tc>
      </w:tr>
      <w:tr w14:paraId="15389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BC58386">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w:t>
            </w:r>
            <w:r>
              <w:rPr>
                <w:rFonts w:ascii="Microsoft Sans Serif" w:hAnsi="Microsoft Sans Serif" w:eastAsia="Calibri" w:cs="Microsoft Sans Serif"/>
                <w:spacing w:val="-1"/>
                <w:sz w:val="20"/>
                <w:szCs w:val="20"/>
              </w:rPr>
              <w:t>C</w:t>
            </w:r>
            <w:r>
              <w:rPr>
                <w:rFonts w:ascii="Microsoft Sans Serif" w:hAnsi="Microsoft Sans Serif" w:eastAsia="Calibri" w:cs="Microsoft Sans Serif"/>
                <w:spacing w:val="3"/>
                <w:sz w:val="20"/>
                <w:szCs w:val="20"/>
              </w:rPr>
              <w:t>y</w:t>
            </w:r>
            <w:r>
              <w:rPr>
                <w:rFonts w:ascii="Microsoft Sans Serif" w:hAnsi="Microsoft Sans Serif" w:eastAsia="Calibri" w:cs="Microsoft Sans Serif"/>
                <w:sz w:val="20"/>
                <w:szCs w:val="20"/>
              </w:rPr>
              <w:t>R</w:t>
            </w:r>
            <w:r>
              <w:rPr>
                <w:rFonts w:ascii="Microsoft Sans Serif" w:hAnsi="Microsoft Sans Serif" w:eastAsia="Calibri" w:cs="Microsoft Sans Serif"/>
                <w:position w:val="8"/>
                <w:sz w:val="20"/>
                <w:szCs w:val="20"/>
              </w:rPr>
              <w:t>a</w:t>
            </w:r>
          </w:p>
        </w:tc>
        <w:tc>
          <w:tcPr>
            <w:tcW w:w="2381" w:type="dxa"/>
          </w:tcPr>
          <w:p w14:paraId="7353825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65BD566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5%</w:t>
            </w:r>
          </w:p>
        </w:tc>
        <w:tc>
          <w:tcPr>
            <w:tcW w:w="1932" w:type="dxa"/>
          </w:tcPr>
          <w:p w14:paraId="2BA933E5">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75394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6F97DC8">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position w:val="1"/>
                <w:sz w:val="20"/>
                <w:szCs w:val="20"/>
              </w:rPr>
              <w:t>C</w:t>
            </w:r>
            <w:r>
              <w:rPr>
                <w:rFonts w:ascii="Microsoft Sans Serif" w:hAnsi="Microsoft Sans Serif" w:eastAsia="Calibri" w:cs="Microsoft Sans Serif"/>
                <w:spacing w:val="-1"/>
                <w:position w:val="1"/>
                <w:sz w:val="20"/>
                <w:szCs w:val="20"/>
              </w:rPr>
              <w:t>C</w:t>
            </w:r>
            <w:r>
              <w:rPr>
                <w:rFonts w:ascii="Microsoft Sans Serif" w:hAnsi="Microsoft Sans Serif" w:eastAsia="Calibri" w:cs="Microsoft Sans Serif"/>
                <w:spacing w:val="3"/>
                <w:position w:val="1"/>
                <w:sz w:val="20"/>
                <w:szCs w:val="20"/>
              </w:rPr>
              <w:t>y</w:t>
            </w:r>
            <w:r>
              <w:rPr>
                <w:rFonts w:ascii="Microsoft Sans Serif" w:hAnsi="Microsoft Sans Serif" w:eastAsia="Calibri" w:cs="Microsoft Sans Serif"/>
                <w:spacing w:val="-1"/>
                <w:position w:val="1"/>
                <w:sz w:val="20"/>
                <w:szCs w:val="20"/>
              </w:rPr>
              <w:t>R</w:t>
            </w:r>
            <w:r>
              <w:rPr>
                <w:rFonts w:ascii="Microsoft Sans Serif" w:hAnsi="Microsoft Sans Serif" w:eastAsia="Calibri" w:cs="Microsoft Sans Serif"/>
                <w:position w:val="9"/>
                <w:sz w:val="20"/>
                <w:szCs w:val="20"/>
              </w:rPr>
              <w:t>b</w:t>
            </w:r>
          </w:p>
        </w:tc>
        <w:tc>
          <w:tcPr>
            <w:tcW w:w="2381" w:type="dxa"/>
          </w:tcPr>
          <w:p w14:paraId="1C5B4311">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0%</w:t>
            </w:r>
          </w:p>
        </w:tc>
        <w:tc>
          <w:tcPr>
            <w:tcW w:w="2084" w:type="dxa"/>
            <w:gridSpan w:val="2"/>
          </w:tcPr>
          <w:p w14:paraId="74289BBE">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83</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w:t>
            </w:r>
          </w:p>
        </w:tc>
        <w:tc>
          <w:tcPr>
            <w:tcW w:w="1932" w:type="dxa"/>
          </w:tcPr>
          <w:p w14:paraId="54EBCD8B">
            <w:pPr>
              <w:widowControl w:val="0"/>
              <w:tabs>
                <w:tab w:val="left" w:pos="1160"/>
              </w:tabs>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p>
        </w:tc>
      </w:tr>
      <w:tr w14:paraId="39BA8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6D35A4DE">
            <w:pPr>
              <w:widowControl w:val="0"/>
              <w:tabs>
                <w:tab w:val="left" w:pos="1160"/>
              </w:tabs>
              <w:spacing w:line="247" w:lineRule="auto"/>
              <w:rPr>
                <w:rFonts w:ascii="Microsoft Sans Serif" w:hAnsi="Microsoft Sans Serif" w:eastAsia="Times New Roman" w:cs="Microsoft Sans Serif"/>
                <w:b/>
                <w:position w:val="1"/>
                <w:sz w:val="20"/>
                <w:szCs w:val="20"/>
              </w:rPr>
            </w:pPr>
            <w:r>
              <w:rPr>
                <w:rFonts w:ascii="Microsoft Sans Serif" w:hAnsi="Microsoft Sans Serif" w:eastAsia="Calibri" w:cs="Microsoft Sans Serif"/>
                <w:b/>
                <w:position w:val="1"/>
                <w:sz w:val="20"/>
                <w:szCs w:val="20"/>
              </w:rPr>
              <w:t>Značajan molekularni</w:t>
            </w:r>
          </w:p>
          <w:p w14:paraId="309AB265">
            <w:pPr>
              <w:widowControl w:val="0"/>
              <w:tabs>
                <w:tab w:val="left" w:pos="1160"/>
              </w:tabs>
              <w:spacing w:line="247" w:lineRule="auto"/>
              <w:rPr>
                <w:rFonts w:ascii="Microsoft Sans Serif" w:hAnsi="Microsoft Sans Serif" w:eastAsia="Times New Roman" w:cs="Microsoft Sans Serif"/>
                <w:b/>
                <w:sz w:val="20"/>
                <w:szCs w:val="20"/>
              </w:rPr>
            </w:pPr>
            <w:r>
              <w:rPr>
                <w:rFonts w:ascii="Microsoft Sans Serif" w:hAnsi="Microsoft Sans Serif" w:eastAsia="Calibri" w:cs="Microsoft Sans Serif"/>
                <w:b/>
                <w:position w:val="1"/>
                <w:sz w:val="20"/>
                <w:szCs w:val="20"/>
              </w:rPr>
              <w:t>odgovor</w:t>
            </w:r>
            <w:r>
              <w:rPr>
                <w:rFonts w:ascii="Microsoft Sans Serif" w:hAnsi="Microsoft Sans Serif" w:eastAsia="Calibri" w:cs="Microsoft Sans Serif"/>
                <w:b/>
                <w:position w:val="1"/>
                <w:sz w:val="20"/>
                <w:szCs w:val="20"/>
                <w:vertAlign w:val="superscript"/>
              </w:rPr>
              <w:t>c</w:t>
            </w:r>
          </w:p>
        </w:tc>
      </w:tr>
      <w:tr w14:paraId="521E3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43DC3765">
            <w:pPr>
              <w:widowControl w:val="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12</w:t>
            </w:r>
            <w:r>
              <w:rPr>
                <w:rFonts w:ascii="Microsoft Sans Serif" w:hAnsi="Microsoft Sans Serif" w:eastAsia="Calibri" w:cs="Microsoft Sans Serif"/>
                <w:b/>
                <w:bCs/>
                <w:spacing w:val="8"/>
                <w:sz w:val="20"/>
                <w:szCs w:val="20"/>
              </w:rPr>
              <w:t xml:space="preserve"> </w:t>
            </w:r>
            <w:r>
              <w:rPr>
                <w:rFonts w:ascii="Microsoft Sans Serif" w:hAnsi="Microsoft Sans Serif" w:eastAsia="Calibri" w:cs="Microsoft Sans Serif"/>
                <w:b/>
                <w:bCs/>
                <w:spacing w:val="1"/>
                <w:sz w:val="20"/>
                <w:szCs w:val="20"/>
              </w:rPr>
              <w:t>mjeseci</w:t>
            </w:r>
          </w:p>
        </w:tc>
        <w:tc>
          <w:tcPr>
            <w:tcW w:w="2381" w:type="dxa"/>
          </w:tcPr>
          <w:p w14:paraId="7245FB9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5</w:t>
            </w:r>
            <w:r>
              <w:rPr>
                <w:rFonts w:ascii="Microsoft Sans Serif" w:hAnsi="Microsoft Sans Serif" w:eastAsia="Calibri" w:cs="Microsoft Sans Serif"/>
                <w:spacing w:val="-1"/>
                <w:sz w:val="20"/>
                <w:szCs w:val="20"/>
              </w:rPr>
              <w:t>2</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z w:val="20"/>
                <w:szCs w:val="20"/>
              </w:rPr>
              <w:t>(45</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z w:val="20"/>
                <w:szCs w:val="20"/>
              </w:rPr>
              <w:t>–58</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w:t>
            </w:r>
          </w:p>
        </w:tc>
        <w:tc>
          <w:tcPr>
            <w:tcW w:w="2084" w:type="dxa"/>
            <w:gridSpan w:val="2"/>
          </w:tcPr>
          <w:p w14:paraId="01D1271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33</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8%</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9)</w:t>
            </w:r>
          </w:p>
        </w:tc>
        <w:tc>
          <w:tcPr>
            <w:tcW w:w="1932" w:type="dxa"/>
          </w:tcPr>
          <w:p w14:paraId="4FD5A4C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3*</w:t>
            </w:r>
          </w:p>
        </w:tc>
      </w:tr>
      <w:tr w14:paraId="5FEF5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CF8A1A8">
            <w:pPr>
              <w:widowControl w:val="0"/>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24</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mjeseca</w:t>
            </w:r>
          </w:p>
        </w:tc>
        <w:tc>
          <w:tcPr>
            <w:tcW w:w="2381" w:type="dxa"/>
          </w:tcPr>
          <w:p w14:paraId="195E9329">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4</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(58</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3-70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2084" w:type="dxa"/>
            <w:gridSpan w:val="2"/>
          </w:tcPr>
          <w:p w14:paraId="5C403960">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50%</w:t>
            </w:r>
            <w:r>
              <w:rPr>
                <w:rFonts w:ascii="Microsoft Sans Serif" w:hAnsi="Microsoft Sans Serif" w:eastAsia="Calibri" w:cs="Microsoft Sans Serif"/>
                <w:spacing w:val="14"/>
                <w:position w:val="2"/>
                <w:sz w:val="20"/>
                <w:szCs w:val="20"/>
              </w:rPr>
              <w:t xml:space="preserve"> </w:t>
            </w:r>
            <w:r>
              <w:rPr>
                <w:rFonts w:ascii="Microsoft Sans Serif" w:hAnsi="Microsoft Sans Serif" w:eastAsia="Calibri" w:cs="Microsoft Sans Serif"/>
                <w:spacing w:val="1"/>
                <w:position w:val="2"/>
                <w:sz w:val="20"/>
                <w:szCs w:val="20"/>
              </w:rPr>
              <w:t>(</w:t>
            </w:r>
            <w:r>
              <w:rPr>
                <w:rFonts w:ascii="Microsoft Sans Serif" w:hAnsi="Microsoft Sans Serif" w:eastAsia="Calibri" w:cs="Microsoft Sans Serif"/>
                <w:position w:val="2"/>
                <w:sz w:val="20"/>
                <w:szCs w:val="20"/>
              </w:rPr>
              <w:t>4</w:t>
            </w:r>
            <w:r>
              <w:rPr>
                <w:rFonts w:ascii="Microsoft Sans Serif" w:hAnsi="Microsoft Sans Serif" w:eastAsia="Calibri" w:cs="Microsoft Sans Serif"/>
                <w:spacing w:val="-1"/>
                <w:position w:val="2"/>
                <w:sz w:val="20"/>
                <w:szCs w:val="20"/>
              </w:rPr>
              <w:t>3</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2)</w:t>
            </w:r>
          </w:p>
        </w:tc>
        <w:tc>
          <w:tcPr>
            <w:tcW w:w="1932" w:type="dxa"/>
          </w:tcPr>
          <w:p w14:paraId="26E5FB88">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EA4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C64A03B">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36</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3B63F6BD">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1%</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(63</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1-74</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7</w:t>
            </w:r>
            <w:r>
              <w:rPr>
                <w:rFonts w:ascii="Microsoft Sans Serif" w:hAnsi="Microsoft Sans Serif" w:eastAsia="Calibri" w:cs="Microsoft Sans Serif"/>
                <w:position w:val="2"/>
                <w:sz w:val="20"/>
                <w:szCs w:val="20"/>
              </w:rPr>
              <w:t>)</w:t>
            </w:r>
          </w:p>
        </w:tc>
        <w:tc>
          <w:tcPr>
            <w:tcW w:w="2084" w:type="dxa"/>
            <w:gridSpan w:val="2"/>
          </w:tcPr>
          <w:p w14:paraId="04FD7B84">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56</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2%</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4</w:t>
            </w:r>
            <w:r>
              <w:rPr>
                <w:rFonts w:ascii="Microsoft Sans Serif" w:hAnsi="Microsoft Sans Serif" w:eastAsia="Calibri" w:cs="Microsoft Sans Serif"/>
                <w:spacing w:val="-1"/>
                <w:position w:val="2"/>
                <w:sz w:val="20"/>
                <w:szCs w:val="20"/>
              </w:rPr>
              <w:t>9</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9-62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3</w:t>
            </w:r>
            <w:r>
              <w:rPr>
                <w:rFonts w:ascii="Microsoft Sans Serif" w:hAnsi="Microsoft Sans Serif" w:eastAsia="Calibri" w:cs="Microsoft Sans Serif"/>
                <w:position w:val="2"/>
                <w:sz w:val="20"/>
                <w:szCs w:val="20"/>
              </w:rPr>
              <w:t>)</w:t>
            </w:r>
          </w:p>
        </w:tc>
        <w:tc>
          <w:tcPr>
            <w:tcW w:w="1932" w:type="dxa"/>
          </w:tcPr>
          <w:p w14:paraId="0B783C0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sz w:val="20"/>
                <w:szCs w:val="20"/>
              </w:rPr>
              <w:t>-</w:t>
            </w:r>
          </w:p>
        </w:tc>
      </w:tr>
      <w:tr w14:paraId="1C3AF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736478D">
            <w:pPr>
              <w:widowControl w:val="0"/>
              <w:rPr>
                <w:rFonts w:ascii="Microsoft Sans Serif" w:hAnsi="Microsoft Sans Serif" w:eastAsia="Times New Roman" w:cs="Microsoft Sans Serif"/>
                <w:b/>
                <w:bCs/>
                <w:position w:val="2"/>
                <w:sz w:val="20"/>
                <w:szCs w:val="20"/>
              </w:rPr>
            </w:pPr>
            <w:r>
              <w:rPr>
                <w:rFonts w:ascii="Microsoft Sans Serif" w:hAnsi="Microsoft Sans Serif" w:eastAsia="Calibri" w:cs="Microsoft Sans Serif"/>
                <w:b/>
                <w:bCs/>
                <w:position w:val="2"/>
                <w:sz w:val="20"/>
                <w:szCs w:val="20"/>
              </w:rPr>
              <w:t>48</w:t>
            </w:r>
            <w:r>
              <w:rPr>
                <w:rFonts w:ascii="Microsoft Sans Serif" w:hAnsi="Microsoft Sans Serif" w:eastAsia="Calibri" w:cs="Microsoft Sans Serif"/>
                <w:b/>
                <w:bCs/>
                <w:spacing w:val="8"/>
                <w:position w:val="2"/>
                <w:sz w:val="20"/>
                <w:szCs w:val="20"/>
              </w:rPr>
              <w:t xml:space="preserve"> </w:t>
            </w:r>
            <w:r>
              <w:rPr>
                <w:rFonts w:ascii="Microsoft Sans Serif" w:hAnsi="Microsoft Sans Serif" w:eastAsia="Calibri" w:cs="Microsoft Sans Serif"/>
                <w:b/>
                <w:bCs/>
                <w:spacing w:val="1"/>
                <w:position w:val="2"/>
                <w:sz w:val="20"/>
                <w:szCs w:val="20"/>
              </w:rPr>
              <w:t>m</w:t>
            </w:r>
            <w:r>
              <w:rPr>
                <w:rFonts w:ascii="Microsoft Sans Serif" w:hAnsi="Microsoft Sans Serif" w:eastAsia="Calibri" w:cs="Microsoft Sans Serif"/>
                <w:b/>
                <w:bCs/>
                <w:position w:val="2"/>
                <w:sz w:val="20"/>
                <w:szCs w:val="20"/>
              </w:rPr>
              <w:t>jeseci</w:t>
            </w:r>
          </w:p>
        </w:tc>
        <w:tc>
          <w:tcPr>
            <w:tcW w:w="2381" w:type="dxa"/>
          </w:tcPr>
          <w:p w14:paraId="18639F6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
                <w:position w:val="2"/>
                <w:sz w:val="20"/>
                <w:szCs w:val="20"/>
              </w:rPr>
              <w:t>5</w:t>
            </w:r>
            <w:r>
              <w:rPr>
                <w:rFonts w:ascii="Microsoft Sans Serif" w:hAnsi="Microsoft Sans Serif" w:eastAsia="Times New Roman" w:cs="Microsoft Sans Serif"/>
                <w:spacing w:val="2"/>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(70</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0-80</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8</w:t>
            </w:r>
            <w:r>
              <w:rPr>
                <w:rFonts w:ascii="Microsoft Sans Serif" w:hAnsi="Microsoft Sans Serif" w:eastAsia="Calibri" w:cs="Microsoft Sans Serif"/>
                <w:position w:val="2"/>
                <w:sz w:val="20"/>
                <w:szCs w:val="20"/>
              </w:rPr>
              <w:t>)</w:t>
            </w:r>
          </w:p>
        </w:tc>
        <w:tc>
          <w:tcPr>
            <w:tcW w:w="2084" w:type="dxa"/>
            <w:gridSpan w:val="2"/>
          </w:tcPr>
          <w:p w14:paraId="40E6E837">
            <w:pPr>
              <w:widowControl w:val="0"/>
              <w:jc w:val="center"/>
              <w:rPr>
                <w:rFonts w:ascii="Microsoft Sans Serif" w:hAnsi="Microsoft Sans Serif" w:eastAsia="Times New Roman" w:cs="Microsoft Sans Serif"/>
                <w:position w:val="2"/>
                <w:sz w:val="20"/>
                <w:szCs w:val="20"/>
              </w:rPr>
            </w:pPr>
            <w:r>
              <w:rPr>
                <w:rFonts w:ascii="Microsoft Sans Serif" w:hAnsi="Microsoft Sans Serif" w:eastAsia="Calibri" w:cs="Microsoft Sans Serif"/>
                <w:position w:val="2"/>
                <w:sz w:val="20"/>
                <w:szCs w:val="20"/>
              </w:rPr>
              <w:t>62</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position w:val="2"/>
                <w:sz w:val="20"/>
                <w:szCs w:val="20"/>
              </w:rPr>
              <w:t>7%</w:t>
            </w:r>
            <w:r>
              <w:rPr>
                <w:rFonts w:ascii="Microsoft Sans Serif" w:hAnsi="Microsoft Sans Serif" w:eastAsia="Calibri" w:cs="Microsoft Sans Serif"/>
                <w:spacing w:val="18"/>
                <w:position w:val="2"/>
                <w:sz w:val="20"/>
                <w:szCs w:val="20"/>
              </w:rPr>
              <w:t xml:space="preserve"> </w:t>
            </w:r>
            <w:r>
              <w:rPr>
                <w:rFonts w:ascii="Microsoft Sans Serif" w:hAnsi="Microsoft Sans Serif" w:eastAsia="Calibri" w:cs="Microsoft Sans Serif"/>
                <w:position w:val="2"/>
                <w:sz w:val="20"/>
                <w:szCs w:val="20"/>
              </w:rPr>
              <w:t>(</w:t>
            </w:r>
            <w:r>
              <w:rPr>
                <w:rFonts w:ascii="Microsoft Sans Serif" w:hAnsi="Microsoft Sans Serif" w:eastAsia="Calibri" w:cs="Microsoft Sans Serif"/>
                <w:spacing w:val="1"/>
                <w:position w:val="2"/>
                <w:sz w:val="20"/>
                <w:szCs w:val="20"/>
              </w:rPr>
              <w:t>5</w:t>
            </w:r>
            <w:r>
              <w:rPr>
                <w:rFonts w:ascii="Microsoft Sans Serif" w:hAnsi="Microsoft Sans Serif" w:eastAsia="Calibri" w:cs="Microsoft Sans Serif"/>
                <w:spacing w:val="-1"/>
                <w:position w:val="2"/>
                <w:sz w:val="20"/>
                <w:szCs w:val="20"/>
              </w:rPr>
              <w:t>6</w:t>
            </w:r>
            <w:r>
              <w:rPr>
                <w:rFonts w:ascii="Microsoft Sans Serif" w:hAnsi="Microsoft Sans Serif" w:eastAsia="Times New Roman" w:cs="Microsoft Sans Serif"/>
                <w:position w:val="2"/>
                <w:sz w:val="20"/>
                <w:szCs w:val="20"/>
                <w:lang w:val="sr-Cyrl-RS"/>
              </w:rPr>
              <w:t>,</w:t>
            </w:r>
            <w:r>
              <w:rPr>
                <w:rFonts w:ascii="Microsoft Sans Serif" w:hAnsi="Microsoft Sans Serif" w:eastAsia="Calibri" w:cs="Microsoft Sans Serif"/>
                <w:position w:val="2"/>
                <w:sz w:val="20"/>
                <w:szCs w:val="20"/>
              </w:rPr>
              <w:t>5-68</w:t>
            </w:r>
            <w:r>
              <w:rPr>
                <w:rFonts w:ascii="Microsoft Sans Serif" w:hAnsi="Microsoft Sans Serif" w:eastAsia="Times New Roman" w:cs="Microsoft Sans Serif"/>
                <w:spacing w:val="1"/>
                <w:position w:val="2"/>
                <w:sz w:val="20"/>
                <w:szCs w:val="20"/>
                <w:lang w:val="sr-Cyrl-RS"/>
              </w:rPr>
              <w:t>,</w:t>
            </w:r>
            <w:r>
              <w:rPr>
                <w:rFonts w:ascii="Microsoft Sans Serif" w:hAnsi="Microsoft Sans Serif" w:eastAsia="Calibri" w:cs="Microsoft Sans Serif"/>
                <w:spacing w:val="-1"/>
                <w:position w:val="2"/>
                <w:sz w:val="20"/>
                <w:szCs w:val="20"/>
              </w:rPr>
              <w:t>6</w:t>
            </w:r>
            <w:r>
              <w:rPr>
                <w:rFonts w:ascii="Microsoft Sans Serif" w:hAnsi="Microsoft Sans Serif" w:eastAsia="Calibri" w:cs="Microsoft Sans Serif"/>
                <w:position w:val="2"/>
                <w:sz w:val="20"/>
                <w:szCs w:val="20"/>
              </w:rPr>
              <w:t>)</w:t>
            </w:r>
          </w:p>
        </w:tc>
        <w:tc>
          <w:tcPr>
            <w:tcW w:w="1932" w:type="dxa"/>
          </w:tcPr>
          <w:p w14:paraId="75676FDA">
            <w:pPr>
              <w:widowControl w:val="0"/>
              <w:jc w:val="center"/>
              <w:rPr>
                <w:rFonts w:ascii="Microsoft Sans Serif" w:hAnsi="Microsoft Sans Serif" w:eastAsia="Symbol" w:cs="Microsoft Sans Serif"/>
                <w:sz w:val="20"/>
                <w:szCs w:val="20"/>
              </w:rPr>
            </w:pPr>
            <w:r>
              <w:rPr>
                <w:rFonts w:ascii="Microsoft Sans Serif" w:hAnsi="Microsoft Sans Serif" w:eastAsia="Symbol" w:cs="Microsoft Sans Serif"/>
                <w:w w:val="103"/>
                <w:sz w:val="20"/>
                <w:szCs w:val="20"/>
              </w:rPr>
              <w:t>-</w:t>
            </w:r>
          </w:p>
        </w:tc>
      </w:tr>
      <w:tr w14:paraId="243B8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1C47575C">
            <w:pPr>
              <w:widowControl w:val="0"/>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60</w:t>
            </w:r>
            <w:r>
              <w:rPr>
                <w:rFonts w:ascii="Microsoft Sans Serif" w:hAnsi="Microsoft Sans Serif" w:eastAsia="Calibri" w:cs="Microsoft Sans Serif"/>
                <w:b/>
                <w:bCs/>
                <w:spacing w:val="8"/>
                <w:position w:val="-1"/>
                <w:sz w:val="20"/>
                <w:szCs w:val="20"/>
              </w:rPr>
              <w:t xml:space="preserve"> </w:t>
            </w:r>
            <w:r>
              <w:rPr>
                <w:rFonts w:ascii="Microsoft Sans Serif" w:hAnsi="Microsoft Sans Serif" w:eastAsia="Calibri" w:cs="Microsoft Sans Serif"/>
                <w:b/>
                <w:bCs/>
                <w:spacing w:val="1"/>
                <w:position w:val="-1"/>
                <w:sz w:val="20"/>
                <w:szCs w:val="20"/>
              </w:rPr>
              <w:t>m</w:t>
            </w:r>
            <w:r>
              <w:rPr>
                <w:rFonts w:ascii="Microsoft Sans Serif" w:hAnsi="Microsoft Sans Serif" w:eastAsia="Calibri" w:cs="Microsoft Sans Serif"/>
                <w:b/>
                <w:bCs/>
                <w:position w:val="-1"/>
                <w:sz w:val="20"/>
                <w:szCs w:val="20"/>
              </w:rPr>
              <w:t>jeseci</w:t>
            </w:r>
          </w:p>
        </w:tc>
        <w:tc>
          <w:tcPr>
            <w:tcW w:w="2381" w:type="dxa"/>
            <w:tcBorders>
              <w:bottom w:val="single" w:color="auto" w:sz="2" w:space="0"/>
            </w:tcBorders>
          </w:tcPr>
          <w:p w14:paraId="77EF3617">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lang w:val="sr-Cyrl-RS"/>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(70</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8-81</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p>
        </w:tc>
        <w:tc>
          <w:tcPr>
            <w:tcW w:w="2084" w:type="dxa"/>
            <w:gridSpan w:val="2"/>
            <w:tcBorders>
              <w:bottom w:val="single" w:color="auto" w:sz="2" w:space="0"/>
            </w:tcBorders>
          </w:tcPr>
          <w:p w14:paraId="2EFB101C">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64</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8"/>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pacing w:val="-1"/>
                <w:sz w:val="20"/>
                <w:szCs w:val="20"/>
              </w:rPr>
              <w:t>8</w:t>
            </w:r>
            <w:r>
              <w:rPr>
                <w:rFonts w:ascii="Microsoft Sans Serif" w:hAnsi="Microsoft Sans Serif" w:eastAsia="Times New Roman" w:cs="Microsoft Sans Serif"/>
                <w:sz w:val="20"/>
                <w:szCs w:val="20"/>
                <w:lang w:val="sr-Cyrl-RS"/>
              </w:rPr>
              <w:t>,</w:t>
            </w:r>
            <w:r>
              <w:rPr>
                <w:rFonts w:ascii="Microsoft Sans Serif" w:hAnsi="Microsoft Sans Serif" w:eastAsia="Calibri" w:cs="Microsoft Sans Serif"/>
                <w:sz w:val="20"/>
                <w:szCs w:val="20"/>
              </w:rPr>
              <w:t>1-70</w:t>
            </w:r>
            <w:r>
              <w:rPr>
                <w:rFonts w:ascii="Microsoft Sans Serif" w:hAnsi="Microsoft Sans Serif" w:eastAsia="Times New Roman" w:cs="Microsoft Sans Serif"/>
                <w:spacing w:val="1"/>
                <w:sz w:val="20"/>
                <w:szCs w:val="20"/>
                <w:lang w:val="sr-Cyrl-RS"/>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p>
        </w:tc>
        <w:tc>
          <w:tcPr>
            <w:tcW w:w="1932" w:type="dxa"/>
            <w:tcBorders>
              <w:bottom w:val="single" w:color="auto" w:sz="2" w:space="0"/>
            </w:tcBorders>
          </w:tcPr>
          <w:p w14:paraId="70A5D078">
            <w:pPr>
              <w:widowControl w:val="0"/>
              <w:spacing w:line="227"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lang w:val="sr-Cyrl-RS"/>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1</w:t>
            </w:r>
          </w:p>
        </w:tc>
      </w:tr>
      <w:tr w14:paraId="1BDDA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Borders>
              <w:top w:val="single" w:color="auto" w:sz="2" w:space="0"/>
            </w:tcBorders>
          </w:tcPr>
          <w:p w14:paraId="1A5DCF12">
            <w:pPr>
              <w:widowControl w:val="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b/>
                <w:bCs/>
                <w:sz w:val="20"/>
                <w:szCs w:val="20"/>
              </w:rPr>
              <w:t>Odnos rizika</w:t>
            </w:r>
            <w:r>
              <w:rPr>
                <w:rFonts w:ascii="Microsoft Sans Serif" w:hAnsi="Microsoft Sans Serif" w:eastAsia="Calibri" w:cs="Microsoft Sans Serif"/>
                <w:b/>
                <w:bCs/>
                <w:spacing w:val="14"/>
                <w:sz w:val="20"/>
                <w:szCs w:val="20"/>
              </w:rPr>
              <w:t xml:space="preserve"> </w:t>
            </w:r>
            <w:r>
              <w:rPr>
                <w:rFonts w:ascii="Microsoft Sans Serif" w:hAnsi="Microsoft Sans Serif" w:eastAsia="Calibri" w:cs="Microsoft Sans Serif"/>
                <w:b/>
                <w:bCs/>
                <w:w w:val="103"/>
                <w:sz w:val="20"/>
                <w:szCs w:val="20"/>
              </w:rPr>
              <w:t>(</w:t>
            </w:r>
            <w:r>
              <w:rPr>
                <w:rFonts w:ascii="Microsoft Sans Serif" w:hAnsi="Microsoft Sans Serif" w:eastAsia="Calibri" w:cs="Microsoft Sans Serif"/>
                <w:b/>
                <w:bCs/>
                <w:spacing w:val="-1"/>
                <w:w w:val="103"/>
                <w:sz w:val="20"/>
                <w:szCs w:val="20"/>
              </w:rPr>
              <w:t>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3"/>
                <w:sz w:val="20"/>
                <w:szCs w:val="20"/>
              </w:rPr>
              <w:t>)</w:t>
            </w:r>
          </w:p>
        </w:tc>
      </w:tr>
      <w:tr w14:paraId="34009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20609353">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u periodu od 12 mjeseci (99,99% CI)</w:t>
            </w:r>
          </w:p>
        </w:tc>
      </w:tr>
      <w:tr w14:paraId="38E48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5DB5CC1">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Vrijeme do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B82207F">
            <w:pPr>
              <w:widowControl w:val="0"/>
              <w:jc w:val="center"/>
              <w:rPr>
                <w:rFonts w:ascii="Microsoft Sans Serif" w:hAnsi="Microsoft Sans Serif" w:eastAsia="Times New Roman" w:cs="Microsoft Sans Serif"/>
                <w:b/>
                <w:bCs/>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3)</w:t>
            </w:r>
          </w:p>
        </w:tc>
        <w:tc>
          <w:tcPr>
            <w:tcW w:w="2684" w:type="dxa"/>
            <w:gridSpan w:val="2"/>
          </w:tcPr>
          <w:p w14:paraId="6A256D71">
            <w:pPr>
              <w:widowControl w:val="0"/>
              <w:spacing w:line="20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0201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265D61F">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07D43DE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01</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2-3</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74587EB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p&lt;</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250A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5C42F58">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5258E7FC">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684" w:type="dxa"/>
            <w:gridSpan w:val="2"/>
          </w:tcPr>
          <w:p w14:paraId="37C8950A">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p</w:t>
            </w:r>
            <w:r>
              <w:rPr>
                <w:rFonts w:ascii="Microsoft Sans Serif" w:hAnsi="Microsoft Sans Serif" w:eastAsia="Calibri" w:cs="Microsoft Sans Serif"/>
                <w:sz w:val="20"/>
                <w:szCs w:val="20"/>
              </w:rPr>
              <w:t>&lt;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035</w:t>
            </w:r>
          </w:p>
        </w:tc>
      </w:tr>
      <w:tr w14:paraId="58D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1E87BFF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sz w:val="20"/>
                <w:szCs w:val="20"/>
              </w:rPr>
              <w:t>u periodu od 24 mjeseca (95% CI)</w:t>
            </w:r>
          </w:p>
        </w:tc>
      </w:tr>
      <w:tr w14:paraId="01CC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DE8F0E2">
            <w:pPr>
              <w:widowControl w:val="0"/>
              <w:spacing w:line="280"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w:t>
            </w:r>
            <w:r>
              <w:rPr>
                <w:rFonts w:ascii="Microsoft Sans Serif" w:hAnsi="Microsoft Sans Serif" w:eastAsia="Calibri" w:cs="Microsoft Sans Serif"/>
                <w:spacing w:val="20"/>
                <w:sz w:val="20"/>
                <w:szCs w:val="20"/>
              </w:rPr>
              <w:t xml:space="preserve"> </w:t>
            </w:r>
            <w:r>
              <w:rPr>
                <w:rFonts w:ascii="Microsoft Sans Serif" w:hAnsi="Microsoft Sans Serif" w:eastAsia="Calibri" w:cs="Microsoft Sans Serif"/>
                <w:w w:val="103"/>
                <w:sz w:val="20"/>
                <w:szCs w:val="20"/>
              </w:rPr>
              <w:t>cC</w:t>
            </w:r>
            <w:r>
              <w:rPr>
                <w:rFonts w:ascii="Microsoft Sans Serif" w:hAnsi="Microsoft Sans Serif" w:eastAsia="Calibri" w:cs="Microsoft Sans Serif"/>
                <w:spacing w:val="1"/>
                <w:w w:val="103"/>
                <w:sz w:val="20"/>
                <w:szCs w:val="20"/>
              </w:rPr>
              <w:t>Cy</w:t>
            </w:r>
            <w:r>
              <w:rPr>
                <w:rFonts w:ascii="Microsoft Sans Serif" w:hAnsi="Microsoft Sans Serif" w:eastAsia="Calibri" w:cs="Microsoft Sans Serif"/>
                <w:w w:val="103"/>
                <w:sz w:val="20"/>
                <w:szCs w:val="20"/>
              </w:rPr>
              <w:t>R</w:t>
            </w:r>
          </w:p>
        </w:tc>
        <w:tc>
          <w:tcPr>
            <w:tcW w:w="3713" w:type="dxa"/>
            <w:gridSpan w:val="2"/>
          </w:tcPr>
          <w:p w14:paraId="1C6DFEB9">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22-1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82)</w:t>
            </w:r>
          </w:p>
        </w:tc>
        <w:tc>
          <w:tcPr>
            <w:tcW w:w="2684" w:type="dxa"/>
            <w:gridSpan w:val="2"/>
          </w:tcPr>
          <w:p w14:paraId="42D1B2F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FB4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20FB2D8">
            <w:pPr>
              <w:widowControl w:val="0"/>
              <w:spacing w:line="280" w:lineRule="exact"/>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Vrijeme do</w:t>
            </w:r>
            <w:r>
              <w:rPr>
                <w:rFonts w:ascii="Microsoft Sans Serif" w:hAnsi="Microsoft Sans Serif" w:eastAsia="Calibri" w:cs="Microsoft Sans Serif"/>
                <w:spacing w:val="19"/>
                <w:sz w:val="20"/>
                <w:szCs w:val="20"/>
              </w:rPr>
              <w:t xml:space="preserve"> </w:t>
            </w:r>
            <w:r>
              <w:rPr>
                <w:rFonts w:ascii="Microsoft Sans Serif" w:hAnsi="Microsoft Sans Serif" w:eastAsia="Calibri" w:cs="Microsoft Sans Serif"/>
                <w:spacing w:val="1"/>
                <w:w w:val="103"/>
                <w:sz w:val="20"/>
                <w:szCs w:val="20"/>
              </w:rPr>
              <w:t>M</w:t>
            </w:r>
            <w:r>
              <w:rPr>
                <w:rFonts w:ascii="Microsoft Sans Serif" w:hAnsi="Microsoft Sans Serif" w:eastAsia="Calibri" w:cs="Microsoft Sans Serif"/>
                <w:w w:val="103"/>
                <w:sz w:val="20"/>
                <w:szCs w:val="20"/>
              </w:rPr>
              <w:t>MR</w:t>
            </w:r>
          </w:p>
        </w:tc>
        <w:tc>
          <w:tcPr>
            <w:tcW w:w="3713" w:type="dxa"/>
            <w:gridSpan w:val="2"/>
          </w:tcPr>
          <w:p w14:paraId="7F4CB1D4">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2"/>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34-2</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12)</w:t>
            </w:r>
          </w:p>
        </w:tc>
        <w:tc>
          <w:tcPr>
            <w:tcW w:w="2684" w:type="dxa"/>
            <w:gridSpan w:val="2"/>
          </w:tcPr>
          <w:p w14:paraId="3C4F0D0C">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7B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7306822">
            <w:pPr>
              <w:widowControl w:val="0"/>
              <w:spacing w:line="247" w:lineRule="auto"/>
              <w:jc w:val="center"/>
              <w:rPr>
                <w:rFonts w:ascii="Microsoft Sans Serif" w:hAnsi="Microsoft Sans Serif" w:eastAsia="Times New Roman" w:cs="Microsoft Sans Serif"/>
                <w:sz w:val="20"/>
                <w:szCs w:val="20"/>
              </w:rPr>
            </w:pPr>
            <w:r>
              <w:rPr>
                <w:rFonts w:ascii="Microsoft Sans Serif" w:hAnsi="Microsoft Sans Serif" w:eastAsia="Calibri" w:cs="Microsoft Sans Serif"/>
                <w:spacing w:val="7"/>
                <w:sz w:val="20"/>
                <w:szCs w:val="20"/>
              </w:rPr>
              <w:t xml:space="preserve">Trajanje </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R</w:t>
            </w:r>
          </w:p>
        </w:tc>
        <w:tc>
          <w:tcPr>
            <w:tcW w:w="3713" w:type="dxa"/>
            <w:gridSpan w:val="2"/>
          </w:tcPr>
          <w:p w14:paraId="67178C7B">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r>
              <w:rPr>
                <w:rFonts w:ascii="Microsoft Sans Serif" w:hAnsi="Microsoft Sans Serif" w:eastAsia="Calibri" w:cs="Microsoft Sans Serif"/>
                <w:spacing w:val="11"/>
                <w:sz w:val="20"/>
                <w:szCs w:val="20"/>
              </w:rPr>
              <w:t xml:space="preserve"> </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55-1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10)</w:t>
            </w:r>
          </w:p>
        </w:tc>
        <w:tc>
          <w:tcPr>
            <w:tcW w:w="2684" w:type="dxa"/>
            <w:gridSpan w:val="2"/>
          </w:tcPr>
          <w:p w14:paraId="0D754A5D">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01FBD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49A60AD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b/>
                <w:bCs/>
                <w:sz w:val="20"/>
                <w:szCs w:val="20"/>
              </w:rPr>
              <w:t>u periodu od</w:t>
            </w:r>
            <w:r>
              <w:rPr>
                <w:rFonts w:ascii="Microsoft Sans Serif" w:hAnsi="Microsoft Sans Serif" w:eastAsia="Calibri" w:cs="Microsoft Sans Serif"/>
                <w:b/>
                <w:bCs/>
                <w:spacing w:val="18"/>
                <w:sz w:val="20"/>
                <w:szCs w:val="20"/>
              </w:rPr>
              <w:t xml:space="preserve"> </w:t>
            </w:r>
            <w:r>
              <w:rPr>
                <w:rFonts w:ascii="Microsoft Sans Serif" w:hAnsi="Microsoft Sans Serif" w:eastAsia="Calibri" w:cs="Microsoft Sans Serif"/>
                <w:b/>
                <w:bCs/>
                <w:sz w:val="20"/>
                <w:szCs w:val="20"/>
              </w:rPr>
              <w:t>36</w:t>
            </w:r>
            <w:r>
              <w:rPr>
                <w:rFonts w:ascii="Microsoft Sans Serif" w:hAnsi="Microsoft Sans Serif" w:eastAsia="Calibri" w:cs="Microsoft Sans Serif"/>
                <w:b/>
                <w:bCs/>
                <w:spacing w:val="9"/>
                <w:sz w:val="20"/>
                <w:szCs w:val="20"/>
              </w:rPr>
              <w:t xml:space="preserve"> </w:t>
            </w:r>
            <w:r>
              <w:rPr>
                <w:rFonts w:ascii="Microsoft Sans Serif" w:hAnsi="Microsoft Sans Serif" w:eastAsia="Calibri" w:cs="Microsoft Sans Serif"/>
                <w:b/>
                <w:bCs/>
                <w:sz w:val="20"/>
                <w:szCs w:val="20"/>
              </w:rPr>
              <w:t>mjeseci</w:t>
            </w:r>
            <w:r>
              <w:rPr>
                <w:rFonts w:ascii="Microsoft Sans Serif" w:hAnsi="Microsoft Sans Serif" w:eastAsia="Calibri" w:cs="Microsoft Sans Serif"/>
                <w:b/>
                <w:bCs/>
                <w:spacing w:val="21"/>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w:t>
            </w:r>
            <w:r>
              <w:rPr>
                <w:rFonts w:ascii="Microsoft Sans Serif" w:hAnsi="Microsoft Sans Serif" w:eastAsia="Calibri" w:cs="Microsoft Sans Serif"/>
                <w:b/>
                <w:bCs/>
                <w:spacing w:val="-1"/>
                <w:w w:val="103"/>
                <w:sz w:val="20"/>
                <w:szCs w:val="20"/>
              </w:rPr>
              <w:t>I</w:t>
            </w:r>
            <w:r>
              <w:rPr>
                <w:rFonts w:ascii="Microsoft Sans Serif" w:hAnsi="Microsoft Sans Serif" w:eastAsia="Calibri" w:cs="Microsoft Sans Serif"/>
                <w:b/>
                <w:bCs/>
                <w:w w:val="103"/>
                <w:sz w:val="20"/>
                <w:szCs w:val="20"/>
              </w:rPr>
              <w:t>)</w:t>
            </w:r>
          </w:p>
        </w:tc>
      </w:tr>
      <w:tr w14:paraId="69301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35B1E371">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46F28D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48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22-1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80)</w:t>
            </w:r>
          </w:p>
        </w:tc>
        <w:tc>
          <w:tcPr>
            <w:tcW w:w="2684" w:type="dxa"/>
            <w:gridSpan w:val="2"/>
          </w:tcPr>
          <w:p w14:paraId="377D9E56">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DBE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5D0190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4B5D4470">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59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28-1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99)</w:t>
            </w:r>
          </w:p>
        </w:tc>
        <w:tc>
          <w:tcPr>
            <w:tcW w:w="2684" w:type="dxa"/>
            <w:gridSpan w:val="2"/>
          </w:tcPr>
          <w:p w14:paraId="54175254">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1AE5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95AFDF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22CED8E2">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53-1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11)</w:t>
            </w:r>
          </w:p>
        </w:tc>
        <w:tc>
          <w:tcPr>
            <w:tcW w:w="2684" w:type="dxa"/>
            <w:gridSpan w:val="2"/>
          </w:tcPr>
          <w:p w14:paraId="7463273F">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AA5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740122E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48 mjeseci (95% CI)</w:t>
            </w:r>
          </w:p>
        </w:tc>
      </w:tr>
      <w:tr w14:paraId="27AF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77E3A6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737A621D">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3912F789">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7D11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008B0525">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051182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91)</w:t>
            </w:r>
          </w:p>
        </w:tc>
        <w:tc>
          <w:tcPr>
            <w:tcW w:w="2684" w:type="dxa"/>
            <w:gridSpan w:val="2"/>
          </w:tcPr>
          <w:p w14:paraId="7218ADD1">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6CB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6B6845A7">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Pr>
          <w:p w14:paraId="1A44F82E">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81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56-1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17)</w:t>
            </w:r>
          </w:p>
        </w:tc>
        <w:tc>
          <w:tcPr>
            <w:tcW w:w="2684" w:type="dxa"/>
            <w:gridSpan w:val="2"/>
          </w:tcPr>
          <w:p w14:paraId="62F1AE63">
            <w:pPr>
              <w:widowControl w:val="0"/>
              <w:jc w:val="center"/>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w:t>
            </w:r>
          </w:p>
        </w:tc>
      </w:tr>
      <w:tr w14:paraId="3EF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9072" w:type="dxa"/>
            <w:gridSpan w:val="5"/>
          </w:tcPr>
          <w:p w14:paraId="01E16531">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b/>
                <w:bCs/>
                <w:sz w:val="20"/>
                <w:szCs w:val="20"/>
              </w:rPr>
              <w:t>u periodu od 60 mjeseci (95% CI)</w:t>
            </w:r>
          </w:p>
        </w:tc>
      </w:tr>
      <w:tr w14:paraId="10BC0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247724E8">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Vrijeme do cCCyR</w:t>
            </w:r>
          </w:p>
        </w:tc>
        <w:tc>
          <w:tcPr>
            <w:tcW w:w="3713" w:type="dxa"/>
            <w:gridSpan w:val="2"/>
          </w:tcPr>
          <w:p w14:paraId="09CF8C96">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46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20-1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77)</w:t>
            </w:r>
          </w:p>
        </w:tc>
        <w:tc>
          <w:tcPr>
            <w:tcW w:w="2684" w:type="dxa"/>
            <w:gridSpan w:val="2"/>
          </w:tcPr>
          <w:p w14:paraId="7A5101B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0538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Pr>
          <w:p w14:paraId="1997F89F">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Vrijeme do MMR</w:t>
            </w:r>
          </w:p>
        </w:tc>
        <w:tc>
          <w:tcPr>
            <w:tcW w:w="3713" w:type="dxa"/>
            <w:gridSpan w:val="2"/>
          </w:tcPr>
          <w:p w14:paraId="7629B723">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54 (1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89)</w:t>
            </w:r>
          </w:p>
        </w:tc>
        <w:tc>
          <w:tcPr>
            <w:tcW w:w="2684" w:type="dxa"/>
            <w:gridSpan w:val="2"/>
          </w:tcPr>
          <w:p w14:paraId="3963AF94">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&lt;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1</w:t>
            </w:r>
          </w:p>
        </w:tc>
      </w:tr>
      <w:tr w14:paraId="4372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2675" w:type="dxa"/>
            <w:tcBorders>
              <w:bottom w:val="single" w:color="auto" w:sz="2" w:space="0"/>
            </w:tcBorders>
          </w:tcPr>
          <w:p w14:paraId="60C6D058">
            <w:pPr>
              <w:widowControl w:val="0"/>
              <w:jc w:val="center"/>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Trajanje cCCyR</w:t>
            </w:r>
          </w:p>
        </w:tc>
        <w:tc>
          <w:tcPr>
            <w:tcW w:w="3713" w:type="dxa"/>
            <w:gridSpan w:val="2"/>
            <w:tcBorders>
              <w:bottom w:val="single" w:color="auto" w:sz="2" w:space="0"/>
            </w:tcBorders>
          </w:tcPr>
          <w:p w14:paraId="4633A319">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79 (0</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55-1</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13)</w:t>
            </w:r>
          </w:p>
        </w:tc>
        <w:tc>
          <w:tcPr>
            <w:tcW w:w="2684" w:type="dxa"/>
            <w:gridSpan w:val="2"/>
            <w:tcBorders>
              <w:bottom w:val="single" w:color="auto" w:sz="2" w:space="0"/>
            </w:tcBorders>
          </w:tcPr>
          <w:p w14:paraId="4604DBD6">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p</w:t>
            </w:r>
            <w:r>
              <w:rPr>
                <w:rFonts w:ascii="Microsoft Sans Serif" w:hAnsi="Microsoft Sans Serif" w:eastAsia="Calibri"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3</w:t>
            </w:r>
          </w:p>
        </w:tc>
      </w:tr>
    </w:tbl>
    <w:p w14:paraId="4BA73A7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Potvrđen potpuni citogenetski odgovor (cCCyR) definiše se kao odgovor zabilježen na dva uzastopna pregleda (u razmaku od najmanje 28 dana)</w:t>
      </w:r>
    </w:p>
    <w:p w14:paraId="697BCC1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Potpuni citogenetski odgovor (CCyR) zasniva se na samo jednoj citogenetskoj procjeni koštane srži</w:t>
      </w:r>
    </w:p>
    <w:p w14:paraId="30ABA39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lang w:val="sr-Latn-RS"/>
        </w:rPr>
        <w:t xml:space="preserve"> Značajan molekularni odgovor (u bilo kom momentu) definisan je kao BCR-ABL odnos ≤ 0,1% na RQ-PCR u uzorcima periferne krvi standardizovan prema Međunarodnoj skali. Ovo su kumulativne vrijednosti koje predstavljaju minimum praćenja za navedeni vremenski rok</w:t>
      </w:r>
    </w:p>
    <w:p w14:paraId="60EBA9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Prilagođeno prema Hasford-ovom skoru i navedena statistička značajnost prema unaprijed određenom nominalnom nivou značajnosti. CI = interval pouzdanosti.</w:t>
      </w:r>
    </w:p>
    <w:p w14:paraId="644F8757">
      <w:pPr>
        <w:rPr>
          <w:rFonts w:ascii="Microsoft Sans Serif" w:hAnsi="Microsoft Sans Serif" w:cs="Microsoft Sans Serif"/>
          <w:bCs/>
          <w:sz w:val="20"/>
          <w:szCs w:val="20"/>
          <w:lang w:val="sr-Latn-RS"/>
        </w:rPr>
      </w:pPr>
    </w:p>
    <w:p w14:paraId="75A307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sa potvrđenim CCyR, nakon 60 mjeseci praćenja, medijana vremena do cCCyR iznosila je 3,1 mjeseci u grupi koja je primala dasatinib i 5,8 mjeseci u grupi koja je primala imatinib. Medijana vremena do MMR nakon 60 mjeseci praćenja bila je 9,3 mjeseci u grupi koja je primala dasatinib i 15,0 mjeseci u grupi koja je primala imatinib kod pacijenata sa MMR. Ovi rezultati su konzistentni sa rezultatima zablježenim nakon 12, 24 i 36 mjeseci.</w:t>
      </w:r>
    </w:p>
    <w:p w14:paraId="7BC8FF27">
      <w:pPr>
        <w:rPr>
          <w:rFonts w:ascii="Microsoft Sans Serif" w:hAnsi="Microsoft Sans Serif" w:cs="Microsoft Sans Serif"/>
          <w:bCs/>
          <w:sz w:val="20"/>
          <w:szCs w:val="20"/>
          <w:lang w:val="sr-Latn-RS"/>
        </w:rPr>
      </w:pPr>
    </w:p>
    <w:p w14:paraId="15D7D84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Vrijeme do MMR grafički je prikazano na Slici 1. Vrijeme do MMR konzistentno je bilo kraće kod pacijenata liječenih dasatinibom nego kod onih koji su liječeni imatinibom.</w:t>
      </w:r>
    </w:p>
    <w:p w14:paraId="3CB302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1: Procjena vremena po Kaplan-Meier-u do značajnog molekularnog odgovora (MMR)</w:t>
      </w:r>
    </w:p>
    <w:p w14:paraId="7CC5FE5C">
      <w:pPr>
        <w:rPr>
          <w:rFonts w:ascii="Microsoft Sans Serif" w:hAnsi="Microsoft Sans Serif" w:cs="Microsoft Sans Serif"/>
          <w:b/>
          <w:bCs/>
          <w:sz w:val="20"/>
          <w:szCs w:val="20"/>
          <w:lang w:val="sr-Latn-RS"/>
        </w:rPr>
      </w:pPr>
    </w:p>
    <w:p w14:paraId="3A8257D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0288" behindDoc="0" locked="0" layoutInCell="1" allowOverlap="1">
                <wp:simplePos x="0" y="0"/>
                <wp:positionH relativeFrom="column">
                  <wp:posOffset>-1540510</wp:posOffset>
                </wp:positionH>
                <wp:positionV relativeFrom="paragraph">
                  <wp:posOffset>1064260</wp:posOffset>
                </wp:positionV>
                <wp:extent cx="2424430" cy="285115"/>
                <wp:effectExtent l="2540" t="0" r="17145" b="17145"/>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424115" cy="285115"/>
                        </a:xfrm>
                        <a:prstGeom prst="rect">
                          <a:avLst/>
                        </a:prstGeom>
                        <a:solidFill>
                          <a:srgbClr val="FFFFFF"/>
                        </a:solidFill>
                        <a:ln w="9525">
                          <a:solidFill>
                            <a:srgbClr val="000000"/>
                          </a:solidFill>
                          <a:miter lim="800000"/>
                        </a:ln>
                      </wps:spPr>
                      <wps:txb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1.3pt;margin-top:83.8pt;height:22.45pt;width:190.9pt;rotation:-5898240f;z-index:251660288;mso-width-relative:page;mso-height-relative:page;" fillcolor="#FFFFFF" filled="t" stroked="t" coordsize="21600,21600" o:gfxdata="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Vibn7aAAAADAEAAA8AAAAAAAAAAQAgAAAAIgAAAGRycy9k&#10;b3ducmV2LnhtbFBLAQIUABQAAAAIAIdO4kDd4weZOQIAAIsEAAAOAAAAAAAAAAEAIAAAACkBAABk&#10;cnMvZTJvRG9jLnhtbFBLBQYAAAAABgAGAFkBAADUBQAAAAA=&#10;">
                <v:fill on="t" focussize="0,0"/>
                <v:stroke color="#000000" miterlimit="8" joinstyle="miter"/>
                <v:imagedata o:title=""/>
                <o:lock v:ext="edit" aspectratio="f"/>
                <v:textbox>
                  <w:txbxContent>
                    <w:p w14:paraId="778EA7D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BROJ ONIH KOJI SU ODGOVORILI</w:t>
                      </w:r>
                    </w:p>
                  </w:txbxContent>
                </v:textbox>
              </v:shape>
            </w:pict>
          </mc:Fallback>
        </mc:AlternateContent>
      </w:r>
      <w:r>
        <w:rPr>
          <w:rFonts w:ascii="Microsoft Sans Serif" w:hAnsi="Microsoft Sans Serif" w:cs="Microsoft Sans Serif"/>
          <w:b/>
          <w:bCs/>
          <w:sz w:val="20"/>
          <w:szCs w:val="20"/>
        </w:rPr>
        <w:drawing>
          <wp:inline distT="0" distB="0" distL="0" distR="0">
            <wp:extent cx="4822190" cy="2639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22190" cy="2639695"/>
                    </a:xfrm>
                    <a:prstGeom prst="rect">
                      <a:avLst/>
                    </a:prstGeom>
                    <a:noFill/>
                  </pic:spPr>
                </pic:pic>
              </a:graphicData>
            </a:graphic>
          </wp:inline>
        </w:drawing>
      </w:r>
    </w:p>
    <w:p w14:paraId="1222CB48">
      <w:pPr>
        <w:rPr>
          <w:rFonts w:ascii="Microsoft Sans Serif" w:hAnsi="Microsoft Sans Serif" w:cs="Microsoft Sans Serif"/>
          <w:bCs/>
          <w:sz w:val="20"/>
          <w:szCs w:val="20"/>
          <w:lang w:val="sr-Latn-RS"/>
        </w:rPr>
      </w:pPr>
      <w:r>
        <w:rPr>
          <w:rFonts w:ascii="Microsoft Sans Serif" w:hAnsi="Microsoft Sans Serif" w:cs="Microsoft Sans Serif"/>
          <w:b/>
          <w:bCs/>
          <w:sz w:val="20"/>
          <w:szCs w:val="20"/>
          <w:lang w:val="sr-Latn-RS"/>
        </w:rPr>
        <w:t xml:space="preserve">                                                                                                                           MJESECI</w:t>
      </w:r>
    </w:p>
    <w:p w14:paraId="79357AA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 Dasatinib                                                                          ------ Imatinib</w:t>
      </w:r>
    </w:p>
    <w:p w14:paraId="1837B456">
      <w:pPr>
        <w:rPr>
          <w:szCs w:val="22"/>
        </w:rPr>
      </w:pPr>
      <w:r>
        <w:rPr>
          <w:rFonts w:ascii="Microsoft Sans Serif" w:hAnsi="Microsoft Sans Serif" w:cs="Microsoft Sans Serif"/>
          <w:bCs/>
          <w:sz w:val="20"/>
          <w:szCs w:val="20"/>
          <w:lang w:val="sr-Latn-RS"/>
        </w:rPr>
        <w:t xml:space="preserve">               </w:t>
      </w:r>
      <w:r>
        <w:drawing>
          <wp:anchor distT="0" distB="0" distL="114300" distR="114300" simplePos="0" relativeHeight="251659264" behindDoc="1" locked="0" layoutInCell="1" allowOverlap="1">
            <wp:simplePos x="0" y="0"/>
            <wp:positionH relativeFrom="page">
              <wp:posOffset>1177290</wp:posOffset>
            </wp:positionH>
            <wp:positionV relativeFrom="paragraph">
              <wp:posOffset>48260</wp:posOffset>
            </wp:positionV>
            <wp:extent cx="351155" cy="83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51155" cy="83185"/>
                    </a:xfrm>
                    <a:prstGeom prst="rect">
                      <a:avLst/>
                    </a:prstGeom>
                    <a:noFill/>
                    <a:ln>
                      <a:noFill/>
                    </a:ln>
                  </pic:spPr>
                </pic:pic>
              </a:graphicData>
            </a:graphic>
          </wp:anchor>
        </w:drawing>
      </w:r>
      <w:r>
        <w:rPr>
          <w:szCs w:val="22"/>
        </w:rPr>
        <w:t xml:space="preserve">    </w:t>
      </w:r>
      <w:r>
        <w:rPr>
          <w:rFonts w:ascii="Microsoft Sans Serif" w:hAnsi="Microsoft Sans Serif" w:cs="Microsoft Sans Serif"/>
          <w:sz w:val="20"/>
          <w:szCs w:val="20"/>
        </w:rPr>
        <w:t>cenzurisano</w:t>
      </w:r>
      <w:r>
        <w:rPr>
          <w:szCs w:val="22"/>
        </w:rPr>
        <w:tab/>
      </w:r>
      <w:r>
        <w:rPr>
          <w:szCs w:val="22"/>
        </w:rPr>
        <w:t xml:space="preserve">                                                         </w:t>
      </w:r>
      <w:r>
        <w:rPr>
          <w:szCs w:val="22"/>
        </w:rPr>
        <w:drawing>
          <wp:inline distT="0" distB="0" distL="0" distR="0">
            <wp:extent cx="259080" cy="83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9080" cy="83820"/>
                    </a:xfrm>
                    <a:prstGeom prst="rect">
                      <a:avLst/>
                    </a:prstGeom>
                    <a:noFill/>
                    <a:ln>
                      <a:noFill/>
                    </a:ln>
                  </pic:spPr>
                </pic:pic>
              </a:graphicData>
            </a:graphic>
          </wp:inline>
        </w:drawing>
      </w:r>
      <w:r>
        <w:rPr>
          <w:rFonts w:ascii="Microsoft Sans Serif" w:hAnsi="Microsoft Sans Serif" w:cs="Microsoft Sans Serif"/>
          <w:sz w:val="20"/>
          <w:szCs w:val="20"/>
        </w:rPr>
        <w:t>cenzurisano</w:t>
      </w:r>
    </w:p>
    <w:p w14:paraId="5F2E9B6A">
      <w:pPr>
        <w:rPr>
          <w:rFonts w:ascii="Microsoft Sans Serif" w:hAnsi="Microsoft Sans Serif" w:cs="Microsoft Sans Serif"/>
          <w:bCs/>
          <w:sz w:val="20"/>
          <w:szCs w:val="20"/>
          <w:lang w:val="sr-Latn-RS"/>
        </w:rPr>
      </w:pPr>
    </w:p>
    <w:p w14:paraId="71A97129">
      <w:pPr>
        <w:rPr>
          <w:rFonts w:ascii="Microsoft Sans Serif" w:hAnsi="Microsoft Sans Serif" w:cs="Microsoft Sans Serif"/>
          <w:bCs/>
          <w:sz w:val="20"/>
          <w:szCs w:val="20"/>
          <w:u w:val="single"/>
          <w:lang w:val="sr-Latn-RS"/>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81"/>
        <w:gridCol w:w="3081"/>
        <w:gridCol w:w="3081"/>
      </w:tblGrid>
      <w:tr w14:paraId="0CD2E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bottom w:val="single" w:color="auto" w:sz="12" w:space="0"/>
            </w:tcBorders>
          </w:tcPr>
          <w:p w14:paraId="036DD704">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GRUPA </w:t>
            </w:r>
          </w:p>
        </w:tc>
        <w:tc>
          <w:tcPr>
            <w:tcW w:w="3081" w:type="dxa"/>
            <w:tcBorders>
              <w:bottom w:val="single" w:color="auto" w:sz="12" w:space="0"/>
            </w:tcBorders>
          </w:tcPr>
          <w:p w14:paraId="0ACB59C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BROJ ONIH KOJI SU</w:t>
            </w:r>
          </w:p>
          <w:p w14:paraId="36408202">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 xml:space="preserve">ODGOVORILI/ </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bCs/>
                <w:sz w:val="20"/>
                <w:szCs w:val="20"/>
                <w:lang w:val="sr-Latn-RS"/>
              </w:rPr>
              <w:t>KOJI SU</w:t>
            </w:r>
          </w:p>
          <w:p w14:paraId="63C86895">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RANDOMIZOVANI</w:t>
            </w:r>
          </w:p>
          <w:p w14:paraId="27DE6169">
            <w:pPr>
              <w:widowControl w:val="0"/>
              <w:rPr>
                <w:rFonts w:ascii="Microsoft Sans Serif" w:hAnsi="Microsoft Sans Serif" w:eastAsia="Calibri" w:cs="Microsoft Sans Serif"/>
                <w:bCs/>
                <w:sz w:val="20"/>
                <w:szCs w:val="20"/>
                <w:lang w:val="sr-Latn-RS"/>
              </w:rPr>
            </w:pPr>
          </w:p>
        </w:tc>
        <w:tc>
          <w:tcPr>
            <w:tcW w:w="3081" w:type="dxa"/>
            <w:tcBorders>
              <w:bottom w:val="single" w:color="auto" w:sz="12" w:space="0"/>
            </w:tcBorders>
          </w:tcPr>
          <w:p w14:paraId="194BD263">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ODNOS RIZIKA (95% CI)</w:t>
            </w:r>
          </w:p>
        </w:tc>
      </w:tr>
      <w:tr w14:paraId="17954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Borders>
              <w:top w:val="single" w:color="auto" w:sz="12" w:space="0"/>
            </w:tcBorders>
          </w:tcPr>
          <w:p w14:paraId="10F1F19C">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Dasatinib </w:t>
            </w:r>
          </w:p>
        </w:tc>
        <w:tc>
          <w:tcPr>
            <w:tcW w:w="3081" w:type="dxa"/>
            <w:tcBorders>
              <w:top w:val="single" w:color="auto" w:sz="12" w:space="0"/>
            </w:tcBorders>
          </w:tcPr>
          <w:p w14:paraId="2CCEB8E7">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198/259</w:t>
            </w:r>
          </w:p>
        </w:tc>
        <w:tc>
          <w:tcPr>
            <w:tcW w:w="3081" w:type="dxa"/>
            <w:tcBorders>
              <w:top w:val="single" w:color="auto" w:sz="12" w:space="0"/>
            </w:tcBorders>
          </w:tcPr>
          <w:p w14:paraId="1198377C">
            <w:pPr>
              <w:widowControl w:val="0"/>
              <w:rPr>
                <w:rFonts w:ascii="Microsoft Sans Serif" w:hAnsi="Microsoft Sans Serif" w:eastAsia="Calibri" w:cs="Microsoft Sans Serif"/>
                <w:bCs/>
                <w:sz w:val="20"/>
                <w:szCs w:val="20"/>
                <w:lang w:val="sr-Latn-RS"/>
              </w:rPr>
            </w:pPr>
          </w:p>
        </w:tc>
      </w:tr>
      <w:tr w14:paraId="585F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53ED619E">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 xml:space="preserve">Imatinib </w:t>
            </w:r>
          </w:p>
        </w:tc>
        <w:tc>
          <w:tcPr>
            <w:tcW w:w="3081" w:type="dxa"/>
          </w:tcPr>
          <w:p w14:paraId="54C6D8B1">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167/260</w:t>
            </w:r>
          </w:p>
        </w:tc>
        <w:tc>
          <w:tcPr>
            <w:tcW w:w="3081" w:type="dxa"/>
          </w:tcPr>
          <w:p w14:paraId="6B73E686">
            <w:pPr>
              <w:widowControl w:val="0"/>
              <w:rPr>
                <w:rFonts w:ascii="Microsoft Sans Serif" w:hAnsi="Microsoft Sans Serif" w:eastAsia="Calibri" w:cs="Microsoft Sans Serif"/>
                <w:bCs/>
                <w:sz w:val="20"/>
                <w:szCs w:val="20"/>
                <w:lang w:val="sr-Latn-RS"/>
              </w:rPr>
            </w:pPr>
          </w:p>
        </w:tc>
      </w:tr>
      <w:tr w14:paraId="4A184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81" w:type="dxa"/>
          </w:tcPr>
          <w:p w14:paraId="6607404B">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sz w:val="20"/>
                <w:szCs w:val="20"/>
              </w:rPr>
              <w:t>Dasatinib u odnosu na imatinib</w:t>
            </w:r>
          </w:p>
        </w:tc>
        <w:tc>
          <w:tcPr>
            <w:tcW w:w="3081" w:type="dxa"/>
          </w:tcPr>
          <w:p w14:paraId="3F3A7AFA">
            <w:pPr>
              <w:widowControl w:val="0"/>
              <w:rPr>
                <w:rFonts w:ascii="Microsoft Sans Serif" w:hAnsi="Microsoft Sans Serif" w:eastAsia="Calibri" w:cs="Microsoft Sans Serif"/>
                <w:bCs/>
                <w:sz w:val="20"/>
                <w:szCs w:val="20"/>
                <w:lang w:val="sr-Latn-RS"/>
              </w:rPr>
            </w:pPr>
          </w:p>
        </w:tc>
        <w:tc>
          <w:tcPr>
            <w:tcW w:w="3081" w:type="dxa"/>
          </w:tcPr>
          <w:p w14:paraId="418C9AB8">
            <w:pPr>
              <w:widowControl w:val="0"/>
              <w:rPr>
                <w:rFonts w:ascii="Microsoft Sans Serif" w:hAnsi="Microsoft Sans Serif" w:eastAsia="Calibri" w:cs="Microsoft Sans Serif"/>
                <w:bCs/>
                <w:sz w:val="20"/>
                <w:szCs w:val="20"/>
                <w:lang w:val="sr-Latn-RS"/>
              </w:rPr>
            </w:pPr>
            <w:r>
              <w:rPr>
                <w:rFonts w:ascii="Microsoft Sans Serif" w:hAnsi="Microsoft Sans Serif" w:eastAsia="Calibri" w:cs="Microsoft Sans Serif"/>
                <w:bCs/>
                <w:sz w:val="20"/>
                <w:szCs w:val="20"/>
                <w:lang w:val="sr-Latn-RS"/>
              </w:rPr>
              <w:t>1,54 (1,25 - 1,89)</w:t>
            </w:r>
          </w:p>
        </w:tc>
      </w:tr>
    </w:tbl>
    <w:p w14:paraId="0C671674">
      <w:pPr>
        <w:rPr>
          <w:rFonts w:ascii="Microsoft Sans Serif" w:hAnsi="Microsoft Sans Serif" w:cs="Microsoft Sans Serif"/>
          <w:bCs/>
          <w:sz w:val="20"/>
          <w:szCs w:val="20"/>
          <w:u w:val="single"/>
          <w:lang w:val="sr-Latn-RS"/>
        </w:rPr>
      </w:pPr>
    </w:p>
    <w:p w14:paraId="2AE647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cCCyR u terapijskoj grupi koja je primala dasatinib odnosno terapijskoj grupi koja je primala imatinib nakon 3 mjeseca (54% odnosno 30%), 6 mjeseci (70% odnosno 56%), 9 mjeseci (75% odnosno 63%), 24 mjeseca (80% i 74%), 36 mjeseci (83% i 77%), 48 mjeseci (83% i 79%) i 60 mjeseci (83% i 79%) bile su konzistentne sa primarnim parametrom praćenja. Stope MMR u terapijskoj grupi koja je primala dasatinib odnosno imatinib u periodu od 3 mjeseca (8% odnosno 0,4%), 6 mjeseci (27% odnosno 8%), 9 mjeseci (39% odnosno 18%), 12 mjeseci (46% odnosno 28%), 24 mjeseca (64% i 46%), 36 mjeseci (67% i 55% ), 48 mjeseci (73% i 60%) i 60 mjeseci (76% i 64%) takođe su bile konzistentne sa primarnim parametrom praćenja.</w:t>
      </w:r>
    </w:p>
    <w:p w14:paraId="791B17E5">
      <w:pPr>
        <w:rPr>
          <w:rFonts w:ascii="Microsoft Sans Serif" w:hAnsi="Microsoft Sans Serif" w:cs="Microsoft Sans Serif"/>
          <w:bCs/>
          <w:sz w:val="20"/>
          <w:szCs w:val="20"/>
          <w:lang w:val="sr-Latn-RS"/>
        </w:rPr>
      </w:pPr>
    </w:p>
    <w:p w14:paraId="2DEE8BA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MMR u specifičnim vremenskim tačkama grafički su prikazane na Slici 2. Stope MMR konzistentno su bile više kod pacijenata liječenih dasatinibom nego kod onih koji su liječeni imatinibom.</w:t>
      </w:r>
    </w:p>
    <w:p w14:paraId="52BC08E2">
      <w:pPr>
        <w:rPr>
          <w:rFonts w:ascii="Microsoft Sans Serif" w:hAnsi="Microsoft Sans Serif" w:cs="Microsoft Sans Serif"/>
          <w:bCs/>
          <w:sz w:val="20"/>
          <w:szCs w:val="20"/>
          <w:lang w:val="sr-Latn-RS"/>
        </w:rPr>
      </w:pPr>
    </w:p>
    <w:p w14:paraId="2D63FB4E">
      <w:pPr>
        <w:rPr>
          <w:rFonts w:ascii="Microsoft Sans Serif" w:hAnsi="Microsoft Sans Serif" w:cs="Microsoft Sans Serif"/>
          <w:b/>
          <w:bCs/>
          <w:sz w:val="20"/>
          <w:szCs w:val="20"/>
          <w:lang w:val="sr-Latn-RS"/>
        </w:rPr>
      </w:pPr>
    </w:p>
    <w:p w14:paraId="4BE1F7B7">
      <w:pPr>
        <w:rPr>
          <w:rFonts w:ascii="Microsoft Sans Serif" w:hAnsi="Microsoft Sans Serif" w:cs="Microsoft Sans Serif"/>
          <w:b/>
          <w:bCs/>
          <w:sz w:val="20"/>
          <w:szCs w:val="20"/>
          <w:lang w:val="sr-Latn-RS"/>
        </w:rPr>
      </w:pPr>
    </w:p>
    <w:p w14:paraId="2479F1BD">
      <w:pPr>
        <w:rPr>
          <w:rFonts w:ascii="Microsoft Sans Serif" w:hAnsi="Microsoft Sans Serif" w:cs="Microsoft Sans Serif"/>
          <w:b/>
          <w:bCs/>
          <w:sz w:val="20"/>
          <w:szCs w:val="20"/>
          <w:lang w:val="sr-Latn-RS"/>
        </w:rPr>
      </w:pPr>
    </w:p>
    <w:p w14:paraId="0BD89CC0">
      <w:pPr>
        <w:rPr>
          <w:rFonts w:ascii="Microsoft Sans Serif" w:hAnsi="Microsoft Sans Serif" w:cs="Microsoft Sans Serif"/>
          <w:b/>
          <w:bCs/>
          <w:sz w:val="20"/>
          <w:szCs w:val="20"/>
          <w:lang w:val="sr-Latn-RS"/>
        </w:rPr>
      </w:pPr>
    </w:p>
    <w:p w14:paraId="3C8BFD0E">
      <w:pPr>
        <w:rPr>
          <w:rFonts w:ascii="Microsoft Sans Serif" w:hAnsi="Microsoft Sans Serif" w:cs="Microsoft Sans Serif"/>
          <w:b/>
          <w:bCs/>
          <w:sz w:val="20"/>
          <w:szCs w:val="20"/>
          <w:lang w:val="sr-Latn-RS"/>
        </w:rPr>
      </w:pPr>
    </w:p>
    <w:p w14:paraId="4CA4B722">
      <w:pPr>
        <w:rPr>
          <w:rFonts w:ascii="Microsoft Sans Serif" w:hAnsi="Microsoft Sans Serif" w:cs="Microsoft Sans Serif"/>
          <w:b/>
          <w:bCs/>
          <w:sz w:val="20"/>
          <w:szCs w:val="20"/>
          <w:lang w:val="sr-Latn-RS"/>
        </w:rPr>
      </w:pPr>
    </w:p>
    <w:p w14:paraId="6D58326F">
      <w:pPr>
        <w:rPr>
          <w:rFonts w:ascii="Microsoft Sans Serif" w:hAnsi="Microsoft Sans Serif" w:cs="Microsoft Sans Serif"/>
          <w:b/>
          <w:bCs/>
          <w:sz w:val="20"/>
          <w:szCs w:val="20"/>
          <w:lang w:val="sr-Latn-RS"/>
        </w:rPr>
      </w:pPr>
    </w:p>
    <w:p w14:paraId="1E317EC7">
      <w:pPr>
        <w:rPr>
          <w:rFonts w:ascii="Microsoft Sans Serif" w:hAnsi="Microsoft Sans Serif" w:cs="Microsoft Sans Serif"/>
          <w:b/>
          <w:bCs/>
          <w:sz w:val="20"/>
          <w:szCs w:val="20"/>
          <w:lang w:val="sr-Latn-RS"/>
        </w:rPr>
      </w:pPr>
    </w:p>
    <w:p w14:paraId="0CBAB988">
      <w:pPr>
        <w:rPr>
          <w:rFonts w:ascii="Microsoft Sans Serif" w:hAnsi="Microsoft Sans Serif" w:cs="Microsoft Sans Serif"/>
          <w:b/>
          <w:bCs/>
          <w:sz w:val="20"/>
          <w:szCs w:val="20"/>
          <w:lang w:val="sr-Latn-RS"/>
        </w:rPr>
      </w:pPr>
    </w:p>
    <w:p w14:paraId="6D0933EB">
      <w:pPr>
        <w:rPr>
          <w:rFonts w:ascii="Microsoft Sans Serif" w:hAnsi="Microsoft Sans Serif" w:cs="Microsoft Sans Serif"/>
          <w:b/>
          <w:bCs/>
          <w:sz w:val="20"/>
          <w:szCs w:val="20"/>
          <w:lang w:val="sr-Latn-RS"/>
        </w:rPr>
      </w:pPr>
    </w:p>
    <w:p w14:paraId="336F991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2: Stope MMR tokom vremena - svi randomizovani pacijenti u studiji faze 3 sprovedenoj kod</w:t>
      </w:r>
    </w:p>
    <w:p w14:paraId="5B51265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2D057597">
      <w:pPr>
        <w:rPr>
          <w:rFonts w:ascii="Microsoft Sans Serif" w:hAnsi="Microsoft Sans Serif" w:cs="Microsoft Sans Serif"/>
          <w:bCs/>
          <w:sz w:val="20"/>
          <w:szCs w:val="20"/>
          <w:lang w:val="sr-Latn-RS"/>
        </w:rPr>
      </w:pPr>
    </w:p>
    <w:p w14:paraId="457CF7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65408" behindDoc="0" locked="0" layoutInCell="1" allowOverlap="1">
                <wp:simplePos x="0" y="0"/>
                <wp:positionH relativeFrom="column">
                  <wp:posOffset>4099560</wp:posOffset>
                </wp:positionH>
                <wp:positionV relativeFrom="paragraph">
                  <wp:posOffset>68580</wp:posOffset>
                </wp:positionV>
                <wp:extent cx="885825" cy="476250"/>
                <wp:effectExtent l="0" t="0" r="28575" b="1905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85825" cy="476250"/>
                        </a:xfrm>
                        <a:prstGeom prst="rect">
                          <a:avLst/>
                        </a:prstGeom>
                        <a:solidFill>
                          <a:srgbClr val="FFFFFF"/>
                        </a:solidFill>
                        <a:ln w="9525">
                          <a:solidFill>
                            <a:srgbClr val="000000"/>
                          </a:solidFill>
                          <a:miter lim="800000"/>
                        </a:ln>
                      </wps:spPr>
                      <wps:txb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2.8pt;margin-top:5.4pt;height:37.5pt;width:69.75pt;z-index:251665408;mso-width-relative:page;mso-height-relative:page;" fillcolor="#FFFFFF" filled="t" stroked="t" coordsize="21600,21600" o:gfxdata="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LV5bXAAAACQEAAA8AAAAAAAAAAQAgAAAAIgAAAGRycy9kb3ducmV2LnhtbFBLAQIUABQAAAAI&#10;AIdO4kA1hsh9JwIAAHoEAAAOAAAAAAAAAAEAIAAAACYBAABkcnMvZTJvRG9jLnhtbFBLBQYAAAAA&#10;BgAGAFkBAAC/BQAAAAA=&#10;">
                <v:fill on="t" focussize="0,0"/>
                <v:stroke color="#000000" miterlimit="8" joinstyle="miter"/>
                <v:imagedata o:title=""/>
                <o:lock v:ext="edit" aspectratio="f"/>
                <v:textbox>
                  <w:txbxContent>
                    <w:p w14:paraId="448067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0CFD4F4A">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76% p&lt;0,022</w:t>
                      </w:r>
                    </w:p>
                    <w:p w14:paraId="356D77F6">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4384" behindDoc="0" locked="0" layoutInCell="1" allowOverlap="1">
                <wp:simplePos x="0" y="0"/>
                <wp:positionH relativeFrom="column">
                  <wp:posOffset>3190875</wp:posOffset>
                </wp:positionH>
                <wp:positionV relativeFrom="paragraph">
                  <wp:posOffset>76200</wp:posOffset>
                </wp:positionV>
                <wp:extent cx="847725" cy="466725"/>
                <wp:effectExtent l="0" t="0" r="28575" b="28575"/>
                <wp:wrapNone/>
                <wp:docPr id="10" name="Text Box 2"/>
                <wp:cNvGraphicFramePr/>
                <a:graphic xmlns:a="http://schemas.openxmlformats.org/drawingml/2006/main">
                  <a:graphicData uri="http://schemas.microsoft.com/office/word/2010/wordprocessingShape">
                    <wps:wsp>
                      <wps:cNvSpPr txBox="1">
                        <a:spLocks noChangeArrowheads="1"/>
                      </wps:cNvSpPr>
                      <wps:spPr bwMode="auto">
                        <a:xfrm>
                          <a:off x="0" y="0"/>
                          <a:ext cx="847725" cy="466725"/>
                        </a:xfrm>
                        <a:prstGeom prst="rect">
                          <a:avLst/>
                        </a:prstGeom>
                        <a:solidFill>
                          <a:srgbClr val="FFFFFF"/>
                        </a:solidFill>
                        <a:ln w="9525">
                          <a:solidFill>
                            <a:srgbClr val="000000"/>
                          </a:solidFill>
                          <a:miter lim="800000"/>
                        </a:ln>
                      </wps:spPr>
                      <wps:txb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1.25pt;margin-top:6pt;height:36.75pt;width:66.75pt;z-index:251664384;mso-width-relative:page;mso-height-relative:page;" fillcolor="#FFFFFF" filled="t" stroked="t" coordsize="21600,21600" o:gfxdata="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z&#10;+w9t2AAAAAkBAAAPAAAAAAAAAAEAIAAAACIAAABkcnMvZG93bnJldi54bWxQSwECFAAUAAAACACH&#10;TuJAPcXYSyQCAAB6BAAADgAAAAAAAAABACAAAAAnAQAAZHJzL2Uyb0RvYy54bWxQSwUGAAAAAAYA&#10;BgBZAQAAvQUAAAAA&#10;">
                <v:fill on="t" focussize="0,0"/>
                <v:stroke color="#000000" miterlimit="8" joinstyle="miter"/>
                <v:imagedata o:title=""/>
                <o:lock v:ext="edit" aspectratio="f"/>
                <v:textbox>
                  <w:txbxContent>
                    <w:p w14:paraId="6BC28000">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FB56DD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69490548">
                      <w:pPr>
                        <w:rPr>
                          <w:sz w:val="18"/>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3360" behindDoc="0" locked="0" layoutInCell="1" allowOverlap="1">
                <wp:simplePos x="0" y="0"/>
                <wp:positionH relativeFrom="column">
                  <wp:posOffset>2228850</wp:posOffset>
                </wp:positionH>
                <wp:positionV relativeFrom="paragraph">
                  <wp:posOffset>66675</wp:posOffset>
                </wp:positionV>
                <wp:extent cx="866775" cy="476250"/>
                <wp:effectExtent l="0" t="0" r="28575" b="19050"/>
                <wp:wrapNone/>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w="9525">
                          <a:solidFill>
                            <a:srgbClr val="000000"/>
                          </a:solidFill>
                          <a:miter lim="800000"/>
                        </a:ln>
                      </wps:spPr>
                      <wps:txb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75.5pt;margin-top:5.25pt;height:37.5pt;width:68.25pt;z-index:251663360;mso-width-relative:page;mso-height-relative:page;" fillcolor="#FFFFFF" filled="t" stroked="t" coordsize="21600,21600" o:gfxdata="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fTaS3YAAAACQEAAA8AAAAAAAAAAQAgAAAAIgAAAGRycy9kb3ducmV2LnhtbFBLAQIUABQA&#10;AAAIAIdO4kAITB45KQIAAHkEAAAOAAAAAAAAAAEAIAAAACcBAABkcnMvZTJvRG9jLnhtbFBLBQYA&#10;AAAABgAGAFkBAADCBQAAAAA=&#10;">
                <v:fill on="t" focussize="0,0"/>
                <v:stroke color="#000000" miterlimit="8" joinstyle="miter"/>
                <v:imagedata o:title=""/>
                <o:lock v:ext="edit" aspectratio="f"/>
                <v:textbox>
                  <w:txbxContent>
                    <w:p w14:paraId="7EF49B0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08EC493E">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73% p&lt;0,021</w:t>
                      </w:r>
                    </w:p>
                    <w:p w14:paraId="1C005559"/>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390525</wp:posOffset>
                </wp:positionV>
                <wp:extent cx="828675" cy="447675"/>
                <wp:effectExtent l="0" t="0" r="28575" b="28575"/>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47675"/>
                        </a:xfrm>
                        <a:prstGeom prst="rect">
                          <a:avLst/>
                        </a:prstGeom>
                        <a:solidFill>
                          <a:srgbClr val="FFFFFF"/>
                        </a:solidFill>
                        <a:ln w="9525">
                          <a:solidFill>
                            <a:srgbClr val="000000"/>
                          </a:solidFill>
                          <a:miter lim="800000"/>
                        </a:ln>
                      </wps:spPr>
                      <wps:txb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6.5pt;margin-top:30.75pt;height:35.25pt;width:65.25pt;z-index:251662336;mso-width-relative:page;mso-height-relative:page;" fillcolor="#FFFFFF" filled="t" stroked="t" coordsize="21600,21600" o:gfxdata="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fjACs2QAAAAoBAAAPAAAAAAAAAAEAIAAAACIAAABkcnMvZG93bnJldi54bWxQSwECFAAUAAAA&#10;CACHTuJAXCrXkCYCAAB5BAAADgAAAAAAAAABACAAAAAoAQAAZHJzL2Uyb0RvYy54bWxQSwUGAAAA&#10;AAYABgBZAQAAwAUAAAAA&#10;">
                <v:fill on="t" focussize="0,0"/>
                <v:stroke color="#000000" miterlimit="8" joinstyle="miter"/>
                <v:imagedata o:title=""/>
                <o:lock v:ext="edit" aspectratio="f"/>
                <v:textbox>
                  <w:txbxContent>
                    <w:p w14:paraId="2A898682">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78F9FE3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64% p&lt;0,001</w:t>
                      </w:r>
                    </w:p>
                    <w:p w14:paraId="6141DF6D"/>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647700</wp:posOffset>
                </wp:positionV>
                <wp:extent cx="828675" cy="457200"/>
                <wp:effectExtent l="0" t="0" r="28575" b="19050"/>
                <wp:wrapNone/>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8675" cy="457200"/>
                        </a:xfrm>
                        <a:prstGeom prst="rect">
                          <a:avLst/>
                        </a:prstGeom>
                        <a:solidFill>
                          <a:srgbClr val="FFFFFF"/>
                        </a:solidFill>
                        <a:ln w="9525">
                          <a:solidFill>
                            <a:srgbClr val="000000"/>
                          </a:solidFill>
                          <a:miter lim="800000"/>
                        </a:ln>
                      </wps:spPr>
                      <wps:txb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pt;margin-top:51pt;height:36pt;width:65.25pt;z-index:251661312;mso-width-relative:page;mso-height-relative:page;" fillcolor="#FFFFFF" filled="t" stroked="t" coordsize="21600,21600" o:gfxdata="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oQZQXXAAAACgEAAA8AAAAAAAAAAQAgAAAAIgAAAGRycy9kb3ducmV2LnhtbFBLAQIUABQAAAAI&#10;AIdO4kCc217oJwIAAHkEAAAOAAAAAAAAAAEAIAAAACYBAABkcnMvZTJvRG9jLnhtbFBLBQYAAAAA&#10;BgAGAFkBAAC/BQAAAAA=&#10;">
                <v:fill on="t" focussize="0,0"/>
                <v:stroke color="#000000" miterlimit="8" joinstyle="miter"/>
                <v:imagedata o:title=""/>
                <o:lock v:ext="edit" aspectratio="f"/>
                <v:textbox>
                  <w:txbxContent>
                    <w:p w14:paraId="5EFFBFB1">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godinu</w:t>
                      </w:r>
                    </w:p>
                    <w:p w14:paraId="792ABC9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46% p&lt;0,001</w:t>
                      </w:r>
                    </w:p>
                    <w:p w14:paraId="7C432ECD">
                      <w:pPr>
                        <w:rPr>
                          <w:sz w:val="20"/>
                          <w:lang w:val="sr-Latn-RS"/>
                        </w:rPr>
                      </w:pP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6432" behindDoc="0" locked="0" layoutInCell="1" allowOverlap="1">
                <wp:simplePos x="0" y="0"/>
                <wp:positionH relativeFrom="column">
                  <wp:posOffset>-1196340</wp:posOffset>
                </wp:positionH>
                <wp:positionV relativeFrom="paragraph">
                  <wp:posOffset>1282065</wp:posOffset>
                </wp:positionV>
                <wp:extent cx="2009775" cy="383540"/>
                <wp:effectExtent l="0" t="5715" r="22860" b="22860"/>
                <wp:wrapNone/>
                <wp:docPr id="1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009775" cy="383224"/>
                        </a:xfrm>
                        <a:prstGeom prst="rect">
                          <a:avLst/>
                        </a:prstGeom>
                        <a:solidFill>
                          <a:srgbClr val="FFFFFF"/>
                        </a:solidFill>
                        <a:ln w="9525">
                          <a:solidFill>
                            <a:srgbClr val="000000"/>
                          </a:solidFill>
                          <a:miter lim="800000"/>
                        </a:ln>
                      </wps:spPr>
                      <wps:txb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94.2pt;margin-top:100.95pt;height:30.2pt;width:158.25pt;rotation:-5898240f;z-index:251666432;mso-width-relative:page;mso-height-relative:page;" fillcolor="#FFFFFF" filled="t" stroked="t" coordsize="21600,21600" o:gfxdata="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ku4qNoAAAAMAQAADwAAAAAAAAABACAAAAAiAAAAZHJzL2Rv&#10;d25yZXYueG1sUEsBAhQAFAAAAAgAh07iQBKn+o84AgAAigQAAA4AAAAAAAAAAQAgAAAAKQEAAGRy&#10;cy9lMm9Eb2MueG1sUEsFBgAAAAAGAAYAWQEAANMFAAAAAA==&#10;">
                <v:fill on="t" focussize="0,0"/>
                <v:stroke color="#000000" miterlimit="8" joinstyle="miter"/>
                <v:imagedata o:title=""/>
                <o:lock v:ext="edit" aspectratio="f"/>
                <v:textbox>
                  <w:txbxContent>
                    <w:p w14:paraId="5C092F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w:t>
                      </w:r>
                    </w:p>
                  </w:txbxContent>
                </v:textbox>
              </v:shape>
            </w:pict>
          </mc:Fallback>
        </mc:AlternateContent>
      </w:r>
      <w:r>
        <w:rPr>
          <w:rFonts w:ascii="Microsoft Sans Serif" w:hAnsi="Microsoft Sans Serif" w:cs="Microsoft Sans Serif"/>
          <w:b/>
          <w:bCs/>
          <w:sz w:val="20"/>
          <w:szCs w:val="20"/>
        </w:rPr>
        <w:drawing>
          <wp:inline distT="0" distB="0" distL="0" distR="0">
            <wp:extent cx="5078095" cy="284099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078095" cy="2840990"/>
                    </a:xfrm>
                    <a:prstGeom prst="rect">
                      <a:avLst/>
                    </a:prstGeom>
                    <a:noFill/>
                  </pic:spPr>
                </pic:pic>
              </a:graphicData>
            </a:graphic>
          </wp:inline>
        </w:drawing>
      </w:r>
    </w:p>
    <w:p w14:paraId="661E755A">
      <w:pPr>
        <w:rPr>
          <w:rFonts w:ascii="Microsoft Sans Serif" w:hAnsi="Microsoft Sans Serif" w:cs="Microsoft Sans Serif"/>
          <w:bCs/>
          <w:sz w:val="20"/>
          <w:szCs w:val="20"/>
          <w:u w:val="single"/>
          <w:lang w:val="sr-Latn-RS"/>
        </w:rPr>
      </w:pPr>
    </w:p>
    <w:p w14:paraId="3988F0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 xml:space="preserve">                                                                                                           Mjeseci od randomizacije</w:t>
      </w:r>
    </w:p>
    <w:p w14:paraId="3FDA69C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391851F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4C25056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7E265C77">
      <w:pPr>
        <w:rPr>
          <w:rFonts w:ascii="Microsoft Sans Serif" w:hAnsi="Microsoft Sans Serif" w:cs="Microsoft Sans Serif"/>
          <w:bCs/>
          <w:sz w:val="20"/>
          <w:szCs w:val="20"/>
          <w:u w:val="single"/>
          <w:lang w:val="sr-Latn-RS"/>
        </w:rPr>
      </w:pPr>
    </w:p>
    <w:p w14:paraId="5C95F3B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≤0,01% (smanjene 4-log) u bilo koje vrijeme bio je veći u grupi koja je dobijala dasatinib u poređenju sa grupom koja je dobijala imatinib (54,1% u odnosu na 45%).</w:t>
      </w:r>
    </w:p>
    <w:p w14:paraId="7FB4BBF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Udio pacijenata koji su postigli odnos BCR-ABL ≤0,0032% (smanjenje 4,5-log) u bilo koje vreme bio je</w:t>
      </w:r>
    </w:p>
    <w:p w14:paraId="0C42B8B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veći u grupi koja je dobijala dasatinib u poređenju sa grupom koja je dobijala imatinib (44% u odnosu na 34%).</w:t>
      </w:r>
    </w:p>
    <w:p w14:paraId="4D14FF30">
      <w:pPr>
        <w:rPr>
          <w:rFonts w:ascii="Microsoft Sans Serif" w:hAnsi="Microsoft Sans Serif" w:cs="Microsoft Sans Serif"/>
          <w:bCs/>
          <w:sz w:val="20"/>
          <w:szCs w:val="20"/>
          <w:lang w:val="sr-Latn-RS"/>
        </w:rPr>
      </w:pPr>
    </w:p>
    <w:p w14:paraId="0C99DE3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Stope MR4,5 tokom vremena grafički su prikazane na Slici 3. Stope MR4,5 konzistentno su bile ve</w:t>
      </w:r>
      <w:r>
        <w:rPr>
          <w:rFonts w:ascii="Microsoft Sans Serif" w:hAnsi="Microsoft Sans Serif" w:cs="Microsoft Sans Serif"/>
          <w:bCs/>
          <w:sz w:val="20"/>
          <w:szCs w:val="20"/>
          <w:lang w:val="hr-BA"/>
        </w:rPr>
        <w:t xml:space="preserve">će </w:t>
      </w:r>
      <w:r>
        <w:rPr>
          <w:rFonts w:ascii="Microsoft Sans Serif" w:hAnsi="Microsoft Sans Serif" w:cs="Microsoft Sans Serif"/>
          <w:bCs/>
          <w:sz w:val="20"/>
          <w:szCs w:val="20"/>
          <w:lang w:val="sr-Latn-RS"/>
        </w:rPr>
        <w:t>kod pacijenata liječenih dasatinibom nego kod onih koji su liječeni imatinibom.</w:t>
      </w:r>
    </w:p>
    <w:p w14:paraId="54A457C7">
      <w:pPr>
        <w:rPr>
          <w:rFonts w:ascii="Microsoft Sans Serif" w:hAnsi="Microsoft Sans Serif" w:cs="Microsoft Sans Serif"/>
          <w:bCs/>
          <w:sz w:val="20"/>
          <w:szCs w:val="20"/>
          <w:lang w:val="sr-Latn-RS"/>
        </w:rPr>
      </w:pPr>
    </w:p>
    <w:p w14:paraId="127042C7">
      <w:pPr>
        <w:rPr>
          <w:rFonts w:ascii="Microsoft Sans Serif" w:hAnsi="Microsoft Sans Serif" w:cs="Microsoft Sans Serif"/>
          <w:b/>
          <w:bCs/>
          <w:sz w:val="20"/>
          <w:szCs w:val="20"/>
          <w:lang w:val="sr-Latn-RS"/>
        </w:rPr>
      </w:pPr>
    </w:p>
    <w:p w14:paraId="61C57F69">
      <w:pPr>
        <w:rPr>
          <w:rFonts w:ascii="Microsoft Sans Serif" w:hAnsi="Microsoft Sans Serif" w:cs="Microsoft Sans Serif"/>
          <w:b/>
          <w:bCs/>
          <w:sz w:val="20"/>
          <w:szCs w:val="20"/>
          <w:lang w:val="sr-Latn-RS"/>
        </w:rPr>
      </w:pPr>
    </w:p>
    <w:p w14:paraId="082FDA15">
      <w:pPr>
        <w:rPr>
          <w:rFonts w:ascii="Microsoft Sans Serif" w:hAnsi="Microsoft Sans Serif" w:cs="Microsoft Sans Serif"/>
          <w:b/>
          <w:bCs/>
          <w:sz w:val="20"/>
          <w:szCs w:val="20"/>
          <w:lang w:val="sr-Latn-RS"/>
        </w:rPr>
      </w:pPr>
    </w:p>
    <w:p w14:paraId="3216D646">
      <w:pPr>
        <w:rPr>
          <w:rFonts w:ascii="Microsoft Sans Serif" w:hAnsi="Microsoft Sans Serif" w:cs="Microsoft Sans Serif"/>
          <w:b/>
          <w:bCs/>
          <w:sz w:val="20"/>
          <w:szCs w:val="20"/>
          <w:lang w:val="sr-Latn-RS"/>
        </w:rPr>
      </w:pPr>
    </w:p>
    <w:p w14:paraId="427094DC">
      <w:pPr>
        <w:rPr>
          <w:rFonts w:ascii="Microsoft Sans Serif" w:hAnsi="Microsoft Sans Serif" w:cs="Microsoft Sans Serif"/>
          <w:b/>
          <w:bCs/>
          <w:sz w:val="20"/>
          <w:szCs w:val="20"/>
          <w:lang w:val="sr-Latn-RS"/>
        </w:rPr>
      </w:pPr>
    </w:p>
    <w:p w14:paraId="7CCA9C82">
      <w:pPr>
        <w:rPr>
          <w:rFonts w:ascii="Microsoft Sans Serif" w:hAnsi="Microsoft Sans Serif" w:cs="Microsoft Sans Serif"/>
          <w:b/>
          <w:bCs/>
          <w:sz w:val="20"/>
          <w:szCs w:val="20"/>
          <w:lang w:val="sr-Latn-RS"/>
        </w:rPr>
      </w:pPr>
    </w:p>
    <w:p w14:paraId="39BA97BF">
      <w:pPr>
        <w:rPr>
          <w:rFonts w:ascii="Microsoft Sans Serif" w:hAnsi="Microsoft Sans Serif" w:cs="Microsoft Sans Serif"/>
          <w:b/>
          <w:bCs/>
          <w:sz w:val="20"/>
          <w:szCs w:val="20"/>
          <w:lang w:val="sr-Latn-RS"/>
        </w:rPr>
      </w:pPr>
    </w:p>
    <w:p w14:paraId="5ED029F9">
      <w:pPr>
        <w:rPr>
          <w:rFonts w:ascii="Microsoft Sans Serif" w:hAnsi="Microsoft Sans Serif" w:cs="Microsoft Sans Serif"/>
          <w:b/>
          <w:bCs/>
          <w:sz w:val="20"/>
          <w:szCs w:val="20"/>
          <w:lang w:val="sr-Latn-RS"/>
        </w:rPr>
      </w:pPr>
    </w:p>
    <w:p w14:paraId="29225BAA">
      <w:pPr>
        <w:rPr>
          <w:rFonts w:ascii="Microsoft Sans Serif" w:hAnsi="Microsoft Sans Serif" w:cs="Microsoft Sans Serif"/>
          <w:b/>
          <w:bCs/>
          <w:sz w:val="20"/>
          <w:szCs w:val="20"/>
          <w:lang w:val="sr-Latn-RS"/>
        </w:rPr>
      </w:pPr>
    </w:p>
    <w:p w14:paraId="3622DDE9">
      <w:pPr>
        <w:rPr>
          <w:rFonts w:ascii="Microsoft Sans Serif" w:hAnsi="Microsoft Sans Serif" w:cs="Microsoft Sans Serif"/>
          <w:b/>
          <w:bCs/>
          <w:sz w:val="20"/>
          <w:szCs w:val="20"/>
          <w:lang w:val="sr-Latn-RS"/>
        </w:rPr>
      </w:pPr>
    </w:p>
    <w:p w14:paraId="3345694A">
      <w:pPr>
        <w:rPr>
          <w:rFonts w:ascii="Microsoft Sans Serif" w:hAnsi="Microsoft Sans Serif" w:cs="Microsoft Sans Serif"/>
          <w:b/>
          <w:bCs/>
          <w:sz w:val="20"/>
          <w:szCs w:val="20"/>
          <w:lang w:val="sr-Latn-RS"/>
        </w:rPr>
      </w:pPr>
    </w:p>
    <w:p w14:paraId="57233004">
      <w:pPr>
        <w:rPr>
          <w:rFonts w:ascii="Microsoft Sans Serif" w:hAnsi="Microsoft Sans Serif" w:cs="Microsoft Sans Serif"/>
          <w:b/>
          <w:bCs/>
          <w:sz w:val="20"/>
          <w:szCs w:val="20"/>
          <w:lang w:val="sr-Latn-RS"/>
        </w:rPr>
      </w:pPr>
    </w:p>
    <w:p w14:paraId="259029BA">
      <w:pPr>
        <w:rPr>
          <w:rFonts w:ascii="Microsoft Sans Serif" w:hAnsi="Microsoft Sans Serif" w:cs="Microsoft Sans Serif"/>
          <w:b/>
          <w:bCs/>
          <w:sz w:val="20"/>
          <w:szCs w:val="20"/>
          <w:lang w:val="sr-Latn-RS"/>
        </w:rPr>
      </w:pPr>
    </w:p>
    <w:p w14:paraId="055A9046">
      <w:pPr>
        <w:rPr>
          <w:rFonts w:ascii="Microsoft Sans Serif" w:hAnsi="Microsoft Sans Serif" w:cs="Microsoft Sans Serif"/>
          <w:b/>
          <w:bCs/>
          <w:sz w:val="20"/>
          <w:szCs w:val="20"/>
          <w:lang w:val="sr-Latn-RS"/>
        </w:rPr>
      </w:pPr>
    </w:p>
    <w:p w14:paraId="61F96F0A">
      <w:pPr>
        <w:rPr>
          <w:rFonts w:ascii="Microsoft Sans Serif" w:hAnsi="Microsoft Sans Serif" w:cs="Microsoft Sans Serif"/>
          <w:b/>
          <w:bCs/>
          <w:sz w:val="20"/>
          <w:szCs w:val="20"/>
          <w:lang w:val="sr-Latn-RS"/>
        </w:rPr>
      </w:pPr>
    </w:p>
    <w:p w14:paraId="7A1938CB">
      <w:pPr>
        <w:rPr>
          <w:rFonts w:ascii="Microsoft Sans Serif" w:hAnsi="Microsoft Sans Serif" w:cs="Microsoft Sans Serif"/>
          <w:b/>
          <w:bCs/>
          <w:sz w:val="20"/>
          <w:szCs w:val="20"/>
          <w:lang w:val="sr-Latn-RS"/>
        </w:rPr>
      </w:pPr>
    </w:p>
    <w:p w14:paraId="2CC7F803">
      <w:pPr>
        <w:rPr>
          <w:rFonts w:ascii="Microsoft Sans Serif" w:hAnsi="Microsoft Sans Serif" w:cs="Microsoft Sans Serif"/>
          <w:b/>
          <w:bCs/>
          <w:sz w:val="20"/>
          <w:szCs w:val="20"/>
          <w:lang w:val="sr-Latn-RS"/>
        </w:rPr>
      </w:pPr>
    </w:p>
    <w:p w14:paraId="140AA942">
      <w:pPr>
        <w:rPr>
          <w:rFonts w:ascii="Microsoft Sans Serif" w:hAnsi="Microsoft Sans Serif" w:cs="Microsoft Sans Serif"/>
          <w:b/>
          <w:bCs/>
          <w:sz w:val="20"/>
          <w:szCs w:val="20"/>
          <w:lang w:val="sr-Latn-RS"/>
        </w:rPr>
      </w:pPr>
    </w:p>
    <w:p w14:paraId="0666CC6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3: Stope MR 4.5 tokom vremena - svi randomizovani pacijenti u studiji faze 3 sprovedenoj kod</w:t>
      </w:r>
    </w:p>
    <w:p w14:paraId="3FC8512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pacijenata sa novodijagnostifikovanom HML u hroničnoj fazi</w:t>
      </w:r>
    </w:p>
    <w:p w14:paraId="370FDAF1">
      <w:pPr>
        <w:rPr>
          <w:rFonts w:ascii="Microsoft Sans Serif" w:hAnsi="Microsoft Sans Serif" w:cs="Microsoft Sans Serif"/>
          <w:b/>
          <w:bCs/>
          <w:sz w:val="20"/>
          <w:szCs w:val="20"/>
          <w:lang w:val="sr-Latn-RS"/>
        </w:rPr>
      </w:pPr>
    </w:p>
    <w:p w14:paraId="764F2A10">
      <w:pPr>
        <w:rPr>
          <w:rFonts w:ascii="Microsoft Sans Serif" w:hAnsi="Microsoft Sans Serif" w:cs="Microsoft Sans Serif"/>
          <w:b/>
          <w:bCs/>
          <w:sz w:val="20"/>
          <w:szCs w:val="20"/>
          <w:lang w:val="sr-Latn-RS"/>
        </w:rPr>
      </w:pPr>
      <w:r>
        <w:rPr>
          <w:rFonts w:ascii="Microsoft Sans Serif" w:hAnsi="Microsoft Sans Serif" w:cs="Microsoft Sans Serif"/>
          <w:bCs/>
          <w:sz w:val="20"/>
          <w:szCs w:val="20"/>
        </w:rPr>
        <mc:AlternateContent>
          <mc:Choice Requires="wps">
            <w:drawing>
              <wp:anchor distT="0" distB="0" distL="114300" distR="114300" simplePos="0" relativeHeight="251672576" behindDoc="0" locked="0" layoutInCell="1" allowOverlap="1">
                <wp:simplePos x="0" y="0"/>
                <wp:positionH relativeFrom="column">
                  <wp:posOffset>-1337310</wp:posOffset>
                </wp:positionH>
                <wp:positionV relativeFrom="paragraph">
                  <wp:posOffset>1153795</wp:posOffset>
                </wp:positionV>
                <wp:extent cx="2219960" cy="325120"/>
                <wp:effectExtent l="0" t="5080" r="22860" b="22860"/>
                <wp:wrapNone/>
                <wp:docPr id="20"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2219960" cy="325120"/>
                        </a:xfrm>
                        <a:prstGeom prst="rect">
                          <a:avLst/>
                        </a:prstGeom>
                        <a:solidFill>
                          <a:srgbClr val="FFFFFF"/>
                        </a:solidFill>
                        <a:ln w="9525">
                          <a:solidFill>
                            <a:srgbClr val="000000"/>
                          </a:solidFill>
                          <a:miter lim="800000"/>
                        </a:ln>
                      </wps:spPr>
                      <wps:txb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05.3pt;margin-top:90.85pt;height:25.6pt;width:174.8pt;rotation:-5898240f;z-index:251672576;mso-width-relative:page;mso-height-relative:page;" fillcolor="#FFFFFF" filled="t" stroked="t" coordsize="21600,21600" o:gfxdata="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6/MB7aAAAADAEAAA8AAAAAAAAAAQAgAAAAIgAAAGRycy9kb3du&#10;cmV2LnhtbFBLAQIUABQAAAAIAIdO4kB/bxgFNgIAAIoEAAAOAAAAAAAAAAEAIAAAACkBAABkcnMv&#10;ZTJvRG9jLnhtbFBLBQYAAAAABgAGAFkBAADRBQAAAAA=&#10;">
                <v:fill on="t" focussize="0,0"/>
                <v:stroke color="#000000" miterlimit="8" joinstyle="miter"/>
                <v:imagedata o:title=""/>
                <o:lock v:ext="edit" aspectratio="f"/>
                <v:textbox>
                  <w:txbxContent>
                    <w:p w14:paraId="7178CF3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sa MMR 4,5</w:t>
                      </w:r>
                    </w:p>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464820</wp:posOffset>
                </wp:positionV>
                <wp:extent cx="819150" cy="485775"/>
                <wp:effectExtent l="0" t="0" r="19050" b="28575"/>
                <wp:wrapNone/>
                <wp:docPr id="18" name="Text Box 2"/>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ln>
                      </wps:spPr>
                      <wps:txb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34pt;margin-top:36.6pt;height:38.25pt;width:64.5pt;z-index:251670528;mso-width-relative:page;mso-height-relative:page;" fillcolor="#FFFFFF" filled="t" stroked="t" coordsize="21600,21600" o:gfxdata="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3N9wTZAAAACgEAAA8AAAAAAAAAAQAgAAAAIgAAAGRycy9kb3ducmV2LnhtbFBLAQIUABQA&#10;AAAIAIdO4kAPJEbpKAIAAHoEAAAOAAAAAAAAAAEAIAAAACgBAABkcnMvZTJvRG9jLnhtbFBLBQYA&#10;AAAABgAGAFkBAADCBQAAAAA=&#10;">
                <v:fill on="t" focussize="0,0"/>
                <v:stroke color="#000000" miterlimit="8" joinstyle="miter"/>
                <v:imagedata o:title=""/>
                <o:lock v:ext="edit" aspectratio="f"/>
                <v:textbox>
                  <w:txbxContent>
                    <w:p w14:paraId="139D80FC">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4 godine</w:t>
                      </w:r>
                    </w:p>
                    <w:p w14:paraId="1C69F66D">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34% p&lt;0055</w:t>
                      </w:r>
                    </w:p>
                    <w:p w14:paraId="0B72D697"/>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7456" behindDoc="0" locked="0" layoutInCell="1" allowOverlap="1">
                <wp:simplePos x="0" y="0"/>
                <wp:positionH relativeFrom="column">
                  <wp:posOffset>333375</wp:posOffset>
                </wp:positionH>
                <wp:positionV relativeFrom="paragraph">
                  <wp:posOffset>1255395</wp:posOffset>
                </wp:positionV>
                <wp:extent cx="790575" cy="485775"/>
                <wp:effectExtent l="0" t="0" r="28575" b="28575"/>
                <wp:wrapNone/>
                <wp:docPr id="15" name="Text Box 2"/>
                <wp:cNvGraphicFramePr/>
                <a:graphic xmlns:a="http://schemas.openxmlformats.org/drawingml/2006/main">
                  <a:graphicData uri="http://schemas.microsoft.com/office/word/2010/wordprocessingShape">
                    <wps:wsp>
                      <wps:cNvSpPr txBox="1">
                        <a:spLocks noChangeArrowheads="1"/>
                      </wps:cNvSpPr>
                      <wps:spPr bwMode="auto">
                        <a:xfrm>
                          <a:off x="0" y="0"/>
                          <a:ext cx="790575" cy="485775"/>
                        </a:xfrm>
                        <a:prstGeom prst="rect">
                          <a:avLst/>
                        </a:prstGeom>
                        <a:solidFill>
                          <a:srgbClr val="FFFFFF"/>
                        </a:solidFill>
                        <a:ln w="9525">
                          <a:solidFill>
                            <a:srgbClr val="000000"/>
                          </a:solidFill>
                          <a:miter lim="800000"/>
                        </a:ln>
                      </wps:spPr>
                      <wps:txb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6.25pt;margin-top:98.85pt;height:38.25pt;width:62.25pt;z-index:251667456;mso-width-relative:page;mso-height-relative:page;" fillcolor="#FFFFFF" filled="t" stroked="t" coordsize="21600,21600" o:gfxdata="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KVNiXZAAAACgEAAA8AAAAAAAAAAQAgAAAAIgAAAGRycy9kb3ducmV2LnhtbFBLAQIUABQA&#10;AAAIAIdO4kDnsF1EKAIAAHoEAAAOAAAAAAAAAAEAIAAAACgBAABkcnMvZTJvRG9jLnhtbFBLBQYA&#10;AAAABgAGAFkBAADCBQAAAAA=&#10;">
                <v:fill on="t" focussize="0,0"/>
                <v:stroke color="#000000" miterlimit="8" joinstyle="miter"/>
                <v:imagedata o:title=""/>
                <o:lock v:ext="edit" aspectratio="f"/>
                <v:textbox>
                  <w:txbxContent>
                    <w:p w14:paraId="5010B849">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1 godine</w:t>
                      </w:r>
                    </w:p>
                    <w:p w14:paraId="2C7AB6F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5% p&lt;2394</w:t>
                      </w:r>
                    </w:p>
                    <w:p w14:paraId="6443376E"/>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71552" behindDoc="0" locked="0" layoutInCell="1" allowOverlap="1">
                <wp:simplePos x="0" y="0"/>
                <wp:positionH relativeFrom="column">
                  <wp:posOffset>3848100</wp:posOffset>
                </wp:positionH>
                <wp:positionV relativeFrom="paragraph">
                  <wp:posOffset>207645</wp:posOffset>
                </wp:positionV>
                <wp:extent cx="809625" cy="1403985"/>
                <wp:effectExtent l="0" t="0" r="28575" b="24765"/>
                <wp:wrapNone/>
                <wp:docPr id="19"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3pt;margin-top:16.35pt;height:110.55pt;width:63.75pt;z-index:251671552;mso-width-relative:page;mso-height-relative:margin;mso-height-percent:200;" fillcolor="#FFFFFF" filled="t" stroked="t" coordsize="21600,21600" o:gfxdata="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rt7qzYAAAACgEAAA8AAAAAAAAAAQAgAAAAIgAAAGRycy9kb3ducmV2LnhtbFBLAQIUABQA&#10;AAAIAIdO4kBOC1G4KQIAAHsEAAAOAAAAAAAAAAEAIAAAACcBAABkcnMvZTJvRG9jLnhtbFBLBQYA&#10;AAAABgAGAFkBAADCBQAAAAA=&#10;">
                <v:fill on="t" focussize="0,0"/>
                <v:stroke color="#000000" miterlimit="8" joinstyle="miter"/>
                <v:imagedata o:title=""/>
                <o:lock v:ext="edit" aspectratio="f"/>
                <v:textbox style="mso-fit-shape-to-text:t;">
                  <w:txbxContent>
                    <w:p w14:paraId="1304CED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5 godina</w:t>
                      </w:r>
                    </w:p>
                    <w:p w14:paraId="3A7FB046">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42% p&lt;0251</w:t>
                      </w:r>
                    </w:p>
                    <w:p w14:paraId="7E5432C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9504" behindDoc="0" locked="0" layoutInCell="1" allowOverlap="1">
                <wp:simplePos x="0" y="0"/>
                <wp:positionH relativeFrom="column">
                  <wp:posOffset>2124075</wp:posOffset>
                </wp:positionH>
                <wp:positionV relativeFrom="paragraph">
                  <wp:posOffset>721995</wp:posOffset>
                </wp:positionV>
                <wp:extent cx="752475" cy="1403985"/>
                <wp:effectExtent l="0" t="0" r="28575" b="24765"/>
                <wp:wrapNone/>
                <wp:docPr id="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2475" cy="1403985"/>
                        </a:xfrm>
                        <a:prstGeom prst="rect">
                          <a:avLst/>
                        </a:prstGeom>
                        <a:solidFill>
                          <a:srgbClr val="FFFFFF"/>
                        </a:solidFill>
                        <a:ln w="9525">
                          <a:solidFill>
                            <a:srgbClr val="000000"/>
                          </a:solidFill>
                          <a:miter lim="800000"/>
                        </a:ln>
                      </wps:spPr>
                      <wps:txbx>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167.25pt;margin-top:56.85pt;height:110.55pt;width:59.25pt;z-index:251669504;mso-width-relative:page;mso-height-relative:margin;mso-height-percent:200;" fillcolor="#FFFFFF" filled="t" stroked="t" coordsize="21600,21600" o:gfxdata="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MoCdYAAAALAQAADwAAAAAAAAABACAAAAAiAAAAZHJzL2Rvd25yZXYueG1sUEsBAhQAFAAA&#10;AAgAh07iQDnHy6EqAgAAewQAAA4AAAAAAAAAAQAgAAAAJQEAAGRycy9lMm9Eb2MueG1sUEsFBgAA&#10;AAAGAAYAWQEAAMEFAAAAAA==&#10;">
                <v:fill on="t" focussize="0,0"/>
                <v:stroke color="#000000" miterlimit="8" joinstyle="miter"/>
                <v:imagedata o:title=""/>
                <o:lock v:ext="edit" aspectratio="f"/>
                <v:textbox style="mso-fit-shape-to-text:t;">
                  <w:txbxContent>
                    <w:p w14:paraId="78731F17">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3 godine</w:t>
                      </w:r>
                    </w:p>
                    <w:p w14:paraId="737CBFB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24% p&lt;0013</w:t>
                      </w:r>
                    </w:p>
                    <w:p w14:paraId="2110558F"/>
                  </w:txbxContent>
                </v:textbox>
              </v:shape>
            </w:pict>
          </mc:Fallback>
        </mc:AlternateContent>
      </w:r>
      <w:r>
        <w:rPr>
          <w:rFonts w:ascii="Microsoft Sans Serif" w:hAnsi="Microsoft Sans Serif" w:cs="Microsoft Sans Serif"/>
          <w:b/>
          <w:bCs/>
          <w:sz w:val="20"/>
          <w:szCs w:val="20"/>
        </w:rPr>
        <mc:AlternateContent>
          <mc:Choice Requires="wps">
            <w:drawing>
              <wp:anchor distT="0" distB="0" distL="114300" distR="114300" simplePos="0" relativeHeight="251668480" behindDoc="0" locked="0" layoutInCell="1" allowOverlap="1">
                <wp:simplePos x="0" y="0"/>
                <wp:positionH relativeFrom="column">
                  <wp:posOffset>1219200</wp:posOffset>
                </wp:positionH>
                <wp:positionV relativeFrom="paragraph">
                  <wp:posOffset>998220</wp:posOffset>
                </wp:positionV>
                <wp:extent cx="809625" cy="1403985"/>
                <wp:effectExtent l="0" t="0" r="28575" b="24765"/>
                <wp:wrapNone/>
                <wp:docPr id="16" name="Text Box 2"/>
                <wp:cNvGraphicFramePr/>
                <a:graphic xmlns:a="http://schemas.openxmlformats.org/drawingml/2006/main">
                  <a:graphicData uri="http://schemas.microsoft.com/office/word/2010/wordprocessingShape">
                    <wps:wsp>
                      <wps:cNvSpPr txBox="1">
                        <a:spLocks noChangeArrowheads="1"/>
                      </wps:cNvSpPr>
                      <wps:spPr bwMode="auto">
                        <a:xfrm>
                          <a:off x="0" y="0"/>
                          <a:ext cx="809625" cy="1403985"/>
                        </a:xfrm>
                        <a:prstGeom prst="rect">
                          <a:avLst/>
                        </a:prstGeom>
                        <a:solidFill>
                          <a:srgbClr val="FFFFFF"/>
                        </a:solidFill>
                        <a:ln w="9525">
                          <a:solidFill>
                            <a:srgbClr val="000000"/>
                          </a:solidFill>
                          <a:miter lim="800000"/>
                        </a:ln>
                      </wps:spPr>
                      <wps:txbx>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96pt;margin-top:78.6pt;height:110.55pt;width:63.75pt;z-index:251668480;mso-width-relative:page;mso-height-relative:margin;mso-height-percent:200;" fillcolor="#FFFFFF" filled="t" stroked="t" coordsize="21600,21600" o:gfxdata="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oJ2/9cAAAALAQAADwAAAAAAAAABACAAAAAiAAAAZHJzL2Rvd25yZXYueG1sUEsBAhQAFAAA&#10;AAgAh07iQFIMdCcpAgAAewQAAA4AAAAAAAAAAQAgAAAAJgEAAGRycy9lMm9Eb2MueG1sUEsFBgAA&#10;AAAGAAYAWQEAAMEFAAAAAA==&#10;">
                <v:fill on="t" focussize="0,0"/>
                <v:stroke color="#000000" miterlimit="8" joinstyle="miter"/>
                <v:imagedata o:title=""/>
                <o:lock v:ext="edit" aspectratio="f"/>
                <v:textbox style="mso-fit-shape-to-text:t;">
                  <w:txbxContent>
                    <w:p w14:paraId="4F192FC4">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do 2 godine</w:t>
                      </w:r>
                    </w:p>
                    <w:p w14:paraId="144A49DF">
                      <w:pPr>
                        <w:rPr>
                          <w:rFonts w:ascii="Microsoft Sans Serif" w:hAnsi="Microsoft Sans Serif" w:cs="Microsoft Sans Serif"/>
                          <w:sz w:val="16"/>
                          <w:szCs w:val="20"/>
                          <w:lang w:val="sr-Latn-RS"/>
                        </w:rPr>
                      </w:pPr>
                      <w:r>
                        <w:rPr>
                          <w:rFonts w:ascii="Microsoft Sans Serif" w:hAnsi="Microsoft Sans Serif" w:cs="Microsoft Sans Serif"/>
                          <w:sz w:val="16"/>
                          <w:szCs w:val="20"/>
                          <w:lang w:val="sr-Latn-RS"/>
                        </w:rPr>
                        <w:t>19% p&lt;0008</w:t>
                      </w:r>
                    </w:p>
                    <w:p w14:paraId="777B9381"/>
                  </w:txbxContent>
                </v:textbox>
              </v:shape>
            </w:pict>
          </mc:Fallback>
        </mc:AlternateContent>
      </w:r>
      <w:r>
        <w:rPr>
          <w:rFonts w:ascii="Microsoft Sans Serif" w:hAnsi="Microsoft Sans Serif" w:cs="Microsoft Sans Serif"/>
          <w:b/>
          <w:bCs/>
          <w:sz w:val="20"/>
          <w:szCs w:val="20"/>
        </w:rPr>
        <w:drawing>
          <wp:inline distT="0" distB="0" distL="0" distR="0">
            <wp:extent cx="4822190" cy="266446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2190" cy="2664460"/>
                    </a:xfrm>
                    <a:prstGeom prst="rect">
                      <a:avLst/>
                    </a:prstGeom>
                    <a:noFill/>
                  </pic:spPr>
                </pic:pic>
              </a:graphicData>
            </a:graphic>
          </wp:inline>
        </w:drawing>
      </w:r>
    </w:p>
    <w:p w14:paraId="05EFDA2D">
      <w:pPr>
        <w:jc w:val="center"/>
        <w:rPr>
          <w:rFonts w:ascii="Microsoft Sans Serif" w:hAnsi="Microsoft Sans Serif" w:cs="Microsoft Sans Serif"/>
          <w:b/>
          <w:bCs/>
          <w:sz w:val="20"/>
          <w:szCs w:val="20"/>
          <w:lang w:val="sr-Latn-RS"/>
        </w:rPr>
      </w:pPr>
      <w:r>
        <w:rPr>
          <w:rFonts w:ascii="Microsoft Sans Serif" w:hAnsi="Microsoft Sans Serif" w:cs="Microsoft Sans Serif"/>
          <w:bCs/>
          <w:sz w:val="20"/>
          <w:szCs w:val="20"/>
          <w:lang w:val="sr-Latn-RS"/>
        </w:rPr>
        <w:t xml:space="preserve">                                                                   </w:t>
      </w:r>
      <w:r>
        <w:rPr>
          <w:rFonts w:ascii="Microsoft Sans Serif" w:hAnsi="Microsoft Sans Serif" w:cs="Microsoft Sans Serif"/>
          <w:b/>
          <w:bCs/>
          <w:sz w:val="20"/>
          <w:szCs w:val="20"/>
          <w:lang w:val="sr-Latn-RS"/>
        </w:rPr>
        <w:t>Mjeseci od randomizacije</w:t>
      </w:r>
    </w:p>
    <w:p w14:paraId="629D69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                                                                                    N</w:t>
      </w:r>
    </w:p>
    <w:p w14:paraId="4BF5B33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_______Dasatinib 100 mg jednom dnevno             259</w:t>
      </w:r>
    </w:p>
    <w:p w14:paraId="2881F23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------------Imatinib 400 mg jednom dnevno               260</w:t>
      </w:r>
    </w:p>
    <w:p w14:paraId="1C35727C">
      <w:pPr>
        <w:rPr>
          <w:rFonts w:ascii="Microsoft Sans Serif" w:hAnsi="Microsoft Sans Serif" w:cs="Microsoft Sans Serif"/>
          <w:bCs/>
          <w:sz w:val="20"/>
          <w:szCs w:val="20"/>
          <w:u w:val="single"/>
          <w:lang w:val="sr-Latn-RS"/>
        </w:rPr>
      </w:pPr>
    </w:p>
    <w:p w14:paraId="2A1D00C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MMR u bilo kom trenutku kod svake rizične grupe utvrđena prema Hasford-ovom skoru bila je veća u grupi koja je dobijala dasatinib u poređenju sa grupom koja je dobijala imatinib (nizak rizik: 90% odnosno 69%; srednji rizik: 71% odnosno 65%; visok rizik: 67% odnosno 54%).</w:t>
      </w:r>
    </w:p>
    <w:p w14:paraId="1CD54321">
      <w:pPr>
        <w:rPr>
          <w:rFonts w:ascii="Microsoft Sans Serif" w:hAnsi="Microsoft Sans Serif" w:cs="Microsoft Sans Serif"/>
          <w:bCs/>
          <w:sz w:val="20"/>
          <w:szCs w:val="20"/>
          <w:lang w:val="sr-Latn-RS"/>
        </w:rPr>
      </w:pPr>
    </w:p>
    <w:p w14:paraId="159B87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dodatnoj analizi, rani molekularni odgovor (definisan kao nivoi BCR-ABL ≤ 10% u 3. mesecu) postigao je veći broj pacijenata lečenih dasatinibom (84%) nego pacijenata lečenih imatinibom (64%). Kod pacijenata koji su postigli rani molekularni odgovor postojao je manji rizik od transformacije, veća stopa preživljavanja bez progresije bolesti (PFS) i veća stopa ukupnog preživljavanja (OS), kao što je prikazano u Tabeli 10.</w:t>
      </w:r>
    </w:p>
    <w:p w14:paraId="0A9A862E">
      <w:pPr>
        <w:rPr>
          <w:rFonts w:ascii="Microsoft Sans Serif" w:hAnsi="Microsoft Sans Serif" w:cs="Microsoft Sans Serif"/>
          <w:bCs/>
          <w:sz w:val="20"/>
          <w:szCs w:val="20"/>
          <w:lang w:val="sr-Latn-RS"/>
        </w:rPr>
      </w:pPr>
    </w:p>
    <w:p w14:paraId="3C7D13D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10: Pacijenti liječeni dasatinibom koji su imali BCR-ABL ≤ 10% i &gt; 10% u 3. mjesecu</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33"/>
        <w:gridCol w:w="2842"/>
        <w:gridCol w:w="2797"/>
      </w:tblGrid>
      <w:tr w14:paraId="18309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2" w:space="0"/>
              <w:bottom w:val="single" w:color="auto" w:sz="12" w:space="0"/>
            </w:tcBorders>
          </w:tcPr>
          <w:p w14:paraId="32A64ADF">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position w:val="-1"/>
                <w:sz w:val="20"/>
                <w:szCs w:val="20"/>
              </w:rPr>
              <w:t>D</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spacing w:val="1"/>
                <w:position w:val="-1"/>
                <w:sz w:val="20"/>
                <w:szCs w:val="20"/>
              </w:rPr>
              <w:t>s</w:t>
            </w:r>
            <w:r>
              <w:rPr>
                <w:rFonts w:ascii="Microsoft Sans Serif" w:hAnsi="Microsoft Sans Serif" w:eastAsia="Calibri" w:cs="Microsoft Sans Serif"/>
                <w:b/>
                <w:bCs/>
                <w:spacing w:val="-1"/>
                <w:position w:val="-1"/>
                <w:sz w:val="20"/>
                <w:szCs w:val="20"/>
              </w:rPr>
              <w:t>a</w:t>
            </w:r>
            <w:r>
              <w:rPr>
                <w:rFonts w:ascii="Microsoft Sans Serif" w:hAnsi="Microsoft Sans Serif" w:eastAsia="Calibri" w:cs="Microsoft Sans Serif"/>
                <w:b/>
                <w:bCs/>
                <w:position w:val="-1"/>
                <w:sz w:val="20"/>
                <w:szCs w:val="20"/>
              </w:rPr>
              <w:t>tinib</w:t>
            </w:r>
            <w:r>
              <w:rPr>
                <w:rFonts w:ascii="Microsoft Sans Serif" w:hAnsi="Microsoft Sans Serif" w:eastAsia="Calibri" w:cs="Microsoft Sans Serif"/>
                <w:b/>
                <w:bCs/>
                <w:spacing w:val="27"/>
                <w:position w:val="-1"/>
                <w:sz w:val="20"/>
                <w:szCs w:val="20"/>
              </w:rPr>
              <w:t xml:space="preserve"> </w:t>
            </w:r>
            <w:r>
              <w:rPr>
                <w:rFonts w:ascii="Microsoft Sans Serif" w:hAnsi="Microsoft Sans Serif" w:eastAsia="Calibri" w:cs="Microsoft Sans Serif"/>
                <w:b/>
                <w:bCs/>
                <w:position w:val="-1"/>
                <w:sz w:val="20"/>
                <w:szCs w:val="20"/>
              </w:rPr>
              <w:t>N</w:t>
            </w:r>
            <w:r>
              <w:rPr>
                <w:rFonts w:ascii="Microsoft Sans Serif" w:hAnsi="Microsoft Sans Serif" w:eastAsia="Calibri" w:cs="Microsoft Sans Serif"/>
                <w:b/>
                <w:bCs/>
                <w:spacing w:val="7"/>
                <w:position w:val="-1"/>
                <w:sz w:val="20"/>
                <w:szCs w:val="20"/>
              </w:rPr>
              <w:t xml:space="preserve"> </w:t>
            </w:r>
            <w:r>
              <w:rPr>
                <w:rFonts w:ascii="Microsoft Sans Serif" w:hAnsi="Microsoft Sans Serif" w:eastAsia="Calibri" w:cs="Microsoft Sans Serif"/>
                <w:b/>
                <w:bCs/>
                <w:position w:val="-1"/>
                <w:sz w:val="20"/>
                <w:szCs w:val="20"/>
              </w:rPr>
              <w:t>=</w:t>
            </w:r>
            <w:r>
              <w:rPr>
                <w:rFonts w:ascii="Microsoft Sans Serif" w:hAnsi="Microsoft Sans Serif" w:eastAsia="Calibri" w:cs="Microsoft Sans Serif"/>
                <w:b/>
                <w:bCs/>
                <w:spacing w:val="6"/>
                <w:position w:val="-1"/>
                <w:sz w:val="20"/>
                <w:szCs w:val="20"/>
              </w:rPr>
              <w:t xml:space="preserve"> </w:t>
            </w:r>
            <w:r>
              <w:rPr>
                <w:rFonts w:ascii="Microsoft Sans Serif" w:hAnsi="Microsoft Sans Serif" w:eastAsia="Calibri" w:cs="Microsoft Sans Serif"/>
                <w:b/>
                <w:bCs/>
                <w:w w:val="103"/>
                <w:position w:val="-1"/>
                <w:sz w:val="20"/>
                <w:szCs w:val="20"/>
              </w:rPr>
              <w:t>235</w:t>
            </w:r>
          </w:p>
        </w:tc>
        <w:tc>
          <w:tcPr>
            <w:tcW w:w="2842" w:type="dxa"/>
            <w:tcBorders>
              <w:top w:val="single" w:color="auto" w:sz="2" w:space="0"/>
              <w:bottom w:val="single" w:color="auto" w:sz="12" w:space="0"/>
            </w:tcBorders>
          </w:tcPr>
          <w:p w14:paraId="292E8EA3">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1452786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 10% u 3. mjesecu</w:t>
            </w:r>
          </w:p>
        </w:tc>
        <w:tc>
          <w:tcPr>
            <w:tcW w:w="2797" w:type="dxa"/>
            <w:tcBorders>
              <w:top w:val="single" w:color="auto" w:sz="2" w:space="0"/>
              <w:bottom w:val="single" w:color="auto" w:sz="12" w:space="0"/>
            </w:tcBorders>
          </w:tcPr>
          <w:p w14:paraId="423C2948">
            <w:pPr>
              <w:widowControl w:val="0"/>
              <w:spacing w:before="20"/>
              <w:rPr>
                <w:rFonts w:ascii="Microsoft Sans Serif" w:hAnsi="Microsoft Sans Serif" w:eastAsia="Times New Roman" w:cs="Microsoft Sans Serif"/>
                <w:b/>
                <w:bCs/>
                <w:sz w:val="20"/>
                <w:szCs w:val="20"/>
              </w:rPr>
            </w:pPr>
            <w:r>
              <w:rPr>
                <w:rFonts w:ascii="Microsoft Sans Serif" w:hAnsi="Microsoft Sans Serif" w:eastAsia="Calibri" w:cs="Microsoft Sans Serif"/>
                <w:b/>
                <w:bCs/>
                <w:sz w:val="20"/>
                <w:szCs w:val="20"/>
              </w:rPr>
              <w:t>Pacijenti koji su imali BCR-ABL</w:t>
            </w:r>
          </w:p>
          <w:p w14:paraId="7427067B">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b/>
                <w:bCs/>
                <w:sz w:val="20"/>
                <w:szCs w:val="20"/>
              </w:rPr>
              <w:t>&gt; 10% u 3. mjesecu</w:t>
            </w:r>
          </w:p>
        </w:tc>
      </w:tr>
      <w:tr w14:paraId="0EB8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Borders>
              <w:top w:val="single" w:color="auto" w:sz="12" w:space="0"/>
            </w:tcBorders>
          </w:tcPr>
          <w:p w14:paraId="1BAF05D6">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Broj pacijenata (%)</w:t>
            </w:r>
          </w:p>
        </w:tc>
        <w:tc>
          <w:tcPr>
            <w:tcW w:w="2842" w:type="dxa"/>
            <w:tcBorders>
              <w:top w:val="single" w:color="auto" w:sz="12" w:space="0"/>
            </w:tcBorders>
          </w:tcPr>
          <w:p w14:paraId="247F9D0A">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198 (84,3)</w:t>
            </w:r>
          </w:p>
        </w:tc>
        <w:tc>
          <w:tcPr>
            <w:tcW w:w="2797" w:type="dxa"/>
            <w:tcBorders>
              <w:top w:val="single" w:color="auto" w:sz="12" w:space="0"/>
            </w:tcBorders>
          </w:tcPr>
          <w:p w14:paraId="4EB848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37 (15,7)</w:t>
            </w:r>
          </w:p>
        </w:tc>
      </w:tr>
      <w:tr w14:paraId="51CE8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50235494">
            <w:pPr>
              <w:widowControl w:val="0"/>
              <w:tabs>
                <w:tab w:val="left" w:pos="1300"/>
              </w:tabs>
              <w:spacing w:line="227" w:lineRule="exact"/>
              <w:rPr>
                <w:rFonts w:ascii="Microsoft Sans Serif" w:hAnsi="Microsoft Sans Serif" w:eastAsia="Times New Roman" w:cs="Microsoft Sans Serif"/>
                <w:spacing w:val="1"/>
                <w:sz w:val="20"/>
                <w:szCs w:val="20"/>
              </w:rPr>
            </w:pPr>
            <w:r>
              <w:rPr>
                <w:rFonts w:ascii="Microsoft Sans Serif" w:hAnsi="Microsoft Sans Serif" w:eastAsia="Calibri" w:cs="Microsoft Sans Serif"/>
                <w:spacing w:val="1"/>
                <w:sz w:val="20"/>
                <w:szCs w:val="20"/>
              </w:rPr>
              <w:t>Transformacija u 60. mesecu, n/N</w:t>
            </w:r>
          </w:p>
          <w:p w14:paraId="564F6D25">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z w:val="20"/>
                <w:szCs w:val="20"/>
              </w:rPr>
              <w:t>)</w:t>
            </w:r>
          </w:p>
        </w:tc>
        <w:tc>
          <w:tcPr>
            <w:tcW w:w="2842" w:type="dxa"/>
          </w:tcPr>
          <w:p w14:paraId="401B08F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6/198 (3,0)</w:t>
            </w:r>
          </w:p>
        </w:tc>
        <w:tc>
          <w:tcPr>
            <w:tcW w:w="2797" w:type="dxa"/>
          </w:tcPr>
          <w:p w14:paraId="6834EF55">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5/37 (13,5)</w:t>
            </w:r>
          </w:p>
        </w:tc>
      </w:tr>
      <w:tr w14:paraId="1915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33" w:type="dxa"/>
          </w:tcPr>
          <w:p w14:paraId="7A554000">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sz w:val="20"/>
                <w:szCs w:val="20"/>
              </w:rPr>
              <w:t>Stopa PFS u 60. mesecu (95% CI)</w:t>
            </w:r>
          </w:p>
        </w:tc>
        <w:tc>
          <w:tcPr>
            <w:tcW w:w="2842" w:type="dxa"/>
          </w:tcPr>
          <w:p w14:paraId="33852D3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92,0% (89,6, 95,2)</w:t>
            </w:r>
          </w:p>
        </w:tc>
        <w:tc>
          <w:tcPr>
            <w:tcW w:w="2797" w:type="dxa"/>
          </w:tcPr>
          <w:p w14:paraId="17259D6F">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73,8% (52,0, 86,8)</w:t>
            </w:r>
          </w:p>
        </w:tc>
      </w:tr>
      <w:tr w14:paraId="304F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3433" w:type="dxa"/>
            <w:tcBorders>
              <w:bottom w:val="single" w:color="auto" w:sz="2" w:space="0"/>
            </w:tcBorders>
          </w:tcPr>
          <w:p w14:paraId="66EDAD18">
            <w:pPr>
              <w:widowControl w:val="0"/>
              <w:tabs>
                <w:tab w:val="left" w:pos="1300"/>
              </w:tabs>
              <w:spacing w:line="227" w:lineRule="exact"/>
              <w:rPr>
                <w:rFonts w:ascii="Microsoft Sans Serif" w:hAnsi="Microsoft Sans Serif" w:eastAsia="Times New Roman" w:cs="Microsoft Sans Serif"/>
                <w:b/>
                <w:bCs/>
                <w:position w:val="-1"/>
                <w:sz w:val="20"/>
                <w:szCs w:val="20"/>
              </w:rPr>
            </w:pPr>
            <w:r>
              <w:rPr>
                <w:rFonts w:ascii="Microsoft Sans Serif" w:hAnsi="Microsoft Sans Serif" w:eastAsia="Calibri" w:cs="Microsoft Sans Serif"/>
                <w:w w:val="103"/>
                <w:position w:val="-1"/>
                <w:sz w:val="20"/>
                <w:szCs w:val="20"/>
              </w:rPr>
              <w:t>Stopa OS u 60. mesecu (95% CI)</w:t>
            </w:r>
          </w:p>
        </w:tc>
        <w:tc>
          <w:tcPr>
            <w:tcW w:w="2842" w:type="dxa"/>
            <w:tcBorders>
              <w:bottom w:val="single" w:color="auto" w:sz="2" w:space="0"/>
            </w:tcBorders>
          </w:tcPr>
          <w:p w14:paraId="47166D33">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93,8% (89,3, 96,4)</w:t>
            </w:r>
          </w:p>
        </w:tc>
        <w:tc>
          <w:tcPr>
            <w:tcW w:w="2797" w:type="dxa"/>
            <w:tcBorders>
              <w:bottom w:val="single" w:color="auto" w:sz="2" w:space="0"/>
            </w:tcBorders>
          </w:tcPr>
          <w:p w14:paraId="4268248E">
            <w:pPr>
              <w:widowControl w:val="0"/>
              <w:jc w:val="center"/>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80,6% (63,5, 90,2)</w:t>
            </w:r>
          </w:p>
        </w:tc>
      </w:tr>
    </w:tbl>
    <w:p w14:paraId="06F32BB1">
      <w:pPr>
        <w:rPr>
          <w:rFonts w:ascii="Microsoft Sans Serif" w:hAnsi="Microsoft Sans Serif" w:cs="Microsoft Sans Serif"/>
          <w:b/>
          <w:bCs/>
          <w:sz w:val="20"/>
          <w:szCs w:val="20"/>
          <w:lang w:val="sr-Latn-RS"/>
        </w:rPr>
      </w:pPr>
    </w:p>
    <w:p w14:paraId="64965AF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OS u specifičnim vremenskim tačkama grafički je prikazana na Slici 4. Stopa OS konzistentno je bila ve’ kod pacijenata liječenih dasatinibom koji su postigli nivo BCR-ABL ≤ 10% u 3. mjesecu nego kod onih koji nisu.</w:t>
      </w:r>
    </w:p>
    <w:p w14:paraId="3E098548">
      <w:pPr>
        <w:rPr>
          <w:rFonts w:ascii="Microsoft Sans Serif" w:hAnsi="Microsoft Sans Serif" w:cs="Microsoft Sans Serif"/>
          <w:bCs/>
          <w:sz w:val="20"/>
          <w:szCs w:val="20"/>
          <w:lang w:val="sr-Latn-RS"/>
        </w:rPr>
      </w:pPr>
    </w:p>
    <w:p w14:paraId="0064CE5C">
      <w:pPr>
        <w:rPr>
          <w:rFonts w:ascii="Microsoft Sans Serif" w:hAnsi="Microsoft Sans Serif" w:cs="Microsoft Sans Serif"/>
          <w:b/>
          <w:bCs/>
          <w:sz w:val="20"/>
          <w:szCs w:val="20"/>
          <w:lang w:val="sr-Latn-RS"/>
        </w:rPr>
      </w:pPr>
    </w:p>
    <w:p w14:paraId="4C80F51C">
      <w:pPr>
        <w:rPr>
          <w:rFonts w:ascii="Microsoft Sans Serif" w:hAnsi="Microsoft Sans Serif" w:cs="Microsoft Sans Serif"/>
          <w:b/>
          <w:bCs/>
          <w:sz w:val="20"/>
          <w:szCs w:val="20"/>
          <w:lang w:val="sr-Latn-RS"/>
        </w:rPr>
      </w:pPr>
    </w:p>
    <w:p w14:paraId="0C135C24">
      <w:pPr>
        <w:rPr>
          <w:rFonts w:ascii="Microsoft Sans Serif" w:hAnsi="Microsoft Sans Serif" w:cs="Microsoft Sans Serif"/>
          <w:b/>
          <w:bCs/>
          <w:sz w:val="20"/>
          <w:szCs w:val="20"/>
          <w:lang w:val="sr-Latn-RS"/>
        </w:rPr>
      </w:pPr>
    </w:p>
    <w:p w14:paraId="0ABA4962">
      <w:pPr>
        <w:rPr>
          <w:rFonts w:ascii="Microsoft Sans Serif" w:hAnsi="Microsoft Sans Serif" w:cs="Microsoft Sans Serif"/>
          <w:b/>
          <w:bCs/>
          <w:sz w:val="20"/>
          <w:szCs w:val="20"/>
          <w:lang w:val="sr-Latn-RS"/>
        </w:rPr>
      </w:pPr>
    </w:p>
    <w:p w14:paraId="772BA77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Slika 4: Grafikon ključnih vremenskih tačaka za ukupno preživljavanje pri primjeni dasatiniba prema</w:t>
      </w:r>
    </w:p>
    <w:p w14:paraId="60C3765C">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nivou BCR-ABL (≤ 10% ili &gt; 10%) u 3. mjesecu u studiji faze 3 sprovedenoj kod</w:t>
      </w:r>
    </w:p>
    <w:p w14:paraId="3A264694">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novodijagnostifikovanih pacijenata sa HML u hroničnoj fazi</w:t>
      </w:r>
    </w:p>
    <w:p w14:paraId="21725CD9">
      <w:pPr>
        <w:rPr>
          <w:rFonts w:ascii="Microsoft Sans Serif" w:hAnsi="Microsoft Sans Serif" w:cs="Microsoft Sans Serif"/>
          <w:b/>
          <w:bCs/>
          <w:sz w:val="20"/>
          <w:szCs w:val="20"/>
          <w:lang w:val="sr-Latn-RS"/>
        </w:rPr>
      </w:pPr>
    </w:p>
    <w:p w14:paraId="3B60AC07">
      <w:pPr>
        <w:rPr>
          <w:rFonts w:ascii="Microsoft Sans Serif" w:hAnsi="Microsoft Sans Serif" w:cs="Microsoft Sans Serif"/>
          <w:b/>
          <w:bCs/>
          <w:sz w:val="20"/>
          <w:szCs w:val="20"/>
          <w:lang w:val="sr-Latn-RS"/>
        </w:rPr>
      </w:pPr>
    </w:p>
    <w:p w14:paraId="06B44F0E">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mc:AlternateContent>
          <mc:Choice Requires="wps">
            <w:drawing>
              <wp:anchor distT="0" distB="0" distL="114300" distR="114300" simplePos="0" relativeHeight="251673600" behindDoc="0" locked="0" layoutInCell="1" allowOverlap="1">
                <wp:simplePos x="0" y="0"/>
                <wp:positionH relativeFrom="column">
                  <wp:posOffset>-1071245</wp:posOffset>
                </wp:positionH>
                <wp:positionV relativeFrom="paragraph">
                  <wp:posOffset>826770</wp:posOffset>
                </wp:positionV>
                <wp:extent cx="1677035" cy="276225"/>
                <wp:effectExtent l="0" t="4763" r="14288" b="14287"/>
                <wp:wrapNone/>
                <wp:docPr id="22" name="Text Box 2"/>
                <wp:cNvGraphicFramePr/>
                <a:graphic xmlns:a="http://schemas.openxmlformats.org/drawingml/2006/main">
                  <a:graphicData uri="http://schemas.microsoft.com/office/word/2010/wordprocessingShape">
                    <wps:wsp>
                      <wps:cNvSpPr txBox="1">
                        <a:spLocks noChangeArrowheads="1"/>
                      </wps:cNvSpPr>
                      <wps:spPr bwMode="auto">
                        <a:xfrm rot="16200000">
                          <a:off x="0" y="0"/>
                          <a:ext cx="1676720" cy="276225"/>
                        </a:xfrm>
                        <a:prstGeom prst="rect">
                          <a:avLst/>
                        </a:prstGeom>
                        <a:solidFill>
                          <a:srgbClr val="FFFFFF"/>
                        </a:solidFill>
                        <a:ln w="9525">
                          <a:solidFill>
                            <a:srgbClr val="000000"/>
                          </a:solidFill>
                          <a:miter lim="800000"/>
                        </a:ln>
                      </wps:spPr>
                      <wps:txb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4.35pt;margin-top:65.1pt;height:21.75pt;width:132.05pt;rotation:-5898240f;z-index:251673600;mso-width-relative:page;mso-height-relative:page;" fillcolor="#FFFFFF" filled="t" stroked="t" coordsize="21600,21600" o:gfxdata="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ssXbtoAAAALAQAADwAAAAAAAAABACAAAAAiAAAAZHJzL2Rvd25y&#10;ZXYueG1sUEsBAhQAFAAAAAgAh07iQOaqM4o1AgAAigQAAA4AAAAAAAAAAQAgAAAAKQEAAGRycy9l&#10;Mm9Eb2MueG1sUEsFBgAAAAAGAAYAWQEAANAFAAAAAA==&#10;">
                <v:fill on="t" focussize="0,0"/>
                <v:stroke color="#000000" miterlimit="8" joinstyle="miter"/>
                <v:imagedata o:title=""/>
                <o:lock v:ext="edit" aspectratio="f"/>
                <v:textbox>
                  <w:txbxContent>
                    <w:p w14:paraId="753457E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UDIO PREŽIVJELIH</w:t>
                      </w:r>
                    </w:p>
                  </w:txbxContent>
                </v:textbox>
              </v:shape>
            </w:pict>
          </mc:Fallback>
        </mc:AlternateContent>
      </w:r>
      <w:r>
        <w:rPr>
          <w:rFonts w:ascii="Microsoft Sans Serif" w:hAnsi="Microsoft Sans Serif" w:cs="Microsoft Sans Serif"/>
          <w:b/>
          <w:bCs/>
          <w:sz w:val="20"/>
          <w:szCs w:val="20"/>
        </w:rPr>
        <w:drawing>
          <wp:inline distT="0" distB="0" distL="0" distR="0">
            <wp:extent cx="5645150" cy="1987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45150" cy="1987550"/>
                    </a:xfrm>
                    <a:prstGeom prst="rect">
                      <a:avLst/>
                    </a:prstGeom>
                    <a:noFill/>
                  </pic:spPr>
                </pic:pic>
              </a:graphicData>
            </a:graphic>
          </wp:inline>
        </w:drawing>
      </w:r>
    </w:p>
    <w:p w14:paraId="4E497CA4">
      <w:pPr>
        <w:rPr>
          <w:rFonts w:ascii="Microsoft Sans Serif" w:hAnsi="Microsoft Sans Serif" w:cs="Microsoft Sans Serif"/>
          <w:b/>
          <w:bCs/>
          <w:sz w:val="20"/>
          <w:szCs w:val="20"/>
          <w:lang w:val="sr-Latn-RS"/>
        </w:rPr>
      </w:pPr>
    </w:p>
    <w:p w14:paraId="743F6E06">
      <w:pPr>
        <w:jc w:val="right"/>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mjeseci</w:t>
      </w:r>
    </w:p>
    <w:tbl>
      <w:tblPr>
        <w:tblStyle w:val="12"/>
        <w:tblW w:w="9321" w:type="dxa"/>
        <w:tblInd w:w="-180" w:type="dxa"/>
        <w:tblLayout w:type="fixed"/>
        <w:tblCellMar>
          <w:top w:w="0" w:type="dxa"/>
          <w:left w:w="0" w:type="dxa"/>
          <w:bottom w:w="0" w:type="dxa"/>
          <w:right w:w="0" w:type="dxa"/>
        </w:tblCellMar>
      </w:tblPr>
      <w:tblGrid>
        <w:gridCol w:w="1546"/>
        <w:gridCol w:w="288"/>
        <w:gridCol w:w="320"/>
        <w:gridCol w:w="337"/>
        <w:gridCol w:w="337"/>
        <w:gridCol w:w="338"/>
        <w:gridCol w:w="326"/>
        <w:gridCol w:w="333"/>
        <w:gridCol w:w="348"/>
        <w:gridCol w:w="343"/>
        <w:gridCol w:w="1293"/>
        <w:gridCol w:w="378"/>
        <w:gridCol w:w="1959"/>
        <w:gridCol w:w="615"/>
        <w:gridCol w:w="244"/>
        <w:gridCol w:w="316"/>
      </w:tblGrid>
      <w:tr w14:paraId="41FC1DDF">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6F110A21">
            <w:pPr>
              <w:spacing w:line="197" w:lineRule="exact"/>
              <w:ind w:left="180" w:right="-20"/>
              <w:rPr>
                <w:sz w:val="18"/>
                <w:szCs w:val="18"/>
              </w:rPr>
            </w:pPr>
            <w:r>
              <w:rPr>
                <w:b/>
                <w:bCs/>
                <w:sz w:val="18"/>
                <w:szCs w:val="18"/>
              </w:rPr>
              <w:t>P</w:t>
            </w:r>
            <w:r>
              <w:rPr>
                <w:b/>
                <w:bCs/>
                <w:spacing w:val="-1"/>
                <w:sz w:val="18"/>
                <w:szCs w:val="18"/>
              </w:rPr>
              <w:t>a</w:t>
            </w:r>
            <w:r>
              <w:rPr>
                <w:b/>
                <w:bCs/>
                <w:sz w:val="18"/>
                <w:szCs w:val="18"/>
              </w:rPr>
              <w:t>cijenti u riziku</w:t>
            </w:r>
          </w:p>
          <w:p w14:paraId="7BBE86A0">
            <w:pPr>
              <w:spacing w:line="180" w:lineRule="exact"/>
              <w:ind w:left="180" w:right="-20"/>
              <w:rPr>
                <w:rFonts w:ascii="Arial" w:hAnsi="Arial" w:eastAsia="Arial" w:cs="Arial"/>
                <w:sz w:val="16"/>
                <w:szCs w:val="16"/>
              </w:rPr>
            </w:pPr>
          </w:p>
        </w:tc>
        <w:tc>
          <w:tcPr>
            <w:tcW w:w="288" w:type="dxa"/>
            <w:tcBorders>
              <w:top w:val="nil"/>
              <w:left w:val="nil"/>
              <w:bottom w:val="nil"/>
              <w:right w:val="nil"/>
            </w:tcBorders>
          </w:tcPr>
          <w:p w14:paraId="573FA508">
            <w:pPr>
              <w:ind w:left="64" w:right="-20"/>
              <w:rPr>
                <w:rFonts w:ascii="Arial" w:hAnsi="Arial" w:eastAsia="Arial" w:cs="Arial"/>
                <w:sz w:val="16"/>
                <w:szCs w:val="16"/>
              </w:rPr>
            </w:pPr>
          </w:p>
        </w:tc>
        <w:tc>
          <w:tcPr>
            <w:tcW w:w="320" w:type="dxa"/>
            <w:tcBorders>
              <w:top w:val="nil"/>
              <w:left w:val="nil"/>
              <w:bottom w:val="nil"/>
              <w:right w:val="nil"/>
            </w:tcBorders>
          </w:tcPr>
          <w:p w14:paraId="3FAAF5F4">
            <w:pPr>
              <w:ind w:left="83" w:right="-20"/>
              <w:rPr>
                <w:rFonts w:ascii="Arial" w:hAnsi="Arial" w:eastAsia="Arial" w:cs="Arial"/>
                <w:sz w:val="16"/>
                <w:szCs w:val="16"/>
              </w:rPr>
            </w:pPr>
          </w:p>
        </w:tc>
        <w:tc>
          <w:tcPr>
            <w:tcW w:w="337" w:type="dxa"/>
            <w:tcBorders>
              <w:top w:val="nil"/>
              <w:left w:val="nil"/>
              <w:bottom w:val="nil"/>
              <w:right w:val="nil"/>
            </w:tcBorders>
          </w:tcPr>
          <w:p w14:paraId="1CAA6783">
            <w:pPr>
              <w:ind w:left="101" w:right="-20"/>
              <w:rPr>
                <w:rFonts w:ascii="Arial" w:hAnsi="Arial" w:eastAsia="Arial" w:cs="Arial"/>
                <w:sz w:val="16"/>
                <w:szCs w:val="16"/>
              </w:rPr>
            </w:pPr>
          </w:p>
        </w:tc>
        <w:tc>
          <w:tcPr>
            <w:tcW w:w="337" w:type="dxa"/>
            <w:tcBorders>
              <w:top w:val="nil"/>
              <w:left w:val="nil"/>
              <w:bottom w:val="nil"/>
              <w:right w:val="nil"/>
            </w:tcBorders>
          </w:tcPr>
          <w:p w14:paraId="5051C636">
            <w:pPr>
              <w:ind w:left="101" w:right="-20"/>
              <w:rPr>
                <w:rFonts w:ascii="Arial" w:hAnsi="Arial" w:eastAsia="Arial" w:cs="Arial"/>
                <w:sz w:val="16"/>
                <w:szCs w:val="16"/>
              </w:rPr>
            </w:pPr>
          </w:p>
        </w:tc>
        <w:tc>
          <w:tcPr>
            <w:tcW w:w="338" w:type="dxa"/>
            <w:tcBorders>
              <w:top w:val="nil"/>
              <w:left w:val="nil"/>
              <w:bottom w:val="nil"/>
              <w:right w:val="nil"/>
            </w:tcBorders>
          </w:tcPr>
          <w:p w14:paraId="6C2DD33E">
            <w:pPr>
              <w:ind w:left="101" w:right="-20"/>
              <w:rPr>
                <w:rFonts w:ascii="Arial" w:hAnsi="Arial" w:eastAsia="Arial" w:cs="Arial"/>
                <w:sz w:val="16"/>
                <w:szCs w:val="16"/>
              </w:rPr>
            </w:pPr>
          </w:p>
        </w:tc>
        <w:tc>
          <w:tcPr>
            <w:tcW w:w="326" w:type="dxa"/>
            <w:tcBorders>
              <w:top w:val="nil"/>
              <w:left w:val="nil"/>
              <w:bottom w:val="nil"/>
              <w:right w:val="nil"/>
            </w:tcBorders>
          </w:tcPr>
          <w:p w14:paraId="350DD242">
            <w:pPr>
              <w:ind w:left="102" w:right="-20"/>
              <w:rPr>
                <w:rFonts w:ascii="Arial" w:hAnsi="Arial" w:eastAsia="Arial" w:cs="Arial"/>
                <w:sz w:val="16"/>
                <w:szCs w:val="16"/>
              </w:rPr>
            </w:pPr>
          </w:p>
        </w:tc>
        <w:tc>
          <w:tcPr>
            <w:tcW w:w="333" w:type="dxa"/>
            <w:tcBorders>
              <w:top w:val="nil"/>
              <w:left w:val="nil"/>
              <w:bottom w:val="nil"/>
              <w:right w:val="nil"/>
            </w:tcBorders>
          </w:tcPr>
          <w:p w14:paraId="6E47F4A2">
            <w:pPr>
              <w:ind w:left="103" w:right="-20"/>
              <w:rPr>
                <w:rFonts w:ascii="Arial" w:hAnsi="Arial" w:eastAsia="Arial" w:cs="Arial"/>
                <w:sz w:val="16"/>
                <w:szCs w:val="16"/>
              </w:rPr>
            </w:pPr>
          </w:p>
        </w:tc>
        <w:tc>
          <w:tcPr>
            <w:tcW w:w="348" w:type="dxa"/>
            <w:tcBorders>
              <w:top w:val="nil"/>
              <w:left w:val="nil"/>
              <w:bottom w:val="nil"/>
              <w:right w:val="nil"/>
            </w:tcBorders>
          </w:tcPr>
          <w:p w14:paraId="5980CFB4">
            <w:pPr>
              <w:ind w:left="108" w:right="-20"/>
              <w:rPr>
                <w:rFonts w:ascii="Arial" w:hAnsi="Arial" w:eastAsia="Arial" w:cs="Arial"/>
                <w:sz w:val="16"/>
                <w:szCs w:val="16"/>
              </w:rPr>
            </w:pPr>
          </w:p>
        </w:tc>
        <w:tc>
          <w:tcPr>
            <w:tcW w:w="343" w:type="dxa"/>
            <w:tcBorders>
              <w:top w:val="nil"/>
              <w:left w:val="nil"/>
              <w:bottom w:val="nil"/>
              <w:right w:val="nil"/>
            </w:tcBorders>
          </w:tcPr>
          <w:p w14:paraId="3DAD191D">
            <w:pPr>
              <w:ind w:left="106" w:right="-20"/>
              <w:rPr>
                <w:rFonts w:ascii="Arial" w:hAnsi="Arial" w:eastAsia="Arial" w:cs="Arial"/>
                <w:sz w:val="16"/>
                <w:szCs w:val="16"/>
              </w:rPr>
            </w:pPr>
          </w:p>
        </w:tc>
        <w:tc>
          <w:tcPr>
            <w:tcW w:w="1293" w:type="dxa"/>
            <w:tcBorders>
              <w:top w:val="nil"/>
              <w:left w:val="nil"/>
              <w:bottom w:val="nil"/>
              <w:right w:val="nil"/>
            </w:tcBorders>
          </w:tcPr>
          <w:p w14:paraId="34A93684">
            <w:pPr>
              <w:ind w:left="102" w:right="-20"/>
              <w:rPr>
                <w:rFonts w:ascii="Arial" w:hAnsi="Arial" w:eastAsia="Arial" w:cs="Arial"/>
                <w:sz w:val="16"/>
                <w:szCs w:val="16"/>
              </w:rPr>
            </w:pPr>
          </w:p>
        </w:tc>
        <w:tc>
          <w:tcPr>
            <w:tcW w:w="378" w:type="dxa"/>
            <w:tcBorders>
              <w:top w:val="nil"/>
              <w:left w:val="nil"/>
              <w:bottom w:val="nil"/>
              <w:right w:val="nil"/>
            </w:tcBorders>
          </w:tcPr>
          <w:p w14:paraId="5A9D3CA5">
            <w:pPr>
              <w:ind w:left="152" w:right="-20"/>
              <w:rPr>
                <w:rFonts w:ascii="Arial" w:hAnsi="Arial" w:eastAsia="Arial" w:cs="Arial"/>
                <w:sz w:val="16"/>
                <w:szCs w:val="16"/>
              </w:rPr>
            </w:pPr>
          </w:p>
        </w:tc>
        <w:tc>
          <w:tcPr>
            <w:tcW w:w="1959" w:type="dxa"/>
            <w:tcBorders>
              <w:top w:val="nil"/>
              <w:left w:val="nil"/>
              <w:bottom w:val="nil"/>
              <w:right w:val="nil"/>
            </w:tcBorders>
          </w:tcPr>
          <w:p w14:paraId="5D2C65D9">
            <w:pPr>
              <w:ind w:left="109" w:right="-20"/>
              <w:rPr>
                <w:rFonts w:ascii="Arial" w:hAnsi="Arial" w:eastAsia="Arial" w:cs="Arial"/>
                <w:sz w:val="16"/>
                <w:szCs w:val="16"/>
              </w:rPr>
            </w:pPr>
          </w:p>
        </w:tc>
        <w:tc>
          <w:tcPr>
            <w:tcW w:w="615" w:type="dxa"/>
            <w:tcBorders>
              <w:top w:val="nil"/>
              <w:left w:val="nil"/>
              <w:bottom w:val="nil"/>
              <w:right w:val="nil"/>
            </w:tcBorders>
          </w:tcPr>
          <w:p w14:paraId="0B4C22DB">
            <w:pPr>
              <w:ind w:left="140" w:right="-20"/>
              <w:rPr>
                <w:rFonts w:ascii="Arial" w:hAnsi="Arial" w:eastAsia="Arial" w:cs="Arial"/>
                <w:sz w:val="16"/>
                <w:szCs w:val="16"/>
              </w:rPr>
            </w:pPr>
          </w:p>
        </w:tc>
        <w:tc>
          <w:tcPr>
            <w:tcW w:w="244" w:type="dxa"/>
            <w:tcBorders>
              <w:top w:val="nil"/>
              <w:left w:val="nil"/>
              <w:bottom w:val="nil"/>
              <w:right w:val="nil"/>
            </w:tcBorders>
          </w:tcPr>
          <w:p w14:paraId="02E1EA0E">
            <w:pPr>
              <w:ind w:left="68" w:right="46"/>
              <w:jc w:val="center"/>
              <w:rPr>
                <w:rFonts w:ascii="Arial" w:hAnsi="Arial" w:eastAsia="Arial" w:cs="Arial"/>
                <w:sz w:val="16"/>
                <w:szCs w:val="16"/>
              </w:rPr>
            </w:pPr>
          </w:p>
        </w:tc>
        <w:tc>
          <w:tcPr>
            <w:tcW w:w="316" w:type="dxa"/>
            <w:tcBorders>
              <w:top w:val="nil"/>
              <w:left w:val="nil"/>
              <w:bottom w:val="nil"/>
              <w:right w:val="nil"/>
            </w:tcBorders>
          </w:tcPr>
          <w:p w14:paraId="2FDCBAEF">
            <w:pPr>
              <w:ind w:left="98" w:right="-20"/>
              <w:rPr>
                <w:rFonts w:ascii="Arial" w:hAnsi="Arial" w:eastAsia="Arial" w:cs="Arial"/>
                <w:sz w:val="16"/>
                <w:szCs w:val="16"/>
              </w:rPr>
            </w:pPr>
          </w:p>
        </w:tc>
      </w:tr>
      <w:tr w14:paraId="67076D4D">
        <w:tblPrEx>
          <w:tblCellMar>
            <w:top w:w="0" w:type="dxa"/>
            <w:left w:w="0" w:type="dxa"/>
            <w:bottom w:w="0" w:type="dxa"/>
            <w:right w:w="0" w:type="dxa"/>
          </w:tblCellMar>
        </w:tblPrEx>
        <w:trPr>
          <w:trHeight w:val="474" w:hRule="exact"/>
        </w:trPr>
        <w:tc>
          <w:tcPr>
            <w:tcW w:w="1546" w:type="dxa"/>
            <w:tcBorders>
              <w:top w:val="nil"/>
              <w:left w:val="nil"/>
              <w:bottom w:val="nil"/>
              <w:right w:val="nil"/>
            </w:tcBorders>
          </w:tcPr>
          <w:p w14:paraId="0012C397">
            <w:pPr>
              <w:spacing w:line="197" w:lineRule="exact"/>
              <w:ind w:left="180" w:right="-20"/>
              <w:rPr>
                <w:b/>
                <w:bCs/>
                <w:sz w:val="18"/>
                <w:szCs w:val="18"/>
              </w:rPr>
            </w:pPr>
            <w:r>
              <w:rPr>
                <w:rFonts w:ascii="Arial" w:hAnsi="Arial" w:eastAsia="Arial" w:cs="Arial"/>
                <w:spacing w:val="-15"/>
                <w:w w:val="78"/>
                <w:sz w:val="16"/>
                <w:szCs w:val="16"/>
              </w:rPr>
              <w:t>&lt;=</w:t>
            </w:r>
            <w:r>
              <w:rPr>
                <w:rFonts w:ascii="Arial" w:hAnsi="Arial" w:eastAsia="Arial" w:cs="Arial"/>
                <w:spacing w:val="-14"/>
                <w:w w:val="78"/>
                <w:sz w:val="16"/>
                <w:szCs w:val="16"/>
              </w:rPr>
              <w:t>10</w:t>
            </w:r>
            <w:r>
              <w:rPr>
                <w:rFonts w:ascii="Arial" w:hAnsi="Arial" w:eastAsia="Arial" w:cs="Arial"/>
                <w:w w:val="78"/>
                <w:sz w:val="16"/>
                <w:szCs w:val="16"/>
              </w:rPr>
              <w:t xml:space="preserve">%    </w:t>
            </w:r>
            <w:r>
              <w:rPr>
                <w:rFonts w:ascii="Arial" w:hAnsi="Arial" w:eastAsia="Arial" w:cs="Arial"/>
                <w:spacing w:val="8"/>
                <w:w w:val="78"/>
                <w:sz w:val="16"/>
                <w:szCs w:val="16"/>
              </w:rPr>
              <w:t xml:space="preserve"> </w:t>
            </w:r>
            <w:r>
              <w:rPr>
                <w:rFonts w:ascii="Arial" w:hAnsi="Arial" w:eastAsia="Arial" w:cs="Arial"/>
                <w:spacing w:val="-10"/>
                <w:w w:val="78"/>
                <w:sz w:val="16"/>
                <w:szCs w:val="16"/>
              </w:rPr>
              <w:t>1</w:t>
            </w:r>
            <w:r>
              <w:rPr>
                <w:rFonts w:ascii="Arial" w:hAnsi="Arial" w:eastAsia="Arial" w:cs="Arial"/>
                <w:spacing w:val="-12"/>
                <w:w w:val="78"/>
                <w:sz w:val="16"/>
                <w:szCs w:val="16"/>
              </w:rPr>
              <w:t>9</w:t>
            </w:r>
            <w:r>
              <w:rPr>
                <w:rFonts w:ascii="Arial" w:hAnsi="Arial" w:eastAsia="Arial" w:cs="Arial"/>
                <w:w w:val="78"/>
                <w:sz w:val="16"/>
                <w:szCs w:val="16"/>
              </w:rPr>
              <w:t xml:space="preserve">8   </w:t>
            </w:r>
            <w:r>
              <w:rPr>
                <w:rFonts w:ascii="Arial" w:hAnsi="Arial" w:eastAsia="Arial" w:cs="Arial"/>
                <w:spacing w:val="11"/>
                <w:w w:val="78"/>
                <w:sz w:val="16"/>
                <w:szCs w:val="16"/>
              </w:rPr>
              <w:t xml:space="preserve"> </w:t>
            </w:r>
            <w:r>
              <w:rPr>
                <w:rFonts w:ascii="Arial" w:hAnsi="Arial" w:eastAsia="Arial" w:cs="Arial"/>
                <w:spacing w:val="-16"/>
                <w:w w:val="82"/>
                <w:sz w:val="16"/>
                <w:szCs w:val="16"/>
              </w:rPr>
              <w:t>1</w:t>
            </w:r>
            <w:r>
              <w:rPr>
                <w:rFonts w:ascii="Arial" w:hAnsi="Arial" w:eastAsia="Arial" w:cs="Arial"/>
                <w:spacing w:val="-13"/>
                <w:w w:val="82"/>
                <w:sz w:val="16"/>
                <w:szCs w:val="16"/>
              </w:rPr>
              <w:t>9</w:t>
            </w:r>
            <w:r>
              <w:rPr>
                <w:rFonts w:ascii="Arial" w:hAnsi="Arial" w:eastAsia="Arial" w:cs="Arial"/>
                <w:w w:val="82"/>
                <w:sz w:val="16"/>
                <w:szCs w:val="16"/>
              </w:rPr>
              <w:t>8</w:t>
            </w:r>
          </w:p>
        </w:tc>
        <w:tc>
          <w:tcPr>
            <w:tcW w:w="288" w:type="dxa"/>
            <w:tcBorders>
              <w:top w:val="nil"/>
              <w:left w:val="nil"/>
              <w:bottom w:val="nil"/>
              <w:right w:val="nil"/>
            </w:tcBorders>
          </w:tcPr>
          <w:p w14:paraId="6AE62795">
            <w:pPr>
              <w:spacing w:before="3" w:line="190" w:lineRule="exact"/>
              <w:rPr>
                <w:sz w:val="19"/>
                <w:szCs w:val="19"/>
              </w:rPr>
            </w:pPr>
            <w:r>
              <w:rPr>
                <w:rFonts w:ascii="Arial" w:hAnsi="Arial" w:eastAsia="Arial" w:cs="Arial"/>
                <w:spacing w:val="-16"/>
                <w:w w:val="82"/>
                <w:sz w:val="16"/>
                <w:szCs w:val="16"/>
              </w:rPr>
              <w:t>197</w:t>
            </w:r>
          </w:p>
        </w:tc>
        <w:tc>
          <w:tcPr>
            <w:tcW w:w="320" w:type="dxa"/>
            <w:tcBorders>
              <w:top w:val="nil"/>
              <w:left w:val="nil"/>
              <w:bottom w:val="nil"/>
              <w:right w:val="nil"/>
            </w:tcBorders>
          </w:tcPr>
          <w:p w14:paraId="1A897405">
            <w:pPr>
              <w:spacing w:before="3" w:line="190" w:lineRule="exact"/>
              <w:rPr>
                <w:sz w:val="19"/>
                <w:szCs w:val="19"/>
              </w:rPr>
            </w:pPr>
            <w:r>
              <w:rPr>
                <w:rFonts w:ascii="Arial" w:hAnsi="Arial" w:eastAsia="Arial" w:cs="Arial"/>
                <w:spacing w:val="-16"/>
                <w:w w:val="82"/>
                <w:sz w:val="16"/>
                <w:szCs w:val="16"/>
              </w:rPr>
              <w:t>196</w:t>
            </w:r>
          </w:p>
        </w:tc>
        <w:tc>
          <w:tcPr>
            <w:tcW w:w="337" w:type="dxa"/>
            <w:tcBorders>
              <w:top w:val="nil"/>
              <w:left w:val="nil"/>
              <w:bottom w:val="nil"/>
              <w:right w:val="nil"/>
            </w:tcBorders>
          </w:tcPr>
          <w:p w14:paraId="2634B2DE">
            <w:pPr>
              <w:spacing w:before="3" w:line="190" w:lineRule="exact"/>
              <w:rPr>
                <w:sz w:val="19"/>
                <w:szCs w:val="19"/>
              </w:rPr>
            </w:pPr>
            <w:r>
              <w:rPr>
                <w:rFonts w:ascii="Arial" w:hAnsi="Arial" w:eastAsia="Arial" w:cs="Arial"/>
                <w:spacing w:val="-16"/>
                <w:w w:val="82"/>
                <w:sz w:val="16"/>
                <w:szCs w:val="16"/>
              </w:rPr>
              <w:t>195</w:t>
            </w:r>
          </w:p>
        </w:tc>
        <w:tc>
          <w:tcPr>
            <w:tcW w:w="337" w:type="dxa"/>
            <w:tcBorders>
              <w:top w:val="nil"/>
              <w:left w:val="nil"/>
              <w:bottom w:val="nil"/>
              <w:right w:val="nil"/>
            </w:tcBorders>
          </w:tcPr>
          <w:p w14:paraId="4EBEBA53">
            <w:pPr>
              <w:spacing w:before="3" w:line="190" w:lineRule="exact"/>
              <w:rPr>
                <w:sz w:val="19"/>
                <w:szCs w:val="19"/>
              </w:rPr>
            </w:pPr>
            <w:r>
              <w:rPr>
                <w:rFonts w:ascii="Arial" w:hAnsi="Arial" w:eastAsia="Arial" w:cs="Arial"/>
                <w:spacing w:val="-16"/>
                <w:w w:val="82"/>
                <w:sz w:val="16"/>
                <w:szCs w:val="16"/>
              </w:rPr>
              <w:t>193</w:t>
            </w:r>
          </w:p>
        </w:tc>
        <w:tc>
          <w:tcPr>
            <w:tcW w:w="338" w:type="dxa"/>
            <w:tcBorders>
              <w:top w:val="nil"/>
              <w:left w:val="nil"/>
              <w:bottom w:val="nil"/>
              <w:right w:val="nil"/>
            </w:tcBorders>
          </w:tcPr>
          <w:p w14:paraId="05FEED87">
            <w:pPr>
              <w:spacing w:before="3" w:line="190" w:lineRule="exact"/>
              <w:rPr>
                <w:sz w:val="19"/>
                <w:szCs w:val="19"/>
              </w:rPr>
            </w:pPr>
            <w:r>
              <w:rPr>
                <w:rFonts w:ascii="Arial" w:hAnsi="Arial" w:eastAsia="Arial" w:cs="Arial"/>
                <w:spacing w:val="-16"/>
                <w:w w:val="82"/>
                <w:sz w:val="16"/>
                <w:szCs w:val="16"/>
              </w:rPr>
              <w:t>193</w:t>
            </w:r>
          </w:p>
        </w:tc>
        <w:tc>
          <w:tcPr>
            <w:tcW w:w="326" w:type="dxa"/>
            <w:tcBorders>
              <w:top w:val="nil"/>
              <w:left w:val="nil"/>
              <w:bottom w:val="nil"/>
              <w:right w:val="nil"/>
            </w:tcBorders>
          </w:tcPr>
          <w:p w14:paraId="1FEB12AF">
            <w:pPr>
              <w:spacing w:before="3" w:line="190" w:lineRule="exact"/>
              <w:rPr>
                <w:sz w:val="19"/>
                <w:szCs w:val="19"/>
              </w:rPr>
            </w:pPr>
            <w:r>
              <w:rPr>
                <w:rFonts w:ascii="Arial" w:hAnsi="Arial" w:eastAsia="Arial" w:cs="Arial"/>
                <w:spacing w:val="-21"/>
                <w:w w:val="82"/>
                <w:sz w:val="16"/>
                <w:szCs w:val="16"/>
              </w:rPr>
              <w:t>191</w:t>
            </w:r>
          </w:p>
        </w:tc>
        <w:tc>
          <w:tcPr>
            <w:tcW w:w="333" w:type="dxa"/>
            <w:tcBorders>
              <w:top w:val="nil"/>
              <w:left w:val="nil"/>
              <w:bottom w:val="nil"/>
              <w:right w:val="nil"/>
            </w:tcBorders>
          </w:tcPr>
          <w:p w14:paraId="183897B9">
            <w:pPr>
              <w:spacing w:before="3" w:line="190" w:lineRule="exact"/>
              <w:rPr>
                <w:sz w:val="19"/>
                <w:szCs w:val="19"/>
              </w:rPr>
            </w:pPr>
            <w:r>
              <w:rPr>
                <w:rFonts w:ascii="Arial" w:hAnsi="Arial" w:eastAsia="Arial" w:cs="Arial"/>
                <w:spacing w:val="-21"/>
                <w:w w:val="82"/>
                <w:sz w:val="16"/>
                <w:szCs w:val="16"/>
              </w:rPr>
              <w:t>191</w:t>
            </w:r>
          </w:p>
        </w:tc>
        <w:tc>
          <w:tcPr>
            <w:tcW w:w="348" w:type="dxa"/>
            <w:tcBorders>
              <w:top w:val="nil"/>
              <w:left w:val="nil"/>
              <w:bottom w:val="nil"/>
              <w:right w:val="nil"/>
            </w:tcBorders>
          </w:tcPr>
          <w:p w14:paraId="4E214702">
            <w:pPr>
              <w:spacing w:before="3" w:line="190" w:lineRule="exact"/>
              <w:rPr>
                <w:sz w:val="19"/>
                <w:szCs w:val="19"/>
              </w:rPr>
            </w:pPr>
            <w:r>
              <w:rPr>
                <w:rFonts w:ascii="Arial" w:hAnsi="Arial" w:eastAsia="Arial" w:cs="Arial"/>
                <w:spacing w:val="-16"/>
                <w:w w:val="82"/>
                <w:sz w:val="16"/>
                <w:szCs w:val="16"/>
              </w:rPr>
              <w:t>190</w:t>
            </w:r>
          </w:p>
        </w:tc>
        <w:tc>
          <w:tcPr>
            <w:tcW w:w="343" w:type="dxa"/>
            <w:tcBorders>
              <w:top w:val="nil"/>
              <w:left w:val="nil"/>
              <w:bottom w:val="nil"/>
              <w:right w:val="nil"/>
            </w:tcBorders>
          </w:tcPr>
          <w:p w14:paraId="6DADF768">
            <w:pPr>
              <w:spacing w:before="3" w:line="190" w:lineRule="exact"/>
              <w:rPr>
                <w:sz w:val="19"/>
                <w:szCs w:val="19"/>
              </w:rPr>
            </w:pPr>
            <w:r>
              <w:rPr>
                <w:rFonts w:ascii="Arial" w:hAnsi="Arial" w:eastAsia="Arial" w:cs="Arial"/>
                <w:spacing w:val="-16"/>
                <w:w w:val="82"/>
                <w:sz w:val="16"/>
                <w:szCs w:val="16"/>
              </w:rPr>
              <w:t>188</w:t>
            </w:r>
          </w:p>
        </w:tc>
        <w:tc>
          <w:tcPr>
            <w:tcW w:w="1293" w:type="dxa"/>
            <w:tcBorders>
              <w:top w:val="nil"/>
              <w:left w:val="nil"/>
              <w:bottom w:val="nil"/>
              <w:right w:val="nil"/>
            </w:tcBorders>
          </w:tcPr>
          <w:p w14:paraId="45F94F43">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7   </w:t>
            </w:r>
            <w:r>
              <w:rPr>
                <w:rFonts w:ascii="Arial" w:hAnsi="Arial" w:eastAsia="Arial" w:cs="Arial"/>
                <w:spacing w:val="6"/>
                <w:w w:val="79"/>
                <w:sz w:val="16"/>
                <w:szCs w:val="16"/>
              </w:rPr>
              <w:t xml:space="preserve"> </w:t>
            </w:r>
            <w:r>
              <w:rPr>
                <w:rFonts w:ascii="Arial" w:hAnsi="Arial" w:eastAsia="Arial" w:cs="Arial"/>
                <w:spacing w:val="-13"/>
                <w:w w:val="79"/>
                <w:sz w:val="16"/>
                <w:szCs w:val="16"/>
              </w:rPr>
              <w:t>1</w:t>
            </w:r>
            <w:r>
              <w:rPr>
                <w:rFonts w:ascii="Arial" w:hAnsi="Arial" w:eastAsia="Arial" w:cs="Arial"/>
                <w:spacing w:val="-10"/>
                <w:w w:val="79"/>
                <w:sz w:val="16"/>
                <w:szCs w:val="16"/>
              </w:rPr>
              <w:t>8</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18</w:t>
            </w:r>
            <w:r>
              <w:rPr>
                <w:rFonts w:ascii="Arial" w:hAnsi="Arial" w:eastAsia="Arial" w:cs="Arial"/>
                <w:w w:val="79"/>
                <w:sz w:val="16"/>
                <w:szCs w:val="16"/>
              </w:rPr>
              <w:t xml:space="preserve">4   </w:t>
            </w:r>
            <w:r>
              <w:rPr>
                <w:rFonts w:ascii="Arial" w:hAnsi="Arial" w:eastAsia="Arial" w:cs="Arial"/>
                <w:spacing w:val="28"/>
                <w:w w:val="79"/>
                <w:sz w:val="16"/>
                <w:szCs w:val="16"/>
              </w:rPr>
              <w:t xml:space="preserve"> </w:t>
            </w:r>
            <w:r>
              <w:rPr>
                <w:rFonts w:ascii="Arial" w:hAnsi="Arial" w:eastAsia="Arial" w:cs="Arial"/>
                <w:spacing w:val="-21"/>
                <w:w w:val="82"/>
                <w:sz w:val="16"/>
                <w:szCs w:val="16"/>
              </w:rPr>
              <w:t>182</w:t>
            </w:r>
          </w:p>
        </w:tc>
        <w:tc>
          <w:tcPr>
            <w:tcW w:w="378" w:type="dxa"/>
            <w:tcBorders>
              <w:top w:val="nil"/>
              <w:left w:val="nil"/>
              <w:bottom w:val="nil"/>
              <w:right w:val="nil"/>
            </w:tcBorders>
          </w:tcPr>
          <w:p w14:paraId="08628832">
            <w:pPr>
              <w:spacing w:before="3" w:line="190" w:lineRule="exact"/>
              <w:rPr>
                <w:sz w:val="19"/>
                <w:szCs w:val="19"/>
              </w:rPr>
            </w:pPr>
            <w:r>
              <w:rPr>
                <w:rFonts w:ascii="Arial" w:hAnsi="Arial" w:eastAsia="Arial" w:cs="Arial"/>
                <w:spacing w:val="-21"/>
                <w:w w:val="82"/>
                <w:sz w:val="16"/>
                <w:szCs w:val="16"/>
              </w:rPr>
              <w:t>181</w:t>
            </w:r>
          </w:p>
        </w:tc>
        <w:tc>
          <w:tcPr>
            <w:tcW w:w="1959" w:type="dxa"/>
            <w:tcBorders>
              <w:top w:val="nil"/>
              <w:left w:val="nil"/>
              <w:bottom w:val="nil"/>
              <w:right w:val="nil"/>
            </w:tcBorders>
          </w:tcPr>
          <w:p w14:paraId="470FAB3F">
            <w:pPr>
              <w:spacing w:before="3" w:line="190" w:lineRule="exact"/>
              <w:rPr>
                <w:sz w:val="19"/>
                <w:szCs w:val="19"/>
              </w:rPr>
            </w:pPr>
            <w:r>
              <w:rPr>
                <w:rFonts w:ascii="Arial" w:hAnsi="Arial" w:eastAsia="Arial" w:cs="Arial"/>
                <w:spacing w:val="-13"/>
                <w:w w:val="79"/>
                <w:sz w:val="16"/>
                <w:szCs w:val="16"/>
              </w:rPr>
              <w:t>18</w:t>
            </w:r>
            <w:r>
              <w:rPr>
                <w:rFonts w:ascii="Arial" w:hAnsi="Arial" w:eastAsia="Arial" w:cs="Arial"/>
                <w:w w:val="79"/>
                <w:sz w:val="16"/>
                <w:szCs w:val="16"/>
              </w:rPr>
              <w:t xml:space="preserve">0  </w:t>
            </w:r>
            <w:r>
              <w:rPr>
                <w:rFonts w:ascii="Arial" w:hAnsi="Arial" w:eastAsia="Arial" w:cs="Arial"/>
                <w:spacing w:val="27"/>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9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9    </w:t>
            </w:r>
            <w:r>
              <w:rPr>
                <w:rFonts w:ascii="Arial" w:hAnsi="Arial" w:eastAsia="Arial" w:cs="Arial"/>
                <w:spacing w:val="6"/>
                <w:w w:val="79"/>
                <w:sz w:val="16"/>
                <w:szCs w:val="16"/>
              </w:rPr>
              <w:t xml:space="preserve"> </w:t>
            </w:r>
            <w:r>
              <w:rPr>
                <w:rFonts w:ascii="Arial" w:hAnsi="Arial" w:eastAsia="Arial" w:cs="Arial"/>
                <w:spacing w:val="-10"/>
                <w:w w:val="79"/>
                <w:sz w:val="16"/>
                <w:szCs w:val="16"/>
              </w:rPr>
              <w:t>1</w:t>
            </w:r>
            <w:r>
              <w:rPr>
                <w:rFonts w:ascii="Arial" w:hAnsi="Arial" w:eastAsia="Arial" w:cs="Arial"/>
                <w:spacing w:val="-13"/>
                <w:w w:val="79"/>
                <w:sz w:val="16"/>
                <w:szCs w:val="16"/>
              </w:rPr>
              <w:t>7</w:t>
            </w:r>
            <w:r>
              <w:rPr>
                <w:rFonts w:ascii="Arial" w:hAnsi="Arial" w:eastAsia="Arial" w:cs="Arial"/>
                <w:w w:val="79"/>
                <w:sz w:val="16"/>
                <w:szCs w:val="16"/>
              </w:rPr>
              <w:t xml:space="preserve">7    </w:t>
            </w:r>
            <w:r>
              <w:rPr>
                <w:rFonts w:ascii="Arial" w:hAnsi="Arial" w:eastAsia="Arial" w:cs="Arial"/>
                <w:spacing w:val="7"/>
                <w:w w:val="79"/>
                <w:sz w:val="16"/>
                <w:szCs w:val="16"/>
              </w:rPr>
              <w:t xml:space="preserve"> </w:t>
            </w:r>
            <w:r>
              <w:rPr>
                <w:rFonts w:ascii="Arial" w:hAnsi="Arial" w:eastAsia="Arial" w:cs="Arial"/>
                <w:spacing w:val="-13"/>
                <w:w w:val="79"/>
                <w:sz w:val="16"/>
                <w:szCs w:val="16"/>
              </w:rPr>
              <w:t>17</w:t>
            </w:r>
            <w:r>
              <w:rPr>
                <w:rFonts w:ascii="Arial" w:hAnsi="Arial" w:eastAsia="Arial" w:cs="Arial"/>
                <w:w w:val="79"/>
                <w:sz w:val="16"/>
                <w:szCs w:val="16"/>
              </w:rPr>
              <w:t xml:space="preserve">1    </w:t>
            </w:r>
            <w:r>
              <w:rPr>
                <w:rFonts w:ascii="Arial" w:hAnsi="Arial" w:eastAsia="Arial" w:cs="Arial"/>
                <w:spacing w:val="6"/>
                <w:w w:val="79"/>
                <w:sz w:val="16"/>
                <w:szCs w:val="16"/>
              </w:rPr>
              <w:t xml:space="preserve"> </w:t>
            </w:r>
            <w:r>
              <w:rPr>
                <w:rFonts w:ascii="Arial" w:hAnsi="Arial" w:eastAsia="Arial" w:cs="Arial"/>
                <w:spacing w:val="-11"/>
                <w:w w:val="82"/>
                <w:sz w:val="16"/>
                <w:szCs w:val="16"/>
              </w:rPr>
              <w:t>96</w:t>
            </w:r>
          </w:p>
        </w:tc>
        <w:tc>
          <w:tcPr>
            <w:tcW w:w="615" w:type="dxa"/>
            <w:tcBorders>
              <w:top w:val="nil"/>
              <w:left w:val="nil"/>
              <w:bottom w:val="nil"/>
              <w:right w:val="nil"/>
            </w:tcBorders>
          </w:tcPr>
          <w:p w14:paraId="3F297BDC">
            <w:pPr>
              <w:spacing w:before="3" w:line="190" w:lineRule="exact"/>
              <w:rPr>
                <w:sz w:val="19"/>
                <w:szCs w:val="19"/>
              </w:rPr>
            </w:pPr>
            <w:r>
              <w:rPr>
                <w:rFonts w:ascii="Arial" w:hAnsi="Arial" w:eastAsia="Arial" w:cs="Arial"/>
                <w:spacing w:val="-9"/>
                <w:w w:val="80"/>
                <w:sz w:val="16"/>
                <w:szCs w:val="16"/>
              </w:rPr>
              <w:t>5</w:t>
            </w:r>
            <w:r>
              <w:rPr>
                <w:rFonts w:ascii="Arial" w:hAnsi="Arial" w:eastAsia="Arial" w:cs="Arial"/>
                <w:w w:val="80"/>
                <w:sz w:val="16"/>
                <w:szCs w:val="16"/>
              </w:rPr>
              <w:t xml:space="preserve">4    </w:t>
            </w:r>
            <w:r>
              <w:rPr>
                <w:rFonts w:ascii="Arial" w:hAnsi="Arial" w:eastAsia="Arial" w:cs="Arial"/>
                <w:spacing w:val="7"/>
                <w:w w:val="80"/>
                <w:sz w:val="16"/>
                <w:szCs w:val="16"/>
              </w:rPr>
              <w:t xml:space="preserve"> </w:t>
            </w:r>
            <w:r>
              <w:rPr>
                <w:rFonts w:ascii="Arial" w:hAnsi="Arial" w:eastAsia="Arial" w:cs="Arial"/>
                <w:spacing w:val="-11"/>
                <w:w w:val="82"/>
                <w:sz w:val="16"/>
                <w:szCs w:val="16"/>
              </w:rPr>
              <w:t>29</w:t>
            </w:r>
          </w:p>
        </w:tc>
        <w:tc>
          <w:tcPr>
            <w:tcW w:w="244" w:type="dxa"/>
            <w:tcBorders>
              <w:top w:val="nil"/>
              <w:left w:val="nil"/>
              <w:bottom w:val="nil"/>
              <w:right w:val="nil"/>
            </w:tcBorders>
          </w:tcPr>
          <w:p w14:paraId="358176F2">
            <w:pPr>
              <w:spacing w:before="3" w:line="190" w:lineRule="exact"/>
              <w:rPr>
                <w:sz w:val="19"/>
                <w:szCs w:val="19"/>
              </w:rPr>
            </w:pPr>
            <w:r>
              <w:rPr>
                <w:rFonts w:ascii="Arial" w:hAnsi="Arial" w:eastAsia="Arial" w:cs="Arial"/>
                <w:w w:val="82"/>
                <w:sz w:val="16"/>
                <w:szCs w:val="16"/>
              </w:rPr>
              <w:t>3</w:t>
            </w:r>
          </w:p>
        </w:tc>
        <w:tc>
          <w:tcPr>
            <w:tcW w:w="316" w:type="dxa"/>
            <w:tcBorders>
              <w:top w:val="nil"/>
              <w:left w:val="nil"/>
              <w:bottom w:val="nil"/>
              <w:right w:val="nil"/>
            </w:tcBorders>
          </w:tcPr>
          <w:p w14:paraId="42BCFB74">
            <w:pPr>
              <w:spacing w:before="3" w:line="190" w:lineRule="exact"/>
              <w:rPr>
                <w:sz w:val="19"/>
                <w:szCs w:val="19"/>
              </w:rPr>
            </w:pPr>
            <w:r>
              <w:rPr>
                <w:rFonts w:ascii="Arial" w:hAnsi="Arial" w:eastAsia="Arial" w:cs="Arial"/>
                <w:w w:val="82"/>
                <w:sz w:val="16"/>
                <w:szCs w:val="16"/>
              </w:rPr>
              <w:t>0</w:t>
            </w:r>
          </w:p>
        </w:tc>
      </w:tr>
      <w:tr w14:paraId="1A5C9D68">
        <w:tblPrEx>
          <w:tblCellMar>
            <w:top w:w="0" w:type="dxa"/>
            <w:left w:w="0" w:type="dxa"/>
            <w:bottom w:w="0" w:type="dxa"/>
            <w:right w:w="0" w:type="dxa"/>
          </w:tblCellMar>
        </w:tblPrEx>
        <w:trPr>
          <w:trHeight w:val="287" w:hRule="exact"/>
        </w:trPr>
        <w:tc>
          <w:tcPr>
            <w:tcW w:w="1546" w:type="dxa"/>
            <w:tcBorders>
              <w:top w:val="nil"/>
              <w:left w:val="nil"/>
              <w:bottom w:val="nil"/>
              <w:right w:val="nil"/>
            </w:tcBorders>
          </w:tcPr>
          <w:p w14:paraId="22F90CD9">
            <w:pPr>
              <w:tabs>
                <w:tab w:val="left" w:pos="720"/>
              </w:tabs>
              <w:spacing w:line="178" w:lineRule="exact"/>
              <w:ind w:left="180" w:right="-20"/>
              <w:rPr>
                <w:rFonts w:ascii="Arial" w:hAnsi="Arial" w:eastAsia="Arial" w:cs="Arial"/>
                <w:sz w:val="16"/>
                <w:szCs w:val="16"/>
              </w:rPr>
            </w:pPr>
            <w:r>
              <w:rPr>
                <w:rFonts w:ascii="Arial" w:hAnsi="Arial" w:eastAsia="Arial" w:cs="Arial"/>
                <w:spacing w:val="-13"/>
                <w:w w:val="79"/>
                <w:sz w:val="16"/>
                <w:szCs w:val="16"/>
              </w:rPr>
              <w:t>&gt;10</w:t>
            </w:r>
            <w:r>
              <w:rPr>
                <w:rFonts w:ascii="Arial" w:hAnsi="Arial" w:eastAsia="Arial" w:cs="Arial"/>
                <w:w w:val="79"/>
                <w:sz w:val="16"/>
                <w:szCs w:val="16"/>
              </w:rPr>
              <w:t>%</w:t>
            </w:r>
            <w:r>
              <w:rPr>
                <w:rFonts w:ascii="Arial" w:hAnsi="Arial" w:eastAsia="Arial" w:cs="Arial"/>
                <w:spacing w:val="-33"/>
                <w:w w:val="79"/>
                <w:sz w:val="16"/>
                <w:szCs w:val="16"/>
              </w:rPr>
              <w:t xml:space="preserve"> </w:t>
            </w:r>
            <w:r>
              <w:rPr>
                <w:rFonts w:ascii="Arial" w:hAnsi="Arial" w:eastAsia="Arial" w:cs="Arial"/>
                <w:sz w:val="16"/>
                <w:szCs w:val="16"/>
              </w:rPr>
              <w:tab/>
            </w:r>
            <w:r>
              <w:rPr>
                <w:rFonts w:ascii="Arial" w:hAnsi="Arial" w:eastAsia="Arial" w:cs="Arial"/>
                <w:spacing w:val="-9"/>
                <w:w w:val="79"/>
                <w:sz w:val="16"/>
                <w:szCs w:val="16"/>
              </w:rPr>
              <w:t>3</w:t>
            </w:r>
            <w:r>
              <w:rPr>
                <w:rFonts w:ascii="Arial" w:hAnsi="Arial" w:eastAsia="Arial" w:cs="Arial"/>
                <w:w w:val="79"/>
                <w:sz w:val="16"/>
                <w:szCs w:val="16"/>
              </w:rPr>
              <w:t xml:space="preserve">7    </w:t>
            </w:r>
            <w:r>
              <w:rPr>
                <w:rFonts w:ascii="Arial" w:hAnsi="Arial" w:eastAsia="Arial" w:cs="Arial"/>
                <w:spacing w:val="20"/>
                <w:w w:val="79"/>
                <w:sz w:val="16"/>
                <w:szCs w:val="16"/>
              </w:rPr>
              <w:t xml:space="preserve"> </w:t>
            </w:r>
            <w:r>
              <w:rPr>
                <w:rFonts w:ascii="Arial" w:hAnsi="Arial" w:eastAsia="Arial" w:cs="Arial"/>
                <w:spacing w:val="-11"/>
                <w:w w:val="82"/>
                <w:sz w:val="16"/>
                <w:szCs w:val="16"/>
              </w:rPr>
              <w:t>37</w:t>
            </w:r>
          </w:p>
        </w:tc>
        <w:tc>
          <w:tcPr>
            <w:tcW w:w="288" w:type="dxa"/>
            <w:tcBorders>
              <w:top w:val="nil"/>
              <w:left w:val="nil"/>
              <w:bottom w:val="nil"/>
              <w:right w:val="nil"/>
            </w:tcBorders>
          </w:tcPr>
          <w:p w14:paraId="476EAD8F">
            <w:pPr>
              <w:spacing w:line="178" w:lineRule="exact"/>
              <w:ind w:left="88" w:right="-20"/>
              <w:rPr>
                <w:rFonts w:ascii="Arial" w:hAnsi="Arial" w:eastAsia="Arial" w:cs="Arial"/>
                <w:sz w:val="16"/>
                <w:szCs w:val="16"/>
              </w:rPr>
            </w:pPr>
            <w:r>
              <w:rPr>
                <w:rFonts w:ascii="Arial" w:hAnsi="Arial" w:eastAsia="Arial" w:cs="Arial"/>
                <w:spacing w:val="-11"/>
                <w:w w:val="82"/>
                <w:sz w:val="16"/>
                <w:szCs w:val="16"/>
              </w:rPr>
              <w:t>37</w:t>
            </w:r>
          </w:p>
        </w:tc>
        <w:tc>
          <w:tcPr>
            <w:tcW w:w="320" w:type="dxa"/>
            <w:tcBorders>
              <w:top w:val="nil"/>
              <w:left w:val="nil"/>
              <w:bottom w:val="nil"/>
              <w:right w:val="nil"/>
            </w:tcBorders>
          </w:tcPr>
          <w:p w14:paraId="7C0520C9">
            <w:pPr>
              <w:spacing w:line="178" w:lineRule="exact"/>
              <w:ind w:left="131" w:right="-20"/>
              <w:rPr>
                <w:rFonts w:ascii="Arial" w:hAnsi="Arial" w:eastAsia="Arial" w:cs="Arial"/>
                <w:sz w:val="16"/>
                <w:szCs w:val="16"/>
              </w:rPr>
            </w:pPr>
            <w:r>
              <w:rPr>
                <w:rFonts w:ascii="Arial" w:hAnsi="Arial" w:eastAsia="Arial" w:cs="Arial"/>
                <w:spacing w:val="-11"/>
                <w:w w:val="82"/>
                <w:sz w:val="16"/>
                <w:szCs w:val="16"/>
              </w:rPr>
              <w:t>35</w:t>
            </w:r>
          </w:p>
        </w:tc>
        <w:tc>
          <w:tcPr>
            <w:tcW w:w="337" w:type="dxa"/>
            <w:tcBorders>
              <w:top w:val="nil"/>
              <w:left w:val="nil"/>
              <w:bottom w:val="nil"/>
              <w:right w:val="nil"/>
            </w:tcBorders>
          </w:tcPr>
          <w:p w14:paraId="6BC7B70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7" w:type="dxa"/>
            <w:tcBorders>
              <w:top w:val="nil"/>
              <w:left w:val="nil"/>
              <w:bottom w:val="nil"/>
              <w:right w:val="nil"/>
            </w:tcBorders>
          </w:tcPr>
          <w:p w14:paraId="67C66DA0">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38" w:type="dxa"/>
            <w:tcBorders>
              <w:top w:val="nil"/>
              <w:left w:val="nil"/>
              <w:bottom w:val="nil"/>
              <w:right w:val="nil"/>
            </w:tcBorders>
          </w:tcPr>
          <w:p w14:paraId="42686F5D">
            <w:pPr>
              <w:spacing w:line="178" w:lineRule="exact"/>
              <w:ind w:left="101" w:right="-20"/>
              <w:rPr>
                <w:rFonts w:ascii="Arial" w:hAnsi="Arial" w:eastAsia="Arial" w:cs="Arial"/>
                <w:sz w:val="16"/>
                <w:szCs w:val="16"/>
              </w:rPr>
            </w:pPr>
            <w:r>
              <w:rPr>
                <w:rFonts w:ascii="Arial" w:hAnsi="Arial" w:eastAsia="Arial" w:cs="Arial"/>
                <w:spacing w:val="-21"/>
                <w:w w:val="82"/>
                <w:sz w:val="16"/>
                <w:szCs w:val="16"/>
              </w:rPr>
              <w:t>34</w:t>
            </w:r>
          </w:p>
        </w:tc>
        <w:tc>
          <w:tcPr>
            <w:tcW w:w="326" w:type="dxa"/>
            <w:tcBorders>
              <w:top w:val="nil"/>
              <w:left w:val="nil"/>
              <w:bottom w:val="nil"/>
              <w:right w:val="nil"/>
            </w:tcBorders>
          </w:tcPr>
          <w:p w14:paraId="3B850D44">
            <w:pPr>
              <w:spacing w:line="178" w:lineRule="exact"/>
              <w:ind w:left="102" w:right="-20"/>
              <w:rPr>
                <w:rFonts w:ascii="Arial" w:hAnsi="Arial" w:eastAsia="Arial" w:cs="Arial"/>
                <w:sz w:val="16"/>
                <w:szCs w:val="16"/>
              </w:rPr>
            </w:pPr>
            <w:r>
              <w:rPr>
                <w:rFonts w:ascii="Arial" w:hAnsi="Arial" w:eastAsia="Arial" w:cs="Arial"/>
                <w:spacing w:val="-11"/>
                <w:w w:val="82"/>
                <w:sz w:val="16"/>
                <w:szCs w:val="16"/>
              </w:rPr>
              <w:t>33</w:t>
            </w:r>
          </w:p>
        </w:tc>
        <w:tc>
          <w:tcPr>
            <w:tcW w:w="333" w:type="dxa"/>
            <w:tcBorders>
              <w:top w:val="nil"/>
              <w:left w:val="nil"/>
              <w:bottom w:val="nil"/>
              <w:right w:val="nil"/>
            </w:tcBorders>
          </w:tcPr>
          <w:p w14:paraId="7A5AB24E">
            <w:pPr>
              <w:spacing w:line="178" w:lineRule="exact"/>
              <w:ind w:left="103" w:right="-20"/>
              <w:rPr>
                <w:rFonts w:ascii="Arial" w:hAnsi="Arial" w:eastAsia="Arial" w:cs="Arial"/>
                <w:sz w:val="16"/>
                <w:szCs w:val="16"/>
              </w:rPr>
            </w:pPr>
            <w:r>
              <w:rPr>
                <w:rFonts w:ascii="Arial" w:hAnsi="Arial" w:eastAsia="Arial" w:cs="Arial"/>
                <w:spacing w:val="-11"/>
                <w:w w:val="82"/>
                <w:sz w:val="16"/>
                <w:szCs w:val="16"/>
              </w:rPr>
              <w:t>33</w:t>
            </w:r>
          </w:p>
        </w:tc>
        <w:tc>
          <w:tcPr>
            <w:tcW w:w="348" w:type="dxa"/>
            <w:tcBorders>
              <w:top w:val="nil"/>
              <w:left w:val="nil"/>
              <w:bottom w:val="nil"/>
              <w:right w:val="nil"/>
            </w:tcBorders>
          </w:tcPr>
          <w:p w14:paraId="04775AEB">
            <w:pPr>
              <w:spacing w:line="178" w:lineRule="exact"/>
              <w:ind w:left="108" w:right="-20"/>
              <w:rPr>
                <w:rFonts w:ascii="Arial" w:hAnsi="Arial" w:eastAsia="Arial" w:cs="Arial"/>
                <w:sz w:val="16"/>
                <w:szCs w:val="16"/>
              </w:rPr>
            </w:pPr>
            <w:r>
              <w:rPr>
                <w:rFonts w:ascii="Arial" w:hAnsi="Arial" w:eastAsia="Arial" w:cs="Arial"/>
                <w:spacing w:val="-21"/>
                <w:w w:val="82"/>
                <w:sz w:val="16"/>
                <w:szCs w:val="16"/>
              </w:rPr>
              <w:t>31</w:t>
            </w:r>
          </w:p>
        </w:tc>
        <w:tc>
          <w:tcPr>
            <w:tcW w:w="343" w:type="dxa"/>
            <w:tcBorders>
              <w:top w:val="nil"/>
              <w:left w:val="nil"/>
              <w:bottom w:val="nil"/>
              <w:right w:val="nil"/>
            </w:tcBorders>
          </w:tcPr>
          <w:p w14:paraId="71E79128">
            <w:pPr>
              <w:spacing w:line="178" w:lineRule="exact"/>
              <w:ind w:left="106" w:right="-20"/>
              <w:rPr>
                <w:rFonts w:ascii="Arial" w:hAnsi="Arial" w:eastAsia="Arial" w:cs="Arial"/>
                <w:sz w:val="16"/>
                <w:szCs w:val="16"/>
              </w:rPr>
            </w:pPr>
            <w:r>
              <w:rPr>
                <w:rFonts w:ascii="Arial" w:hAnsi="Arial" w:eastAsia="Arial" w:cs="Arial"/>
                <w:spacing w:val="-11"/>
                <w:w w:val="82"/>
                <w:sz w:val="16"/>
                <w:szCs w:val="16"/>
              </w:rPr>
              <w:t>30</w:t>
            </w:r>
          </w:p>
        </w:tc>
        <w:tc>
          <w:tcPr>
            <w:tcW w:w="1293" w:type="dxa"/>
            <w:tcBorders>
              <w:top w:val="nil"/>
              <w:left w:val="nil"/>
              <w:bottom w:val="nil"/>
              <w:right w:val="nil"/>
            </w:tcBorders>
          </w:tcPr>
          <w:p w14:paraId="5BB896AD">
            <w:pPr>
              <w:tabs>
                <w:tab w:val="left" w:pos="440"/>
                <w:tab w:val="left" w:pos="800"/>
                <w:tab w:val="left" w:pos="1160"/>
              </w:tabs>
              <w:spacing w:line="178" w:lineRule="exact"/>
              <w:ind w:left="102"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9</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28</w:t>
            </w:r>
          </w:p>
        </w:tc>
        <w:tc>
          <w:tcPr>
            <w:tcW w:w="378" w:type="dxa"/>
            <w:tcBorders>
              <w:top w:val="nil"/>
              <w:left w:val="nil"/>
              <w:bottom w:val="nil"/>
              <w:right w:val="nil"/>
            </w:tcBorders>
          </w:tcPr>
          <w:p w14:paraId="53796175">
            <w:pPr>
              <w:spacing w:line="178" w:lineRule="exact"/>
              <w:ind w:left="120" w:right="91"/>
              <w:jc w:val="center"/>
              <w:rPr>
                <w:rFonts w:ascii="Arial" w:hAnsi="Arial" w:eastAsia="Arial" w:cs="Arial"/>
                <w:sz w:val="16"/>
                <w:szCs w:val="16"/>
              </w:rPr>
            </w:pPr>
            <w:r>
              <w:rPr>
                <w:rFonts w:ascii="Arial" w:hAnsi="Arial" w:eastAsia="Arial" w:cs="Arial"/>
                <w:spacing w:val="-11"/>
                <w:w w:val="82"/>
                <w:sz w:val="16"/>
                <w:szCs w:val="16"/>
              </w:rPr>
              <w:t>28</w:t>
            </w:r>
          </w:p>
        </w:tc>
        <w:tc>
          <w:tcPr>
            <w:tcW w:w="1959" w:type="dxa"/>
            <w:tcBorders>
              <w:top w:val="nil"/>
              <w:left w:val="nil"/>
              <w:bottom w:val="nil"/>
              <w:right w:val="nil"/>
            </w:tcBorders>
          </w:tcPr>
          <w:p w14:paraId="729CB3F2">
            <w:pPr>
              <w:tabs>
                <w:tab w:val="left" w:pos="460"/>
                <w:tab w:val="left" w:pos="820"/>
                <w:tab w:val="left" w:pos="1160"/>
                <w:tab w:val="left" w:pos="1540"/>
                <w:tab w:val="left" w:pos="1880"/>
              </w:tabs>
              <w:spacing w:line="178" w:lineRule="exact"/>
              <w:ind w:left="109" w:right="-20"/>
              <w:rPr>
                <w:rFonts w:ascii="Arial" w:hAnsi="Arial" w:eastAsia="Arial" w:cs="Arial"/>
                <w:sz w:val="16"/>
                <w:szCs w:val="16"/>
              </w:rPr>
            </w:pPr>
            <w:r>
              <w:rPr>
                <w:rFonts w:ascii="Arial" w:hAnsi="Arial" w:eastAsia="Arial" w:cs="Arial"/>
                <w:spacing w:val="-9"/>
                <w:w w:val="80"/>
                <w:sz w:val="16"/>
                <w:szCs w:val="16"/>
              </w:rPr>
              <w:t>2</w:t>
            </w:r>
            <w:r>
              <w:rPr>
                <w:rFonts w:ascii="Arial" w:hAnsi="Arial" w:eastAsia="Arial" w:cs="Arial"/>
                <w:w w:val="80"/>
                <w:sz w:val="16"/>
                <w:szCs w:val="16"/>
              </w:rPr>
              <w:t>8</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7</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9"/>
                <w:w w:val="80"/>
                <w:sz w:val="16"/>
                <w:szCs w:val="16"/>
              </w:rPr>
              <w:t>2</w:t>
            </w:r>
            <w:r>
              <w:rPr>
                <w:rFonts w:ascii="Arial" w:hAnsi="Arial" w:eastAsia="Arial" w:cs="Arial"/>
                <w:w w:val="80"/>
                <w:sz w:val="16"/>
                <w:szCs w:val="16"/>
              </w:rPr>
              <w:t>6</w:t>
            </w:r>
            <w:r>
              <w:rPr>
                <w:rFonts w:ascii="Arial" w:hAnsi="Arial" w:eastAsia="Arial" w:cs="Arial"/>
                <w:spacing w:val="-34"/>
                <w:w w:val="80"/>
                <w:sz w:val="16"/>
                <w:szCs w:val="16"/>
              </w:rPr>
              <w:t xml:space="preserve"> </w:t>
            </w:r>
            <w:r>
              <w:rPr>
                <w:rFonts w:ascii="Arial" w:hAnsi="Arial" w:eastAsia="Arial" w:cs="Arial"/>
                <w:sz w:val="16"/>
                <w:szCs w:val="16"/>
              </w:rPr>
              <w:tab/>
            </w:r>
            <w:r>
              <w:rPr>
                <w:rFonts w:ascii="Arial" w:hAnsi="Arial" w:eastAsia="Arial" w:cs="Arial"/>
                <w:spacing w:val="-11"/>
                <w:w w:val="82"/>
                <w:sz w:val="16"/>
                <w:szCs w:val="16"/>
              </w:rPr>
              <w:t>15</w:t>
            </w:r>
          </w:p>
        </w:tc>
        <w:tc>
          <w:tcPr>
            <w:tcW w:w="615" w:type="dxa"/>
            <w:tcBorders>
              <w:top w:val="nil"/>
              <w:left w:val="nil"/>
              <w:bottom w:val="nil"/>
              <w:right w:val="nil"/>
            </w:tcBorders>
          </w:tcPr>
          <w:p w14:paraId="00B04115">
            <w:pPr>
              <w:spacing w:line="178" w:lineRule="exact"/>
              <w:ind w:left="140" w:right="-20"/>
              <w:rPr>
                <w:rFonts w:ascii="Arial" w:hAnsi="Arial" w:eastAsia="Arial" w:cs="Arial"/>
                <w:sz w:val="16"/>
                <w:szCs w:val="16"/>
              </w:rPr>
            </w:pPr>
            <w:r>
              <w:rPr>
                <w:rFonts w:ascii="Arial" w:hAnsi="Arial" w:eastAsia="Arial" w:cs="Arial"/>
                <w:spacing w:val="-9"/>
                <w:w w:val="82"/>
                <w:sz w:val="16"/>
                <w:szCs w:val="16"/>
              </w:rPr>
              <w:t>1</w:t>
            </w:r>
            <w:r>
              <w:rPr>
                <w:rFonts w:ascii="Arial" w:hAnsi="Arial" w:eastAsia="Arial" w:cs="Arial"/>
                <w:w w:val="82"/>
                <w:sz w:val="16"/>
                <w:szCs w:val="16"/>
              </w:rPr>
              <w:t xml:space="preserve">0   </w:t>
            </w:r>
            <w:r>
              <w:rPr>
                <w:rFonts w:ascii="Arial" w:hAnsi="Arial" w:eastAsia="Arial" w:cs="Arial"/>
                <w:spacing w:val="34"/>
                <w:w w:val="82"/>
                <w:sz w:val="16"/>
                <w:szCs w:val="16"/>
              </w:rPr>
              <w:t xml:space="preserve"> </w:t>
            </w:r>
            <w:r>
              <w:rPr>
                <w:rFonts w:ascii="Arial" w:hAnsi="Arial" w:eastAsia="Arial" w:cs="Arial"/>
                <w:w w:val="82"/>
                <w:sz w:val="16"/>
                <w:szCs w:val="16"/>
              </w:rPr>
              <w:t>6</w:t>
            </w:r>
          </w:p>
        </w:tc>
        <w:tc>
          <w:tcPr>
            <w:tcW w:w="244" w:type="dxa"/>
            <w:tcBorders>
              <w:top w:val="nil"/>
              <w:left w:val="nil"/>
              <w:bottom w:val="nil"/>
              <w:right w:val="nil"/>
            </w:tcBorders>
          </w:tcPr>
          <w:p w14:paraId="04BD60FB">
            <w:pPr>
              <w:spacing w:line="178" w:lineRule="exact"/>
              <w:ind w:left="68" w:right="46"/>
              <w:jc w:val="center"/>
              <w:rPr>
                <w:rFonts w:ascii="Arial" w:hAnsi="Arial" w:eastAsia="Arial" w:cs="Arial"/>
                <w:sz w:val="16"/>
                <w:szCs w:val="16"/>
              </w:rPr>
            </w:pPr>
            <w:r>
              <w:rPr>
                <w:rFonts w:ascii="Arial" w:hAnsi="Arial" w:eastAsia="Arial" w:cs="Arial"/>
                <w:w w:val="82"/>
                <w:sz w:val="16"/>
                <w:szCs w:val="16"/>
              </w:rPr>
              <w:t>0</w:t>
            </w:r>
          </w:p>
        </w:tc>
        <w:tc>
          <w:tcPr>
            <w:tcW w:w="316" w:type="dxa"/>
            <w:tcBorders>
              <w:top w:val="nil"/>
              <w:left w:val="nil"/>
              <w:bottom w:val="nil"/>
              <w:right w:val="nil"/>
            </w:tcBorders>
          </w:tcPr>
          <w:p w14:paraId="703E1FF3">
            <w:pPr>
              <w:spacing w:line="178" w:lineRule="exact"/>
              <w:ind w:left="98" w:right="-20"/>
              <w:rPr>
                <w:rFonts w:ascii="Arial" w:hAnsi="Arial" w:eastAsia="Arial" w:cs="Arial"/>
                <w:sz w:val="16"/>
                <w:szCs w:val="16"/>
              </w:rPr>
            </w:pPr>
            <w:r>
              <w:rPr>
                <w:rFonts w:ascii="Arial" w:hAnsi="Arial" w:eastAsia="Arial" w:cs="Arial"/>
                <w:w w:val="82"/>
                <w:sz w:val="16"/>
                <w:szCs w:val="16"/>
              </w:rPr>
              <w:t>0</w:t>
            </w:r>
          </w:p>
        </w:tc>
      </w:tr>
    </w:tbl>
    <w:p w14:paraId="2261C9DF">
      <w:pPr>
        <w:spacing w:line="206" w:lineRule="exact"/>
        <w:ind w:left="1162" w:right="2880" w:hanging="1072"/>
        <w:rPr>
          <w:sz w:val="18"/>
          <w:szCs w:val="18"/>
        </w:rPr>
      </w:pPr>
      <w:r>
        <w:drawing>
          <wp:anchor distT="0" distB="0" distL="114300" distR="114300" simplePos="0" relativeHeight="251674624" behindDoc="1" locked="0" layoutInCell="1" allowOverlap="1">
            <wp:simplePos x="0" y="0"/>
            <wp:positionH relativeFrom="page">
              <wp:posOffset>899795</wp:posOffset>
            </wp:positionH>
            <wp:positionV relativeFrom="paragraph">
              <wp:posOffset>151130</wp:posOffset>
            </wp:positionV>
            <wp:extent cx="372110" cy="85090"/>
            <wp:effectExtent l="0" t="0" r="889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2110" cy="85090"/>
                    </a:xfrm>
                    <a:prstGeom prst="rect">
                      <a:avLst/>
                    </a:prstGeom>
                    <a:noFill/>
                  </pic:spPr>
                </pic:pic>
              </a:graphicData>
            </a:graphic>
          </wp:anchor>
        </w:drawing>
      </w:r>
      <w:r>
        <w:rPr>
          <w:w w:val="210"/>
          <w:sz w:val="18"/>
          <w:szCs w:val="18"/>
          <w:u w:val="single" w:color="000000"/>
        </w:rPr>
        <w:t xml:space="preserve"> </w:t>
      </w:r>
      <w:r>
        <w:rPr>
          <w:sz w:val="18"/>
          <w:szCs w:val="18"/>
          <w:u w:val="single" w:color="000000"/>
        </w:rPr>
        <w:t xml:space="preserve">   </w:t>
      </w:r>
      <w:r>
        <w:rPr>
          <w:spacing w:val="-4"/>
          <w:sz w:val="18"/>
          <w:szCs w:val="18"/>
          <w:u w:val="single" w:color="000000"/>
        </w:rPr>
        <w:t xml:space="preserve"> </w:t>
      </w:r>
      <w:r>
        <w:rPr>
          <w:spacing w:val="-1"/>
          <w:sz w:val="18"/>
          <w:szCs w:val="18"/>
        </w:rPr>
        <w:t>≤</w:t>
      </w:r>
      <w:r>
        <w:rPr>
          <w:sz w:val="18"/>
          <w:szCs w:val="18"/>
        </w:rPr>
        <w:t>1</w:t>
      </w:r>
      <w:r>
        <w:rPr>
          <w:spacing w:val="2"/>
          <w:sz w:val="18"/>
          <w:szCs w:val="18"/>
        </w:rPr>
        <w:t>0</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w:t>
      </w:r>
      <w:r>
        <w:rPr>
          <w:spacing w:val="-7"/>
          <w:sz w:val="18"/>
          <w:szCs w:val="18"/>
        </w:rPr>
        <w:t xml:space="preserve"> </w:t>
      </w:r>
      <w:r>
        <w:rPr>
          <w:spacing w:val="-1"/>
          <w:sz w:val="18"/>
          <w:szCs w:val="18"/>
        </w:rPr>
        <w:t>&gt;</w:t>
      </w:r>
      <w:r>
        <w:rPr>
          <w:spacing w:val="1"/>
          <w:sz w:val="18"/>
          <w:szCs w:val="18"/>
        </w:rPr>
        <w:t>10</w:t>
      </w:r>
      <w:r>
        <w:rPr>
          <w:sz w:val="18"/>
          <w:szCs w:val="18"/>
        </w:rPr>
        <w:t xml:space="preserve">% </w:t>
      </w:r>
    </w:p>
    <w:p w14:paraId="1C8A3699">
      <w:pPr>
        <w:spacing w:line="206" w:lineRule="exact"/>
        <w:ind w:left="1162" w:right="2700" w:hanging="532"/>
        <w:rPr>
          <w:sz w:val="18"/>
          <w:szCs w:val="18"/>
          <w:lang w:val="sr-Cyrl-RS"/>
        </w:rPr>
      </w:pPr>
      <w:r>
        <w:rPr>
          <w:spacing w:val="1"/>
          <w:sz w:val="18"/>
          <w:szCs w:val="18"/>
        </w:rPr>
        <w:t>C</w:t>
      </w:r>
      <w:r>
        <w:rPr>
          <w:spacing w:val="2"/>
          <w:sz w:val="18"/>
          <w:szCs w:val="18"/>
        </w:rPr>
        <w:t>en</w:t>
      </w:r>
      <w:r>
        <w:rPr>
          <w:spacing w:val="-1"/>
          <w:sz w:val="18"/>
          <w:szCs w:val="18"/>
        </w:rPr>
        <w:t>zurisan</w:t>
      </w:r>
      <w:r>
        <w:rPr>
          <w:spacing w:val="-1"/>
          <w:sz w:val="18"/>
          <w:szCs w:val="18"/>
          <w:lang w:val="sr-Cyrl-RS"/>
        </w:rPr>
        <w:t>о</w:t>
      </w:r>
      <w:r>
        <w:rPr>
          <w:sz w:val="18"/>
          <w:szCs w:val="18"/>
        </w:rPr>
        <w:t xml:space="preserve">                                                                           </w:t>
      </w:r>
      <w:r>
        <w:rPr>
          <w:sz w:val="18"/>
          <w:szCs w:val="18"/>
        </w:rPr>
        <w:drawing>
          <wp:inline distT="0" distB="0" distL="0" distR="0">
            <wp:extent cx="276225" cy="8509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225" cy="85090"/>
                    </a:xfrm>
                    <a:prstGeom prst="rect">
                      <a:avLst/>
                    </a:prstGeom>
                    <a:noFill/>
                    <a:ln>
                      <a:noFill/>
                    </a:ln>
                  </pic:spPr>
                </pic:pic>
              </a:graphicData>
            </a:graphic>
          </wp:inline>
        </w:drawing>
      </w:r>
      <w:r>
        <w:rPr>
          <w:sz w:val="18"/>
          <w:szCs w:val="18"/>
        </w:rPr>
        <w:t>C</w:t>
      </w:r>
      <w:r>
        <w:rPr>
          <w:spacing w:val="-1"/>
          <w:sz w:val="18"/>
          <w:szCs w:val="18"/>
        </w:rPr>
        <w:t>e</w:t>
      </w:r>
      <w:r>
        <w:rPr>
          <w:spacing w:val="1"/>
          <w:sz w:val="18"/>
          <w:szCs w:val="18"/>
        </w:rPr>
        <w:t>n</w:t>
      </w:r>
      <w:r>
        <w:rPr>
          <w:sz w:val="18"/>
          <w:szCs w:val="18"/>
        </w:rPr>
        <w:t>zurisan</w:t>
      </w:r>
      <w:r>
        <w:rPr>
          <w:sz w:val="18"/>
          <w:szCs w:val="18"/>
          <w:lang w:val="sr-Cyrl-RS"/>
        </w:rPr>
        <w:t>о</w:t>
      </w:r>
    </w:p>
    <w:p w14:paraId="4514BBEB">
      <w:pPr>
        <w:rPr>
          <w:rFonts w:ascii="Microsoft Sans Serif" w:hAnsi="Microsoft Sans Serif" w:cs="Microsoft Sans Serif"/>
          <w:bCs/>
          <w:sz w:val="20"/>
          <w:szCs w:val="20"/>
          <w:u w:val="single"/>
          <w:lang w:val="sr-Latn-RS"/>
        </w:rPr>
      </w:pPr>
    </w:p>
    <w:tbl>
      <w:tblPr>
        <w:tblStyle w:val="12"/>
        <w:tblW w:w="9394" w:type="dxa"/>
        <w:tblInd w:w="-180" w:type="dxa"/>
        <w:tblLayout w:type="fixed"/>
        <w:tblCellMar>
          <w:top w:w="0" w:type="dxa"/>
          <w:left w:w="0" w:type="dxa"/>
          <w:bottom w:w="0" w:type="dxa"/>
          <w:right w:w="0" w:type="dxa"/>
        </w:tblCellMar>
      </w:tblPr>
      <w:tblGrid>
        <w:gridCol w:w="1456"/>
        <w:gridCol w:w="2867"/>
        <w:gridCol w:w="2378"/>
        <w:gridCol w:w="2693"/>
      </w:tblGrid>
      <w:tr w14:paraId="105FE8A4">
        <w:tblPrEx>
          <w:tblCellMar>
            <w:top w:w="0" w:type="dxa"/>
            <w:left w:w="0" w:type="dxa"/>
            <w:bottom w:w="0" w:type="dxa"/>
            <w:right w:w="0" w:type="dxa"/>
          </w:tblCellMar>
        </w:tblPrEx>
        <w:trPr>
          <w:trHeight w:val="489" w:hRule="exact"/>
        </w:trPr>
        <w:tc>
          <w:tcPr>
            <w:tcW w:w="1456" w:type="dxa"/>
            <w:tcBorders>
              <w:top w:val="nil"/>
              <w:left w:val="nil"/>
              <w:bottom w:val="nil"/>
              <w:right w:val="nil"/>
            </w:tcBorders>
          </w:tcPr>
          <w:p w14:paraId="2C9018E8">
            <w:pPr>
              <w:spacing w:before="36"/>
              <w:ind w:left="180" w:right="-20"/>
              <w:rPr>
                <w:rFonts w:ascii="Microsoft Sans Serif" w:hAnsi="Microsoft Sans Serif" w:cs="Microsoft Sans Serif"/>
                <w:sz w:val="20"/>
                <w:szCs w:val="20"/>
              </w:rPr>
            </w:pPr>
            <w:r>
              <w:rPr>
                <w:rFonts w:ascii="Microsoft Sans Serif" w:hAnsi="Microsoft Sans Serif" w:cs="Microsoft Sans Serif"/>
                <w:spacing w:val="-3"/>
                <w:sz w:val="20"/>
                <w:szCs w:val="20"/>
              </w:rPr>
              <w:t>G</w:t>
            </w:r>
            <w:r>
              <w:rPr>
                <w:rFonts w:ascii="Microsoft Sans Serif" w:hAnsi="Microsoft Sans Serif" w:cs="Microsoft Sans Serif"/>
                <w:sz w:val="20"/>
                <w:szCs w:val="20"/>
              </w:rPr>
              <w:t>RUPA</w:t>
            </w:r>
          </w:p>
        </w:tc>
        <w:tc>
          <w:tcPr>
            <w:tcW w:w="2867" w:type="dxa"/>
            <w:tcBorders>
              <w:top w:val="nil"/>
              <w:left w:val="nil"/>
              <w:bottom w:val="nil"/>
              <w:right w:val="nil"/>
            </w:tcBorders>
          </w:tcPr>
          <w:p w14:paraId="2F1846C3">
            <w:pPr>
              <w:spacing w:before="36"/>
              <w:ind w:left="549"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SMRTI</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pacing w:val="-2"/>
                <w:sz w:val="20"/>
                <w:szCs w:val="20"/>
              </w:rPr>
              <w:t>L</w:t>
            </w:r>
            <w:r>
              <w:rPr>
                <w:rFonts w:ascii="Microsoft Sans Serif" w:hAnsi="Microsoft Sans Serif" w:cs="Microsoft Sans Serif"/>
                <w:spacing w:val="-1"/>
                <w:sz w:val="20"/>
                <w:szCs w:val="20"/>
              </w:rPr>
              <w:t>an</w:t>
            </w:r>
            <w:r>
              <w:rPr>
                <w:rFonts w:ascii="Microsoft Sans Serif" w:hAnsi="Microsoft Sans Serif" w:cs="Microsoft Sans Serif"/>
                <w:sz w:val="20"/>
                <w:szCs w:val="20"/>
              </w:rPr>
              <w:t>d</w:t>
            </w:r>
            <w:r>
              <w:rPr>
                <w:rFonts w:ascii="Microsoft Sans Serif" w:hAnsi="Microsoft Sans Serif" w:cs="Microsoft Sans Serif"/>
                <w:spacing w:val="-3"/>
                <w:sz w:val="20"/>
                <w:szCs w:val="20"/>
              </w:rPr>
              <w:t xml:space="preserve"> </w:t>
            </w:r>
            <w:r>
              <w:rPr>
                <w:rFonts w:ascii="Microsoft Sans Serif" w:hAnsi="Microsoft Sans Serif" w:cs="Microsoft Sans Serif"/>
                <w:spacing w:val="1"/>
                <w:sz w:val="20"/>
                <w:szCs w:val="20"/>
              </w:rPr>
              <w:t>P</w:t>
            </w:r>
            <w:r>
              <w:rPr>
                <w:rFonts w:ascii="Microsoft Sans Serif" w:hAnsi="Microsoft Sans Serif" w:cs="Microsoft Sans Serif"/>
                <w:spacing w:val="-3"/>
                <w:sz w:val="20"/>
                <w:szCs w:val="20"/>
              </w:rPr>
              <w:t>a</w:t>
            </w:r>
            <w:r>
              <w:rPr>
                <w:rFonts w:ascii="Microsoft Sans Serif" w:hAnsi="Microsoft Sans Serif" w:cs="Microsoft Sans Serif"/>
                <w:sz w:val="20"/>
                <w:szCs w:val="20"/>
              </w:rPr>
              <w:t>t</w:t>
            </w:r>
            <w:r>
              <w:rPr>
                <w:rFonts w:ascii="Microsoft Sans Serif" w:hAnsi="Microsoft Sans Serif" w:cs="Microsoft Sans Serif"/>
                <w:spacing w:val="1"/>
                <w:sz w:val="20"/>
                <w:szCs w:val="20"/>
              </w:rPr>
              <w:t>i</w:t>
            </w:r>
            <w:r>
              <w:rPr>
                <w:rFonts w:ascii="Microsoft Sans Serif" w:hAnsi="Microsoft Sans Serif" w:cs="Microsoft Sans Serif"/>
                <w:spacing w:val="-3"/>
                <w:sz w:val="20"/>
                <w:szCs w:val="20"/>
              </w:rPr>
              <w:t>e</w:t>
            </w:r>
            <w:r>
              <w:rPr>
                <w:rFonts w:ascii="Microsoft Sans Serif" w:hAnsi="Microsoft Sans Serif" w:cs="Microsoft Sans Serif"/>
                <w:spacing w:val="-1"/>
                <w:sz w:val="20"/>
                <w:szCs w:val="20"/>
              </w:rPr>
              <w:t>n</w:t>
            </w:r>
            <w:r>
              <w:rPr>
                <w:rFonts w:ascii="Microsoft Sans Serif" w:hAnsi="Microsoft Sans Serif" w:cs="Microsoft Sans Serif"/>
                <w:sz w:val="20"/>
                <w:szCs w:val="20"/>
              </w:rPr>
              <w:t>t</w:t>
            </w:r>
          </w:p>
        </w:tc>
        <w:tc>
          <w:tcPr>
            <w:tcW w:w="2378" w:type="dxa"/>
            <w:tcBorders>
              <w:top w:val="nil"/>
              <w:left w:val="nil"/>
              <w:bottom w:val="nil"/>
              <w:right w:val="nil"/>
            </w:tcBorders>
          </w:tcPr>
          <w:p w14:paraId="515F6F72">
            <w:pPr>
              <w:spacing w:before="36"/>
              <w:ind w:left="412" w:right="-20"/>
              <w:rPr>
                <w:rFonts w:ascii="Microsoft Sans Serif" w:hAnsi="Microsoft Sans Serif" w:cs="Microsoft Sans Serif"/>
                <w:sz w:val="20"/>
                <w:szCs w:val="20"/>
              </w:rPr>
            </w:pPr>
            <w:r>
              <w:rPr>
                <w:rFonts w:ascii="Microsoft Sans Serif" w:hAnsi="Microsoft Sans Serif" w:cs="Microsoft Sans Serif"/>
                <w:spacing w:val="1"/>
                <w:sz w:val="20"/>
                <w:szCs w:val="20"/>
              </w:rPr>
              <w:t>M</w:t>
            </w:r>
            <w:r>
              <w:rPr>
                <w:rFonts w:ascii="Microsoft Sans Serif" w:hAnsi="Microsoft Sans Serif" w:cs="Microsoft Sans Serif"/>
                <w:spacing w:val="-2"/>
                <w:sz w:val="20"/>
                <w:szCs w:val="20"/>
              </w:rPr>
              <w:t>E</w:t>
            </w:r>
            <w:r>
              <w:rPr>
                <w:rFonts w:ascii="Microsoft Sans Serif" w:hAnsi="Microsoft Sans Serif" w:cs="Microsoft Sans Serif"/>
                <w:sz w:val="20"/>
                <w:szCs w:val="20"/>
              </w:rPr>
              <w:t>DIJ</w:t>
            </w:r>
            <w:r>
              <w:rPr>
                <w:rFonts w:ascii="Microsoft Sans Serif" w:hAnsi="Microsoft Sans Serif" w:cs="Microsoft Sans Serif"/>
                <w:spacing w:val="-3"/>
                <w:sz w:val="20"/>
                <w:szCs w:val="20"/>
              </w:rPr>
              <w:t>A</w:t>
            </w:r>
            <w:r>
              <w:rPr>
                <w:rFonts w:ascii="Microsoft Sans Serif" w:hAnsi="Microsoft Sans Serif" w:cs="Microsoft Sans Serif"/>
                <w:sz w:val="20"/>
                <w:szCs w:val="20"/>
              </w:rPr>
              <w:t xml:space="preserve">NA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3"/>
                <w:sz w:val="20"/>
                <w:szCs w:val="20"/>
              </w:rPr>
              <w:t xml:space="preserve"> </w:t>
            </w:r>
            <w:r>
              <w:rPr>
                <w:rFonts w:ascii="Microsoft Sans Serif" w:hAnsi="Microsoft Sans Serif" w:cs="Microsoft Sans Serif"/>
                <w:sz w:val="20"/>
                <w:szCs w:val="20"/>
              </w:rPr>
              <w:t>CI)</w:t>
            </w:r>
          </w:p>
        </w:tc>
        <w:tc>
          <w:tcPr>
            <w:tcW w:w="2693" w:type="dxa"/>
            <w:tcBorders>
              <w:top w:val="nil"/>
              <w:left w:val="nil"/>
              <w:bottom w:val="nil"/>
              <w:right w:val="nil"/>
            </w:tcBorders>
          </w:tcPr>
          <w:p w14:paraId="554342A0">
            <w:pPr>
              <w:spacing w:before="36"/>
              <w:ind w:left="419" w:right="-20"/>
              <w:rPr>
                <w:rFonts w:ascii="Microsoft Sans Serif" w:hAnsi="Microsoft Sans Serif" w:cs="Microsoft Sans Serif"/>
                <w:sz w:val="20"/>
                <w:szCs w:val="20"/>
              </w:rPr>
            </w:pPr>
            <w:r>
              <w:rPr>
                <w:rFonts w:ascii="Microsoft Sans Serif" w:hAnsi="Microsoft Sans Serif" w:cs="Microsoft Sans Serif"/>
                <w:sz w:val="20"/>
                <w:szCs w:val="20"/>
                <w:lang w:val="sr-Latn-RS"/>
              </w:rPr>
              <w:t>ODNOS RIZIKA</w:t>
            </w:r>
            <w:r>
              <w:rPr>
                <w:rFonts w:ascii="Microsoft Sans Serif" w:hAnsi="Microsoft Sans Serif" w:cs="Microsoft Sans Serif"/>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pacing w:val="-3"/>
                <w:sz w:val="20"/>
                <w:szCs w:val="20"/>
              </w:rPr>
              <w:t>C</w:t>
            </w:r>
            <w:r>
              <w:rPr>
                <w:rFonts w:ascii="Microsoft Sans Serif" w:hAnsi="Microsoft Sans Serif" w:cs="Microsoft Sans Serif"/>
                <w:sz w:val="20"/>
                <w:szCs w:val="20"/>
              </w:rPr>
              <w:t>I)</w:t>
            </w:r>
          </w:p>
        </w:tc>
      </w:tr>
      <w:tr w14:paraId="44661171">
        <w:tblPrEx>
          <w:tblCellMar>
            <w:top w:w="0" w:type="dxa"/>
            <w:left w:w="0" w:type="dxa"/>
            <w:bottom w:w="0" w:type="dxa"/>
            <w:right w:w="0" w:type="dxa"/>
          </w:tblCellMar>
        </w:tblPrEx>
        <w:trPr>
          <w:trHeight w:val="253" w:hRule="exact"/>
        </w:trPr>
        <w:tc>
          <w:tcPr>
            <w:tcW w:w="1456" w:type="dxa"/>
            <w:tcBorders>
              <w:top w:val="nil"/>
              <w:left w:val="nil"/>
              <w:bottom w:val="nil"/>
              <w:right w:val="nil"/>
            </w:tcBorders>
          </w:tcPr>
          <w:p w14:paraId="4A6CA05D">
            <w:pPr>
              <w:spacing w:line="201" w:lineRule="exact"/>
              <w:ind w:left="180"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2"/>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p>
        </w:tc>
        <w:tc>
          <w:tcPr>
            <w:tcW w:w="2867" w:type="dxa"/>
            <w:tcBorders>
              <w:top w:val="nil"/>
              <w:left w:val="nil"/>
              <w:bottom w:val="nil"/>
              <w:right w:val="nil"/>
            </w:tcBorders>
          </w:tcPr>
          <w:p w14:paraId="4450DFE2">
            <w:pPr>
              <w:spacing w:line="201"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14</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1</w:t>
            </w:r>
            <w:r>
              <w:rPr>
                <w:rFonts w:ascii="Microsoft Sans Serif" w:hAnsi="Microsoft Sans Serif" w:cs="Microsoft Sans Serif"/>
                <w:spacing w:val="-1"/>
                <w:sz w:val="20"/>
                <w:szCs w:val="20"/>
              </w:rPr>
              <w:t>9</w:t>
            </w:r>
            <w:r>
              <w:rPr>
                <w:rFonts w:ascii="Microsoft Sans Serif" w:hAnsi="Microsoft Sans Serif" w:cs="Microsoft Sans Serif"/>
                <w:sz w:val="20"/>
                <w:szCs w:val="20"/>
              </w:rPr>
              <w:t>8</w:t>
            </w:r>
          </w:p>
        </w:tc>
        <w:tc>
          <w:tcPr>
            <w:tcW w:w="2378" w:type="dxa"/>
            <w:tcBorders>
              <w:top w:val="nil"/>
              <w:left w:val="nil"/>
              <w:bottom w:val="nil"/>
              <w:right w:val="nil"/>
            </w:tcBorders>
          </w:tcPr>
          <w:p w14:paraId="6DA9C19B">
            <w:pPr>
              <w:spacing w:line="201"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247555B7">
            <w:pPr>
              <w:rPr>
                <w:rFonts w:ascii="Microsoft Sans Serif" w:hAnsi="Microsoft Sans Serif" w:cs="Microsoft Sans Serif"/>
                <w:sz w:val="20"/>
                <w:szCs w:val="20"/>
              </w:rPr>
            </w:pPr>
          </w:p>
        </w:tc>
      </w:tr>
      <w:tr w14:paraId="2BE64351">
        <w:tblPrEx>
          <w:tblCellMar>
            <w:top w:w="0" w:type="dxa"/>
            <w:left w:w="0" w:type="dxa"/>
            <w:bottom w:w="0" w:type="dxa"/>
            <w:right w:w="0" w:type="dxa"/>
          </w:tblCellMar>
        </w:tblPrEx>
        <w:trPr>
          <w:trHeight w:val="248" w:hRule="exact"/>
        </w:trPr>
        <w:tc>
          <w:tcPr>
            <w:tcW w:w="1456" w:type="dxa"/>
            <w:tcBorders>
              <w:top w:val="nil"/>
              <w:left w:val="nil"/>
              <w:bottom w:val="nil"/>
              <w:right w:val="nil"/>
            </w:tcBorders>
          </w:tcPr>
          <w:p w14:paraId="1AB7EC3A">
            <w:pPr>
              <w:spacing w:line="197" w:lineRule="exact"/>
              <w:ind w:left="180" w:right="-20"/>
              <w:rPr>
                <w:rFonts w:ascii="Microsoft Sans Serif" w:hAnsi="Microsoft Sans Serif" w:cs="Microsoft Sans Serif"/>
                <w:sz w:val="20"/>
                <w:szCs w:val="20"/>
              </w:rPr>
            </w:pPr>
            <w:r>
              <w:rPr>
                <w:rFonts w:ascii="Microsoft Sans Serif" w:hAnsi="Microsoft Sans Serif" w:cs="Microsoft Sans Serif"/>
                <w:spacing w:val="-1"/>
                <w:sz w:val="20"/>
                <w:szCs w:val="20"/>
              </w:rPr>
              <w:t>&gt;</w:t>
            </w:r>
            <w:r>
              <w:rPr>
                <w:rFonts w:ascii="Microsoft Sans Serif" w:hAnsi="Microsoft Sans Serif" w:cs="Microsoft Sans Serif"/>
                <w:spacing w:val="1"/>
                <w:sz w:val="20"/>
                <w:szCs w:val="20"/>
              </w:rPr>
              <w:t>10</w:t>
            </w:r>
            <w:r>
              <w:rPr>
                <w:rFonts w:ascii="Microsoft Sans Serif" w:hAnsi="Microsoft Sans Serif" w:cs="Microsoft Sans Serif"/>
                <w:sz w:val="20"/>
                <w:szCs w:val="20"/>
              </w:rPr>
              <w:t>%</w:t>
            </w:r>
          </w:p>
        </w:tc>
        <w:tc>
          <w:tcPr>
            <w:tcW w:w="2867" w:type="dxa"/>
            <w:tcBorders>
              <w:top w:val="nil"/>
              <w:left w:val="nil"/>
              <w:bottom w:val="nil"/>
              <w:right w:val="nil"/>
            </w:tcBorders>
          </w:tcPr>
          <w:p w14:paraId="1CEE2E2F">
            <w:pPr>
              <w:spacing w:line="197" w:lineRule="exact"/>
              <w:ind w:left="549" w:right="-20"/>
              <w:rPr>
                <w:rFonts w:ascii="Microsoft Sans Serif" w:hAnsi="Microsoft Sans Serif" w:cs="Microsoft Sans Serif"/>
                <w:sz w:val="20"/>
                <w:szCs w:val="20"/>
              </w:rPr>
            </w:pPr>
            <w:r>
              <w:rPr>
                <w:rFonts w:ascii="Microsoft Sans Serif" w:hAnsi="Microsoft Sans Serif" w:cs="Microsoft Sans Serif"/>
                <w:spacing w:val="1"/>
                <w:sz w:val="20"/>
                <w:szCs w:val="20"/>
              </w:rPr>
              <w:t>8</w:t>
            </w:r>
            <w:r>
              <w:rPr>
                <w:rFonts w:ascii="Microsoft Sans Serif" w:hAnsi="Microsoft Sans Serif" w:cs="Microsoft Sans Serif"/>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7</w:t>
            </w:r>
          </w:p>
        </w:tc>
        <w:tc>
          <w:tcPr>
            <w:tcW w:w="2378" w:type="dxa"/>
            <w:tcBorders>
              <w:top w:val="nil"/>
              <w:left w:val="nil"/>
              <w:bottom w:val="nil"/>
              <w:right w:val="nil"/>
            </w:tcBorders>
          </w:tcPr>
          <w:p w14:paraId="786E94FE">
            <w:pPr>
              <w:spacing w:line="197" w:lineRule="exact"/>
              <w:ind w:left="412" w:right="-20"/>
              <w:rPr>
                <w:rFonts w:ascii="Microsoft Sans Serif" w:hAnsi="Microsoft Sans Serif" w:cs="Microsoft Sans Serif"/>
                <w:sz w:val="20"/>
                <w:szCs w:val="20"/>
              </w:rPr>
            </w:pPr>
            <w:r>
              <w:rPr>
                <w:rFonts w:ascii="Microsoft Sans Serif" w:hAnsi="Microsoft Sans Serif" w:cs="Microsoft Sans Serif"/>
                <w:sz w:val="20"/>
                <w:szCs w:val="20"/>
              </w:rPr>
              <w:t>.(.</w:t>
            </w:r>
            <w:r>
              <w:rPr>
                <w:rFonts w:ascii="Microsoft Sans Serif" w:hAnsi="Microsoft Sans Serif" w:cs="Microsoft Sans Serif"/>
                <w:spacing w:val="1"/>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2"/>
                <w:sz w:val="20"/>
                <w:szCs w:val="20"/>
              </w:rPr>
              <w:t xml:space="preserve"> </w:t>
            </w:r>
            <w:r>
              <w:rPr>
                <w:rFonts w:ascii="Microsoft Sans Serif" w:hAnsi="Microsoft Sans Serif" w:cs="Microsoft Sans Serif"/>
                <w:spacing w:val="1"/>
                <w:sz w:val="20"/>
                <w:szCs w:val="20"/>
              </w:rPr>
              <w:t>.)</w:t>
            </w:r>
          </w:p>
        </w:tc>
        <w:tc>
          <w:tcPr>
            <w:tcW w:w="2693" w:type="dxa"/>
            <w:tcBorders>
              <w:top w:val="nil"/>
              <w:left w:val="nil"/>
              <w:bottom w:val="nil"/>
              <w:right w:val="nil"/>
            </w:tcBorders>
          </w:tcPr>
          <w:p w14:paraId="4556BEE5">
            <w:pPr>
              <w:rPr>
                <w:rFonts w:ascii="Microsoft Sans Serif" w:hAnsi="Microsoft Sans Serif" w:cs="Microsoft Sans Serif"/>
                <w:sz w:val="20"/>
                <w:szCs w:val="20"/>
              </w:rPr>
            </w:pPr>
          </w:p>
        </w:tc>
      </w:tr>
      <w:tr w14:paraId="17D8E17B">
        <w:tblPrEx>
          <w:tblCellMar>
            <w:top w:w="0" w:type="dxa"/>
            <w:left w:w="0" w:type="dxa"/>
            <w:bottom w:w="0" w:type="dxa"/>
            <w:right w:w="0" w:type="dxa"/>
          </w:tblCellMar>
        </w:tblPrEx>
        <w:trPr>
          <w:trHeight w:val="305" w:hRule="exact"/>
        </w:trPr>
        <w:tc>
          <w:tcPr>
            <w:tcW w:w="9394" w:type="dxa"/>
            <w:gridSpan w:val="4"/>
            <w:tcBorders>
              <w:top w:val="nil"/>
              <w:left w:val="nil"/>
              <w:bottom w:val="nil"/>
              <w:right w:val="nil"/>
            </w:tcBorders>
          </w:tcPr>
          <w:p w14:paraId="3BB13206">
            <w:pPr>
              <w:spacing w:line="197" w:lineRule="exact"/>
              <w:ind w:right="959"/>
              <w:jc w:val="right"/>
              <w:rPr>
                <w:rFonts w:ascii="Microsoft Sans Serif" w:hAnsi="Microsoft Sans Serif" w:cs="Microsoft Sans Serif"/>
                <w:sz w:val="20"/>
                <w:szCs w:val="20"/>
              </w:rPr>
            </w:pPr>
            <w:r>
              <w:rPr>
                <w:rFonts w:ascii="Microsoft Sans Serif" w:hAnsi="Microsoft Sans Serif" w:cs="Microsoft Sans Serif"/>
                <w:spacing w:val="1"/>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1</w:t>
            </w:r>
            <w:r>
              <w:rPr>
                <w:rFonts w:ascii="Microsoft Sans Serif" w:hAnsi="Microsoft Sans Serif" w:cs="Microsoft Sans Serif"/>
                <w:sz w:val="20"/>
                <w:szCs w:val="20"/>
              </w:rPr>
              <w:t>2</w:t>
            </w:r>
            <w:r>
              <w:rPr>
                <w:rFonts w:ascii="Microsoft Sans Serif" w:hAnsi="Microsoft Sans Serif" w:cs="Microsoft Sans Serif"/>
                <w:spacing w:val="2"/>
                <w:sz w:val="20"/>
                <w:szCs w:val="20"/>
              </w:rPr>
              <w:t xml:space="preserve"> </w:t>
            </w:r>
            <w:r>
              <w:rPr>
                <w:rFonts w:ascii="Microsoft Sans Serif" w:hAnsi="Microsoft Sans Serif" w:cs="Microsoft Sans Serif"/>
                <w:sz w:val="20"/>
                <w:szCs w:val="20"/>
              </w:rPr>
              <w:t>-</w:t>
            </w:r>
            <w:r>
              <w:rPr>
                <w:rFonts w:ascii="Microsoft Sans Serif" w:hAnsi="Microsoft Sans Serif" w:cs="Microsoft Sans Serif"/>
                <w:spacing w:val="-4"/>
                <w:sz w:val="20"/>
                <w:szCs w:val="20"/>
              </w:rPr>
              <w:t xml:space="preserve"> </w:t>
            </w:r>
            <w:r>
              <w:rPr>
                <w:rFonts w:ascii="Microsoft Sans Serif" w:hAnsi="Microsoft Sans Serif" w:cs="Microsoft Sans Serif"/>
                <w:spacing w:val="1"/>
                <w:sz w:val="20"/>
                <w:szCs w:val="20"/>
              </w:rPr>
              <w:t>0</w:t>
            </w:r>
            <w:r>
              <w:rPr>
                <w:rFonts w:ascii="Microsoft Sans Serif" w:hAnsi="Microsoft Sans Serif" w:cs="Microsoft Sans Serif"/>
                <w:spacing w:val="-2"/>
                <w:sz w:val="20"/>
                <w:szCs w:val="20"/>
                <w:lang w:val="sr-Cyrl-RS"/>
              </w:rPr>
              <w:t>,</w:t>
            </w:r>
            <w:r>
              <w:rPr>
                <w:rFonts w:ascii="Microsoft Sans Serif" w:hAnsi="Microsoft Sans Serif" w:cs="Microsoft Sans Serif"/>
                <w:spacing w:val="-1"/>
                <w:sz w:val="20"/>
                <w:szCs w:val="20"/>
              </w:rPr>
              <w:t>69</w:t>
            </w:r>
            <w:r>
              <w:rPr>
                <w:rFonts w:ascii="Microsoft Sans Serif" w:hAnsi="Microsoft Sans Serif" w:cs="Microsoft Sans Serif"/>
                <w:sz w:val="20"/>
                <w:szCs w:val="20"/>
              </w:rPr>
              <w:t>)</w:t>
            </w:r>
          </w:p>
        </w:tc>
      </w:tr>
    </w:tbl>
    <w:p w14:paraId="4D91413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Progresija bolesti bila je definisana kao povećanje broja belih krvnih ćelija uprkos odgovarajućem</w:t>
      </w:r>
    </w:p>
    <w:p w14:paraId="031E243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terapijskom zbrinjavanju, gubitak CHR, delimičan CyR ili CCyR, progresija u ubrzanu fazu ili blastnu fazu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ili smrt. Procjenjena 60-mjesečna stopa PFS bila je 88,9% (CI: 84% - 92,4%) i u grupi liječenoj dasatinibom i u grupi liječenoj imatinibom. U 60. mjesecu, transformacija u ubrzanu ili blastnu fazu javila se kod manje pacijenata liječenih dasatinibom (n=8; 3%) u poređenju sa pacijentima liječenim imatinibom (n=15; 5,8%).</w:t>
      </w:r>
    </w:p>
    <w:p w14:paraId="0DD9EB2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Procjenjena 60-mjesečna stopa preživljavanja kod pacijenata liječenih dasatinibom i imatinibom bila je 90,9% (CI: 86,6% - 93,8%) odnosno 89,6% (CI: 85,2% - 92,8%). Nije zabilježena razlika u OS (HR 1,01; 95% CI: 0,58-1,73; p=0,9800) ni PFS (HR 1,00; 95% CI: 0,58-1,72; p=0,9998) između dasatiniba i imatiniba.</w:t>
      </w:r>
    </w:p>
    <w:p w14:paraId="0A3A25B5">
      <w:pPr>
        <w:rPr>
          <w:rFonts w:ascii="Microsoft Sans Serif" w:hAnsi="Microsoft Sans Serif" w:cs="Microsoft Sans Serif"/>
          <w:bCs/>
          <w:sz w:val="20"/>
          <w:szCs w:val="20"/>
          <w:lang w:val="sr-Latn-RS"/>
        </w:rPr>
      </w:pPr>
    </w:p>
    <w:p w14:paraId="096D84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Kod pacijenata koji prijavljuju progresiju bolesti ili prekid terapije dasatinibom ili imatinibom, sprovedeno je BCR-ABL sekvencioniranje na uzorcima krvi pacijenata tamo gde su oni bili dostupni. Zabilježene su slične stope mutacija u obje grupe pacijenata. Mutacije T315I, F317I/L i V299L otkrivene su među pacijentima liječenim dasatinibom dok je u grupi pacijenata liječenih imatinibom otkriven drugačiji spektar mutacija. Na osnovu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podataka, čini se da dasatinib nije aktivan protiv T315I mutacija. </w:t>
      </w:r>
    </w:p>
    <w:p w14:paraId="5F9299F4">
      <w:pPr>
        <w:rPr>
          <w:rFonts w:ascii="Microsoft Sans Serif" w:hAnsi="Microsoft Sans Serif" w:cs="Microsoft Sans Serif"/>
          <w:bCs/>
          <w:sz w:val="20"/>
          <w:szCs w:val="20"/>
          <w:lang w:val="sr-Latn-RS"/>
        </w:rPr>
      </w:pPr>
    </w:p>
    <w:p w14:paraId="3732D326">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Hronična faza HML – rezistentnost ili nepodnošenje prethodne terapije imatinibom</w:t>
      </w:r>
    </w:p>
    <w:p w14:paraId="014BBE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Sprovedene su dvije kliničke studije kod pacijenata koji su rezistentni na imatinib ili ga ne podnose; primarni parametar praćenja efikasnosti u ovim studijama je bio značajan citogenetski odgovor (engl. </w:t>
      </w:r>
      <w:r>
        <w:rPr>
          <w:rFonts w:ascii="Microsoft Sans Serif" w:hAnsi="Microsoft Sans Serif" w:cs="Microsoft Sans Serif"/>
          <w:bCs/>
          <w:i/>
          <w:sz w:val="20"/>
          <w:szCs w:val="20"/>
          <w:lang w:val="sr-Latn-RS"/>
        </w:rPr>
        <w:t>Major Cytogenetic Response - MCyR</w:t>
      </w:r>
      <w:r>
        <w:rPr>
          <w:rFonts w:ascii="Microsoft Sans Serif" w:hAnsi="Microsoft Sans Serif" w:cs="Microsoft Sans Serif"/>
          <w:bCs/>
          <w:sz w:val="20"/>
          <w:szCs w:val="20"/>
          <w:lang w:val="sr-Latn-RS"/>
        </w:rPr>
        <w:t>).</w:t>
      </w:r>
    </w:p>
    <w:p w14:paraId="7EBDF469">
      <w:pPr>
        <w:rPr>
          <w:rFonts w:ascii="Microsoft Sans Serif" w:hAnsi="Microsoft Sans Serif" w:cs="Microsoft Sans Serif"/>
          <w:bCs/>
          <w:sz w:val="20"/>
          <w:szCs w:val="20"/>
          <w:lang w:val="sr-Latn-RS"/>
        </w:rPr>
      </w:pPr>
    </w:p>
    <w:p w14:paraId="51DA4D7D">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08703A1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Sprovedena je jedna randomizovana, multicentrična, nekomparativna, otvorena studija kod pacijenata kod kojih početna terapija imatinibom u dozi od 400 ili 600 mg nije bila uspješna. Pacijenti su bili randomizovani (2:1) u dvije grupe, jednu koja je primala dasatinib (70 mg dva puta dnevno) i drugu koja je primala imatinib (400 mg dva puta dnevno). Prelazak iz jedne u drugu terapijsku grupu bio je dozvoljen ukoliko su se javili znaci progresije bolesti ili nepodnošenja lijeka koje se nije moglo riješiti prilagođavanjem doze. Primarni parametar praćenja bio je značajan citogenetski odgovor (MCyR) u 12. nedelji terapije. Rezultati su dostupni za 150 pacijenata: 101 pacijent randomizovan u grupu koja je primala dasatinib i 49 pacijenata randomizovanih u grupu koja je primala imatinib (svi rezistentni na imatinib). Medijana vremena od dijagnoze do randomizacije iznosila je 64 mjeseca u grupi koja je primala dasatinib i 52 meseca u grupi koja je primala imatinib. Svi pacijenti su prethodno bili opsežno liječeni. Potpuni hematološki odgovor (CHR -engl. </w:t>
      </w:r>
      <w:r>
        <w:rPr>
          <w:rFonts w:ascii="Microsoft Sans Serif" w:hAnsi="Microsoft Sans Serif" w:cs="Microsoft Sans Serif"/>
          <w:bCs/>
          <w:i/>
          <w:sz w:val="20"/>
          <w:szCs w:val="20"/>
          <w:lang w:val="sr-Latn-RS"/>
        </w:rPr>
        <w:t>complete haematologic response</w:t>
      </w:r>
      <w:r>
        <w:rPr>
          <w:rFonts w:ascii="Microsoft Sans Serif" w:hAnsi="Microsoft Sans Serif" w:cs="Microsoft Sans Serif"/>
          <w:bCs/>
          <w:sz w:val="20"/>
          <w:szCs w:val="20"/>
          <w:lang w:val="sr-Latn-RS"/>
        </w:rPr>
        <w:t>) na prethodnu terapiju imatinibom postiglo je 93% svih pacijenata. Značajan citogenetski odgovor na prethodnu terapiju imatinibom postiglo je 28% pacijenata u grupi koja je primala dasatinib i 29% pacijenata u grupi koja je primala imatinib. Medijana trajanja terapije iznosila je 23 mjeseca za dasatinib (s tim što je do tada 44% pacijenata bilo liječeno &gt;24 meseca), a 3 mjeseca za imatinib (s tim što je do tada 10% pacijenata bilo liječeno &gt;24 mjeseca). Prije prelaska u suprotnu grupu, 93% pacijenata koji su primali dasatinib i 82% pacijenata koji su primali imatinib postiglo je potpuni hematološki odgovor.</w:t>
      </w:r>
    </w:p>
    <w:p w14:paraId="4B556DFF">
      <w:pPr>
        <w:rPr>
          <w:rFonts w:ascii="Microsoft Sans Serif" w:hAnsi="Microsoft Sans Serif" w:cs="Microsoft Sans Serif"/>
          <w:bCs/>
          <w:sz w:val="20"/>
          <w:szCs w:val="20"/>
          <w:lang w:val="sr-Latn-RS"/>
        </w:rPr>
      </w:pPr>
    </w:p>
    <w:p w14:paraId="4230A61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3 mjeseca, značajan citogenetski odgovor je bio češći u grupi koja je primala dasatinib (36%) nego u grupi koja je primala imatinib (29%). Posebno treba istaći da je potpuni citogenetski odgovor (CCyR) zabilježen kod 22% pacijenata u grupi koja je dobijala dasatinib i samo kod 8% pacijenata u grupi koja je dobijala imatinib. Nakon dugotrajnije terapije i praćenja (medijana trajanja, 24 mjeseca), značajan citogenetski odgovor (MCyR) postiglo je 53% pacijenata liječenih dasatinibom (potpuni citogenetski odgovor kod 44%) i 33% pacijenata liječenih imatinibom (potpuni citogenetski odgovor kod 18%) prije prelaska u suprotnu grupu. Među pacijentima koji su primali imatinib u dozi od 400 mg pre uključenja u studiju, značajan citogenetski odgovor postiglo je 61% pacijenata u grupi koja je dobijala dasatinib i 50% pacijenata u grupi koja je dobijala imatinib.</w:t>
      </w:r>
    </w:p>
    <w:p w14:paraId="7959681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kod kojih se održao značajni citogenetski odgovor tokom 1 godine iznosio je 92% (95% CI: [85%-100%]) za dasatinib (potpuni citogenetski odgovor, 97%; 95% CI: [92%-100%]) i 74% (95% CI: [49%-100%]) za imatinib (potpuni citogenetski odgovor, 100%). Udio pacijenata kod kojih se održao značajni citogenetski odgovor tokom 18 mjeseci iznosio je 90% (95% CI: [82%-98%]) za dasatinib (potpuni citogenetski odgovor, 94%; 95% CI: [87%-100%]) i 74% (95% CI:[49%-100%]) za imatinib (potpuni citogenetski odgovor, 100%).</w:t>
      </w:r>
    </w:p>
    <w:p w14:paraId="000FAD26">
      <w:pPr>
        <w:rPr>
          <w:rFonts w:ascii="Microsoft Sans Serif" w:hAnsi="Microsoft Sans Serif" w:cs="Microsoft Sans Serif"/>
          <w:bCs/>
          <w:sz w:val="20"/>
          <w:szCs w:val="20"/>
          <w:lang w:val="sr-Latn-RS"/>
        </w:rPr>
      </w:pPr>
    </w:p>
    <w:p w14:paraId="244AF66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udio pacijenata sa preživljavanje bez progresije bolesti (PFS) tokom 1 godine iznosilo je 91% (95% CI: [85%-97%]) za dasatinib i 73% (95% CI: [54%-91%]) za imatinib. Udio pacijenta sa PFS nakon 2 godine iznosilo je 86% (95% CI:[78%-93%]) za dasatinib i 65% (95% CI: [43%-87%]) za imatinib.</w:t>
      </w:r>
    </w:p>
    <w:p w14:paraId="2683B53A">
      <w:pPr>
        <w:rPr>
          <w:rFonts w:ascii="Microsoft Sans Serif" w:hAnsi="Microsoft Sans Serif" w:cs="Microsoft Sans Serif"/>
          <w:bCs/>
          <w:sz w:val="20"/>
          <w:szCs w:val="20"/>
          <w:lang w:val="sr-Latn-RS"/>
        </w:rPr>
      </w:pPr>
    </w:p>
    <w:p w14:paraId="7F4D2A7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Terapija nije uspela kod 43% pacijenata u grupi koja je primala dasatinib i kod 82% u grupi koja je primala imatinib, a neuspjeh terapije definisan je kao progresija bolesti ili prelazak u drugu terapijsku grupu (izostanak odgovora, nepodnošenje ispitivanog lijeka, itd.).</w:t>
      </w:r>
    </w:p>
    <w:p w14:paraId="7D79713D">
      <w:pPr>
        <w:rPr>
          <w:rFonts w:ascii="Microsoft Sans Serif" w:hAnsi="Microsoft Sans Serif" w:cs="Microsoft Sans Serif"/>
          <w:bCs/>
          <w:sz w:val="20"/>
          <w:szCs w:val="20"/>
          <w:lang w:val="sr-Latn-RS"/>
        </w:rPr>
      </w:pPr>
    </w:p>
    <w:p w14:paraId="2A5EA93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(definisana kao BCR-ABL/kontrolni transkripti ≤0,1% po RQ-PCR u uzorcima periferne krvi) prije prelaska u drugu terapijsku grupu iznosila je 29% za dasatinib i 12% za imatinib.</w:t>
      </w:r>
    </w:p>
    <w:p w14:paraId="6CD8D3D1">
      <w:pPr>
        <w:rPr>
          <w:rFonts w:ascii="Microsoft Sans Serif" w:hAnsi="Microsoft Sans Serif" w:cs="Microsoft Sans Serif"/>
          <w:bCs/>
          <w:sz w:val="20"/>
          <w:szCs w:val="20"/>
          <w:lang w:val="sr-Latn-RS"/>
        </w:rPr>
      </w:pPr>
    </w:p>
    <w:p w14:paraId="7DC3669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3D4CE3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kod jednoj grupi pacijenata koji su rezistentni na imatinib ili ga ne podnose (tj. pacijenti kod kojih su značajna toksična djelovanja koja su se javila tokom terapije imatinibom onemogućila dalju terapiju).</w:t>
      </w:r>
    </w:p>
    <w:p w14:paraId="62DA8FC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Ukupno je 387 pacijenata primilo dasatinib u dozi od 70 mg dva puta dnevno (288 sa rezistencijom i 99 sa nepodnošljivošću). Medijana vremena od dijagnoze do početka terapije iznosila je 61 mjesec. Većina pacijenata (53%) prethodno je primala imatinib duže od 3 godine. Većina pacijenata sa rezistencijom (72%) primala je &gt;600 mg imatiniba. Uz imatinib, 35% pacijenata prethodno je primilo citotoksičnu hemioterapiju, 65% interferon, a 10% je imalo transplantaciju matičnih ćelija. Trideset i osam procenata pacijenata imalo je osnovne mutacije za koje se zna da uzrokuju rezistentnost na imatinib. Medijana trajanja terapije dasatinibom iznosila je 24 mjeseca, s tim što je do tada 51% pacijenata bilo liječeno &gt;24 mjeseca. Rezultati efikasnosti prikazani su u Tabeli 11. Značajan citogenetski odgovor postignut je kod 55% pacijenata rezistentnih na imatinib i 82% pacijenata koji nisu podnosili imatinib. Nakon najmanje 24 mjeseca praćenja, do progresije bolesti došlo je kod 21 od 240 pacijenata koji su postigli značajni citogenetski odgovor (MCyR) i kod njih medijana trajanja MCyR nije dostignuta.</w:t>
      </w:r>
    </w:p>
    <w:p w14:paraId="28D22B7F">
      <w:pPr>
        <w:rPr>
          <w:rFonts w:ascii="Microsoft Sans Serif" w:hAnsi="Microsoft Sans Serif" w:cs="Microsoft Sans Serif"/>
          <w:bCs/>
          <w:sz w:val="20"/>
          <w:szCs w:val="20"/>
          <w:lang w:val="sr-Latn-RS"/>
        </w:rPr>
      </w:pPr>
    </w:p>
    <w:p w14:paraId="75CADCC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Kaplan-Meieru, 95% (95% CI: [92%-98%]) pacijenata održalo je</w:t>
      </w:r>
    </w:p>
    <w:p w14:paraId="469D60B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MCyR tokom 1 godine, dok je 88% (95% CI: [83%-93%]) održalo MCyR tokom 2 godine. Potpuni citogenetski odgovor (CCyR) tokom 1 godine održalo je 97% pacijenata (95% CI: [94%-99%]) a tokom 2 godine 90% pacijenata (95% CI: [86%-95%]). Četrdeset i dva procenta pacijenata rezistentnih na imatinib koji prethodno nisu postigli MCyR na imatinib (n=188) postigli su MCyR na dasatinib. </w:t>
      </w:r>
    </w:p>
    <w:p w14:paraId="6CFD8B8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Nađeno je 45 različitih BCR-ABL mutacija kod 38% pacijenata uključenih u ovu studiju. Potpuni hematološki odgovor (CHR) ili MCyR postignut je kod pacijenata koji su imali niz raznih BCR-ABL mutacija povezanih sa rezistentnošću na imatinib, osim T315I. Stope MCyR nakon 2 godine bile su slične bez obzira na to da li su pacijenti imali osnovnu BCR-ABL mutaciju (63%), mutaciju P-petlje (61%) ili nisu imali mutaciju (62%).</w:t>
      </w:r>
    </w:p>
    <w:p w14:paraId="5B10399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Među pacijentima rezistentnim na imatinib, procjenjena stopa preživljavanja bez progresije bolesti (PFS) iznosila je 88% (95% CI: [84%-92%]) nakon 1 godine i 75% (95% CI: [69%-81%]) nakon 2 godine. Kod pacijenata koji nisu podnosili imatinib, procjenjena stopa PFS iznosila je 98% (95% CI: [95%- 100%]) nakon 1 godine i 94% (95% CI: [88%-99%]) nakon 2 godine. </w:t>
      </w:r>
    </w:p>
    <w:p w14:paraId="504D3E4A">
      <w:pPr>
        <w:rPr>
          <w:rFonts w:ascii="Microsoft Sans Serif" w:hAnsi="Microsoft Sans Serif" w:cs="Microsoft Sans Serif"/>
          <w:bCs/>
          <w:sz w:val="20"/>
          <w:szCs w:val="20"/>
          <w:lang w:val="sr-Latn-RS"/>
        </w:rPr>
      </w:pPr>
    </w:p>
    <w:p w14:paraId="5280EE5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Stopa značajnog molekularnog odgovora (MMR) nakon 24 mjeseca iznosila je 45% (35% za pacijente rezistentne na imatinib i 74% za pacijente koji ne podnose imatinib).</w:t>
      </w:r>
    </w:p>
    <w:p w14:paraId="21ACE209">
      <w:pPr>
        <w:rPr>
          <w:rFonts w:ascii="Microsoft Sans Serif" w:hAnsi="Microsoft Sans Serif" w:cs="Microsoft Sans Serif"/>
          <w:bCs/>
          <w:sz w:val="20"/>
          <w:szCs w:val="20"/>
          <w:u w:val="single"/>
          <w:lang w:val="sr-Latn-RS"/>
        </w:rPr>
      </w:pPr>
    </w:p>
    <w:p w14:paraId="37447B3D">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Faza ubrzanja HML</w:t>
      </w:r>
    </w:p>
    <w:p w14:paraId="5938A1C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2E3B53E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174 pacijenta primalo dasatinib u dozi od 70 mg dva puta dnevno (161 koji su bili rezistentni i 13 koji nisu podnosili imatinib). Medijana vremena od dijagnoze do početka terapije iznosila je 82 meseca. Medijana trajanja terapije dasatinibom iznosila je 14 meseci sa 31% pacijenata liječenih &gt;24 mjeseca do tada. Stopa MMR (određenog kod 41 pacijenata sa CCyR) iznosila je 46% nakon 24 mjeseca. Dalji rezultati efikasnosti prikazani su u Tabeli 11.</w:t>
      </w:r>
    </w:p>
    <w:p w14:paraId="34A8FB49">
      <w:pPr>
        <w:rPr>
          <w:rFonts w:ascii="Microsoft Sans Serif" w:hAnsi="Microsoft Sans Serif" w:cs="Microsoft Sans Serif"/>
          <w:bCs/>
          <w:sz w:val="20"/>
          <w:szCs w:val="20"/>
          <w:u w:val="single"/>
          <w:lang w:val="sr-Latn-RS"/>
        </w:rPr>
      </w:pPr>
    </w:p>
    <w:p w14:paraId="350FA648">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Mijeloidna blastna faza HML</w:t>
      </w:r>
    </w:p>
    <w:p w14:paraId="346AFA5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Sprovedena je jedna multicentrična, otvorena studija na jednoj grupi pacijenata koji ne podnose ili su</w:t>
      </w:r>
    </w:p>
    <w:p w14:paraId="5542F3C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rezistentni na imatinib. Ukupno je 109 pacijenata primalo dasatinib u dozi od 70 mg dva puta dnevno (99 rezistentnih i 10 koji nisu podnosili imatinib). Medijana vremena od dijagnoze do početka terapije iznosila je 48 mjeseci. Medijana trajanja terapije dasatinibom iznosila je 3,5 mjeseci sa time što je 12% pacijenata do tada bilo liječeno &gt;24 mjeseca. Stopa značajnog molekularnog odgovora (MMR) (određenog kod 19 pacijenata sa CCyR) bila je 68% nakon 24 mjeseca. Dalji rezultati efikasnosti prikazani su u Tabeli 11.</w:t>
      </w:r>
    </w:p>
    <w:p w14:paraId="0C8F0AE3">
      <w:pPr>
        <w:rPr>
          <w:rFonts w:ascii="Microsoft Sans Serif" w:hAnsi="Microsoft Sans Serif" w:cs="Microsoft Sans Serif"/>
          <w:bCs/>
          <w:sz w:val="20"/>
          <w:szCs w:val="20"/>
          <w:u w:val="single"/>
          <w:lang w:val="sr-Latn-RS"/>
        </w:rPr>
      </w:pPr>
    </w:p>
    <w:p w14:paraId="4EBD2C41">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Latn-RS"/>
        </w:rPr>
        <w:t>Limfoidna blastna faza HML i Ph+ ALL</w:t>
      </w:r>
    </w:p>
    <w:p w14:paraId="0A7B04A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S</w:t>
      </w:r>
      <w:r>
        <w:rPr>
          <w:rFonts w:ascii="Microsoft Sans Serif" w:hAnsi="Microsoft Sans Serif" w:cs="Microsoft Sans Serif"/>
          <w:bCs/>
          <w:sz w:val="20"/>
          <w:szCs w:val="20"/>
          <w:lang w:val="sr-Cyrl-RS"/>
        </w:rPr>
        <w:t>proveden</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je</w:t>
      </w:r>
      <w:r>
        <w:rPr>
          <w:rFonts w:ascii="Microsoft Sans Serif" w:hAnsi="Microsoft Sans Serif" w:cs="Microsoft Sans Serif"/>
          <w:bCs/>
          <w:sz w:val="20"/>
          <w:szCs w:val="20"/>
        </w:rPr>
        <w:t xml:space="preserve"> jedna multicentri</w:t>
      </w:r>
      <w:r>
        <w:rPr>
          <w:rFonts w:ascii="Microsoft Sans Serif" w:hAnsi="Microsoft Sans Serif" w:cs="Microsoft Sans Serif"/>
          <w:bCs/>
          <w:sz w:val="20"/>
          <w:szCs w:val="20"/>
          <w:lang w:val="hr-BA"/>
        </w:rPr>
        <w:t xml:space="preserve">čna, otvorena studija na jednoj grupi </w:t>
      </w:r>
      <w:r>
        <w:rPr>
          <w:rFonts w:ascii="Microsoft Sans Serif" w:hAnsi="Microsoft Sans Serif" w:cs="Microsoft Sans Serif"/>
          <w:bCs/>
          <w:sz w:val="20"/>
          <w:szCs w:val="20"/>
          <w:lang w:val="sr-Cyrl-RS"/>
        </w:rPr>
        <w:t xml:space="preserve">pacijenata </w:t>
      </w:r>
      <w:r>
        <w:rPr>
          <w:rFonts w:ascii="Microsoft Sans Serif" w:hAnsi="Microsoft Sans Serif" w:cs="Microsoft Sans Serif"/>
          <w:bCs/>
          <w:sz w:val="20"/>
          <w:szCs w:val="20"/>
          <w:lang w:val="hr-BA"/>
        </w:rPr>
        <w:t xml:space="preserve">u limfoidnoj blastnj krizi HML ili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ALL</w:t>
      </w:r>
      <w:r>
        <w:rPr>
          <w:rFonts w:ascii="Microsoft Sans Serif" w:hAnsi="Microsoft Sans Serif" w:cs="Microsoft Sans Serif"/>
          <w:bCs/>
          <w:sz w:val="20"/>
          <w:szCs w:val="20"/>
          <w:lang w:val="sr-Cyrl-RS"/>
        </w:rPr>
        <w:t xml:space="preserve"> koji su rezistentni ili su intolerantni na prethodnu terpiju imatinibom. </w:t>
      </w:r>
      <w:r>
        <w:rPr>
          <w:rFonts w:ascii="Microsoft Sans Serif" w:hAnsi="Microsoft Sans Serif" w:cs="Microsoft Sans Serif"/>
          <w:bCs/>
          <w:sz w:val="20"/>
          <w:szCs w:val="20"/>
          <w:lang w:val="hr-BA"/>
        </w:rPr>
        <w:t>Ukupno 48 pacijenata u limfoidnoj blastnoj fazi HML primalo je dasatnib u dozi od 70 mg dva puta dnevno (42 je bilo rezistentno i 6 intolerantno na imatinib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Medijana vremena od dijagnoze do po</w:t>
      </w:r>
      <w:r>
        <w:rPr>
          <w:rFonts w:ascii="Microsoft Sans Serif" w:hAnsi="Microsoft Sans Serif" w:cs="Microsoft Sans Serif"/>
          <w:bCs/>
          <w:sz w:val="20"/>
          <w:szCs w:val="20"/>
          <w:lang w:val="hr-BA"/>
        </w:rPr>
        <w:t xml:space="preserve">četka terapije iznosila je 28 mjeseci. Medijana trajanje terapije dasatinibom iznosila je 3 mjeseca, s tim što je do tada 2% pacijenata bilo liječeno </w:t>
      </w:r>
      <w:r>
        <w:rPr>
          <w:rFonts w:ascii="Microsoft Sans Serif" w:hAnsi="Microsoft Sans Serif" w:cs="Microsoft Sans Serif"/>
          <w:bCs/>
          <w:sz w:val="20"/>
          <w:szCs w:val="20"/>
          <w:lang w:val="sr-Latn-RS"/>
        </w:rPr>
        <w:t>&gt;24 mjeseca. Stopa značajnog molekularnog odgovora (svih 22 lije</w:t>
      </w:r>
      <w:r>
        <w:rPr>
          <w:rFonts w:ascii="Microsoft Sans Serif" w:hAnsi="Microsoft Sans Serif" w:cs="Microsoft Sans Serif"/>
          <w:bCs/>
          <w:sz w:val="20"/>
          <w:szCs w:val="20"/>
          <w:lang w:val="hr-BA"/>
        </w:rPr>
        <w:t>č</w:t>
      </w:r>
      <w:r>
        <w:rPr>
          <w:rFonts w:ascii="Microsoft Sans Serif" w:hAnsi="Microsoft Sans Serif" w:cs="Microsoft Sans Serif"/>
          <w:bCs/>
          <w:sz w:val="20"/>
          <w:szCs w:val="20"/>
          <w:lang w:val="sr-Latn-RS"/>
        </w:rPr>
        <w:t xml:space="preserve">enih pacijenata sa potpunim citogenetskom odgovorom) iznosila je 50% nakon 24 mjeseca. </w:t>
      </w:r>
      <w:r>
        <w:rPr>
          <w:rFonts w:ascii="Microsoft Sans Serif" w:hAnsi="Microsoft Sans Serif" w:cs="Microsoft Sans Serif"/>
          <w:bCs/>
          <w:sz w:val="20"/>
          <w:szCs w:val="20"/>
          <w:lang w:val="hr-BA"/>
        </w:rPr>
        <w:t>Takođe,</w:t>
      </w:r>
      <w:r>
        <w:rPr>
          <w:rFonts w:ascii="Microsoft Sans Serif" w:hAnsi="Microsoft Sans Serif" w:cs="Microsoft Sans Serif"/>
          <w:bCs/>
          <w:sz w:val="20"/>
          <w:szCs w:val="20"/>
          <w:lang w:val="sr-Cyrl-RS"/>
        </w:rPr>
        <w:t xml:space="preserve"> 46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prim</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r-Cyrl-RS"/>
        </w:rPr>
        <w:t>lo je dasatinib u dozi od 70 mg dva puta dnevno (44 sa rezistencijom i 2 sa intolerancijom na imatinib). Medijana vremena od dijagnoze do početka liječenja iznosila je 18 mjeseci. Medijana trajanja liječenja dasatinibom iznosila je 3 mjeseca s tim da je do tada 7% pacijenata bilo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ečeno &gt;24 mjeseca. Stopa značajnog mol</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kularnog odgovora (svih 25 liječenih pacijenata sa potpunim citogenetskim odgovorom) iznosila je 52% posl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24 mjeseca.</w:t>
      </w:r>
      <w:r>
        <w:rPr>
          <w:rFonts w:ascii="Microsoft Sans Serif" w:hAnsi="Microsoft Sans Serif" w:cs="Microsoft Sans Serif"/>
          <w:bCs/>
          <w:sz w:val="20"/>
          <w:szCs w:val="20"/>
          <w:lang w:val="hr-BA"/>
        </w:rPr>
        <w:t xml:space="preserve"> Dalji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r</w:t>
      </w:r>
      <w:r>
        <w:rPr>
          <w:rFonts w:ascii="Microsoft Sans Serif" w:hAnsi="Microsoft Sans Serif" w:cs="Microsoft Sans Serif"/>
          <w:bCs/>
          <w:sz w:val="20"/>
          <w:szCs w:val="20"/>
          <w:lang w:val="sr-Cyrl-RS"/>
        </w:rPr>
        <w:t xml:space="preserve">ezultati efikasnosti prikazani su u Tabeli </w:t>
      </w:r>
      <w:r>
        <w:rPr>
          <w:rFonts w:ascii="Microsoft Sans Serif" w:hAnsi="Microsoft Sans Serif" w:cs="Microsoft Sans Serif"/>
          <w:bCs/>
          <w:sz w:val="20"/>
          <w:szCs w:val="20"/>
          <w:lang w:val="sr-Latn-RS"/>
        </w:rPr>
        <w:t>11</w:t>
      </w:r>
      <w:r>
        <w:rPr>
          <w:rFonts w:ascii="Microsoft Sans Serif" w:hAnsi="Microsoft Sans Serif" w:cs="Microsoft Sans Serif"/>
          <w:bCs/>
          <w:sz w:val="20"/>
          <w:szCs w:val="20"/>
          <w:lang w:val="sr-Cyrl-RS"/>
        </w:rPr>
        <w:t>. Treba napomenuti da je značajan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hematološki odgovor (engl. </w:t>
      </w:r>
      <w:r>
        <w:rPr>
          <w:rFonts w:ascii="Microsoft Sans Serif" w:hAnsi="Microsoft Sans Serif" w:cs="Microsoft Sans Serif"/>
          <w:bCs/>
          <w:i/>
          <w:sz w:val="20"/>
          <w:szCs w:val="20"/>
          <w:lang w:val="sr-Cyrl-RS"/>
        </w:rPr>
        <w:t>major hematologic response, MaHR</w:t>
      </w:r>
      <w:r>
        <w:rPr>
          <w:rFonts w:ascii="Microsoft Sans Serif" w:hAnsi="Microsoft Sans Serif" w:cs="Microsoft Sans Serif"/>
          <w:bCs/>
          <w:sz w:val="20"/>
          <w:szCs w:val="20"/>
          <w:lang w:val="sr-Cyrl-RS"/>
        </w:rPr>
        <w:t>) brzo dostignut (uglavnom u roku od 35</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dana od prve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ene dasatiniba kod pacijenata sa HML u limfocitnoj blastnoj fazi i u roku od 55 dana kod</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pacijenata sa Ph+ ALL).</w:t>
      </w:r>
    </w:p>
    <w:p w14:paraId="2AE9C44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b/>
      </w:r>
    </w:p>
    <w:p w14:paraId="651C9FF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RS"/>
        </w:rPr>
        <w:t>Tabela 11</w:t>
      </w:r>
      <w:r>
        <w:rPr>
          <w:rFonts w:ascii="Microsoft Sans Serif" w:hAnsi="Microsoft Sans Serif" w:cs="Microsoft Sans Serif"/>
          <w:b/>
          <w:bCs/>
          <w:sz w:val="20"/>
          <w:szCs w:val="20"/>
          <w:lang w:val="sr-Cyrl-RS"/>
        </w:rPr>
        <w:t>: Efikasnost dasatiniba u fazi</w:t>
      </w:r>
      <w:r>
        <w:rPr>
          <w:rFonts w:ascii="Microsoft Sans Serif" w:hAnsi="Microsoft Sans Serif" w:cs="Microsoft Sans Serif"/>
          <w:b/>
          <w:bCs/>
          <w:sz w:val="20"/>
          <w:szCs w:val="20"/>
          <w:lang w:val="sr-Latn-RS"/>
        </w:rPr>
        <w:t xml:space="preserve"> II </w:t>
      </w:r>
      <w:r>
        <w:rPr>
          <w:rFonts w:ascii="Microsoft Sans Serif" w:hAnsi="Microsoft Sans Serif" w:cs="Microsoft Sans Serif"/>
          <w:b/>
          <w:bCs/>
          <w:sz w:val="20"/>
          <w:szCs w:val="20"/>
          <w:lang w:val="sr-Cyrl-RS"/>
        </w:rPr>
        <w:t>kliničkih ispitivanja u jednoj grupi</w:t>
      </w:r>
      <w:r>
        <w:rPr>
          <w:rFonts w:ascii="Microsoft Sans Serif" w:hAnsi="Microsoft Sans Serif" w:cs="Microsoft Sans Serif"/>
          <w:b/>
          <w:bCs/>
          <w:sz w:val="20"/>
          <w:szCs w:val="20"/>
          <w:vertAlign w:val="superscript"/>
          <w:lang w:val="sr-Cyrl-RS"/>
        </w:rPr>
        <w:t>a</w:t>
      </w:r>
    </w:p>
    <w:tbl>
      <w:tblPr>
        <w:tblStyle w:val="12"/>
        <w:tblW w:w="0" w:type="auto"/>
        <w:tblInd w:w="0" w:type="dxa"/>
        <w:tblLayout w:type="autofit"/>
        <w:tblCellMar>
          <w:top w:w="0" w:type="dxa"/>
          <w:left w:w="108" w:type="dxa"/>
          <w:bottom w:w="0" w:type="dxa"/>
          <w:right w:w="108" w:type="dxa"/>
        </w:tblCellMar>
      </w:tblPr>
      <w:tblGrid>
        <w:gridCol w:w="2134"/>
        <w:gridCol w:w="1376"/>
        <w:gridCol w:w="1376"/>
        <w:gridCol w:w="1430"/>
        <w:gridCol w:w="1394"/>
        <w:gridCol w:w="1377"/>
      </w:tblGrid>
      <w:tr w14:paraId="11D46758">
        <w:tblPrEx>
          <w:tblCellMar>
            <w:top w:w="0" w:type="dxa"/>
            <w:left w:w="108" w:type="dxa"/>
            <w:bottom w:w="0" w:type="dxa"/>
            <w:right w:w="108" w:type="dxa"/>
          </w:tblCellMar>
        </w:tblPrEx>
        <w:tc>
          <w:tcPr>
            <w:tcW w:w="2134" w:type="dxa"/>
            <w:tcBorders>
              <w:top w:val="single" w:color="auto" w:sz="2" w:space="0"/>
              <w:bottom w:val="single" w:color="auto" w:sz="2" w:space="0"/>
            </w:tcBorders>
            <w:shd w:val="clear" w:color="auto" w:fill="auto"/>
          </w:tcPr>
          <w:p w14:paraId="1D9DD05C">
            <w:pPr>
              <w:widowControl w:val="0"/>
              <w:spacing w:line="276" w:lineRule="auto"/>
              <w:rPr>
                <w:rFonts w:ascii="Microsoft Sans Serif" w:hAnsi="Microsoft Sans Serif" w:eastAsia="Calibri" w:cs="Microsoft Sans Serif"/>
                <w:bCs/>
                <w:w w:val="101"/>
                <w:position w:val="7"/>
                <w:sz w:val="20"/>
                <w:szCs w:val="20"/>
              </w:rPr>
            </w:pPr>
          </w:p>
        </w:tc>
        <w:tc>
          <w:tcPr>
            <w:tcW w:w="1376" w:type="dxa"/>
            <w:tcBorders>
              <w:top w:val="single" w:color="auto" w:sz="2" w:space="0"/>
              <w:bottom w:val="single" w:color="auto" w:sz="2" w:space="0"/>
            </w:tcBorders>
            <w:shd w:val="clear" w:color="auto" w:fill="auto"/>
          </w:tcPr>
          <w:p w14:paraId="4A4F17FD">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Hroni</w:t>
            </w:r>
            <w:r>
              <w:rPr>
                <w:rFonts w:ascii="Microsoft Sans Serif" w:hAnsi="Microsoft Sans Serif" w:eastAsia="Calibri" w:cs="Microsoft Sans Serif"/>
                <w:b/>
                <w:sz w:val="20"/>
                <w:szCs w:val="20"/>
                <w:lang w:val="hr-BA"/>
              </w:rPr>
              <w:t>čna</w:t>
            </w:r>
            <w:r>
              <w:rPr>
                <w:rFonts w:ascii="Microsoft Sans Serif" w:hAnsi="Microsoft Sans Serif" w:eastAsia="Calibri" w:cs="Microsoft Sans Serif"/>
                <w:b/>
                <w:sz w:val="20"/>
                <w:szCs w:val="20"/>
              </w:rPr>
              <w:t xml:space="preserve"> </w:t>
            </w:r>
          </w:p>
          <w:p w14:paraId="575812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387)</w:t>
            </w:r>
          </w:p>
        </w:tc>
        <w:tc>
          <w:tcPr>
            <w:tcW w:w="1376" w:type="dxa"/>
            <w:tcBorders>
              <w:top w:val="single" w:color="auto" w:sz="2" w:space="0"/>
              <w:bottom w:val="single" w:color="auto" w:sz="2" w:space="0"/>
            </w:tcBorders>
            <w:shd w:val="clear" w:color="auto" w:fill="auto"/>
          </w:tcPr>
          <w:p w14:paraId="68BAB347">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Ubrzana</w:t>
            </w:r>
            <w:r>
              <w:rPr>
                <w:rFonts w:ascii="Microsoft Sans Serif" w:hAnsi="Microsoft Sans Serif" w:eastAsia="Calibri" w:cs="Microsoft Sans Serif"/>
                <w:b/>
                <w:sz w:val="20"/>
                <w:szCs w:val="20"/>
              </w:rPr>
              <w:t xml:space="preserve"> (n= 174)</w:t>
            </w:r>
          </w:p>
        </w:tc>
        <w:tc>
          <w:tcPr>
            <w:tcW w:w="1430" w:type="dxa"/>
            <w:tcBorders>
              <w:top w:val="single" w:color="auto" w:sz="2" w:space="0"/>
              <w:bottom w:val="single" w:color="auto" w:sz="2" w:space="0"/>
            </w:tcBorders>
            <w:shd w:val="clear" w:color="auto" w:fill="auto"/>
          </w:tcPr>
          <w:p w14:paraId="5D7C8A1A">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Mijeloidna blastna</w:t>
            </w:r>
          </w:p>
          <w:p w14:paraId="0DCAE31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109)</w:t>
            </w:r>
          </w:p>
        </w:tc>
        <w:tc>
          <w:tcPr>
            <w:tcW w:w="1394" w:type="dxa"/>
            <w:tcBorders>
              <w:top w:val="single" w:color="auto" w:sz="2" w:space="0"/>
              <w:bottom w:val="single" w:color="auto" w:sz="2" w:space="0"/>
            </w:tcBorders>
            <w:shd w:val="clear" w:color="auto" w:fill="auto"/>
          </w:tcPr>
          <w:p w14:paraId="3B767C17">
            <w:pPr>
              <w:widowControl w:val="0"/>
              <w:spacing w:line="276" w:lineRule="auto"/>
              <w:rPr>
                <w:rFonts w:ascii="Microsoft Sans Serif" w:hAnsi="Microsoft Sans Serif" w:eastAsia="Calibri" w:cs="Microsoft Sans Serif"/>
                <w:b/>
                <w:sz w:val="20"/>
                <w:szCs w:val="20"/>
                <w:lang w:val="hr-BA"/>
              </w:rPr>
            </w:pPr>
            <w:r>
              <w:rPr>
                <w:rFonts w:ascii="Microsoft Sans Serif" w:hAnsi="Microsoft Sans Serif" w:eastAsia="Calibri" w:cs="Microsoft Sans Serif"/>
                <w:b/>
                <w:sz w:val="20"/>
                <w:szCs w:val="20"/>
                <w:lang w:val="hr-BA"/>
              </w:rPr>
              <w:t xml:space="preserve">Limfidna blastna </w:t>
            </w:r>
          </w:p>
          <w:p w14:paraId="4B83419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(n= 48)</w:t>
            </w:r>
          </w:p>
        </w:tc>
        <w:tc>
          <w:tcPr>
            <w:tcW w:w="1377" w:type="dxa"/>
            <w:tcBorders>
              <w:top w:val="single" w:color="auto" w:sz="2" w:space="0"/>
              <w:bottom w:val="single" w:color="auto" w:sz="2" w:space="0"/>
            </w:tcBorders>
            <w:shd w:val="clear" w:color="auto" w:fill="auto"/>
          </w:tcPr>
          <w:p w14:paraId="05772EE5">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 ALL </w:t>
            </w:r>
          </w:p>
          <w:p w14:paraId="484ECB27">
            <w:pPr>
              <w:widowControl w:val="0"/>
              <w:spacing w:line="276" w:lineRule="auto"/>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46)</w:t>
            </w:r>
          </w:p>
        </w:tc>
      </w:tr>
      <w:tr w14:paraId="7612658C">
        <w:tblPrEx>
          <w:tblCellMar>
            <w:top w:w="0" w:type="dxa"/>
            <w:left w:w="108" w:type="dxa"/>
            <w:bottom w:w="0" w:type="dxa"/>
            <w:right w:w="108" w:type="dxa"/>
          </w:tblCellMar>
        </w:tblPrEx>
        <w:tc>
          <w:tcPr>
            <w:tcW w:w="9087" w:type="dxa"/>
            <w:gridSpan w:val="6"/>
            <w:tcBorders>
              <w:top w:val="single" w:color="auto" w:sz="2" w:space="0"/>
            </w:tcBorders>
            <w:shd w:val="clear" w:color="auto" w:fill="auto"/>
          </w:tcPr>
          <w:p w14:paraId="1C8D5C15">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lang w:val="hr-BA"/>
              </w:rPr>
              <w:t>Stopa hematološkog odgovora</w:t>
            </w:r>
            <w:r>
              <w:rPr>
                <w:rFonts w:ascii="Microsoft Sans Serif" w:hAnsi="Microsoft Sans Serif" w:eastAsia="Calibri" w:cs="Microsoft Sans Serif"/>
                <w:b/>
                <w:sz w:val="20"/>
                <w:szCs w:val="20"/>
              </w:rPr>
              <w:t xml:space="preserve"> </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w:t>
            </w:r>
          </w:p>
        </w:tc>
      </w:tr>
      <w:tr w14:paraId="4B2CEC3B">
        <w:tblPrEx>
          <w:tblCellMar>
            <w:top w:w="0" w:type="dxa"/>
            <w:left w:w="108" w:type="dxa"/>
            <w:bottom w:w="0" w:type="dxa"/>
            <w:right w:w="108" w:type="dxa"/>
          </w:tblCellMar>
        </w:tblPrEx>
        <w:tc>
          <w:tcPr>
            <w:tcW w:w="2134" w:type="dxa"/>
            <w:tcBorders>
              <w:top w:val="single" w:color="auto" w:sz="2" w:space="0"/>
            </w:tcBorders>
            <w:shd w:val="clear" w:color="auto" w:fill="auto"/>
          </w:tcPr>
          <w:p w14:paraId="3ACE967C">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MaHR (95% CI)</w:t>
            </w:r>
          </w:p>
        </w:tc>
        <w:tc>
          <w:tcPr>
            <w:tcW w:w="1376" w:type="dxa"/>
            <w:tcBorders>
              <w:top w:val="single" w:color="auto" w:sz="2" w:space="0"/>
            </w:tcBorders>
            <w:shd w:val="clear" w:color="auto" w:fill="auto"/>
          </w:tcPr>
          <w:p w14:paraId="226FD8C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tcBorders>
              <w:top w:val="single" w:color="auto" w:sz="2" w:space="0"/>
            </w:tcBorders>
            <w:shd w:val="clear" w:color="auto" w:fill="auto"/>
          </w:tcPr>
          <w:p w14:paraId="37DD34CC">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64% (57-72)</w:t>
            </w:r>
          </w:p>
        </w:tc>
        <w:tc>
          <w:tcPr>
            <w:tcW w:w="1430" w:type="dxa"/>
            <w:tcBorders>
              <w:top w:val="single" w:color="auto" w:sz="2" w:space="0"/>
            </w:tcBorders>
            <w:shd w:val="clear" w:color="auto" w:fill="auto"/>
          </w:tcPr>
          <w:p w14:paraId="3C3F4768">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33% (24-43)</w:t>
            </w:r>
          </w:p>
        </w:tc>
        <w:tc>
          <w:tcPr>
            <w:tcW w:w="1394" w:type="dxa"/>
            <w:tcBorders>
              <w:top w:val="single" w:color="auto" w:sz="2" w:space="0"/>
            </w:tcBorders>
            <w:shd w:val="clear" w:color="auto" w:fill="auto"/>
          </w:tcPr>
          <w:p w14:paraId="62A33DB1">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35% (22-51)</w:t>
            </w:r>
          </w:p>
        </w:tc>
        <w:tc>
          <w:tcPr>
            <w:tcW w:w="1377" w:type="dxa"/>
            <w:tcBorders>
              <w:top w:val="single" w:color="auto" w:sz="2" w:space="0"/>
            </w:tcBorders>
            <w:shd w:val="clear" w:color="auto" w:fill="auto"/>
          </w:tcPr>
          <w:p w14:paraId="2B82922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41% (27-57)</w:t>
            </w:r>
          </w:p>
        </w:tc>
      </w:tr>
      <w:tr w14:paraId="67356C01">
        <w:tblPrEx>
          <w:tblCellMar>
            <w:top w:w="0" w:type="dxa"/>
            <w:left w:w="108" w:type="dxa"/>
            <w:bottom w:w="0" w:type="dxa"/>
            <w:right w:w="108" w:type="dxa"/>
          </w:tblCellMar>
        </w:tblPrEx>
        <w:tc>
          <w:tcPr>
            <w:tcW w:w="2134" w:type="dxa"/>
            <w:shd w:val="clear" w:color="auto" w:fill="auto"/>
          </w:tcPr>
          <w:p w14:paraId="156F71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CHR (95% CI)</w:t>
            </w:r>
          </w:p>
        </w:tc>
        <w:tc>
          <w:tcPr>
            <w:tcW w:w="1376" w:type="dxa"/>
            <w:shd w:val="clear" w:color="auto" w:fill="auto"/>
          </w:tcPr>
          <w:p w14:paraId="6F4FA1A2">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91% (88-94)</w:t>
            </w:r>
          </w:p>
        </w:tc>
        <w:tc>
          <w:tcPr>
            <w:tcW w:w="1376" w:type="dxa"/>
            <w:shd w:val="clear" w:color="auto" w:fill="auto"/>
          </w:tcPr>
          <w:p w14:paraId="5CF8B55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50% (42-58)</w:t>
            </w:r>
          </w:p>
        </w:tc>
        <w:tc>
          <w:tcPr>
            <w:tcW w:w="1430" w:type="dxa"/>
            <w:shd w:val="clear" w:color="auto" w:fill="auto"/>
          </w:tcPr>
          <w:p w14:paraId="4C52B82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26% (18-35)</w:t>
            </w:r>
          </w:p>
        </w:tc>
        <w:tc>
          <w:tcPr>
            <w:tcW w:w="1394" w:type="dxa"/>
            <w:shd w:val="clear" w:color="auto" w:fill="auto"/>
          </w:tcPr>
          <w:p w14:paraId="1C709F2B">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29% (17-44)</w:t>
            </w:r>
          </w:p>
        </w:tc>
        <w:tc>
          <w:tcPr>
            <w:tcW w:w="1377" w:type="dxa"/>
            <w:shd w:val="clear" w:color="auto" w:fill="auto"/>
          </w:tcPr>
          <w:p w14:paraId="2797020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35% (21-50)</w:t>
            </w:r>
          </w:p>
        </w:tc>
      </w:tr>
      <w:tr w14:paraId="5053BA66">
        <w:tblPrEx>
          <w:tblCellMar>
            <w:top w:w="0" w:type="dxa"/>
            <w:left w:w="108" w:type="dxa"/>
            <w:bottom w:w="0" w:type="dxa"/>
            <w:right w:w="108" w:type="dxa"/>
          </w:tblCellMar>
        </w:tblPrEx>
        <w:tc>
          <w:tcPr>
            <w:tcW w:w="2134" w:type="dxa"/>
            <w:shd w:val="clear" w:color="auto" w:fill="auto"/>
          </w:tcPr>
          <w:p w14:paraId="077D5BA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NEL (95% CI)</w:t>
            </w:r>
          </w:p>
        </w:tc>
        <w:tc>
          <w:tcPr>
            <w:tcW w:w="1376" w:type="dxa"/>
            <w:shd w:val="clear" w:color="auto" w:fill="auto"/>
          </w:tcPr>
          <w:p w14:paraId="6F32B23E">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n/a</w:t>
            </w:r>
          </w:p>
        </w:tc>
        <w:tc>
          <w:tcPr>
            <w:tcW w:w="1376" w:type="dxa"/>
            <w:shd w:val="clear" w:color="auto" w:fill="auto"/>
          </w:tcPr>
          <w:p w14:paraId="06ECEFC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w:t>
            </w:r>
            <w:r>
              <w:rPr>
                <w:rFonts w:ascii="Microsoft Sans Serif" w:hAnsi="Microsoft Sans Serif" w:eastAsia="Calibri" w:cs="Microsoft Sans Serif"/>
                <w:spacing w:val="13"/>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0-21)</w:t>
            </w:r>
            <w:r>
              <w:rPr>
                <w:rFonts w:ascii="Microsoft Sans Serif" w:hAnsi="Microsoft Sans Serif" w:eastAsia="Calibri" w:cs="Microsoft Sans Serif"/>
                <w:spacing w:val="-32"/>
                <w:sz w:val="20"/>
                <w:szCs w:val="20"/>
              </w:rPr>
              <w:t xml:space="preserve"> </w:t>
            </w:r>
          </w:p>
        </w:tc>
        <w:tc>
          <w:tcPr>
            <w:tcW w:w="1430" w:type="dxa"/>
            <w:shd w:val="clear" w:color="auto" w:fill="auto"/>
          </w:tcPr>
          <w:p w14:paraId="4AB79DD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10"/>
                <w:sz w:val="20"/>
                <w:szCs w:val="20"/>
              </w:rPr>
              <w:t xml:space="preserve"> </w:t>
            </w:r>
            <w:r>
              <w:rPr>
                <w:rFonts w:ascii="Microsoft Sans Serif" w:hAnsi="Microsoft Sans Serif" w:eastAsia="Calibri" w:cs="Microsoft Sans Serif"/>
                <w:sz w:val="20"/>
                <w:szCs w:val="20"/>
              </w:rPr>
              <w:t>(3-1</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94" w:type="dxa"/>
            <w:shd w:val="clear" w:color="auto" w:fill="auto"/>
          </w:tcPr>
          <w:p w14:paraId="012F9801">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(1-1</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w:t>
            </w:r>
            <w:r>
              <w:rPr>
                <w:rFonts w:ascii="Microsoft Sans Serif" w:hAnsi="Microsoft Sans Serif" w:eastAsia="Calibri" w:cs="Microsoft Sans Serif"/>
                <w:spacing w:val="-35"/>
                <w:sz w:val="20"/>
                <w:szCs w:val="20"/>
              </w:rPr>
              <w:t xml:space="preserve"> </w:t>
            </w:r>
          </w:p>
        </w:tc>
        <w:tc>
          <w:tcPr>
            <w:tcW w:w="1377" w:type="dxa"/>
            <w:shd w:val="clear" w:color="auto" w:fill="auto"/>
          </w:tcPr>
          <w:p w14:paraId="19E70F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w w:val="103"/>
                <w:sz w:val="20"/>
                <w:szCs w:val="20"/>
              </w:rPr>
              <w:t>(1-1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tc>
      </w:tr>
      <w:tr w14:paraId="4B36034F">
        <w:tblPrEx>
          <w:tblCellMar>
            <w:top w:w="0" w:type="dxa"/>
            <w:left w:w="108" w:type="dxa"/>
            <w:bottom w:w="0" w:type="dxa"/>
            <w:right w:w="108" w:type="dxa"/>
          </w:tblCellMar>
        </w:tblPrEx>
        <w:tc>
          <w:tcPr>
            <w:tcW w:w="9087" w:type="dxa"/>
            <w:gridSpan w:val="6"/>
            <w:shd w:val="clear" w:color="auto" w:fill="auto"/>
          </w:tcPr>
          <w:p w14:paraId="3722C03F">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lang w:val="hr-BA"/>
              </w:rPr>
              <w:t>Trajanje</w:t>
            </w:r>
            <w:r>
              <w:rPr>
                <w:rFonts w:ascii="Microsoft Sans Serif" w:hAnsi="Microsoft Sans Serif" w:eastAsia="Calibri" w:cs="Microsoft Sans Serif"/>
                <w:bCs/>
                <w:w w:val="101"/>
                <w:position w:val="7"/>
                <w:sz w:val="20"/>
                <w:szCs w:val="20"/>
              </w:rPr>
              <w:t xml:space="preserve"> MaHR (%; procjene po</w:t>
            </w:r>
            <w:r>
              <w:rPr>
                <w:rFonts w:ascii="Microsoft Sans Serif" w:hAnsi="Microsoft Sans Serif" w:eastAsia="Calibri" w:cs="Microsoft Sans Serif"/>
                <w:bCs/>
                <w:w w:val="101"/>
                <w:position w:val="7"/>
                <w:sz w:val="20"/>
                <w:szCs w:val="20"/>
                <w:lang w:val="sr-Cyrl-RS"/>
              </w:rPr>
              <w:t xml:space="preserve"> </w:t>
            </w:r>
            <w:r>
              <w:rPr>
                <w:rFonts w:ascii="Microsoft Sans Serif" w:hAnsi="Microsoft Sans Serif" w:eastAsia="Calibri" w:cs="Microsoft Sans Serif"/>
                <w:bCs/>
                <w:w w:val="101"/>
                <w:position w:val="7"/>
                <w:sz w:val="20"/>
                <w:szCs w:val="20"/>
              </w:rPr>
              <w:t>Kaplan-Meier-u)</w:t>
            </w:r>
          </w:p>
        </w:tc>
      </w:tr>
      <w:tr w14:paraId="5FE04403">
        <w:tblPrEx>
          <w:tblCellMar>
            <w:top w:w="0" w:type="dxa"/>
            <w:left w:w="108" w:type="dxa"/>
            <w:bottom w:w="0" w:type="dxa"/>
            <w:right w:w="108" w:type="dxa"/>
          </w:tblCellMar>
        </w:tblPrEx>
        <w:tc>
          <w:tcPr>
            <w:tcW w:w="2134" w:type="dxa"/>
            <w:shd w:val="clear" w:color="auto" w:fill="auto"/>
          </w:tcPr>
          <w:p w14:paraId="7229C00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46B957B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shd w:val="clear" w:color="auto" w:fill="auto"/>
          </w:tcPr>
          <w:p w14:paraId="4F67BD4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79% (71-87)</w:t>
            </w:r>
          </w:p>
        </w:tc>
        <w:tc>
          <w:tcPr>
            <w:tcW w:w="1430" w:type="dxa"/>
            <w:shd w:val="clear" w:color="auto" w:fill="auto"/>
          </w:tcPr>
          <w:p w14:paraId="59D65CC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71% (55-87)</w:t>
            </w:r>
          </w:p>
        </w:tc>
        <w:tc>
          <w:tcPr>
            <w:tcW w:w="1394" w:type="dxa"/>
            <w:shd w:val="clear" w:color="auto" w:fill="auto"/>
          </w:tcPr>
          <w:p w14:paraId="0FB16F3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29% (3-56)</w:t>
            </w:r>
          </w:p>
        </w:tc>
        <w:tc>
          <w:tcPr>
            <w:tcW w:w="1377" w:type="dxa"/>
            <w:shd w:val="clear" w:color="auto" w:fill="auto"/>
          </w:tcPr>
          <w:p w14:paraId="2505858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32% (8-56)</w:t>
            </w:r>
          </w:p>
        </w:tc>
      </w:tr>
      <w:tr w14:paraId="7A313EF8">
        <w:tblPrEx>
          <w:tblCellMar>
            <w:top w:w="0" w:type="dxa"/>
            <w:left w:w="108" w:type="dxa"/>
            <w:bottom w:w="0" w:type="dxa"/>
            <w:right w:w="108" w:type="dxa"/>
          </w:tblCellMar>
        </w:tblPrEx>
        <w:tc>
          <w:tcPr>
            <w:tcW w:w="2134" w:type="dxa"/>
            <w:tcBorders>
              <w:bottom w:val="single" w:color="auto" w:sz="2" w:space="0"/>
            </w:tcBorders>
            <w:shd w:val="clear" w:color="auto" w:fill="auto"/>
          </w:tcPr>
          <w:p w14:paraId="399E1B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01876EB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n/a</w:t>
            </w:r>
          </w:p>
        </w:tc>
        <w:tc>
          <w:tcPr>
            <w:tcW w:w="1376" w:type="dxa"/>
            <w:tcBorders>
              <w:bottom w:val="single" w:color="auto" w:sz="2" w:space="0"/>
            </w:tcBorders>
            <w:shd w:val="clear" w:color="auto" w:fill="auto"/>
          </w:tcPr>
          <w:p w14:paraId="43B02D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60% (50-70)</w:t>
            </w:r>
          </w:p>
        </w:tc>
        <w:tc>
          <w:tcPr>
            <w:tcW w:w="1430" w:type="dxa"/>
            <w:tcBorders>
              <w:bottom w:val="single" w:color="auto" w:sz="2" w:space="0"/>
            </w:tcBorders>
            <w:shd w:val="clear" w:color="auto" w:fill="auto"/>
          </w:tcPr>
          <w:p w14:paraId="58C9276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41% (21-60)</w:t>
            </w:r>
          </w:p>
        </w:tc>
        <w:tc>
          <w:tcPr>
            <w:tcW w:w="1394" w:type="dxa"/>
            <w:tcBorders>
              <w:bottom w:val="single" w:color="auto" w:sz="2" w:space="0"/>
            </w:tcBorders>
            <w:shd w:val="clear" w:color="auto" w:fill="auto"/>
          </w:tcPr>
          <w:p w14:paraId="37FA28F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10% (0-28)</w:t>
            </w:r>
          </w:p>
        </w:tc>
        <w:tc>
          <w:tcPr>
            <w:tcW w:w="1377" w:type="dxa"/>
            <w:shd w:val="clear" w:color="auto" w:fill="auto"/>
          </w:tcPr>
          <w:p w14:paraId="130321B8">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24% (2-47)</w:t>
            </w:r>
          </w:p>
        </w:tc>
      </w:tr>
      <w:tr w14:paraId="7D6FF498">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4E49B9F6">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bCs/>
                <w:w w:val="101"/>
                <w:position w:val="7"/>
                <w:sz w:val="20"/>
                <w:szCs w:val="20"/>
                <w:lang w:val="hr-BA"/>
              </w:rPr>
              <w:t>Citogenetski odgovor</w:t>
            </w:r>
            <w:r>
              <w:rPr>
                <w:rFonts w:ascii="Microsoft Sans Serif" w:hAnsi="Microsoft Sans Serif" w:eastAsia="Calibri" w:cs="Microsoft Sans Serif"/>
                <w:b/>
                <w:bCs/>
                <w:w w:val="101"/>
                <w:position w:val="7"/>
                <w:sz w:val="20"/>
                <w:szCs w:val="20"/>
              </w:rPr>
              <w:t xml:space="preserve"> </w:t>
            </w:r>
            <w:r>
              <w:rPr>
                <w:rFonts w:ascii="Microsoft Sans Serif" w:hAnsi="Microsoft Sans Serif" w:eastAsia="Calibri" w:cs="Microsoft Sans Serif"/>
                <w:b/>
                <w:bCs/>
                <w:w w:val="101"/>
                <w:position w:val="7"/>
                <w:sz w:val="20"/>
                <w:szCs w:val="20"/>
                <w:vertAlign w:val="superscript"/>
              </w:rPr>
              <w:t>c</w:t>
            </w:r>
            <w:r>
              <w:rPr>
                <w:rFonts w:ascii="Microsoft Sans Serif" w:hAnsi="Microsoft Sans Serif" w:eastAsia="Calibri" w:cs="Microsoft Sans Serif"/>
                <w:b/>
                <w:bCs/>
                <w:w w:val="101"/>
                <w:position w:val="7"/>
                <w:sz w:val="20"/>
                <w:szCs w:val="20"/>
              </w:rPr>
              <w:t xml:space="preserve"> (%)</w:t>
            </w:r>
          </w:p>
        </w:tc>
      </w:tr>
      <w:tr w14:paraId="33C9761A">
        <w:tblPrEx>
          <w:tblCellMar>
            <w:top w:w="0" w:type="dxa"/>
            <w:left w:w="108" w:type="dxa"/>
            <w:bottom w:w="0" w:type="dxa"/>
            <w:right w:w="108" w:type="dxa"/>
          </w:tblCellMar>
        </w:tblPrEx>
        <w:tc>
          <w:tcPr>
            <w:tcW w:w="2134" w:type="dxa"/>
            <w:tcBorders>
              <w:top w:val="single" w:color="auto" w:sz="2" w:space="0"/>
            </w:tcBorders>
            <w:shd w:val="clear" w:color="auto" w:fill="auto"/>
          </w:tcPr>
          <w:p w14:paraId="4B07707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MCyR (95% CI)</w:t>
            </w:r>
          </w:p>
        </w:tc>
        <w:tc>
          <w:tcPr>
            <w:tcW w:w="1376" w:type="dxa"/>
            <w:tcBorders>
              <w:top w:val="single" w:color="auto" w:sz="2" w:space="0"/>
            </w:tcBorders>
            <w:shd w:val="clear" w:color="auto" w:fill="auto"/>
          </w:tcPr>
          <w:p w14:paraId="77717763">
            <w:pPr>
              <w:widowControl w:val="0"/>
              <w:spacing w:line="276" w:lineRule="auto"/>
              <w:rPr>
                <w:rFonts w:ascii="Microsoft Sans Serif" w:hAnsi="Microsoft Sans Serif" w:eastAsia="Calibri" w:cs="Microsoft Sans Serif"/>
                <w:b/>
                <w:bCs/>
                <w:w w:val="101"/>
                <w:position w:val="7"/>
                <w:sz w:val="20"/>
                <w:szCs w:val="20"/>
              </w:rPr>
            </w:pPr>
            <w:r>
              <w:rPr>
                <w:rFonts w:ascii="Microsoft Sans Serif" w:hAnsi="Microsoft Sans Serif" w:eastAsia="Calibri" w:cs="Microsoft Sans Serif"/>
                <w:b/>
                <w:sz w:val="20"/>
                <w:szCs w:val="20"/>
              </w:rPr>
              <w:t>62% (57-67)</w:t>
            </w:r>
          </w:p>
        </w:tc>
        <w:tc>
          <w:tcPr>
            <w:tcW w:w="1376" w:type="dxa"/>
            <w:tcBorders>
              <w:top w:val="single" w:color="auto" w:sz="2" w:space="0"/>
            </w:tcBorders>
            <w:shd w:val="clear" w:color="auto" w:fill="auto"/>
          </w:tcPr>
          <w:p w14:paraId="56FE1716">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40% (33-48)</w:t>
            </w:r>
          </w:p>
        </w:tc>
        <w:tc>
          <w:tcPr>
            <w:tcW w:w="1430" w:type="dxa"/>
            <w:tcBorders>
              <w:top w:val="single" w:color="auto" w:sz="2" w:space="0"/>
            </w:tcBorders>
            <w:shd w:val="clear" w:color="auto" w:fill="auto"/>
          </w:tcPr>
          <w:p w14:paraId="6CC8863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34% (25-44)</w:t>
            </w:r>
          </w:p>
        </w:tc>
        <w:tc>
          <w:tcPr>
            <w:tcW w:w="1394" w:type="dxa"/>
            <w:tcBorders>
              <w:top w:val="single" w:color="auto" w:sz="2" w:space="0"/>
            </w:tcBorders>
            <w:shd w:val="clear" w:color="auto" w:fill="auto"/>
          </w:tcPr>
          <w:p w14:paraId="63D233B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52% (37-67)</w:t>
            </w:r>
          </w:p>
        </w:tc>
        <w:tc>
          <w:tcPr>
            <w:tcW w:w="1377" w:type="dxa"/>
            <w:tcBorders>
              <w:top w:val="single" w:color="auto" w:sz="2" w:space="0"/>
            </w:tcBorders>
            <w:shd w:val="clear" w:color="auto" w:fill="auto"/>
          </w:tcPr>
          <w:p w14:paraId="1217BD65">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57% (41-71)</w:t>
            </w:r>
          </w:p>
        </w:tc>
      </w:tr>
      <w:tr w14:paraId="45CD253D">
        <w:tblPrEx>
          <w:tblCellMar>
            <w:top w:w="0" w:type="dxa"/>
            <w:left w:w="108" w:type="dxa"/>
            <w:bottom w:w="0" w:type="dxa"/>
            <w:right w:w="108" w:type="dxa"/>
          </w:tblCellMar>
        </w:tblPrEx>
        <w:tc>
          <w:tcPr>
            <w:tcW w:w="2134" w:type="dxa"/>
            <w:tcBorders>
              <w:bottom w:val="single" w:color="auto" w:sz="2" w:space="0"/>
            </w:tcBorders>
            <w:shd w:val="clear" w:color="auto" w:fill="auto"/>
          </w:tcPr>
          <w:p w14:paraId="52C495F1">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bCs/>
                <w:w w:val="101"/>
                <w:position w:val="7"/>
                <w:sz w:val="20"/>
                <w:szCs w:val="20"/>
              </w:rPr>
              <w:t>CCyR (95% CI)</w:t>
            </w:r>
          </w:p>
        </w:tc>
        <w:tc>
          <w:tcPr>
            <w:tcW w:w="1376" w:type="dxa"/>
            <w:tcBorders>
              <w:bottom w:val="single" w:color="auto" w:sz="2" w:space="0"/>
            </w:tcBorders>
            <w:shd w:val="clear" w:color="auto" w:fill="auto"/>
          </w:tcPr>
          <w:p w14:paraId="5AB917DD">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(48-59)</w:t>
            </w:r>
          </w:p>
        </w:tc>
        <w:tc>
          <w:tcPr>
            <w:tcW w:w="1376" w:type="dxa"/>
            <w:tcBorders>
              <w:bottom w:val="single" w:color="auto" w:sz="2" w:space="0"/>
            </w:tcBorders>
            <w:shd w:val="clear" w:color="auto" w:fill="auto"/>
          </w:tcPr>
          <w:p w14:paraId="09D566E9">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33% (26-41)</w:t>
            </w:r>
          </w:p>
        </w:tc>
        <w:tc>
          <w:tcPr>
            <w:tcW w:w="1430" w:type="dxa"/>
            <w:tcBorders>
              <w:bottom w:val="single" w:color="auto" w:sz="2" w:space="0"/>
            </w:tcBorders>
            <w:shd w:val="clear" w:color="auto" w:fill="auto"/>
          </w:tcPr>
          <w:p w14:paraId="5AD9A227">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27% (19-36)</w:t>
            </w:r>
          </w:p>
        </w:tc>
        <w:tc>
          <w:tcPr>
            <w:tcW w:w="1394" w:type="dxa"/>
            <w:tcBorders>
              <w:bottom w:val="single" w:color="auto" w:sz="2" w:space="0"/>
            </w:tcBorders>
            <w:shd w:val="clear" w:color="auto" w:fill="auto"/>
          </w:tcPr>
          <w:p w14:paraId="6A2EA42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46% (31-61)</w:t>
            </w:r>
          </w:p>
        </w:tc>
        <w:tc>
          <w:tcPr>
            <w:tcW w:w="1377" w:type="dxa"/>
            <w:tcBorders>
              <w:bottom w:val="single" w:color="auto" w:sz="2" w:space="0"/>
            </w:tcBorders>
            <w:shd w:val="clear" w:color="auto" w:fill="auto"/>
          </w:tcPr>
          <w:p w14:paraId="1A5B90C2">
            <w:pPr>
              <w:widowControl w:val="0"/>
              <w:spacing w:line="276" w:lineRule="auto"/>
              <w:rPr>
                <w:rFonts w:ascii="Microsoft Sans Serif" w:hAnsi="Microsoft Sans Serif" w:eastAsia="Calibri" w:cs="Microsoft Sans Serif"/>
                <w:bCs/>
                <w:w w:val="101"/>
                <w:position w:val="7"/>
                <w:sz w:val="20"/>
                <w:szCs w:val="20"/>
              </w:rPr>
            </w:pPr>
            <w:r>
              <w:rPr>
                <w:rFonts w:ascii="Microsoft Sans Serif" w:hAnsi="Microsoft Sans Serif" w:eastAsia="Calibri" w:cs="Microsoft Sans Serif"/>
                <w:sz w:val="20"/>
                <w:szCs w:val="20"/>
              </w:rPr>
              <w:t>54% (39-69)</w:t>
            </w:r>
          </w:p>
        </w:tc>
      </w:tr>
      <w:tr w14:paraId="12384F26">
        <w:tblPrEx>
          <w:tblCellMar>
            <w:top w:w="0" w:type="dxa"/>
            <w:left w:w="108" w:type="dxa"/>
            <w:bottom w:w="0" w:type="dxa"/>
            <w:right w:w="108" w:type="dxa"/>
          </w:tblCellMar>
        </w:tblPrEx>
        <w:tc>
          <w:tcPr>
            <w:tcW w:w="9087" w:type="dxa"/>
            <w:gridSpan w:val="6"/>
            <w:tcBorders>
              <w:top w:val="single" w:color="auto" w:sz="2" w:space="0"/>
              <w:bottom w:val="single" w:color="auto" w:sz="2" w:space="0"/>
            </w:tcBorders>
            <w:shd w:val="clear" w:color="auto" w:fill="auto"/>
          </w:tcPr>
          <w:p w14:paraId="6A1A68EE">
            <w:pPr>
              <w:widowControl w:val="0"/>
              <w:spacing w:line="276" w:lineRule="auto"/>
              <w:rPr>
                <w:rFonts w:ascii="Microsoft Sans Serif" w:hAnsi="Microsoft Sans Serif" w:eastAsia="Calibri" w:cs="Microsoft Sans Serif"/>
                <w:b/>
                <w:bCs/>
                <w:w w:val="101"/>
                <w:position w:val="7"/>
                <w:sz w:val="20"/>
                <w:szCs w:val="20"/>
                <w:lang w:val="hr-BA"/>
              </w:rPr>
            </w:pPr>
            <w:r>
              <w:rPr>
                <w:rFonts w:ascii="Microsoft Sans Serif" w:hAnsi="Microsoft Sans Serif" w:eastAsia="Calibri" w:cs="Microsoft Sans Serif"/>
                <w:b/>
                <w:bCs/>
                <w:w w:val="101"/>
                <w:position w:val="7"/>
                <w:sz w:val="20"/>
                <w:szCs w:val="20"/>
                <w:lang w:val="hr-BA"/>
              </w:rPr>
              <w:t>Preživljavanje</w:t>
            </w:r>
            <w:r>
              <w:rPr>
                <w:rFonts w:ascii="Microsoft Sans Serif" w:hAnsi="Microsoft Sans Serif" w:eastAsia="Calibri" w:cs="Microsoft Sans Serif"/>
                <w:b/>
                <w:bCs/>
                <w:w w:val="101"/>
                <w:position w:val="7"/>
                <w:sz w:val="20"/>
                <w:szCs w:val="20"/>
              </w:rPr>
              <w:t xml:space="preserve"> (%; </w:t>
            </w:r>
            <w:r>
              <w:rPr>
                <w:rFonts w:ascii="Microsoft Sans Serif" w:hAnsi="Microsoft Sans Serif" w:eastAsia="Calibri" w:cs="Microsoft Sans Serif"/>
                <w:b/>
                <w:bCs/>
                <w:w w:val="101"/>
                <w:position w:val="7"/>
                <w:sz w:val="20"/>
                <w:szCs w:val="20"/>
                <w:lang w:val="hr-BA"/>
              </w:rPr>
              <w:t>procjena po</w:t>
            </w:r>
            <w:r>
              <w:rPr>
                <w:rFonts w:ascii="Microsoft Sans Serif" w:hAnsi="Microsoft Sans Serif" w:eastAsia="Calibri" w:cs="Microsoft Sans Serif"/>
                <w:b/>
                <w:bCs/>
                <w:w w:val="101"/>
                <w:position w:val="7"/>
                <w:sz w:val="20"/>
                <w:szCs w:val="20"/>
                <w:lang w:val="sr-Cyrl-RS"/>
              </w:rPr>
              <w:t xml:space="preserve"> </w:t>
            </w:r>
            <w:r>
              <w:rPr>
                <w:rFonts w:ascii="Microsoft Sans Serif" w:hAnsi="Microsoft Sans Serif" w:eastAsia="Calibri" w:cs="Microsoft Sans Serif"/>
                <w:b/>
                <w:bCs/>
                <w:w w:val="101"/>
                <w:position w:val="7"/>
                <w:sz w:val="20"/>
                <w:szCs w:val="20"/>
              </w:rPr>
              <w:t>Kaplan-Meier-u)</w:t>
            </w:r>
          </w:p>
        </w:tc>
      </w:tr>
      <w:tr w14:paraId="77265C0D">
        <w:tblPrEx>
          <w:tblCellMar>
            <w:top w:w="0" w:type="dxa"/>
            <w:left w:w="108" w:type="dxa"/>
            <w:bottom w:w="0" w:type="dxa"/>
            <w:right w:w="108" w:type="dxa"/>
          </w:tblCellMar>
        </w:tblPrEx>
        <w:tc>
          <w:tcPr>
            <w:tcW w:w="2134" w:type="dxa"/>
            <w:tcBorders>
              <w:top w:val="single" w:color="auto" w:sz="2" w:space="0"/>
            </w:tcBorders>
            <w:shd w:val="clear" w:color="auto" w:fill="auto"/>
          </w:tcPr>
          <w:p w14:paraId="154132BC">
            <w:pPr>
              <w:widowControl w:val="0"/>
              <w:spacing w:line="276" w:lineRule="auto"/>
              <w:rPr>
                <w:rFonts w:ascii="Microsoft Sans Serif" w:hAnsi="Microsoft Sans Serif" w:eastAsia="Calibri" w:cs="Microsoft Sans Serif"/>
                <w:bCs/>
                <w:w w:val="101"/>
                <w:position w:val="7"/>
                <w:sz w:val="20"/>
                <w:szCs w:val="20"/>
                <w:lang w:val="hr-BA"/>
              </w:rPr>
            </w:pPr>
            <w:r>
              <w:rPr>
                <w:rFonts w:ascii="Microsoft Sans Serif" w:hAnsi="Microsoft Sans Serif" w:eastAsia="Calibri" w:cs="Microsoft Sans Serif"/>
                <w:bCs/>
                <w:w w:val="101"/>
                <w:position w:val="7"/>
                <w:sz w:val="20"/>
                <w:szCs w:val="20"/>
                <w:lang w:val="hr-BA"/>
              </w:rPr>
              <w:t>Bez progresije</w:t>
            </w:r>
          </w:p>
        </w:tc>
        <w:tc>
          <w:tcPr>
            <w:tcW w:w="1376" w:type="dxa"/>
            <w:tcBorders>
              <w:top w:val="single" w:color="auto" w:sz="2" w:space="0"/>
            </w:tcBorders>
            <w:shd w:val="clear" w:color="auto" w:fill="auto"/>
          </w:tcPr>
          <w:p w14:paraId="0144062E">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29ADC8D0">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AFD8C96">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3C071E3D">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81FCDC8">
            <w:pPr>
              <w:widowControl w:val="0"/>
              <w:spacing w:line="276" w:lineRule="auto"/>
              <w:rPr>
                <w:rFonts w:ascii="Microsoft Sans Serif" w:hAnsi="Microsoft Sans Serif" w:eastAsia="Calibri" w:cs="Microsoft Sans Serif"/>
                <w:sz w:val="20"/>
                <w:szCs w:val="20"/>
              </w:rPr>
            </w:pPr>
          </w:p>
        </w:tc>
      </w:tr>
      <w:tr w14:paraId="1CCF1ABD">
        <w:tblPrEx>
          <w:tblCellMar>
            <w:top w:w="0" w:type="dxa"/>
            <w:left w:w="108" w:type="dxa"/>
            <w:bottom w:w="0" w:type="dxa"/>
            <w:right w:w="108" w:type="dxa"/>
          </w:tblCellMar>
        </w:tblPrEx>
        <w:tc>
          <w:tcPr>
            <w:tcW w:w="2134" w:type="dxa"/>
            <w:shd w:val="clear" w:color="auto" w:fill="auto"/>
          </w:tcPr>
          <w:p w14:paraId="15A65C3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2A2D008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91% (88-94)</w:t>
            </w:r>
          </w:p>
        </w:tc>
        <w:tc>
          <w:tcPr>
            <w:tcW w:w="1376" w:type="dxa"/>
            <w:shd w:val="clear" w:color="auto" w:fill="auto"/>
          </w:tcPr>
          <w:p w14:paraId="1B7909C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64% (57-72)</w:t>
            </w:r>
          </w:p>
        </w:tc>
        <w:tc>
          <w:tcPr>
            <w:tcW w:w="1430" w:type="dxa"/>
            <w:shd w:val="clear" w:color="auto" w:fill="auto"/>
          </w:tcPr>
          <w:p w14:paraId="0D7860D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(25-45)</w:t>
            </w:r>
          </w:p>
        </w:tc>
        <w:tc>
          <w:tcPr>
            <w:tcW w:w="1394" w:type="dxa"/>
            <w:shd w:val="clear" w:color="auto" w:fill="auto"/>
          </w:tcPr>
          <w:p w14:paraId="5E27301A">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14% (3-25)</w:t>
            </w:r>
          </w:p>
        </w:tc>
        <w:tc>
          <w:tcPr>
            <w:tcW w:w="1377" w:type="dxa"/>
            <w:shd w:val="clear" w:color="auto" w:fill="auto"/>
          </w:tcPr>
          <w:p w14:paraId="206D512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21% (9-34)</w:t>
            </w:r>
          </w:p>
        </w:tc>
      </w:tr>
      <w:tr w14:paraId="414E2628">
        <w:tblPrEx>
          <w:tblCellMar>
            <w:top w:w="0" w:type="dxa"/>
            <w:left w:w="108" w:type="dxa"/>
            <w:bottom w:w="0" w:type="dxa"/>
            <w:right w:w="108" w:type="dxa"/>
          </w:tblCellMar>
        </w:tblPrEx>
        <w:tc>
          <w:tcPr>
            <w:tcW w:w="2134" w:type="dxa"/>
            <w:tcBorders>
              <w:bottom w:val="single" w:color="auto" w:sz="2" w:space="0"/>
            </w:tcBorders>
            <w:shd w:val="clear" w:color="auto" w:fill="auto"/>
          </w:tcPr>
          <w:p w14:paraId="504188C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D28CBA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80% (75-84)</w:t>
            </w:r>
          </w:p>
        </w:tc>
        <w:tc>
          <w:tcPr>
            <w:tcW w:w="1376" w:type="dxa"/>
            <w:tcBorders>
              <w:bottom w:val="single" w:color="auto" w:sz="2" w:space="0"/>
            </w:tcBorders>
            <w:shd w:val="clear" w:color="auto" w:fill="auto"/>
          </w:tcPr>
          <w:p w14:paraId="211A8B15">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46% (38-54)</w:t>
            </w:r>
          </w:p>
        </w:tc>
        <w:tc>
          <w:tcPr>
            <w:tcW w:w="1430" w:type="dxa"/>
            <w:tcBorders>
              <w:bottom w:val="single" w:color="auto" w:sz="2" w:space="0"/>
            </w:tcBorders>
            <w:shd w:val="clear" w:color="auto" w:fill="auto"/>
          </w:tcPr>
          <w:p w14:paraId="1256796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20% (11-29)</w:t>
            </w:r>
          </w:p>
        </w:tc>
        <w:tc>
          <w:tcPr>
            <w:tcW w:w="1394" w:type="dxa"/>
            <w:tcBorders>
              <w:bottom w:val="single" w:color="auto" w:sz="2" w:space="0"/>
            </w:tcBorders>
            <w:shd w:val="clear" w:color="auto" w:fill="auto"/>
          </w:tcPr>
          <w:p w14:paraId="1A7B1C1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 (0-13)</w:t>
            </w:r>
          </w:p>
        </w:tc>
        <w:tc>
          <w:tcPr>
            <w:tcW w:w="1377" w:type="dxa"/>
            <w:tcBorders>
              <w:bottom w:val="single" w:color="auto" w:sz="2" w:space="0"/>
            </w:tcBorders>
            <w:shd w:val="clear" w:color="auto" w:fill="auto"/>
          </w:tcPr>
          <w:p w14:paraId="7FF0508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12% (2-23)</w:t>
            </w:r>
          </w:p>
        </w:tc>
      </w:tr>
      <w:tr w14:paraId="7F071C5F">
        <w:tblPrEx>
          <w:tblCellMar>
            <w:top w:w="0" w:type="dxa"/>
            <w:left w:w="108" w:type="dxa"/>
            <w:bottom w:w="0" w:type="dxa"/>
            <w:right w:w="108" w:type="dxa"/>
          </w:tblCellMar>
        </w:tblPrEx>
        <w:tc>
          <w:tcPr>
            <w:tcW w:w="2134" w:type="dxa"/>
            <w:tcBorders>
              <w:top w:val="single" w:color="auto" w:sz="2" w:space="0"/>
            </w:tcBorders>
            <w:shd w:val="clear" w:color="auto" w:fill="auto"/>
          </w:tcPr>
          <w:p w14:paraId="6E1AA193">
            <w:pPr>
              <w:widowControl w:val="0"/>
              <w:spacing w:line="276" w:lineRule="auto"/>
              <w:rPr>
                <w:rFonts w:ascii="Microsoft Sans Serif" w:hAnsi="Microsoft Sans Serif" w:eastAsia="Calibri" w:cs="Microsoft Sans Serif"/>
                <w:sz w:val="20"/>
                <w:szCs w:val="20"/>
                <w:lang w:val="hr-BA"/>
              </w:rPr>
            </w:pPr>
            <w:r>
              <w:rPr>
                <w:rFonts w:ascii="Microsoft Sans Serif" w:hAnsi="Microsoft Sans Serif" w:eastAsia="Calibri" w:cs="Microsoft Sans Serif"/>
                <w:sz w:val="20"/>
                <w:szCs w:val="20"/>
                <w:lang w:val="hr-BA"/>
              </w:rPr>
              <w:t xml:space="preserve">Ukupno </w:t>
            </w:r>
          </w:p>
        </w:tc>
        <w:tc>
          <w:tcPr>
            <w:tcW w:w="1376" w:type="dxa"/>
            <w:tcBorders>
              <w:top w:val="single" w:color="auto" w:sz="2" w:space="0"/>
            </w:tcBorders>
            <w:shd w:val="clear" w:color="auto" w:fill="auto"/>
          </w:tcPr>
          <w:p w14:paraId="0EB56477">
            <w:pPr>
              <w:widowControl w:val="0"/>
              <w:spacing w:line="276" w:lineRule="auto"/>
              <w:rPr>
                <w:rFonts w:ascii="Microsoft Sans Serif" w:hAnsi="Microsoft Sans Serif" w:eastAsia="Calibri" w:cs="Microsoft Sans Serif"/>
                <w:sz w:val="20"/>
                <w:szCs w:val="20"/>
              </w:rPr>
            </w:pPr>
          </w:p>
        </w:tc>
        <w:tc>
          <w:tcPr>
            <w:tcW w:w="1376" w:type="dxa"/>
            <w:tcBorders>
              <w:top w:val="single" w:color="auto" w:sz="2" w:space="0"/>
            </w:tcBorders>
            <w:shd w:val="clear" w:color="auto" w:fill="auto"/>
          </w:tcPr>
          <w:p w14:paraId="5FDBD79C">
            <w:pPr>
              <w:widowControl w:val="0"/>
              <w:spacing w:line="276" w:lineRule="auto"/>
              <w:rPr>
                <w:rFonts w:ascii="Microsoft Sans Serif" w:hAnsi="Microsoft Sans Serif" w:eastAsia="Calibri" w:cs="Microsoft Sans Serif"/>
                <w:sz w:val="20"/>
                <w:szCs w:val="20"/>
              </w:rPr>
            </w:pPr>
          </w:p>
        </w:tc>
        <w:tc>
          <w:tcPr>
            <w:tcW w:w="1430" w:type="dxa"/>
            <w:tcBorders>
              <w:top w:val="single" w:color="auto" w:sz="2" w:space="0"/>
            </w:tcBorders>
            <w:shd w:val="clear" w:color="auto" w:fill="auto"/>
          </w:tcPr>
          <w:p w14:paraId="0FEB6639">
            <w:pPr>
              <w:widowControl w:val="0"/>
              <w:spacing w:line="276" w:lineRule="auto"/>
              <w:rPr>
                <w:rFonts w:ascii="Microsoft Sans Serif" w:hAnsi="Microsoft Sans Serif" w:eastAsia="Calibri" w:cs="Microsoft Sans Serif"/>
                <w:sz w:val="20"/>
                <w:szCs w:val="20"/>
              </w:rPr>
            </w:pPr>
          </w:p>
        </w:tc>
        <w:tc>
          <w:tcPr>
            <w:tcW w:w="1394" w:type="dxa"/>
            <w:tcBorders>
              <w:top w:val="single" w:color="auto" w:sz="2" w:space="0"/>
            </w:tcBorders>
            <w:shd w:val="clear" w:color="auto" w:fill="auto"/>
          </w:tcPr>
          <w:p w14:paraId="54BD576C">
            <w:pPr>
              <w:widowControl w:val="0"/>
              <w:spacing w:line="276" w:lineRule="auto"/>
              <w:rPr>
                <w:rFonts w:ascii="Microsoft Sans Serif" w:hAnsi="Microsoft Sans Serif" w:eastAsia="Calibri" w:cs="Microsoft Sans Serif"/>
                <w:sz w:val="20"/>
                <w:szCs w:val="20"/>
              </w:rPr>
            </w:pPr>
          </w:p>
        </w:tc>
        <w:tc>
          <w:tcPr>
            <w:tcW w:w="1377" w:type="dxa"/>
            <w:tcBorders>
              <w:top w:val="single" w:color="auto" w:sz="2" w:space="0"/>
            </w:tcBorders>
            <w:shd w:val="clear" w:color="auto" w:fill="auto"/>
          </w:tcPr>
          <w:p w14:paraId="7ECFA558">
            <w:pPr>
              <w:widowControl w:val="0"/>
              <w:spacing w:line="276" w:lineRule="auto"/>
              <w:rPr>
                <w:rFonts w:ascii="Microsoft Sans Serif" w:hAnsi="Microsoft Sans Serif" w:eastAsia="Calibri" w:cs="Microsoft Sans Serif"/>
                <w:sz w:val="20"/>
                <w:szCs w:val="20"/>
              </w:rPr>
            </w:pPr>
          </w:p>
        </w:tc>
      </w:tr>
      <w:tr w14:paraId="1A524200">
        <w:tblPrEx>
          <w:tblCellMar>
            <w:top w:w="0" w:type="dxa"/>
            <w:left w:w="108" w:type="dxa"/>
            <w:bottom w:w="0" w:type="dxa"/>
            <w:right w:w="108" w:type="dxa"/>
          </w:tblCellMar>
        </w:tblPrEx>
        <w:tc>
          <w:tcPr>
            <w:tcW w:w="2134" w:type="dxa"/>
            <w:shd w:val="clear" w:color="auto" w:fill="auto"/>
          </w:tcPr>
          <w:p w14:paraId="4ED86F02">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1 godina</w:t>
            </w:r>
          </w:p>
        </w:tc>
        <w:tc>
          <w:tcPr>
            <w:tcW w:w="1376" w:type="dxa"/>
            <w:shd w:val="clear" w:color="auto" w:fill="auto"/>
          </w:tcPr>
          <w:p w14:paraId="60277B5D">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97% (95-99)</w:t>
            </w:r>
          </w:p>
        </w:tc>
        <w:tc>
          <w:tcPr>
            <w:tcW w:w="1376" w:type="dxa"/>
            <w:shd w:val="clear" w:color="auto" w:fill="auto"/>
          </w:tcPr>
          <w:p w14:paraId="65B47E3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83% (77-89)</w:t>
            </w:r>
          </w:p>
        </w:tc>
        <w:tc>
          <w:tcPr>
            <w:tcW w:w="1430" w:type="dxa"/>
            <w:shd w:val="clear" w:color="auto" w:fill="auto"/>
          </w:tcPr>
          <w:p w14:paraId="585BFA19">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48% (38-59)</w:t>
            </w:r>
          </w:p>
        </w:tc>
        <w:tc>
          <w:tcPr>
            <w:tcW w:w="1394" w:type="dxa"/>
            <w:shd w:val="clear" w:color="auto" w:fill="auto"/>
          </w:tcPr>
          <w:p w14:paraId="5B96684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 (14-47)</w:t>
            </w:r>
          </w:p>
        </w:tc>
        <w:tc>
          <w:tcPr>
            <w:tcW w:w="1377" w:type="dxa"/>
            <w:shd w:val="clear" w:color="auto" w:fill="auto"/>
          </w:tcPr>
          <w:p w14:paraId="342C15EF">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35% (20-51)</w:t>
            </w:r>
          </w:p>
        </w:tc>
      </w:tr>
      <w:tr w14:paraId="2770057A">
        <w:tblPrEx>
          <w:tblCellMar>
            <w:top w:w="0" w:type="dxa"/>
            <w:left w:w="108" w:type="dxa"/>
            <w:bottom w:w="0" w:type="dxa"/>
            <w:right w:w="108" w:type="dxa"/>
          </w:tblCellMar>
        </w:tblPrEx>
        <w:tc>
          <w:tcPr>
            <w:tcW w:w="2134" w:type="dxa"/>
            <w:tcBorders>
              <w:bottom w:val="single" w:color="auto" w:sz="2" w:space="0"/>
            </w:tcBorders>
            <w:shd w:val="clear" w:color="auto" w:fill="auto"/>
          </w:tcPr>
          <w:p w14:paraId="60BABB1C">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 godine</w:t>
            </w:r>
          </w:p>
        </w:tc>
        <w:tc>
          <w:tcPr>
            <w:tcW w:w="1376" w:type="dxa"/>
            <w:tcBorders>
              <w:bottom w:val="single" w:color="auto" w:sz="2" w:space="0"/>
            </w:tcBorders>
            <w:shd w:val="clear" w:color="auto" w:fill="auto"/>
          </w:tcPr>
          <w:p w14:paraId="76A91B7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94% (91-97)</w:t>
            </w:r>
          </w:p>
        </w:tc>
        <w:tc>
          <w:tcPr>
            <w:tcW w:w="1376" w:type="dxa"/>
            <w:tcBorders>
              <w:bottom w:val="single" w:color="auto" w:sz="2" w:space="0"/>
            </w:tcBorders>
            <w:shd w:val="clear" w:color="auto" w:fill="auto"/>
          </w:tcPr>
          <w:p w14:paraId="508F1BC3">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72% (64-79)</w:t>
            </w:r>
          </w:p>
        </w:tc>
        <w:tc>
          <w:tcPr>
            <w:tcW w:w="1430" w:type="dxa"/>
            <w:tcBorders>
              <w:bottom w:val="single" w:color="auto" w:sz="2" w:space="0"/>
            </w:tcBorders>
            <w:shd w:val="clear" w:color="auto" w:fill="auto"/>
          </w:tcPr>
          <w:p w14:paraId="1D28F3F7">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38% (27-50)</w:t>
            </w:r>
          </w:p>
        </w:tc>
        <w:tc>
          <w:tcPr>
            <w:tcW w:w="1394" w:type="dxa"/>
            <w:tcBorders>
              <w:bottom w:val="single" w:color="auto" w:sz="2" w:space="0"/>
            </w:tcBorders>
            <w:shd w:val="clear" w:color="auto" w:fill="auto"/>
          </w:tcPr>
          <w:p w14:paraId="47240254">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26% (10-42)</w:t>
            </w:r>
          </w:p>
        </w:tc>
        <w:tc>
          <w:tcPr>
            <w:tcW w:w="1377" w:type="dxa"/>
            <w:tcBorders>
              <w:bottom w:val="single" w:color="auto" w:sz="2" w:space="0"/>
            </w:tcBorders>
            <w:shd w:val="clear" w:color="auto" w:fill="auto"/>
          </w:tcPr>
          <w:p w14:paraId="4B7A21D0">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31% (16-47)</w:t>
            </w:r>
          </w:p>
        </w:tc>
      </w:tr>
    </w:tbl>
    <w:p w14:paraId="7031A57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prikazani u ovoj tabeli su iz ispitivanja u kojima se kao početna doza koristilo 70 mg dva puta dnevno. </w:t>
      </w:r>
      <w:r>
        <w:rPr>
          <w:rFonts w:ascii="Microsoft Sans Serif" w:hAnsi="Microsoft Sans Serif" w:cs="Microsoft Sans Serif"/>
          <w:bCs/>
          <w:sz w:val="20"/>
          <w:szCs w:val="20"/>
          <w:lang w:val="hr-BA"/>
        </w:rPr>
        <w:t>Pogledati dio</w:t>
      </w:r>
      <w:r>
        <w:rPr>
          <w:rFonts w:ascii="Microsoft Sans Serif" w:hAnsi="Microsoft Sans Serif" w:cs="Microsoft Sans Serif"/>
          <w:bCs/>
          <w:sz w:val="20"/>
          <w:szCs w:val="20"/>
          <w:lang w:val="sr-Cyrl-RS"/>
        </w:rPr>
        <w:t xml:space="preserve"> 4.2 za preporučenu početnu dozu.</w:t>
      </w:r>
    </w:p>
    <w:p w14:paraId="0FBE1019">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Boldovani brojevi</w:t>
      </w:r>
      <w:r>
        <w:rPr>
          <w:rFonts w:ascii="Microsoft Sans Serif" w:hAnsi="Microsoft Sans Serif" w:cs="Microsoft Sans Serif"/>
          <w:sz w:val="20"/>
          <w:szCs w:val="20"/>
        </w:rPr>
        <w:t xml:space="preserve"> pokazuju rezultate za primarne ishode</w:t>
      </w:r>
    </w:p>
    <w:p w14:paraId="097C40D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Latn-RS"/>
        </w:rPr>
        <w:t xml:space="preserve"> Kriterijumi hematološkog odgovora (svi odgovori potvrđeni poslije 4 nedelјe): Značajan hematološki odgovor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MaHR)= potpun hematološki odgovor (CHR) + NEL (nema dokaza leukemije)</w:t>
      </w:r>
    </w:p>
    <w:p w14:paraId="70752E59">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CHR (hronična HML): broj leukocita (WBC) ≤ institucionalna ULN, trombociti &lt;450000/mm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zahvaćenosti.</w:t>
      </w:r>
    </w:p>
    <w:p w14:paraId="10E5DE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uznapredovala HML/</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hr-BA"/>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xml:space="preserve">, bez blasta ili promijelocita u perifernoj krvi, blasti u koštanoj srži ≤ 5%, &lt; 5% mijelociti plus metamijelociti u perifernoj krvi, bazofili u perifernoj krvi &lt; 20%, i bez ekstramedularne </w:t>
      </w:r>
      <w:r>
        <w:rPr>
          <w:rFonts w:ascii="Microsoft Sans Serif" w:hAnsi="Microsoft Sans Serif" w:cs="Microsoft Sans Serif"/>
          <w:bCs/>
          <w:sz w:val="20"/>
          <w:szCs w:val="20"/>
          <w:lang w:val="hr-BA"/>
        </w:rPr>
        <w:t>zahvaćenosti</w:t>
      </w:r>
      <w:r>
        <w:rPr>
          <w:rFonts w:ascii="Microsoft Sans Serif" w:hAnsi="Microsoft Sans Serif" w:cs="Microsoft Sans Serif"/>
          <w:bCs/>
          <w:sz w:val="20"/>
          <w:szCs w:val="20"/>
          <w:lang w:val="sr-Cyrl-RS"/>
        </w:rPr>
        <w:t>.</w:t>
      </w:r>
    </w:p>
    <w:p w14:paraId="4DD5685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NEL (nema dokaza leukemije)</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w:t>
      </w:r>
    </w:p>
    <w:p w14:paraId="0F1015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sr-Cyrl-RS"/>
        </w:rPr>
        <w:t xml:space="preserve"> </w:t>
      </w:r>
      <w:r>
        <w:rPr>
          <w:rFonts w:ascii="Microsoft Sans Serif" w:hAnsi="Microsoft Sans Serif" w:cs="Microsoft Sans Serif"/>
          <w:bCs/>
          <w:sz w:val="20"/>
          <w:szCs w:val="20"/>
          <w:lang w:val="sr-Latn-RS"/>
        </w:rPr>
        <w:t>Kriteriji</w:t>
      </w:r>
      <w:r>
        <w:rPr>
          <w:rFonts w:ascii="Microsoft Sans Serif" w:hAnsi="Microsoft Sans Serif" w:cs="Microsoft Sans Serif"/>
          <w:bCs/>
          <w:sz w:val="20"/>
          <w:szCs w:val="20"/>
          <w:lang w:val="sr-Cyrl-RS"/>
        </w:rPr>
        <w:t>jumi</w:t>
      </w:r>
      <w:r>
        <w:rPr>
          <w:rFonts w:ascii="Microsoft Sans Serif" w:hAnsi="Microsoft Sans Serif" w:cs="Microsoft Sans Serif"/>
          <w:bCs/>
          <w:sz w:val="20"/>
          <w:szCs w:val="20"/>
          <w:lang w:val="sr-Latn-RS"/>
        </w:rPr>
        <w:t xml:space="preserve"> citogenetskog odgovora: potpun (0% Ph+ metafaze) ili </w:t>
      </w:r>
      <w:r>
        <w:rPr>
          <w:rFonts w:ascii="Microsoft Sans Serif" w:hAnsi="Microsoft Sans Serif" w:cs="Microsoft Sans Serif"/>
          <w:bCs/>
          <w:sz w:val="20"/>
          <w:szCs w:val="20"/>
          <w:lang w:val="sr-Cyrl-RS"/>
        </w:rPr>
        <w:t>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limičan (&gt; 0%-35%). MCyR (0%-35%) obuhvata i potpun i djelimičan odgovor</w:t>
      </w:r>
    </w:p>
    <w:p w14:paraId="7704E9A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 xml:space="preserve">n/a = nije primjenjivo, </w:t>
      </w:r>
      <w:r>
        <w:rPr>
          <w:rFonts w:ascii="Microsoft Sans Serif" w:hAnsi="Microsoft Sans Serif" w:cs="Microsoft Sans Serif"/>
          <w:bCs/>
          <w:sz w:val="20"/>
          <w:szCs w:val="20"/>
          <w:lang w:val="sr-Latn-RS"/>
        </w:rPr>
        <w:t>CI = interval pouzdanosti; ULN = gornja granica normalnih vrijednosti</w:t>
      </w:r>
    </w:p>
    <w:p w14:paraId="6B31AF9A">
      <w:pPr>
        <w:rPr>
          <w:rFonts w:ascii="Microsoft Sans Serif" w:hAnsi="Microsoft Sans Serif" w:cs="Microsoft Sans Serif"/>
          <w:bCs/>
          <w:sz w:val="20"/>
          <w:szCs w:val="20"/>
          <w:lang w:val="sr-Latn-RS"/>
        </w:rPr>
      </w:pPr>
    </w:p>
    <w:p w14:paraId="4A04B03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Ishod pacijenata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r-Latn-RS"/>
        </w:rPr>
        <w:t xml:space="preserve"> transplanacijom koštane srži </w:t>
      </w:r>
      <w:r>
        <w:rPr>
          <w:rFonts w:ascii="Microsoft Sans Serif" w:hAnsi="Microsoft Sans Serif" w:cs="Microsoft Sans Serif"/>
          <w:bCs/>
          <w:sz w:val="20"/>
          <w:szCs w:val="20"/>
          <w:lang w:val="sr-Cyrl-RS"/>
        </w:rPr>
        <w:t>poslije</w:t>
      </w:r>
      <w:r>
        <w:rPr>
          <w:rFonts w:ascii="Microsoft Sans Serif" w:hAnsi="Microsoft Sans Serif" w:cs="Microsoft Sans Serif"/>
          <w:bCs/>
          <w:sz w:val="20"/>
          <w:szCs w:val="20"/>
          <w:lang w:val="sr-Latn-RS"/>
        </w:rPr>
        <w:t xml:space="preserve"> liječenja dasatinibom nije još u potpunosti</w:t>
      </w:r>
      <w:r>
        <w:rPr>
          <w:rFonts w:ascii="Microsoft Sans Serif" w:hAnsi="Microsoft Sans Serif" w:cs="Microsoft Sans Serif"/>
          <w:bCs/>
          <w:sz w:val="20"/>
          <w:szCs w:val="20"/>
          <w:lang w:val="sr-Cyrl-RS"/>
        </w:rPr>
        <w:t xml:space="preserv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w:t>
      </w:r>
    </w:p>
    <w:p w14:paraId="30EA5089">
      <w:pPr>
        <w:rPr>
          <w:rFonts w:ascii="Microsoft Sans Serif" w:hAnsi="Microsoft Sans Serif" w:cs="Microsoft Sans Serif"/>
          <w:bCs/>
          <w:sz w:val="20"/>
          <w:szCs w:val="20"/>
          <w:lang w:val="sr-Cyrl-RS"/>
        </w:rPr>
      </w:pPr>
    </w:p>
    <w:p w14:paraId="4ECFD38E">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Klinička studija faze III kod pacijenata sa HML u hroničnoj fazi, uznapredovaloj fazi ili fazi mijeloidne</w:t>
      </w:r>
    </w:p>
    <w:p w14:paraId="454884AA">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Cyrl-RS"/>
        </w:rPr>
        <w:t xml:space="preserve">blastne krize i Ph+ ALL koji </w:t>
      </w:r>
      <w:r>
        <w:rPr>
          <w:rFonts w:ascii="Microsoft Sans Serif" w:hAnsi="Microsoft Sans Serif" w:cs="Microsoft Sans Serif"/>
          <w:bCs/>
          <w:i/>
          <w:sz w:val="20"/>
          <w:szCs w:val="20"/>
          <w:u w:val="single"/>
          <w:lang w:val="sr-Latn-RS"/>
        </w:rPr>
        <w:t>su</w:t>
      </w:r>
      <w:r>
        <w:rPr>
          <w:rFonts w:ascii="Microsoft Sans Serif" w:hAnsi="Microsoft Sans Serif" w:cs="Microsoft Sans Serif"/>
          <w:bCs/>
          <w:i/>
          <w:sz w:val="20"/>
          <w:szCs w:val="20"/>
          <w:u w:val="single"/>
          <w:lang w:val="sr-Cyrl-RS"/>
        </w:rPr>
        <w:t xml:space="preserve">rezistentni ili </w:t>
      </w:r>
      <w:r>
        <w:rPr>
          <w:rFonts w:ascii="Microsoft Sans Serif" w:hAnsi="Microsoft Sans Serif" w:cs="Microsoft Sans Serif"/>
          <w:bCs/>
          <w:i/>
          <w:sz w:val="20"/>
          <w:szCs w:val="20"/>
          <w:u w:val="single"/>
        </w:rPr>
        <w:t>intolerantni na</w:t>
      </w:r>
      <w:r>
        <w:rPr>
          <w:rFonts w:ascii="Microsoft Sans Serif" w:hAnsi="Microsoft Sans Serif" w:cs="Microsoft Sans Serif"/>
          <w:bCs/>
          <w:i/>
          <w:sz w:val="20"/>
          <w:szCs w:val="20"/>
          <w:u w:val="single"/>
          <w:lang w:val="sr-Cyrl-RS"/>
        </w:rPr>
        <w:t xml:space="preserve"> imatinib</w:t>
      </w:r>
    </w:p>
    <w:p w14:paraId="7B5AD1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Sprovedene su</w:t>
      </w:r>
      <w:r>
        <w:rPr>
          <w:rFonts w:ascii="Microsoft Sans Serif" w:hAnsi="Microsoft Sans Serif" w:cs="Microsoft Sans Serif"/>
          <w:bCs/>
          <w:sz w:val="20"/>
          <w:szCs w:val="20"/>
        </w:rPr>
        <w:t xml:space="preserve"> dvije</w:t>
      </w:r>
      <w:r>
        <w:rPr>
          <w:rFonts w:ascii="Microsoft Sans Serif" w:hAnsi="Microsoft Sans Serif" w:cs="Microsoft Sans Serif"/>
          <w:bCs/>
          <w:sz w:val="20"/>
          <w:szCs w:val="20"/>
          <w:lang w:val="sr-Cyrl-RS"/>
        </w:rPr>
        <w:t xml:space="preserve"> randomizovane studije otvorenog tipa kako bi se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enila efikasnost </w:t>
      </w:r>
      <w:r>
        <w:rPr>
          <w:rFonts w:ascii="Microsoft Sans Serif" w:hAnsi="Microsoft Sans Serif" w:cs="Microsoft Sans Serif"/>
          <w:bCs/>
          <w:sz w:val="20"/>
          <w:szCs w:val="20"/>
          <w:lang w:val="hr-BA"/>
        </w:rPr>
        <w:t xml:space="preserve">primjene </w:t>
      </w:r>
      <w:r>
        <w:rPr>
          <w:rFonts w:ascii="Microsoft Sans Serif" w:hAnsi="Microsoft Sans Serif" w:cs="Microsoft Sans Serif"/>
          <w:bCs/>
          <w:sz w:val="20"/>
          <w:szCs w:val="20"/>
          <w:lang w:val="sr-Cyrl-RS"/>
        </w:rPr>
        <w:t xml:space="preserve">dasatiniba jednom dnevno u poređenju sa primjenom dasatiniba dva puta dnevno. Rezultati navedeni </w:t>
      </w:r>
      <w:r>
        <w:rPr>
          <w:rFonts w:ascii="Microsoft Sans Serif" w:hAnsi="Microsoft Sans Serif" w:cs="Microsoft Sans Serif"/>
          <w:bCs/>
          <w:sz w:val="20"/>
          <w:szCs w:val="20"/>
        </w:rPr>
        <w:t>u nastavku teksta</w:t>
      </w:r>
      <w:r>
        <w:rPr>
          <w:rFonts w:ascii="Microsoft Sans Serif" w:hAnsi="Microsoft Sans Serif" w:cs="Microsoft Sans Serif"/>
          <w:bCs/>
          <w:sz w:val="20"/>
          <w:szCs w:val="20"/>
          <w:lang w:val="sr-Cyrl-RS"/>
        </w:rPr>
        <w:t xml:space="preserve"> zasnivaju se na podacima nakon najmanje 2 godine i 7 godina praćenja od početka liječenja dasatinibom.</w:t>
      </w:r>
    </w:p>
    <w:p w14:paraId="14CDFE5C">
      <w:pPr>
        <w:rPr>
          <w:rFonts w:ascii="Microsoft Sans Serif" w:hAnsi="Microsoft Sans Serif" w:cs="Microsoft Sans Serif"/>
          <w:bCs/>
          <w:sz w:val="20"/>
          <w:szCs w:val="20"/>
          <w:lang w:val="sr-Latn-RS"/>
        </w:rPr>
      </w:pPr>
    </w:p>
    <w:p w14:paraId="5EE41CD5">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1</w:t>
      </w:r>
    </w:p>
    <w:p w14:paraId="23BEAE8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HML u hroničnoj fazi, primarni parametar praćenja studije bio je značajan citogenetski odgovor kod pacijenata rezistentnih na imatinib. Glavni sekundarni parametar praćenja bio je značajan citogenetski odgovor prema ukupnom nivou dnevne doze kod pacijenata rezistentnih na imatinib. Drugi sekundarni parametri praćenja bili su trajanje značajnog citogenetskog odgovora, PFS i ukupno preživljavanje. Ukupno je bilo randomizovano 670 pacijenata, od kojih je 497 bilo rezistentno na imatinib, koji su bili randomizovani u četiri grupe koje su primale sljedeće doze dasatiniba: 100 mg jednom dnevno, 140 mg jednom dnevno, 50 mg dva puta dnevno ili 70 mg dva puta dnevno. Medijana trajanja liječenja za sve pacijente koji su još primali terapiju poslije najmanje 5 godina praćenja (n=205) iznosila je 59 mjeseci (raspon: 28-66 mjeseci). Medijana trajanja terapije za sve pacijente u 7. godini praćenja iznosila je 29,8 mjeseci (raspon &lt;1-92,9 mjeseci).</w:t>
      </w:r>
    </w:p>
    <w:p w14:paraId="6539831F">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postignuta u svim grupama koje su primale dasatinib prema rasporedu doziranja jednom</w:t>
      </w:r>
    </w:p>
    <w:p w14:paraId="2F49817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dnevno, a dokazana je komparabilna efikasnost (neinferiornost) u odnosu na raspored doziranja dva puta dnevno po pitanju primarnog parametra praćenja efikasnosti (razlika u značajnom citogenetskom odgovoru 1,9%; 95% interval pouzdanosti [-6,8% - 10,6%]); međutim, režim liječenja dozom od 100 mg jednom dnevno pokazao je bolju bezbjednost i podnošljivost. Rezultati efikasnosti prikazani su u Tabelama 12 i 13.</w:t>
      </w:r>
    </w:p>
    <w:p w14:paraId="255A1BD6">
      <w:pPr>
        <w:rPr>
          <w:rFonts w:ascii="Microsoft Sans Serif" w:hAnsi="Microsoft Sans Serif" w:cs="Microsoft Sans Serif"/>
          <w:bCs/>
          <w:sz w:val="20"/>
          <w:szCs w:val="20"/>
          <w:lang w:val="sr-Latn-RS"/>
        </w:rPr>
      </w:pPr>
    </w:p>
    <w:p w14:paraId="31F87BA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12: Efikasnost leka dasatinib u studiji optimizacije doze faze III: pacijenti sa HML u hroničnoj</w:t>
      </w:r>
    </w:p>
    <w:p w14:paraId="3DA3C6F2">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fazi koji su rezistentni na imatinib ili ga ne podnose (2-godišnji rezultati)</w:t>
      </w:r>
      <w:r>
        <w:rPr>
          <w:rFonts w:ascii="Microsoft Sans Serif" w:hAnsi="Microsoft Sans Serif" w:cs="Microsoft Sans Serif"/>
          <w:b/>
          <w:bCs/>
          <w:sz w:val="20"/>
          <w:szCs w:val="20"/>
          <w:vertAlign w:val="superscript"/>
          <w:lang w:val="sr-Latn-RS"/>
        </w:rPr>
        <w:t>a</w:t>
      </w:r>
    </w:p>
    <w:tbl>
      <w:tblPr>
        <w:tblStyle w:val="2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35"/>
        <w:gridCol w:w="5137"/>
      </w:tblGrid>
      <w:tr w14:paraId="45C7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4D9351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Svi pacijenti </w:t>
            </w:r>
          </w:p>
        </w:tc>
        <w:tc>
          <w:tcPr>
            <w:tcW w:w="5137" w:type="dxa"/>
            <w:tcBorders>
              <w:top w:val="single" w:color="auto" w:sz="2" w:space="0"/>
              <w:bottom w:val="single" w:color="auto" w:sz="2" w:space="0"/>
            </w:tcBorders>
          </w:tcPr>
          <w:p w14:paraId="27A0256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n=167</w:t>
            </w:r>
          </w:p>
        </w:tc>
      </w:tr>
      <w:tr w14:paraId="57AB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09414B74">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 xml:space="preserve">Pacijenti rezistentni na imatinib </w:t>
            </w:r>
          </w:p>
        </w:tc>
        <w:tc>
          <w:tcPr>
            <w:tcW w:w="5137" w:type="dxa"/>
            <w:tcBorders>
              <w:top w:val="single" w:color="auto" w:sz="2" w:space="0"/>
            </w:tcBorders>
          </w:tcPr>
          <w:p w14:paraId="28F8463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n=124</w:t>
            </w:r>
          </w:p>
        </w:tc>
      </w:tr>
      <w:tr w14:paraId="52202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tcBorders>
          </w:tcPr>
          <w:p w14:paraId="5A5A37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Stopa hematološkog odgovora</w:t>
            </w:r>
            <w:r>
              <w:rPr>
                <w:rFonts w:ascii="Microsoft Sans Serif" w:hAnsi="Microsoft Sans Serif" w:eastAsia="Calibri" w:cs="Microsoft Sans Serif"/>
                <w:b/>
                <w:sz w:val="20"/>
                <w:szCs w:val="20"/>
                <w:vertAlign w:val="superscript"/>
              </w:rPr>
              <w:t>b</w:t>
            </w:r>
            <w:r>
              <w:rPr>
                <w:rFonts w:ascii="Microsoft Sans Serif" w:hAnsi="Microsoft Sans Serif" w:eastAsia="Calibri" w:cs="Microsoft Sans Serif"/>
                <w:b/>
                <w:sz w:val="20"/>
                <w:szCs w:val="20"/>
              </w:rPr>
              <w:t xml:space="preserve"> (%) (95% CI)</w:t>
            </w:r>
          </w:p>
        </w:tc>
      </w:tr>
      <w:tr w14:paraId="7F598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bottom w:val="single" w:color="auto" w:sz="2" w:space="0"/>
            </w:tcBorders>
          </w:tcPr>
          <w:p w14:paraId="373B6ED8">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 xml:space="preserve">Potpun hematološki odgovor (CHR) </w:t>
            </w:r>
          </w:p>
        </w:tc>
        <w:tc>
          <w:tcPr>
            <w:tcW w:w="5137" w:type="dxa"/>
            <w:tcBorders>
              <w:bottom w:val="single" w:color="auto" w:sz="2" w:space="0"/>
            </w:tcBorders>
          </w:tcPr>
          <w:p w14:paraId="7E18253D">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92% (86-95)</w:t>
            </w:r>
          </w:p>
        </w:tc>
      </w:tr>
      <w:tr w14:paraId="00E1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29AA2F35">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Citogenetski odgovor</w:t>
            </w:r>
            <w:r>
              <w:rPr>
                <w:rFonts w:ascii="Microsoft Sans Serif" w:hAnsi="Microsoft Sans Serif" w:eastAsia="Calibri" w:cs="Microsoft Sans Serif"/>
                <w:b/>
                <w:sz w:val="20"/>
                <w:szCs w:val="20"/>
                <w:vertAlign w:val="superscript"/>
              </w:rPr>
              <w:t>c</w:t>
            </w:r>
            <w:r>
              <w:rPr>
                <w:rFonts w:ascii="Microsoft Sans Serif" w:hAnsi="Microsoft Sans Serif" w:eastAsia="Calibri" w:cs="Microsoft Sans Serif"/>
                <w:b/>
                <w:sz w:val="20"/>
                <w:szCs w:val="20"/>
              </w:rPr>
              <w:t xml:space="preserve"> (%) (95% CI)</w:t>
            </w:r>
          </w:p>
        </w:tc>
      </w:tr>
      <w:tr w14:paraId="01F9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7257644E">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MCyR</w:t>
            </w:r>
          </w:p>
        </w:tc>
        <w:tc>
          <w:tcPr>
            <w:tcW w:w="5137" w:type="dxa"/>
            <w:tcBorders>
              <w:top w:val="single" w:color="auto" w:sz="2" w:space="0"/>
            </w:tcBorders>
          </w:tcPr>
          <w:p w14:paraId="1DAFF28F">
            <w:pPr>
              <w:widowControl w:val="0"/>
              <w:tabs>
                <w:tab w:val="left" w:pos="1300"/>
              </w:tabs>
              <w:spacing w:line="238" w:lineRule="exact"/>
              <w:rPr>
                <w:rFonts w:ascii="Microsoft Sans Serif" w:hAnsi="Microsoft Sans Serif" w:eastAsia="Times New Roman" w:cs="Microsoft Sans Serif"/>
                <w:sz w:val="20"/>
                <w:szCs w:val="20"/>
              </w:rPr>
            </w:pPr>
          </w:p>
        </w:tc>
      </w:tr>
      <w:tr w14:paraId="3D86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4D12456C">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Svi pacijenti </w:t>
            </w:r>
          </w:p>
        </w:tc>
        <w:tc>
          <w:tcPr>
            <w:tcW w:w="5137" w:type="dxa"/>
          </w:tcPr>
          <w:p w14:paraId="50FE0EB0">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63% (56-71)</w:t>
            </w:r>
          </w:p>
        </w:tc>
      </w:tr>
      <w:tr w14:paraId="1529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6367A5B5">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1A4CF396">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59% (50-68)</w:t>
            </w:r>
          </w:p>
        </w:tc>
      </w:tr>
      <w:tr w14:paraId="05E7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75D49918">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c>
          <w:tcPr>
            <w:tcW w:w="5137" w:type="dxa"/>
          </w:tcPr>
          <w:p w14:paraId="780228E6">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CCyR</w:t>
            </w:r>
          </w:p>
        </w:tc>
      </w:tr>
      <w:tr w14:paraId="0043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Pr>
          <w:p w14:paraId="2E182093">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Pr>
          <w:p w14:paraId="6EA6637E">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50% (42-58)</w:t>
            </w:r>
          </w:p>
        </w:tc>
      </w:tr>
      <w:tr w14:paraId="31DC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440A9609">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Pr>
          <w:p w14:paraId="652AB12F">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44% (35-53)</w:t>
            </w:r>
          </w:p>
        </w:tc>
      </w:tr>
      <w:tr w14:paraId="2C9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72" w:type="dxa"/>
            <w:gridSpan w:val="2"/>
            <w:tcBorders>
              <w:top w:val="single" w:color="auto" w:sz="2" w:space="0"/>
              <w:bottom w:val="single" w:color="auto" w:sz="2" w:space="0"/>
            </w:tcBorders>
          </w:tcPr>
          <w:p w14:paraId="696D98EB">
            <w:pPr>
              <w:widowControl w:val="0"/>
              <w:tabs>
                <w:tab w:val="left" w:pos="1300"/>
              </w:tabs>
              <w:spacing w:line="238" w:lineRule="exact"/>
              <w:rPr>
                <w:rFonts w:ascii="Microsoft Sans Serif" w:hAnsi="Microsoft Sans Serif" w:eastAsia="Times New Roman" w:cs="Microsoft Sans Serif"/>
                <w:b/>
                <w:sz w:val="20"/>
                <w:szCs w:val="20"/>
              </w:rPr>
            </w:pPr>
            <w:r>
              <w:rPr>
                <w:rFonts w:ascii="Microsoft Sans Serif" w:hAnsi="Microsoft Sans Serif" w:eastAsia="Calibri" w:cs="Microsoft Sans Serif"/>
                <w:b/>
                <w:sz w:val="20"/>
                <w:szCs w:val="20"/>
              </w:rPr>
              <w:t>Značajan molekularni odgovor kod pacijenata koji su postigli CCyR</w:t>
            </w:r>
            <w:r>
              <w:rPr>
                <w:rFonts w:ascii="Microsoft Sans Serif" w:hAnsi="Microsoft Sans Serif" w:eastAsia="Calibri" w:cs="Microsoft Sans Serif"/>
                <w:b/>
                <w:sz w:val="20"/>
                <w:szCs w:val="20"/>
                <w:vertAlign w:val="superscript"/>
              </w:rPr>
              <w:t>d</w:t>
            </w:r>
            <w:r>
              <w:rPr>
                <w:rFonts w:ascii="Microsoft Sans Serif" w:hAnsi="Microsoft Sans Serif" w:eastAsia="Calibri" w:cs="Microsoft Sans Serif"/>
                <w:b/>
                <w:sz w:val="20"/>
                <w:szCs w:val="20"/>
              </w:rPr>
              <w:t xml:space="preserve"> (%) (95% CI)</w:t>
            </w:r>
          </w:p>
        </w:tc>
      </w:tr>
      <w:tr w14:paraId="58380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top w:val="single" w:color="auto" w:sz="2" w:space="0"/>
            </w:tcBorders>
          </w:tcPr>
          <w:p w14:paraId="36CE28DC">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Svi pacijenti </w:t>
            </w:r>
          </w:p>
        </w:tc>
        <w:tc>
          <w:tcPr>
            <w:tcW w:w="5137" w:type="dxa"/>
            <w:tcBorders>
              <w:top w:val="single" w:color="auto" w:sz="2" w:space="0"/>
            </w:tcBorders>
          </w:tcPr>
          <w:p w14:paraId="1E0245AF">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69% (58-79)</w:t>
            </w:r>
          </w:p>
        </w:tc>
      </w:tr>
      <w:tr w14:paraId="03DB9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35" w:type="dxa"/>
            <w:tcBorders>
              <w:bottom w:val="single" w:color="auto" w:sz="2" w:space="0"/>
            </w:tcBorders>
          </w:tcPr>
          <w:p w14:paraId="77B82347">
            <w:pPr>
              <w:widowControl w:val="0"/>
              <w:tabs>
                <w:tab w:val="left" w:pos="1300"/>
              </w:tabs>
              <w:spacing w:line="238" w:lineRule="exact"/>
              <w:rPr>
                <w:rFonts w:ascii="Microsoft Sans Serif" w:hAnsi="Microsoft Sans Serif" w:eastAsia="Times New Roman" w:cs="Microsoft Sans Serif"/>
                <w:bCs/>
                <w:sz w:val="20"/>
                <w:szCs w:val="20"/>
              </w:rPr>
            </w:pPr>
            <w:r>
              <w:rPr>
                <w:rFonts w:ascii="Microsoft Sans Serif" w:hAnsi="Microsoft Sans Serif" w:eastAsia="Calibri" w:cs="Microsoft Sans Serif"/>
                <w:sz w:val="20"/>
                <w:szCs w:val="20"/>
              </w:rPr>
              <w:t xml:space="preserve">Pacijenti rezistentni na imatinib </w:t>
            </w:r>
          </w:p>
        </w:tc>
        <w:tc>
          <w:tcPr>
            <w:tcW w:w="5137" w:type="dxa"/>
            <w:tcBorders>
              <w:bottom w:val="single" w:color="auto" w:sz="2" w:space="0"/>
            </w:tcBorders>
          </w:tcPr>
          <w:p w14:paraId="6E2E5E11">
            <w:pPr>
              <w:widowControl w:val="0"/>
              <w:tabs>
                <w:tab w:val="left" w:pos="1300"/>
              </w:tabs>
              <w:spacing w:line="238"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72% (58-83)</w:t>
            </w:r>
          </w:p>
        </w:tc>
      </w:tr>
    </w:tbl>
    <w:p w14:paraId="39EC88B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Rezultati prijavljeni pri primjeni preporučene početne doze od 100 mg jednom dnevno</w:t>
      </w:r>
    </w:p>
    <w:p w14:paraId="4ACCAAD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hematološkog odgovora (svi odgovori potvrđeni nakon 4 nedelje): Potpun hematološki odgovor (CHR) (HML u hroničnoj fazi): broj leukocita ≤ institucionalni ULN, trombociti &lt; 450000/mm</w:t>
      </w:r>
      <w:r>
        <w:rPr>
          <w:rFonts w:ascii="Microsoft Sans Serif" w:hAnsi="Microsoft Sans Serif" w:cs="Microsoft Sans Serif"/>
          <w:bCs/>
          <w:sz w:val="20"/>
          <w:szCs w:val="20"/>
          <w:vertAlign w:val="superscript"/>
          <w:lang w:val="sr-Latn-RS"/>
        </w:rPr>
        <w:t>3</w:t>
      </w:r>
      <w:r>
        <w:rPr>
          <w:rFonts w:ascii="Microsoft Sans Serif" w:hAnsi="Microsoft Sans Serif" w:cs="Microsoft Sans Serif"/>
          <w:bCs/>
          <w:sz w:val="20"/>
          <w:szCs w:val="20"/>
          <w:lang w:val="sr-Latn-RS"/>
        </w:rPr>
        <w:t>, bez blasta ili promijelocita u perifernoj krvi, &lt; 5% mijelocita plus metamijelociti u perifernoj krvi, bazofili u perifernoj krvi &lt; 20%, i bez ekstramedularne bolesti</w:t>
      </w:r>
    </w:p>
    <w:p w14:paraId="7F794DB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c</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citogenetskog odgovora: kompletan (0% Ph+ metafaze) ili parcijalan (&gt; 0%-35%). Značajan citogenetski odgovor</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r-Latn-RS"/>
        </w:rPr>
        <w:t>(MCyR) (0%-35%) obuhvata i kompletan i parcijalan odgovor</w:t>
      </w:r>
    </w:p>
    <w:p w14:paraId="42A9E064">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d</w:t>
      </w:r>
      <w:r>
        <w:rPr>
          <w:rFonts w:ascii="Microsoft Sans Serif" w:hAnsi="Microsoft Sans Serif" w:cs="Microsoft Sans Serif"/>
          <w:bCs/>
          <w:sz w:val="20"/>
          <w:szCs w:val="20"/>
          <w:vertAlign w:val="superscript"/>
          <w:lang w:val="mk-MK"/>
        </w:rPr>
        <w:t xml:space="preserve"> </w:t>
      </w:r>
      <w:r>
        <w:rPr>
          <w:rFonts w:ascii="Microsoft Sans Serif" w:hAnsi="Microsoft Sans Serif" w:cs="Microsoft Sans Serif"/>
          <w:bCs/>
          <w:sz w:val="20"/>
          <w:szCs w:val="20"/>
          <w:lang w:val="sr-Latn-RS"/>
        </w:rPr>
        <w:t>Kriterijumi značajnog molekularnog odgovora: Definisan kao BCR-ABL/kontrolni transkripti ≤ 0,1% po RQ-PCR u uzorcima periferne krvi</w:t>
      </w:r>
    </w:p>
    <w:p w14:paraId="0A123DBD">
      <w:pPr>
        <w:rPr>
          <w:rFonts w:ascii="Microsoft Sans Serif" w:hAnsi="Microsoft Sans Serif" w:cs="Microsoft Sans Serif"/>
          <w:bCs/>
          <w:sz w:val="20"/>
          <w:szCs w:val="20"/>
          <w:lang w:val="sr-Latn-RS"/>
        </w:rPr>
      </w:pPr>
    </w:p>
    <w:p w14:paraId="5835D0A3">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13: Dugoročna efikasnost dasatiniba u studiji optimizacije doze faze 3: pacijenti sa HML u</w:t>
      </w:r>
    </w:p>
    <w:p w14:paraId="1C1E6466">
      <w:pPr>
        <w:rPr>
          <w:rFonts w:ascii="Microsoft Sans Serif" w:hAnsi="Microsoft Sans Serif" w:cs="Microsoft Sans Serif"/>
          <w:b/>
          <w:bCs/>
          <w:sz w:val="20"/>
          <w:szCs w:val="20"/>
          <w:vertAlign w:val="superscript"/>
          <w:lang w:val="sr-Latn-RS"/>
        </w:rPr>
      </w:pPr>
      <w:r>
        <w:rPr>
          <w:rFonts w:ascii="Microsoft Sans Serif" w:hAnsi="Microsoft Sans Serif" w:cs="Microsoft Sans Serif"/>
          <w:b/>
          <w:bCs/>
          <w:sz w:val="20"/>
          <w:szCs w:val="20"/>
          <w:lang w:val="sr-Latn-RS"/>
        </w:rPr>
        <w:t>hroničnoj fazi koji su rezistentni na imatinib ili ga ne podnose</w:t>
      </w:r>
      <w:r>
        <w:rPr>
          <w:rFonts w:ascii="Microsoft Sans Serif" w:hAnsi="Microsoft Sans Serif" w:cs="Microsoft Sans Serif"/>
          <w:b/>
          <w:bCs/>
          <w:sz w:val="20"/>
          <w:szCs w:val="20"/>
          <w:vertAlign w:val="superscript"/>
          <w:lang w:val="sr-Latn-RS"/>
        </w:rPr>
        <w:t>3</w:t>
      </w:r>
    </w:p>
    <w:tbl>
      <w:tblPr>
        <w:tblStyle w:val="12"/>
        <w:tblW w:w="9072" w:type="dxa"/>
        <w:tblInd w:w="0" w:type="dxa"/>
        <w:tblLayout w:type="fixed"/>
        <w:tblCellMar>
          <w:top w:w="0" w:type="dxa"/>
          <w:left w:w="0" w:type="dxa"/>
          <w:bottom w:w="0" w:type="dxa"/>
          <w:right w:w="0" w:type="dxa"/>
        </w:tblCellMar>
      </w:tblPr>
      <w:tblGrid>
        <w:gridCol w:w="306"/>
        <w:gridCol w:w="2462"/>
        <w:gridCol w:w="382"/>
        <w:gridCol w:w="1303"/>
        <w:gridCol w:w="1501"/>
        <w:gridCol w:w="1525"/>
        <w:gridCol w:w="1593"/>
      </w:tblGrid>
      <w:tr w14:paraId="13205E3A">
        <w:tblPrEx>
          <w:tblCellMar>
            <w:top w:w="0" w:type="dxa"/>
            <w:left w:w="0" w:type="dxa"/>
            <w:bottom w:w="0" w:type="dxa"/>
            <w:right w:w="0" w:type="dxa"/>
          </w:tblCellMar>
        </w:tblPrEx>
        <w:trPr>
          <w:trHeight w:val="247" w:hRule="exact"/>
        </w:trPr>
        <w:tc>
          <w:tcPr>
            <w:tcW w:w="3150" w:type="dxa"/>
            <w:gridSpan w:val="3"/>
            <w:tcBorders>
              <w:top w:val="nil"/>
              <w:left w:val="nil"/>
              <w:bottom w:val="single" w:color="000000" w:sz="4" w:space="0"/>
              <w:right w:val="nil"/>
            </w:tcBorders>
          </w:tcPr>
          <w:p w14:paraId="58FC7DFE">
            <w:pPr>
              <w:rPr>
                <w:rFonts w:ascii="Microsoft Sans Serif" w:hAnsi="Microsoft Sans Serif" w:cs="Microsoft Sans Serif"/>
                <w:sz w:val="20"/>
                <w:szCs w:val="20"/>
              </w:rPr>
            </w:pPr>
          </w:p>
        </w:tc>
        <w:tc>
          <w:tcPr>
            <w:tcW w:w="1303" w:type="dxa"/>
            <w:tcBorders>
              <w:top w:val="single" w:color="000000" w:sz="4" w:space="0"/>
              <w:left w:val="nil"/>
              <w:bottom w:val="single" w:color="000000" w:sz="4" w:space="0"/>
              <w:right w:val="nil"/>
            </w:tcBorders>
          </w:tcPr>
          <w:p w14:paraId="697A4D31">
            <w:pPr>
              <w:spacing w:before="13"/>
              <w:jc w:val="center"/>
              <w:rPr>
                <w:rFonts w:ascii="Microsoft Sans Serif" w:hAnsi="Microsoft Sans Serif" w:cs="Microsoft Sans Serif"/>
                <w:sz w:val="20"/>
                <w:szCs w:val="20"/>
              </w:rPr>
            </w:pPr>
            <w:r>
              <w:rPr>
                <w:rFonts w:ascii="Microsoft Sans Serif" w:hAnsi="Microsoft Sans Serif" w:cs="Microsoft Sans Serif"/>
                <w:b/>
                <w:bCs/>
                <w:sz w:val="20"/>
                <w:szCs w:val="20"/>
              </w:rPr>
              <w:t>1</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01" w:type="dxa"/>
            <w:tcBorders>
              <w:top w:val="single" w:color="000000" w:sz="4" w:space="0"/>
              <w:left w:val="nil"/>
              <w:bottom w:val="single" w:color="000000" w:sz="4" w:space="0"/>
              <w:right w:val="nil"/>
            </w:tcBorders>
          </w:tcPr>
          <w:p w14:paraId="13F03B6D">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2</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w:t>
            </w:r>
            <w:r>
              <w:rPr>
                <w:rFonts w:ascii="Microsoft Sans Serif" w:hAnsi="Microsoft Sans Serif" w:cs="Microsoft Sans Serif"/>
                <w:b/>
                <w:bCs/>
                <w:w w:val="103"/>
                <w:sz w:val="20"/>
                <w:szCs w:val="20"/>
                <w:lang w:val="mk-MK"/>
              </w:rPr>
              <w:t>е</w:t>
            </w:r>
          </w:p>
        </w:tc>
        <w:tc>
          <w:tcPr>
            <w:tcW w:w="1525" w:type="dxa"/>
            <w:tcBorders>
              <w:top w:val="single" w:color="000000" w:sz="4" w:space="0"/>
              <w:left w:val="nil"/>
              <w:bottom w:val="single" w:color="000000" w:sz="4" w:space="0"/>
              <w:right w:val="nil"/>
            </w:tcBorders>
          </w:tcPr>
          <w:p w14:paraId="02248A49">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5</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c>
          <w:tcPr>
            <w:tcW w:w="1593" w:type="dxa"/>
            <w:tcBorders>
              <w:top w:val="single" w:color="000000" w:sz="4" w:space="0"/>
              <w:left w:val="nil"/>
              <w:bottom w:val="single" w:color="000000" w:sz="4" w:space="0"/>
              <w:right w:val="nil"/>
            </w:tcBorders>
          </w:tcPr>
          <w:p w14:paraId="4ED9C326">
            <w:pPr>
              <w:spacing w:before="13"/>
              <w:rPr>
                <w:rFonts w:ascii="Microsoft Sans Serif" w:hAnsi="Microsoft Sans Serif" w:cs="Microsoft Sans Serif"/>
                <w:sz w:val="20"/>
                <w:szCs w:val="20"/>
              </w:rPr>
            </w:pPr>
            <w:r>
              <w:rPr>
                <w:rFonts w:ascii="Microsoft Sans Serif" w:hAnsi="Microsoft Sans Serif" w:cs="Microsoft Sans Serif"/>
                <w:b/>
                <w:bCs/>
                <w:sz w:val="20"/>
                <w:szCs w:val="20"/>
              </w:rPr>
              <w:t>7</w:t>
            </w:r>
            <w:r>
              <w:rPr>
                <w:rFonts w:ascii="Microsoft Sans Serif" w:hAnsi="Microsoft Sans Serif" w:cs="Microsoft Sans Serif"/>
                <w:b/>
                <w:bCs/>
                <w:spacing w:val="5"/>
                <w:sz w:val="20"/>
                <w:szCs w:val="20"/>
              </w:rPr>
              <w:t xml:space="preserve"> </w:t>
            </w:r>
            <w:r>
              <w:rPr>
                <w:rFonts w:ascii="Microsoft Sans Serif" w:hAnsi="Microsoft Sans Serif" w:cs="Microsoft Sans Serif"/>
                <w:b/>
                <w:bCs/>
                <w:w w:val="103"/>
                <w:sz w:val="20"/>
                <w:szCs w:val="20"/>
              </w:rPr>
              <w:t>godina</w:t>
            </w:r>
          </w:p>
        </w:tc>
      </w:tr>
      <w:tr w14:paraId="0AB5AD87">
        <w:tblPrEx>
          <w:tblCellMar>
            <w:top w:w="0" w:type="dxa"/>
            <w:left w:w="0" w:type="dxa"/>
            <w:bottom w:w="0" w:type="dxa"/>
            <w:right w:w="0" w:type="dxa"/>
          </w:tblCellMar>
        </w:tblPrEx>
        <w:trPr>
          <w:trHeight w:val="249" w:hRule="exact"/>
        </w:trPr>
        <w:tc>
          <w:tcPr>
            <w:tcW w:w="3150" w:type="dxa"/>
            <w:gridSpan w:val="3"/>
            <w:tcBorders>
              <w:top w:val="single" w:color="000000" w:sz="4" w:space="0"/>
              <w:left w:val="nil"/>
              <w:bottom w:val="nil"/>
              <w:right w:val="nil"/>
            </w:tcBorders>
          </w:tcPr>
          <w:p w14:paraId="5BCBA43F">
            <w:pPr>
              <w:spacing w:before="13"/>
              <w:rPr>
                <w:rFonts w:ascii="Microsoft Sans Serif" w:hAnsi="Microsoft Sans Serif" w:cs="Microsoft Sans Serif"/>
                <w:sz w:val="20"/>
                <w:szCs w:val="20"/>
              </w:rPr>
            </w:pPr>
            <w:r>
              <w:rPr>
                <w:rFonts w:ascii="Microsoft Sans Serif" w:hAnsi="Microsoft Sans Serif" w:cs="Microsoft Sans Serif"/>
                <w:b/>
                <w:bCs/>
                <w:spacing w:val="1"/>
                <w:sz w:val="20"/>
                <w:szCs w:val="20"/>
              </w:rPr>
              <w:t>Značajan molekularan odgovor</w:t>
            </w:r>
          </w:p>
        </w:tc>
        <w:tc>
          <w:tcPr>
            <w:tcW w:w="1303" w:type="dxa"/>
            <w:tcBorders>
              <w:top w:val="single" w:color="000000" w:sz="4" w:space="0"/>
              <w:left w:val="nil"/>
              <w:bottom w:val="nil"/>
              <w:right w:val="nil"/>
            </w:tcBorders>
          </w:tcPr>
          <w:p w14:paraId="2E68E22D">
            <w:pPr>
              <w:rPr>
                <w:rFonts w:ascii="Microsoft Sans Serif" w:hAnsi="Microsoft Sans Serif" w:cs="Microsoft Sans Serif"/>
                <w:sz w:val="20"/>
                <w:szCs w:val="20"/>
              </w:rPr>
            </w:pPr>
          </w:p>
        </w:tc>
        <w:tc>
          <w:tcPr>
            <w:tcW w:w="1501" w:type="dxa"/>
            <w:tcBorders>
              <w:top w:val="single" w:color="000000" w:sz="4" w:space="0"/>
              <w:left w:val="nil"/>
              <w:bottom w:val="nil"/>
              <w:right w:val="nil"/>
            </w:tcBorders>
          </w:tcPr>
          <w:p w14:paraId="08B9914C">
            <w:pPr>
              <w:rPr>
                <w:rFonts w:ascii="Microsoft Sans Serif" w:hAnsi="Microsoft Sans Serif" w:cs="Microsoft Sans Serif"/>
                <w:sz w:val="20"/>
                <w:szCs w:val="20"/>
              </w:rPr>
            </w:pPr>
          </w:p>
        </w:tc>
        <w:tc>
          <w:tcPr>
            <w:tcW w:w="1525" w:type="dxa"/>
            <w:tcBorders>
              <w:top w:val="single" w:color="000000" w:sz="4" w:space="0"/>
              <w:left w:val="nil"/>
              <w:bottom w:val="nil"/>
              <w:right w:val="nil"/>
            </w:tcBorders>
          </w:tcPr>
          <w:p w14:paraId="5207C5E2">
            <w:pPr>
              <w:rPr>
                <w:rFonts w:ascii="Microsoft Sans Serif" w:hAnsi="Microsoft Sans Serif" w:cs="Microsoft Sans Serif"/>
                <w:sz w:val="20"/>
                <w:szCs w:val="20"/>
              </w:rPr>
            </w:pPr>
          </w:p>
        </w:tc>
        <w:tc>
          <w:tcPr>
            <w:tcW w:w="1593" w:type="dxa"/>
            <w:tcBorders>
              <w:top w:val="single" w:color="000000" w:sz="4" w:space="0"/>
              <w:left w:val="nil"/>
              <w:bottom w:val="nil"/>
              <w:right w:val="nil"/>
            </w:tcBorders>
          </w:tcPr>
          <w:p w14:paraId="0F3F4E90">
            <w:pPr>
              <w:rPr>
                <w:rFonts w:ascii="Microsoft Sans Serif" w:hAnsi="Microsoft Sans Serif" w:cs="Microsoft Sans Serif"/>
                <w:sz w:val="20"/>
                <w:szCs w:val="20"/>
              </w:rPr>
            </w:pPr>
          </w:p>
        </w:tc>
      </w:tr>
      <w:tr w14:paraId="224DEBA7">
        <w:tblPrEx>
          <w:tblCellMar>
            <w:top w:w="0" w:type="dxa"/>
            <w:left w:w="0" w:type="dxa"/>
            <w:bottom w:w="0" w:type="dxa"/>
            <w:right w:w="0" w:type="dxa"/>
          </w:tblCellMar>
        </w:tblPrEx>
        <w:trPr>
          <w:trHeight w:val="237" w:hRule="exact"/>
        </w:trPr>
        <w:tc>
          <w:tcPr>
            <w:tcW w:w="3150" w:type="dxa"/>
            <w:gridSpan w:val="3"/>
            <w:tcBorders>
              <w:top w:val="nil"/>
              <w:left w:val="nil"/>
              <w:bottom w:val="nil"/>
              <w:right w:val="nil"/>
            </w:tcBorders>
          </w:tcPr>
          <w:p w14:paraId="76CEC4E5">
            <w:pPr>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75646F83">
            <w:pPr>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2916EB34">
            <w:pPr>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7</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(57/</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5</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6F49F20B">
            <w:pPr>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4</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(7</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02D78D21">
            <w:pPr>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w w:val="103"/>
                <w:sz w:val="20"/>
                <w:szCs w:val="20"/>
              </w:rPr>
              <w:t>(73/</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27D368">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22563625">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Pacijenti rezistentni na i</w:t>
            </w:r>
            <w:r>
              <w:rPr>
                <w:rFonts w:ascii="Microsoft Sans Serif" w:hAnsi="Microsoft Sans Serif" w:cs="Microsoft Sans Serif"/>
                <w:spacing w:val="-1"/>
                <w:sz w:val="20"/>
                <w:szCs w:val="20"/>
              </w:rPr>
              <w:t>m</w:t>
            </w:r>
            <w:r>
              <w:rPr>
                <w:rFonts w:ascii="Microsoft Sans Serif" w:hAnsi="Microsoft Sans Serif" w:cs="Microsoft Sans Serif"/>
                <w:sz w:val="20"/>
                <w:szCs w:val="20"/>
              </w:rPr>
              <w:t>at</w:t>
            </w:r>
            <w:r>
              <w:rPr>
                <w:rFonts w:ascii="Microsoft Sans Serif" w:hAnsi="Microsoft Sans Serif" w:cs="Microsoft Sans Serif"/>
                <w:spacing w:val="1"/>
                <w:sz w:val="20"/>
                <w:szCs w:val="20"/>
              </w:rPr>
              <w:t>ini</w:t>
            </w:r>
            <w:r>
              <w:rPr>
                <w:rFonts w:ascii="Microsoft Sans Serif" w:hAnsi="Microsoft Sans Serif" w:cs="Microsoft Sans Serif"/>
                <w:spacing w:val="-1"/>
                <w:sz w:val="20"/>
                <w:szCs w:val="20"/>
              </w:rPr>
              <w:t>b</w:t>
            </w:r>
            <w:r>
              <w:rPr>
                <w:rFonts w:ascii="Microsoft Sans Serif" w:hAnsi="Microsoft Sans Serif" w:cs="Microsoft Sans Serif"/>
                <w:spacing w:val="45"/>
                <w:sz w:val="20"/>
                <w:szCs w:val="20"/>
              </w:rPr>
              <w:t xml:space="preserve"> </w:t>
            </w:r>
            <w:r>
              <w:rPr>
                <w:rFonts w:ascii="Microsoft Sans Serif" w:hAnsi="Microsoft Sans Serif" w:cs="Microsoft Sans Serif"/>
                <w:spacing w:val="1"/>
                <w:w w:val="103"/>
                <w:sz w:val="20"/>
                <w:szCs w:val="20"/>
              </w:rPr>
              <w:t>p</w:t>
            </w:r>
            <w:r>
              <w:rPr>
                <w:rFonts w:ascii="Microsoft Sans Serif" w:hAnsi="Microsoft Sans Serif" w:cs="Microsoft Sans Serif"/>
                <w:w w:val="103"/>
                <w:sz w:val="20"/>
                <w:szCs w:val="20"/>
              </w:rPr>
              <w:t>a</w:t>
            </w:r>
            <w:r>
              <w:rPr>
                <w:rFonts w:ascii="Microsoft Sans Serif" w:hAnsi="Microsoft Sans Serif" w:cs="Microsoft Sans Serif"/>
                <w:spacing w:val="1"/>
                <w:w w:val="103"/>
                <w:sz w:val="20"/>
                <w:szCs w:val="20"/>
              </w:rPr>
              <w:t>tie</w:t>
            </w:r>
            <w:r>
              <w:rPr>
                <w:rFonts w:ascii="Microsoft Sans Serif" w:hAnsi="Microsoft Sans Serif" w:cs="Microsoft Sans Serif"/>
                <w:spacing w:val="-1"/>
                <w:w w:val="103"/>
                <w:sz w:val="20"/>
                <w:szCs w:val="20"/>
              </w:rPr>
              <w:t>n</w:t>
            </w:r>
            <w:r>
              <w:rPr>
                <w:rFonts w:ascii="Microsoft Sans Serif" w:hAnsi="Microsoft Sans Serif" w:cs="Microsoft Sans Serif"/>
                <w:w w:val="103"/>
                <w:sz w:val="20"/>
                <w:szCs w:val="20"/>
              </w:rPr>
              <w:t>ts</w:t>
            </w:r>
          </w:p>
        </w:tc>
        <w:tc>
          <w:tcPr>
            <w:tcW w:w="1303" w:type="dxa"/>
            <w:tcBorders>
              <w:top w:val="nil"/>
              <w:left w:val="nil"/>
              <w:bottom w:val="nil"/>
              <w:right w:val="nil"/>
            </w:tcBorders>
          </w:tcPr>
          <w:p w14:paraId="6067F711">
            <w:pPr>
              <w:spacing w:before="1"/>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0F7E27E9">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3</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(41/11</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w:t>
            </w:r>
          </w:p>
        </w:tc>
        <w:tc>
          <w:tcPr>
            <w:tcW w:w="1525" w:type="dxa"/>
            <w:tcBorders>
              <w:top w:val="nil"/>
              <w:left w:val="nil"/>
              <w:bottom w:val="nil"/>
              <w:right w:val="nil"/>
            </w:tcBorders>
          </w:tcPr>
          <w:p w14:paraId="75CDDC39">
            <w:pPr>
              <w:spacing w:before="1"/>
              <w:rPr>
                <w:rFonts w:ascii="Microsoft Sans Serif" w:hAnsi="Microsoft Sans Serif" w:cs="Microsoft Sans Serif"/>
                <w:sz w:val="20"/>
                <w:szCs w:val="20"/>
              </w:rPr>
            </w:pPr>
            <w:r>
              <w:rPr>
                <w:rFonts w:ascii="Microsoft Sans Serif" w:hAnsi="Microsoft Sans Serif" w:cs="Microsoft Sans Serif"/>
                <w:sz w:val="20"/>
                <w:szCs w:val="20"/>
              </w:rPr>
              <w:t>4</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spacing w:val="-1"/>
                <w:w w:val="103"/>
                <w:sz w:val="20"/>
                <w:szCs w:val="20"/>
              </w:rPr>
              <w:t>0</w:t>
            </w:r>
            <w:r>
              <w:rPr>
                <w:rFonts w:ascii="Microsoft Sans Serif" w:hAnsi="Microsoft Sans Serif" w:cs="Microsoft Sans Serif"/>
                <w:spacing w:val="1"/>
                <w:w w:val="103"/>
                <w:sz w:val="20"/>
                <w:szCs w:val="20"/>
              </w:rPr>
              <w:t>/12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93" w:type="dxa"/>
            <w:tcBorders>
              <w:top w:val="nil"/>
              <w:left w:val="nil"/>
              <w:bottom w:val="nil"/>
              <w:right w:val="nil"/>
            </w:tcBorders>
          </w:tcPr>
          <w:p w14:paraId="75867AF4">
            <w:pPr>
              <w:spacing w:before="1"/>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1"/>
                <w:w w:val="103"/>
                <w:sz w:val="20"/>
                <w:szCs w:val="20"/>
              </w:rPr>
              <w:t>(</w:t>
            </w:r>
            <w:r>
              <w:rPr>
                <w:rFonts w:ascii="Microsoft Sans Serif" w:hAnsi="Microsoft Sans Serif" w:cs="Microsoft Sans Serif"/>
                <w:spacing w:val="-2"/>
                <w:w w:val="103"/>
                <w:sz w:val="20"/>
                <w:szCs w:val="20"/>
              </w:rPr>
              <w:t>5</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r>
      <w:tr w14:paraId="43AE0B1F">
        <w:tblPrEx>
          <w:tblCellMar>
            <w:top w:w="0" w:type="dxa"/>
            <w:left w:w="0" w:type="dxa"/>
            <w:bottom w:w="0" w:type="dxa"/>
            <w:right w:w="0" w:type="dxa"/>
          </w:tblCellMar>
        </w:tblPrEx>
        <w:trPr>
          <w:trHeight w:val="918" w:hRule="exact"/>
        </w:trPr>
        <w:tc>
          <w:tcPr>
            <w:tcW w:w="3150" w:type="dxa"/>
            <w:gridSpan w:val="3"/>
            <w:tcBorders>
              <w:top w:val="nil"/>
              <w:left w:val="nil"/>
              <w:bottom w:val="nil"/>
              <w:right w:val="nil"/>
            </w:tcBorders>
          </w:tcPr>
          <w:p w14:paraId="69E624DB">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 imat</w:t>
            </w:r>
            <w:r>
              <w:rPr>
                <w:rFonts w:ascii="Microsoft Sans Serif" w:hAnsi="Microsoft Sans Serif" w:cs="Microsoft Sans Serif"/>
                <w:spacing w:val="1"/>
                <w:sz w:val="20"/>
                <w:szCs w:val="20"/>
              </w:rPr>
              <w:t>i</w:t>
            </w:r>
            <w:r>
              <w:rPr>
                <w:rFonts w:ascii="Microsoft Sans Serif" w:hAnsi="Microsoft Sans Serif" w:cs="Microsoft Sans Serif"/>
                <w:sz w:val="20"/>
                <w:szCs w:val="20"/>
              </w:rPr>
              <w:t>ni</w:t>
            </w:r>
            <w:r>
              <w:rPr>
                <w:rFonts w:ascii="Microsoft Sans Serif" w:hAnsi="Microsoft Sans Serif" w:cs="Microsoft Sans Serif"/>
                <w:spacing w:val="-1"/>
                <w:sz w:val="20"/>
                <w:szCs w:val="20"/>
              </w:rPr>
              <w:t>b</w:t>
            </w:r>
          </w:p>
          <w:p w14:paraId="3D20CADD">
            <w:pPr>
              <w:spacing w:line="239" w:lineRule="exact"/>
              <w:rPr>
                <w:rFonts w:ascii="Microsoft Sans Serif" w:hAnsi="Microsoft Sans Serif" w:cs="Microsoft Sans Serif"/>
                <w:sz w:val="20"/>
                <w:szCs w:val="20"/>
              </w:rPr>
            </w:pPr>
            <w:r>
              <w:rPr>
                <w:rFonts w:ascii="Microsoft Sans Serif" w:hAnsi="Microsoft Sans Serif" w:cs="Microsoft Sans Serif"/>
                <w:b/>
                <w:bCs/>
                <w:spacing w:val="-1"/>
                <w:sz w:val="20"/>
                <w:szCs w:val="20"/>
              </w:rPr>
              <w:t>Preživljavanje bez progresije bolesti</w:t>
            </w:r>
            <w:r>
              <w:rPr>
                <w:rFonts w:ascii="Microsoft Sans Serif" w:hAnsi="Microsoft Sans Serif" w:cs="Microsoft Sans Serif"/>
                <w:b/>
                <w:bCs/>
                <w:spacing w:val="-1"/>
                <w:sz w:val="20"/>
                <w:szCs w:val="20"/>
                <w:vertAlign w:val="superscript"/>
              </w:rPr>
              <w:t>b</w:t>
            </w:r>
          </w:p>
        </w:tc>
        <w:tc>
          <w:tcPr>
            <w:tcW w:w="1303" w:type="dxa"/>
            <w:tcBorders>
              <w:top w:val="nil"/>
              <w:left w:val="nil"/>
              <w:bottom w:val="nil"/>
              <w:right w:val="nil"/>
            </w:tcBorders>
          </w:tcPr>
          <w:p w14:paraId="2E1349F1">
            <w:pPr>
              <w:spacing w:before="2"/>
              <w:jc w:val="center"/>
              <w:rPr>
                <w:rFonts w:ascii="Microsoft Sans Serif" w:hAnsi="Microsoft Sans Serif" w:cs="Microsoft Sans Serif"/>
                <w:sz w:val="20"/>
                <w:szCs w:val="20"/>
              </w:rPr>
            </w:pPr>
            <w:r>
              <w:rPr>
                <w:rFonts w:ascii="Microsoft Sans Serif" w:hAnsi="Microsoft Sans Serif" w:cs="Microsoft Sans Serif"/>
                <w:w w:val="103"/>
                <w:sz w:val="20"/>
                <w:szCs w:val="20"/>
              </w:rPr>
              <w:t>NA</w:t>
            </w:r>
          </w:p>
        </w:tc>
        <w:tc>
          <w:tcPr>
            <w:tcW w:w="1501" w:type="dxa"/>
            <w:tcBorders>
              <w:top w:val="nil"/>
              <w:left w:val="nil"/>
              <w:bottom w:val="nil"/>
              <w:right w:val="nil"/>
            </w:tcBorders>
          </w:tcPr>
          <w:p w14:paraId="35086B3B">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4</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1</w:t>
            </w:r>
            <w:r>
              <w:rPr>
                <w:rFonts w:ascii="Microsoft Sans Serif" w:hAnsi="Microsoft Sans Serif" w:cs="Microsoft Sans Serif"/>
                <w:w w:val="103"/>
                <w:sz w:val="20"/>
                <w:szCs w:val="20"/>
              </w:rPr>
              <w:t>6</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37)</w:t>
            </w:r>
          </w:p>
        </w:tc>
        <w:tc>
          <w:tcPr>
            <w:tcW w:w="1525" w:type="dxa"/>
            <w:tcBorders>
              <w:top w:val="nil"/>
              <w:left w:val="nil"/>
              <w:bottom w:val="nil"/>
              <w:right w:val="nil"/>
            </w:tcBorders>
          </w:tcPr>
          <w:p w14:paraId="1F06979E">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5</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1</w:t>
            </w:r>
            <w:r>
              <w:rPr>
                <w:rFonts w:ascii="Microsoft Sans Serif" w:hAnsi="Microsoft Sans Serif" w:cs="Microsoft Sans Serif"/>
                <w:spacing w:val="1"/>
                <w:w w:val="103"/>
                <w:sz w:val="20"/>
                <w:szCs w:val="20"/>
              </w:rPr>
              <w:t>/</w:t>
            </w:r>
            <w:r>
              <w:rPr>
                <w:rFonts w:ascii="Microsoft Sans Serif" w:hAnsi="Microsoft Sans Serif" w:cs="Microsoft Sans Serif"/>
                <w:w w:val="103"/>
                <w:sz w:val="20"/>
                <w:szCs w:val="20"/>
              </w:rPr>
              <w:t>40)</w:t>
            </w:r>
          </w:p>
        </w:tc>
        <w:tc>
          <w:tcPr>
            <w:tcW w:w="1593" w:type="dxa"/>
            <w:tcBorders>
              <w:top w:val="nil"/>
              <w:left w:val="nil"/>
              <w:bottom w:val="nil"/>
              <w:right w:val="nil"/>
            </w:tcBorders>
          </w:tcPr>
          <w:p w14:paraId="5AF3526D">
            <w:pPr>
              <w:spacing w:before="2"/>
              <w:rPr>
                <w:rFonts w:ascii="Microsoft Sans Serif" w:hAnsi="Microsoft Sans Serif" w:cs="Microsoft Sans Serif"/>
                <w:sz w:val="20"/>
                <w:szCs w:val="20"/>
              </w:rPr>
            </w:pPr>
            <w:r>
              <w:rPr>
                <w:rFonts w:ascii="Microsoft Sans Serif" w:hAnsi="Microsoft Sans Serif" w:cs="Microsoft Sans Serif"/>
                <w:sz w:val="20"/>
                <w:szCs w:val="20"/>
              </w:rPr>
              <w:t>55%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w w:val="103"/>
                <w:sz w:val="20"/>
                <w:szCs w:val="20"/>
              </w:rPr>
              <w:t>(</w:t>
            </w:r>
            <w:r>
              <w:rPr>
                <w:rFonts w:ascii="Microsoft Sans Serif" w:hAnsi="Microsoft Sans Serif" w:cs="Microsoft Sans Serif"/>
                <w:spacing w:val="-1"/>
                <w:w w:val="103"/>
                <w:sz w:val="20"/>
                <w:szCs w:val="20"/>
              </w:rPr>
              <w:t>2</w:t>
            </w:r>
            <w:r>
              <w:rPr>
                <w:rFonts w:ascii="Microsoft Sans Serif" w:hAnsi="Microsoft Sans Serif" w:cs="Microsoft Sans Serif"/>
                <w:w w:val="103"/>
                <w:sz w:val="20"/>
                <w:szCs w:val="20"/>
              </w:rPr>
              <w:t>2</w:t>
            </w:r>
            <w:r>
              <w:rPr>
                <w:rFonts w:ascii="Microsoft Sans Serif" w:hAnsi="Microsoft Sans Serif" w:cs="Microsoft Sans Serif"/>
                <w:spacing w:val="1"/>
                <w:w w:val="103"/>
                <w:sz w:val="20"/>
                <w:szCs w:val="20"/>
              </w:rPr>
              <w:t>/</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0)</w:t>
            </w:r>
          </w:p>
        </w:tc>
      </w:tr>
      <w:tr w14:paraId="70CF688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06ED70D8">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303" w:type="dxa"/>
            <w:tcBorders>
              <w:top w:val="nil"/>
              <w:left w:val="nil"/>
              <w:bottom w:val="nil"/>
              <w:right w:val="nil"/>
            </w:tcBorders>
          </w:tcPr>
          <w:p w14:paraId="5E0EB402">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6</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5)</w:t>
            </w:r>
          </w:p>
        </w:tc>
        <w:tc>
          <w:tcPr>
            <w:tcW w:w="1501" w:type="dxa"/>
            <w:tcBorders>
              <w:top w:val="nil"/>
              <w:left w:val="nil"/>
              <w:bottom w:val="nil"/>
              <w:right w:val="nil"/>
            </w:tcBorders>
          </w:tcPr>
          <w:p w14:paraId="751C8AA3">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80%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3,</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87)</w:t>
            </w:r>
          </w:p>
        </w:tc>
        <w:tc>
          <w:tcPr>
            <w:tcW w:w="1525" w:type="dxa"/>
            <w:tcBorders>
              <w:top w:val="nil"/>
              <w:left w:val="nil"/>
              <w:bottom w:val="nil"/>
              <w:right w:val="nil"/>
            </w:tcBorders>
          </w:tcPr>
          <w:p w14:paraId="62FF8E3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51%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4</w:t>
            </w:r>
            <w:r>
              <w:rPr>
                <w:rFonts w:ascii="Microsoft Sans Serif" w:hAnsi="Microsoft Sans Serif" w:cs="Microsoft Sans Serif"/>
                <w:sz w:val="20"/>
                <w:szCs w:val="20"/>
              </w:rPr>
              <w:t>1,</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60)</w:t>
            </w:r>
          </w:p>
        </w:tc>
        <w:tc>
          <w:tcPr>
            <w:tcW w:w="1593" w:type="dxa"/>
            <w:tcBorders>
              <w:top w:val="nil"/>
              <w:left w:val="nil"/>
              <w:bottom w:val="nil"/>
              <w:right w:val="nil"/>
            </w:tcBorders>
          </w:tcPr>
          <w:p w14:paraId="00FFCFB1">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42%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5</w:t>
            </w:r>
            <w:r>
              <w:rPr>
                <w:rFonts w:ascii="Microsoft Sans Serif" w:hAnsi="Microsoft Sans Serif" w:cs="Microsoft Sans Serif"/>
                <w:w w:val="103"/>
                <w:sz w:val="20"/>
                <w:szCs w:val="20"/>
              </w:rPr>
              <w:t>1)</w:t>
            </w:r>
          </w:p>
        </w:tc>
      </w:tr>
      <w:tr w14:paraId="6B9CF511">
        <w:tblPrEx>
          <w:tblCellMar>
            <w:top w:w="0" w:type="dxa"/>
            <w:left w:w="0" w:type="dxa"/>
            <w:bottom w:w="0" w:type="dxa"/>
            <w:right w:w="0" w:type="dxa"/>
          </w:tblCellMar>
        </w:tblPrEx>
        <w:trPr>
          <w:trHeight w:val="238" w:hRule="exact"/>
        </w:trPr>
        <w:tc>
          <w:tcPr>
            <w:tcW w:w="3150" w:type="dxa"/>
            <w:gridSpan w:val="3"/>
            <w:tcBorders>
              <w:top w:val="nil"/>
              <w:left w:val="nil"/>
              <w:bottom w:val="nil"/>
              <w:right w:val="nil"/>
            </w:tcBorders>
          </w:tcPr>
          <w:p w14:paraId="5FE90756">
            <w:pPr>
              <w:spacing w:before="1"/>
              <w:rPr>
                <w:rFonts w:ascii="Microsoft Sans Serif" w:hAnsi="Microsoft Sans Serif" w:cs="Microsoft Sans Serif"/>
                <w:sz w:val="20"/>
                <w:szCs w:val="20"/>
              </w:rPr>
            </w:pPr>
            <w:r>
              <w:rPr>
                <w:rFonts w:ascii="Microsoft Sans Serif" w:hAnsi="Microsoft Sans Serif" w:cs="Microsoft Sans Serif"/>
                <w:sz w:val="20"/>
                <w:szCs w:val="20"/>
              </w:rPr>
              <w:t xml:space="preserve">Pacijenti rezistentni na </w:t>
            </w:r>
            <w:r>
              <w:rPr>
                <w:rFonts w:ascii="Microsoft Sans Serif" w:hAnsi="Microsoft Sans Serif" w:cs="Microsoft Sans Serif"/>
                <w:sz w:val="20"/>
                <w:szCs w:val="20"/>
                <w:lang w:val="hr-BA"/>
              </w:rPr>
              <w:t>i</w:t>
            </w:r>
            <w:r>
              <w:rPr>
                <w:rFonts w:ascii="Microsoft Sans Serif" w:hAnsi="Microsoft Sans Serif" w:cs="Microsoft Sans Serif"/>
                <w:sz w:val="20"/>
                <w:szCs w:val="20"/>
              </w:rPr>
              <w:t>matinib</w:t>
            </w:r>
          </w:p>
        </w:tc>
        <w:tc>
          <w:tcPr>
            <w:tcW w:w="1303" w:type="dxa"/>
            <w:tcBorders>
              <w:top w:val="nil"/>
              <w:left w:val="nil"/>
              <w:bottom w:val="nil"/>
              <w:right w:val="nil"/>
            </w:tcBorders>
          </w:tcPr>
          <w:p w14:paraId="09CB57F8">
            <w:pPr>
              <w:spacing w:before="1"/>
              <w:rPr>
                <w:rFonts w:ascii="Microsoft Sans Serif" w:hAnsi="Microsoft Sans Serif" w:cs="Microsoft Sans Serif"/>
                <w:sz w:val="20"/>
                <w:szCs w:val="20"/>
              </w:rPr>
            </w:pPr>
            <w:r>
              <w:rPr>
                <w:rFonts w:ascii="Microsoft Sans Serif" w:hAnsi="Microsoft Sans Serif" w:cs="Microsoft Sans Serif"/>
                <w:sz w:val="20"/>
                <w:szCs w:val="20"/>
              </w:rPr>
              <w:t>88%</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8</w:t>
            </w:r>
            <w:r>
              <w:rPr>
                <w:rFonts w:ascii="Microsoft Sans Serif" w:hAnsi="Microsoft Sans Serif" w:cs="Microsoft Sans Serif"/>
                <w:spacing w:val="-1"/>
                <w:sz w:val="20"/>
                <w:szCs w:val="20"/>
              </w:rPr>
              <w:t>2</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4)</w:t>
            </w:r>
          </w:p>
        </w:tc>
        <w:tc>
          <w:tcPr>
            <w:tcW w:w="1501" w:type="dxa"/>
            <w:tcBorders>
              <w:top w:val="nil"/>
              <w:left w:val="nil"/>
              <w:bottom w:val="nil"/>
              <w:right w:val="nil"/>
            </w:tcBorders>
          </w:tcPr>
          <w:p w14:paraId="58FA83E2">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25" w:type="dxa"/>
            <w:tcBorders>
              <w:top w:val="nil"/>
              <w:left w:val="nil"/>
              <w:bottom w:val="nil"/>
              <w:right w:val="nil"/>
            </w:tcBorders>
          </w:tcPr>
          <w:p w14:paraId="1DA2572F">
            <w:pPr>
              <w:spacing w:before="1"/>
              <w:rPr>
                <w:rFonts w:ascii="Microsoft Sans Serif" w:hAnsi="Microsoft Sans Serif" w:cs="Microsoft Sans Serif"/>
                <w:sz w:val="20"/>
                <w:szCs w:val="20"/>
              </w:rPr>
            </w:pPr>
            <w:r>
              <w:rPr>
                <w:rFonts w:ascii="Microsoft Sans Serif" w:hAnsi="Microsoft Sans Serif" w:cs="Microsoft Sans Serif"/>
                <w:sz w:val="20"/>
                <w:szCs w:val="20"/>
              </w:rPr>
              <w:t>49%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3</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59)</w:t>
            </w:r>
          </w:p>
        </w:tc>
        <w:tc>
          <w:tcPr>
            <w:tcW w:w="1593" w:type="dxa"/>
            <w:tcBorders>
              <w:top w:val="nil"/>
              <w:left w:val="nil"/>
              <w:bottom w:val="nil"/>
              <w:right w:val="nil"/>
            </w:tcBorders>
          </w:tcPr>
          <w:p w14:paraId="77F776FE">
            <w:pPr>
              <w:spacing w:before="1"/>
              <w:rPr>
                <w:rFonts w:ascii="Microsoft Sans Serif" w:hAnsi="Microsoft Sans Serif" w:cs="Microsoft Sans Serif"/>
                <w:sz w:val="20"/>
                <w:szCs w:val="20"/>
              </w:rPr>
            </w:pPr>
            <w:r>
              <w:rPr>
                <w:rFonts w:ascii="Microsoft Sans Serif" w:hAnsi="Microsoft Sans Serif" w:cs="Microsoft Sans Serif"/>
                <w:sz w:val="20"/>
                <w:szCs w:val="20"/>
              </w:rPr>
              <w:t>39%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2</w:t>
            </w:r>
            <w:r>
              <w:rPr>
                <w:rFonts w:ascii="Microsoft Sans Serif" w:hAnsi="Microsoft Sans Serif" w:cs="Microsoft Sans Serif"/>
                <w:sz w:val="20"/>
                <w:szCs w:val="20"/>
              </w:rPr>
              <w:t>9,</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4</w:t>
            </w:r>
            <w:r>
              <w:rPr>
                <w:rFonts w:ascii="Microsoft Sans Serif" w:hAnsi="Microsoft Sans Serif" w:cs="Microsoft Sans Serif"/>
                <w:w w:val="103"/>
                <w:sz w:val="20"/>
                <w:szCs w:val="20"/>
              </w:rPr>
              <w:t>9)</w:t>
            </w:r>
          </w:p>
        </w:tc>
      </w:tr>
      <w:tr w14:paraId="6EC0EA3A">
        <w:tblPrEx>
          <w:tblCellMar>
            <w:top w:w="0" w:type="dxa"/>
            <w:left w:w="0" w:type="dxa"/>
            <w:bottom w:w="0" w:type="dxa"/>
            <w:right w:w="0" w:type="dxa"/>
          </w:tblCellMar>
        </w:tblPrEx>
        <w:trPr>
          <w:trHeight w:val="223" w:hRule="exact"/>
        </w:trPr>
        <w:tc>
          <w:tcPr>
            <w:tcW w:w="3150" w:type="dxa"/>
            <w:gridSpan w:val="3"/>
            <w:tcBorders>
              <w:top w:val="nil"/>
              <w:left w:val="nil"/>
              <w:bottom w:val="nil"/>
              <w:right w:val="nil"/>
            </w:tcBorders>
          </w:tcPr>
          <w:p w14:paraId="7F7284AF">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Pacijenti koji ne podnose imatinib</w:t>
            </w:r>
          </w:p>
        </w:tc>
        <w:tc>
          <w:tcPr>
            <w:tcW w:w="1303" w:type="dxa"/>
            <w:tcBorders>
              <w:top w:val="nil"/>
              <w:left w:val="nil"/>
              <w:bottom w:val="nil"/>
              <w:right w:val="nil"/>
            </w:tcBorders>
          </w:tcPr>
          <w:p w14:paraId="675922F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97%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9</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1</w:t>
            </w:r>
            <w:r>
              <w:rPr>
                <w:rFonts w:ascii="Microsoft Sans Serif" w:hAnsi="Microsoft Sans Serif" w:cs="Microsoft Sans Serif"/>
                <w:spacing w:val="1"/>
                <w:w w:val="103"/>
                <w:position w:val="-1"/>
                <w:sz w:val="20"/>
                <w:szCs w:val="20"/>
              </w:rPr>
              <w:t>0</w:t>
            </w:r>
            <w:r>
              <w:rPr>
                <w:rFonts w:ascii="Microsoft Sans Serif" w:hAnsi="Microsoft Sans Serif" w:cs="Microsoft Sans Serif"/>
                <w:w w:val="103"/>
                <w:position w:val="-1"/>
                <w:sz w:val="20"/>
                <w:szCs w:val="20"/>
              </w:rPr>
              <w:t>0)</w:t>
            </w:r>
          </w:p>
        </w:tc>
        <w:tc>
          <w:tcPr>
            <w:tcW w:w="1501" w:type="dxa"/>
            <w:tcBorders>
              <w:top w:val="nil"/>
              <w:left w:val="nil"/>
              <w:bottom w:val="nil"/>
              <w:right w:val="nil"/>
            </w:tcBorders>
          </w:tcPr>
          <w:p w14:paraId="61A00FA9">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87%</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7</w:t>
            </w:r>
            <w:r>
              <w:rPr>
                <w:rFonts w:ascii="Microsoft Sans Serif" w:hAnsi="Microsoft Sans Serif" w:cs="Microsoft Sans Serif"/>
                <w:position w:val="-1"/>
                <w:sz w:val="20"/>
                <w:szCs w:val="20"/>
              </w:rPr>
              <w:t>6,</w:t>
            </w:r>
            <w:r>
              <w:rPr>
                <w:rFonts w:ascii="Microsoft Sans Serif" w:hAnsi="Microsoft Sans Serif" w:cs="Microsoft Sans Serif"/>
                <w:spacing w:val="12"/>
                <w:position w:val="-1"/>
                <w:sz w:val="20"/>
                <w:szCs w:val="20"/>
              </w:rPr>
              <w:t xml:space="preserve"> </w:t>
            </w:r>
            <w:r>
              <w:rPr>
                <w:rFonts w:ascii="Microsoft Sans Serif" w:hAnsi="Microsoft Sans Serif" w:cs="Microsoft Sans Serif"/>
                <w:w w:val="103"/>
                <w:position w:val="-1"/>
                <w:sz w:val="20"/>
                <w:szCs w:val="20"/>
              </w:rPr>
              <w:t>99)</w:t>
            </w:r>
          </w:p>
        </w:tc>
        <w:tc>
          <w:tcPr>
            <w:tcW w:w="1525" w:type="dxa"/>
            <w:tcBorders>
              <w:top w:val="nil"/>
              <w:left w:val="nil"/>
              <w:bottom w:val="nil"/>
              <w:right w:val="nil"/>
            </w:tcBorders>
          </w:tcPr>
          <w:p w14:paraId="5485B8BC">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56%</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7,</w:t>
            </w:r>
            <w:r>
              <w:rPr>
                <w:rFonts w:ascii="Microsoft Sans Serif" w:hAnsi="Microsoft Sans Serif" w:cs="Microsoft Sans Serif"/>
                <w:spacing w:val="11"/>
                <w:position w:val="-1"/>
                <w:sz w:val="20"/>
                <w:szCs w:val="20"/>
              </w:rPr>
              <w:t xml:space="preserve"> </w:t>
            </w:r>
            <w:r>
              <w:rPr>
                <w:rFonts w:ascii="Microsoft Sans Serif" w:hAnsi="Microsoft Sans Serif" w:cs="Microsoft Sans Serif"/>
                <w:w w:val="103"/>
                <w:position w:val="-1"/>
                <w:sz w:val="20"/>
                <w:szCs w:val="20"/>
              </w:rPr>
              <w:t>76)</w:t>
            </w:r>
          </w:p>
        </w:tc>
        <w:tc>
          <w:tcPr>
            <w:tcW w:w="1593" w:type="dxa"/>
            <w:tcBorders>
              <w:top w:val="nil"/>
              <w:left w:val="nil"/>
              <w:bottom w:val="nil"/>
              <w:right w:val="nil"/>
            </w:tcBorders>
          </w:tcPr>
          <w:p w14:paraId="290CE52E">
            <w:pPr>
              <w:spacing w:before="2" w:line="227" w:lineRule="exact"/>
              <w:rPr>
                <w:rFonts w:ascii="Microsoft Sans Serif" w:hAnsi="Microsoft Sans Serif" w:cs="Microsoft Sans Serif"/>
                <w:sz w:val="20"/>
                <w:szCs w:val="20"/>
              </w:rPr>
            </w:pPr>
            <w:r>
              <w:rPr>
                <w:rFonts w:ascii="Microsoft Sans Serif" w:hAnsi="Microsoft Sans Serif" w:cs="Microsoft Sans Serif"/>
                <w:position w:val="-1"/>
                <w:sz w:val="20"/>
                <w:szCs w:val="20"/>
              </w:rPr>
              <w:t>51%</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2"/>
                <w:position w:val="-1"/>
                <w:sz w:val="20"/>
                <w:szCs w:val="20"/>
              </w:rPr>
              <w:t>(</w:t>
            </w:r>
            <w:r>
              <w:rPr>
                <w:rFonts w:ascii="Microsoft Sans Serif" w:hAnsi="Microsoft Sans Serif" w:cs="Microsoft Sans Serif"/>
                <w:spacing w:val="-1"/>
                <w:position w:val="-1"/>
                <w:sz w:val="20"/>
                <w:szCs w:val="20"/>
              </w:rPr>
              <w:t>3</w:t>
            </w:r>
            <w:r>
              <w:rPr>
                <w:rFonts w:ascii="Microsoft Sans Serif" w:hAnsi="Microsoft Sans Serif" w:cs="Microsoft Sans Serif"/>
                <w:position w:val="-1"/>
                <w:sz w:val="20"/>
                <w:szCs w:val="20"/>
              </w:rPr>
              <w:t>2,</w:t>
            </w:r>
            <w:r>
              <w:rPr>
                <w:rFonts w:ascii="Microsoft Sans Serif" w:hAnsi="Microsoft Sans Serif" w:cs="Microsoft Sans Serif"/>
                <w:spacing w:val="13"/>
                <w:position w:val="-1"/>
                <w:sz w:val="20"/>
                <w:szCs w:val="20"/>
              </w:rPr>
              <w:t xml:space="preserve"> </w:t>
            </w:r>
            <w:r>
              <w:rPr>
                <w:rFonts w:ascii="Microsoft Sans Serif" w:hAnsi="Microsoft Sans Serif" w:cs="Microsoft Sans Serif"/>
                <w:spacing w:val="-1"/>
                <w:w w:val="103"/>
                <w:position w:val="-1"/>
                <w:sz w:val="20"/>
                <w:szCs w:val="20"/>
              </w:rPr>
              <w:t>6</w:t>
            </w:r>
            <w:r>
              <w:rPr>
                <w:rFonts w:ascii="Microsoft Sans Serif" w:hAnsi="Microsoft Sans Serif" w:cs="Microsoft Sans Serif"/>
                <w:w w:val="103"/>
                <w:position w:val="-1"/>
                <w:sz w:val="20"/>
                <w:szCs w:val="20"/>
              </w:rPr>
              <w:t>7)</w:t>
            </w:r>
          </w:p>
        </w:tc>
      </w:tr>
      <w:tr w14:paraId="21D75D6C">
        <w:tblPrEx>
          <w:tblCellMar>
            <w:top w:w="0" w:type="dxa"/>
            <w:left w:w="0" w:type="dxa"/>
            <w:bottom w:w="0" w:type="dxa"/>
            <w:right w:w="0" w:type="dxa"/>
          </w:tblCellMar>
        </w:tblPrEx>
        <w:trPr>
          <w:trHeight w:val="253" w:hRule="exact"/>
        </w:trPr>
        <w:tc>
          <w:tcPr>
            <w:tcW w:w="9072" w:type="dxa"/>
            <w:gridSpan w:val="7"/>
            <w:tcBorders>
              <w:top w:val="nil"/>
              <w:left w:val="nil"/>
              <w:bottom w:val="nil"/>
              <w:right w:val="nil"/>
            </w:tcBorders>
          </w:tcPr>
          <w:p w14:paraId="79E6AF13">
            <w:pPr>
              <w:spacing w:before="16"/>
              <w:rPr>
                <w:rFonts w:ascii="Microsoft Sans Serif" w:hAnsi="Microsoft Sans Serif" w:cs="Microsoft Sans Serif"/>
                <w:sz w:val="20"/>
                <w:szCs w:val="20"/>
              </w:rPr>
            </w:pPr>
            <w:r>
              <w:rPr>
                <w:rFonts w:ascii="Microsoft Sans Serif" w:hAnsi="Microsoft Sans Serif" w:cs="Microsoft Sans Serif"/>
                <w:b/>
                <w:bCs/>
                <w:spacing w:val="-1"/>
                <w:sz w:val="20"/>
                <w:szCs w:val="20"/>
              </w:rPr>
              <w:t>Ukupno preživljavanje</w:t>
            </w:r>
          </w:p>
        </w:tc>
      </w:tr>
      <w:tr w14:paraId="7E8F9BB7">
        <w:tblPrEx>
          <w:tblCellMar>
            <w:top w:w="0" w:type="dxa"/>
            <w:left w:w="0" w:type="dxa"/>
            <w:bottom w:w="0" w:type="dxa"/>
            <w:right w:w="0" w:type="dxa"/>
          </w:tblCellMar>
        </w:tblPrEx>
        <w:trPr>
          <w:trHeight w:val="238" w:hRule="exact"/>
        </w:trPr>
        <w:tc>
          <w:tcPr>
            <w:tcW w:w="306" w:type="dxa"/>
            <w:tcBorders>
              <w:top w:val="nil"/>
              <w:left w:val="nil"/>
              <w:bottom w:val="nil"/>
              <w:right w:val="nil"/>
            </w:tcBorders>
          </w:tcPr>
          <w:p w14:paraId="5E27B2E7">
            <w:pPr>
              <w:rPr>
                <w:rFonts w:ascii="Microsoft Sans Serif" w:hAnsi="Microsoft Sans Serif" w:cs="Microsoft Sans Serif"/>
                <w:sz w:val="20"/>
                <w:szCs w:val="20"/>
              </w:rPr>
            </w:pPr>
          </w:p>
        </w:tc>
        <w:tc>
          <w:tcPr>
            <w:tcW w:w="2462" w:type="dxa"/>
            <w:tcBorders>
              <w:top w:val="nil"/>
              <w:left w:val="nil"/>
              <w:bottom w:val="nil"/>
              <w:right w:val="nil"/>
            </w:tcBorders>
          </w:tcPr>
          <w:p w14:paraId="34072A60">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Svi pacijenti</w:t>
            </w:r>
          </w:p>
        </w:tc>
        <w:tc>
          <w:tcPr>
            <w:tcW w:w="1685" w:type="dxa"/>
            <w:gridSpan w:val="2"/>
            <w:tcBorders>
              <w:top w:val="nil"/>
              <w:left w:val="nil"/>
              <w:bottom w:val="nil"/>
              <w:right w:val="nil"/>
            </w:tcBorders>
          </w:tcPr>
          <w:p w14:paraId="11F1724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96%</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3</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9)</w:t>
            </w:r>
          </w:p>
        </w:tc>
        <w:tc>
          <w:tcPr>
            <w:tcW w:w="1501" w:type="dxa"/>
            <w:tcBorders>
              <w:top w:val="nil"/>
              <w:left w:val="nil"/>
              <w:bottom w:val="nil"/>
              <w:right w:val="nil"/>
            </w:tcBorders>
          </w:tcPr>
          <w:p w14:paraId="76B9D99E">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91%</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6,</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96)</w:t>
            </w:r>
          </w:p>
        </w:tc>
        <w:tc>
          <w:tcPr>
            <w:tcW w:w="1525" w:type="dxa"/>
            <w:tcBorders>
              <w:top w:val="nil"/>
              <w:left w:val="nil"/>
              <w:bottom w:val="nil"/>
              <w:right w:val="nil"/>
            </w:tcBorders>
          </w:tcPr>
          <w:p w14:paraId="52DE7BB5">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78%</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7</w:t>
            </w:r>
            <w:r>
              <w:rPr>
                <w:rFonts w:ascii="Microsoft Sans Serif" w:hAnsi="Microsoft Sans Serif" w:cs="Microsoft Sans Serif"/>
                <w:sz w:val="20"/>
                <w:szCs w:val="20"/>
              </w:rPr>
              <w:t>2,</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3C3CAB97">
            <w:pPr>
              <w:spacing w:line="216" w:lineRule="exact"/>
              <w:rPr>
                <w:rFonts w:ascii="Microsoft Sans Serif" w:hAnsi="Microsoft Sans Serif" w:cs="Microsoft Sans Serif"/>
                <w:sz w:val="20"/>
                <w:szCs w:val="20"/>
              </w:rPr>
            </w:pPr>
            <w:r>
              <w:rPr>
                <w:rFonts w:ascii="Microsoft Sans Serif" w:hAnsi="Microsoft Sans Serif" w:cs="Microsoft Sans Serif"/>
                <w:sz w:val="20"/>
                <w:szCs w:val="20"/>
              </w:rPr>
              <w:t>65%</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6,</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2)</w:t>
            </w:r>
          </w:p>
        </w:tc>
      </w:tr>
      <w:tr w14:paraId="4F02A1D8">
        <w:tblPrEx>
          <w:tblCellMar>
            <w:top w:w="0" w:type="dxa"/>
            <w:left w:w="0" w:type="dxa"/>
            <w:bottom w:w="0" w:type="dxa"/>
            <w:right w:w="0" w:type="dxa"/>
          </w:tblCellMar>
        </w:tblPrEx>
        <w:trPr>
          <w:trHeight w:val="603" w:hRule="exact"/>
        </w:trPr>
        <w:tc>
          <w:tcPr>
            <w:tcW w:w="306" w:type="dxa"/>
            <w:tcBorders>
              <w:top w:val="nil"/>
              <w:left w:val="nil"/>
              <w:bottom w:val="nil"/>
              <w:right w:val="nil"/>
            </w:tcBorders>
          </w:tcPr>
          <w:p w14:paraId="6655AFD8">
            <w:pPr>
              <w:rPr>
                <w:rFonts w:ascii="Microsoft Sans Serif" w:hAnsi="Microsoft Sans Serif" w:cs="Microsoft Sans Serif"/>
                <w:sz w:val="20"/>
                <w:szCs w:val="20"/>
              </w:rPr>
            </w:pPr>
          </w:p>
        </w:tc>
        <w:tc>
          <w:tcPr>
            <w:tcW w:w="2462" w:type="dxa"/>
            <w:tcBorders>
              <w:top w:val="nil"/>
              <w:left w:val="nil"/>
              <w:bottom w:val="nil"/>
              <w:right w:val="nil"/>
            </w:tcBorders>
          </w:tcPr>
          <w:p w14:paraId="09D7E023">
            <w:pPr>
              <w:spacing w:before="1"/>
              <w:rPr>
                <w:rFonts w:ascii="Microsoft Sans Serif" w:hAnsi="Microsoft Sans Serif" w:cs="Microsoft Sans Serif"/>
                <w:sz w:val="20"/>
                <w:szCs w:val="20"/>
              </w:rPr>
            </w:pPr>
            <w:r>
              <w:rPr>
                <w:rFonts w:ascii="Microsoft Sans Serif" w:hAnsi="Microsoft Sans Serif" w:cs="Microsoft Sans Serif"/>
                <w:sz w:val="20"/>
                <w:szCs w:val="20"/>
              </w:rPr>
              <w:t>Pacijenti rezistentni na</w:t>
            </w:r>
          </w:p>
          <w:p w14:paraId="0047CEC2">
            <w:pPr>
              <w:spacing w:before="1"/>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nil"/>
              <w:right w:val="nil"/>
            </w:tcBorders>
          </w:tcPr>
          <w:p w14:paraId="5DD3A16C">
            <w:pPr>
              <w:spacing w:before="1"/>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sz w:val="20"/>
                <w:szCs w:val="20"/>
              </w:rPr>
              <w:t>(</w:t>
            </w:r>
            <w:r>
              <w:rPr>
                <w:rFonts w:ascii="Microsoft Sans Serif" w:hAnsi="Microsoft Sans Serif" w:cs="Microsoft Sans Serif"/>
                <w:sz w:val="20"/>
                <w:szCs w:val="20"/>
              </w:rPr>
              <w:t>9</w:t>
            </w:r>
            <w:r>
              <w:rPr>
                <w:rFonts w:ascii="Microsoft Sans Serif" w:hAnsi="Microsoft Sans Serif" w:cs="Microsoft Sans Serif"/>
                <w:spacing w:val="-1"/>
                <w:sz w:val="20"/>
                <w:szCs w:val="20"/>
              </w:rPr>
              <w:t>0</w:t>
            </w:r>
            <w:r>
              <w:rPr>
                <w:rFonts w:ascii="Microsoft Sans Serif" w:hAnsi="Microsoft Sans Serif" w:cs="Microsoft Sans Serif"/>
                <w:sz w:val="20"/>
                <w:szCs w:val="20"/>
              </w:rPr>
              <w:t>,</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9</w:t>
            </w:r>
            <w:r>
              <w:rPr>
                <w:rFonts w:ascii="Microsoft Sans Serif" w:hAnsi="Microsoft Sans Serif" w:cs="Microsoft Sans Serif"/>
                <w:w w:val="103"/>
                <w:sz w:val="20"/>
                <w:szCs w:val="20"/>
              </w:rPr>
              <w:t>8)</w:t>
            </w:r>
          </w:p>
        </w:tc>
        <w:tc>
          <w:tcPr>
            <w:tcW w:w="1501" w:type="dxa"/>
            <w:tcBorders>
              <w:top w:val="nil"/>
              <w:left w:val="nil"/>
              <w:bottom w:val="nil"/>
              <w:right w:val="nil"/>
            </w:tcBorders>
          </w:tcPr>
          <w:p w14:paraId="1AE487E0">
            <w:pPr>
              <w:spacing w:before="1"/>
              <w:rPr>
                <w:rFonts w:ascii="Microsoft Sans Serif" w:hAnsi="Microsoft Sans Serif" w:cs="Microsoft Sans Serif"/>
                <w:sz w:val="20"/>
                <w:szCs w:val="20"/>
              </w:rPr>
            </w:pPr>
            <w:r>
              <w:rPr>
                <w:rFonts w:ascii="Microsoft Sans Serif" w:hAnsi="Microsoft Sans Serif" w:cs="Microsoft Sans Serif"/>
                <w:sz w:val="20"/>
                <w:szCs w:val="20"/>
              </w:rPr>
              <w:t>89%</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4,</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95)</w:t>
            </w:r>
          </w:p>
        </w:tc>
        <w:tc>
          <w:tcPr>
            <w:tcW w:w="1525" w:type="dxa"/>
            <w:tcBorders>
              <w:top w:val="nil"/>
              <w:left w:val="nil"/>
              <w:bottom w:val="nil"/>
              <w:right w:val="nil"/>
            </w:tcBorders>
          </w:tcPr>
          <w:p w14:paraId="4C3D63DB">
            <w:pPr>
              <w:spacing w:before="1"/>
              <w:rPr>
                <w:rFonts w:ascii="Microsoft Sans Serif" w:hAnsi="Microsoft Sans Serif" w:cs="Microsoft Sans Serif"/>
                <w:sz w:val="20"/>
                <w:szCs w:val="20"/>
              </w:rPr>
            </w:pPr>
            <w:r>
              <w:rPr>
                <w:rFonts w:ascii="Microsoft Sans Serif" w:hAnsi="Microsoft Sans Serif" w:cs="Microsoft Sans Serif"/>
                <w:sz w:val="20"/>
                <w:szCs w:val="20"/>
              </w:rPr>
              <w:t>77%</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6</w:t>
            </w:r>
            <w:r>
              <w:rPr>
                <w:rFonts w:ascii="Microsoft Sans Serif" w:hAnsi="Microsoft Sans Serif" w:cs="Microsoft Sans Serif"/>
                <w:sz w:val="20"/>
                <w:szCs w:val="20"/>
              </w:rPr>
              <w:t>9,</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85)</w:t>
            </w:r>
          </w:p>
        </w:tc>
        <w:tc>
          <w:tcPr>
            <w:tcW w:w="1593" w:type="dxa"/>
            <w:tcBorders>
              <w:top w:val="nil"/>
              <w:left w:val="nil"/>
              <w:bottom w:val="nil"/>
              <w:right w:val="nil"/>
            </w:tcBorders>
          </w:tcPr>
          <w:p w14:paraId="6A2CAD56">
            <w:pPr>
              <w:spacing w:before="1"/>
              <w:rPr>
                <w:rFonts w:ascii="Microsoft Sans Serif" w:hAnsi="Microsoft Sans Serif" w:cs="Microsoft Sans Serif"/>
                <w:sz w:val="20"/>
                <w:szCs w:val="20"/>
              </w:rPr>
            </w:pPr>
            <w:r>
              <w:rPr>
                <w:rFonts w:ascii="Microsoft Sans Serif" w:hAnsi="Microsoft Sans Serif" w:cs="Microsoft Sans Serif"/>
                <w:sz w:val="20"/>
                <w:szCs w:val="20"/>
              </w:rPr>
              <w:t>63%</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3,</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7</w:t>
            </w:r>
            <w:r>
              <w:rPr>
                <w:rFonts w:ascii="Microsoft Sans Serif" w:hAnsi="Microsoft Sans Serif" w:cs="Microsoft Sans Serif"/>
                <w:w w:val="103"/>
                <w:sz w:val="20"/>
                <w:szCs w:val="20"/>
              </w:rPr>
              <w:t>1)</w:t>
            </w:r>
          </w:p>
        </w:tc>
      </w:tr>
      <w:tr w14:paraId="1194108F">
        <w:tblPrEx>
          <w:tblCellMar>
            <w:top w:w="0" w:type="dxa"/>
            <w:left w:w="0" w:type="dxa"/>
            <w:bottom w:w="0" w:type="dxa"/>
            <w:right w:w="0" w:type="dxa"/>
          </w:tblCellMar>
        </w:tblPrEx>
        <w:trPr>
          <w:trHeight w:val="630" w:hRule="exact"/>
        </w:trPr>
        <w:tc>
          <w:tcPr>
            <w:tcW w:w="306" w:type="dxa"/>
            <w:tcBorders>
              <w:top w:val="nil"/>
              <w:left w:val="nil"/>
              <w:bottom w:val="single" w:color="000000" w:sz="4" w:space="0"/>
              <w:right w:val="nil"/>
            </w:tcBorders>
          </w:tcPr>
          <w:p w14:paraId="3307C0FF">
            <w:pPr>
              <w:rPr>
                <w:rFonts w:ascii="Microsoft Sans Serif" w:hAnsi="Microsoft Sans Serif" w:cs="Microsoft Sans Serif"/>
                <w:sz w:val="20"/>
                <w:szCs w:val="20"/>
              </w:rPr>
            </w:pPr>
          </w:p>
        </w:tc>
        <w:tc>
          <w:tcPr>
            <w:tcW w:w="2462" w:type="dxa"/>
            <w:tcBorders>
              <w:top w:val="nil"/>
              <w:left w:val="nil"/>
              <w:bottom w:val="single" w:color="000000" w:sz="4" w:space="0"/>
              <w:right w:val="nil"/>
            </w:tcBorders>
          </w:tcPr>
          <w:p w14:paraId="7D951A8E">
            <w:pPr>
              <w:spacing w:before="2"/>
              <w:rPr>
                <w:rFonts w:ascii="Microsoft Sans Serif" w:hAnsi="Microsoft Sans Serif" w:cs="Microsoft Sans Serif"/>
                <w:sz w:val="20"/>
                <w:szCs w:val="20"/>
              </w:rPr>
            </w:pPr>
            <w:r>
              <w:rPr>
                <w:rFonts w:ascii="Microsoft Sans Serif" w:hAnsi="Microsoft Sans Serif" w:cs="Microsoft Sans Serif"/>
                <w:sz w:val="20"/>
                <w:szCs w:val="20"/>
              </w:rPr>
              <w:t>Pacijenti koji ne podnose</w:t>
            </w:r>
          </w:p>
          <w:p w14:paraId="4B83D532">
            <w:pPr>
              <w:spacing w:before="2"/>
              <w:rPr>
                <w:rFonts w:ascii="Microsoft Sans Serif" w:hAnsi="Microsoft Sans Serif" w:cs="Microsoft Sans Serif"/>
                <w:sz w:val="20"/>
                <w:szCs w:val="20"/>
              </w:rPr>
            </w:pPr>
            <w:r>
              <w:rPr>
                <w:rFonts w:ascii="Microsoft Sans Serif" w:hAnsi="Microsoft Sans Serif" w:cs="Microsoft Sans Serif"/>
                <w:sz w:val="20"/>
                <w:szCs w:val="20"/>
              </w:rPr>
              <w:t>imatinib</w:t>
            </w:r>
          </w:p>
        </w:tc>
        <w:tc>
          <w:tcPr>
            <w:tcW w:w="1685" w:type="dxa"/>
            <w:gridSpan w:val="2"/>
            <w:tcBorders>
              <w:top w:val="nil"/>
              <w:left w:val="nil"/>
              <w:bottom w:val="single" w:color="000000" w:sz="4" w:space="0"/>
              <w:right w:val="nil"/>
            </w:tcBorders>
          </w:tcPr>
          <w:p w14:paraId="1B96C1D9">
            <w:pPr>
              <w:spacing w:before="2"/>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6"/>
                <w:sz w:val="20"/>
                <w:szCs w:val="20"/>
              </w:rPr>
              <w:t xml:space="preserve"> </w:t>
            </w:r>
            <w:r>
              <w:rPr>
                <w:rFonts w:ascii="Microsoft Sans Serif" w:hAnsi="Microsoft Sans Serif" w:cs="Microsoft Sans Serif"/>
                <w:sz w:val="20"/>
                <w:szCs w:val="20"/>
              </w:rPr>
              <w:t>(1</w:t>
            </w:r>
            <w:r>
              <w:rPr>
                <w:rFonts w:ascii="Microsoft Sans Serif" w:hAnsi="Microsoft Sans Serif" w:cs="Microsoft Sans Serif"/>
                <w:spacing w:val="1"/>
                <w:sz w:val="20"/>
                <w:szCs w:val="20"/>
              </w:rPr>
              <w:t>0</w:t>
            </w:r>
            <w:r>
              <w:rPr>
                <w:rFonts w:ascii="Microsoft Sans Serif" w:hAnsi="Microsoft Sans Serif" w:cs="Microsoft Sans Serif"/>
                <w:sz w:val="20"/>
                <w:szCs w:val="20"/>
              </w:rPr>
              <w:t>0,</w:t>
            </w:r>
            <w:r>
              <w:rPr>
                <w:rFonts w:ascii="Microsoft Sans Serif" w:hAnsi="Microsoft Sans Serif" w:cs="Microsoft Sans Serif"/>
                <w:spacing w:val="14"/>
                <w:sz w:val="20"/>
                <w:szCs w:val="20"/>
              </w:rPr>
              <w:t xml:space="preserve"> </w:t>
            </w:r>
            <w:r>
              <w:rPr>
                <w:rFonts w:ascii="Microsoft Sans Serif" w:hAnsi="Microsoft Sans Serif" w:cs="Microsoft Sans Serif"/>
                <w:spacing w:val="1"/>
                <w:w w:val="103"/>
                <w:sz w:val="20"/>
                <w:szCs w:val="20"/>
              </w:rPr>
              <w:t>1</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0)</w:t>
            </w:r>
          </w:p>
        </w:tc>
        <w:tc>
          <w:tcPr>
            <w:tcW w:w="1501" w:type="dxa"/>
            <w:tcBorders>
              <w:top w:val="nil"/>
              <w:left w:val="nil"/>
              <w:bottom w:val="single" w:color="000000" w:sz="4" w:space="0"/>
              <w:right w:val="nil"/>
            </w:tcBorders>
          </w:tcPr>
          <w:p w14:paraId="01975DC7">
            <w:pPr>
              <w:spacing w:before="2"/>
              <w:rPr>
                <w:rFonts w:ascii="Microsoft Sans Serif" w:hAnsi="Microsoft Sans Serif" w:cs="Microsoft Sans Serif"/>
                <w:sz w:val="20"/>
                <w:szCs w:val="20"/>
              </w:rPr>
            </w:pPr>
            <w:r>
              <w:rPr>
                <w:rFonts w:ascii="Microsoft Sans Serif" w:hAnsi="Microsoft Sans Serif" w:cs="Microsoft Sans Serif"/>
                <w:spacing w:val="-1"/>
                <w:sz w:val="20"/>
                <w:szCs w:val="20"/>
              </w:rPr>
              <w:t>9</w:t>
            </w:r>
            <w:r>
              <w:rPr>
                <w:rFonts w:ascii="Microsoft Sans Serif" w:hAnsi="Microsoft Sans Serif" w:cs="Microsoft Sans Serif"/>
                <w:spacing w:val="1"/>
                <w:sz w:val="20"/>
                <w:szCs w:val="20"/>
              </w:rPr>
              <w:t>5</w:t>
            </w:r>
            <w:r>
              <w:rPr>
                <w:rFonts w:ascii="Microsoft Sans Serif" w:hAnsi="Microsoft Sans Serif" w:cs="Microsoft Sans Serif"/>
                <w:sz w:val="20"/>
                <w:szCs w:val="20"/>
              </w:rPr>
              <w:t>%</w:t>
            </w:r>
            <w:r>
              <w:rPr>
                <w:rFonts w:ascii="Microsoft Sans Serif" w:hAnsi="Microsoft Sans Serif" w:cs="Microsoft Sans Serif"/>
                <w:spacing w:val="12"/>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8</w:t>
            </w:r>
            <w:r>
              <w:rPr>
                <w:rFonts w:ascii="Microsoft Sans Serif" w:hAnsi="Microsoft Sans Serif" w:cs="Microsoft Sans Serif"/>
                <w:sz w:val="20"/>
                <w:szCs w:val="20"/>
              </w:rPr>
              <w:t>8,</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10</w:t>
            </w:r>
            <w:r>
              <w:rPr>
                <w:rFonts w:ascii="Microsoft Sans Serif" w:hAnsi="Microsoft Sans Serif" w:cs="Microsoft Sans Serif"/>
                <w:spacing w:val="1"/>
                <w:w w:val="103"/>
                <w:sz w:val="20"/>
                <w:szCs w:val="20"/>
              </w:rPr>
              <w:t>0</w:t>
            </w:r>
            <w:r>
              <w:rPr>
                <w:rFonts w:ascii="Microsoft Sans Serif" w:hAnsi="Microsoft Sans Serif" w:cs="Microsoft Sans Serif"/>
                <w:w w:val="103"/>
                <w:sz w:val="20"/>
                <w:szCs w:val="20"/>
              </w:rPr>
              <w:t>)</w:t>
            </w:r>
          </w:p>
        </w:tc>
        <w:tc>
          <w:tcPr>
            <w:tcW w:w="1525" w:type="dxa"/>
            <w:tcBorders>
              <w:top w:val="nil"/>
              <w:left w:val="nil"/>
              <w:bottom w:val="single" w:color="000000" w:sz="4" w:space="0"/>
              <w:right w:val="nil"/>
            </w:tcBorders>
          </w:tcPr>
          <w:p w14:paraId="26F55AC2">
            <w:pPr>
              <w:spacing w:before="2"/>
              <w:rPr>
                <w:rFonts w:ascii="Microsoft Sans Serif" w:hAnsi="Microsoft Sans Serif" w:cs="Microsoft Sans Serif"/>
                <w:sz w:val="20"/>
                <w:szCs w:val="20"/>
              </w:rPr>
            </w:pPr>
            <w:r>
              <w:rPr>
                <w:rFonts w:ascii="Microsoft Sans Serif" w:hAnsi="Microsoft Sans Serif" w:cs="Microsoft Sans Serif"/>
                <w:sz w:val="20"/>
                <w:szCs w:val="20"/>
              </w:rPr>
              <w:t>82%</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2"/>
                <w:sz w:val="20"/>
                <w:szCs w:val="20"/>
              </w:rPr>
              <w:t>7</w:t>
            </w:r>
            <w:r>
              <w:rPr>
                <w:rFonts w:ascii="Microsoft Sans Serif" w:hAnsi="Microsoft Sans Serif" w:cs="Microsoft Sans Serif"/>
                <w:sz w:val="20"/>
                <w:szCs w:val="20"/>
              </w:rPr>
              <w:t>0,</w:t>
            </w:r>
            <w:r>
              <w:rPr>
                <w:rFonts w:ascii="Microsoft Sans Serif" w:hAnsi="Microsoft Sans Serif" w:cs="Microsoft Sans Serif"/>
                <w:spacing w:val="12"/>
                <w:sz w:val="20"/>
                <w:szCs w:val="20"/>
              </w:rPr>
              <w:t xml:space="preserve"> </w:t>
            </w:r>
            <w:r>
              <w:rPr>
                <w:rFonts w:ascii="Microsoft Sans Serif" w:hAnsi="Microsoft Sans Serif" w:cs="Microsoft Sans Serif"/>
                <w:w w:val="103"/>
                <w:sz w:val="20"/>
                <w:szCs w:val="20"/>
              </w:rPr>
              <w:t>94)</w:t>
            </w:r>
          </w:p>
        </w:tc>
        <w:tc>
          <w:tcPr>
            <w:tcW w:w="1593" w:type="dxa"/>
            <w:tcBorders>
              <w:top w:val="nil"/>
              <w:left w:val="nil"/>
              <w:bottom w:val="single" w:color="000000" w:sz="4" w:space="0"/>
              <w:right w:val="nil"/>
            </w:tcBorders>
          </w:tcPr>
          <w:p w14:paraId="2DA7988C">
            <w:pPr>
              <w:spacing w:before="2"/>
              <w:rPr>
                <w:rFonts w:ascii="Microsoft Sans Serif" w:hAnsi="Microsoft Sans Serif" w:cs="Microsoft Sans Serif"/>
                <w:sz w:val="20"/>
                <w:szCs w:val="20"/>
              </w:rPr>
            </w:pPr>
            <w:r>
              <w:rPr>
                <w:rFonts w:ascii="Microsoft Sans Serif" w:hAnsi="Microsoft Sans Serif" w:cs="Microsoft Sans Serif"/>
                <w:sz w:val="20"/>
                <w:szCs w:val="20"/>
              </w:rPr>
              <w:t>70%</w:t>
            </w:r>
            <w:r>
              <w:rPr>
                <w:rFonts w:ascii="Microsoft Sans Serif" w:hAnsi="Microsoft Sans Serif" w:cs="Microsoft Sans Serif"/>
                <w:spacing w:val="13"/>
                <w:sz w:val="20"/>
                <w:szCs w:val="20"/>
              </w:rPr>
              <w:t xml:space="preserve"> </w:t>
            </w:r>
            <w:r>
              <w:rPr>
                <w:rFonts w:ascii="Microsoft Sans Serif" w:hAnsi="Microsoft Sans Serif" w:cs="Microsoft Sans Serif"/>
                <w:spacing w:val="2"/>
                <w:sz w:val="20"/>
                <w:szCs w:val="20"/>
              </w:rPr>
              <w:t>(</w:t>
            </w:r>
            <w:r>
              <w:rPr>
                <w:rFonts w:ascii="Microsoft Sans Serif" w:hAnsi="Microsoft Sans Serif" w:cs="Microsoft Sans Serif"/>
                <w:spacing w:val="-1"/>
                <w:sz w:val="20"/>
                <w:szCs w:val="20"/>
              </w:rPr>
              <w:t>5</w:t>
            </w:r>
            <w:r>
              <w:rPr>
                <w:rFonts w:ascii="Microsoft Sans Serif" w:hAnsi="Microsoft Sans Serif" w:cs="Microsoft Sans Serif"/>
                <w:sz w:val="20"/>
                <w:szCs w:val="20"/>
              </w:rPr>
              <w:t>2,</w:t>
            </w:r>
            <w:r>
              <w:rPr>
                <w:rFonts w:ascii="Microsoft Sans Serif" w:hAnsi="Microsoft Sans Serif" w:cs="Microsoft Sans Serif"/>
                <w:spacing w:val="13"/>
                <w:sz w:val="20"/>
                <w:szCs w:val="20"/>
              </w:rPr>
              <w:t xml:space="preserve"> </w:t>
            </w:r>
            <w:r>
              <w:rPr>
                <w:rFonts w:ascii="Microsoft Sans Serif" w:hAnsi="Microsoft Sans Serif" w:cs="Microsoft Sans Serif"/>
                <w:spacing w:val="-1"/>
                <w:w w:val="103"/>
                <w:sz w:val="20"/>
                <w:szCs w:val="20"/>
              </w:rPr>
              <w:t>8</w:t>
            </w:r>
            <w:r>
              <w:rPr>
                <w:rFonts w:ascii="Microsoft Sans Serif" w:hAnsi="Microsoft Sans Serif" w:cs="Microsoft Sans Serif"/>
                <w:w w:val="103"/>
                <w:sz w:val="20"/>
                <w:szCs w:val="20"/>
              </w:rPr>
              <w:t>2)</w:t>
            </w:r>
          </w:p>
        </w:tc>
      </w:tr>
    </w:tbl>
    <w:p w14:paraId="1E7049E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Rezultati prijavljeni pri primeni preporučene početne doze od 100 mg jednom dnevno.</w:t>
      </w:r>
    </w:p>
    <w:p w14:paraId="037E8B3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Progresija je definisana kao povećanje broja leukocita, gubitak potpunog hematološkog odgovora ili MCyR, povećanje Ph+ metafaza ≥30%, potvrđena AP/BP bolest ili smrt. PFS je analizirano prema ITT principu</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 xml:space="preserve"> a pacijenti su praćeni do događaja,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uključujući naknadnu terapiju.</w:t>
      </w:r>
    </w:p>
    <w:p w14:paraId="3784E6B5">
      <w:pPr>
        <w:rPr>
          <w:rFonts w:ascii="Microsoft Sans Serif" w:hAnsi="Microsoft Sans Serif" w:cs="Microsoft Sans Serif"/>
          <w:bCs/>
          <w:sz w:val="20"/>
          <w:szCs w:val="20"/>
          <w:lang w:val="sr-Latn-RS"/>
        </w:rPr>
      </w:pPr>
    </w:p>
    <w:p w14:paraId="47891F2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 osnovu procjene po Kaplan-Meier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u, značajan citogenetski odgovor održao se tokom 18 meseci kod 93%</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(95% CI: [88%-98%]).</w:t>
      </w:r>
    </w:p>
    <w:p w14:paraId="7D0F2B4B">
      <w:pPr>
        <w:rPr>
          <w:rFonts w:ascii="Microsoft Sans Serif" w:hAnsi="Microsoft Sans Serif" w:cs="Microsoft Sans Serif"/>
          <w:bCs/>
          <w:sz w:val="20"/>
          <w:szCs w:val="20"/>
          <w:lang w:val="sr-Latn-RS"/>
        </w:rPr>
      </w:pPr>
    </w:p>
    <w:p w14:paraId="31F37D75">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Efikasnost je ocjenjivana i kod pacijenata koji nisu podnosili imatinib. Kod ove populacije pacijenata koji su dobijali dozu od 100 mg jednom dnevno, značajan citogenetski odgovor postignut je kod 77% i potpun citogenetski odgovor kod 67%.</w:t>
      </w:r>
    </w:p>
    <w:p w14:paraId="285C65E4">
      <w:pPr>
        <w:rPr>
          <w:rFonts w:ascii="Microsoft Sans Serif" w:hAnsi="Microsoft Sans Serif" w:cs="Microsoft Sans Serif"/>
          <w:bCs/>
          <w:sz w:val="20"/>
          <w:szCs w:val="20"/>
          <w:lang w:val="sr-Latn-RS"/>
        </w:rPr>
      </w:pPr>
    </w:p>
    <w:p w14:paraId="6520C054">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Latn-RS"/>
        </w:rPr>
        <w:t>Studija 2</w:t>
      </w:r>
    </w:p>
    <w:p w14:paraId="6A8F0E4C">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studiji uznapredovale faze HML i Ph+ ALL, primarni parametar praćenja bio je značajan hematološki odgovor (MaHR). Ukupno je randomizovano 611 pacijenata u dvije grupe, jednu koja je primala 140 mg dasatiniba jednom dnevno i drugu koja je primala 70 mg dasatiniba dva puta dnevno. Medijana trajanja terapije iznosila je oko 6 mjeseci (raspon, 0,03-31 mjeseci).</w:t>
      </w:r>
    </w:p>
    <w:p w14:paraId="0093844D">
      <w:pPr>
        <w:rPr>
          <w:rFonts w:ascii="Microsoft Sans Serif" w:hAnsi="Microsoft Sans Serif" w:cs="Microsoft Sans Serif"/>
          <w:bCs/>
          <w:sz w:val="20"/>
          <w:szCs w:val="20"/>
          <w:lang w:val="sr-Latn-RS"/>
        </w:rPr>
      </w:pPr>
    </w:p>
    <w:p w14:paraId="0FD29E2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 xml:space="preserve">Raspored doziranja jednom dnevno pokazao je komparabilnu efikasnost (nije bio inferioran) kao i doziranje dva puta dnevno u odnosu na primarni parametar praćenja efikasnosti (razlika u značajnom hematološkom odgovoru 0,8%; 95% interval pouzdanosti [-7,1% - 8,7%]); međutim, režim liječenja dozom od 140 mg jednom dnevno pokazao je bolju bezbednosti i podnošljivost. </w:t>
      </w:r>
    </w:p>
    <w:p w14:paraId="142BA16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Stope odgovora prikazane su u Tabeli </w:t>
      </w:r>
      <w:r>
        <w:rPr>
          <w:rFonts w:ascii="Microsoft Sans Serif" w:hAnsi="Microsoft Sans Serif" w:cs="Microsoft Sans Serif"/>
          <w:bCs/>
          <w:sz w:val="20"/>
          <w:szCs w:val="20"/>
          <w:lang w:val="sr-Latn-RS"/>
        </w:rPr>
        <w:t>14</w:t>
      </w:r>
      <w:r>
        <w:rPr>
          <w:rFonts w:ascii="Microsoft Sans Serif" w:hAnsi="Microsoft Sans Serif" w:cs="Microsoft Sans Serif"/>
          <w:bCs/>
          <w:sz w:val="20"/>
          <w:szCs w:val="20"/>
          <w:lang w:val="sr-Cyrl-RS"/>
        </w:rPr>
        <w:t>.</w:t>
      </w:r>
    </w:p>
    <w:p w14:paraId="68DC263D">
      <w:pPr>
        <w:rPr>
          <w:rFonts w:ascii="Microsoft Sans Serif" w:hAnsi="Microsoft Sans Serif" w:cs="Microsoft Sans Serif"/>
          <w:bCs/>
          <w:sz w:val="20"/>
          <w:szCs w:val="20"/>
          <w:lang w:val="sr-Cyrl-RS"/>
        </w:rPr>
      </w:pPr>
    </w:p>
    <w:p w14:paraId="7163AF0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Tabela </w:t>
      </w:r>
      <w:r>
        <w:rPr>
          <w:rFonts w:ascii="Microsoft Sans Serif" w:hAnsi="Microsoft Sans Serif" w:cs="Microsoft Sans Serif"/>
          <w:b/>
          <w:bCs/>
          <w:sz w:val="20"/>
          <w:szCs w:val="20"/>
          <w:lang w:val="sr-Latn-RS"/>
        </w:rPr>
        <w:t>14</w:t>
      </w:r>
      <w:r>
        <w:rPr>
          <w:rFonts w:ascii="Microsoft Sans Serif" w:hAnsi="Microsoft Sans Serif" w:cs="Microsoft Sans Serif"/>
          <w:b/>
          <w:bCs/>
          <w:sz w:val="20"/>
          <w:szCs w:val="20"/>
          <w:lang w:val="sr-Cyrl-RS"/>
        </w:rPr>
        <w:t xml:space="preserve">: Efikasnost dasatiniba u ispitivanju optimizacije doze faze </w:t>
      </w:r>
      <w:r>
        <w:rPr>
          <w:rFonts w:ascii="Microsoft Sans Serif" w:hAnsi="Microsoft Sans Serif" w:cs="Microsoft Sans Serif"/>
          <w:b/>
          <w:bCs/>
          <w:sz w:val="20"/>
          <w:szCs w:val="20"/>
          <w:lang w:val="sr-Latn-RS"/>
        </w:rPr>
        <w:t>III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 xml:space="preserve">uznapredovala faza HML I </w:t>
      </w:r>
      <w:r>
        <w:rPr>
          <w:rFonts w:ascii="Microsoft Sans Serif" w:hAnsi="Microsoft Sans Serif" w:cs="Microsoft Sans Serif"/>
          <w:b/>
          <w:bCs/>
          <w:sz w:val="20"/>
          <w:szCs w:val="20"/>
          <w:lang w:val="sr-Latn-RS"/>
        </w:rPr>
        <w:t>Ph</w:t>
      </w:r>
      <w:r>
        <w:rPr>
          <w:rFonts w:ascii="Microsoft Sans Serif" w:hAnsi="Microsoft Sans Serif" w:cs="Microsoft Sans Serif"/>
          <w:b/>
          <w:bCs/>
          <w:sz w:val="20"/>
          <w:szCs w:val="20"/>
          <w:lang w:val="sr-Cyrl-RS"/>
        </w:rPr>
        <w:t>+ A</w:t>
      </w:r>
      <w:r>
        <w:rPr>
          <w:rFonts w:ascii="Microsoft Sans Serif" w:hAnsi="Microsoft Sans Serif" w:cs="Microsoft Sans Serif"/>
          <w:b/>
          <w:bCs/>
          <w:sz w:val="20"/>
          <w:szCs w:val="20"/>
          <w:lang w:val="sr-Latn-RS"/>
        </w:rPr>
        <w:t>LL</w:t>
      </w:r>
      <w:r>
        <w:rPr>
          <w:rFonts w:ascii="Microsoft Sans Serif" w:hAnsi="Microsoft Sans Serif" w:cs="Microsoft Sans Serif"/>
          <w:b/>
          <w:bCs/>
          <w:sz w:val="20"/>
          <w:szCs w:val="20"/>
          <w:lang w:val="sr-Cyrl-RS"/>
        </w:rPr>
        <w:t xml:space="preserve"> (2-godišnji rezultati)</w:t>
      </w:r>
      <w:r>
        <w:rPr>
          <w:rFonts w:ascii="Microsoft Sans Serif" w:hAnsi="Microsoft Sans Serif" w:cs="Microsoft Sans Serif"/>
          <w:b/>
          <w:bCs/>
          <w:sz w:val="20"/>
          <w:szCs w:val="20"/>
          <w:vertAlign w:val="superscript"/>
          <w:lang w:val="sr-Cyrl-RS"/>
        </w:rPr>
        <w:t>a</w:t>
      </w:r>
    </w:p>
    <w:tbl>
      <w:tblPr>
        <w:tblStyle w:val="12"/>
        <w:tblW w:w="0" w:type="auto"/>
        <w:tblInd w:w="108" w:type="dxa"/>
        <w:tblLayout w:type="autofit"/>
        <w:tblCellMar>
          <w:top w:w="0" w:type="dxa"/>
          <w:left w:w="108" w:type="dxa"/>
          <w:bottom w:w="0" w:type="dxa"/>
          <w:right w:w="108" w:type="dxa"/>
        </w:tblCellMar>
      </w:tblPr>
      <w:tblGrid>
        <w:gridCol w:w="1695"/>
        <w:gridCol w:w="1803"/>
        <w:gridCol w:w="1803"/>
        <w:gridCol w:w="1803"/>
        <w:gridCol w:w="1804"/>
      </w:tblGrid>
      <w:tr w14:paraId="0BE53452">
        <w:tblPrEx>
          <w:tblCellMar>
            <w:top w:w="0" w:type="dxa"/>
            <w:left w:w="108" w:type="dxa"/>
            <w:bottom w:w="0" w:type="dxa"/>
            <w:right w:w="108" w:type="dxa"/>
          </w:tblCellMar>
        </w:tblPrEx>
        <w:tc>
          <w:tcPr>
            <w:tcW w:w="1695" w:type="dxa"/>
            <w:tcBorders>
              <w:top w:val="single" w:color="auto" w:sz="2" w:space="0"/>
              <w:bottom w:val="single" w:color="auto" w:sz="2" w:space="0"/>
            </w:tcBorders>
            <w:shd w:val="clear" w:color="auto" w:fill="auto"/>
          </w:tcPr>
          <w:p w14:paraId="53D84B77">
            <w:pPr>
              <w:widowControl w:val="0"/>
              <w:spacing w:line="276" w:lineRule="auto"/>
              <w:rPr>
                <w:rFonts w:ascii="Microsoft Sans Serif" w:hAnsi="Microsoft Sans Serif" w:eastAsia="Calibri" w:cs="Microsoft Sans Serif"/>
                <w:sz w:val="20"/>
                <w:szCs w:val="20"/>
              </w:rPr>
            </w:pPr>
          </w:p>
        </w:tc>
        <w:tc>
          <w:tcPr>
            <w:tcW w:w="1803" w:type="dxa"/>
            <w:tcBorders>
              <w:top w:val="single" w:color="auto" w:sz="2" w:space="0"/>
              <w:bottom w:val="single" w:color="auto" w:sz="2" w:space="0"/>
            </w:tcBorders>
            <w:shd w:val="clear" w:color="auto" w:fill="auto"/>
          </w:tcPr>
          <w:p w14:paraId="2BD3E4DB">
            <w:pPr>
              <w:widowControl w:val="0"/>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Faza ubrzanja</w:t>
            </w:r>
          </w:p>
          <w:p w14:paraId="7AFF6A1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158)</w:t>
            </w:r>
          </w:p>
        </w:tc>
        <w:tc>
          <w:tcPr>
            <w:tcW w:w="1803" w:type="dxa"/>
            <w:tcBorders>
              <w:top w:val="single" w:color="auto" w:sz="2" w:space="0"/>
              <w:bottom w:val="single" w:color="auto" w:sz="2" w:space="0"/>
            </w:tcBorders>
            <w:shd w:val="clear" w:color="auto" w:fill="auto"/>
          </w:tcPr>
          <w:p w14:paraId="3396E275">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Mijeloidna blastna</w:t>
            </w:r>
          </w:p>
          <w:p w14:paraId="3E7A6929">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75)</w:t>
            </w:r>
          </w:p>
        </w:tc>
        <w:tc>
          <w:tcPr>
            <w:tcW w:w="1803" w:type="dxa"/>
            <w:tcBorders>
              <w:top w:val="single" w:color="auto" w:sz="2" w:space="0"/>
              <w:bottom w:val="single" w:color="auto" w:sz="2" w:space="0"/>
            </w:tcBorders>
            <w:shd w:val="clear" w:color="auto" w:fill="auto"/>
          </w:tcPr>
          <w:p w14:paraId="79212EBF">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Limfoidna blastna</w:t>
            </w:r>
          </w:p>
          <w:p w14:paraId="090B41F6">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33)</w:t>
            </w:r>
          </w:p>
        </w:tc>
        <w:tc>
          <w:tcPr>
            <w:tcW w:w="1804" w:type="dxa"/>
            <w:tcBorders>
              <w:top w:val="single" w:color="auto" w:sz="2" w:space="0"/>
              <w:bottom w:val="single" w:color="auto" w:sz="2" w:space="0"/>
            </w:tcBorders>
            <w:shd w:val="clear" w:color="auto" w:fill="auto"/>
          </w:tcPr>
          <w:p w14:paraId="0FEE357D">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 xml:space="preserve">Ph+ALL </w:t>
            </w:r>
          </w:p>
          <w:p w14:paraId="4086BBF3">
            <w:pPr>
              <w:widowControl w:val="0"/>
              <w:spacing w:line="276" w:lineRule="auto"/>
              <w:jc w:val="center"/>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(n= 40)</w:t>
            </w:r>
          </w:p>
        </w:tc>
      </w:tr>
      <w:tr w14:paraId="0B349048">
        <w:tblPrEx>
          <w:tblCellMar>
            <w:top w:w="0" w:type="dxa"/>
            <w:left w:w="108" w:type="dxa"/>
            <w:bottom w:w="0" w:type="dxa"/>
            <w:right w:w="108" w:type="dxa"/>
          </w:tblCellMar>
        </w:tblPrEx>
        <w:tc>
          <w:tcPr>
            <w:tcW w:w="1695" w:type="dxa"/>
            <w:tcBorders>
              <w:top w:val="single" w:color="auto" w:sz="2" w:space="0"/>
            </w:tcBorders>
            <w:shd w:val="clear" w:color="auto" w:fill="auto"/>
          </w:tcPr>
          <w:p w14:paraId="7314D580">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MaH</w:t>
            </w:r>
            <w:r>
              <w:rPr>
                <w:rFonts w:ascii="Microsoft Sans Serif" w:hAnsi="Microsoft Sans Serif" w:eastAsia="Calibri" w:cs="Microsoft Sans Serif"/>
                <w:b/>
                <w:bCs/>
                <w:spacing w:val="1"/>
                <w:w w:val="103"/>
                <w:sz w:val="20"/>
                <w:szCs w:val="20"/>
              </w:rPr>
              <w:t>R</w:t>
            </w:r>
            <w:r>
              <w:rPr>
                <w:rFonts w:ascii="Microsoft Sans Serif" w:hAnsi="Microsoft Sans Serif" w:eastAsia="Calibri" w:cs="Microsoft Sans Serif"/>
                <w:b/>
                <w:bCs/>
                <w:w w:val="101"/>
                <w:position w:val="8"/>
                <w:sz w:val="20"/>
                <w:szCs w:val="20"/>
              </w:rPr>
              <w:t xml:space="preserve">b </w:t>
            </w:r>
          </w:p>
          <w:p w14:paraId="014F73AF">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w w:val="103"/>
                <w:sz w:val="20"/>
                <w:szCs w:val="20"/>
              </w:rPr>
              <w:t>(95% CI)</w:t>
            </w:r>
          </w:p>
        </w:tc>
        <w:tc>
          <w:tcPr>
            <w:tcW w:w="1803" w:type="dxa"/>
            <w:tcBorders>
              <w:top w:val="single" w:color="auto" w:sz="2" w:space="0"/>
            </w:tcBorders>
            <w:shd w:val="clear" w:color="auto" w:fill="auto"/>
          </w:tcPr>
          <w:p w14:paraId="6015AE81">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66% (5</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74)</w:t>
            </w:r>
          </w:p>
        </w:tc>
        <w:tc>
          <w:tcPr>
            <w:tcW w:w="1803" w:type="dxa"/>
            <w:tcBorders>
              <w:top w:val="single" w:color="auto" w:sz="2" w:space="0"/>
            </w:tcBorders>
            <w:shd w:val="clear" w:color="auto" w:fill="auto"/>
          </w:tcPr>
          <w:p w14:paraId="3AD471F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0324F3A4">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(2</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61)</w:t>
            </w:r>
          </w:p>
        </w:tc>
        <w:tc>
          <w:tcPr>
            <w:tcW w:w="1804" w:type="dxa"/>
            <w:tcBorders>
              <w:top w:val="single" w:color="auto" w:sz="2" w:space="0"/>
            </w:tcBorders>
            <w:shd w:val="clear" w:color="auto" w:fill="auto"/>
          </w:tcPr>
          <w:p w14:paraId="3BA3851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38% (2</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54)</w:t>
            </w:r>
          </w:p>
        </w:tc>
      </w:tr>
      <w:tr w14:paraId="110D0E28">
        <w:tblPrEx>
          <w:tblCellMar>
            <w:top w:w="0" w:type="dxa"/>
            <w:left w:w="108" w:type="dxa"/>
            <w:bottom w:w="0" w:type="dxa"/>
            <w:right w:w="108" w:type="dxa"/>
          </w:tblCellMar>
        </w:tblPrEx>
        <w:tc>
          <w:tcPr>
            <w:tcW w:w="1695" w:type="dxa"/>
            <w:shd w:val="clear" w:color="auto" w:fill="auto"/>
          </w:tcPr>
          <w:p w14:paraId="7A8FDFFC">
            <w:pPr>
              <w:widowControl w:val="0"/>
              <w:spacing w:line="239"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CHR</w:t>
            </w:r>
            <w:r>
              <w:rPr>
                <w:rFonts w:ascii="Microsoft Sans Serif" w:hAnsi="Microsoft Sans Serif" w:eastAsia="Calibri" w:cs="Microsoft Sans Serif"/>
                <w:w w:val="101"/>
                <w:position w:val="9"/>
                <w:sz w:val="20"/>
                <w:szCs w:val="20"/>
              </w:rPr>
              <w:t>b</w:t>
            </w:r>
            <w:r>
              <w:rPr>
                <w:rFonts w:ascii="Microsoft Sans Serif" w:hAnsi="Microsoft Sans Serif" w:eastAsia="Calibri" w:cs="Microsoft Sans Serif"/>
                <w:sz w:val="20"/>
                <w:szCs w:val="20"/>
              </w:rPr>
              <w:t xml:space="preserve">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shd w:val="clear" w:color="auto" w:fill="auto"/>
          </w:tcPr>
          <w:p w14:paraId="7C90D1D6">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47% (4</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56)</w:t>
            </w:r>
          </w:p>
        </w:tc>
        <w:tc>
          <w:tcPr>
            <w:tcW w:w="1803" w:type="dxa"/>
            <w:shd w:val="clear" w:color="auto" w:fill="auto"/>
          </w:tcPr>
          <w:p w14:paraId="5ACEF25B">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28)</w:t>
            </w:r>
          </w:p>
        </w:tc>
        <w:tc>
          <w:tcPr>
            <w:tcW w:w="1803" w:type="dxa"/>
            <w:shd w:val="clear" w:color="auto" w:fill="auto"/>
          </w:tcPr>
          <w:p w14:paraId="50347163">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shd w:val="clear" w:color="auto" w:fill="auto"/>
          </w:tcPr>
          <w:p w14:paraId="06EEC520">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33% (1</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49)</w:t>
            </w:r>
          </w:p>
        </w:tc>
      </w:tr>
      <w:tr w14:paraId="089536C6">
        <w:tblPrEx>
          <w:tblCellMar>
            <w:top w:w="0" w:type="dxa"/>
            <w:left w:w="108" w:type="dxa"/>
            <w:bottom w:w="0" w:type="dxa"/>
            <w:right w:w="108" w:type="dxa"/>
          </w:tblCellMar>
        </w:tblPrEx>
        <w:tc>
          <w:tcPr>
            <w:tcW w:w="1695" w:type="dxa"/>
            <w:tcBorders>
              <w:bottom w:val="single" w:color="auto" w:sz="2" w:space="0"/>
            </w:tcBorders>
            <w:shd w:val="clear" w:color="auto" w:fill="auto"/>
          </w:tcPr>
          <w:p w14:paraId="3CE4CA7B">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NE</w:t>
            </w:r>
            <w:r>
              <w:rPr>
                <w:rFonts w:ascii="Microsoft Sans Serif" w:hAnsi="Microsoft Sans Serif" w:eastAsia="Calibri" w:cs="Microsoft Sans Serif"/>
                <w:spacing w:val="1"/>
                <w:w w:val="103"/>
                <w:sz w:val="20"/>
                <w:szCs w:val="20"/>
              </w:rPr>
              <w:t>L</w:t>
            </w:r>
            <w:r>
              <w:rPr>
                <w:rFonts w:ascii="Microsoft Sans Serif" w:hAnsi="Microsoft Sans Serif" w:eastAsia="Calibri" w:cs="Microsoft Sans Serif"/>
                <w:w w:val="101"/>
                <w:position w:val="9"/>
                <w:sz w:val="20"/>
                <w:szCs w:val="20"/>
              </w:rPr>
              <w:t xml:space="preserve">b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3038A222">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19% (1</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26)</w:t>
            </w:r>
          </w:p>
        </w:tc>
        <w:tc>
          <w:tcPr>
            <w:tcW w:w="1803" w:type="dxa"/>
            <w:tcBorders>
              <w:bottom w:val="single" w:color="auto" w:sz="2" w:space="0"/>
            </w:tcBorders>
            <w:shd w:val="clear" w:color="auto" w:fill="auto"/>
          </w:tcPr>
          <w:p w14:paraId="07B0B6D7">
            <w:pPr>
              <w:widowControl w:val="0"/>
              <w:spacing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0)</w:t>
            </w:r>
          </w:p>
        </w:tc>
        <w:tc>
          <w:tcPr>
            <w:tcW w:w="1803" w:type="dxa"/>
            <w:tcBorders>
              <w:bottom w:val="single" w:color="auto" w:sz="2" w:space="0"/>
            </w:tcBorders>
            <w:shd w:val="clear" w:color="auto" w:fill="auto"/>
          </w:tcPr>
          <w:p w14:paraId="21630A55">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 (9-</w:t>
            </w: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p>
        </w:tc>
        <w:tc>
          <w:tcPr>
            <w:tcW w:w="1804" w:type="dxa"/>
            <w:tcBorders>
              <w:bottom w:val="single" w:color="auto" w:sz="2" w:space="0"/>
            </w:tcBorders>
            <w:shd w:val="clear" w:color="auto" w:fill="auto"/>
          </w:tcPr>
          <w:p w14:paraId="6F902981">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spacing w:val="-1"/>
                <w:w w:val="103"/>
                <w:sz w:val="20"/>
                <w:szCs w:val="20"/>
              </w:rPr>
              <w:t>5% (1-</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1"/>
                <w:w w:val="103"/>
                <w:sz w:val="20"/>
                <w:szCs w:val="20"/>
              </w:rPr>
              <w:t>7)</w:t>
            </w:r>
          </w:p>
        </w:tc>
      </w:tr>
      <w:tr w14:paraId="7448878A">
        <w:tblPrEx>
          <w:tblCellMar>
            <w:top w:w="0" w:type="dxa"/>
            <w:left w:w="108" w:type="dxa"/>
            <w:bottom w:w="0" w:type="dxa"/>
            <w:right w:w="108" w:type="dxa"/>
          </w:tblCellMar>
        </w:tblPrEx>
        <w:tc>
          <w:tcPr>
            <w:tcW w:w="1695" w:type="dxa"/>
            <w:tcBorders>
              <w:top w:val="single" w:color="auto" w:sz="2" w:space="0"/>
            </w:tcBorders>
            <w:shd w:val="clear" w:color="auto" w:fill="auto"/>
          </w:tcPr>
          <w:p w14:paraId="5F62F59C">
            <w:pPr>
              <w:widowControl w:val="0"/>
              <w:spacing w:line="276" w:lineRule="auto"/>
              <w:rPr>
                <w:rFonts w:ascii="Microsoft Sans Serif" w:hAnsi="Microsoft Sans Serif" w:eastAsia="Calibri" w:cs="Microsoft Sans Serif"/>
                <w:b/>
                <w:bCs/>
                <w:w w:val="101"/>
                <w:position w:val="8"/>
                <w:sz w:val="20"/>
                <w:szCs w:val="20"/>
              </w:rPr>
            </w:pPr>
            <w:r>
              <w:rPr>
                <w:rFonts w:ascii="Microsoft Sans Serif" w:hAnsi="Microsoft Sans Serif" w:eastAsia="Calibri" w:cs="Microsoft Sans Serif"/>
                <w:b/>
                <w:bCs/>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w w:val="103"/>
                <w:sz w:val="20"/>
                <w:szCs w:val="20"/>
              </w:rPr>
              <w:t>yR</w:t>
            </w:r>
            <w:r>
              <w:rPr>
                <w:rFonts w:ascii="Microsoft Sans Serif" w:hAnsi="Microsoft Sans Serif" w:eastAsia="Calibri" w:cs="Microsoft Sans Serif"/>
                <w:b/>
                <w:bCs/>
                <w:w w:val="101"/>
                <w:position w:val="8"/>
                <w:sz w:val="20"/>
                <w:szCs w:val="20"/>
              </w:rPr>
              <w:t xml:space="preserve">c </w:t>
            </w:r>
          </w:p>
          <w:p w14:paraId="72755DE6">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top w:val="single" w:color="auto" w:sz="2" w:space="0"/>
            </w:tcBorders>
            <w:shd w:val="clear" w:color="auto" w:fill="auto"/>
          </w:tcPr>
          <w:p w14:paraId="1BA046E7">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39% (3</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47)</w:t>
            </w:r>
          </w:p>
        </w:tc>
        <w:tc>
          <w:tcPr>
            <w:tcW w:w="1803" w:type="dxa"/>
            <w:tcBorders>
              <w:top w:val="single" w:color="auto" w:sz="2" w:space="0"/>
            </w:tcBorders>
            <w:shd w:val="clear" w:color="auto" w:fill="auto"/>
          </w:tcPr>
          <w:p w14:paraId="6ECCD99E">
            <w:pPr>
              <w:widowControl w:val="0"/>
              <w:spacing w:before="1" w:line="247"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 (1</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40)</w:t>
            </w:r>
          </w:p>
        </w:tc>
        <w:tc>
          <w:tcPr>
            <w:tcW w:w="1803" w:type="dxa"/>
            <w:tcBorders>
              <w:top w:val="single" w:color="auto" w:sz="2" w:space="0"/>
            </w:tcBorders>
            <w:shd w:val="clear" w:color="auto" w:fill="auto"/>
          </w:tcPr>
          <w:p w14:paraId="43C56A1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 (3</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69)</w:t>
            </w:r>
          </w:p>
        </w:tc>
        <w:tc>
          <w:tcPr>
            <w:tcW w:w="1804" w:type="dxa"/>
            <w:tcBorders>
              <w:top w:val="single" w:color="auto" w:sz="2" w:space="0"/>
            </w:tcBorders>
            <w:shd w:val="clear" w:color="auto" w:fill="auto"/>
          </w:tcPr>
          <w:p w14:paraId="078429E9">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70% (5</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spacing w:val="2"/>
                <w:w w:val="103"/>
                <w:sz w:val="20"/>
                <w:szCs w:val="20"/>
              </w:rPr>
              <w:t>-</w:t>
            </w:r>
            <w:r>
              <w:rPr>
                <w:rFonts w:ascii="Microsoft Sans Serif" w:hAnsi="Microsoft Sans Serif" w:eastAsia="Calibri" w:cs="Microsoft Sans Serif"/>
                <w:w w:val="103"/>
                <w:sz w:val="20"/>
                <w:szCs w:val="20"/>
              </w:rPr>
              <w:t>83)</w:t>
            </w:r>
          </w:p>
        </w:tc>
      </w:tr>
      <w:tr w14:paraId="28F526C2">
        <w:tblPrEx>
          <w:tblCellMar>
            <w:top w:w="0" w:type="dxa"/>
            <w:left w:w="108" w:type="dxa"/>
            <w:bottom w:w="0" w:type="dxa"/>
            <w:right w:w="108" w:type="dxa"/>
          </w:tblCellMar>
        </w:tblPrEx>
        <w:tc>
          <w:tcPr>
            <w:tcW w:w="1695" w:type="dxa"/>
            <w:tcBorders>
              <w:bottom w:val="single" w:color="auto" w:sz="2" w:space="0"/>
            </w:tcBorders>
            <w:shd w:val="clear" w:color="auto" w:fill="auto"/>
          </w:tcPr>
          <w:p w14:paraId="1D84A64E">
            <w:pPr>
              <w:widowControl w:val="0"/>
              <w:spacing w:line="276" w:lineRule="auto"/>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C</w:t>
            </w:r>
            <w:r>
              <w:rPr>
                <w:rFonts w:ascii="Microsoft Sans Serif" w:hAnsi="Microsoft Sans Serif" w:eastAsia="Calibri" w:cs="Microsoft Sans Serif"/>
                <w:spacing w:val="-2"/>
                <w:w w:val="103"/>
                <w:sz w:val="20"/>
                <w:szCs w:val="20"/>
              </w:rPr>
              <w:t>C</w:t>
            </w:r>
            <w:r>
              <w:rPr>
                <w:rFonts w:ascii="Microsoft Sans Serif" w:hAnsi="Microsoft Sans Serif" w:eastAsia="Calibri" w:cs="Microsoft Sans Serif"/>
                <w:spacing w:val="3"/>
                <w:w w:val="103"/>
                <w:sz w:val="20"/>
                <w:szCs w:val="20"/>
              </w:rPr>
              <w:t>y</w:t>
            </w:r>
            <w:r>
              <w:rPr>
                <w:rFonts w:ascii="Microsoft Sans Serif" w:hAnsi="Microsoft Sans Serif" w:eastAsia="Calibri" w:cs="Microsoft Sans Serif"/>
                <w:w w:val="103"/>
                <w:sz w:val="20"/>
                <w:szCs w:val="20"/>
              </w:rPr>
              <w:t xml:space="preserve">R </w:t>
            </w:r>
            <w:r>
              <w:rPr>
                <w:rFonts w:ascii="Microsoft Sans Serif" w:hAnsi="Microsoft Sans Serif" w:eastAsia="Calibri" w:cs="Microsoft Sans Serif"/>
                <w:spacing w:val="1"/>
                <w:sz w:val="20"/>
                <w:szCs w:val="20"/>
              </w:rPr>
              <w:t>(</w:t>
            </w:r>
            <w:r>
              <w:rPr>
                <w:rFonts w:ascii="Microsoft Sans Serif" w:hAnsi="Microsoft Sans Serif" w:eastAsia="Calibri" w:cs="Microsoft Sans Serif"/>
                <w:spacing w:val="-1"/>
                <w:sz w:val="20"/>
                <w:szCs w:val="20"/>
              </w:rPr>
              <w:t>9</w:t>
            </w:r>
            <w:r>
              <w:rPr>
                <w:rFonts w:ascii="Microsoft Sans Serif" w:hAnsi="Microsoft Sans Serif" w:eastAsia="Calibri" w:cs="Microsoft Sans Serif"/>
                <w:spacing w:val="1"/>
                <w:sz w:val="20"/>
                <w:szCs w:val="20"/>
              </w:rPr>
              <w:t>5</w:t>
            </w:r>
            <w:r>
              <w:rPr>
                <w:rFonts w:ascii="Microsoft Sans Serif" w:hAnsi="Microsoft Sans Serif" w:eastAsia="Calibri" w:cs="Microsoft Sans Serif"/>
                <w:sz w:val="20"/>
                <w:szCs w:val="20"/>
              </w:rPr>
              <w:t>%</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C</w:t>
            </w:r>
            <w:r>
              <w:rPr>
                <w:rFonts w:ascii="Microsoft Sans Serif" w:hAnsi="Microsoft Sans Serif" w:eastAsia="Calibri" w:cs="Microsoft Sans Serif"/>
                <w:w w:val="103"/>
                <w:sz w:val="20"/>
                <w:szCs w:val="20"/>
              </w:rPr>
              <w:t>I)</w:t>
            </w:r>
          </w:p>
        </w:tc>
        <w:tc>
          <w:tcPr>
            <w:tcW w:w="1803" w:type="dxa"/>
            <w:tcBorders>
              <w:bottom w:val="single" w:color="auto" w:sz="2" w:space="0"/>
            </w:tcBorders>
            <w:shd w:val="clear" w:color="auto" w:fill="auto"/>
          </w:tcPr>
          <w:p w14:paraId="04ECCAD7">
            <w:pPr>
              <w:widowControl w:val="0"/>
              <w:spacing w:after="200"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32%</w:t>
            </w:r>
            <w:r>
              <w:rPr>
                <w:rFonts w:ascii="Microsoft Sans Serif" w:hAnsi="Microsoft Sans Serif" w:eastAsia="Calibri" w:cs="Microsoft Sans Serif"/>
                <w:w w:val="103"/>
                <w:position w:val="-1"/>
                <w:sz w:val="20"/>
                <w:szCs w:val="20"/>
              </w:rPr>
              <w:t>(2</w:t>
            </w:r>
            <w:r>
              <w:rPr>
                <w:rFonts w:ascii="Microsoft Sans Serif" w:hAnsi="Microsoft Sans Serif" w:eastAsia="Calibri" w:cs="Microsoft Sans Serif"/>
                <w:spacing w:val="-1"/>
                <w:w w:val="103"/>
                <w:position w:val="-1"/>
                <w:sz w:val="20"/>
                <w:szCs w:val="20"/>
              </w:rPr>
              <w:t>5</w:t>
            </w:r>
            <w:r>
              <w:rPr>
                <w:rFonts w:ascii="Microsoft Sans Serif" w:hAnsi="Microsoft Sans Serif" w:eastAsia="Calibri" w:cs="Microsoft Sans Serif"/>
                <w:spacing w:val="2"/>
                <w:w w:val="103"/>
                <w:position w:val="-1"/>
                <w:sz w:val="20"/>
                <w:szCs w:val="20"/>
              </w:rPr>
              <w:t>-</w:t>
            </w:r>
            <w:r>
              <w:rPr>
                <w:rFonts w:ascii="Microsoft Sans Serif" w:hAnsi="Microsoft Sans Serif" w:eastAsia="Calibri" w:cs="Microsoft Sans Serif"/>
                <w:w w:val="103"/>
                <w:position w:val="-1"/>
                <w:sz w:val="20"/>
                <w:szCs w:val="20"/>
              </w:rPr>
              <w:t>40)</w:t>
            </w:r>
          </w:p>
        </w:tc>
        <w:tc>
          <w:tcPr>
            <w:tcW w:w="1803" w:type="dxa"/>
            <w:tcBorders>
              <w:bottom w:val="single" w:color="auto" w:sz="2" w:space="0"/>
            </w:tcBorders>
            <w:shd w:val="clear" w:color="auto" w:fill="auto"/>
          </w:tcPr>
          <w:p w14:paraId="0B2E5F0B">
            <w:pPr>
              <w:widowControl w:val="0"/>
              <w:spacing w:before="10" w:line="249" w:lineRule="auto"/>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 (10-28)</w:t>
            </w:r>
          </w:p>
        </w:tc>
        <w:tc>
          <w:tcPr>
            <w:tcW w:w="1803" w:type="dxa"/>
            <w:tcBorders>
              <w:bottom w:val="single" w:color="auto" w:sz="2" w:space="0"/>
            </w:tcBorders>
            <w:shd w:val="clear" w:color="auto" w:fill="auto"/>
          </w:tcPr>
          <w:p w14:paraId="0D00E0AC">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3</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 (23-58)</w:t>
            </w:r>
          </w:p>
        </w:tc>
        <w:tc>
          <w:tcPr>
            <w:tcW w:w="1804" w:type="dxa"/>
            <w:tcBorders>
              <w:bottom w:val="single" w:color="auto" w:sz="2" w:space="0"/>
            </w:tcBorders>
            <w:shd w:val="clear" w:color="auto" w:fill="auto"/>
          </w:tcPr>
          <w:p w14:paraId="75B7D862">
            <w:pPr>
              <w:widowControl w:val="0"/>
              <w:spacing w:line="228" w:lineRule="exact"/>
              <w:jc w:val="center"/>
              <w:rPr>
                <w:rFonts w:ascii="Microsoft Sans Serif" w:hAnsi="Microsoft Sans Serif" w:eastAsia="Calibri" w:cs="Microsoft Sans Serif"/>
                <w:sz w:val="20"/>
                <w:szCs w:val="20"/>
              </w:rPr>
            </w:pPr>
            <w:r>
              <w:rPr>
                <w:rFonts w:ascii="Microsoft Sans Serif" w:hAnsi="Microsoft Sans Serif" w:eastAsia="Calibri" w:cs="Microsoft Sans Serif"/>
                <w:w w:val="103"/>
                <w:sz w:val="20"/>
                <w:szCs w:val="20"/>
              </w:rPr>
              <w:t>50% (34-66)</w:t>
            </w:r>
          </w:p>
        </w:tc>
      </w:tr>
    </w:tbl>
    <w:p w14:paraId="1420B2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lang w:val="sr-Cyrl-RS"/>
        </w:rPr>
        <w:t>a</w:t>
      </w:r>
      <w:r>
        <w:rPr>
          <w:rFonts w:ascii="Microsoft Sans Serif" w:hAnsi="Microsoft Sans Serif" w:cs="Microsoft Sans Serif"/>
          <w:bCs/>
          <w:sz w:val="20"/>
          <w:szCs w:val="20"/>
          <w:lang w:val="sr-Cyrl-RS"/>
        </w:rPr>
        <w:t xml:space="preserve"> Rezultati prijavlјeni primjenom preporučene početne doze od 140 mg jednom dnevno (</w:t>
      </w:r>
      <w:r>
        <w:rPr>
          <w:rFonts w:ascii="Microsoft Sans Serif" w:hAnsi="Microsoft Sans Serif" w:cs="Microsoft Sans Serif"/>
          <w:bCs/>
          <w:sz w:val="20"/>
          <w:szCs w:val="20"/>
        </w:rPr>
        <w:t>pogledati dio</w:t>
      </w:r>
      <w:r>
        <w:rPr>
          <w:rFonts w:ascii="Microsoft Sans Serif" w:hAnsi="Microsoft Sans Serif" w:cs="Microsoft Sans Serif"/>
          <w:bCs/>
          <w:sz w:val="20"/>
          <w:szCs w:val="20"/>
          <w:lang w:val="sr-Cyrl-RS"/>
        </w:rPr>
        <w:t xml:space="preserve"> 4.2)</w:t>
      </w:r>
    </w:p>
    <w:p w14:paraId="455BD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lang w:val="sr-Cyrl-RS"/>
        </w:rPr>
        <w:t xml:space="preserve"> Kriterijumi hematološkog odgovora (svi odgovori potvrđeni poslije 4 nedelјe): Značajan hematološki odgovor (</w:t>
      </w:r>
      <w:r>
        <w:rPr>
          <w:rFonts w:ascii="Microsoft Sans Serif" w:hAnsi="Microsoft Sans Serif" w:cs="Microsoft Sans Serif"/>
          <w:bCs/>
          <w:sz w:val="20"/>
          <w:szCs w:val="20"/>
          <w:lang w:val="sr-Latn-RS"/>
        </w:rPr>
        <w:t>MaHR</w:t>
      </w:r>
      <w:r>
        <w:rPr>
          <w:rFonts w:ascii="Microsoft Sans Serif" w:hAnsi="Microsoft Sans Serif" w:cs="Microsoft Sans Serif"/>
          <w:bCs/>
          <w:sz w:val="20"/>
          <w:szCs w:val="20"/>
          <w:lang w:val="sr-Cyrl-RS"/>
        </w:rPr>
        <w:t>) =potpun hematološki odgovor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 nema znakova leukemije (</w:t>
      </w: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engl</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Cyrl-RS"/>
        </w:rPr>
        <w:t>no evidence of leukaemia</w:t>
      </w:r>
      <w:r>
        <w:rPr>
          <w:rFonts w:ascii="Microsoft Sans Serif" w:hAnsi="Microsoft Sans Serif" w:cs="Microsoft Sans Serif"/>
          <w:bCs/>
          <w:sz w:val="20"/>
          <w:szCs w:val="20"/>
          <w:lang w:val="sr-Cyrl-RS"/>
        </w:rPr>
        <w:t>).</w:t>
      </w:r>
    </w:p>
    <w:p w14:paraId="6E70A7C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broj leukocita </w:t>
      </w:r>
      <w:r>
        <w:rPr>
          <w:rFonts w:ascii="Microsoft Sans Serif" w:hAnsi="Microsoft Sans Serif" w:cs="Microsoft Sans Serif"/>
          <w:bCs/>
          <w:sz w:val="20"/>
          <w:szCs w:val="20"/>
          <w:lang w:val="sr-Latn-RS"/>
        </w:rPr>
        <w:t xml:space="preserve"> (WBC) </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institucionalna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NC</w:t>
      </w:r>
      <w:r>
        <w:rPr>
          <w:rFonts w:ascii="Microsoft Sans Serif" w:hAnsi="Microsoft Sans Serif" w:cs="Microsoft Sans Serif"/>
          <w:bCs/>
          <w:sz w:val="20"/>
          <w:szCs w:val="20"/>
          <w:lang w:val="sr-Cyrl-RS"/>
        </w:rPr>
        <w:t xml:space="preserve"> ≥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trombociti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bez blasta ili promijelocita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perifernoj krvi, blasti u koštanoj srži ≤ 5%, &lt; 5% mijelocita plus metamijelocita u perifernoj krvi, bazofili u perifernoj krvi &lt; 20%, i bez ekstramedularne infiltracije.</w:t>
      </w:r>
    </w:p>
    <w:p w14:paraId="72E09F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NEL</w:t>
      </w:r>
      <w:r>
        <w:rPr>
          <w:rFonts w:ascii="Microsoft Sans Serif" w:hAnsi="Microsoft Sans Serif" w:cs="Microsoft Sans Serif"/>
          <w:bCs/>
          <w:sz w:val="20"/>
          <w:szCs w:val="20"/>
          <w:lang w:val="sr-Cyrl-RS"/>
        </w:rPr>
        <w:t xml:space="preserve">: isti kriterijumi kao i za </w:t>
      </w:r>
      <w:r>
        <w:rPr>
          <w:rFonts w:ascii="Microsoft Sans Serif" w:hAnsi="Microsoft Sans Serif" w:cs="Microsoft Sans Serif"/>
          <w:bCs/>
          <w:sz w:val="20"/>
          <w:szCs w:val="20"/>
          <w:lang w:val="sr-Latn-RS"/>
        </w:rPr>
        <w:t>CHR</w:t>
      </w:r>
      <w:r>
        <w:rPr>
          <w:rFonts w:ascii="Microsoft Sans Serif" w:hAnsi="Microsoft Sans Serif" w:cs="Microsoft Sans Serif"/>
          <w:bCs/>
          <w:sz w:val="20"/>
          <w:szCs w:val="20"/>
          <w:lang w:val="sr-Cyrl-RS"/>
        </w:rPr>
        <w:t xml:space="preserve">, ali </w:t>
      </w:r>
      <w:r>
        <w:rPr>
          <w:rFonts w:ascii="Microsoft Sans Serif" w:hAnsi="Microsoft Sans Serif" w:cs="Microsoft Sans Serif"/>
          <w:bCs/>
          <w:sz w:val="20"/>
          <w:szCs w:val="20"/>
          <w:lang w:val="sr-Latn-RS"/>
        </w:rPr>
        <w:t>ANC</w:t>
      </w:r>
      <w:r>
        <w:rPr>
          <w:rFonts w:ascii="Microsoft Sans Serif" w:hAnsi="Microsoft Sans Serif" w:cs="Microsoft Sans Serif"/>
          <w:bCs/>
          <w:sz w:val="20"/>
          <w:szCs w:val="20"/>
          <w:lang w:val="sr-Cyrl-RS"/>
        </w:rPr>
        <w:t xml:space="preserve"> ≥ 500/mm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&lt; 1000/mm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 ili trombociti ≥ 20 000/mm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i ≤ 100 000/mm</w:t>
      </w:r>
      <w:r>
        <w:rPr>
          <w:rFonts w:ascii="Microsoft Sans Serif" w:hAnsi="Microsoft Sans Serif" w:cs="Microsoft Sans Serif"/>
          <w:bCs/>
          <w:sz w:val="20"/>
          <w:szCs w:val="20"/>
          <w:vertAlign w:val="superscript"/>
          <w:lang w:val="sr-Cyrl-RS"/>
        </w:rPr>
        <w:t>3</w:t>
      </w:r>
      <w:r>
        <w:rPr>
          <w:rFonts w:ascii="Microsoft Sans Serif" w:hAnsi="Microsoft Sans Serif" w:cs="Microsoft Sans Serif"/>
          <w:bCs/>
          <w:sz w:val="20"/>
          <w:szCs w:val="20"/>
          <w:lang w:val="sr-Cyrl-RS"/>
        </w:rPr>
        <w:t>.</w:t>
      </w:r>
    </w:p>
    <w:p w14:paraId="2E61816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lang w:val="sr-Latn-RS"/>
        </w:rPr>
        <w:t>CyR</w:t>
      </w:r>
      <w:r>
        <w:rPr>
          <w:rFonts w:ascii="Microsoft Sans Serif" w:hAnsi="Microsoft Sans Serif" w:cs="Microsoft Sans Serif"/>
          <w:bCs/>
          <w:sz w:val="20"/>
          <w:szCs w:val="20"/>
          <w:lang w:val="sr-Cyrl-RS"/>
        </w:rPr>
        <w:t xml:space="preserve"> uklјučuje i potpun (0%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metafaze) i delimičan (&gt; 0%-35%) odgovor.</w:t>
      </w:r>
    </w:p>
    <w:p w14:paraId="6DAF2FF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CI</w:t>
      </w:r>
      <w:r>
        <w:rPr>
          <w:rFonts w:ascii="Microsoft Sans Serif" w:hAnsi="Microsoft Sans Serif" w:cs="Microsoft Sans Serif"/>
          <w:bCs/>
          <w:sz w:val="20"/>
          <w:szCs w:val="20"/>
          <w:lang w:val="sr-Cyrl-RS"/>
        </w:rPr>
        <w:t xml:space="preserve"> = interval pouzdanosti; </w:t>
      </w:r>
      <w:r>
        <w:rPr>
          <w:rFonts w:ascii="Microsoft Sans Serif" w:hAnsi="Microsoft Sans Serif" w:cs="Microsoft Sans Serif"/>
          <w:bCs/>
          <w:sz w:val="20"/>
          <w:szCs w:val="20"/>
          <w:lang w:val="sr-Latn-RS"/>
        </w:rPr>
        <w:t>ULN</w:t>
      </w:r>
      <w:r>
        <w:rPr>
          <w:rFonts w:ascii="Microsoft Sans Serif" w:hAnsi="Microsoft Sans Serif" w:cs="Microsoft Sans Serif"/>
          <w:bCs/>
          <w:sz w:val="20"/>
          <w:szCs w:val="20"/>
          <w:lang w:val="sr-Cyrl-RS"/>
        </w:rPr>
        <w:t xml:space="preserve"> = gornja granica normalnih vrijednosti.</w:t>
      </w:r>
    </w:p>
    <w:p w14:paraId="566410FC">
      <w:pPr>
        <w:rPr>
          <w:rFonts w:ascii="Microsoft Sans Serif" w:hAnsi="Microsoft Sans Serif" w:cs="Microsoft Sans Serif"/>
          <w:bCs/>
          <w:sz w:val="20"/>
          <w:szCs w:val="20"/>
          <w:lang w:val="sr-Cyrl-RS"/>
        </w:rPr>
      </w:pPr>
    </w:p>
    <w:p w14:paraId="1B71724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fazi ubrzanja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nije postignuta ni</w:t>
      </w:r>
    </w:p>
    <w:p w14:paraId="6A38EBB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medijana trajanja MaHR ni medijana ukupnog preživljavanja, dok je medijana PFS iznosila 25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3602224">
      <w:pPr>
        <w:rPr>
          <w:rFonts w:ascii="Microsoft Sans Serif" w:hAnsi="Microsoft Sans Serif" w:cs="Microsoft Sans Serif"/>
          <w:bCs/>
          <w:sz w:val="20"/>
          <w:szCs w:val="20"/>
          <w:lang w:val="sr-Cyrl-RS"/>
        </w:rPr>
      </w:pPr>
    </w:p>
    <w:p w14:paraId="407160A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mijeloidnoj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trajanja MaHR iznosila je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4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eseca, a medijana ukupnog preživljavanja 8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w:t>
      </w:r>
    </w:p>
    <w:p w14:paraId="01CFC09E">
      <w:pPr>
        <w:rPr>
          <w:rFonts w:ascii="Microsoft Sans Serif" w:hAnsi="Microsoft Sans Serif" w:cs="Microsoft Sans Serif"/>
          <w:bCs/>
          <w:sz w:val="20"/>
          <w:szCs w:val="20"/>
          <w:lang w:val="sr-Cyrl-RS"/>
        </w:rPr>
      </w:pPr>
    </w:p>
    <w:p w14:paraId="589608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Kod pacijenata sa HML u limfoidnoj blastnoj fazi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ečenih dozom od 140 mg jednom dnevno, medijana</w:t>
      </w:r>
    </w:p>
    <w:p w14:paraId="5356FC88">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trajanja MaHR iznosila je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medijana PFS 5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eseci, a medijana ukupnog preživljavanja 11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eseci. </w:t>
      </w:r>
    </w:p>
    <w:p w14:paraId="695B170A">
      <w:pPr>
        <w:rPr>
          <w:rFonts w:ascii="Microsoft Sans Serif" w:hAnsi="Microsoft Sans Serif" w:cs="Microsoft Sans Serif"/>
          <w:bCs/>
          <w:sz w:val="20"/>
          <w:szCs w:val="20"/>
          <w:lang w:val="sr-Cyrl-RS"/>
        </w:rPr>
      </w:pPr>
    </w:p>
    <w:p w14:paraId="39EE589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pacijenata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liječenih dozom od 140 mg jednom dnevno, medijana trajanja Ma</w:t>
      </w:r>
      <w:r>
        <w:rPr>
          <w:rFonts w:ascii="Microsoft Sans Serif" w:hAnsi="Microsoft Sans Serif" w:cs="Microsoft Sans Serif"/>
          <w:bCs/>
          <w:sz w:val="20"/>
          <w:szCs w:val="20"/>
          <w:lang w:val="sr-Latn-RS"/>
        </w:rPr>
        <w:t xml:space="preserve">HR </w:t>
      </w:r>
      <w:r>
        <w:rPr>
          <w:rFonts w:ascii="Microsoft Sans Serif" w:hAnsi="Microsoft Sans Serif" w:cs="Microsoft Sans Serif"/>
          <w:bCs/>
          <w:sz w:val="20"/>
          <w:szCs w:val="20"/>
          <w:lang w:val="sr-Cyrl-RS"/>
        </w:rPr>
        <w:t xml:space="preserve">iznosila je 5 mjeseci, medijana </w:t>
      </w:r>
      <w:r>
        <w:rPr>
          <w:rFonts w:ascii="Microsoft Sans Serif" w:hAnsi="Microsoft Sans Serif" w:cs="Microsoft Sans Serif"/>
          <w:bCs/>
          <w:sz w:val="20"/>
          <w:szCs w:val="20"/>
          <w:lang w:val="sr-Latn-RS"/>
        </w:rPr>
        <w:t>PFS</w:t>
      </w:r>
      <w:r>
        <w:rPr>
          <w:rFonts w:ascii="Microsoft Sans Serif" w:hAnsi="Microsoft Sans Serif" w:cs="Microsoft Sans Serif"/>
          <w:bCs/>
          <w:sz w:val="20"/>
          <w:szCs w:val="20"/>
          <w:lang w:val="sr-Cyrl-RS"/>
        </w:rPr>
        <w:t xml:space="preserve"> 4 mjeseca, a medij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na ukupnog preživlјavanja 7 mjeseci.</w:t>
      </w:r>
    </w:p>
    <w:p w14:paraId="07C9C784">
      <w:pPr>
        <w:rPr>
          <w:rFonts w:ascii="Microsoft Sans Serif" w:hAnsi="Microsoft Sans Serif" w:cs="Microsoft Sans Serif"/>
          <w:bCs/>
          <w:sz w:val="20"/>
          <w:szCs w:val="20"/>
          <w:lang w:val="sr-Cyrl-RS"/>
        </w:rPr>
      </w:pPr>
    </w:p>
    <w:p w14:paraId="6463A2B4">
      <w:pPr>
        <w:rPr>
          <w:rFonts w:ascii="Microsoft Sans Serif" w:hAnsi="Microsoft Sans Serif" w:cs="Microsoft Sans Serif"/>
          <w:bCs/>
          <w:sz w:val="20"/>
          <w:szCs w:val="20"/>
          <w:u w:val="single"/>
          <w:lang w:val="sr-Latn-RS"/>
        </w:rPr>
      </w:pPr>
      <w:r>
        <w:rPr>
          <w:rFonts w:ascii="Microsoft Sans Serif" w:hAnsi="Microsoft Sans Serif" w:cs="Microsoft Sans Serif"/>
          <w:bCs/>
          <w:sz w:val="20"/>
          <w:szCs w:val="20"/>
          <w:u w:val="single"/>
          <w:lang w:val="sr-Cyrl-RS"/>
        </w:rPr>
        <w:t>Pedijatrijska populacija</w:t>
      </w:r>
    </w:p>
    <w:p w14:paraId="5FF47F23">
      <w:pPr>
        <w:rPr>
          <w:rFonts w:ascii="Microsoft Sans Serif" w:hAnsi="Microsoft Sans Serif" w:cs="Microsoft Sans Serif"/>
          <w:bCs/>
          <w:i/>
          <w:sz w:val="20"/>
          <w:szCs w:val="20"/>
          <w:u w:val="single"/>
          <w:lang w:val="sr-Latn-RS"/>
        </w:rPr>
      </w:pPr>
      <w:r>
        <w:rPr>
          <w:rFonts w:ascii="Microsoft Sans Serif" w:hAnsi="Microsoft Sans Serif" w:cs="Microsoft Sans Serif"/>
          <w:bCs/>
          <w:i/>
          <w:sz w:val="20"/>
          <w:szCs w:val="20"/>
          <w:u w:val="single"/>
          <w:lang w:val="sr-Latn-RS"/>
        </w:rPr>
        <w:t>Pedijatrijski pacijenti sa HML</w:t>
      </w:r>
    </w:p>
    <w:p w14:paraId="41BE4DB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130 pacijenata sa HML u hroničnoj fazi liječenih u dvije pedijatrijske studije - otvorenoj,</w:t>
      </w:r>
    </w:p>
    <w:p w14:paraId="6CBD597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nerandomizovanoj studiji faze I za utvrđivanje raspona doza i otvorenoj, nerandomizovanoj studiji faze II - 84 pacijenata (isključivo iz studije faze II) imalo je novodijagnostifikovanu HML u hroničnoj fazi, a 46 pacijenata (17 iz studije faze I i 29 iz studije faze II) bilo je rezistentno ili nije podnosilo prethodnu terapiju imatinibom. Devedeset i sedam od 130 pedijatrijskih pacijenata sa HML u hroničnoj fazi bilo je liječeno dasatinib tabletama u dozi od 60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xml:space="preserve"> jednom dnevno (maksimalna doza od 100 mg jednom dnevno za pacijente koji su imali veliku tjelesnu površinu (BSA)). Pacijenti su liječeni do progresije bolesti ili razvoja neprihvatljive toksičnosti.</w:t>
      </w:r>
    </w:p>
    <w:p w14:paraId="44712B70">
      <w:pPr>
        <w:rPr>
          <w:rFonts w:ascii="Microsoft Sans Serif" w:hAnsi="Microsoft Sans Serif" w:cs="Microsoft Sans Serif"/>
          <w:bCs/>
          <w:sz w:val="20"/>
          <w:szCs w:val="20"/>
          <w:lang w:val="sr-Latn-RS"/>
        </w:rPr>
      </w:pPr>
    </w:p>
    <w:p w14:paraId="6180CB1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Ključni parametri praćenja efikasnosti bili su potpuni citogenetski odgovor (CCyR), značajan citogenetski odgovor (MCyR) i značajan molekularni odgovor (MMR). Rezultati efikasnosti prikazani su na Tabeli 15.</w:t>
      </w:r>
    </w:p>
    <w:p w14:paraId="24FB8E84">
      <w:pPr>
        <w:rPr>
          <w:rFonts w:ascii="Microsoft Sans Serif" w:hAnsi="Microsoft Sans Serif" w:cs="Microsoft Sans Serif"/>
          <w:bCs/>
          <w:sz w:val="20"/>
          <w:szCs w:val="20"/>
          <w:u w:val="single"/>
          <w:lang w:val="sr-Latn-RS"/>
        </w:rPr>
      </w:pPr>
    </w:p>
    <w:p w14:paraId="2165A4E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Tabela 15: Efikasnost dasatiniba kod pedijatrijskih pacijenata sa HML u hroničnoj fazi</w:t>
      </w:r>
    </w:p>
    <w:p w14:paraId="5FB9205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Kumulativni odgovor tokom vremena prema minimalnom periodu praćenja</w:t>
      </w:r>
    </w:p>
    <w:tbl>
      <w:tblPr>
        <w:tblStyle w:val="21"/>
        <w:tblpPr w:leftFromText="180" w:rightFromText="180" w:vertAnchor="text" w:tblpX="108" w:tblpY="1"/>
        <w:tblOverlap w:val="never"/>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79"/>
        <w:gridCol w:w="1452"/>
        <w:gridCol w:w="1416"/>
        <w:gridCol w:w="1416"/>
        <w:gridCol w:w="2476"/>
      </w:tblGrid>
      <w:tr w14:paraId="14D7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279" w:type="dxa"/>
            <w:tcBorders>
              <w:top w:val="single" w:color="auto" w:sz="2" w:space="0"/>
              <w:bottom w:val="single" w:color="auto" w:sz="12" w:space="0"/>
            </w:tcBorders>
          </w:tcPr>
          <w:p w14:paraId="5292D0BE">
            <w:pPr>
              <w:widowControl w:val="0"/>
              <w:spacing w:line="249" w:lineRule="auto"/>
              <w:rPr>
                <w:rFonts w:ascii="Microsoft Sans Serif" w:hAnsi="Microsoft Sans Serif" w:eastAsia="Times New Roman" w:cs="Microsoft Sans Serif"/>
                <w:sz w:val="20"/>
                <w:szCs w:val="20"/>
              </w:rPr>
            </w:pPr>
          </w:p>
        </w:tc>
        <w:tc>
          <w:tcPr>
            <w:tcW w:w="1452" w:type="dxa"/>
            <w:tcBorders>
              <w:top w:val="single" w:color="auto" w:sz="2" w:space="0"/>
              <w:bottom w:val="single" w:color="auto" w:sz="12" w:space="0"/>
            </w:tcBorders>
          </w:tcPr>
          <w:p w14:paraId="655EFCF0">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3mjeseca</w:t>
            </w:r>
          </w:p>
        </w:tc>
        <w:tc>
          <w:tcPr>
            <w:tcW w:w="1416" w:type="dxa"/>
            <w:tcBorders>
              <w:top w:val="single" w:color="auto" w:sz="2" w:space="0"/>
              <w:bottom w:val="single" w:color="auto" w:sz="12" w:space="0"/>
            </w:tcBorders>
          </w:tcPr>
          <w:p w14:paraId="081A5CF5">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6 mjeseci</w:t>
            </w:r>
          </w:p>
        </w:tc>
        <w:tc>
          <w:tcPr>
            <w:tcW w:w="1416" w:type="dxa"/>
            <w:tcBorders>
              <w:top w:val="single" w:color="auto" w:sz="2" w:space="0"/>
              <w:bottom w:val="single" w:color="auto" w:sz="12" w:space="0"/>
            </w:tcBorders>
          </w:tcPr>
          <w:p w14:paraId="766CC757">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12 mjeseci</w:t>
            </w:r>
          </w:p>
        </w:tc>
        <w:tc>
          <w:tcPr>
            <w:tcW w:w="2476" w:type="dxa"/>
            <w:tcBorders>
              <w:top w:val="single" w:color="auto" w:sz="2" w:space="0"/>
              <w:bottom w:val="single" w:color="auto" w:sz="12" w:space="0"/>
            </w:tcBorders>
          </w:tcPr>
          <w:p w14:paraId="4628587B">
            <w:pPr>
              <w:widowControl w:val="0"/>
              <w:rPr>
                <w:rFonts w:ascii="Microsoft Sans Serif" w:hAnsi="Microsoft Sans Serif" w:eastAsia="Calibri" w:cs="Microsoft Sans Serif"/>
                <w:b/>
                <w:sz w:val="20"/>
                <w:szCs w:val="20"/>
              </w:rPr>
            </w:pPr>
            <w:r>
              <w:rPr>
                <w:rFonts w:ascii="Microsoft Sans Serif" w:hAnsi="Microsoft Sans Serif" w:eastAsia="Calibri" w:cs="Microsoft Sans Serif"/>
                <w:b/>
                <w:sz w:val="20"/>
                <w:szCs w:val="20"/>
              </w:rPr>
              <w:t>24 mjeseca</w:t>
            </w:r>
          </w:p>
        </w:tc>
      </w:tr>
      <w:tr w14:paraId="7370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9039" w:type="dxa"/>
            <w:gridSpan w:val="5"/>
            <w:tcBorders>
              <w:top w:val="single" w:color="auto" w:sz="12" w:space="0"/>
            </w:tcBorders>
          </w:tcPr>
          <w:p w14:paraId="1F073B0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CCyR (95% CI)</w:t>
            </w:r>
          </w:p>
        </w:tc>
      </w:tr>
      <w:tr w14:paraId="59BFA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662B875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F8A0DC6">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7E3F4B0E">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 xml:space="preserve">43,1% </w:t>
            </w:r>
            <w:r>
              <w:rPr>
                <w:rFonts w:ascii="Microsoft Sans Serif" w:hAnsi="Microsoft Sans Serif" w:eastAsia="Calibri" w:cs="Microsoft Sans Serif"/>
                <w:sz w:val="20"/>
                <w:szCs w:val="20"/>
                <w:lang w:val="mk-MK"/>
              </w:rPr>
              <w:t xml:space="preserve"> </w:t>
            </w:r>
          </w:p>
          <w:p w14:paraId="5D2F4807">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(29,3, 57.8)</w:t>
            </w:r>
          </w:p>
        </w:tc>
        <w:tc>
          <w:tcPr>
            <w:tcW w:w="1416" w:type="dxa"/>
          </w:tcPr>
          <w:p w14:paraId="79EB1CC4">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66,7% </w:t>
            </w:r>
          </w:p>
          <w:p w14:paraId="4BBB7E7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(52,1, 79,2)</w:t>
            </w:r>
          </w:p>
        </w:tc>
        <w:tc>
          <w:tcPr>
            <w:tcW w:w="1416" w:type="dxa"/>
          </w:tcPr>
          <w:p w14:paraId="72EE9CF9">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4708FA30">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(86,5, 99,5)</w:t>
            </w:r>
          </w:p>
        </w:tc>
        <w:tc>
          <w:tcPr>
            <w:tcW w:w="2476" w:type="dxa"/>
          </w:tcPr>
          <w:p w14:paraId="3E72D57C">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96,1</w:t>
            </w:r>
            <w:r>
              <w:rPr>
                <w:rFonts w:ascii="Microsoft Sans Serif" w:hAnsi="Microsoft Sans Serif" w:eastAsia="Calibri" w:cs="Microsoft Sans Serif"/>
                <w:sz w:val="20"/>
                <w:szCs w:val="20"/>
                <w:lang w:val="mk-MK"/>
              </w:rPr>
              <w:t xml:space="preserve"> </w:t>
            </w:r>
          </w:p>
          <w:p w14:paraId="5674CBE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(86,5, 99,5)%</w:t>
            </w:r>
          </w:p>
        </w:tc>
      </w:tr>
      <w:tr w14:paraId="240F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279" w:type="dxa"/>
          </w:tcPr>
          <w:p w14:paraId="0B0A068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1AA8C528">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w:t>
            </w:r>
          </w:p>
          <w:p w14:paraId="29CF70E7">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46</w:t>
            </w:r>
            <w:r>
              <w:rPr>
                <w:rFonts w:ascii="Microsoft Sans Serif" w:hAnsi="Microsoft Sans Serif" w:eastAsia="Calibri" w:cs="Microsoft Sans Serif"/>
                <w:w w:val="103"/>
                <w:sz w:val="20"/>
                <w:szCs w:val="20"/>
              </w:rPr>
              <w:t>)</w:t>
            </w:r>
            <w:r>
              <w:rPr>
                <w:rFonts w:ascii="Microsoft Sans Serif" w:hAnsi="Microsoft Sans Serif" w:eastAsia="Calibri" w:cs="Microsoft Sans Serif"/>
                <w:w w:val="101"/>
                <w:position w:val="8"/>
                <w:sz w:val="20"/>
                <w:szCs w:val="20"/>
              </w:rPr>
              <w:t>b</w:t>
            </w:r>
          </w:p>
        </w:tc>
        <w:tc>
          <w:tcPr>
            <w:tcW w:w="1452" w:type="dxa"/>
          </w:tcPr>
          <w:p w14:paraId="162B084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45,7% </w:t>
            </w:r>
          </w:p>
          <w:p w14:paraId="0BE9C578">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(30,9, 61,0)</w:t>
            </w:r>
          </w:p>
        </w:tc>
        <w:tc>
          <w:tcPr>
            <w:tcW w:w="1416" w:type="dxa"/>
          </w:tcPr>
          <w:p w14:paraId="2249441E">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 xml:space="preserve">71,7% </w:t>
            </w:r>
          </w:p>
          <w:p w14:paraId="6FC6FD3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(56,5, 84,0)</w:t>
            </w:r>
          </w:p>
        </w:tc>
        <w:tc>
          <w:tcPr>
            <w:tcW w:w="1416" w:type="dxa"/>
          </w:tcPr>
          <w:p w14:paraId="3FED7B1A">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78,3%</w:t>
            </w:r>
          </w:p>
          <w:p w14:paraId="149876FB">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(63,6, 89,1)</w:t>
            </w:r>
          </w:p>
        </w:tc>
        <w:tc>
          <w:tcPr>
            <w:tcW w:w="2476" w:type="dxa"/>
          </w:tcPr>
          <w:p w14:paraId="38192931">
            <w:pPr>
              <w:widowControl w:val="0"/>
              <w:rPr>
                <w:rFonts w:ascii="Microsoft Sans Serif" w:hAnsi="Microsoft Sans Serif" w:eastAsia="Calibri" w:cs="Microsoft Sans Serif"/>
                <w:sz w:val="20"/>
                <w:szCs w:val="20"/>
              </w:rPr>
            </w:pPr>
            <w:r>
              <w:rPr>
                <w:rFonts w:ascii="Microsoft Sans Serif" w:hAnsi="Microsoft Sans Serif" w:eastAsia="Calibri" w:cs="Microsoft Sans Serif"/>
                <w:sz w:val="20"/>
                <w:szCs w:val="20"/>
              </w:rPr>
              <w:t>82,6%</w:t>
            </w:r>
          </w:p>
          <w:p w14:paraId="384E0482">
            <w:pPr>
              <w:widowControl w:val="0"/>
              <w:rPr>
                <w:rFonts w:ascii="Microsoft Sans Serif" w:hAnsi="Microsoft Sans Serif" w:eastAsia="Calibri" w:cs="Microsoft Sans Serif"/>
                <w:sz w:val="20"/>
                <w:szCs w:val="20"/>
                <w:lang w:val="mk-MK"/>
              </w:rPr>
            </w:pPr>
            <w:r>
              <w:rPr>
                <w:rFonts w:ascii="Microsoft Sans Serif" w:hAnsi="Microsoft Sans Serif" w:eastAsia="Calibri" w:cs="Microsoft Sans Serif"/>
                <w:sz w:val="20"/>
                <w:szCs w:val="20"/>
              </w:rPr>
              <w:t>(68,6, 92,2)</w:t>
            </w:r>
          </w:p>
        </w:tc>
      </w:tr>
      <w:tr w14:paraId="2C6BF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9039" w:type="dxa"/>
            <w:gridSpan w:val="5"/>
          </w:tcPr>
          <w:p w14:paraId="29A56792">
            <w:pPr>
              <w:widowControl w:val="0"/>
              <w:spacing w:line="249" w:lineRule="auto"/>
              <w:rPr>
                <w:rFonts w:ascii="Microsoft Sans Serif" w:hAnsi="Microsoft Sans Serif" w:eastAsia="Times New Roman" w:cs="Microsoft Sans Serif"/>
                <w:b/>
                <w:bCs/>
                <w:spacing w:val="-1"/>
                <w:w w:val="103"/>
                <w:sz w:val="20"/>
                <w:szCs w:val="20"/>
              </w:rPr>
            </w:pPr>
          </w:p>
          <w:p w14:paraId="0BA74E1A">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bCs/>
                <w:spacing w:val="-1"/>
                <w:w w:val="103"/>
                <w:sz w:val="20"/>
                <w:szCs w:val="20"/>
              </w:rPr>
              <w:t>M</w:t>
            </w:r>
            <w:r>
              <w:rPr>
                <w:rFonts w:ascii="Microsoft Sans Serif" w:hAnsi="Microsoft Sans Serif" w:eastAsia="Calibri" w:cs="Microsoft Sans Serif"/>
                <w:b/>
                <w:bCs/>
                <w:spacing w:val="1"/>
                <w:w w:val="103"/>
                <w:sz w:val="20"/>
                <w:szCs w:val="20"/>
              </w:rPr>
              <w:t>C</w:t>
            </w:r>
            <w:r>
              <w:rPr>
                <w:rFonts w:ascii="Microsoft Sans Serif" w:hAnsi="Microsoft Sans Serif" w:eastAsia="Calibri" w:cs="Microsoft Sans Serif"/>
                <w:b/>
                <w:bCs/>
                <w:spacing w:val="-1"/>
                <w:w w:val="103"/>
                <w:sz w:val="20"/>
                <w:szCs w:val="20"/>
              </w:rPr>
              <w:t>yR</w:t>
            </w:r>
            <w:r>
              <w:rPr>
                <w:rFonts w:ascii="Microsoft Sans Serif" w:hAnsi="Microsoft Sans Serif" w:eastAsia="Times New Roman" w:cs="Microsoft Sans Serif"/>
                <w:b/>
                <w:bCs/>
                <w:spacing w:val="-1"/>
                <w:w w:val="103"/>
                <w:sz w:val="20"/>
                <w:szCs w:val="20"/>
              </w:rPr>
              <w:t xml:space="preserve"> </w:t>
            </w:r>
            <w:r>
              <w:rPr>
                <w:rFonts w:ascii="Microsoft Sans Serif" w:hAnsi="Microsoft Sans Serif" w:eastAsia="Calibri" w:cs="Microsoft Sans Serif"/>
                <w:b/>
                <w:bCs/>
                <w:sz w:val="20"/>
                <w:szCs w:val="20"/>
              </w:rPr>
              <w:t>(95%</w:t>
            </w:r>
            <w:r>
              <w:rPr>
                <w:rFonts w:ascii="Microsoft Sans Serif" w:hAnsi="Microsoft Sans Serif" w:eastAsia="Calibri" w:cs="Microsoft Sans Serif"/>
                <w:b/>
                <w:bCs/>
                <w:spacing w:val="16"/>
                <w:sz w:val="20"/>
                <w:szCs w:val="20"/>
              </w:rPr>
              <w:t xml:space="preserve"> </w:t>
            </w:r>
            <w:r>
              <w:rPr>
                <w:rFonts w:ascii="Microsoft Sans Serif" w:hAnsi="Microsoft Sans Serif" w:eastAsia="Calibri" w:cs="Microsoft Sans Serif"/>
                <w:b/>
                <w:bCs/>
                <w:w w:val="103"/>
                <w:sz w:val="20"/>
                <w:szCs w:val="20"/>
              </w:rPr>
              <w:t>CI)</w:t>
            </w:r>
          </w:p>
        </w:tc>
      </w:tr>
      <w:tr w14:paraId="467F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2279" w:type="dxa"/>
          </w:tcPr>
          <w:p w14:paraId="47D4CBA0">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w:t>
            </w:r>
          </w:p>
          <w:p w14:paraId="45A52F4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 = 51)</w:t>
            </w:r>
            <w:r>
              <w:rPr>
                <w:rFonts w:ascii="Microsoft Sans Serif" w:hAnsi="Microsoft Sans Serif" w:eastAsia="Calibri" w:cs="Microsoft Sans Serif"/>
                <w:sz w:val="20"/>
                <w:szCs w:val="20"/>
                <w:vertAlign w:val="superscript"/>
              </w:rPr>
              <w:t>a</w:t>
            </w:r>
          </w:p>
        </w:tc>
        <w:tc>
          <w:tcPr>
            <w:tcW w:w="1452" w:type="dxa"/>
          </w:tcPr>
          <w:p w14:paraId="6D141B7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w:t>
            </w:r>
          </w:p>
          <w:p w14:paraId="376ED8E2">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6</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2)</w:t>
            </w:r>
          </w:p>
        </w:tc>
        <w:tc>
          <w:tcPr>
            <w:tcW w:w="1416" w:type="dxa"/>
          </w:tcPr>
          <w:p w14:paraId="32832D8B">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D77065C">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7</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w:t>
            </w:r>
          </w:p>
        </w:tc>
        <w:tc>
          <w:tcPr>
            <w:tcW w:w="1416" w:type="dxa"/>
          </w:tcPr>
          <w:p w14:paraId="0A3BE199">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p w14:paraId="364A6CE5">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pacing w:val="-1"/>
                <w:sz w:val="20"/>
                <w:szCs w:val="20"/>
              </w:rPr>
              <w:t>(89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w w:val="103"/>
                <w:sz w:val="20"/>
                <w:szCs w:val="20"/>
              </w:rPr>
              <w:t>1</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spacing w:val="-1"/>
                <w:w w:val="103"/>
                <w:sz w:val="20"/>
                <w:szCs w:val="20"/>
              </w:rPr>
              <w:t>0</w:t>
            </w:r>
            <w:r>
              <w:rPr>
                <w:rFonts w:ascii="Microsoft Sans Serif" w:hAnsi="Microsoft Sans Serif" w:eastAsia="Calibri" w:cs="Microsoft Sans Serif"/>
                <w:w w:val="103"/>
                <w:sz w:val="20"/>
                <w:szCs w:val="20"/>
              </w:rPr>
              <w:t>)</w:t>
            </w:r>
          </w:p>
        </w:tc>
        <w:tc>
          <w:tcPr>
            <w:tcW w:w="2476" w:type="dxa"/>
          </w:tcPr>
          <w:p w14:paraId="60405D83">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9</w:t>
            </w:r>
            <w:r>
              <w:rPr>
                <w:rFonts w:ascii="Microsoft Sans Serif" w:hAnsi="Microsoft Sans Serif" w:eastAsia="Calibri" w:cs="Microsoft Sans Serif"/>
                <w:spacing w:val="-1"/>
                <w:w w:val="103"/>
                <w:sz w:val="20"/>
                <w:szCs w:val="20"/>
              </w:rPr>
              <w:t>8</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0%</w:t>
            </w:r>
          </w:p>
          <w:p w14:paraId="20506001">
            <w:pPr>
              <w:widowControl w:val="0"/>
              <w:spacing w:before="6"/>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8</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00)</w:t>
            </w:r>
          </w:p>
        </w:tc>
      </w:tr>
      <w:tr w14:paraId="7DF3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5113E0AC">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30A9B50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i</w:t>
            </w:r>
            <w:r>
              <w:rPr>
                <w:rFonts w:ascii="Microsoft Sans Serif" w:hAnsi="Microsoft Sans Serif" w:eastAsia="Calibri" w:cs="Microsoft Sans Serif"/>
                <w:sz w:val="20"/>
                <w:szCs w:val="20"/>
              </w:rPr>
              <w:t>matinibom (N = 46)</w:t>
            </w:r>
            <w:r>
              <w:rPr>
                <w:rFonts w:ascii="Microsoft Sans Serif" w:hAnsi="Microsoft Sans Serif" w:eastAsia="Calibri" w:cs="Microsoft Sans Serif"/>
                <w:sz w:val="20"/>
                <w:szCs w:val="20"/>
                <w:vertAlign w:val="superscript"/>
              </w:rPr>
              <w:t>b</w:t>
            </w:r>
          </w:p>
        </w:tc>
        <w:tc>
          <w:tcPr>
            <w:tcW w:w="1452" w:type="dxa"/>
          </w:tcPr>
          <w:p w14:paraId="7991CC5D">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0</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695A064A">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w:t>
            </w:r>
            <w:r>
              <w:rPr>
                <w:rFonts w:ascii="Microsoft Sans Serif" w:hAnsi="Microsoft Sans Serif" w:eastAsia="Calibri" w:cs="Microsoft Sans Serif"/>
                <w:spacing w:val="-1"/>
                <w:sz w:val="20"/>
                <w:szCs w:val="20"/>
              </w:rPr>
              <w:t>5</w:t>
            </w:r>
            <w:r>
              <w:rPr>
                <w:rFonts w:ascii="Microsoft Sans Serif" w:hAnsi="Microsoft Sans Serif" w:eastAsia="Times New Roman" w:cs="Microsoft Sans Serif"/>
                <w:spacing w:val="2"/>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w w:val="103"/>
                <w:sz w:val="20"/>
                <w:szCs w:val="20"/>
              </w:rPr>
              <w:t>74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9)</w:t>
            </w:r>
          </w:p>
        </w:tc>
        <w:tc>
          <w:tcPr>
            <w:tcW w:w="1416" w:type="dxa"/>
          </w:tcPr>
          <w:p w14:paraId="3DB0447C">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6%</w:t>
            </w:r>
          </w:p>
          <w:p w14:paraId="2E402FB3">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8</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6,</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2</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tc>
        <w:tc>
          <w:tcPr>
            <w:tcW w:w="1416" w:type="dxa"/>
          </w:tcPr>
          <w:p w14:paraId="6F72BA0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1F574369">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4</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4)</w:t>
            </w:r>
          </w:p>
        </w:tc>
        <w:tc>
          <w:tcPr>
            <w:tcW w:w="2476" w:type="dxa"/>
          </w:tcPr>
          <w:p w14:paraId="71C1D4B4">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8</w:t>
            </w:r>
            <w:r>
              <w:rPr>
                <w:rFonts w:ascii="Microsoft Sans Serif" w:hAnsi="Microsoft Sans Serif" w:eastAsia="Calibri" w:cs="Microsoft Sans Serif"/>
                <w:spacing w:val="-1"/>
                <w:w w:val="103"/>
                <w:sz w:val="20"/>
                <w:szCs w:val="20"/>
              </w:rPr>
              <w:t>9</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3409FB1F">
            <w:pPr>
              <w:widowControl w:val="0"/>
              <w:spacing w:before="8"/>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(76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5"/>
                <w:sz w:val="20"/>
                <w:szCs w:val="20"/>
              </w:rPr>
              <w:t xml:space="preserve"> </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w:t>
            </w:r>
          </w:p>
        </w:tc>
      </w:tr>
      <w:tr w14:paraId="3C7C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39" w:type="dxa"/>
            <w:gridSpan w:val="5"/>
          </w:tcPr>
          <w:p w14:paraId="073FFA92">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b/>
                <w:sz w:val="20"/>
                <w:szCs w:val="20"/>
              </w:rPr>
              <w:t>MMR (95% CI)</w:t>
            </w:r>
          </w:p>
        </w:tc>
      </w:tr>
      <w:tr w14:paraId="0EDE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279" w:type="dxa"/>
          </w:tcPr>
          <w:p w14:paraId="0C671CC4">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Novodijagnostifikovana (N = 51)</w:t>
            </w:r>
            <w:r>
              <w:rPr>
                <w:rFonts w:ascii="Microsoft Sans Serif" w:hAnsi="Microsoft Sans Serif" w:eastAsia="Calibri" w:cs="Microsoft Sans Serif"/>
                <w:sz w:val="20"/>
                <w:szCs w:val="20"/>
                <w:vertAlign w:val="superscript"/>
              </w:rPr>
              <w:t>a</w:t>
            </w:r>
          </w:p>
        </w:tc>
        <w:tc>
          <w:tcPr>
            <w:tcW w:w="1452" w:type="dxa"/>
          </w:tcPr>
          <w:p w14:paraId="6AC73D54">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8%</w:t>
            </w:r>
          </w:p>
          <w:p w14:paraId="7888AD35">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2,</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18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Pr>
          <w:p w14:paraId="2E69C776">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31</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4%</w:t>
            </w:r>
          </w:p>
          <w:p w14:paraId="2B15C16D">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9</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1,</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tc>
        <w:tc>
          <w:tcPr>
            <w:tcW w:w="1416" w:type="dxa"/>
          </w:tcPr>
          <w:p w14:paraId="7CAA37FA">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9</w:t>
            </w:r>
            <w:r>
              <w:rPr>
                <w:rFonts w:ascii="Microsoft Sans Serif" w:hAnsi="Microsoft Sans Serif" w:eastAsia="Calibri" w:cs="Microsoft Sans Serif"/>
                <w:w w:val="103"/>
                <w:sz w:val="20"/>
                <w:szCs w:val="20"/>
              </w:rPr>
              <w:t>%</w:t>
            </w:r>
          </w:p>
          <w:p w14:paraId="293279AB">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(42</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2</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spacing w:val="-1"/>
                <w:w w:val="103"/>
                <w:sz w:val="20"/>
                <w:szCs w:val="20"/>
              </w:rPr>
              <w:t>0</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c>
          <w:tcPr>
            <w:tcW w:w="2476" w:type="dxa"/>
          </w:tcPr>
          <w:p w14:paraId="107254BD">
            <w:pPr>
              <w:widowControl w:val="0"/>
              <w:spacing w:line="225" w:lineRule="exact"/>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7</w:t>
            </w:r>
            <w:r>
              <w:rPr>
                <w:rFonts w:ascii="Microsoft Sans Serif" w:hAnsi="Microsoft Sans Serif" w:eastAsia="Calibri" w:cs="Microsoft Sans Serif"/>
                <w:w w:val="103"/>
                <w:sz w:val="20"/>
                <w:szCs w:val="20"/>
              </w:rPr>
              <w:t>4</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w w:val="103"/>
                <w:sz w:val="20"/>
                <w:szCs w:val="20"/>
              </w:rPr>
              <w:t>%</w:t>
            </w:r>
          </w:p>
          <w:p w14:paraId="0D29924E">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6</w:t>
            </w:r>
            <w:r>
              <w:rPr>
                <w:rFonts w:ascii="Microsoft Sans Serif" w:hAnsi="Microsoft Sans Serif" w:eastAsia="Calibri" w:cs="Microsoft Sans Serif"/>
                <w:sz w:val="20"/>
                <w:szCs w:val="20"/>
              </w:rPr>
              <w:t>0</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4,</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8</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7)</w:t>
            </w:r>
          </w:p>
        </w:tc>
      </w:tr>
      <w:tr w14:paraId="6BC71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79" w:type="dxa"/>
            <w:tcBorders>
              <w:bottom w:val="single" w:color="auto" w:sz="2" w:space="0"/>
            </w:tcBorders>
          </w:tcPr>
          <w:p w14:paraId="62EF97B5">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Prethodna terapija</w:t>
            </w:r>
          </w:p>
          <w:p w14:paraId="0985EF71">
            <w:pPr>
              <w:widowControl w:val="0"/>
              <w:spacing w:line="249" w:lineRule="auto"/>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Imatinibom (N</w:t>
            </w:r>
            <w:r>
              <w:rPr>
                <w:rFonts w:ascii="Microsoft Sans Serif" w:hAnsi="Microsoft Sans Serif" w:eastAsia="Calibri" w:cs="Microsoft Sans Serif"/>
                <w:spacing w:val="9"/>
                <w:sz w:val="20"/>
                <w:szCs w:val="20"/>
              </w:rPr>
              <w:t xml:space="preserve"> </w:t>
            </w:r>
            <w:r>
              <w:rPr>
                <w:rFonts w:ascii="Microsoft Sans Serif" w:hAnsi="Microsoft Sans Serif" w:eastAsia="Calibri" w:cs="Microsoft Sans Serif"/>
                <w:sz w:val="20"/>
                <w:szCs w:val="20"/>
              </w:rPr>
              <w:t>=</w:t>
            </w:r>
            <w:r>
              <w:rPr>
                <w:rFonts w:ascii="Microsoft Sans Serif" w:hAnsi="Microsoft Sans Serif" w:eastAsia="Calibri" w:cs="Microsoft Sans Serif"/>
                <w:spacing w:val="4"/>
                <w:sz w:val="20"/>
                <w:szCs w:val="20"/>
              </w:rPr>
              <w:t xml:space="preserve"> </w:t>
            </w:r>
            <w:r>
              <w:rPr>
                <w:rFonts w:ascii="Microsoft Sans Serif" w:hAnsi="Microsoft Sans Serif" w:eastAsia="Calibri" w:cs="Microsoft Sans Serif"/>
                <w:w w:val="103"/>
                <w:sz w:val="20"/>
                <w:szCs w:val="20"/>
              </w:rPr>
              <w:t>46)</w:t>
            </w:r>
            <w:r>
              <w:rPr>
                <w:rFonts w:ascii="Microsoft Sans Serif" w:hAnsi="Microsoft Sans Serif" w:eastAsia="Calibri" w:cs="Microsoft Sans Serif"/>
                <w:w w:val="101"/>
                <w:position w:val="8"/>
                <w:sz w:val="20"/>
                <w:szCs w:val="20"/>
              </w:rPr>
              <w:t>b</w:t>
            </w:r>
          </w:p>
        </w:tc>
        <w:tc>
          <w:tcPr>
            <w:tcW w:w="1452" w:type="dxa"/>
            <w:tcBorders>
              <w:bottom w:val="single" w:color="auto" w:sz="2" w:space="0"/>
            </w:tcBorders>
          </w:tcPr>
          <w:p w14:paraId="723F6C62">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5</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2</w:t>
            </w:r>
            <w:r>
              <w:rPr>
                <w:rFonts w:ascii="Microsoft Sans Serif" w:hAnsi="Microsoft Sans Serif" w:eastAsia="Calibri" w:cs="Microsoft Sans Serif"/>
                <w:w w:val="103"/>
                <w:sz w:val="20"/>
                <w:szCs w:val="20"/>
              </w:rPr>
              <w:t>%</w:t>
            </w:r>
          </w:p>
          <w:p w14:paraId="062DDD7F">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(6</w:t>
            </w:r>
            <w:r>
              <w:rPr>
                <w:rFonts w:ascii="Microsoft Sans Serif" w:hAnsi="Microsoft Sans Serif" w:eastAsia="Times New Roman" w:cs="Microsoft Sans Serif"/>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4"/>
                <w:sz w:val="20"/>
                <w:szCs w:val="20"/>
              </w:rPr>
              <w:t xml:space="preserve"> </w:t>
            </w:r>
            <w:r>
              <w:rPr>
                <w:rFonts w:ascii="Microsoft Sans Serif" w:hAnsi="Microsoft Sans Serif" w:eastAsia="Calibri" w:cs="Microsoft Sans Serif"/>
                <w:w w:val="103"/>
                <w:sz w:val="20"/>
                <w:szCs w:val="20"/>
              </w:rPr>
              <w:t>28</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w w:val="103"/>
                <w:sz w:val="20"/>
                <w:szCs w:val="20"/>
              </w:rPr>
              <w:t>9)</w:t>
            </w:r>
          </w:p>
        </w:tc>
        <w:tc>
          <w:tcPr>
            <w:tcW w:w="1416" w:type="dxa"/>
            <w:tcBorders>
              <w:bottom w:val="single" w:color="auto" w:sz="2" w:space="0"/>
            </w:tcBorders>
          </w:tcPr>
          <w:p w14:paraId="28970836">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2</w:t>
            </w:r>
            <w:r>
              <w:rPr>
                <w:rFonts w:ascii="Microsoft Sans Serif" w:hAnsi="Microsoft Sans Serif" w:eastAsia="Calibri" w:cs="Microsoft Sans Serif"/>
                <w:spacing w:val="-1"/>
                <w:w w:val="103"/>
                <w:sz w:val="20"/>
                <w:szCs w:val="20"/>
              </w:rPr>
              <w:t>6</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1%</w:t>
            </w:r>
          </w:p>
          <w:p w14:paraId="4522C680">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4</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3,</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4</w:t>
            </w:r>
            <w:r>
              <w:rPr>
                <w:rFonts w:ascii="Microsoft Sans Serif" w:hAnsi="Microsoft Sans Serif" w:eastAsia="Calibri" w:cs="Microsoft Sans Serif"/>
                <w:w w:val="103"/>
                <w:sz w:val="20"/>
                <w:szCs w:val="20"/>
              </w:rPr>
              <w:t>1</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tc>
        <w:tc>
          <w:tcPr>
            <w:tcW w:w="1416" w:type="dxa"/>
            <w:tcBorders>
              <w:bottom w:val="single" w:color="auto" w:sz="2" w:space="0"/>
            </w:tcBorders>
          </w:tcPr>
          <w:p w14:paraId="6225EFE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spacing w:val="-1"/>
                <w:w w:val="103"/>
                <w:sz w:val="20"/>
                <w:szCs w:val="20"/>
              </w:rPr>
              <w:t>3</w:t>
            </w:r>
            <w:r>
              <w:rPr>
                <w:rFonts w:ascii="Microsoft Sans Serif" w:hAnsi="Microsoft Sans Serif" w:eastAsia="Calibri" w:cs="Microsoft Sans Serif"/>
                <w:w w:val="103"/>
                <w:sz w:val="20"/>
                <w:szCs w:val="20"/>
              </w:rPr>
              <w:t>9</w:t>
            </w:r>
            <w:r>
              <w:rPr>
                <w:rFonts w:ascii="Microsoft Sans Serif" w:hAnsi="Microsoft Sans Serif" w:eastAsia="Times New Roman" w:cs="Microsoft Sans Serif"/>
                <w:spacing w:val="1"/>
                <w:w w:val="103"/>
                <w:sz w:val="20"/>
                <w:szCs w:val="20"/>
              </w:rPr>
              <w:t>,</w:t>
            </w:r>
            <w:r>
              <w:rPr>
                <w:rFonts w:ascii="Microsoft Sans Serif" w:hAnsi="Microsoft Sans Serif" w:eastAsia="Calibri" w:cs="Microsoft Sans Serif"/>
                <w:spacing w:val="1"/>
                <w:w w:val="103"/>
                <w:sz w:val="20"/>
                <w:szCs w:val="20"/>
              </w:rPr>
              <w:t>1</w:t>
            </w:r>
            <w:r>
              <w:rPr>
                <w:rFonts w:ascii="Microsoft Sans Serif" w:hAnsi="Microsoft Sans Serif" w:eastAsia="Calibri" w:cs="Microsoft Sans Serif"/>
                <w:w w:val="103"/>
                <w:sz w:val="20"/>
                <w:szCs w:val="20"/>
              </w:rPr>
              <w:t>%</w:t>
            </w:r>
          </w:p>
          <w:p w14:paraId="64710466">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(25</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pacing w:val="-1"/>
                <w:sz w:val="20"/>
                <w:szCs w:val="20"/>
              </w:rPr>
              <w:t>1</w:t>
            </w:r>
            <w:r>
              <w:rPr>
                <w:rFonts w:ascii="Microsoft Sans Serif" w:hAnsi="Microsoft Sans Serif" w:eastAsia="Calibri" w:cs="Microsoft Sans Serif"/>
                <w:sz w:val="20"/>
                <w:szCs w:val="20"/>
              </w:rPr>
              <w:t>,</w:t>
            </w:r>
            <w:r>
              <w:rPr>
                <w:rFonts w:ascii="Microsoft Sans Serif" w:hAnsi="Microsoft Sans Serif" w:eastAsia="Calibri" w:cs="Microsoft Sans Serif"/>
                <w:spacing w:val="17"/>
                <w:sz w:val="20"/>
                <w:szCs w:val="20"/>
              </w:rPr>
              <w:t xml:space="preserve"> </w:t>
            </w:r>
            <w:r>
              <w:rPr>
                <w:rFonts w:ascii="Microsoft Sans Serif" w:hAnsi="Microsoft Sans Serif" w:eastAsia="Calibri" w:cs="Microsoft Sans Serif"/>
                <w:spacing w:val="1"/>
                <w:w w:val="103"/>
                <w:sz w:val="20"/>
                <w:szCs w:val="20"/>
              </w:rPr>
              <w:t>5</w:t>
            </w:r>
            <w:r>
              <w:rPr>
                <w:rFonts w:ascii="Microsoft Sans Serif" w:hAnsi="Microsoft Sans Serif" w:eastAsia="Calibri" w:cs="Microsoft Sans Serif"/>
                <w:spacing w:val="-1"/>
                <w:w w:val="103"/>
                <w:sz w:val="20"/>
                <w:szCs w:val="20"/>
              </w:rPr>
              <w:t>4</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6)</w:t>
            </w:r>
          </w:p>
        </w:tc>
        <w:tc>
          <w:tcPr>
            <w:tcW w:w="2476" w:type="dxa"/>
            <w:tcBorders>
              <w:bottom w:val="single" w:color="auto" w:sz="2" w:space="0"/>
            </w:tcBorders>
          </w:tcPr>
          <w:p w14:paraId="5EC29F95">
            <w:pPr>
              <w:widowControl w:val="0"/>
              <w:rPr>
                <w:rFonts w:ascii="Microsoft Sans Serif" w:hAnsi="Microsoft Sans Serif" w:eastAsia="Times New Roman" w:cs="Microsoft Sans Serif"/>
                <w:sz w:val="20"/>
                <w:szCs w:val="20"/>
              </w:rPr>
            </w:pPr>
            <w:r>
              <w:rPr>
                <w:rFonts w:ascii="Microsoft Sans Serif" w:hAnsi="Microsoft Sans Serif" w:eastAsia="Calibri" w:cs="Microsoft Sans Serif"/>
                <w:w w:val="103"/>
                <w:sz w:val="20"/>
                <w:szCs w:val="20"/>
              </w:rPr>
              <w:t>5</w:t>
            </w:r>
            <w:r>
              <w:rPr>
                <w:rFonts w:ascii="Microsoft Sans Serif" w:hAnsi="Microsoft Sans Serif" w:eastAsia="Calibri" w:cs="Microsoft Sans Serif"/>
                <w:spacing w:val="-1"/>
                <w:w w:val="103"/>
                <w:sz w:val="20"/>
                <w:szCs w:val="20"/>
              </w:rPr>
              <w:t>2</w:t>
            </w:r>
            <w:r>
              <w:rPr>
                <w:rFonts w:ascii="Microsoft Sans Serif" w:hAnsi="Microsoft Sans Serif" w:eastAsia="Times New Roman" w:cs="Microsoft Sans Serif"/>
                <w:spacing w:val="2"/>
                <w:w w:val="103"/>
                <w:sz w:val="20"/>
                <w:szCs w:val="20"/>
              </w:rPr>
              <w:t>,</w:t>
            </w:r>
            <w:r>
              <w:rPr>
                <w:rFonts w:ascii="Microsoft Sans Serif" w:hAnsi="Microsoft Sans Serif" w:eastAsia="Calibri" w:cs="Microsoft Sans Serif"/>
                <w:w w:val="103"/>
                <w:sz w:val="20"/>
                <w:szCs w:val="20"/>
              </w:rPr>
              <w:t>2%</w:t>
            </w:r>
          </w:p>
          <w:p w14:paraId="6B7111DC">
            <w:pPr>
              <w:widowControl w:val="0"/>
              <w:spacing w:before="7"/>
              <w:rPr>
                <w:rFonts w:ascii="Microsoft Sans Serif" w:hAnsi="Microsoft Sans Serif" w:eastAsia="Times New Roman" w:cs="Microsoft Sans Serif"/>
                <w:sz w:val="20"/>
                <w:szCs w:val="20"/>
              </w:rPr>
            </w:pPr>
            <w:r>
              <w:rPr>
                <w:rFonts w:ascii="Microsoft Sans Serif" w:hAnsi="Microsoft Sans Serif" w:eastAsia="Calibri" w:cs="Microsoft Sans Serif"/>
                <w:sz w:val="20"/>
                <w:szCs w:val="20"/>
              </w:rPr>
              <w:t>(</w:t>
            </w:r>
            <w:r>
              <w:rPr>
                <w:rFonts w:ascii="Microsoft Sans Serif" w:hAnsi="Microsoft Sans Serif" w:eastAsia="Calibri" w:cs="Microsoft Sans Serif"/>
                <w:spacing w:val="-1"/>
                <w:sz w:val="20"/>
                <w:szCs w:val="20"/>
              </w:rPr>
              <w:t>3</w:t>
            </w:r>
            <w:r>
              <w:rPr>
                <w:rFonts w:ascii="Microsoft Sans Serif" w:hAnsi="Microsoft Sans Serif" w:eastAsia="Calibri" w:cs="Microsoft Sans Serif"/>
                <w:sz w:val="20"/>
                <w:szCs w:val="20"/>
              </w:rPr>
              <w:t>6</w:t>
            </w:r>
            <w:r>
              <w:rPr>
                <w:rFonts w:ascii="Microsoft Sans Serif" w:hAnsi="Microsoft Sans Serif" w:eastAsia="Times New Roman" w:cs="Microsoft Sans Serif"/>
                <w:spacing w:val="1"/>
                <w:sz w:val="20"/>
                <w:szCs w:val="20"/>
              </w:rPr>
              <w:t>,</w:t>
            </w:r>
            <w:r>
              <w:rPr>
                <w:rFonts w:ascii="Microsoft Sans Serif" w:hAnsi="Microsoft Sans Serif" w:eastAsia="Calibri" w:cs="Microsoft Sans Serif"/>
                <w:sz w:val="20"/>
                <w:szCs w:val="20"/>
              </w:rPr>
              <w:t>9,</w:t>
            </w:r>
            <w:r>
              <w:rPr>
                <w:rFonts w:ascii="Microsoft Sans Serif" w:hAnsi="Microsoft Sans Serif" w:eastAsia="Calibri" w:cs="Microsoft Sans Serif"/>
                <w:spacing w:val="16"/>
                <w:sz w:val="20"/>
                <w:szCs w:val="20"/>
              </w:rPr>
              <w:t xml:space="preserve"> </w:t>
            </w:r>
            <w:r>
              <w:rPr>
                <w:rFonts w:ascii="Microsoft Sans Serif" w:hAnsi="Microsoft Sans Serif" w:eastAsia="Calibri" w:cs="Microsoft Sans Serif"/>
                <w:spacing w:val="1"/>
                <w:w w:val="103"/>
                <w:sz w:val="20"/>
                <w:szCs w:val="20"/>
              </w:rPr>
              <w:t>6</w:t>
            </w:r>
            <w:r>
              <w:rPr>
                <w:rFonts w:ascii="Microsoft Sans Serif" w:hAnsi="Microsoft Sans Serif" w:eastAsia="Calibri" w:cs="Microsoft Sans Serif"/>
                <w:w w:val="103"/>
                <w:sz w:val="20"/>
                <w:szCs w:val="20"/>
              </w:rPr>
              <w:t>7</w:t>
            </w:r>
            <w:r>
              <w:rPr>
                <w:rFonts w:ascii="Microsoft Sans Serif" w:hAnsi="Microsoft Sans Serif" w:eastAsia="Times New Roman" w:cs="Microsoft Sans Serif"/>
                <w:w w:val="103"/>
                <w:sz w:val="20"/>
                <w:szCs w:val="20"/>
              </w:rPr>
              <w:t>,</w:t>
            </w:r>
            <w:r>
              <w:rPr>
                <w:rFonts w:ascii="Microsoft Sans Serif" w:hAnsi="Microsoft Sans Serif" w:eastAsia="Calibri" w:cs="Microsoft Sans Serif"/>
                <w:w w:val="103"/>
                <w:sz w:val="20"/>
                <w:szCs w:val="20"/>
              </w:rPr>
              <w:t>1)</w:t>
            </w:r>
          </w:p>
        </w:tc>
      </w:tr>
    </w:tbl>
    <w:p w14:paraId="442A90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a</w:t>
      </w:r>
      <w:r>
        <w:rPr>
          <w:rFonts w:ascii="Microsoft Sans Serif" w:hAnsi="Microsoft Sans Serif" w:cs="Microsoft Sans Serif"/>
          <w:bCs/>
          <w:sz w:val="20"/>
          <w:szCs w:val="20"/>
          <w:lang w:val="sr-Latn-RS"/>
        </w:rPr>
        <w:t xml:space="preserve"> Pacijenti sa novodijagnostifikovanom HML u hroničnoj fazi iz pedijatrijske studije faze II koji su primali lijek oralno u obliku tableta</w:t>
      </w:r>
    </w:p>
    <w:p w14:paraId="1B0EF79B">
      <w:pPr>
        <w:rPr>
          <w:rFonts w:ascii="Microsoft Sans Serif" w:hAnsi="Microsoft Sans Serif" w:cs="Microsoft Sans Serif"/>
          <w:bCs/>
          <w:sz w:val="20"/>
          <w:szCs w:val="20"/>
          <w:lang w:val="sr-Latn-RS"/>
        </w:rPr>
      </w:pPr>
      <w:r>
        <w:rPr>
          <w:rFonts w:ascii="Microsoft Sans Serif" w:hAnsi="Microsoft Sans Serif" w:cs="Microsoft Sans Serif"/>
          <w:bCs/>
          <w:sz w:val="20"/>
          <w:szCs w:val="20"/>
          <w:vertAlign w:val="superscript"/>
          <w:lang w:val="sr-Latn-RS"/>
        </w:rPr>
        <w:t>b</w:t>
      </w:r>
      <w:r>
        <w:rPr>
          <w:rFonts w:ascii="Microsoft Sans Serif" w:hAnsi="Microsoft Sans Serif" w:cs="Microsoft Sans Serif"/>
          <w:bCs/>
          <w:sz w:val="20"/>
          <w:szCs w:val="20"/>
          <w:lang w:val="sr-Latn-RS"/>
        </w:rPr>
        <w:t xml:space="preserve"> Pacijenti sa HML u hroničnoj fazi iz pedijatrijskih studija faze I i faze II koji su bili rezistentni na terapija imatinibom ili ga nisu podnosili, a primali su lijek oralno u obliku tableta</w:t>
      </w:r>
    </w:p>
    <w:p w14:paraId="41118AD4">
      <w:pPr>
        <w:rPr>
          <w:rFonts w:ascii="Microsoft Sans Serif" w:hAnsi="Microsoft Sans Serif" w:cs="Microsoft Sans Serif"/>
          <w:bCs/>
          <w:sz w:val="20"/>
          <w:szCs w:val="20"/>
          <w:lang w:val="sr-Latn-RS"/>
        </w:rPr>
      </w:pPr>
    </w:p>
    <w:p w14:paraId="4ED177B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Nakon minimalno 7 godina praćenja u pedijatrijskoj studiji faze I, medijana trajanja PFS među 17 pacijenata sa HML u hroničnoj fazi koji su bili rezistentni na imatinib ili ga nisu podnosili iznosila je 53,6 mjeseci, dok je stopa OS iznosila 82,4%.</w:t>
      </w:r>
    </w:p>
    <w:p w14:paraId="1B3A2C52">
      <w:pPr>
        <w:rPr>
          <w:rFonts w:ascii="Microsoft Sans Serif" w:hAnsi="Microsoft Sans Serif" w:cs="Microsoft Sans Serif"/>
          <w:bCs/>
          <w:sz w:val="20"/>
          <w:szCs w:val="20"/>
          <w:lang w:val="sr-Latn-RS"/>
        </w:rPr>
      </w:pPr>
    </w:p>
    <w:p w14:paraId="481C82D6">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Kod pacijenata koji su primali lijek u obliku tableta u pedijatrijskoj studiji faze II, procjenjena 24- mjesečna stopa PFS kod 51 pacijenata sa novodijagnostifikovanom HML u hroničnoj fazi iznosila je 94,0% (82,6; 98,0), dok je kod 29 pacijenata sa HML u hroničnoj fazi koji su bili rezistentni na imatinib ili ga nisu podnosili ta stopa iznosila 81,7% (61,4; 92,0). Nakon 24 mjeseca praćenja, OS je iznosilo 100% kod pacijenata sa novodijagnostifikovanom bolešću i 96,6% kod onih koji su bili rezistentni na imatinib ili ga nisu podnosili.</w:t>
      </w:r>
    </w:p>
    <w:p w14:paraId="4B7C5047">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 pedijatrijskoj studiji faze II, kod 1 pacijenata sa novodijagnostifikovanom bolešću i 2 pacijenata koja su bila rezistentna na imatinib ili ga nisu podnosila došlo je do progresije do blastne faze HML.</w:t>
      </w:r>
    </w:p>
    <w:p w14:paraId="7C71344F">
      <w:pPr>
        <w:rPr>
          <w:rFonts w:ascii="Microsoft Sans Serif" w:hAnsi="Microsoft Sans Serif" w:cs="Microsoft Sans Serif"/>
          <w:bCs/>
          <w:sz w:val="20"/>
          <w:szCs w:val="20"/>
          <w:lang w:val="sr-Latn-RS"/>
        </w:rPr>
      </w:pPr>
    </w:p>
    <w:p w14:paraId="60CB4F4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Bilo je 33 pedijatrijska pacijenta sa novodijagnostifikovanim HML u hroničnoj fazi koji su primali dasatinib prašak za oralnu suspenziju u dozi od 72 mg/m</w:t>
      </w:r>
      <w:r>
        <w:rPr>
          <w:rFonts w:ascii="Microsoft Sans Serif" w:hAnsi="Microsoft Sans Serif" w:cs="Microsoft Sans Serif"/>
          <w:bCs/>
          <w:sz w:val="20"/>
          <w:szCs w:val="20"/>
          <w:vertAlign w:val="superscript"/>
          <w:lang w:val="sr-Latn-RS"/>
        </w:rPr>
        <w:t>2</w:t>
      </w:r>
      <w:r>
        <w:rPr>
          <w:rFonts w:ascii="Microsoft Sans Serif" w:hAnsi="Microsoft Sans Serif" w:cs="Microsoft Sans Serif"/>
          <w:bCs/>
          <w:sz w:val="20"/>
          <w:szCs w:val="20"/>
          <w:lang w:val="sr-Latn-RS"/>
        </w:rPr>
        <w:t>. Pri primjeni te doze postignuta je 30% manja izloženost od one koja se postiže pri primeni preporučene doze. Kod tih pacijenata je CCyR nakon 12 mjeseci iznosio 87,9% [95% CI: (71,8 - 96,6)], a MMR 45,5% [95% CI: (28,1 - 63,6)].</w:t>
      </w:r>
    </w:p>
    <w:p w14:paraId="5E3C6753">
      <w:pPr>
        <w:rPr>
          <w:rFonts w:ascii="Microsoft Sans Serif" w:hAnsi="Microsoft Sans Serif" w:cs="Microsoft Sans Serif"/>
          <w:bCs/>
          <w:sz w:val="20"/>
          <w:szCs w:val="20"/>
          <w:lang w:val="sr-Latn-RS"/>
        </w:rPr>
      </w:pPr>
    </w:p>
    <w:p w14:paraId="72AC7C0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 pedijatrijskim pacijentima sa HML u hroničnoj fazi liječenim dasatinibom koji su prethodno bili</w:t>
      </w:r>
    </w:p>
    <w:p w14:paraId="5E20003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izloženi imatinibu, na kraju terapijskog perioda utvrđene su sljedeće mutacije: T315A, E255K i F317L.</w:t>
      </w:r>
    </w:p>
    <w:p w14:paraId="7E9AF711">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Međutim, mutacije E255K i F317L utvrđene su i prije lječenja. Među pacijentima sa novodijagnostifikovanom HML u hroničnoj fazi nisu pronađene nikakve mutacije na kraju terapijskog perioda.</w:t>
      </w:r>
    </w:p>
    <w:p w14:paraId="5D770683">
      <w:pPr>
        <w:rPr>
          <w:rFonts w:ascii="Microsoft Sans Serif" w:hAnsi="Microsoft Sans Serif" w:cs="Microsoft Sans Serif"/>
          <w:bCs/>
          <w:sz w:val="20"/>
          <w:szCs w:val="20"/>
          <w:u w:val="single"/>
          <w:lang w:val="sr-Latn-RS"/>
        </w:rPr>
      </w:pPr>
    </w:p>
    <w:p w14:paraId="558D01C2">
      <w:pPr>
        <w:rPr>
          <w:rFonts w:ascii="Microsoft Sans Serif" w:hAnsi="Microsoft Sans Serif" w:cs="Microsoft Sans Serif"/>
          <w:bCs/>
          <w:i/>
          <w:sz w:val="20"/>
          <w:szCs w:val="20"/>
          <w:u w:val="single"/>
          <w:lang w:val="sr-Cyrl-RS"/>
        </w:rPr>
      </w:pPr>
      <w:r>
        <w:rPr>
          <w:rFonts w:ascii="Microsoft Sans Serif" w:hAnsi="Microsoft Sans Serif" w:cs="Microsoft Sans Serif"/>
          <w:bCs/>
          <w:i/>
          <w:sz w:val="20"/>
          <w:szCs w:val="20"/>
          <w:u w:val="single"/>
          <w:lang w:val="sr-Cyrl-RS"/>
        </w:rPr>
        <w:t>Pedijatrijski  pacijenti sa A</w:t>
      </w:r>
      <w:r>
        <w:rPr>
          <w:rFonts w:ascii="Microsoft Sans Serif" w:hAnsi="Microsoft Sans Serif" w:cs="Microsoft Sans Serif"/>
          <w:bCs/>
          <w:i/>
          <w:sz w:val="20"/>
          <w:szCs w:val="20"/>
          <w:u w:val="single"/>
          <w:lang w:val="sr-Latn-RS"/>
        </w:rPr>
        <w:t>LL</w:t>
      </w:r>
    </w:p>
    <w:p w14:paraId="493D39B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Efikasnost dasatiniba u kombinaciji sa hemioterapijom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enjivala se u pivotalnom ispitivanju sprovedenom kod pedijatrijskih pacijenata starijih od godinu dana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17033567">
      <w:pPr>
        <w:rPr>
          <w:rFonts w:ascii="Microsoft Sans Serif" w:hAnsi="Microsoft Sans Serif" w:cs="Microsoft Sans Serif"/>
          <w:bCs/>
          <w:sz w:val="20"/>
          <w:szCs w:val="20"/>
          <w:lang w:val="sr-Cyrl-RS"/>
        </w:rPr>
      </w:pPr>
    </w:p>
    <w:p w14:paraId="4CDB628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 ovom multicentričnom ispitivanju faze </w:t>
      </w:r>
      <w:r>
        <w:rPr>
          <w:rFonts w:ascii="Microsoft Sans Serif" w:hAnsi="Microsoft Sans Serif" w:cs="Microsoft Sans Serif"/>
          <w:bCs/>
          <w:sz w:val="20"/>
          <w:szCs w:val="20"/>
          <w:lang w:val="sr-Latn-RS"/>
        </w:rPr>
        <w:t>II</w:t>
      </w:r>
      <w:r>
        <w:rPr>
          <w:rFonts w:ascii="Microsoft Sans Serif" w:hAnsi="Microsoft Sans Serif" w:cs="Microsoft Sans Serif"/>
          <w:bCs/>
          <w:sz w:val="20"/>
          <w:szCs w:val="20"/>
          <w:lang w:val="sr-Cyrl-RS"/>
        </w:rPr>
        <w:t xml:space="preserve"> kontrolisanom podacima iz prethodnih ispitivanja, u kojem se ispitivao dasatinib kao dodatak standardnoj hemioterapiji, 106 pedijatrijskih pacijenata sa novodijagnostikovanim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xml:space="preserve">, od kojih su njih 104 imala potvrđen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 primalo je dasatinib</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u dnevnoj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prema režimu kontinuirane primjene u toku najviše 24 mjeseca, u kombinaciji sa hemioterapijom. Osamdeset i dva pacijenta primala su isklјučivo tablete dasatiniba, dok su 24 pacijenta primila dasatinib u obliku praška za oralnu suspenziju najmanje jednom, a njih 8 primalo je dasatinib isklјučivo u obliku praška za oralnu suspenziju. Osnovni hemioterapijski režim bio je jednak onom koji se primjenjivao u ispitivanju A</w:t>
      </w:r>
      <w:r>
        <w:rPr>
          <w:rFonts w:ascii="Microsoft Sans Serif" w:hAnsi="Microsoft Sans Serif" w:cs="Microsoft Sans Serif"/>
          <w:bCs/>
          <w:sz w:val="20"/>
          <w:szCs w:val="20"/>
          <w:lang w:val="sr-Latn-RS"/>
        </w:rPr>
        <w:t>IEOP</w:t>
      </w:r>
      <w:r>
        <w:rPr>
          <w:rFonts w:ascii="Microsoft Sans Serif" w:hAnsi="Microsoft Sans Serif" w:cs="Microsoft Sans Serif"/>
          <w:bCs/>
          <w:sz w:val="20"/>
          <w:szCs w:val="20"/>
          <w:lang w:val="sr-Cyrl-RS"/>
        </w:rPr>
        <w:t>-BFM ALL 2000 (standardni hemioterap</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jski protokol sastavlјen od više lijekova). Primarn</w:t>
      </w:r>
      <w:r>
        <w:rPr>
          <w:rFonts w:ascii="Microsoft Sans Serif" w:hAnsi="Microsoft Sans Serif" w:cs="Microsoft Sans Serif"/>
          <w:bCs/>
          <w:sz w:val="20"/>
          <w:szCs w:val="20"/>
          <w:lang w:val="mk-MK"/>
        </w:rPr>
        <w:t>i</w:t>
      </w:r>
      <w:r>
        <w:rPr>
          <w:rFonts w:ascii="Microsoft Sans Serif" w:hAnsi="Microsoft Sans Serif" w:cs="Microsoft Sans Serif"/>
          <w:bCs/>
          <w:sz w:val="20"/>
          <w:szCs w:val="20"/>
          <w:lang w:val="sr-Cyrl-RS"/>
        </w:rPr>
        <w:t xml:space="preserve"> parametar praćenje ishoda za efikasnost bilo je trogodišnje preživlјavanje bez događaja (</w:t>
      </w:r>
      <w:r>
        <w:rPr>
          <w:rFonts w:ascii="Microsoft Sans Serif" w:hAnsi="Microsoft Sans Serif" w:cs="Microsoft Sans Serif"/>
          <w:bCs/>
          <w:sz w:val="20"/>
          <w:szCs w:val="20"/>
          <w:lang w:val="hr-BA"/>
        </w:rPr>
        <w:t xml:space="preserve">engl. </w:t>
      </w:r>
      <w:r>
        <w:rPr>
          <w:rFonts w:ascii="Microsoft Sans Serif" w:hAnsi="Microsoft Sans Serif" w:cs="Microsoft Sans Serif"/>
          <w:bCs/>
          <w:i/>
          <w:sz w:val="20"/>
          <w:szCs w:val="20"/>
          <w:lang w:val="hr-BA"/>
        </w:rPr>
        <w:t xml:space="preserve">event-free survival, </w:t>
      </w:r>
      <w:r>
        <w:rPr>
          <w:rFonts w:ascii="Microsoft Sans Serif" w:hAnsi="Microsoft Sans Serif" w:cs="Microsoft Sans Serif"/>
          <w:bCs/>
          <w:i/>
          <w:sz w:val="20"/>
          <w:szCs w:val="20"/>
          <w:lang w:val="sr-Cyrl-RS"/>
        </w:rPr>
        <w:t>E</w:t>
      </w:r>
      <w:r>
        <w:rPr>
          <w:rFonts w:ascii="Microsoft Sans Serif" w:hAnsi="Microsoft Sans Serif" w:cs="Microsoft Sans Serif"/>
          <w:bCs/>
          <w:i/>
          <w:sz w:val="20"/>
          <w:szCs w:val="20"/>
          <w:lang w:val="sr-Latn-RS"/>
        </w:rPr>
        <w:t>FS</w:t>
      </w:r>
      <w:r>
        <w:rPr>
          <w:rFonts w:ascii="Microsoft Sans Serif" w:hAnsi="Microsoft Sans Serif" w:cs="Microsoft Sans Serif"/>
          <w:bCs/>
          <w:sz w:val="20"/>
          <w:szCs w:val="20"/>
          <w:lang w:val="sr-Cyrl-RS"/>
        </w:rPr>
        <w:t>), čija je stopa iznosila 65,5% (55,5; 73,7).</w:t>
      </w:r>
    </w:p>
    <w:p w14:paraId="729E1B08">
      <w:pPr>
        <w:rPr>
          <w:rFonts w:ascii="Microsoft Sans Serif" w:hAnsi="Microsoft Sans Serif" w:cs="Microsoft Sans Serif"/>
          <w:bCs/>
          <w:sz w:val="20"/>
          <w:szCs w:val="20"/>
          <w:lang w:val="sr-Cyrl-RS"/>
        </w:rPr>
      </w:pPr>
    </w:p>
    <w:p w14:paraId="17603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Stopa negativnih nalaza minimalne rezidualne bolesti (engl. </w:t>
      </w:r>
      <w:r>
        <w:rPr>
          <w:rFonts w:ascii="Microsoft Sans Serif" w:hAnsi="Microsoft Sans Serif" w:cs="Microsoft Sans Serif"/>
          <w:bCs/>
          <w:i/>
          <w:sz w:val="20"/>
          <w:szCs w:val="20"/>
          <w:lang w:val="sr-Cyrl-RS"/>
        </w:rPr>
        <w:t xml:space="preserve">Minimal </w:t>
      </w:r>
      <w:r>
        <w:rPr>
          <w:rFonts w:ascii="Microsoft Sans Serif" w:hAnsi="Microsoft Sans Serif" w:cs="Microsoft Sans Serif"/>
          <w:bCs/>
          <w:i/>
          <w:sz w:val="20"/>
          <w:szCs w:val="20"/>
          <w:lang w:val="sr-Latn-RS"/>
        </w:rPr>
        <w:t>residual disease</w:t>
      </w:r>
      <w:r>
        <w:rPr>
          <w:rFonts w:ascii="Microsoft Sans Serif" w:hAnsi="Microsoft Sans Serif" w:cs="Microsoft Sans Serif"/>
          <w:bCs/>
          <w:i/>
          <w:sz w:val="20"/>
          <w:szCs w:val="20"/>
          <w:lang w:val="sr-Cyrl-RS"/>
        </w:rPr>
        <w:t>, M</w:t>
      </w:r>
      <w:r>
        <w:rPr>
          <w:rFonts w:ascii="Microsoft Sans Serif" w:hAnsi="Microsoft Sans Serif" w:cs="Microsoft Sans Serif"/>
          <w:bCs/>
          <w:i/>
          <w:sz w:val="20"/>
          <w:szCs w:val="20"/>
          <w:lang w:val="sr-Latn-RS"/>
        </w:rPr>
        <w:t>RD</w:t>
      </w:r>
      <w:r>
        <w:rPr>
          <w:rFonts w:ascii="Microsoft Sans Serif" w:hAnsi="Microsoft Sans Serif" w:cs="Microsoft Sans Serif"/>
          <w:bCs/>
          <w:sz w:val="20"/>
          <w:szCs w:val="20"/>
          <w:lang w:val="sr-Cyrl-RS"/>
        </w:rPr>
        <w:t>),</w:t>
      </w:r>
    </w:p>
    <w:p w14:paraId="6071033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na osnovu preuređenja baza u genu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lang w:val="sr-Latn-RS"/>
        </w:rPr>
        <w:t>CR</w:t>
      </w:r>
      <w:r>
        <w:rPr>
          <w:rFonts w:ascii="Microsoft Sans Serif" w:hAnsi="Microsoft Sans Serif" w:cs="Microsoft Sans Serif"/>
          <w:bCs/>
          <w:sz w:val="20"/>
          <w:szCs w:val="20"/>
          <w:lang w:val="sr-Cyrl-RS"/>
        </w:rPr>
        <w:t xml:space="preserve"> do kraja konsolidacije, iznosila je 71,7% kod svih liječenih pacijenata. Kada se ta stopa izračunavala na osnovu 85 pacijenta kod kojih su se mogli ocijeniti podaci za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TCR</w:t>
      </w:r>
      <w:r>
        <w:rPr>
          <w:rFonts w:ascii="Microsoft Sans Serif" w:hAnsi="Microsoft Sans Serif" w:cs="Microsoft Sans Serif"/>
          <w:bCs/>
          <w:sz w:val="20"/>
          <w:szCs w:val="20"/>
          <w:lang w:val="sr-Cyrl-RS"/>
        </w:rPr>
        <w:t>, proc</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enjena je na 89,4%. Stopa negativnih nalaza na M</w:t>
      </w:r>
      <w:r>
        <w:rPr>
          <w:rFonts w:ascii="Microsoft Sans Serif" w:hAnsi="Microsoft Sans Serif" w:cs="Microsoft Sans Serif"/>
          <w:bCs/>
          <w:sz w:val="20"/>
          <w:szCs w:val="20"/>
          <w:lang w:val="sr-Latn-RS"/>
        </w:rPr>
        <w:t>RD</w:t>
      </w:r>
      <w:r>
        <w:rPr>
          <w:rFonts w:ascii="Microsoft Sans Serif" w:hAnsi="Microsoft Sans Serif" w:cs="Microsoft Sans Serif"/>
          <w:bCs/>
          <w:sz w:val="20"/>
          <w:szCs w:val="20"/>
          <w:lang w:val="sr-Cyrl-RS"/>
        </w:rPr>
        <w:t xml:space="preserve"> na kraju indukcije i konsolidacije izmjerena protočnom citometrijom iznosila je 66,0% odnosno 84,0%.</w:t>
      </w:r>
    </w:p>
    <w:p w14:paraId="78D00E6B">
      <w:pPr>
        <w:rPr>
          <w:rFonts w:ascii="Microsoft Sans Serif" w:hAnsi="Microsoft Sans Serif" w:cs="Microsoft Sans Serif"/>
          <w:sz w:val="20"/>
          <w:szCs w:val="20"/>
          <w:lang w:val="sr-Cyrl-RS"/>
        </w:rPr>
      </w:pPr>
    </w:p>
    <w:p w14:paraId="28E2AD6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6D838B8F">
      <w:pPr>
        <w:rPr>
          <w:rFonts w:ascii="Microsoft Sans Serif" w:hAnsi="Microsoft Sans Serif" w:cs="Microsoft Sans Serif"/>
          <w:b/>
          <w:bCs/>
          <w:sz w:val="20"/>
          <w:szCs w:val="20"/>
          <w:lang w:val="sv-SE"/>
        </w:rPr>
      </w:pPr>
    </w:p>
    <w:p w14:paraId="1B23625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Farmakokinetika dasatiniba ispitana je kod 229 zdravih odraslih ispitanika i 84 pacijenta.</w:t>
      </w:r>
    </w:p>
    <w:p w14:paraId="377FC113">
      <w:pPr>
        <w:rPr>
          <w:rFonts w:ascii="Microsoft Sans Serif" w:hAnsi="Microsoft Sans Serif" w:cs="Microsoft Sans Serif"/>
          <w:bCs/>
          <w:sz w:val="20"/>
          <w:szCs w:val="20"/>
          <w:u w:val="single"/>
          <w:lang w:val="sr-Cyrl-RS"/>
        </w:rPr>
      </w:pPr>
    </w:p>
    <w:p w14:paraId="3B1ED536">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Resorpcija</w:t>
      </w:r>
    </w:p>
    <w:p w14:paraId="28E6544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se brzo resorbuje kod pacijenata nakon oralne primjene, a maksimalnu koncentraciju postiže između 0,5-3 sata. Nakon oralne primjene, povećanje prosječne izloženosti (PIKτ) otprilike je proporcionalno povećanju doze u rasponu doza od 25 mg do 120 mg dva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put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dnevno.</w:t>
      </w:r>
    </w:p>
    <w:p w14:paraId="273B211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Ukupni srednji terminalni poluživot dasatiniba kod pacijenata iznosi oko 5-6 sati.</w:t>
      </w:r>
    </w:p>
    <w:p w14:paraId="58FD11EA">
      <w:pPr>
        <w:rPr>
          <w:rFonts w:ascii="Microsoft Sans Serif" w:hAnsi="Microsoft Sans Serif" w:cs="Microsoft Sans Serif"/>
          <w:bCs/>
          <w:sz w:val="20"/>
          <w:szCs w:val="20"/>
          <w:lang w:val="sr-Cyrl-RS"/>
        </w:rPr>
      </w:pPr>
    </w:p>
    <w:p w14:paraId="54AEC4C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Podaci prikuplјeni kod zdravih ispitanika koji su primili pojedinačnu dozu dasatiniba od 100 mg 30 minuta poslije obroka </w:t>
      </w:r>
      <w:r>
        <w:rPr>
          <w:rFonts w:ascii="Microsoft Sans Serif" w:hAnsi="Microsoft Sans Serif" w:cs="Microsoft Sans Serif"/>
          <w:bCs/>
          <w:sz w:val="20"/>
          <w:szCs w:val="20"/>
          <w:lang w:val="mk-MK"/>
        </w:rPr>
        <w:t xml:space="preserve">sa visokim sadržajem </w:t>
      </w:r>
      <w:r>
        <w:rPr>
          <w:rFonts w:ascii="Microsoft Sans Serif" w:hAnsi="Microsoft Sans Serif" w:cs="Microsoft Sans Serif"/>
          <w:bCs/>
          <w:sz w:val="20"/>
          <w:szCs w:val="20"/>
          <w:lang w:val="sr-Cyrl-RS"/>
        </w:rPr>
        <w:t>masti ukazuju na 14%-tno povećanje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Obrok sa niskim sadržajem masti 30 minuta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 primjene dasatiniba rezultirao je 21%-tnim povećanjem prosječne vrijednosti PIK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dasatiniba.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ećeni uticaji hrane ne predstavlјaju klinički važne promjene u izloženosti. Varijabilnost u izložnosti dasatinibu izraženija je nakon primjene natašte (47%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nego nakon</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primjene uz obrok s</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niskim sadržajem masti (39%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ili obrok sa visokim sadržajem masti (32%</w:t>
      </w:r>
      <w:r>
        <w:rPr>
          <w:rFonts w:ascii="Microsoft Sans Serif" w:hAnsi="Microsoft Sans Serif" w:cs="Microsoft Sans Serif"/>
          <w:bCs/>
          <w:sz w:val="20"/>
          <w:szCs w:val="20"/>
          <w:lang w:val="sr-Latn-RS"/>
        </w:rPr>
        <w:t xml:space="preserve"> CV</w:t>
      </w:r>
      <w:r>
        <w:rPr>
          <w:rFonts w:ascii="Microsoft Sans Serif" w:hAnsi="Microsoft Sans Serif" w:cs="Microsoft Sans Serif"/>
          <w:bCs/>
          <w:sz w:val="20"/>
          <w:szCs w:val="20"/>
          <w:lang w:val="sr-Cyrl-RS"/>
        </w:rPr>
        <w:t>).</w:t>
      </w:r>
    </w:p>
    <w:p w14:paraId="137EF8EE">
      <w:pPr>
        <w:rPr>
          <w:rFonts w:ascii="Microsoft Sans Serif" w:hAnsi="Microsoft Sans Serif" w:cs="Microsoft Sans Serif"/>
          <w:bCs/>
          <w:sz w:val="20"/>
          <w:szCs w:val="20"/>
          <w:lang w:val="sr-Cyrl-RS"/>
        </w:rPr>
      </w:pPr>
    </w:p>
    <w:p w14:paraId="6A0B29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Prema analizi populacijske farmakokinetike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pacijenata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enjeno je da je varijabilnost u izloženosti dasatinibu prvenstveno posljedica varijabilnosti u bioraspoloživosti u pojedinim vremenskim tačkama (44%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i u manjoj mjeri posljedica interindividualne varijabilnosti u bioraspoloživosti i interindividualne varijabilnosti u klirensu (30% odnosno 32%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Ne očekuje se da će ta nasumična varijabilnost u izloženosti u pojedinim vremenskim tačkama uticati na </w:t>
      </w:r>
      <w:r>
        <w:rPr>
          <w:rFonts w:ascii="Microsoft Sans Serif" w:hAnsi="Microsoft Sans Serif" w:cs="Microsoft Sans Serif"/>
          <w:bCs/>
          <w:sz w:val="20"/>
          <w:szCs w:val="20"/>
          <w:lang w:val="hr-BA"/>
        </w:rPr>
        <w:t xml:space="preserve">kumulativnu </w:t>
      </w:r>
      <w:r>
        <w:rPr>
          <w:rFonts w:ascii="Microsoft Sans Serif" w:hAnsi="Microsoft Sans Serif" w:cs="Microsoft Sans Serif"/>
          <w:bCs/>
          <w:sz w:val="20"/>
          <w:szCs w:val="20"/>
          <w:lang w:val="sr-Cyrl-RS"/>
        </w:rPr>
        <w:t>izloženost i efikasnost ili bezbjednost.</w:t>
      </w:r>
    </w:p>
    <w:p w14:paraId="493F4228">
      <w:pPr>
        <w:rPr>
          <w:rFonts w:ascii="Microsoft Sans Serif" w:hAnsi="Microsoft Sans Serif" w:cs="Microsoft Sans Serif"/>
          <w:bCs/>
          <w:sz w:val="20"/>
          <w:szCs w:val="20"/>
          <w:u w:val="single"/>
          <w:lang w:val="sr-Cyrl-RS"/>
        </w:rPr>
      </w:pPr>
    </w:p>
    <w:p w14:paraId="43DBBCE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Distribucija</w:t>
      </w:r>
    </w:p>
    <w:p w14:paraId="5FE9B9E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Dasatinib kod pacijenata ima veliki prividni volumen distribucije (2505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 i koeficijent varijacije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xml:space="preserve">% 93%), što ukazuje na to da se lijek široko distribuira u ekstravaskularnom prostoru. Na osnovu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ispitivanja, vezivanje dasatiniba za proteine plazme pri klinički značajnim koncentracijama iznosilo je oko 96%.</w:t>
      </w:r>
    </w:p>
    <w:p w14:paraId="248E0600">
      <w:pPr>
        <w:rPr>
          <w:rFonts w:ascii="Microsoft Sans Serif" w:hAnsi="Microsoft Sans Serif" w:cs="Microsoft Sans Serif"/>
          <w:bCs/>
          <w:sz w:val="20"/>
          <w:szCs w:val="20"/>
          <w:lang w:val="sr-Cyrl-RS"/>
        </w:rPr>
      </w:pPr>
    </w:p>
    <w:p w14:paraId="7788E61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Biotransformacija</w:t>
      </w:r>
    </w:p>
    <w:p w14:paraId="505A7F3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lang w:val="sr-Cyrl-RS"/>
        </w:rPr>
        <w:t>Dasatinib se kod lјudi obimno metaboliše, uz pomoć mnogih enzima uklјučenih u stvaranje njegovih metabolita. Kod zdravih ispitanika koji su primili 100 mg dasatiniba obilježenog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xml:space="preserve">], nepromenjen dasatinib činio je 29% cirkulišuće radioaktivnosti u plazmi. Koncentracija u plazmi i aktivnost izmjerena </w:t>
      </w:r>
      <w:r>
        <w:rPr>
          <w:rFonts w:ascii="Microsoft Sans Serif" w:hAnsi="Microsoft Sans Serif" w:cs="Microsoft Sans Serif"/>
          <w:bCs/>
          <w:i/>
          <w:sz w:val="20"/>
          <w:szCs w:val="20"/>
          <w:lang w:val="sr-Cyrl-RS"/>
        </w:rPr>
        <w:t>in vitro</w:t>
      </w:r>
      <w:r>
        <w:rPr>
          <w:rFonts w:ascii="Microsoft Sans Serif" w:hAnsi="Microsoft Sans Serif" w:cs="Microsoft Sans Serif"/>
          <w:bCs/>
          <w:sz w:val="20"/>
          <w:szCs w:val="20"/>
          <w:lang w:val="sr-Cyrl-RS"/>
        </w:rPr>
        <w:t xml:space="preserve"> pokazuju da metaboliti dasatiniba najverovatnije ne igraju veliku ulogu u posmatranoj farmakologiji lijeka. </w:t>
      </w:r>
      <w:r>
        <w:rPr>
          <w:rFonts w:ascii="Microsoft Sans Serif" w:hAnsi="Microsoft Sans Serif" w:cs="Microsoft Sans Serif"/>
          <w:bCs/>
          <w:sz w:val="20"/>
          <w:szCs w:val="20"/>
          <w:lang w:val="sr-Latn-RS"/>
        </w:rPr>
        <w:t>CYP</w:t>
      </w:r>
      <w:r>
        <w:rPr>
          <w:rFonts w:ascii="Microsoft Sans Serif" w:hAnsi="Microsoft Sans Serif" w:cs="Microsoft Sans Serif"/>
          <w:bCs/>
          <w:sz w:val="20"/>
          <w:szCs w:val="20"/>
          <w:lang w:val="sr-Cyrl-RS"/>
        </w:rPr>
        <w:t>3A4 je glavni enzim za metabolizam</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dasatiniba.</w:t>
      </w:r>
    </w:p>
    <w:p w14:paraId="3ACF969B">
      <w:pPr>
        <w:rPr>
          <w:rFonts w:ascii="Microsoft Sans Serif" w:hAnsi="Microsoft Sans Serif" w:cs="Microsoft Sans Serif"/>
          <w:bCs/>
          <w:sz w:val="20"/>
          <w:szCs w:val="20"/>
          <w:u w:val="single"/>
          <w:lang w:val="sr-Cyrl-RS"/>
        </w:rPr>
      </w:pPr>
    </w:p>
    <w:p w14:paraId="48D19D89">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Eliminacija</w:t>
      </w:r>
    </w:p>
    <w:p w14:paraId="2C9579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Srednja vrijednost terminalnog poluvremena eliminacije dasatiniba je od 3 sata do 5 sati. Srednja vrijednost prividnog klirensa poslije oralne primjene iznosi 363,8 </w:t>
      </w:r>
      <w:r>
        <w:rPr>
          <w:rFonts w:ascii="Microsoft Sans Serif" w:hAnsi="Microsoft Sans Serif" w:cs="Microsoft Sans Serif"/>
          <w:bCs/>
          <w:sz w:val="20"/>
          <w:szCs w:val="20"/>
          <w:lang w:val="sr-Latn-RS"/>
        </w:rPr>
        <w:t>l</w:t>
      </w:r>
      <w:r>
        <w:rPr>
          <w:rFonts w:ascii="Microsoft Sans Serif" w:hAnsi="Microsoft Sans Serif" w:cs="Microsoft Sans Serif"/>
          <w:bCs/>
          <w:sz w:val="20"/>
          <w:szCs w:val="20"/>
          <w:lang w:val="sr-Cyrl-RS"/>
        </w:rPr>
        <w:t>/hr (</w:t>
      </w:r>
      <w:r>
        <w:rPr>
          <w:rFonts w:ascii="Microsoft Sans Serif" w:hAnsi="Microsoft Sans Serif" w:cs="Microsoft Sans Serif"/>
          <w:bCs/>
          <w:sz w:val="20"/>
          <w:szCs w:val="20"/>
          <w:lang w:val="sr-Latn-RS"/>
        </w:rPr>
        <w:t>CV</w:t>
      </w:r>
      <w:r>
        <w:rPr>
          <w:rFonts w:ascii="Microsoft Sans Serif" w:hAnsi="Microsoft Sans Serif" w:cs="Microsoft Sans Serif"/>
          <w:bCs/>
          <w:sz w:val="20"/>
          <w:szCs w:val="20"/>
          <w:lang w:val="sr-Cyrl-RS"/>
        </w:rPr>
        <w:t>% 81,3%).</w:t>
      </w:r>
    </w:p>
    <w:p w14:paraId="0C024279">
      <w:pPr>
        <w:rPr>
          <w:rFonts w:ascii="Microsoft Sans Serif" w:hAnsi="Microsoft Sans Serif" w:cs="Microsoft Sans Serif"/>
          <w:bCs/>
          <w:sz w:val="20"/>
          <w:szCs w:val="20"/>
          <w:lang w:val="sr-Cyrl-RS"/>
        </w:rPr>
      </w:pPr>
    </w:p>
    <w:p w14:paraId="2F14652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Eliminacija se odvija pretežno putem fecesa, uglavnom u obliku metabolita. Nakon oralne primjene pojedinačne doze dasatiniba obilježenog sa [</w:t>
      </w:r>
      <w:r>
        <w:rPr>
          <w:rFonts w:ascii="Microsoft Sans Serif" w:hAnsi="Microsoft Sans Serif" w:cs="Microsoft Sans Serif"/>
          <w:bCs/>
          <w:sz w:val="20"/>
          <w:szCs w:val="20"/>
          <w:vertAlign w:val="superscript"/>
          <w:lang w:val="sr-Cyrl-RS"/>
        </w:rPr>
        <w:t>14</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lang w:val="sr-Cyrl-RS"/>
        </w:rPr>
        <w:t>], oko 89% doze eliminisalo se u roku od 10 dana, s tim da je 4% radioaktivnosti bilo otkriveno u urinu, a 85% u fecesu.</w:t>
      </w:r>
    </w:p>
    <w:p w14:paraId="273FE3F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Nepromenjen dasatinib činio je 0,1% doze u urinu i 19% doze u fecesu, dok su ostatak doze činili metaboliti.</w:t>
      </w:r>
    </w:p>
    <w:p w14:paraId="5919456F">
      <w:pPr>
        <w:rPr>
          <w:rFonts w:ascii="Microsoft Sans Serif" w:hAnsi="Microsoft Sans Serif" w:cs="Microsoft Sans Serif"/>
          <w:bCs/>
          <w:sz w:val="20"/>
          <w:szCs w:val="20"/>
          <w:lang w:val="sr-Cyrl-RS"/>
        </w:rPr>
      </w:pPr>
    </w:p>
    <w:p w14:paraId="6D862F97">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Oštećenje funkcije jetre i bubrega</w:t>
      </w:r>
    </w:p>
    <w:p w14:paraId="3F0A7F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Uticaj oštećenja funkcije jetre na farmakokinetiku pojedinačne doze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enjivan je kod 8 ispitanika sa umjerenim oštećenjem funkcije jetre koji su primali dozu od 50 mg i 5 pacijenata sa teškim oštećenjem funkcije jetre koji su primali dozu od 20 mg u odnosu na odgovarajuće zdrave ispitanike koji su primali dozu od 70 mg dasatiniba.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 xml:space="preserve">i PIK-a dasatiniba prilagođene za dozu od 70 mg bile su smanjene za 47% kod pacijenata sa umjerenim oštećenjem </w:t>
      </w:r>
      <w:r>
        <w:rPr>
          <w:rFonts w:ascii="Microsoft Sans Serif" w:hAnsi="Microsoft Sans Serif" w:cs="Microsoft Sans Serif"/>
          <w:bCs/>
          <w:sz w:val="20"/>
          <w:szCs w:val="20"/>
          <w:lang w:val="hr-BA"/>
        </w:rPr>
        <w:t xml:space="preserve">funkcije </w:t>
      </w:r>
      <w:r>
        <w:rPr>
          <w:rFonts w:ascii="Microsoft Sans Serif" w:hAnsi="Microsoft Sans Serif" w:cs="Microsoft Sans Serif"/>
          <w:bCs/>
          <w:sz w:val="20"/>
          <w:szCs w:val="20"/>
          <w:lang w:val="sr-Cyrl-RS"/>
        </w:rPr>
        <w:t xml:space="preserve">jetre u odnosu na 8% kod pacijenata sa normalnom funkcijom jetre. Kod pacijenata sa teškim oštećenjem jetre,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 PIK-a prilagođene dozi od 70 mg bile su smanjene za 43% u odnosu na 28% kod pacijenata sa normalnom funkcijom jetre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dijelove</w:t>
      </w:r>
      <w:r>
        <w:rPr>
          <w:rFonts w:ascii="Microsoft Sans Serif" w:hAnsi="Microsoft Sans Serif" w:cs="Microsoft Sans Serif"/>
          <w:bCs/>
          <w:sz w:val="20"/>
          <w:szCs w:val="20"/>
          <w:lang w:val="sr-Cyrl-RS"/>
        </w:rPr>
        <w:t xml:space="preserve"> 4.2. i 4.4.).</w:t>
      </w:r>
    </w:p>
    <w:p w14:paraId="55993D10">
      <w:pPr>
        <w:rPr>
          <w:rFonts w:ascii="Microsoft Sans Serif" w:hAnsi="Microsoft Sans Serif" w:cs="Microsoft Sans Serif"/>
          <w:bCs/>
          <w:sz w:val="20"/>
          <w:szCs w:val="20"/>
          <w:lang w:val="sr-Cyrl-RS"/>
        </w:rPr>
      </w:pPr>
    </w:p>
    <w:p w14:paraId="10D67DD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Dasatinib i njegovi metaboliti minimalno se izlučuju putem bubrega.</w:t>
      </w:r>
    </w:p>
    <w:p w14:paraId="00212DF5">
      <w:pPr>
        <w:rPr>
          <w:rFonts w:ascii="Microsoft Sans Serif" w:hAnsi="Microsoft Sans Serif" w:cs="Microsoft Sans Serif"/>
          <w:bCs/>
          <w:sz w:val="20"/>
          <w:szCs w:val="20"/>
          <w:lang w:val="sr-Cyrl-RS"/>
        </w:rPr>
      </w:pPr>
    </w:p>
    <w:p w14:paraId="4AA6A4C4">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lang w:val="sr-Cyrl-RS"/>
        </w:rPr>
        <w:t>Pedijatrijska populacija</w:t>
      </w:r>
    </w:p>
    <w:p w14:paraId="760BCC7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enjena je kod 104 pedijatrijska pacijenta sa leukemijom ili solidnim tumorima (72 koja su primala lijek u obliku tablete, a 32 u obliku praška za oralnu suspenziju).</w:t>
      </w:r>
    </w:p>
    <w:p w14:paraId="57187480">
      <w:pPr>
        <w:rPr>
          <w:rFonts w:ascii="Microsoft Sans Serif" w:hAnsi="Microsoft Sans Serif" w:cs="Microsoft Sans Serif"/>
          <w:bCs/>
          <w:sz w:val="20"/>
          <w:szCs w:val="20"/>
          <w:lang w:val="sr-Cyrl-RS"/>
        </w:rPr>
      </w:pPr>
    </w:p>
    <w:p w14:paraId="3DAEF1B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 ispitivanju farmakokinetike kod pedijatrijskih pacijenata izloženost dasatinibu normalizovana za dozu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avg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min</w:t>
      </w:r>
      <w:r>
        <w:rPr>
          <w:rFonts w:ascii="Microsoft Sans Serif" w:hAnsi="Microsoft Sans Serif" w:cs="Microsoft Sans Serif"/>
          <w:bCs/>
          <w:sz w:val="20"/>
          <w:szCs w:val="20"/>
          <w:lang w:val="sr-Cyrl-RS"/>
        </w:rPr>
        <w:t xml:space="preserve"> 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xml:space="preserve">) izgleda da je slična kod 21 pacijenta sa </w:t>
      </w:r>
      <w:r>
        <w:rPr>
          <w:rFonts w:ascii="Microsoft Sans Serif" w:hAnsi="Microsoft Sans Serif" w:cs="Microsoft Sans Serif"/>
          <w:bCs/>
          <w:sz w:val="20"/>
          <w:szCs w:val="20"/>
          <w:lang w:val="sr-Latn-RS"/>
        </w:rPr>
        <w:t>HML</w:t>
      </w:r>
      <w:r>
        <w:rPr>
          <w:rFonts w:ascii="Microsoft Sans Serif" w:hAnsi="Microsoft Sans Serif" w:cs="Microsoft Sans Serif"/>
          <w:bCs/>
          <w:sz w:val="20"/>
          <w:szCs w:val="20"/>
          <w:lang w:val="sr-Cyrl-RS"/>
        </w:rPr>
        <w:t xml:space="preserve"> u hroničnoj fazi i 16 pacijenta sa </w:t>
      </w:r>
      <w:r>
        <w:rPr>
          <w:rFonts w:ascii="Microsoft Sans Serif" w:hAnsi="Microsoft Sans Serif" w:cs="Microsoft Sans Serif"/>
          <w:bCs/>
          <w:sz w:val="20"/>
          <w:szCs w:val="20"/>
          <w:lang w:val="sr-Latn-RS"/>
        </w:rPr>
        <w:t>Ph</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r-Latn-RS"/>
        </w:rPr>
        <w:t>LL</w:t>
      </w:r>
      <w:r>
        <w:rPr>
          <w:rFonts w:ascii="Microsoft Sans Serif" w:hAnsi="Microsoft Sans Serif" w:cs="Microsoft Sans Serif"/>
          <w:bCs/>
          <w:sz w:val="20"/>
          <w:szCs w:val="20"/>
          <w:lang w:val="sr-Cyrl-RS"/>
        </w:rPr>
        <w:t>.</w:t>
      </w:r>
    </w:p>
    <w:p w14:paraId="641751D2">
      <w:pPr>
        <w:rPr>
          <w:rFonts w:ascii="Microsoft Sans Serif" w:hAnsi="Microsoft Sans Serif" w:cs="Microsoft Sans Serif"/>
          <w:bCs/>
          <w:sz w:val="20"/>
          <w:szCs w:val="20"/>
          <w:lang w:val="sr-Cyrl-RS"/>
        </w:rPr>
      </w:pPr>
    </w:p>
    <w:p w14:paraId="03EC595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Farmakokinetika dasatiniba u obliku tablete 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enjivana je kod 72 pedijatrijska pacijenta sa relapsnom ili refraktornom leukemijom ili solidnim tumorima u oralnim dozama u rasponu od 60 do 120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jednom dnevno i dozama od 50 do 110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dva puta dnevno. Podaci su objedinjeni iz dva ispitivanja, a pokazali su da se dasatinib brzo resorbuje. Srednja vrijednost T</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vertAlign w:val="subscript"/>
          <w:lang w:val="sr-Cyrl-RS"/>
        </w:rPr>
        <w:t xml:space="preserve"> </w:t>
      </w:r>
      <w:r>
        <w:rPr>
          <w:rFonts w:ascii="Microsoft Sans Serif" w:hAnsi="Microsoft Sans Serif" w:cs="Microsoft Sans Serif"/>
          <w:bCs/>
          <w:sz w:val="20"/>
          <w:szCs w:val="20"/>
          <w:lang w:val="sr-Cyrl-RS"/>
        </w:rPr>
        <w:t xml:space="preserve">primjećena je između 0,5 i 6 sati poslije primjene, a srednja vrijednost poluvremena eliminacije kretala se od 2 do 5 sati kod svih doza i u svim starosnim grupama. Farmakokinetika dasatiniba pokazala je proporcionalnost dozi, a kod pedijatrijskih je pacijenata uočeno povećanje izloženosti povezano sa dozom. Nije bilo značajne razlike u farmakokinetici dasatiniba između djece i adolescenata. Geometrijske srednje vrijednosti </w:t>
      </w:r>
      <w:r>
        <w:rPr>
          <w:rFonts w:ascii="Microsoft Sans Serif" w:hAnsi="Microsoft Sans Serif" w:cs="Microsoft Sans Serif"/>
          <w:bCs/>
          <w:sz w:val="20"/>
          <w:szCs w:val="20"/>
          <w:lang w:val="sr-Latn-RS"/>
        </w:rPr>
        <w:t>C</w:t>
      </w:r>
      <w:r>
        <w:rPr>
          <w:rFonts w:ascii="Microsoft Sans Serif" w:hAnsi="Microsoft Sans Serif" w:cs="Microsoft Sans Serif"/>
          <w:bCs/>
          <w:sz w:val="20"/>
          <w:szCs w:val="20"/>
          <w:vertAlign w:val="subscript"/>
          <w:lang w:val="sr-Latn-RS"/>
        </w:rPr>
        <w:t>max</w:t>
      </w:r>
      <w:r>
        <w:rPr>
          <w:rFonts w:ascii="Microsoft Sans Serif" w:hAnsi="Microsoft Sans Serif" w:cs="Microsoft Sans Serif"/>
          <w:bCs/>
          <w:sz w:val="20"/>
          <w:szCs w:val="20"/>
          <w:lang w:val="sr-Cyrl-RS"/>
        </w:rPr>
        <w:t>, PIK</w:t>
      </w:r>
      <w:r>
        <w:rPr>
          <w:rFonts w:ascii="Microsoft Sans Serif" w:hAnsi="Microsoft Sans Serif" w:cs="Microsoft Sans Serif"/>
          <w:bCs/>
          <w:sz w:val="20"/>
          <w:szCs w:val="20"/>
          <w:vertAlign w:val="subscript"/>
          <w:lang w:val="sr-Cyrl-RS"/>
        </w:rPr>
        <w:t xml:space="preserve">(0-T) </w:t>
      </w:r>
      <w:r>
        <w:rPr>
          <w:rFonts w:ascii="Microsoft Sans Serif" w:hAnsi="Microsoft Sans Serif" w:cs="Microsoft Sans Serif"/>
          <w:bCs/>
          <w:sz w:val="20"/>
          <w:szCs w:val="20"/>
          <w:lang w:val="sr-Cyrl-RS"/>
        </w:rPr>
        <w:t>i PIK</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vertAlign w:val="subscript"/>
          <w:lang w:val="sr-Latn-RS"/>
        </w:rPr>
        <w:t>INF</w:t>
      </w:r>
      <w:r>
        <w:rPr>
          <w:rFonts w:ascii="Microsoft Sans Serif" w:hAnsi="Microsoft Sans Serif" w:cs="Microsoft Sans Serif"/>
          <w:bCs/>
          <w:sz w:val="20"/>
          <w:szCs w:val="20"/>
          <w:vertAlign w:val="subscript"/>
          <w:lang w:val="sr-Cyrl-RS"/>
        </w:rPr>
        <w:t>)</w:t>
      </w:r>
      <w:r>
        <w:rPr>
          <w:rFonts w:ascii="Microsoft Sans Serif" w:hAnsi="Microsoft Sans Serif" w:cs="Microsoft Sans Serif"/>
          <w:bCs/>
          <w:sz w:val="20"/>
          <w:szCs w:val="20"/>
          <w:lang w:val="sr-Cyrl-RS"/>
        </w:rPr>
        <w:t xml:space="preserve"> dasatiniba normalizovane za dozu bile su slične kod djece i adolescenata pri različitim dozama. Prema simulaciji zasnovanoj na populacijskom farmakokinetičkom modelu, očekuje se da će preporučeno doziranje tableta prema kategorijama tjelesne mase navedeno u </w:t>
      </w:r>
      <w:r>
        <w:rPr>
          <w:rFonts w:ascii="Microsoft Sans Serif" w:hAnsi="Microsoft Sans Serif" w:cs="Microsoft Sans Serif"/>
          <w:bCs/>
          <w:sz w:val="20"/>
          <w:szCs w:val="20"/>
          <w:lang w:val="hr-BA"/>
        </w:rPr>
        <w:t>dio</w:t>
      </w:r>
      <w:r>
        <w:rPr>
          <w:rFonts w:ascii="Microsoft Sans Serif" w:hAnsi="Microsoft Sans Serif" w:cs="Microsoft Sans Serif"/>
          <w:bCs/>
          <w:sz w:val="20"/>
          <w:szCs w:val="20"/>
          <w:lang w:val="sr-Cyrl-RS"/>
        </w:rPr>
        <w:t xml:space="preserve"> 4.2 dovesti do slične izloženosti kao tablete u dozi od 60 mg/m</w:t>
      </w:r>
      <w:r>
        <w:rPr>
          <w:rFonts w:ascii="Microsoft Sans Serif" w:hAnsi="Microsoft Sans Serif" w:cs="Microsoft Sans Serif"/>
          <w:bCs/>
          <w:sz w:val="20"/>
          <w:szCs w:val="20"/>
          <w:vertAlign w:val="superscript"/>
          <w:lang w:val="sr-Cyrl-RS"/>
        </w:rPr>
        <w:t>2</w:t>
      </w:r>
      <w:r>
        <w:rPr>
          <w:rFonts w:ascii="Microsoft Sans Serif" w:hAnsi="Microsoft Sans Serif" w:cs="Microsoft Sans Serif"/>
          <w:bCs/>
          <w:sz w:val="20"/>
          <w:szCs w:val="20"/>
          <w:lang w:val="sr-Cyrl-RS"/>
        </w:rPr>
        <w:t xml:space="preserve">. Te podatke treba uzeti u obzir ako </w:t>
      </w:r>
      <w:r>
        <w:rPr>
          <w:rFonts w:ascii="Microsoft Sans Serif" w:hAnsi="Microsoft Sans Serif" w:cs="Microsoft Sans Serif"/>
          <w:bCs/>
          <w:sz w:val="20"/>
          <w:szCs w:val="20"/>
          <w:lang w:val="sr-Latn-RS"/>
        </w:rPr>
        <w:t>pacijente</w:t>
      </w:r>
      <w:r>
        <w:rPr>
          <w:rFonts w:ascii="Microsoft Sans Serif" w:hAnsi="Microsoft Sans Serif" w:cs="Microsoft Sans Serif"/>
          <w:bCs/>
          <w:sz w:val="20"/>
          <w:szCs w:val="20"/>
          <w:lang w:val="sr-Cyrl-RS"/>
        </w:rPr>
        <w:t xml:space="preserve"> treba prebaciti sa tableta na prašak za oralnu suspenziju ili obrnuto.</w:t>
      </w:r>
    </w:p>
    <w:p w14:paraId="1D2CBEF1">
      <w:pPr>
        <w:rPr>
          <w:rFonts w:ascii="Microsoft Sans Serif" w:hAnsi="Microsoft Sans Serif" w:cs="Microsoft Sans Serif"/>
          <w:bCs/>
          <w:sz w:val="20"/>
          <w:szCs w:val="20"/>
          <w:lang w:val="sr-Cyrl-RS"/>
        </w:rPr>
      </w:pPr>
    </w:p>
    <w:p w14:paraId="3608476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sz w:val="20"/>
          <w:szCs w:val="20"/>
          <w:lang w:val="ru-RU"/>
        </w:rPr>
        <w:t>Pretklini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ki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podaci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bezbjednosti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r-Latn-RS"/>
        </w:rPr>
        <w:t>primjene</w:t>
      </w:r>
    </w:p>
    <w:p w14:paraId="76A8FE7B">
      <w:pPr>
        <w:rPr>
          <w:rFonts w:ascii="Microsoft Sans Serif" w:hAnsi="Microsoft Sans Serif" w:cs="Microsoft Sans Serif"/>
          <w:b/>
          <w:bCs/>
          <w:sz w:val="20"/>
          <w:szCs w:val="20"/>
          <w:lang w:val="sr-Cyrl-RS"/>
        </w:rPr>
      </w:pPr>
    </w:p>
    <w:p w14:paraId="4C37A56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Pretklini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sigurnosni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profil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dasatiniba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proc</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enjen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nizu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ispitivanja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i/>
          <w:sz w:val="20"/>
          <w:szCs w:val="20"/>
          <w:lang w:val="sr-Latn-RS"/>
        </w:rPr>
        <w:t>in vitro</w:t>
      </w:r>
      <w:r>
        <w:rPr>
          <w:rFonts w:ascii="Microsoft Sans Serif" w:hAnsi="Microsoft Sans Serif" w:cs="Microsoft Sans Serif"/>
          <w:bCs/>
          <w:sz w:val="20"/>
          <w:szCs w:val="20"/>
          <w:lang w:val="sr-Latn-RS"/>
        </w:rPr>
        <w:t xml:space="preserve"> i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evima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pacovima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majmunima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zečevima.</w:t>
      </w:r>
    </w:p>
    <w:p w14:paraId="26D41224">
      <w:pPr>
        <w:rPr>
          <w:rFonts w:ascii="Microsoft Sans Serif" w:hAnsi="Microsoft Sans Serif" w:cs="Microsoft Sans Serif"/>
          <w:bCs/>
          <w:sz w:val="20"/>
          <w:szCs w:val="20"/>
          <w:lang w:val="sr-Cyrl-RS"/>
        </w:rPr>
      </w:pPr>
    </w:p>
    <w:p w14:paraId="3D682BA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Primarni toksični efekti su se pojavili u gastrointenstinalnom, hematopoetskom i limfnom sistemu. Toksični efekti u gastrointestinalnom traktu ograničavaju dozu kod pacova i majmuna, pošto </w:t>
      </w:r>
      <w:r>
        <w:rPr>
          <w:rFonts w:ascii="Microsoft Sans Serif" w:hAnsi="Microsoft Sans Serif" w:cs="Microsoft Sans Serif"/>
          <w:bCs/>
          <w:sz w:val="20"/>
          <w:szCs w:val="20"/>
          <w:lang w:val="hr-BA"/>
        </w:rPr>
        <w:t>su</w:t>
      </w:r>
      <w:r>
        <w:rPr>
          <w:rFonts w:ascii="Microsoft Sans Serif" w:hAnsi="Microsoft Sans Serif" w:cs="Microsoft Sans Serif"/>
          <w:bCs/>
          <w:sz w:val="20"/>
          <w:szCs w:val="20"/>
          <w:lang w:val="sv-SE"/>
        </w:rPr>
        <w:t xml:space="preserve">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ev</w:t>
      </w:r>
      <w:r>
        <w:rPr>
          <w:rFonts w:ascii="Microsoft Sans Serif" w:hAnsi="Microsoft Sans Serif" w:cs="Microsoft Sans Serif"/>
          <w:bCs/>
          <w:sz w:val="20"/>
          <w:szCs w:val="20"/>
          <w:lang w:val="hr-BA"/>
        </w:rPr>
        <w:t>a</w:t>
      </w:r>
      <w:r>
        <w:rPr>
          <w:rFonts w:ascii="Microsoft Sans Serif" w:hAnsi="Microsoft Sans Serif" w:cs="Microsoft Sans Serif"/>
          <w:bCs/>
          <w:sz w:val="20"/>
          <w:szCs w:val="20"/>
          <w:lang w:val="sv-SE"/>
        </w:rPr>
        <w:t xml:space="preserve"> redovno</w:t>
      </w:r>
      <w:r>
        <w:rPr>
          <w:rFonts w:ascii="Microsoft Sans Serif" w:hAnsi="Microsoft Sans Serif" w:cs="Microsoft Sans Serif"/>
          <w:bCs/>
          <w:sz w:val="20"/>
          <w:szCs w:val="20"/>
          <w:lang w:val="hr-BA"/>
        </w:rPr>
        <w:t xml:space="preserve"> bili</w:t>
      </w:r>
      <w:r>
        <w:rPr>
          <w:rFonts w:ascii="Microsoft Sans Serif" w:hAnsi="Microsoft Sans Serif" w:cs="Microsoft Sans Serif"/>
          <w:bCs/>
          <w:sz w:val="20"/>
          <w:szCs w:val="20"/>
          <w:lang w:val="sv-SE"/>
        </w:rPr>
        <w:t xml:space="preserve"> cil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ni organ. Kod pacova su minimalna do umjerena smanjenja parametara eritrocita bila praćena promjenama u koštanoj srži; slične promjene desile su se i kod majmuna, ali sa manjom učestalošću. Limfoidna toksičnost kod pacova sastojala se od limfoidne deplecije u limfnim čvorovima, slezini i timusu, i smanjene težine limfnih organa. Promjene u gastrointestinalnom, hematopoetskom i limfnom sistemu bile su reverzibilne i povukle su se nakon prestanka liječenja.</w:t>
      </w:r>
    </w:p>
    <w:p w14:paraId="605F058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Bubrežne promjene kod majmuna liječenih do 9 mjeseci bile su ograničene na povećanje pozadinske</w:t>
      </w:r>
    </w:p>
    <w:p w14:paraId="74FF191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mineralizacije u bubrezima. Primjećena su krvarenja kože u akutnom ispitivanju pojedinačne oralne doze kod majmuna, ali nisu primjećena u ispitivanjima ponovl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ene doze ni kod majmuna ni kod pacova. Kod pacova je dasatinib inhibirao agregaciju trombocita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 produ</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lang w:val="sv-SE"/>
        </w:rPr>
        <w:t xml:space="preserve">io vrijeme krvarenje iz kutikule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ali nije izazivao spontana krvarenja.</w:t>
      </w:r>
    </w:p>
    <w:p w14:paraId="7972FCAB">
      <w:pPr>
        <w:rPr>
          <w:rFonts w:ascii="Microsoft Sans Serif" w:hAnsi="Microsoft Sans Serif" w:cs="Microsoft Sans Serif"/>
          <w:bCs/>
          <w:sz w:val="20"/>
          <w:szCs w:val="20"/>
          <w:lang w:val="sv-SE"/>
        </w:rPr>
      </w:pPr>
    </w:p>
    <w:p w14:paraId="7310B5D6">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Dejstvo dasatiniba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na h</w:t>
      </w:r>
      <w:r>
        <w:rPr>
          <w:rFonts w:ascii="Microsoft Sans Serif" w:hAnsi="Microsoft Sans Serif" w:cs="Microsoft Sans Serif"/>
          <w:bCs/>
          <w:sz w:val="20"/>
          <w:szCs w:val="20"/>
          <w:lang w:val="sr-Latn-RS"/>
        </w:rPr>
        <w:t>ERG</w:t>
      </w:r>
      <w:r>
        <w:rPr>
          <w:rFonts w:ascii="Microsoft Sans Serif" w:hAnsi="Microsoft Sans Serif" w:cs="Microsoft Sans Serif"/>
          <w:bCs/>
          <w:sz w:val="20"/>
          <w:szCs w:val="20"/>
          <w:lang w:val="sv-SE"/>
        </w:rPr>
        <w:t xml:space="preserve"> i Purkinjeova vlakna pokazuje da dasatinib ima potencijal produženja faze repolarizacije srčanih </w:t>
      </w:r>
      <w:r>
        <w:rPr>
          <w:rFonts w:ascii="Microsoft Sans Serif" w:hAnsi="Microsoft Sans Serif" w:cs="Microsoft Sans Serif"/>
          <w:bCs/>
          <w:sz w:val="20"/>
          <w:szCs w:val="20"/>
          <w:lang w:val="sr-Cyrl-RS"/>
        </w:rPr>
        <w:t>komora</w:t>
      </w:r>
      <w:r>
        <w:rPr>
          <w:rFonts w:ascii="Microsoft Sans Serif" w:hAnsi="Microsoft Sans Serif" w:cs="Microsoft Sans Serif"/>
          <w:bCs/>
          <w:sz w:val="20"/>
          <w:szCs w:val="20"/>
          <w:lang w:val="sv-SE"/>
        </w:rPr>
        <w:t xml:space="preserve"> (QT interval). Međutim, 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i/>
          <w:sz w:val="20"/>
          <w:szCs w:val="20"/>
          <w:lang w:val="sr-Latn-RS"/>
        </w:rPr>
        <w:t>in vivo</w:t>
      </w:r>
      <w:r>
        <w:rPr>
          <w:rFonts w:ascii="Microsoft Sans Serif" w:hAnsi="Microsoft Sans Serif" w:cs="Microsoft Sans Serif"/>
          <w:bCs/>
          <w:sz w:val="20"/>
          <w:szCs w:val="20"/>
          <w:lang w:val="sv-SE"/>
        </w:rPr>
        <w:t xml:space="preserve"> telemetrijskom ispitivanju pojedinačne doze budnih majmuna nije bilo promjena u QT intervalu ili obliku E</w:t>
      </w:r>
      <w:r>
        <w:rPr>
          <w:rFonts w:ascii="Microsoft Sans Serif" w:hAnsi="Microsoft Sans Serif" w:cs="Microsoft Sans Serif"/>
          <w:bCs/>
          <w:sz w:val="20"/>
          <w:szCs w:val="20"/>
          <w:lang w:val="sr-Latn-RS"/>
        </w:rPr>
        <w:t>KG</w:t>
      </w:r>
      <w:r>
        <w:rPr>
          <w:rFonts w:ascii="Microsoft Sans Serif" w:hAnsi="Microsoft Sans Serif" w:cs="Microsoft Sans Serif"/>
          <w:bCs/>
          <w:sz w:val="20"/>
          <w:szCs w:val="20"/>
          <w:lang w:val="sv-SE"/>
        </w:rPr>
        <w:t xml:space="preserve"> talasa.</w:t>
      </w:r>
    </w:p>
    <w:p w14:paraId="206D62E4">
      <w:pPr>
        <w:rPr>
          <w:rFonts w:ascii="Microsoft Sans Serif" w:hAnsi="Microsoft Sans Serif" w:cs="Microsoft Sans Serif"/>
          <w:bCs/>
          <w:sz w:val="20"/>
          <w:szCs w:val="20"/>
          <w:lang w:val="sv-SE"/>
        </w:rPr>
      </w:pPr>
    </w:p>
    <w:p w14:paraId="631CD79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Dasatinib nije pokazao mutageno djelovanje na bakterijske kulture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(Amesov test) niti je</w:t>
      </w:r>
    </w:p>
    <w:p w14:paraId="40D15BF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imao genotoksične efekte u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sprovedenom mikronukleusnom testu kod pacova. Dasatinib je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imao klastogeno djelovanje na d</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v-SE"/>
        </w:rPr>
        <w:t>el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enje ćelija jajnika kineskog hrčka (</w:t>
      </w:r>
      <w:r>
        <w:rPr>
          <w:rFonts w:ascii="Microsoft Sans Serif" w:hAnsi="Microsoft Sans Serif" w:cs="Microsoft Sans Serif"/>
          <w:bCs/>
          <w:sz w:val="20"/>
          <w:szCs w:val="20"/>
          <w:lang w:val="sr-Latn-RS"/>
        </w:rPr>
        <w:t>CHO</w:t>
      </w:r>
      <w:r>
        <w:rPr>
          <w:rFonts w:ascii="Microsoft Sans Serif" w:hAnsi="Microsoft Sans Serif" w:cs="Microsoft Sans Serif"/>
          <w:bCs/>
          <w:sz w:val="20"/>
          <w:szCs w:val="20"/>
          <w:lang w:val="sv-SE"/>
        </w:rPr>
        <w:t xml:space="preserve"> ćelije).</w:t>
      </w:r>
    </w:p>
    <w:p w14:paraId="27CCCCE1">
      <w:pPr>
        <w:rPr>
          <w:rFonts w:ascii="Microsoft Sans Serif" w:hAnsi="Microsoft Sans Serif" w:cs="Microsoft Sans Serif"/>
          <w:bCs/>
          <w:sz w:val="20"/>
          <w:szCs w:val="20"/>
          <w:lang w:val="sv-SE"/>
        </w:rPr>
      </w:pPr>
    </w:p>
    <w:p w14:paraId="3AC240CA">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Dasatinib nije uticao na plodnost mužjaka i ženki pacova u konvencionalnom ispitivanju</w:t>
      </w:r>
    </w:p>
    <w:p w14:paraId="6AD8F30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plodnosti niti na rani embrionalni razvoj kod pacova, ali je izazvao embrioletalne efekte pri dozama sličnim kliničkim dozama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udi. U ispitivanjima embriofetalnog razvoja, dasatinib je imao embrioletalne efekte sa poslijedičnim smanjenjem veličine legla kod pacova i izazvao promjene u fetalnom skeletu kako pacova, tako i zečeva. Ti su se efekti javili pri dozama koje nisu imale toksične efekte na majku, što znači da dasatinib ima selektivne toksične efekte na reprodukciju od faze implantacije do završetka organogeneze.</w:t>
      </w:r>
    </w:p>
    <w:p w14:paraId="4A7B636D">
      <w:pPr>
        <w:rPr>
          <w:rFonts w:ascii="Microsoft Sans Serif" w:hAnsi="Microsoft Sans Serif" w:cs="Microsoft Sans Serif"/>
          <w:bCs/>
          <w:sz w:val="20"/>
          <w:szCs w:val="20"/>
          <w:lang w:val="sv-SE"/>
        </w:rPr>
      </w:pPr>
    </w:p>
    <w:p w14:paraId="303E9A9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miševa je dasatinib izazivao imunosupresiju, koja je zavisila od doze i efikasno se r</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v-SE"/>
        </w:rPr>
        <w:t xml:space="preserve">ešavala smanjenjem doze i/ili promjenama u rasporedu doziranja. Dasatinib je imao fototoksični potencijal u jednom </w:t>
      </w:r>
      <w:r>
        <w:rPr>
          <w:rFonts w:ascii="Microsoft Sans Serif" w:hAnsi="Microsoft Sans Serif" w:cs="Microsoft Sans Serif"/>
          <w:bCs/>
          <w:i/>
          <w:sz w:val="20"/>
          <w:szCs w:val="20"/>
          <w:lang w:val="sv-SE"/>
        </w:rPr>
        <w:t>in vitro</w:t>
      </w:r>
      <w:r>
        <w:rPr>
          <w:rFonts w:ascii="Microsoft Sans Serif" w:hAnsi="Microsoft Sans Serif" w:cs="Microsoft Sans Serif"/>
          <w:bCs/>
          <w:sz w:val="20"/>
          <w:szCs w:val="20"/>
          <w:lang w:val="sv-SE"/>
        </w:rPr>
        <w:t xml:space="preserve"> ispitivanju na mišjim fibroblastima pomoću testa preuzimanja neutralne crvene boje (engl. </w:t>
      </w:r>
      <w:r>
        <w:rPr>
          <w:rFonts w:ascii="Microsoft Sans Serif" w:hAnsi="Microsoft Sans Serif" w:cs="Microsoft Sans Serif"/>
          <w:bCs/>
          <w:i/>
          <w:sz w:val="20"/>
          <w:szCs w:val="20"/>
          <w:lang w:val="sv-SE"/>
        </w:rPr>
        <w:t xml:space="preserve">neutral </w:t>
      </w:r>
      <w:r>
        <w:rPr>
          <w:rFonts w:ascii="Microsoft Sans Serif" w:hAnsi="Microsoft Sans Serif" w:cs="Microsoft Sans Serif"/>
          <w:bCs/>
          <w:i/>
          <w:sz w:val="20"/>
          <w:szCs w:val="20"/>
          <w:lang w:val="sr-Latn-RS"/>
        </w:rPr>
        <w:t>red uptake</w:t>
      </w:r>
      <w:r>
        <w:rPr>
          <w:rFonts w:ascii="Microsoft Sans Serif" w:hAnsi="Microsoft Sans Serif" w:cs="Microsoft Sans Serif"/>
          <w:bCs/>
          <w:sz w:val="20"/>
          <w:szCs w:val="20"/>
          <w:lang w:val="sv-SE"/>
        </w:rPr>
        <w:t xml:space="preserve">). Dasatinib se nije smatrao fototoksičnim </w:t>
      </w:r>
      <w:r>
        <w:rPr>
          <w:rFonts w:ascii="Microsoft Sans Serif" w:hAnsi="Microsoft Sans Serif" w:cs="Microsoft Sans Serif"/>
          <w:bCs/>
          <w:i/>
          <w:sz w:val="20"/>
          <w:szCs w:val="20"/>
          <w:lang w:val="sv-SE"/>
        </w:rPr>
        <w:t>in vivo</w:t>
      </w:r>
      <w:r>
        <w:rPr>
          <w:rFonts w:ascii="Microsoft Sans Serif" w:hAnsi="Microsoft Sans Serif" w:cs="Microsoft Sans Serif"/>
          <w:bCs/>
          <w:sz w:val="20"/>
          <w:szCs w:val="20"/>
          <w:lang w:val="sv-SE"/>
        </w:rPr>
        <w:t xml:space="preserve"> poslije oralne primjene pojedinačne doze kod ženki bezdlakog miša, pri čemu je njihova izloženost bila trostruko veća od izloženosti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 xml:space="preserve">udi poslije primjene preporučene terapijske doze (zasnovane na </w:t>
      </w:r>
      <w:r>
        <w:rPr>
          <w:rFonts w:ascii="Microsoft Sans Serif" w:hAnsi="Microsoft Sans Serif" w:cs="Microsoft Sans Serif"/>
          <w:bCs/>
          <w:sz w:val="20"/>
          <w:szCs w:val="20"/>
          <w:lang w:val="sr-Cyrl-RS"/>
        </w:rPr>
        <w:t>PIK vrijednosti</w:t>
      </w:r>
      <w:r>
        <w:rPr>
          <w:rFonts w:ascii="Microsoft Sans Serif" w:hAnsi="Microsoft Sans Serif" w:cs="Microsoft Sans Serif"/>
          <w:bCs/>
          <w:sz w:val="20"/>
          <w:szCs w:val="20"/>
          <w:lang w:val="sv-SE"/>
        </w:rPr>
        <w:t>).</w:t>
      </w:r>
    </w:p>
    <w:p w14:paraId="48B695FA">
      <w:pPr>
        <w:rPr>
          <w:rFonts w:ascii="Microsoft Sans Serif" w:hAnsi="Microsoft Sans Serif" w:cs="Microsoft Sans Serif"/>
          <w:bCs/>
          <w:sz w:val="20"/>
          <w:szCs w:val="20"/>
          <w:lang w:val="sv-SE"/>
        </w:rPr>
      </w:pPr>
    </w:p>
    <w:p w14:paraId="2ABF411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dvogodišnjem ispitivanju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sv-SE"/>
        </w:rPr>
        <w:t xml:space="preserve">ogenosti, </w:t>
      </w:r>
      <w:r>
        <w:rPr>
          <w:rFonts w:ascii="Microsoft Sans Serif" w:hAnsi="Microsoft Sans Serif" w:cs="Microsoft Sans Serif"/>
          <w:bCs/>
          <w:sz w:val="20"/>
          <w:szCs w:val="20"/>
          <w:lang w:val="sr-Cyrl-RS"/>
        </w:rPr>
        <w:t>pacovi</w:t>
      </w:r>
      <w:r>
        <w:rPr>
          <w:rFonts w:ascii="Microsoft Sans Serif" w:hAnsi="Microsoft Sans Serif" w:cs="Microsoft Sans Serif"/>
          <w:bCs/>
          <w:sz w:val="20"/>
          <w:szCs w:val="20"/>
          <w:lang w:val="sv-SE"/>
        </w:rPr>
        <w:t xml:space="preserve"> su dobijali oralne doze dasatiniba od 0,3; 1 i 3 mg/kg dnevno. Pri najvišoj dozi </w:t>
      </w:r>
      <w:r>
        <w:rPr>
          <w:rFonts w:ascii="Microsoft Sans Serif" w:hAnsi="Microsoft Sans Serif" w:cs="Microsoft Sans Serif"/>
          <w:bCs/>
          <w:sz w:val="20"/>
          <w:szCs w:val="20"/>
          <w:lang w:val="sr-Cyrl-RS"/>
        </w:rPr>
        <w:t>nivo</w:t>
      </w:r>
      <w:r>
        <w:rPr>
          <w:rFonts w:ascii="Microsoft Sans Serif" w:hAnsi="Microsoft Sans Serif" w:cs="Microsoft Sans Serif"/>
          <w:bCs/>
          <w:sz w:val="20"/>
          <w:szCs w:val="20"/>
          <w:lang w:val="sv-SE"/>
        </w:rPr>
        <w:t xml:space="preserve"> izloženosti lijeku u plazmi (</w:t>
      </w:r>
      <w:r>
        <w:rPr>
          <w:rFonts w:ascii="Microsoft Sans Serif" w:hAnsi="Microsoft Sans Serif" w:cs="Microsoft Sans Serif"/>
          <w:bCs/>
          <w:sz w:val="20"/>
          <w:szCs w:val="20"/>
          <w:lang w:val="sr-Cyrl-RS"/>
        </w:rPr>
        <w:t>PIK</w:t>
      </w:r>
      <w:r>
        <w:rPr>
          <w:rFonts w:ascii="Microsoft Sans Serif" w:hAnsi="Microsoft Sans Serif" w:cs="Microsoft Sans Serif"/>
          <w:bCs/>
          <w:sz w:val="20"/>
          <w:szCs w:val="20"/>
          <w:lang w:val="sv-SE"/>
        </w:rPr>
        <w:t>) generalno je odgovarao izloženosti ljudi pri preporučenom rasponu početne doze od 100 mg do 140 mg.</w:t>
      </w:r>
    </w:p>
    <w:p w14:paraId="3C97ADF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Primjećeno je statistički značajno povećanje kombinovane incidence karcinoma pločastih ćelija i papiloma materice i cerviksa ženki koje su dobijale velike doze i adenoma prostate mužjaka koji su primali male doze. Važnost ovih nalaza dobijenih u ispitivanjima kancerogenosti na pacovima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ude nije poznata.</w:t>
      </w:r>
    </w:p>
    <w:p w14:paraId="4733C002">
      <w:pPr>
        <w:rPr>
          <w:rFonts w:ascii="Microsoft Sans Serif" w:hAnsi="Microsoft Sans Serif" w:cs="Microsoft Sans Serif"/>
          <w:bCs/>
          <w:sz w:val="20"/>
          <w:szCs w:val="20"/>
          <w:lang w:val="sv-SE"/>
        </w:rPr>
      </w:pPr>
    </w:p>
    <w:p w14:paraId="4AF9B4C6">
      <w:pPr>
        <w:rPr>
          <w:rFonts w:ascii="Microsoft Sans Serif" w:hAnsi="Microsoft Sans Serif" w:cs="Microsoft Sans Serif"/>
          <w:bCs/>
          <w:sz w:val="20"/>
          <w:szCs w:val="20"/>
          <w:lang w:val="sv-SE"/>
        </w:rPr>
      </w:pPr>
    </w:p>
    <w:p w14:paraId="579DFD0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69679240">
      <w:pPr>
        <w:rPr>
          <w:rFonts w:ascii="Microsoft Sans Serif" w:hAnsi="Microsoft Sans Serif" w:cs="Microsoft Sans Serif"/>
          <w:b/>
          <w:sz w:val="20"/>
          <w:szCs w:val="20"/>
          <w:lang w:val="sv-SE"/>
        </w:rPr>
      </w:pPr>
    </w:p>
    <w:p w14:paraId="63000EE4">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6.1. Spisak pomoćnih supstanci</w:t>
      </w:r>
    </w:p>
    <w:p w14:paraId="14482084">
      <w:pPr>
        <w:rPr>
          <w:rFonts w:ascii="Microsoft Sans Serif" w:hAnsi="Microsoft Sans Serif" w:cs="Microsoft Sans Serif"/>
          <w:sz w:val="20"/>
          <w:szCs w:val="20"/>
          <w:lang w:val="sv-SE"/>
        </w:rPr>
      </w:pPr>
    </w:p>
    <w:p w14:paraId="2E1419B5">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542AFF9B">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monohidrat</w:t>
      </w:r>
      <w:r>
        <w:rPr>
          <w:rFonts w:ascii="Microsoft Sans Serif" w:hAnsi="Microsoft Sans Serif" w:cs="Microsoft Sans Serif"/>
          <w:sz w:val="20"/>
          <w:szCs w:val="20"/>
          <w:lang w:val="sv-SE"/>
        </w:rPr>
        <w:t xml:space="preserve"> </w:t>
      </w:r>
    </w:p>
    <w:p w14:paraId="109CC8C2">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 mikrokristalna</w:t>
      </w:r>
      <w:r>
        <w:rPr>
          <w:rFonts w:ascii="Microsoft Sans Serif" w:hAnsi="Microsoft Sans Serif" w:cs="Microsoft Sans Serif"/>
          <w:sz w:val="20"/>
          <w:szCs w:val="20"/>
          <w:lang w:val="sv-SE"/>
        </w:rPr>
        <w:t xml:space="preserve"> (101 </w:t>
      </w:r>
      <w:r>
        <w:rPr>
          <w:rFonts w:ascii="Microsoft Sans Serif" w:hAnsi="Microsoft Sans Serif" w:cs="Microsoft Sans Serif"/>
          <w:sz w:val="20"/>
          <w:szCs w:val="20"/>
          <w:lang w:val="mk-MK"/>
        </w:rPr>
        <w:t>i 102)</w:t>
      </w:r>
    </w:p>
    <w:p w14:paraId="69CE80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32149C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Hidroksipropilceluloza</w:t>
      </w:r>
    </w:p>
    <w:p w14:paraId="5BB21EF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0ABA2F42">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Film obloga tablete</w:t>
      </w:r>
    </w:p>
    <w:p w14:paraId="23B3A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3E9EF5D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w:t>
      </w:r>
    </w:p>
    <w:p w14:paraId="734905F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Titan-dioksid (E171)</w:t>
      </w:r>
    </w:p>
    <w:p w14:paraId="53762FD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Triacetin</w:t>
      </w:r>
    </w:p>
    <w:p w14:paraId="1A5BBF82">
      <w:pPr>
        <w:rPr>
          <w:rFonts w:ascii="Microsoft Sans Serif" w:hAnsi="Microsoft Sans Serif" w:cs="Microsoft Sans Serif"/>
          <w:sz w:val="20"/>
          <w:szCs w:val="20"/>
          <w:lang w:val="sr-Latn-RS"/>
        </w:rPr>
      </w:pPr>
    </w:p>
    <w:p w14:paraId="2120EDB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74CB4AB">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 </w:t>
      </w:r>
    </w:p>
    <w:p w14:paraId="24BBAB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enjivo.</w:t>
      </w:r>
    </w:p>
    <w:p w14:paraId="4EA20FB9">
      <w:pPr>
        <w:rPr>
          <w:rFonts w:ascii="Microsoft Sans Serif" w:hAnsi="Microsoft Sans Serif" w:cs="Microsoft Sans Serif"/>
          <w:sz w:val="20"/>
          <w:szCs w:val="20"/>
          <w:lang w:val="sr-Cyrl-RS"/>
        </w:rPr>
      </w:pPr>
    </w:p>
    <w:p w14:paraId="3A41FF27">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10E657EF">
      <w:pPr>
        <w:rPr>
          <w:rFonts w:ascii="Microsoft Sans Serif" w:hAnsi="Microsoft Sans Serif" w:cs="Microsoft Sans Serif"/>
          <w:bCs/>
          <w:sz w:val="20"/>
          <w:szCs w:val="20"/>
          <w:lang w:val="sr-Cyrl-RS"/>
        </w:rPr>
      </w:pPr>
    </w:p>
    <w:p w14:paraId="6FC81A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6AA7E72D">
      <w:pPr>
        <w:rPr>
          <w:rFonts w:ascii="Microsoft Sans Serif" w:hAnsi="Microsoft Sans Serif" w:cs="Microsoft Sans Serif"/>
          <w:bCs/>
          <w:sz w:val="20"/>
          <w:szCs w:val="20"/>
          <w:lang w:val="sr-Cyrl-RS"/>
        </w:rPr>
      </w:pPr>
    </w:p>
    <w:p w14:paraId="465CAC8C">
      <w:pPr>
        <w:rPr>
          <w:rFonts w:ascii="Microsoft Sans Serif" w:hAnsi="Microsoft Sans Serif" w:cs="Microsoft Sans Serif"/>
          <w:b/>
          <w:bCs/>
          <w:sz w:val="20"/>
          <w:szCs w:val="20"/>
          <w:lang w:val="fr-FR"/>
        </w:rPr>
      </w:pPr>
      <w:r>
        <w:rPr>
          <w:rFonts w:ascii="Microsoft Sans Serif" w:hAnsi="Microsoft Sans Serif" w:cs="Microsoft Sans Serif"/>
          <w:b/>
          <w:bCs/>
          <w:sz w:val="20"/>
          <w:szCs w:val="20"/>
          <w:lang w:val="fr-FR"/>
        </w:rPr>
        <w:t>6.4. Posebne mjere opreza pri čuvanju</w:t>
      </w:r>
    </w:p>
    <w:p w14:paraId="6C5452B8">
      <w:pPr>
        <w:rPr>
          <w:rFonts w:ascii="Microsoft Sans Serif" w:hAnsi="Microsoft Sans Serif" w:cs="Microsoft Sans Serif"/>
          <w:b/>
          <w:bCs/>
          <w:sz w:val="20"/>
          <w:szCs w:val="20"/>
          <w:lang w:val="fr-FR"/>
        </w:rPr>
      </w:pPr>
    </w:p>
    <w:p w14:paraId="79F6513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Lijek treba </w:t>
      </w:r>
      <w:r>
        <w:rPr>
          <w:rFonts w:ascii="Microsoft Sans Serif" w:hAnsi="Microsoft Sans Serif" w:cs="Microsoft Sans Serif"/>
          <w:sz w:val="20"/>
          <w:szCs w:val="20"/>
          <w:lang w:val="sr-Latn-RS"/>
        </w:rPr>
        <w:t>čuvati na temperaturi do 30⁰C</w:t>
      </w:r>
      <w:r>
        <w:rPr>
          <w:rFonts w:ascii="Microsoft Sans Serif" w:hAnsi="Microsoft Sans Serif" w:cs="Microsoft Sans Serif"/>
          <w:sz w:val="20"/>
          <w:szCs w:val="20"/>
          <w:lang w:val="sr-Cyrl-RS"/>
        </w:rPr>
        <w:t>.</w:t>
      </w:r>
    </w:p>
    <w:p w14:paraId="48AD779B">
      <w:pPr>
        <w:rPr>
          <w:rFonts w:ascii="Microsoft Sans Serif" w:hAnsi="Microsoft Sans Serif" w:cs="Microsoft Sans Serif"/>
          <w:b/>
          <w:bCs/>
          <w:sz w:val="20"/>
          <w:szCs w:val="20"/>
          <w:lang w:val="sr-Latn-CS"/>
        </w:rPr>
      </w:pPr>
    </w:p>
    <w:p w14:paraId="56C236A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lang w:val="sv-SE"/>
        </w:rPr>
        <w:t xml:space="preserve"> </w:t>
      </w:r>
    </w:p>
    <w:p w14:paraId="688579AD">
      <w:pPr>
        <w:rPr>
          <w:rFonts w:ascii="Microsoft Sans Serif" w:hAnsi="Microsoft Sans Serif" w:cs="Microsoft Sans Serif"/>
          <w:sz w:val="20"/>
          <w:szCs w:val="20"/>
          <w:u w:val="single"/>
          <w:lang w:val="sr-Cyrl-RS"/>
        </w:rPr>
      </w:pPr>
    </w:p>
    <w:p w14:paraId="38D0C84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20 mg film tablete</w:t>
      </w:r>
    </w:p>
    <w:p w14:paraId="3C9F5CA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48B3246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B875450">
      <w:pPr>
        <w:rPr>
          <w:rFonts w:ascii="Microsoft Sans Serif" w:hAnsi="Microsoft Sans Serif" w:cs="Microsoft Sans Serif"/>
          <w:sz w:val="20"/>
          <w:szCs w:val="20"/>
          <w:lang w:val="sr-Cyrl-RS"/>
        </w:rPr>
      </w:pPr>
    </w:p>
    <w:p w14:paraId="31BA47F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50 mg film tablete</w:t>
      </w:r>
    </w:p>
    <w:p w14:paraId="5266E24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5004D0E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kartonska kutija koja sadrži 60 film tableta (6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CF36CF">
      <w:pPr>
        <w:rPr>
          <w:rFonts w:ascii="Microsoft Sans Serif" w:hAnsi="Microsoft Sans Serif" w:cs="Microsoft Sans Serif"/>
          <w:sz w:val="20"/>
          <w:szCs w:val="20"/>
          <w:lang w:val="sr-Cyrl-RS"/>
        </w:rPr>
      </w:pPr>
    </w:p>
    <w:p w14:paraId="1F769DE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Nodriga 70 mg film tablete</w:t>
      </w:r>
    </w:p>
    <w:p w14:paraId="2495A18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B62B1B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44905D0">
      <w:pPr>
        <w:rPr>
          <w:rFonts w:ascii="Microsoft Sans Serif" w:hAnsi="Microsoft Sans Serif" w:cs="Microsoft Sans Serif"/>
          <w:sz w:val="20"/>
          <w:szCs w:val="20"/>
          <w:lang w:val="sr-Cyrl-RS"/>
        </w:rPr>
      </w:pPr>
    </w:p>
    <w:p w14:paraId="7070BCD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10</w:t>
      </w:r>
      <w:r>
        <w:rPr>
          <w:rFonts w:ascii="Microsoft Sans Serif" w:hAnsi="Microsoft Sans Serif" w:cs="Microsoft Sans Serif"/>
          <w:sz w:val="20"/>
          <w:szCs w:val="20"/>
          <w:u w:val="single"/>
          <w:lang w:val="sr-Cyrl-RS"/>
        </w:rPr>
        <w:t>0 mg film tablete</w:t>
      </w:r>
    </w:p>
    <w:p w14:paraId="3009CB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2C4E21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5622EE57">
      <w:pPr>
        <w:rPr>
          <w:rFonts w:ascii="Microsoft Sans Serif" w:hAnsi="Microsoft Sans Serif" w:cs="Microsoft Sans Serif"/>
          <w:sz w:val="20"/>
          <w:szCs w:val="20"/>
          <w:lang w:val="sr-Latn-RS"/>
        </w:rPr>
      </w:pPr>
    </w:p>
    <w:p w14:paraId="151E52D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Nodriga </w:t>
      </w:r>
      <w:r>
        <w:rPr>
          <w:rFonts w:ascii="Microsoft Sans Serif" w:hAnsi="Microsoft Sans Serif" w:cs="Microsoft Sans Serif"/>
          <w:sz w:val="20"/>
          <w:szCs w:val="20"/>
          <w:u w:val="single"/>
          <w:lang w:val="sv-SE"/>
        </w:rPr>
        <w:t>14</w:t>
      </w:r>
      <w:r>
        <w:rPr>
          <w:rFonts w:ascii="Microsoft Sans Serif" w:hAnsi="Microsoft Sans Serif" w:cs="Microsoft Sans Serif"/>
          <w:sz w:val="20"/>
          <w:szCs w:val="20"/>
          <w:u w:val="single"/>
          <w:lang w:val="sr-Cyrl-RS"/>
        </w:rPr>
        <w:t>0 mg film tablete</w:t>
      </w:r>
    </w:p>
    <w:p w14:paraId="475D5E7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63FE034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B630E1D">
      <w:pPr>
        <w:rPr>
          <w:rFonts w:ascii="Microsoft Sans Serif" w:hAnsi="Microsoft Sans Serif" w:cs="Microsoft Sans Serif"/>
          <w:b/>
          <w:bCs/>
          <w:sz w:val="20"/>
          <w:szCs w:val="20"/>
          <w:lang w:val="sr-Cyrl-RS"/>
        </w:rPr>
      </w:pPr>
    </w:p>
    <w:p w14:paraId="5001676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ru-RU"/>
        </w:rPr>
        <w:t xml:space="preserve">6.6. Posebne mjere opreza pri odlaganju materijala koji treba odbaciti nakon primjene lijeka </w:t>
      </w:r>
      <w:r>
        <w:rPr>
          <w:rFonts w:ascii="Microsoft Sans Serif" w:hAnsi="Microsoft Sans Serif" w:cs="Microsoft Sans Serif"/>
          <w:b/>
          <w:bCs/>
          <w:sz w:val="20"/>
          <w:szCs w:val="20"/>
          <w:lang w:val="sr-Latn-CS"/>
        </w:rPr>
        <w:t>(i druga uputstva za rukovanje lijekom)</w:t>
      </w:r>
    </w:p>
    <w:p w14:paraId="60E79DE6">
      <w:pPr>
        <w:rPr>
          <w:rFonts w:ascii="Microsoft Sans Serif" w:hAnsi="Microsoft Sans Serif" w:cs="Microsoft Sans Serif"/>
          <w:sz w:val="20"/>
          <w:szCs w:val="20"/>
          <w:lang w:val="sr-Cyrl-CS"/>
        </w:rPr>
      </w:pPr>
    </w:p>
    <w:p w14:paraId="30A15A18">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Film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Cyrl-CS"/>
        </w:rPr>
        <w:t>ablete sastoje se od jezgra tablete sa film oblogom da se spreči izlaganje zdravstvenih radnika aktivnoj supstanci. Preporučuje se upotreba rukavica od lateksa ili nitrila za odgovarajuće odlaganje prilikom rukovanja tabletama koje se nehotice drobe ili razbiju, kako bi se minimizirao rizik od dermalne izloženosti.</w:t>
      </w:r>
    </w:p>
    <w:p w14:paraId="390A26E2">
      <w:pPr>
        <w:rPr>
          <w:rFonts w:ascii="Microsoft Sans Serif" w:hAnsi="Microsoft Sans Serif" w:cs="Microsoft Sans Serif"/>
          <w:sz w:val="20"/>
          <w:szCs w:val="20"/>
          <w:lang w:val="sr-Cyrl-CS"/>
        </w:rPr>
      </w:pPr>
    </w:p>
    <w:p w14:paraId="55826F9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lijeka ili otpadnog materijala nakon njegove upotrebe treba ukloniti u skladu sa važećim propisima.</w:t>
      </w:r>
    </w:p>
    <w:p w14:paraId="0F595E75">
      <w:pPr>
        <w:rPr>
          <w:rFonts w:ascii="Microsoft Sans Serif" w:hAnsi="Microsoft Sans Serif" w:cs="Microsoft Sans Serif"/>
          <w:sz w:val="20"/>
          <w:szCs w:val="20"/>
          <w:lang w:val="sr-Latn-RS"/>
        </w:rPr>
      </w:pPr>
    </w:p>
    <w:p w14:paraId="54080966">
      <w:pPr>
        <w:tabs>
          <w:tab w:val="clear" w:pos="284"/>
        </w:tabs>
        <w:autoSpaceDE w:val="0"/>
        <w:autoSpaceDN w:val="0"/>
        <w:adjustRightInd w:val="0"/>
        <w:jc w:val="left"/>
        <w:rPr>
          <w:rFonts w:ascii="MicrosoftSansSerif,Bold" w:hAnsi="MicrosoftSansSerif,Bold" w:cs="MicrosoftSansSerif,Bold"/>
          <w:b/>
          <w:bCs/>
          <w:sz w:val="20"/>
          <w:szCs w:val="20"/>
        </w:rPr>
      </w:pPr>
      <w:r>
        <w:rPr>
          <w:rFonts w:ascii="MicrosoftSansSerif,Bold" w:hAnsi="MicrosoftSansSerif,Bold" w:cs="MicrosoftSansSerif,Bold"/>
          <w:b/>
          <w:bCs/>
          <w:sz w:val="20"/>
          <w:szCs w:val="20"/>
        </w:rPr>
        <w:t>6.7. Režim izdavanja lijeka</w:t>
      </w:r>
    </w:p>
    <w:p w14:paraId="535D7F7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Lijek se upotrebljava u zdravstvenoj ustanovi sekundarnog ili tercijarnog nivoa; izuzetno se izdaje uz</w:t>
      </w:r>
    </w:p>
    <w:p w14:paraId="728969D8">
      <w:pPr>
        <w:rPr>
          <w:rFonts w:ascii="Microsoft Sans Serif" w:hAnsi="Microsoft Sans Serif" w:cs="Microsoft Sans Serif"/>
          <w:sz w:val="20"/>
          <w:szCs w:val="20"/>
          <w:lang w:val="sr-Latn-RS"/>
        </w:rPr>
      </w:pPr>
      <w:r>
        <w:rPr>
          <w:rFonts w:ascii="MicrosoftSansSerif" w:hAnsi="MicrosoftSansSerif" w:cs="MicrosoftSansSerif"/>
          <w:sz w:val="20"/>
          <w:szCs w:val="20"/>
        </w:rPr>
        <w:t>recept za potrebe nastavka bolničkog liječenja.</w:t>
      </w:r>
    </w:p>
    <w:p w14:paraId="0800A6C4">
      <w:pPr>
        <w:rPr>
          <w:rFonts w:ascii="Microsoft Sans Serif" w:hAnsi="Microsoft Sans Serif" w:cs="Microsoft Sans Serif"/>
          <w:sz w:val="20"/>
          <w:szCs w:val="20"/>
          <w:lang w:val="sr-Cyrl-CS"/>
        </w:rPr>
      </w:pPr>
    </w:p>
    <w:p w14:paraId="762C555D">
      <w:pPr>
        <w:rPr>
          <w:rFonts w:ascii="Microsoft Sans Serif" w:hAnsi="Microsoft Sans Serif" w:cs="Microsoft Sans Serif"/>
          <w:sz w:val="20"/>
          <w:szCs w:val="20"/>
          <w:lang w:val="sr-Cyrl-CS"/>
        </w:rPr>
      </w:pPr>
    </w:p>
    <w:p w14:paraId="39525D79">
      <w:pPr>
        <w:rPr>
          <w:rFonts w:ascii="Microsoft Sans Serif" w:hAnsi="Microsoft Sans Serif" w:cs="Microsoft Sans Serif"/>
          <w:b/>
          <w:sz w:val="20"/>
          <w:szCs w:val="20"/>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27D8BDAE">
      <w:pPr>
        <w:pStyle w:val="18"/>
        <w:tabs>
          <w:tab w:val="left" w:pos="720"/>
        </w:tabs>
        <w:rPr>
          <w:rFonts w:ascii="Microsoft Sans Serif" w:hAnsi="Microsoft Sans Serif" w:cs="Microsoft Sans Serif"/>
          <w:sz w:val="20"/>
          <w:szCs w:val="20"/>
        </w:rPr>
      </w:pPr>
    </w:p>
    <w:p w14:paraId="40F18411">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0C646170">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01FA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094B2132">
      <w:pPr>
        <w:rPr>
          <w:rFonts w:ascii="Microsoft Sans Serif" w:hAnsi="Microsoft Sans Serif" w:cs="Microsoft Sans Serif"/>
          <w:sz w:val="20"/>
          <w:szCs w:val="20"/>
          <w:lang w:val="mk-MK"/>
        </w:rPr>
      </w:pPr>
    </w:p>
    <w:p w14:paraId="224521C2">
      <w:pPr>
        <w:pStyle w:val="18"/>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512CC87D">
      <w:pPr>
        <w:pStyle w:val="18"/>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E1436C5">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2885ED26">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34E78C85">
      <w:pPr>
        <w:rPr>
          <w:rFonts w:ascii="Microsoft Sans Serif" w:hAnsi="Microsoft Sans Serif" w:cs="Microsoft Sans Serif"/>
          <w:sz w:val="20"/>
          <w:szCs w:val="20"/>
          <w:lang w:val="sr-Latn-RS"/>
        </w:rPr>
      </w:pPr>
    </w:p>
    <w:p w14:paraId="32068942">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3FCC72A2">
      <w:pPr>
        <w:pStyle w:val="18"/>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156798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0D81379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313E65E3">
      <w:pPr>
        <w:rPr>
          <w:rFonts w:ascii="Microsoft Sans Serif" w:hAnsi="Microsoft Sans Serif" w:cs="Microsoft Sans Serif"/>
          <w:sz w:val="20"/>
          <w:szCs w:val="20"/>
          <w:lang w:val="sr-Latn-RS"/>
        </w:rPr>
      </w:pPr>
    </w:p>
    <w:p w14:paraId="62EE87A8">
      <w:pPr>
        <w:widowControl w:val="0"/>
        <w:autoSpaceDE w:val="0"/>
        <w:autoSpaceDN w:val="0"/>
        <w:rPr>
          <w:rFonts w:ascii="Microsoft Sans Serif" w:hAnsi="Microsoft Sans Serif" w:cs="Microsoft Sans Serif"/>
          <w:sz w:val="20"/>
          <w:szCs w:val="20"/>
          <w:lang w:val="mk-MK"/>
        </w:rPr>
      </w:pPr>
    </w:p>
    <w:p w14:paraId="0C370B73">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ru-RU"/>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eastAsia="mk-MK"/>
        </w:rPr>
        <w:t>E</w:t>
      </w:r>
      <w:r>
        <w:rPr>
          <w:rFonts w:ascii="Microsoft Sans Serif" w:hAnsi="Microsoft Sans Serif" w:cs="Microsoft Sans Serif"/>
          <w:b/>
          <w:bCs/>
          <w:sz w:val="20"/>
          <w:szCs w:val="20"/>
          <w:lang w:val="mk-MK" w:eastAsia="mk-MK"/>
        </w:rPr>
        <w:t xml:space="preserve"> ZA STAVLJANJE GOTOVOG LIJEKA U PROMET</w:t>
      </w:r>
    </w:p>
    <w:p w14:paraId="36BEEC3B">
      <w:pPr>
        <w:rPr>
          <w:rFonts w:ascii="Microsoft Sans Serif" w:hAnsi="Microsoft Sans Serif" w:cs="Microsoft Sans Serif"/>
          <w:sz w:val="20"/>
          <w:szCs w:val="20"/>
          <w:lang w:val="sr-Latn-BA"/>
        </w:rPr>
      </w:pPr>
    </w:p>
    <w:p w14:paraId="06931A1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20 mg, film tablete, broj dozvole 04-07.3-1-739/21 od 13.09.2022.god</w:t>
      </w:r>
    </w:p>
    <w:p w14:paraId="545BF74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50 mg, film tablete, broj dozvole 04-07.3-1-740/21 od 13.09.2022.god</w:t>
      </w:r>
    </w:p>
    <w:p w14:paraId="67298D32">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70 mg, film tablete, broj dozvole 04-07.3-1-741/21 od 13.09.2022.god</w:t>
      </w:r>
    </w:p>
    <w:p w14:paraId="401A986C">
      <w:pPr>
        <w:tabs>
          <w:tab w:val="clear" w:pos="284"/>
        </w:tabs>
        <w:autoSpaceDE w:val="0"/>
        <w:autoSpaceDN w:val="0"/>
        <w:adjustRightInd w:val="0"/>
        <w:jc w:val="left"/>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Nodriga 100 mg, film tablete, broj dozvole 04-07.3-1-742/21 od 13.09.2022.god</w:t>
      </w:r>
    </w:p>
    <w:p w14:paraId="6B8BD618">
      <w:pPr>
        <w:pStyle w:val="23"/>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BA"/>
        </w:rPr>
        <w:t>Nodriga 140 mg film tablete, broj dozvole 04-07.3-1-743/21 od 13.09.2022.god</w:t>
      </w:r>
    </w:p>
    <w:p w14:paraId="5059BD51">
      <w:pPr>
        <w:rPr>
          <w:rFonts w:ascii="Microsoft Sans Serif" w:hAnsi="Microsoft Sans Serif" w:cs="Microsoft Sans Serif"/>
          <w:bCs/>
          <w:sz w:val="20"/>
          <w:szCs w:val="20"/>
          <w:lang w:val="sr-Latn-CS"/>
        </w:rPr>
      </w:pPr>
    </w:p>
    <w:p w14:paraId="61FB6AAF">
      <w:pPr>
        <w:tabs>
          <w:tab w:val="left" w:pos="5145"/>
        </w:tabs>
        <w:rPr>
          <w:rFonts w:ascii="Microsoft Sans Serif" w:hAnsi="Microsoft Sans Serif" w:cs="Microsoft Sans Serif"/>
          <w:b/>
          <w:sz w:val="20"/>
          <w:szCs w:val="20"/>
        </w:rPr>
      </w:pPr>
      <w:r>
        <w:rPr>
          <w:rFonts w:ascii="Microsoft Sans Serif" w:hAnsi="Microsoft Sans Serif" w:cs="Microsoft Sans Serif"/>
          <w:b/>
          <w:sz w:val="20"/>
          <w:szCs w:val="20"/>
        </w:rPr>
        <w:t>9. DATUM REVIZIJE SAŽETKA KARAKTERISTIKE LIJEKA</w:t>
      </w:r>
      <w:r>
        <w:rPr>
          <w:rFonts w:ascii="Microsoft Sans Serif" w:hAnsi="Microsoft Sans Serif" w:cs="Microsoft Sans Serif"/>
          <w:b/>
          <w:sz w:val="20"/>
          <w:szCs w:val="20"/>
        </w:rPr>
        <w:tab/>
      </w:r>
    </w:p>
    <w:p w14:paraId="0538A0A8">
      <w:pPr>
        <w:rPr>
          <w:rFonts w:ascii="Microsoft Sans Serif" w:hAnsi="Microsoft Sans Serif" w:cs="Microsoft Sans Serif"/>
          <w:sz w:val="20"/>
          <w:szCs w:val="20"/>
          <w:lang w:val="mk-MK"/>
        </w:rPr>
      </w:pPr>
    </w:p>
    <w:p w14:paraId="6C0BB6D6">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Novembar</w:t>
      </w:r>
      <w:r>
        <w:rPr>
          <w:rFonts w:ascii="Microsoft Sans Serif" w:hAnsi="Microsoft Sans Serif" w:cs="Microsoft Sans Serif"/>
          <w:sz w:val="20"/>
          <w:szCs w:val="20"/>
          <w:lang w:val="mk-MK"/>
        </w:rPr>
        <w:t>, 202</w:t>
      </w:r>
      <w:r>
        <w:rPr>
          <w:rFonts w:ascii="Microsoft Sans Serif" w:hAnsi="Microsoft Sans Serif" w:cs="Microsoft Sans Serif"/>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Bold">
    <w:altName w:val="Calibri"/>
    <w:panose1 w:val="00000000000000000000"/>
    <w:charset w:val="00"/>
    <w:family w:val="swiss"/>
    <w:pitch w:val="default"/>
    <w:sig w:usb0="00000000" w:usb1="00000000" w:usb2="00000000" w:usb3="00000000" w:csb0="00000001"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1E1D4">
    <w:pPr>
      <w:pStyle w:val="17"/>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40</w:t>
            </w:r>
            <w:r>
              <w:rPr>
                <w:sz w:val="18"/>
                <w:szCs w:val="18"/>
              </w:rPr>
              <w:fldChar w:fldCharType="end"/>
            </w:r>
          </w:sdtContent>
        </w:sdt>
      </w:sdtContent>
    </w:sdt>
  </w:p>
  <w:p w14:paraId="42D151E4">
    <w:pPr>
      <w:pStyle w:val="17"/>
    </w:pPr>
  </w:p>
  <w:p w14:paraId="1FF64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09516">
    <w:pPr>
      <w:pStyle w:val="17"/>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14:paraId="65643F7C">
    <w:pPr>
      <w:pStyle w:val="17"/>
      <w:ind w:right="360"/>
    </w:pPr>
  </w:p>
  <w:p w14:paraId="5D4040BD"/>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1E81DC5"/>
    <w:multiLevelType w:val="multilevel"/>
    <w:tmpl w:val="71E81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47A6"/>
    <w:rsid w:val="00017801"/>
    <w:rsid w:val="00031E64"/>
    <w:rsid w:val="00033B05"/>
    <w:rsid w:val="00035D75"/>
    <w:rsid w:val="00036712"/>
    <w:rsid w:val="00043497"/>
    <w:rsid w:val="00050EEF"/>
    <w:rsid w:val="000576DD"/>
    <w:rsid w:val="0006067C"/>
    <w:rsid w:val="00064273"/>
    <w:rsid w:val="000649B2"/>
    <w:rsid w:val="00083BE0"/>
    <w:rsid w:val="000843AA"/>
    <w:rsid w:val="00084982"/>
    <w:rsid w:val="00093D62"/>
    <w:rsid w:val="00095FB6"/>
    <w:rsid w:val="0009758B"/>
    <w:rsid w:val="000A00A6"/>
    <w:rsid w:val="000A0DFB"/>
    <w:rsid w:val="000A0F4A"/>
    <w:rsid w:val="000A1793"/>
    <w:rsid w:val="000A20AF"/>
    <w:rsid w:val="000A48C3"/>
    <w:rsid w:val="000C30F5"/>
    <w:rsid w:val="000D273D"/>
    <w:rsid w:val="000D4EB5"/>
    <w:rsid w:val="000D50E9"/>
    <w:rsid w:val="000D5631"/>
    <w:rsid w:val="000D6C0A"/>
    <w:rsid w:val="000E072D"/>
    <w:rsid w:val="000E75C0"/>
    <w:rsid w:val="000F6915"/>
    <w:rsid w:val="000F6AD4"/>
    <w:rsid w:val="00110D53"/>
    <w:rsid w:val="00112E1F"/>
    <w:rsid w:val="00115375"/>
    <w:rsid w:val="00121E8B"/>
    <w:rsid w:val="00124086"/>
    <w:rsid w:val="00124A03"/>
    <w:rsid w:val="001257C7"/>
    <w:rsid w:val="001407FE"/>
    <w:rsid w:val="00141639"/>
    <w:rsid w:val="0014180A"/>
    <w:rsid w:val="00146715"/>
    <w:rsid w:val="0014735A"/>
    <w:rsid w:val="001574B0"/>
    <w:rsid w:val="001635E8"/>
    <w:rsid w:val="00164478"/>
    <w:rsid w:val="001654D9"/>
    <w:rsid w:val="00173D18"/>
    <w:rsid w:val="00174A16"/>
    <w:rsid w:val="00175772"/>
    <w:rsid w:val="00175A7E"/>
    <w:rsid w:val="00183DCC"/>
    <w:rsid w:val="00192D88"/>
    <w:rsid w:val="00193377"/>
    <w:rsid w:val="00197373"/>
    <w:rsid w:val="00197D0E"/>
    <w:rsid w:val="001A0268"/>
    <w:rsid w:val="001A0EDB"/>
    <w:rsid w:val="001A5634"/>
    <w:rsid w:val="001A62D1"/>
    <w:rsid w:val="001A798E"/>
    <w:rsid w:val="001B3118"/>
    <w:rsid w:val="001B706A"/>
    <w:rsid w:val="001D0EED"/>
    <w:rsid w:val="001D10C9"/>
    <w:rsid w:val="001E0A07"/>
    <w:rsid w:val="001E297F"/>
    <w:rsid w:val="001E6145"/>
    <w:rsid w:val="001F2D4E"/>
    <w:rsid w:val="001F39B6"/>
    <w:rsid w:val="001F4F9C"/>
    <w:rsid w:val="001F7D2E"/>
    <w:rsid w:val="00210E98"/>
    <w:rsid w:val="0022218E"/>
    <w:rsid w:val="0022223A"/>
    <w:rsid w:val="00227080"/>
    <w:rsid w:val="0023372F"/>
    <w:rsid w:val="0024132F"/>
    <w:rsid w:val="002425C2"/>
    <w:rsid w:val="00242DCD"/>
    <w:rsid w:val="00243CCF"/>
    <w:rsid w:val="0024534B"/>
    <w:rsid w:val="0024619E"/>
    <w:rsid w:val="00247C5C"/>
    <w:rsid w:val="002523E1"/>
    <w:rsid w:val="00255593"/>
    <w:rsid w:val="00262F98"/>
    <w:rsid w:val="00270C94"/>
    <w:rsid w:val="00273BE0"/>
    <w:rsid w:val="002755EC"/>
    <w:rsid w:val="00296906"/>
    <w:rsid w:val="002B6BA5"/>
    <w:rsid w:val="002B6F6A"/>
    <w:rsid w:val="002C0FBF"/>
    <w:rsid w:val="002C235D"/>
    <w:rsid w:val="002C77ED"/>
    <w:rsid w:val="002D279E"/>
    <w:rsid w:val="002D3550"/>
    <w:rsid w:val="002D7170"/>
    <w:rsid w:val="002E04B0"/>
    <w:rsid w:val="002E5DC5"/>
    <w:rsid w:val="002E71E2"/>
    <w:rsid w:val="002F41E3"/>
    <w:rsid w:val="002F5E2F"/>
    <w:rsid w:val="002F7145"/>
    <w:rsid w:val="00316FC0"/>
    <w:rsid w:val="00327D6F"/>
    <w:rsid w:val="00336991"/>
    <w:rsid w:val="003370E6"/>
    <w:rsid w:val="00340C66"/>
    <w:rsid w:val="00343595"/>
    <w:rsid w:val="00343F95"/>
    <w:rsid w:val="00344472"/>
    <w:rsid w:val="003452C0"/>
    <w:rsid w:val="00345D81"/>
    <w:rsid w:val="00353FB2"/>
    <w:rsid w:val="00367291"/>
    <w:rsid w:val="00380727"/>
    <w:rsid w:val="00381C1B"/>
    <w:rsid w:val="00383195"/>
    <w:rsid w:val="00383305"/>
    <w:rsid w:val="003A0305"/>
    <w:rsid w:val="003A1D7E"/>
    <w:rsid w:val="003A2DF8"/>
    <w:rsid w:val="003A7F9B"/>
    <w:rsid w:val="003B2082"/>
    <w:rsid w:val="003B2538"/>
    <w:rsid w:val="003B2718"/>
    <w:rsid w:val="003B2D96"/>
    <w:rsid w:val="003B5530"/>
    <w:rsid w:val="003C18A4"/>
    <w:rsid w:val="003D3D22"/>
    <w:rsid w:val="003D69FD"/>
    <w:rsid w:val="003E142A"/>
    <w:rsid w:val="003E3EC7"/>
    <w:rsid w:val="003E4421"/>
    <w:rsid w:val="003E6434"/>
    <w:rsid w:val="003E67DF"/>
    <w:rsid w:val="0040537C"/>
    <w:rsid w:val="004123CD"/>
    <w:rsid w:val="0041650D"/>
    <w:rsid w:val="00417D25"/>
    <w:rsid w:val="004234ED"/>
    <w:rsid w:val="00424AC6"/>
    <w:rsid w:val="00427D41"/>
    <w:rsid w:val="004330D8"/>
    <w:rsid w:val="004457EA"/>
    <w:rsid w:val="00455955"/>
    <w:rsid w:val="00462C33"/>
    <w:rsid w:val="00474B28"/>
    <w:rsid w:val="00480B1C"/>
    <w:rsid w:val="00481539"/>
    <w:rsid w:val="00481A1E"/>
    <w:rsid w:val="00484694"/>
    <w:rsid w:val="00492248"/>
    <w:rsid w:val="004932B1"/>
    <w:rsid w:val="00497648"/>
    <w:rsid w:val="004A7F23"/>
    <w:rsid w:val="004B5A11"/>
    <w:rsid w:val="004B7A50"/>
    <w:rsid w:val="004D0C7A"/>
    <w:rsid w:val="004D230F"/>
    <w:rsid w:val="004D4940"/>
    <w:rsid w:val="004F320B"/>
    <w:rsid w:val="004F72D4"/>
    <w:rsid w:val="00500B6D"/>
    <w:rsid w:val="00501255"/>
    <w:rsid w:val="00502577"/>
    <w:rsid w:val="00502CFA"/>
    <w:rsid w:val="0050394A"/>
    <w:rsid w:val="00503974"/>
    <w:rsid w:val="005151D9"/>
    <w:rsid w:val="0052230B"/>
    <w:rsid w:val="00522B86"/>
    <w:rsid w:val="00525A8A"/>
    <w:rsid w:val="00526DDF"/>
    <w:rsid w:val="005276F0"/>
    <w:rsid w:val="00530909"/>
    <w:rsid w:val="00534634"/>
    <w:rsid w:val="00545984"/>
    <w:rsid w:val="0055098A"/>
    <w:rsid w:val="0056120D"/>
    <w:rsid w:val="00562368"/>
    <w:rsid w:val="00562998"/>
    <w:rsid w:val="00571491"/>
    <w:rsid w:val="00577DF3"/>
    <w:rsid w:val="00590B19"/>
    <w:rsid w:val="00591DE8"/>
    <w:rsid w:val="00594F08"/>
    <w:rsid w:val="00595793"/>
    <w:rsid w:val="005A4D21"/>
    <w:rsid w:val="005A4D78"/>
    <w:rsid w:val="005B3388"/>
    <w:rsid w:val="005B759C"/>
    <w:rsid w:val="005C3F73"/>
    <w:rsid w:val="005C672B"/>
    <w:rsid w:val="005C7891"/>
    <w:rsid w:val="005D1EEE"/>
    <w:rsid w:val="005F0356"/>
    <w:rsid w:val="005F3C4F"/>
    <w:rsid w:val="005F5B5D"/>
    <w:rsid w:val="005F64DD"/>
    <w:rsid w:val="006010E1"/>
    <w:rsid w:val="00603302"/>
    <w:rsid w:val="00604A22"/>
    <w:rsid w:val="00604E4F"/>
    <w:rsid w:val="006054EE"/>
    <w:rsid w:val="0060679B"/>
    <w:rsid w:val="006118B6"/>
    <w:rsid w:val="0062214D"/>
    <w:rsid w:val="00623438"/>
    <w:rsid w:val="006270C0"/>
    <w:rsid w:val="00630195"/>
    <w:rsid w:val="00635516"/>
    <w:rsid w:val="00636DF4"/>
    <w:rsid w:val="00646C04"/>
    <w:rsid w:val="00652677"/>
    <w:rsid w:val="006559AF"/>
    <w:rsid w:val="00666AEB"/>
    <w:rsid w:val="00670123"/>
    <w:rsid w:val="00671452"/>
    <w:rsid w:val="0067431A"/>
    <w:rsid w:val="00683CA6"/>
    <w:rsid w:val="0068495E"/>
    <w:rsid w:val="00693874"/>
    <w:rsid w:val="00693B0E"/>
    <w:rsid w:val="00693F46"/>
    <w:rsid w:val="006B20EE"/>
    <w:rsid w:val="006B3293"/>
    <w:rsid w:val="006D1E08"/>
    <w:rsid w:val="006E2BD8"/>
    <w:rsid w:val="006E5C8F"/>
    <w:rsid w:val="006E79C6"/>
    <w:rsid w:val="006F0331"/>
    <w:rsid w:val="006F04FD"/>
    <w:rsid w:val="006F158F"/>
    <w:rsid w:val="006F2D72"/>
    <w:rsid w:val="006F33D6"/>
    <w:rsid w:val="00723D12"/>
    <w:rsid w:val="0074048D"/>
    <w:rsid w:val="00746429"/>
    <w:rsid w:val="007473E4"/>
    <w:rsid w:val="00756C43"/>
    <w:rsid w:val="00764648"/>
    <w:rsid w:val="007672F3"/>
    <w:rsid w:val="00772E62"/>
    <w:rsid w:val="0077481A"/>
    <w:rsid w:val="007773C2"/>
    <w:rsid w:val="00782F96"/>
    <w:rsid w:val="00783CD5"/>
    <w:rsid w:val="007867EA"/>
    <w:rsid w:val="00791182"/>
    <w:rsid w:val="00791274"/>
    <w:rsid w:val="007912EA"/>
    <w:rsid w:val="00792D20"/>
    <w:rsid w:val="007A0CF8"/>
    <w:rsid w:val="007A5769"/>
    <w:rsid w:val="007B16C4"/>
    <w:rsid w:val="007B5B7B"/>
    <w:rsid w:val="007B5D31"/>
    <w:rsid w:val="007C2D7E"/>
    <w:rsid w:val="007C2F4C"/>
    <w:rsid w:val="007D17FD"/>
    <w:rsid w:val="007D3865"/>
    <w:rsid w:val="007D48C5"/>
    <w:rsid w:val="007E06F0"/>
    <w:rsid w:val="007F14E9"/>
    <w:rsid w:val="00800161"/>
    <w:rsid w:val="00802DFC"/>
    <w:rsid w:val="008058B6"/>
    <w:rsid w:val="00814781"/>
    <w:rsid w:val="00814F7A"/>
    <w:rsid w:val="00822C23"/>
    <w:rsid w:val="00832164"/>
    <w:rsid w:val="008325F9"/>
    <w:rsid w:val="0083307F"/>
    <w:rsid w:val="00834DBB"/>
    <w:rsid w:val="00834E5F"/>
    <w:rsid w:val="00836DE9"/>
    <w:rsid w:val="00842FFB"/>
    <w:rsid w:val="008453CB"/>
    <w:rsid w:val="00851E4F"/>
    <w:rsid w:val="0086351A"/>
    <w:rsid w:val="00874B61"/>
    <w:rsid w:val="00882B4E"/>
    <w:rsid w:val="00884B23"/>
    <w:rsid w:val="00885DF4"/>
    <w:rsid w:val="00897175"/>
    <w:rsid w:val="008A0648"/>
    <w:rsid w:val="008A48B7"/>
    <w:rsid w:val="008A4F47"/>
    <w:rsid w:val="008A4F76"/>
    <w:rsid w:val="008B079B"/>
    <w:rsid w:val="008B3EB5"/>
    <w:rsid w:val="008C2D60"/>
    <w:rsid w:val="008C5809"/>
    <w:rsid w:val="008C6745"/>
    <w:rsid w:val="008C7569"/>
    <w:rsid w:val="008D1A0C"/>
    <w:rsid w:val="008D4814"/>
    <w:rsid w:val="008D7046"/>
    <w:rsid w:val="008D78C9"/>
    <w:rsid w:val="008E037C"/>
    <w:rsid w:val="008E0FC9"/>
    <w:rsid w:val="008E1405"/>
    <w:rsid w:val="008F3DFB"/>
    <w:rsid w:val="008F5C8B"/>
    <w:rsid w:val="00913684"/>
    <w:rsid w:val="009144F4"/>
    <w:rsid w:val="009163DB"/>
    <w:rsid w:val="00923865"/>
    <w:rsid w:val="00926FD5"/>
    <w:rsid w:val="0093016E"/>
    <w:rsid w:val="00934B4D"/>
    <w:rsid w:val="00937D7F"/>
    <w:rsid w:val="00941055"/>
    <w:rsid w:val="00946504"/>
    <w:rsid w:val="0095466B"/>
    <w:rsid w:val="00955C75"/>
    <w:rsid w:val="00956474"/>
    <w:rsid w:val="00957170"/>
    <w:rsid w:val="00957DB5"/>
    <w:rsid w:val="009677DF"/>
    <w:rsid w:val="009727C7"/>
    <w:rsid w:val="0097564D"/>
    <w:rsid w:val="009760AE"/>
    <w:rsid w:val="00976825"/>
    <w:rsid w:val="009838FE"/>
    <w:rsid w:val="009911A1"/>
    <w:rsid w:val="0099461C"/>
    <w:rsid w:val="009946F8"/>
    <w:rsid w:val="00996E6B"/>
    <w:rsid w:val="009970F4"/>
    <w:rsid w:val="009A071A"/>
    <w:rsid w:val="009A1D64"/>
    <w:rsid w:val="009A723F"/>
    <w:rsid w:val="009B1292"/>
    <w:rsid w:val="009B2430"/>
    <w:rsid w:val="009B338B"/>
    <w:rsid w:val="009B4840"/>
    <w:rsid w:val="009B58AD"/>
    <w:rsid w:val="009B7935"/>
    <w:rsid w:val="009C27FD"/>
    <w:rsid w:val="009C4555"/>
    <w:rsid w:val="009C4589"/>
    <w:rsid w:val="009C4749"/>
    <w:rsid w:val="009C7BA2"/>
    <w:rsid w:val="009D1161"/>
    <w:rsid w:val="009D667B"/>
    <w:rsid w:val="009F11ED"/>
    <w:rsid w:val="009F217A"/>
    <w:rsid w:val="009F43FC"/>
    <w:rsid w:val="009F4449"/>
    <w:rsid w:val="00A02252"/>
    <w:rsid w:val="00A04B3D"/>
    <w:rsid w:val="00A127F1"/>
    <w:rsid w:val="00A1501F"/>
    <w:rsid w:val="00A15143"/>
    <w:rsid w:val="00A15E0B"/>
    <w:rsid w:val="00A208CC"/>
    <w:rsid w:val="00A27130"/>
    <w:rsid w:val="00A300FD"/>
    <w:rsid w:val="00A372FB"/>
    <w:rsid w:val="00A37CA6"/>
    <w:rsid w:val="00A43267"/>
    <w:rsid w:val="00A45F38"/>
    <w:rsid w:val="00A47263"/>
    <w:rsid w:val="00A531DD"/>
    <w:rsid w:val="00A54945"/>
    <w:rsid w:val="00A64872"/>
    <w:rsid w:val="00A64B10"/>
    <w:rsid w:val="00A7147C"/>
    <w:rsid w:val="00A73951"/>
    <w:rsid w:val="00A7660B"/>
    <w:rsid w:val="00A80CB7"/>
    <w:rsid w:val="00A86897"/>
    <w:rsid w:val="00A95733"/>
    <w:rsid w:val="00A95952"/>
    <w:rsid w:val="00AA181F"/>
    <w:rsid w:val="00AA40A7"/>
    <w:rsid w:val="00AB1155"/>
    <w:rsid w:val="00AB5465"/>
    <w:rsid w:val="00AB71AA"/>
    <w:rsid w:val="00AB7403"/>
    <w:rsid w:val="00AC2BAC"/>
    <w:rsid w:val="00AC353F"/>
    <w:rsid w:val="00AC4841"/>
    <w:rsid w:val="00AC6BF1"/>
    <w:rsid w:val="00AC7EBD"/>
    <w:rsid w:val="00AD5B14"/>
    <w:rsid w:val="00AD6315"/>
    <w:rsid w:val="00AE0876"/>
    <w:rsid w:val="00AF20A5"/>
    <w:rsid w:val="00AF544B"/>
    <w:rsid w:val="00AF7A57"/>
    <w:rsid w:val="00B02179"/>
    <w:rsid w:val="00B13A63"/>
    <w:rsid w:val="00B246C5"/>
    <w:rsid w:val="00B26FAC"/>
    <w:rsid w:val="00B31AA2"/>
    <w:rsid w:val="00B348B4"/>
    <w:rsid w:val="00B40606"/>
    <w:rsid w:val="00B44544"/>
    <w:rsid w:val="00B50B19"/>
    <w:rsid w:val="00B53EBE"/>
    <w:rsid w:val="00B61E92"/>
    <w:rsid w:val="00B62521"/>
    <w:rsid w:val="00B631B8"/>
    <w:rsid w:val="00B63983"/>
    <w:rsid w:val="00B6576C"/>
    <w:rsid w:val="00B72265"/>
    <w:rsid w:val="00B74C0B"/>
    <w:rsid w:val="00B74FEE"/>
    <w:rsid w:val="00B8400D"/>
    <w:rsid w:val="00B93A37"/>
    <w:rsid w:val="00B97B09"/>
    <w:rsid w:val="00BA1819"/>
    <w:rsid w:val="00BA2BA5"/>
    <w:rsid w:val="00BA4F9D"/>
    <w:rsid w:val="00BA5A22"/>
    <w:rsid w:val="00BB2561"/>
    <w:rsid w:val="00BB55E5"/>
    <w:rsid w:val="00BB63D2"/>
    <w:rsid w:val="00BC7164"/>
    <w:rsid w:val="00BC7286"/>
    <w:rsid w:val="00BD1D22"/>
    <w:rsid w:val="00BD444C"/>
    <w:rsid w:val="00BD725A"/>
    <w:rsid w:val="00BF3750"/>
    <w:rsid w:val="00C06244"/>
    <w:rsid w:val="00C133E5"/>
    <w:rsid w:val="00C232E1"/>
    <w:rsid w:val="00C2776F"/>
    <w:rsid w:val="00C36FF0"/>
    <w:rsid w:val="00C40844"/>
    <w:rsid w:val="00C41289"/>
    <w:rsid w:val="00C429A5"/>
    <w:rsid w:val="00C536C2"/>
    <w:rsid w:val="00C55F47"/>
    <w:rsid w:val="00C56E2E"/>
    <w:rsid w:val="00C61411"/>
    <w:rsid w:val="00C64A31"/>
    <w:rsid w:val="00C70766"/>
    <w:rsid w:val="00C71C72"/>
    <w:rsid w:val="00C772FE"/>
    <w:rsid w:val="00C81EE4"/>
    <w:rsid w:val="00C82E8B"/>
    <w:rsid w:val="00C93DB7"/>
    <w:rsid w:val="00C94E1D"/>
    <w:rsid w:val="00C96678"/>
    <w:rsid w:val="00CA5AA9"/>
    <w:rsid w:val="00CC3517"/>
    <w:rsid w:val="00CC4C88"/>
    <w:rsid w:val="00CD091B"/>
    <w:rsid w:val="00CD0B1F"/>
    <w:rsid w:val="00CD3F96"/>
    <w:rsid w:val="00CD5E89"/>
    <w:rsid w:val="00CD66E2"/>
    <w:rsid w:val="00CE09F3"/>
    <w:rsid w:val="00CE2698"/>
    <w:rsid w:val="00CE76DA"/>
    <w:rsid w:val="00CF3659"/>
    <w:rsid w:val="00CF43BF"/>
    <w:rsid w:val="00CF587A"/>
    <w:rsid w:val="00D0649D"/>
    <w:rsid w:val="00D11E94"/>
    <w:rsid w:val="00D279E0"/>
    <w:rsid w:val="00D30389"/>
    <w:rsid w:val="00D337F6"/>
    <w:rsid w:val="00D33883"/>
    <w:rsid w:val="00D43E07"/>
    <w:rsid w:val="00D44168"/>
    <w:rsid w:val="00D52CDB"/>
    <w:rsid w:val="00D603F6"/>
    <w:rsid w:val="00D61710"/>
    <w:rsid w:val="00D6611E"/>
    <w:rsid w:val="00D66397"/>
    <w:rsid w:val="00D85F37"/>
    <w:rsid w:val="00D929DD"/>
    <w:rsid w:val="00DA3A49"/>
    <w:rsid w:val="00DB4534"/>
    <w:rsid w:val="00DB54CE"/>
    <w:rsid w:val="00DD2A82"/>
    <w:rsid w:val="00DE0099"/>
    <w:rsid w:val="00DE7781"/>
    <w:rsid w:val="00DF188C"/>
    <w:rsid w:val="00DF3062"/>
    <w:rsid w:val="00DF46E4"/>
    <w:rsid w:val="00E02BF4"/>
    <w:rsid w:val="00E03783"/>
    <w:rsid w:val="00E037A5"/>
    <w:rsid w:val="00E04856"/>
    <w:rsid w:val="00E05D4D"/>
    <w:rsid w:val="00E12C98"/>
    <w:rsid w:val="00E22414"/>
    <w:rsid w:val="00E400F0"/>
    <w:rsid w:val="00E41933"/>
    <w:rsid w:val="00E43FDD"/>
    <w:rsid w:val="00E441F5"/>
    <w:rsid w:val="00E504B4"/>
    <w:rsid w:val="00E50CD3"/>
    <w:rsid w:val="00E549EB"/>
    <w:rsid w:val="00E56089"/>
    <w:rsid w:val="00E56924"/>
    <w:rsid w:val="00E70FA7"/>
    <w:rsid w:val="00E87BE1"/>
    <w:rsid w:val="00E920FA"/>
    <w:rsid w:val="00E92929"/>
    <w:rsid w:val="00E957A7"/>
    <w:rsid w:val="00EA020F"/>
    <w:rsid w:val="00EA1F85"/>
    <w:rsid w:val="00EA5409"/>
    <w:rsid w:val="00EB4140"/>
    <w:rsid w:val="00EB4850"/>
    <w:rsid w:val="00EB6044"/>
    <w:rsid w:val="00EB7230"/>
    <w:rsid w:val="00EC6353"/>
    <w:rsid w:val="00EC6417"/>
    <w:rsid w:val="00ED735F"/>
    <w:rsid w:val="00EE001F"/>
    <w:rsid w:val="00EE01FA"/>
    <w:rsid w:val="00EF2A61"/>
    <w:rsid w:val="00EF5D81"/>
    <w:rsid w:val="00EF676D"/>
    <w:rsid w:val="00EF6F09"/>
    <w:rsid w:val="00F02C0B"/>
    <w:rsid w:val="00F07E8A"/>
    <w:rsid w:val="00F176B2"/>
    <w:rsid w:val="00F2371A"/>
    <w:rsid w:val="00F24C6D"/>
    <w:rsid w:val="00F25771"/>
    <w:rsid w:val="00F30AD2"/>
    <w:rsid w:val="00F40733"/>
    <w:rsid w:val="00F47847"/>
    <w:rsid w:val="00F53C31"/>
    <w:rsid w:val="00F5775F"/>
    <w:rsid w:val="00F62652"/>
    <w:rsid w:val="00F63F24"/>
    <w:rsid w:val="00F740DE"/>
    <w:rsid w:val="00F775F3"/>
    <w:rsid w:val="00F77FED"/>
    <w:rsid w:val="00F90694"/>
    <w:rsid w:val="00F915CF"/>
    <w:rsid w:val="00F96FCC"/>
    <w:rsid w:val="00FA42C6"/>
    <w:rsid w:val="00FA58DD"/>
    <w:rsid w:val="00FB25D2"/>
    <w:rsid w:val="00FB704A"/>
    <w:rsid w:val="00FC0888"/>
    <w:rsid w:val="00FC5B2D"/>
    <w:rsid w:val="00FC7271"/>
    <w:rsid w:val="00FC7F2D"/>
    <w:rsid w:val="00FD1F50"/>
    <w:rsid w:val="00FD72D9"/>
    <w:rsid w:val="00FE6F7D"/>
    <w:rsid w:val="00FF0D13"/>
    <w:rsid w:val="00FF1FF8"/>
    <w:rsid w:val="00FF510C"/>
    <w:rsid w:val="00FF6222"/>
    <w:rsid w:val="2CA10A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34"/>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link w:val="35"/>
    <w:qFormat/>
    <w:uiPriority w:val="0"/>
    <w:pPr>
      <w:keepNext/>
      <w:jc w:val="center"/>
      <w:outlineLvl w:val="1"/>
    </w:pPr>
    <w:rPr>
      <w:rFonts w:ascii="Arial" w:hAnsi="Arial" w:cs="Arial"/>
      <w:i/>
      <w:iCs/>
      <w:color w:val="999999"/>
      <w:sz w:val="18"/>
    </w:rPr>
  </w:style>
  <w:style w:type="paragraph" w:styleId="4">
    <w:name w:val="heading 3"/>
    <w:basedOn w:val="1"/>
    <w:next w:val="1"/>
    <w:link w:val="36"/>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37"/>
    <w:qFormat/>
    <w:uiPriority w:val="0"/>
    <w:pPr>
      <w:keepNext/>
      <w:ind w:right="265"/>
      <w:jc w:val="right"/>
      <w:outlineLvl w:val="3"/>
    </w:pPr>
    <w:rPr>
      <w:rFonts w:ascii="Arial" w:hAnsi="Arial" w:cs="Arial"/>
      <w:i/>
      <w:iCs/>
      <w:color w:val="999999"/>
      <w:sz w:val="16"/>
    </w:rPr>
  </w:style>
  <w:style w:type="paragraph" w:styleId="6">
    <w:name w:val="heading 5"/>
    <w:basedOn w:val="3"/>
    <w:next w:val="1"/>
    <w:link w:val="24"/>
    <w:qFormat/>
    <w:uiPriority w:val="0"/>
    <w:pPr>
      <w:tabs>
        <w:tab w:val="left" w:pos="1140"/>
        <w:tab w:val="clear" w:pos="284"/>
      </w:tabs>
      <w:spacing w:after="120" w:line="260" w:lineRule="exact"/>
      <w:ind w:left="1140" w:hanging="1140"/>
      <w:jc w:val="both"/>
      <w:outlineLvl w:val="4"/>
    </w:pPr>
    <w:rPr>
      <w:rFonts w:ascii="Times New Roman" w:hAnsi="Times New Roman" w:cs="Times New Roman"/>
      <w:b/>
      <w:bCs/>
      <w:i w:val="0"/>
      <w:iCs w:val="0"/>
      <w:color w:val="auto"/>
      <w:sz w:val="24"/>
      <w:szCs w:val="26"/>
      <w:lang w:eastAsia="en-GB"/>
    </w:rPr>
  </w:style>
  <w:style w:type="paragraph" w:styleId="7">
    <w:name w:val="heading 6"/>
    <w:basedOn w:val="3"/>
    <w:next w:val="1"/>
    <w:link w:val="25"/>
    <w:qFormat/>
    <w:uiPriority w:val="0"/>
    <w:pPr>
      <w:tabs>
        <w:tab w:val="left" w:pos="1140"/>
        <w:tab w:val="clear" w:pos="284"/>
      </w:tabs>
      <w:spacing w:after="120" w:line="260" w:lineRule="exact"/>
      <w:ind w:left="1140" w:hanging="1140"/>
      <w:jc w:val="both"/>
      <w:outlineLvl w:val="5"/>
    </w:pPr>
    <w:rPr>
      <w:rFonts w:ascii="Times New Roman" w:hAnsi="Times New Roman" w:cs="Times New Roman"/>
      <w:b/>
      <w:bCs/>
      <w:i w:val="0"/>
      <w:color w:val="auto"/>
      <w:sz w:val="24"/>
      <w:szCs w:val="22"/>
      <w:lang w:eastAsia="en-GB"/>
    </w:rPr>
  </w:style>
  <w:style w:type="paragraph" w:styleId="8">
    <w:name w:val="heading 7"/>
    <w:basedOn w:val="3"/>
    <w:next w:val="1"/>
    <w:link w:val="26"/>
    <w:qFormat/>
    <w:uiPriority w:val="0"/>
    <w:pPr>
      <w:tabs>
        <w:tab w:val="left" w:pos="1140"/>
        <w:tab w:val="clear" w:pos="284"/>
      </w:tabs>
      <w:spacing w:after="120" w:line="260" w:lineRule="exact"/>
      <w:ind w:left="1140" w:hanging="1140"/>
      <w:jc w:val="both"/>
      <w:outlineLvl w:val="6"/>
    </w:pPr>
    <w:rPr>
      <w:rFonts w:ascii="Times New Roman" w:hAnsi="Times New Roman" w:cs="Times New Roman"/>
      <w:b/>
      <w:i w:val="0"/>
      <w:color w:val="auto"/>
      <w:sz w:val="24"/>
      <w:szCs w:val="28"/>
      <w:lang w:eastAsia="en-GB"/>
    </w:rPr>
  </w:style>
  <w:style w:type="paragraph" w:styleId="9">
    <w:name w:val="heading 8"/>
    <w:basedOn w:val="3"/>
    <w:next w:val="1"/>
    <w:link w:val="27"/>
    <w:qFormat/>
    <w:uiPriority w:val="0"/>
    <w:pPr>
      <w:tabs>
        <w:tab w:val="left" w:pos="1140"/>
        <w:tab w:val="clear" w:pos="284"/>
      </w:tabs>
      <w:spacing w:after="120" w:line="260" w:lineRule="exact"/>
      <w:ind w:left="1140" w:hanging="1140"/>
      <w:jc w:val="both"/>
      <w:outlineLvl w:val="7"/>
    </w:pPr>
    <w:rPr>
      <w:rFonts w:ascii="Times New Roman" w:hAnsi="Times New Roman" w:cs="Times New Roman"/>
      <w:b/>
      <w:i w:val="0"/>
      <w:iCs w:val="0"/>
      <w:color w:val="auto"/>
      <w:sz w:val="24"/>
      <w:szCs w:val="28"/>
      <w:lang w:eastAsia="en-GB"/>
    </w:rPr>
  </w:style>
  <w:style w:type="paragraph" w:styleId="10">
    <w:name w:val="heading 9"/>
    <w:basedOn w:val="3"/>
    <w:next w:val="1"/>
    <w:link w:val="28"/>
    <w:qFormat/>
    <w:uiPriority w:val="0"/>
    <w:pPr>
      <w:tabs>
        <w:tab w:val="left" w:pos="1140"/>
        <w:tab w:val="clear" w:pos="284"/>
      </w:tabs>
      <w:spacing w:after="120" w:line="260" w:lineRule="exact"/>
      <w:ind w:left="1140" w:hanging="1140"/>
      <w:jc w:val="both"/>
      <w:outlineLvl w:val="8"/>
    </w:pPr>
    <w:rPr>
      <w:rFonts w:ascii="Times New Roman" w:hAnsi="Times New Roman" w:cs="Times New Roman"/>
      <w:b/>
      <w:i w:val="0"/>
      <w:color w:val="auto"/>
      <w:sz w:val="24"/>
      <w:szCs w:val="22"/>
      <w:lang w:eastAsia="en-GB"/>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3"/>
    <w:semiHidden/>
    <w:qFormat/>
    <w:uiPriority w:val="99"/>
    <w:rPr>
      <w:rFonts w:ascii="Tahoma" w:hAnsi="Tahoma" w:cs="Tahoma"/>
      <w:sz w:val="16"/>
      <w:szCs w:val="16"/>
    </w:rPr>
  </w:style>
  <w:style w:type="character" w:styleId="14">
    <w:name w:val="annotation reference"/>
    <w:qFormat/>
    <w:uiPriority w:val="99"/>
    <w:rPr>
      <w:sz w:val="16"/>
      <w:szCs w:val="16"/>
    </w:rPr>
  </w:style>
  <w:style w:type="paragraph" w:styleId="15">
    <w:name w:val="annotation text"/>
    <w:basedOn w:val="1"/>
    <w:link w:val="31"/>
    <w:semiHidden/>
    <w:qFormat/>
    <w:uiPriority w:val="99"/>
    <w:rPr>
      <w:sz w:val="20"/>
      <w:szCs w:val="20"/>
    </w:rPr>
  </w:style>
  <w:style w:type="paragraph" w:styleId="16">
    <w:name w:val="annotation subject"/>
    <w:basedOn w:val="15"/>
    <w:next w:val="15"/>
    <w:link w:val="32"/>
    <w:semiHidden/>
    <w:qFormat/>
    <w:uiPriority w:val="99"/>
    <w:rPr>
      <w:b/>
      <w:bCs/>
    </w:rPr>
  </w:style>
  <w:style w:type="paragraph" w:styleId="17">
    <w:name w:val="footer"/>
    <w:basedOn w:val="1"/>
    <w:link w:val="22"/>
    <w:qFormat/>
    <w:uiPriority w:val="99"/>
    <w:pPr>
      <w:tabs>
        <w:tab w:val="center" w:pos="4536"/>
        <w:tab w:val="right" w:pos="9072"/>
        <w:tab w:val="clear" w:pos="284"/>
      </w:tabs>
    </w:pPr>
  </w:style>
  <w:style w:type="paragraph" w:styleId="18">
    <w:name w:val="header"/>
    <w:basedOn w:val="1"/>
    <w:link w:val="30"/>
    <w:qFormat/>
    <w:uiPriority w:val="0"/>
    <w:pPr>
      <w:tabs>
        <w:tab w:val="center" w:pos="4536"/>
        <w:tab w:val="right" w:pos="9072"/>
        <w:tab w:val="clear" w:pos="284"/>
      </w:tabs>
    </w:pPr>
  </w:style>
  <w:style w:type="character" w:styleId="19">
    <w:name w:val="Hyperlink"/>
    <w:basedOn w:val="11"/>
    <w:qFormat/>
    <w:uiPriority w:val="0"/>
    <w:rPr>
      <w:color w:val="0000FF" w:themeColor="hyperlink"/>
      <w:u w:val="single"/>
      <w14:textFill>
        <w14:solidFill>
          <w14:schemeClr w14:val="hlink"/>
        </w14:solidFill>
      </w14:textFill>
    </w:rPr>
  </w:style>
  <w:style w:type="character" w:styleId="20">
    <w:name w:val="page number"/>
    <w:basedOn w:val="11"/>
    <w:qFormat/>
    <w:uiPriority w:val="0"/>
  </w:style>
  <w:style w:type="table" w:styleId="21">
    <w:name w:val="Table Grid"/>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Footer Char"/>
    <w:basedOn w:val="11"/>
    <w:link w:val="17"/>
    <w:qFormat/>
    <w:uiPriority w:val="99"/>
    <w:rPr>
      <w:rFonts w:ascii="Humanist777" w:hAnsi="Humanist777"/>
      <w:sz w:val="24"/>
      <w:szCs w:val="24"/>
    </w:rPr>
  </w:style>
  <w:style w:type="paragraph" w:customStyle="1" w:styleId="23">
    <w:name w:val="NASLOV 123"/>
    <w:basedOn w:val="1"/>
    <w:qFormat/>
    <w:uiPriority w:val="0"/>
    <w:pPr>
      <w:spacing w:before="200" w:after="200"/>
      <w:jc w:val="left"/>
    </w:pPr>
    <w:rPr>
      <w:b/>
      <w:szCs w:val="22"/>
    </w:rPr>
  </w:style>
  <w:style w:type="character" w:customStyle="1" w:styleId="24">
    <w:name w:val="Heading 5 Char"/>
    <w:basedOn w:val="11"/>
    <w:link w:val="6"/>
    <w:qFormat/>
    <w:uiPriority w:val="0"/>
    <w:rPr>
      <w:b/>
      <w:bCs/>
      <w:sz w:val="24"/>
      <w:szCs w:val="26"/>
      <w:lang w:eastAsia="en-GB"/>
    </w:rPr>
  </w:style>
  <w:style w:type="character" w:customStyle="1" w:styleId="25">
    <w:name w:val="Heading 6 Char"/>
    <w:basedOn w:val="11"/>
    <w:link w:val="7"/>
    <w:qFormat/>
    <w:uiPriority w:val="0"/>
    <w:rPr>
      <w:b/>
      <w:bCs/>
      <w:iCs/>
      <w:sz w:val="24"/>
      <w:szCs w:val="22"/>
      <w:lang w:eastAsia="en-GB"/>
    </w:rPr>
  </w:style>
  <w:style w:type="character" w:customStyle="1" w:styleId="26">
    <w:name w:val="Heading 7 Char"/>
    <w:basedOn w:val="11"/>
    <w:link w:val="8"/>
    <w:qFormat/>
    <w:uiPriority w:val="0"/>
    <w:rPr>
      <w:b/>
      <w:iCs/>
      <w:sz w:val="24"/>
      <w:szCs w:val="28"/>
      <w:lang w:eastAsia="en-GB"/>
    </w:rPr>
  </w:style>
  <w:style w:type="character" w:customStyle="1" w:styleId="27">
    <w:name w:val="Heading 8 Char"/>
    <w:basedOn w:val="11"/>
    <w:link w:val="9"/>
    <w:qFormat/>
    <w:uiPriority w:val="0"/>
    <w:rPr>
      <w:b/>
      <w:sz w:val="24"/>
      <w:szCs w:val="28"/>
      <w:lang w:eastAsia="en-GB"/>
    </w:rPr>
  </w:style>
  <w:style w:type="character" w:customStyle="1" w:styleId="28">
    <w:name w:val="Heading 9 Char"/>
    <w:basedOn w:val="11"/>
    <w:link w:val="10"/>
    <w:qFormat/>
    <w:uiPriority w:val="0"/>
    <w:rPr>
      <w:b/>
      <w:iCs/>
      <w:sz w:val="24"/>
      <w:szCs w:val="22"/>
      <w:lang w:eastAsia="en-GB"/>
    </w:rPr>
  </w:style>
  <w:style w:type="paragraph" w:styleId="29">
    <w:name w:val="List Paragraph"/>
    <w:basedOn w:val="1"/>
    <w:qFormat/>
    <w:uiPriority w:val="34"/>
    <w:pPr>
      <w:widowControl w:val="0"/>
      <w:tabs>
        <w:tab w:val="clear" w:pos="284"/>
      </w:tabs>
      <w:spacing w:after="200" w:line="276" w:lineRule="auto"/>
      <w:ind w:left="720"/>
      <w:contextualSpacing/>
      <w:jc w:val="left"/>
    </w:pPr>
    <w:rPr>
      <w:rFonts w:ascii="Calibri" w:hAnsi="Calibri" w:eastAsia="Calibri"/>
      <w:szCs w:val="22"/>
    </w:rPr>
  </w:style>
  <w:style w:type="character" w:customStyle="1" w:styleId="30">
    <w:name w:val="Header Char"/>
    <w:basedOn w:val="11"/>
    <w:link w:val="18"/>
    <w:qFormat/>
    <w:uiPriority w:val="0"/>
    <w:rPr>
      <w:sz w:val="22"/>
      <w:szCs w:val="24"/>
    </w:rPr>
  </w:style>
  <w:style w:type="character" w:customStyle="1" w:styleId="31">
    <w:name w:val="Comment Text Char"/>
    <w:basedOn w:val="11"/>
    <w:link w:val="15"/>
    <w:semiHidden/>
    <w:qFormat/>
    <w:uiPriority w:val="99"/>
  </w:style>
  <w:style w:type="character" w:customStyle="1" w:styleId="32">
    <w:name w:val="Comment Subject Char"/>
    <w:basedOn w:val="31"/>
    <w:link w:val="16"/>
    <w:semiHidden/>
    <w:qFormat/>
    <w:uiPriority w:val="99"/>
    <w:rPr>
      <w:b/>
      <w:bCs/>
    </w:rPr>
  </w:style>
  <w:style w:type="character" w:customStyle="1" w:styleId="33">
    <w:name w:val="Balloon Text Char"/>
    <w:basedOn w:val="11"/>
    <w:link w:val="13"/>
    <w:semiHidden/>
    <w:qFormat/>
    <w:uiPriority w:val="99"/>
    <w:rPr>
      <w:rFonts w:ascii="Tahoma" w:hAnsi="Tahoma" w:cs="Tahoma"/>
      <w:sz w:val="16"/>
      <w:szCs w:val="16"/>
    </w:rPr>
  </w:style>
  <w:style w:type="character" w:customStyle="1" w:styleId="34">
    <w:name w:val="Heading 1 Char"/>
    <w:basedOn w:val="11"/>
    <w:link w:val="2"/>
    <w:qFormat/>
    <w:uiPriority w:val="1"/>
    <w:rPr>
      <w:rFonts w:ascii="Arial (W1)" w:hAnsi="Arial (W1)" w:cs="Arial"/>
      <w:b/>
      <w:bCs/>
      <w:i/>
      <w:iCs/>
      <w:sz w:val="32"/>
      <w:szCs w:val="24"/>
      <w:u w:val="single"/>
      <w:lang w:val="sr-Latn-CS"/>
    </w:rPr>
  </w:style>
  <w:style w:type="character" w:customStyle="1" w:styleId="35">
    <w:name w:val="Heading 2 Char"/>
    <w:basedOn w:val="11"/>
    <w:link w:val="3"/>
    <w:qFormat/>
    <w:uiPriority w:val="0"/>
    <w:rPr>
      <w:rFonts w:ascii="Arial" w:hAnsi="Arial" w:cs="Arial"/>
      <w:i/>
      <w:iCs/>
      <w:color w:val="999999"/>
      <w:sz w:val="18"/>
      <w:szCs w:val="24"/>
    </w:rPr>
  </w:style>
  <w:style w:type="character" w:customStyle="1" w:styleId="36">
    <w:name w:val="Heading 3 Char"/>
    <w:basedOn w:val="11"/>
    <w:link w:val="4"/>
    <w:qFormat/>
    <w:uiPriority w:val="0"/>
    <w:rPr>
      <w:rFonts w:ascii="Arial" w:hAnsi="Arial" w:cs="Arial"/>
      <w:i/>
      <w:iCs/>
      <w:color w:val="999999"/>
      <w:sz w:val="18"/>
      <w:szCs w:val="24"/>
    </w:rPr>
  </w:style>
  <w:style w:type="character" w:customStyle="1" w:styleId="37">
    <w:name w:val="Heading 4 Char"/>
    <w:basedOn w:val="11"/>
    <w:link w:val="5"/>
    <w:qFormat/>
    <w:uiPriority w:val="0"/>
    <w:rPr>
      <w:rFonts w:ascii="Arial" w:hAnsi="Arial" w:cs="Arial"/>
      <w:i/>
      <w:iCs/>
      <w:color w:val="999999"/>
      <w:sz w:val="16"/>
      <w:szCs w:val="24"/>
    </w:rPr>
  </w:style>
  <w:style w:type="table" w:customStyle="1" w:styleId="38">
    <w:name w:val="Table Grid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 Grid2"/>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
    <w:name w:val="Table Grid3"/>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table" w:customStyle="1" w:styleId="42">
    <w:name w:val="Table Grid4"/>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Revision"/>
    <w:hidden/>
    <w:semiHidden/>
    <w:qFormat/>
    <w:uiPriority w:val="99"/>
    <w:rPr>
      <w:rFonts w:ascii="Times New Roman" w:hAnsi="Times New Roman" w:eastAsia="Times New Roman" w:cs="Times New Roman"/>
      <w:sz w:val="22"/>
      <w:szCs w:val="24"/>
      <w:lang w:val="en-US" w:eastAsia="en-US" w:bidi="ar-SA"/>
    </w:rPr>
  </w:style>
  <w:style w:type="table" w:customStyle="1" w:styleId="44">
    <w:name w:val="Table Grid1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Table Grid2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Table Grid3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Table Grid41"/>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Table Grid5"/>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Table Grid6"/>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Grid7"/>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Grid8"/>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Table Grid9"/>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Grid10"/>
    <w:basedOn w:val="12"/>
    <w:qFormat/>
    <w:uiPriority w:val="59"/>
    <w:pPr>
      <w:widowControl w:val="0"/>
    </w:pPr>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8B8DD-A319-4B94-889C-75B4067B9B1F}">
  <ds:schemaRefs/>
</ds:datastoreItem>
</file>

<file path=docProps/app.xml><?xml version="1.0" encoding="utf-8"?>
<Properties xmlns="http://schemas.openxmlformats.org/officeDocument/2006/extended-properties" xmlns:vt="http://schemas.openxmlformats.org/officeDocument/2006/docPropsVTypes">
  <Template>Normal</Template>
  <Pages>40</Pages>
  <Words>18401</Words>
  <Characters>104887</Characters>
  <Lines>874</Lines>
  <Paragraphs>246</Paragraphs>
  <TotalTime>0</TotalTime>
  <ScaleCrop>false</ScaleCrop>
  <LinksUpToDate>false</LinksUpToDate>
  <CharactersWithSpaces>123042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2023-12-04T08:51:00Z</dcterms:created>
  <dc:creator>TANJANE</dc:creator>
  <cp:lastModifiedBy>Haris</cp:lastModifiedBy>
  <cp:lastPrinted>2022-07-28T08:46:00Z</cp:lastPrinted>
  <dcterms:modified xsi:type="dcterms:W3CDTF">2025-02-21T14:46:21Z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1C40FF2B2E3E4190AA4A1F13A494BB0B_13</vt:lpwstr>
  </property>
</Properties>
</file>