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966CA">
      <w:pPr>
        <w:rPr>
          <w:rFonts w:ascii="Microsoft Sans Serif" w:hAnsi="Microsoft Sans Serif" w:cs="Microsoft Sans Serif"/>
          <w:sz w:val="20"/>
          <w:szCs w:val="20"/>
        </w:rPr>
      </w:pPr>
      <w:bookmarkStart w:id="0" w:name="_GoBack"/>
      <w:bookmarkEnd w:id="0"/>
    </w:p>
    <w:p w14:paraId="4F294263">
      <w:pPr>
        <w:jc w:val="center"/>
        <w:rPr>
          <w:rFonts w:ascii="Microsoft Sans Serif" w:hAnsi="Microsoft Sans Serif" w:cs="Microsoft Sans Serif"/>
          <w:b/>
          <w:bCs/>
          <w:i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SAŽETAK KARAKTERISTIKA LIJEKA</w:t>
      </w:r>
    </w:p>
    <w:p w14:paraId="7CE4C0CE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 </w:t>
      </w:r>
    </w:p>
    <w:p w14:paraId="6EC58DCD">
      <w:pPr>
        <w:rPr>
          <w:rFonts w:ascii="Microsoft Sans Serif" w:hAnsi="Microsoft Sans Serif" w:cs="Microsoft Sans Serif"/>
          <w:sz w:val="20"/>
          <w:szCs w:val="20"/>
        </w:rPr>
      </w:pPr>
    </w:p>
    <w:p w14:paraId="2BDDF220">
      <w:pPr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7C9E8AD1">
      <w:pPr>
        <w:pStyle w:val="17"/>
        <w:spacing w:before="0" w:after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1. </w:t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>NAZIV GOTOVOG LIJEKA</w:t>
      </w:r>
    </w:p>
    <w:p w14:paraId="694061EB">
      <w:pPr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Alkaformin, 500 mg film tablete</w:t>
      </w:r>
    </w:p>
    <w:p w14:paraId="65F96716">
      <w:pPr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Alkaformin, 850 mg film tablete</w:t>
      </w:r>
    </w:p>
    <w:p w14:paraId="2BF4945B">
      <w:pPr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Alkaformin, 1000 mg film tablete</w:t>
      </w:r>
    </w:p>
    <w:p w14:paraId="5E9FF5F9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i/>
          <w:sz w:val="20"/>
          <w:szCs w:val="20"/>
        </w:rPr>
        <w:t>metformin</w:t>
      </w:r>
    </w:p>
    <w:p w14:paraId="39AC314B">
      <w:pPr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1DEBC9F0">
      <w:pPr>
        <w:pStyle w:val="17"/>
        <w:spacing w:before="0" w:after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2. </w:t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>KVALITATIVNI I KVANTITATIVNI SASTAV</w:t>
      </w:r>
    </w:p>
    <w:p w14:paraId="79AEBECC">
      <w:pPr>
        <w:pStyle w:val="17"/>
        <w:spacing w:before="0" w:after="0"/>
        <w:rPr>
          <w:rFonts w:ascii="Microsoft Sans Serif" w:hAnsi="Microsoft Sans Serif" w:cs="Microsoft Sans Serif"/>
          <w:b w:val="0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Svaka film tableta sadrži 500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 xml:space="preserve"> mg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, 850 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 xml:space="preserve">mg 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ili 1000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 xml:space="preserve"> mg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metformin-hidrohlorida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.</w:t>
      </w:r>
    </w:p>
    <w:p w14:paraId="3FDA844E">
      <w:pPr>
        <w:rPr>
          <w:rFonts w:ascii="Microsoft Sans Serif" w:hAnsi="Microsoft Sans Serif" w:cs="Microsoft Sans Serif"/>
          <w:b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Pomoćne supstance sa potvrđenim dejstvom: laktoza, monohidrat.</w:t>
      </w:r>
    </w:p>
    <w:p w14:paraId="3D128944">
      <w:pPr>
        <w:rPr>
          <w:rFonts w:ascii="Microsoft Sans Serif" w:hAnsi="Microsoft Sans Serif" w:cs="Microsoft Sans Serif"/>
          <w:b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Svaka 500 mg film tableta sadrži 2,0 mg laktoza, monohidrata.</w:t>
      </w:r>
    </w:p>
    <w:p w14:paraId="0B28C2E2">
      <w:pPr>
        <w:rPr>
          <w:rFonts w:ascii="Microsoft Sans Serif" w:hAnsi="Microsoft Sans Serif" w:cs="Microsoft Sans Serif"/>
          <w:b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Svaka 850 mg film tableta sadrži 3,4 mg laktoza, monohidrata.</w:t>
      </w:r>
    </w:p>
    <w:p w14:paraId="35C90F06">
      <w:pPr>
        <w:rPr>
          <w:rFonts w:ascii="Microsoft Sans Serif" w:hAnsi="Microsoft Sans Serif" w:cs="Microsoft Sans Serif"/>
          <w:b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Svaka 1000 mg film tableta sadrži 4,0 mg laktoza, monohidrata.</w:t>
      </w:r>
    </w:p>
    <w:p w14:paraId="7D52387C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564DEF0C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Za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spisak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svih pomoćnih supstanci, pogledati dio 6.1.</w:t>
      </w:r>
    </w:p>
    <w:p w14:paraId="06D87EE6">
      <w:pPr>
        <w:rPr>
          <w:rFonts w:ascii="Microsoft Sans Serif" w:hAnsi="Microsoft Sans Serif" w:cs="Microsoft Sans Serif"/>
          <w:sz w:val="20"/>
          <w:szCs w:val="20"/>
        </w:rPr>
      </w:pPr>
    </w:p>
    <w:p w14:paraId="3A88E15F">
      <w:pPr>
        <w:pStyle w:val="17"/>
        <w:spacing w:before="0" w:after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3. </w:t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>FARMACEUTSKI OBLIK</w:t>
      </w:r>
    </w:p>
    <w:p w14:paraId="0C14B41C">
      <w:pPr>
        <w:pStyle w:val="17"/>
        <w:spacing w:before="0" w:after="0"/>
        <w:rPr>
          <w:rFonts w:ascii="Microsoft Sans Serif" w:hAnsi="Microsoft Sans Serif" w:cs="Microsoft Sans Serif"/>
          <w:sz w:val="20"/>
          <w:szCs w:val="20"/>
        </w:rPr>
      </w:pPr>
    </w:p>
    <w:p w14:paraId="303ACC9C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Film tableta.</w:t>
      </w:r>
    </w:p>
    <w:p w14:paraId="5AC84101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4F72B661">
      <w:pPr>
        <w:rPr>
          <w:rFonts w:ascii="Microsoft Sans Serif" w:hAnsi="Microsoft Sans Serif" w:cs="Microsoft Sans Serif"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Alkaformin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 500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RS"/>
        </w:rPr>
        <w:t xml:space="preserve"> mg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 film tablete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:</w:t>
      </w:r>
    </w:p>
    <w:p w14:paraId="7ECB7A1B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Bijele do skoro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b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ijele, okrugle, bikonveksne film tablete sa podionom linijom sa jedne strane</w:t>
      </w:r>
      <w:r>
        <w:rPr>
          <w:rFonts w:ascii="Microsoft Sans Serif" w:hAnsi="Microsoft Sans Serif" w:cs="Microsoft Sans Serif"/>
          <w:sz w:val="20"/>
          <w:szCs w:val="20"/>
        </w:rPr>
        <w:t>.</w:t>
      </w:r>
    </w:p>
    <w:p w14:paraId="5F1859F7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444031D2">
      <w:pPr>
        <w:rPr>
          <w:rFonts w:ascii="Microsoft Sans Serif" w:hAnsi="Microsoft Sans Serif" w:cs="Microsoft Sans Serif"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Alkaformin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850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RS"/>
        </w:rPr>
        <w:t xml:space="preserve"> mg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 film tablete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:</w:t>
      </w:r>
    </w:p>
    <w:p w14:paraId="6DC41E00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Bijele do skoro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b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ijele, dugulјaste, bikonveksne film tablete sa podionom linijom sa jedne strane</w:t>
      </w:r>
      <w:r>
        <w:rPr>
          <w:rFonts w:ascii="Microsoft Sans Serif" w:hAnsi="Microsoft Sans Serif" w:cs="Microsoft Sans Serif"/>
          <w:sz w:val="20"/>
          <w:szCs w:val="20"/>
        </w:rPr>
        <w:t>.</w:t>
      </w:r>
    </w:p>
    <w:p w14:paraId="17BFE89A">
      <w:pPr>
        <w:rPr>
          <w:rFonts w:ascii="Microsoft Sans Serif" w:hAnsi="Microsoft Sans Serif" w:cs="Microsoft Sans Serif"/>
          <w:sz w:val="20"/>
          <w:szCs w:val="20"/>
        </w:rPr>
      </w:pPr>
    </w:p>
    <w:p w14:paraId="384B2680">
      <w:pPr>
        <w:rPr>
          <w:rFonts w:ascii="Microsoft Sans Serif" w:hAnsi="Microsoft Sans Serif" w:cs="Microsoft Sans Serif"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Alkaformin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1000 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RS"/>
        </w:rPr>
        <w:t xml:space="preserve">mg 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film tablete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:</w:t>
      </w:r>
    </w:p>
    <w:p w14:paraId="3610CC13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Bijele do skoro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b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ijele, dugulјaste, bikonveksne film tablete sa podionom linijom sa ob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 strane</w:t>
      </w:r>
      <w:r>
        <w:rPr>
          <w:rFonts w:ascii="Microsoft Sans Serif" w:hAnsi="Microsoft Sans Serif" w:cs="Microsoft Sans Serif"/>
          <w:sz w:val="20"/>
          <w:szCs w:val="20"/>
        </w:rPr>
        <w:t>.</w:t>
      </w:r>
    </w:p>
    <w:p w14:paraId="3D71CAFF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51856729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Pod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ona linija sl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ži samo da olakša lomlјenje da bi se lijek lakše progutao, a ne za pod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elu na jednake doze.</w:t>
      </w:r>
    </w:p>
    <w:p w14:paraId="05D37786">
      <w:pPr>
        <w:rPr>
          <w:rFonts w:ascii="Microsoft Sans Serif" w:hAnsi="Microsoft Sans Serif" w:cs="Microsoft Sans Serif"/>
          <w:sz w:val="20"/>
          <w:szCs w:val="20"/>
        </w:rPr>
      </w:pPr>
    </w:p>
    <w:p w14:paraId="1C9D0B2D">
      <w:pPr>
        <w:pStyle w:val="17"/>
        <w:spacing w:before="0" w:after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4. </w:t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>KLINIČKI PODACI</w:t>
      </w:r>
    </w:p>
    <w:p w14:paraId="28B9D1BA">
      <w:pPr>
        <w:pStyle w:val="17"/>
        <w:spacing w:before="0" w:after="0"/>
        <w:rPr>
          <w:rFonts w:ascii="Microsoft Sans Serif" w:hAnsi="Microsoft Sans Serif" w:cs="Microsoft Sans Serif"/>
          <w:sz w:val="20"/>
          <w:szCs w:val="20"/>
        </w:rPr>
      </w:pPr>
    </w:p>
    <w:p w14:paraId="4FC2795D">
      <w:pPr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4.1.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ab/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Terapijske indikacije</w:t>
      </w:r>
    </w:p>
    <w:p w14:paraId="72B6D194">
      <w:pPr>
        <w:rPr>
          <w:rFonts w:ascii="Microsoft Sans Serif" w:hAnsi="Microsoft Sans Serif" w:cs="Microsoft Sans Serif"/>
          <w:sz w:val="20"/>
          <w:szCs w:val="20"/>
        </w:rPr>
      </w:pPr>
    </w:p>
    <w:p w14:paraId="6A931113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Terapija dijabetes melitusa tip 2,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naročito</w:t>
      </w:r>
      <w:r>
        <w:rPr>
          <w:rFonts w:ascii="Microsoft Sans Serif" w:hAnsi="Microsoft Sans Serif" w:cs="Microsoft Sans Serif"/>
          <w:sz w:val="20"/>
          <w:szCs w:val="20"/>
        </w:rPr>
        <w:t xml:space="preserve"> kod gojaznih pacijenata kod kojih dijetetski režim i fizička aktivnost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 daju adekvatnu kontrolu glikemije.</w:t>
      </w:r>
    </w:p>
    <w:p w14:paraId="2702FEEA">
      <w:pPr>
        <w:pStyle w:val="18"/>
        <w:numPr>
          <w:ilvl w:val="0"/>
          <w:numId w:val="1"/>
        </w:numPr>
        <w:ind w:left="0" w:firstLine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Kod odraslih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Alkaformin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može da se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enjuje</w:t>
      </w:r>
      <w:r>
        <w:rPr>
          <w:rFonts w:ascii="Microsoft Sans Serif" w:hAnsi="Microsoft Sans Serif" w:cs="Microsoft Sans Serif"/>
          <w:sz w:val="20"/>
          <w:szCs w:val="20"/>
        </w:rPr>
        <w:t xml:space="preserve"> kao monoterapija ili u kombinaciji sa drugim oralnim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antidijabeticima ili sa insulinom.</w:t>
      </w:r>
    </w:p>
    <w:p w14:paraId="38FA17E5">
      <w:pPr>
        <w:pStyle w:val="18"/>
        <w:numPr>
          <w:ilvl w:val="0"/>
          <w:numId w:val="1"/>
        </w:numPr>
        <w:ind w:left="0" w:firstLine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Kod djece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starije od </w:t>
      </w:r>
      <w:r>
        <w:rPr>
          <w:rFonts w:ascii="Microsoft Sans Serif" w:hAnsi="Microsoft Sans Serif" w:cs="Microsoft Sans Serif"/>
          <w:sz w:val="20"/>
          <w:szCs w:val="20"/>
        </w:rPr>
        <w:t xml:space="preserve">10 godina i adolescenata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Alkaformin</w:t>
      </w:r>
      <w:r>
        <w:rPr>
          <w:rFonts w:ascii="Microsoft Sans Serif" w:hAnsi="Microsoft Sans Serif" w:cs="Microsoft Sans Serif"/>
          <w:sz w:val="20"/>
          <w:szCs w:val="20"/>
        </w:rPr>
        <w:t xml:space="preserve"> se može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enjivati</w:t>
      </w:r>
      <w:r>
        <w:rPr>
          <w:rFonts w:ascii="Microsoft Sans Serif" w:hAnsi="Microsoft Sans Serif" w:cs="Microsoft Sans Serif"/>
          <w:sz w:val="20"/>
          <w:szCs w:val="20"/>
        </w:rPr>
        <w:t xml:space="preserve"> kao monoterapija ili 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kombinaciji sa insulinom.</w:t>
      </w:r>
    </w:p>
    <w:p w14:paraId="6D739191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Pokazalo se da je kod odraslih gojaznih pacijenata sa dijabetes melitusom tip 2 koji su koristili metformin kao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terapiju prvog izbora, nakon što dijetetski režim nije dao rezultat, došlo do redukcije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komplikacija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povezane sa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dijabetes</w:t>
      </w:r>
      <w:r>
        <w:rPr>
          <w:rFonts w:ascii="Microsoft Sans Serif" w:hAnsi="Microsoft Sans Serif" w:cs="Microsoft Sans Serif"/>
          <w:sz w:val="20"/>
          <w:szCs w:val="20"/>
        </w:rPr>
        <w:t>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(pogledati dio 5.1.).</w:t>
      </w:r>
    </w:p>
    <w:p w14:paraId="05A45EAA">
      <w:pPr>
        <w:rPr>
          <w:rFonts w:ascii="Microsoft Sans Serif" w:hAnsi="Microsoft Sans Serif" w:cs="Microsoft Sans Serif"/>
          <w:sz w:val="20"/>
          <w:szCs w:val="20"/>
        </w:rPr>
      </w:pPr>
    </w:p>
    <w:p w14:paraId="0DD06452">
      <w:pPr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>4.2. Doziranje i način primjene</w:t>
      </w:r>
    </w:p>
    <w:p w14:paraId="0EA558FC">
      <w:pPr>
        <w:rPr>
          <w:rFonts w:ascii="Microsoft Sans Serif" w:hAnsi="Microsoft Sans Serif" w:cs="Microsoft Sans Serif"/>
          <w:sz w:val="20"/>
          <w:szCs w:val="20"/>
        </w:rPr>
      </w:pPr>
    </w:p>
    <w:p w14:paraId="7853820D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Doziranje</w:t>
      </w:r>
    </w:p>
    <w:p w14:paraId="36B12A01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</w:p>
    <w:p w14:paraId="45A536D0">
      <w:pPr>
        <w:rPr>
          <w:rFonts w:ascii="Microsoft Sans Serif" w:hAnsi="Microsoft Sans Serif" w:cs="Microsoft Sans Serif"/>
          <w:i/>
          <w:sz w:val="20"/>
          <w:szCs w:val="20"/>
          <w:lang w:val="en-GB"/>
        </w:rPr>
      </w:pP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Odrasli sa normalnom renalnom funkcijom (</w:t>
      </w:r>
      <w:r>
        <w:rPr>
          <w:rFonts w:ascii="Microsoft Sans Serif" w:hAnsi="Microsoft Sans Serif" w:cs="Microsoft Sans Serif"/>
          <w:i/>
          <w:sz w:val="20"/>
          <w:szCs w:val="20"/>
          <w:lang w:val="en-GB"/>
        </w:rPr>
        <w:t>GFR≥90 ml/</w:t>
      </w: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min</w:t>
      </w:r>
      <w:r>
        <w:rPr>
          <w:rFonts w:ascii="Microsoft Sans Serif" w:hAnsi="Microsoft Sans Serif" w:cs="Microsoft Sans Serif"/>
          <w:i/>
          <w:sz w:val="20"/>
          <w:szCs w:val="20"/>
          <w:lang w:val="en-GB"/>
        </w:rPr>
        <w:t>)</w:t>
      </w:r>
    </w:p>
    <w:p w14:paraId="6E34AA38">
      <w:pPr>
        <w:rPr>
          <w:rFonts w:ascii="Microsoft Sans Serif" w:hAnsi="Microsoft Sans Serif" w:cs="Microsoft Sans Serif"/>
          <w:i/>
          <w:sz w:val="20"/>
          <w:szCs w:val="20"/>
          <w:u w:val="single"/>
          <w:lang w:val="en-GB"/>
        </w:rPr>
      </w:pPr>
    </w:p>
    <w:p w14:paraId="75730C51">
      <w:pPr>
        <w:rPr>
          <w:rFonts w:ascii="Microsoft Sans Serif" w:hAnsi="Microsoft Sans Serif" w:cs="Microsoft Sans Serif"/>
          <w:b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Monoterapija i kombinacija sa drugim oralnim antidijabeticima:</w:t>
      </w:r>
    </w:p>
    <w:p w14:paraId="59AC87DE">
      <w:pPr>
        <w:rPr>
          <w:rFonts w:ascii="Microsoft Sans Serif" w:hAnsi="Microsoft Sans Serif" w:cs="Microsoft Sans Serif"/>
          <w:b/>
          <w:sz w:val="20"/>
          <w:szCs w:val="20"/>
          <w:lang w:val="sr-Latn-RS"/>
        </w:rPr>
      </w:pPr>
    </w:p>
    <w:p w14:paraId="4AE54702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Uobičajena početna doza je 500 mg ili 850 mg metformin hidrohlorida 2 do 3 puta dnevno koja se uzima za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vr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eme ili posl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 obroka. Posl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 10 do 15 dana dozu treba prilagoditi na osnovu izm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erenih koncentracija šećera u krvi.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Postepeno povećavanje doze može pobolјšati gastrointestinalnu podnošlјivost.</w:t>
      </w:r>
    </w:p>
    <w:p w14:paraId="58E1FF20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Pacijentima koji 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enjuju visoke doze metformin hidrohlorida (2 do 3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dnevno), moguće je zam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eniti dv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 film tablete lijeka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Alkaformin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od 500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mg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jednom film tabletom lijeka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Alkaformin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od 1000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mg.</w:t>
      </w:r>
    </w:p>
    <w:p w14:paraId="710561F0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Maksimalna preporučena doza metformin hidrohlorida je 3 g dnevno, uzeta u tri pojedinačne doze.</w:t>
      </w:r>
    </w:p>
    <w:p w14:paraId="768B22EE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Ukoliko se nam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erava prelazak sa jednog oralnog antidijabetika na drugi: prekinuti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primjenu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lijeka koji je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trenutno u terapiji i započeti terapiju metforminom dozama kako što su navedene prethodno.</w:t>
      </w:r>
    </w:p>
    <w:p w14:paraId="52C7F048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5B59E2AE">
      <w:pPr>
        <w:rPr>
          <w:rFonts w:ascii="Microsoft Sans Serif" w:hAnsi="Microsoft Sans Serif" w:cs="Microsoft Sans Serif"/>
          <w:b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Kombinacija sa insulinom:</w:t>
      </w:r>
    </w:p>
    <w:p w14:paraId="225A15F6">
      <w:pPr>
        <w:rPr>
          <w:rFonts w:ascii="Microsoft Sans Serif" w:hAnsi="Microsoft Sans Serif" w:cs="Microsoft Sans Serif"/>
          <w:b/>
          <w:sz w:val="20"/>
          <w:szCs w:val="20"/>
          <w:lang w:val="sr-Cyrl-RS"/>
        </w:rPr>
      </w:pPr>
    </w:p>
    <w:p w14:paraId="750955A8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Metformin i insulin mogu biti korišćeni u kombinovanoj terapiji da bi se postigla bolјa kontrola koncentracije glukoze u krvi.</w:t>
      </w:r>
    </w:p>
    <w:p w14:paraId="0227FF54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Metformin hidrohlorid se 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enjuje u uobičajenoj početnoj dozi od 500 mg ili 850 mg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,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2 do 3 puta dnevno, dok se doza insulina prilagođava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na osnovu 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erenja koncentracije glukoze u krvi.</w:t>
      </w:r>
    </w:p>
    <w:p w14:paraId="537ADF34">
      <w:pPr>
        <w:rPr>
          <w:rFonts w:ascii="Microsoft Sans Serif" w:hAnsi="Microsoft Sans Serif" w:cs="Microsoft Sans Serif"/>
          <w:sz w:val="20"/>
          <w:szCs w:val="20"/>
          <w:lang w:val="en-GB"/>
        </w:rPr>
      </w:pPr>
    </w:p>
    <w:p w14:paraId="2BD1B5BF">
      <w:pPr>
        <w:rPr>
          <w:rFonts w:ascii="Microsoft Sans Serif" w:hAnsi="Microsoft Sans Serif" w:cs="Microsoft Sans Serif"/>
          <w:sz w:val="20"/>
          <w:szCs w:val="20"/>
          <w:lang w:val="en-GB"/>
        </w:rPr>
      </w:pPr>
      <w:r>
        <w:rPr>
          <w:rFonts w:ascii="Microsoft Sans Serif" w:hAnsi="Microsoft Sans Serif" w:cs="Microsoft Sans Serif"/>
          <w:i/>
          <w:sz w:val="20"/>
          <w:szCs w:val="20"/>
          <w:lang w:val="en-GB"/>
        </w:rPr>
        <w:t>Starij</w:t>
      </w: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i pacijenti</w:t>
      </w:r>
    </w:p>
    <w:p w14:paraId="2736216D">
      <w:pPr>
        <w:rPr>
          <w:rFonts w:ascii="Microsoft Sans Serif" w:hAnsi="Microsoft Sans Serif" w:cs="Microsoft Sans Serif"/>
          <w:sz w:val="20"/>
          <w:szCs w:val="20"/>
          <w:lang w:val="en-GB"/>
        </w:rPr>
      </w:pP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Obzirom na to da funkcija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bubrega 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>kod starijih pacijenata može biti oslablјena, doziranje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>metformina bi trebalo prilagođavati na osnovu procjene funkcije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bubrega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>. Neophodna je redovna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>procjena funkcije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bubrega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 (pogledati dio 4.4).</w:t>
      </w:r>
    </w:p>
    <w:p w14:paraId="62AD1F8C">
      <w:pPr>
        <w:rPr>
          <w:rFonts w:ascii="Microsoft Sans Serif" w:hAnsi="Microsoft Sans Serif" w:cs="Microsoft Sans Serif"/>
          <w:sz w:val="20"/>
          <w:szCs w:val="20"/>
          <w:lang w:val="en-GB"/>
        </w:rPr>
      </w:pPr>
    </w:p>
    <w:p w14:paraId="26A02C9B">
      <w:pPr>
        <w:rPr>
          <w:rFonts w:ascii="Microsoft Sans Serif" w:hAnsi="Microsoft Sans Serif" w:cs="Microsoft Sans Serif"/>
          <w:i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Oštećenje funkcije bubrega</w:t>
      </w:r>
    </w:p>
    <w:p w14:paraId="69DBFB9D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GFR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treba proc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eniti pr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 započinjanja terapije sa proizvodima koji sadrže metformin, i najmanje jednom godišnje nakon početka terapije. Kod pacijenata sa povećanim rizikom od napredovanja oštećenja funkcije bubrega i kod starijih osoba, funkciju bubrega treba češće proc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enjivati, npr, svakih 3-6 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eseci. </w:t>
      </w:r>
    </w:p>
    <w:p w14:paraId="3750B6EA">
      <w:pPr>
        <w:rPr>
          <w:rFonts w:ascii="Microsoft Sans Serif" w:hAnsi="Microsoft Sans Serif" w:cs="Microsoft Sans Serif"/>
          <w:sz w:val="20"/>
          <w:szCs w:val="20"/>
        </w:rPr>
      </w:pPr>
    </w:p>
    <w:tbl>
      <w:tblPr>
        <w:tblStyle w:val="7"/>
        <w:tblW w:w="0" w:type="auto"/>
        <w:tblInd w:w="25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3445"/>
        <w:gridCol w:w="4136"/>
      </w:tblGrid>
      <w:tr w14:paraId="1C533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</w:trPr>
        <w:tc>
          <w:tcPr>
            <w:tcW w:w="1440" w:type="dxa"/>
            <w:tcBorders>
              <w:top w:val="single" w:color="000000" w:sz="8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</w:tcPr>
          <w:p w14:paraId="2E85F2AB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GFR (ml/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sr-Cyrl-RS"/>
              </w:rPr>
              <w:t>min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>)</w:t>
            </w:r>
          </w:p>
        </w:tc>
        <w:tc>
          <w:tcPr>
            <w:tcW w:w="3445" w:type="dxa"/>
            <w:tcBorders>
              <w:top w:val="single" w:color="000000" w:sz="8" w:space="0"/>
              <w:left w:val="single" w:color="000000" w:sz="10" w:space="0"/>
              <w:bottom w:val="single" w:color="000000" w:sz="10" w:space="0"/>
              <w:right w:val="single" w:color="000000" w:sz="8" w:space="0"/>
            </w:tcBorders>
          </w:tcPr>
          <w:p w14:paraId="63BB64C8">
            <w:pPr>
              <w:rPr>
                <w:rFonts w:ascii="Microsoft Sans Serif" w:hAnsi="Microsoft Sans Serif" w:cs="Microsoft Sans Serif"/>
                <w:sz w:val="20"/>
                <w:szCs w:val="20"/>
                <w:lang w:val="sr-Cyrl-RS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lang w:val="sr-Cyrl-RS"/>
              </w:rPr>
              <w:t>Maksimalna dnevna doza (pod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sr-Latn-RS"/>
              </w:rPr>
              <w:t>j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sr-Cyrl-RS"/>
              </w:rPr>
              <w:t>elјena u 2-3 dnevne doze)</w:t>
            </w:r>
          </w:p>
        </w:tc>
        <w:tc>
          <w:tcPr>
            <w:tcW w:w="4136" w:type="dxa"/>
            <w:tcBorders>
              <w:top w:val="single" w:color="000000" w:sz="8" w:space="0"/>
              <w:left w:val="single" w:color="000000" w:sz="8" w:space="0"/>
              <w:bottom w:val="single" w:color="000000" w:sz="10" w:space="0"/>
              <w:right w:val="single" w:color="000000" w:sz="10" w:space="0"/>
            </w:tcBorders>
          </w:tcPr>
          <w:p w14:paraId="2716449E">
            <w:pPr>
              <w:rPr>
                <w:rFonts w:ascii="Microsoft Sans Serif" w:hAnsi="Microsoft Sans Serif" w:cs="Microsoft Sans Serif"/>
                <w:sz w:val="20"/>
                <w:szCs w:val="20"/>
                <w:lang w:val="sr-Cyrl-RS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lang w:val="sr-Cyrl-RS"/>
              </w:rPr>
              <w:t>Dodatna razmatranja</w:t>
            </w:r>
          </w:p>
        </w:tc>
      </w:tr>
      <w:tr w14:paraId="6B09EC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exact"/>
        </w:trPr>
        <w:tc>
          <w:tcPr>
            <w:tcW w:w="1440" w:type="dxa"/>
            <w:tcBorders>
              <w:top w:val="single" w:color="000000" w:sz="10" w:space="0"/>
              <w:left w:val="single" w:color="000000" w:sz="10" w:space="0"/>
              <w:bottom w:val="single" w:color="000000" w:sz="8" w:space="0"/>
              <w:right w:val="single" w:color="000000" w:sz="10" w:space="0"/>
            </w:tcBorders>
          </w:tcPr>
          <w:p w14:paraId="3EF7D1A3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60-89</w:t>
            </w:r>
          </w:p>
        </w:tc>
        <w:tc>
          <w:tcPr>
            <w:tcW w:w="3445" w:type="dxa"/>
            <w:tcBorders>
              <w:top w:val="single" w:color="000000" w:sz="10" w:space="0"/>
              <w:left w:val="single" w:color="000000" w:sz="10" w:space="0"/>
              <w:bottom w:val="single" w:color="000000" w:sz="8" w:space="0"/>
              <w:right w:val="single" w:color="000000" w:sz="8" w:space="0"/>
            </w:tcBorders>
          </w:tcPr>
          <w:p w14:paraId="44322598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3000 mg</w:t>
            </w:r>
          </w:p>
        </w:tc>
        <w:tc>
          <w:tcPr>
            <w:tcW w:w="4136" w:type="dxa"/>
            <w:tcBorders>
              <w:top w:val="single" w:color="000000" w:sz="10" w:space="0"/>
              <w:left w:val="single" w:color="000000" w:sz="8" w:space="0"/>
              <w:bottom w:val="single" w:color="000000" w:sz="8" w:space="0"/>
              <w:right w:val="single" w:color="000000" w:sz="10" w:space="0"/>
            </w:tcBorders>
          </w:tcPr>
          <w:p w14:paraId="52D907B8">
            <w:pPr>
              <w:rPr>
                <w:rFonts w:ascii="Microsoft Sans Serif" w:hAnsi="Microsoft Sans Serif" w:cs="Microsoft Sans Serif"/>
                <w:sz w:val="20"/>
                <w:szCs w:val="20"/>
                <w:lang w:val="sr-Cyrl-RS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lang w:val="sr-Cyrl-RS"/>
              </w:rPr>
              <w:t>Smanjenje doze se može uzeti u obzir u odnosu na opadanje funkcije bubrega.</w:t>
            </w:r>
          </w:p>
        </w:tc>
      </w:tr>
      <w:tr w14:paraId="0FE020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1440" w:type="dxa"/>
            <w:tcBorders>
              <w:top w:val="single" w:color="000000" w:sz="8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</w:tcPr>
          <w:p w14:paraId="76D4B8BD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45-59</w:t>
            </w:r>
          </w:p>
        </w:tc>
        <w:tc>
          <w:tcPr>
            <w:tcW w:w="3445" w:type="dxa"/>
            <w:tcBorders>
              <w:top w:val="single" w:color="000000" w:sz="8" w:space="0"/>
              <w:left w:val="single" w:color="000000" w:sz="10" w:space="0"/>
              <w:bottom w:val="single" w:color="000000" w:sz="10" w:space="0"/>
              <w:right w:val="single" w:color="000000" w:sz="8" w:space="0"/>
            </w:tcBorders>
          </w:tcPr>
          <w:p w14:paraId="59C011FC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2000 mg</w:t>
            </w:r>
          </w:p>
        </w:tc>
        <w:tc>
          <w:tcPr>
            <w:tcW w:w="413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10" w:space="0"/>
            </w:tcBorders>
          </w:tcPr>
          <w:p w14:paraId="387EDCF8">
            <w:pPr>
              <w:rPr>
                <w:rFonts w:ascii="Microsoft Sans Serif" w:hAnsi="Microsoft Sans Serif" w:cs="Microsoft Sans Serif"/>
                <w:sz w:val="20"/>
                <w:szCs w:val="20"/>
                <w:lang w:val="sr-Cyrl-RS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lang w:val="sr-Cyrl-RS"/>
              </w:rPr>
              <w:t>Faktori koji mogu povećati rizik od laktatne acidoze (pogledati dio 4.4), treba da budu razmotreni pr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sr-Latn-RS"/>
              </w:rPr>
              <w:t>ij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sr-Cyrl-RS"/>
              </w:rPr>
              <w:t>e započinjanja terapije  metforminom.</w:t>
            </w:r>
          </w:p>
          <w:p w14:paraId="75EFE990">
            <w:pPr>
              <w:rPr>
                <w:rFonts w:ascii="Microsoft Sans Serif" w:hAnsi="Microsoft Sans Serif" w:cs="Microsoft Sans Serif"/>
                <w:sz w:val="20"/>
                <w:szCs w:val="20"/>
                <w:lang w:val="sr-Cyrl-RS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lang w:val="sr-Cyrl-RS"/>
              </w:rPr>
              <w:t>Početna doza je najviše polovina maksimalne doze.</w:t>
            </w:r>
          </w:p>
        </w:tc>
      </w:tr>
      <w:tr w14:paraId="7D7AB2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exact"/>
        </w:trPr>
        <w:tc>
          <w:tcPr>
            <w:tcW w:w="144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</w:tcPr>
          <w:p w14:paraId="244B39E6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30-44</w:t>
            </w:r>
          </w:p>
        </w:tc>
        <w:tc>
          <w:tcPr>
            <w:tcW w:w="3445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8" w:space="0"/>
            </w:tcBorders>
          </w:tcPr>
          <w:p w14:paraId="74F8E1E7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1000 mg</w:t>
            </w:r>
          </w:p>
        </w:tc>
        <w:tc>
          <w:tcPr>
            <w:tcW w:w="4136" w:type="dxa"/>
            <w:vMerge w:val="continue"/>
            <w:tcBorders>
              <w:left w:val="single" w:color="000000" w:sz="8" w:space="0"/>
              <w:bottom w:val="single" w:color="000000" w:sz="10" w:space="0"/>
              <w:right w:val="single" w:color="000000" w:sz="10" w:space="0"/>
            </w:tcBorders>
          </w:tcPr>
          <w:p w14:paraId="0AFF4159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14:paraId="7A83D8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exact"/>
        </w:trPr>
        <w:tc>
          <w:tcPr>
            <w:tcW w:w="1440" w:type="dxa"/>
            <w:tcBorders>
              <w:top w:val="single" w:color="000000" w:sz="10" w:space="0"/>
              <w:left w:val="single" w:color="000000" w:sz="10" w:space="0"/>
              <w:bottom w:val="single" w:color="000000" w:sz="8" w:space="0"/>
              <w:right w:val="single" w:color="000000" w:sz="10" w:space="0"/>
            </w:tcBorders>
          </w:tcPr>
          <w:p w14:paraId="671E90B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&lt;30</w:t>
            </w:r>
          </w:p>
        </w:tc>
        <w:tc>
          <w:tcPr>
            <w:tcW w:w="3445" w:type="dxa"/>
            <w:tcBorders>
              <w:top w:val="single" w:color="000000" w:sz="10" w:space="0"/>
              <w:left w:val="single" w:color="000000" w:sz="10" w:space="0"/>
              <w:bottom w:val="single" w:color="000000" w:sz="8" w:space="0"/>
              <w:right w:val="single" w:color="000000" w:sz="8" w:space="0"/>
            </w:tcBorders>
          </w:tcPr>
          <w:p w14:paraId="1AA1DF7F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-</w:t>
            </w:r>
          </w:p>
        </w:tc>
        <w:tc>
          <w:tcPr>
            <w:tcW w:w="4136" w:type="dxa"/>
            <w:tcBorders>
              <w:top w:val="single" w:color="000000" w:sz="10" w:space="0"/>
              <w:left w:val="single" w:color="000000" w:sz="8" w:space="0"/>
              <w:bottom w:val="single" w:color="000000" w:sz="8" w:space="0"/>
              <w:right w:val="single" w:color="000000" w:sz="10" w:space="0"/>
            </w:tcBorders>
          </w:tcPr>
          <w:p w14:paraId="4F07D504">
            <w:pPr>
              <w:rPr>
                <w:rFonts w:ascii="Microsoft Sans Serif" w:hAnsi="Microsoft Sans Serif" w:cs="Microsoft Sans Serif"/>
                <w:sz w:val="20"/>
                <w:szCs w:val="20"/>
                <w:lang w:val="sr-Cyrl-RS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lang w:val="sr-Cyrl-RS"/>
              </w:rPr>
              <w:t>Metformin je kontraindikovan.</w:t>
            </w:r>
          </w:p>
        </w:tc>
      </w:tr>
    </w:tbl>
    <w:p w14:paraId="41BCA595">
      <w:pPr>
        <w:rPr>
          <w:rFonts w:ascii="Microsoft Sans Serif" w:hAnsi="Microsoft Sans Serif" w:cs="Microsoft Sans Serif"/>
          <w:i/>
          <w:sz w:val="20"/>
          <w:szCs w:val="20"/>
          <w:lang w:val="sr-Cyrl-RS"/>
        </w:rPr>
      </w:pPr>
    </w:p>
    <w:p w14:paraId="2F03CC74">
      <w:pPr>
        <w:rPr>
          <w:rFonts w:ascii="Microsoft Sans Serif" w:hAnsi="Microsoft Sans Serif" w:cs="Microsoft Sans Serif"/>
          <w:i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Pedijatrijska populacija</w:t>
      </w:r>
    </w:p>
    <w:p w14:paraId="3FC7494B">
      <w:pPr>
        <w:rPr>
          <w:rFonts w:ascii="Microsoft Sans Serif" w:hAnsi="Microsoft Sans Serif" w:cs="Microsoft Sans Serif"/>
          <w:i/>
          <w:sz w:val="20"/>
          <w:szCs w:val="20"/>
          <w:lang w:val="sr-Cyrl-RS"/>
        </w:rPr>
      </w:pPr>
    </w:p>
    <w:p w14:paraId="5B53A334">
      <w:pPr>
        <w:rPr>
          <w:rFonts w:ascii="Microsoft Sans Serif" w:hAnsi="Microsoft Sans Serif" w:cs="Microsoft Sans Serif"/>
          <w:b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Monoterapija i kombinacija sa insulinom</w:t>
      </w:r>
    </w:p>
    <w:p w14:paraId="32A8DD61">
      <w:pPr>
        <w:pStyle w:val="18"/>
        <w:numPr>
          <w:ilvl w:val="0"/>
          <w:numId w:val="2"/>
        </w:numPr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Alkaformin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se može 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enjivati kod 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ece </w:t>
      </w:r>
      <w:r>
        <w:rPr>
          <w:rFonts w:ascii="Microsoft Sans Serif" w:hAnsi="Microsoft Sans Serif" w:cs="Microsoft Sans Serif"/>
          <w:sz w:val="20"/>
          <w:szCs w:val="20"/>
        </w:rPr>
        <w:t xml:space="preserve">starije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od 10 godina i kod adolescenata.</w:t>
      </w:r>
    </w:p>
    <w:p w14:paraId="1341A3C3">
      <w:pPr>
        <w:pStyle w:val="18"/>
        <w:numPr>
          <w:ilvl w:val="0"/>
          <w:numId w:val="2"/>
        </w:numPr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Uobičajena početna doza je jedna tableta od 500 mg ili 850 mg metformin hidrohlorida jednom dnevno, koja se uzima tokom ili posl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 obroka.</w:t>
      </w:r>
    </w:p>
    <w:p w14:paraId="58343B4B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Posl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 10 do 15 dana dozu treba prilagoditi na osnovu izm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erenih koncentracija šećera u krvi. Postepeno povećavanje doze može pobolјšati gastrointestinalnu podnošlјivost. Maksimalna preporučena doza metformin hidrohlorida je 2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dnevno pod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elјena na 2 do 3 pojedinačne doze.</w:t>
      </w:r>
    </w:p>
    <w:p w14:paraId="66D382B6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5B4A717B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Način upotrebe</w:t>
      </w:r>
    </w:p>
    <w:p w14:paraId="51F07511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Za oralnu upotrebu.</w:t>
      </w:r>
    </w:p>
    <w:p w14:paraId="10C7F0E9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6171C50D">
      <w:pPr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4.3.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ab/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Kontraindikacije</w:t>
      </w:r>
    </w:p>
    <w:p w14:paraId="64A17C94">
      <w:pPr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22353972">
      <w:pPr>
        <w:pStyle w:val="18"/>
        <w:numPr>
          <w:ilvl w:val="0"/>
          <w:numId w:val="3"/>
        </w:numPr>
        <w:ind w:left="0" w:firstLine="0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Preosjetlјivost na metformin ili na bilo koj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u od pomoćnih supstanci navedenih u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dijelu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6.1</w:t>
      </w:r>
      <w:r>
        <w:rPr>
          <w:rFonts w:ascii="Microsoft Sans Serif" w:hAnsi="Microsoft Sans Serif" w:cs="Microsoft Sans Serif"/>
          <w:bCs/>
          <w:sz w:val="20"/>
          <w:szCs w:val="20"/>
        </w:rPr>
        <w:t>.</w:t>
      </w:r>
    </w:p>
    <w:p w14:paraId="6EE991AB">
      <w:pPr>
        <w:pStyle w:val="18"/>
        <w:numPr>
          <w:ilvl w:val="0"/>
          <w:numId w:val="3"/>
        </w:numPr>
        <w:ind w:left="0" w:firstLine="0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Bilo koji tip akutne metaboličke acidoze (kao što je laktatna acidoza, dijabetična ketoacidoza).</w:t>
      </w:r>
    </w:p>
    <w:p w14:paraId="1186435C">
      <w:pPr>
        <w:pStyle w:val="18"/>
        <w:numPr>
          <w:ilvl w:val="0"/>
          <w:numId w:val="3"/>
        </w:numPr>
        <w:ind w:left="0" w:firstLine="0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Dijabetična pre-koma.</w:t>
      </w:r>
    </w:p>
    <w:p w14:paraId="66D2EC2C">
      <w:pPr>
        <w:pStyle w:val="18"/>
        <w:numPr>
          <w:ilvl w:val="0"/>
          <w:numId w:val="3"/>
        </w:numPr>
        <w:ind w:left="0" w:firstLine="0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Teška </w:t>
      </w:r>
      <w:r>
        <w:rPr>
          <w:rFonts w:ascii="Microsoft Sans Serif" w:hAnsi="Microsoft Sans Serif" w:cs="Microsoft Sans Serif"/>
          <w:bCs/>
          <w:sz w:val="20"/>
          <w:szCs w:val="20"/>
        </w:rPr>
        <w:t>bubrežna insuficijencija (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GFR </w:t>
      </w:r>
      <w:r>
        <w:rPr>
          <w:rFonts w:ascii="Microsoft Sans Serif" w:hAnsi="Microsoft Sans Serif" w:cs="Microsoft Sans Serif"/>
          <w:bCs/>
          <w:sz w:val="20"/>
          <w:szCs w:val="20"/>
        </w:rPr>
        <w:t>&lt; 30 ml/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min</w:t>
      </w:r>
      <w:r>
        <w:rPr>
          <w:rFonts w:ascii="Microsoft Sans Serif" w:hAnsi="Microsoft Sans Serif" w:cs="Microsoft Sans Serif"/>
          <w:bCs/>
          <w:sz w:val="20"/>
          <w:szCs w:val="20"/>
        </w:rPr>
        <w:t>).</w:t>
      </w:r>
    </w:p>
    <w:p w14:paraId="44BB4653">
      <w:pPr>
        <w:pStyle w:val="18"/>
        <w:numPr>
          <w:ilvl w:val="0"/>
          <w:numId w:val="3"/>
        </w:numPr>
        <w:ind w:left="0" w:firstLine="0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Akutna stanja sa potencijalom da promjene funkciju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bubrega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kao što su: dehidratacija, teška infekcija, šok.</w:t>
      </w:r>
    </w:p>
    <w:p w14:paraId="5F85BF08">
      <w:pPr>
        <w:pStyle w:val="18"/>
        <w:numPr>
          <w:ilvl w:val="0"/>
          <w:numId w:val="4"/>
        </w:numPr>
        <w:ind w:left="0" w:firstLine="0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B</w:t>
      </w:r>
      <w:r>
        <w:rPr>
          <w:rFonts w:ascii="Microsoft Sans Serif" w:hAnsi="Microsoft Sans Serif" w:cs="Microsoft Sans Serif"/>
          <w:bCs/>
          <w:sz w:val="20"/>
          <w:szCs w:val="20"/>
        </w:rPr>
        <w:t>olest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i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koje mogu da izazovu hipoksiju tkiva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(naročito akutne bolesti ili pogoršanja hroničnih bolesti)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kao što su: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dekompenzovana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srčana insuficijencija, respiratorna insuficijencija, nedavni infarkt miokarda, šok.</w:t>
      </w:r>
    </w:p>
    <w:p w14:paraId="28FE90CA">
      <w:pPr>
        <w:pStyle w:val="18"/>
        <w:numPr>
          <w:ilvl w:val="0"/>
          <w:numId w:val="4"/>
        </w:numPr>
        <w:ind w:left="0" w:firstLine="0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Insuficijencija jetre, akutna intoksikacija alkoholom, alkoholizam.</w:t>
      </w:r>
    </w:p>
    <w:p w14:paraId="49056B07">
      <w:pPr>
        <w:pStyle w:val="18"/>
        <w:ind w:left="0"/>
        <w:rPr>
          <w:rFonts w:ascii="Microsoft Sans Serif" w:hAnsi="Microsoft Sans Serif" w:cs="Microsoft Sans Serif"/>
          <w:bCs/>
          <w:sz w:val="20"/>
          <w:szCs w:val="20"/>
        </w:rPr>
      </w:pPr>
    </w:p>
    <w:p w14:paraId="6FE7B69E">
      <w:pP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  <w:t xml:space="preserve">4.4.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ab/>
      </w:r>
      <w: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  <w:t>Posebna upozorenja i m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  <w:t>ere opreza pri upotrebi lijeka</w:t>
      </w:r>
    </w:p>
    <w:p w14:paraId="2755CBC1">
      <w:pP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</w:pPr>
    </w:p>
    <w:p w14:paraId="21766470">
      <w:pPr>
        <w:rPr>
          <w:rFonts w:ascii="Microsoft Sans Serif" w:hAnsi="Microsoft Sans Serif" w:cs="Microsoft Sans Serif"/>
          <w:bCs/>
          <w:sz w:val="20"/>
          <w:szCs w:val="20"/>
          <w:u w:val="single"/>
          <w:lang w:val="ru-RU"/>
        </w:rPr>
      </w:pPr>
      <w:r>
        <w:rPr>
          <w:rFonts w:ascii="Microsoft Sans Serif" w:hAnsi="Microsoft Sans Serif" w:cs="Microsoft Sans Serif"/>
          <w:bCs/>
          <w:sz w:val="20"/>
          <w:szCs w:val="20"/>
          <w:u w:val="single"/>
          <w:lang w:val="ru-RU"/>
        </w:rPr>
        <w:t>Laktatna acidoza</w:t>
      </w:r>
    </w:p>
    <w:p w14:paraId="55F7CE70">
      <w:pPr>
        <w:rPr>
          <w:rFonts w:ascii="Microsoft Sans Serif" w:hAnsi="Microsoft Sans Serif" w:cs="Microsoft Sans Serif"/>
          <w:bCs/>
          <w:sz w:val="20"/>
          <w:szCs w:val="20"/>
          <w:lang w:val="ru-RU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ru-RU"/>
        </w:rPr>
        <w:t>Laktatna acidoza je veoma r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sz w:val="20"/>
          <w:szCs w:val="20"/>
          <w:lang w:val="ru-RU"/>
        </w:rPr>
        <w:t xml:space="preserve">etka ali ozbilјna metabolička komplikacija, najčešće se javlјa kod akutnog pogoršanja funkcije bubrega ili kardiorespiratorne bolesti ili sepse. Akumulacija metformina nastaje kod akutnog pogoršanja funkcije bubrega i povećava rizik od pojave laktatne acidoze. </w:t>
      </w:r>
    </w:p>
    <w:p w14:paraId="1EB78FE8">
      <w:pPr>
        <w:rPr>
          <w:rFonts w:ascii="Microsoft Sans Serif" w:hAnsi="Microsoft Sans Serif" w:cs="Microsoft Sans Serif"/>
          <w:bCs/>
          <w:sz w:val="20"/>
          <w:szCs w:val="20"/>
          <w:lang w:val="ru-RU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ru-RU"/>
        </w:rPr>
        <w:t xml:space="preserve">U slučaju dehidratacije (teška dijareja ili povraćanje, temperatura ili smanjen unos tečnosti), preporučuje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se </w:t>
      </w:r>
      <w:r>
        <w:rPr>
          <w:rFonts w:ascii="Microsoft Sans Serif" w:hAnsi="Microsoft Sans Serif" w:cs="Microsoft Sans Serif"/>
          <w:bCs/>
          <w:sz w:val="20"/>
          <w:szCs w:val="20"/>
          <w:lang w:val="ru-RU"/>
        </w:rPr>
        <w:t xml:space="preserve">da se privremeno prekine terapija metforminom i konsultuje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ljekar</w:t>
      </w:r>
      <w:r>
        <w:rPr>
          <w:rFonts w:ascii="Microsoft Sans Serif" w:hAnsi="Microsoft Sans Serif" w:cs="Microsoft Sans Serif"/>
          <w:bCs/>
          <w:sz w:val="20"/>
          <w:szCs w:val="20"/>
          <w:lang w:val="ru-RU"/>
        </w:rPr>
        <w:t>.</w:t>
      </w:r>
    </w:p>
    <w:p w14:paraId="03187C5F">
      <w:pPr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Lijekov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koji mogu akutno da oštete funkciju bubrega (kao što su antihipertenzivi, diuretici i NSAIL) treba uvoditi sa oprezom kod pacijenata koji su na terapiji metforminom. Ostali faktori rizika za pojavu laktatne acidoze su prekom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eran unos alkohola, hepatična insuficijencija, neadekvatno kontrolisani dijabetes, ketoza, produženo gladovanje i druga stanja udružena</w:t>
      </w:r>
      <w:r>
        <w:rPr>
          <w:rFonts w:ascii="Microsoft Sans Serif" w:hAnsi="Microsoft Sans Serif" w:cs="Microsoft Sans Serif"/>
          <w:bCs/>
          <w:sz w:val="20"/>
          <w:szCs w:val="20"/>
          <w:lang w:val="hr-BA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sa hipoksijom, kao i istovremena upotreba lijekova koji mogu prouzrokovati laktatnu acidozu (pogledati dio 4.3 i 4.5).</w:t>
      </w:r>
    </w:p>
    <w:p w14:paraId="5D67E7C1">
      <w:pPr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ru-RU"/>
        </w:rPr>
        <w:t>Pacijenti i/ili n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Cs/>
          <w:sz w:val="20"/>
          <w:szCs w:val="20"/>
          <w:lang w:val="ru-RU"/>
        </w:rPr>
        <w:t xml:space="preserve">egovatelјi treba da budu upoznati sa rizikom od pojave laktatne acidoze. Laktatnu acidozu karakterišu acidozna dispneja, abdominalni bol, grčevi u mišićima, astenija i hipotermija praćena komom. U slučaju sumnje na ove simptome, pacijenti treba da prekinu terapiju metforminom i da odmah potraže medicinsku pomoć. Dijagnostički laboratorijski nalazi su smanjen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pH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krvi (</w:t>
      </w:r>
      <w:r>
        <w:rPr>
          <w:rFonts w:ascii="Microsoft Sans Serif" w:hAnsi="Microsoft Sans Serif" w:cs="Microsoft Sans Serif"/>
          <w:bCs/>
          <w:sz w:val="20"/>
          <w:szCs w:val="20"/>
        </w:rPr>
        <w:t>&lt;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7</w:t>
      </w:r>
      <w:r>
        <w:rPr>
          <w:rFonts w:ascii="Microsoft Sans Serif" w:hAnsi="Microsoft Sans Serif" w:cs="Microsoft Sans Serif"/>
          <w:bCs/>
          <w:sz w:val="20"/>
          <w:szCs w:val="20"/>
        </w:rPr>
        <w:t>,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35), povećana koncentracija laktata u plazmi (</w:t>
      </w:r>
      <w:r>
        <w:rPr>
          <w:rFonts w:ascii="Microsoft Sans Serif" w:hAnsi="Microsoft Sans Serif" w:cs="Microsoft Sans Serif"/>
          <w:bCs/>
          <w:sz w:val="20"/>
          <w:szCs w:val="20"/>
        </w:rPr>
        <w:t>&gt;5 mmol/l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) i povećan anjonski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„gap“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i odnos laktati/piruvati.</w:t>
      </w:r>
    </w:p>
    <w:p w14:paraId="7632CD80">
      <w:pPr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</w:p>
    <w:p w14:paraId="1602980C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r-Latn-RS"/>
        </w:rPr>
        <w:t>Bubrežna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 funkcija</w:t>
      </w:r>
    </w:p>
    <w:p w14:paraId="7C8FB13D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GFR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treba utvrditi pr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 započinjanja terapije i redovno proveravati kasnije, pogledati dio 4.2. Metformin je kontraidikovan kod pacijenata sa </w:t>
      </w:r>
      <w:r>
        <w:rPr>
          <w:rFonts w:ascii="Microsoft Sans Serif" w:hAnsi="Microsoft Sans Serif" w:cs="Microsoft Sans Serif"/>
          <w:sz w:val="20"/>
          <w:szCs w:val="20"/>
        </w:rPr>
        <w:t>GFR&lt;30 ml/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min i treba se privremeno isklјučiti u slučaju pojave stanja koja 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enjaju funkciju bubrega, pogledati dio 4.3. </w:t>
      </w:r>
    </w:p>
    <w:p w14:paraId="2F8F69CC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2BDA7BAC">
      <w:pPr>
        <w:rPr>
          <w:rFonts w:ascii="Microsoft Sans Serif" w:hAnsi="Microsoft Sans Serif" w:cs="Microsoft Sans Serif"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Srčana funkcija</w:t>
      </w:r>
    </w:p>
    <w:p w14:paraId="77C730AD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Pacijenti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sa</w:t>
      </w:r>
      <w:r>
        <w:rPr>
          <w:rFonts w:ascii="Microsoft Sans Serif" w:hAnsi="Microsoft Sans Serif" w:cs="Microsoft Sans Serif"/>
          <w:sz w:val="20"/>
          <w:szCs w:val="20"/>
        </w:rPr>
        <w:t xml:space="preserve"> srčan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om</w:t>
      </w:r>
      <w:r>
        <w:rPr>
          <w:rFonts w:ascii="Microsoft Sans Serif" w:hAnsi="Microsoft Sans Serif" w:cs="Microsoft Sans Serif"/>
          <w:sz w:val="20"/>
          <w:szCs w:val="20"/>
        </w:rPr>
        <w:t xml:space="preserve"> insuficijencij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om</w:t>
      </w:r>
      <w:r>
        <w:rPr>
          <w:rFonts w:ascii="Microsoft Sans Serif" w:hAnsi="Microsoft Sans Serif" w:cs="Microsoft Sans Serif"/>
          <w:sz w:val="20"/>
          <w:szCs w:val="20"/>
        </w:rPr>
        <w:t xml:space="preserve"> imaju povećan rizik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od nastanka </w:t>
      </w:r>
      <w:r>
        <w:rPr>
          <w:rFonts w:ascii="Microsoft Sans Serif" w:hAnsi="Microsoft Sans Serif" w:cs="Microsoft Sans Serif"/>
          <w:sz w:val="20"/>
          <w:szCs w:val="20"/>
        </w:rPr>
        <w:t>hipoksije i bubrežne insuficijencije.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Kod pacijenata sa stabilnom hroničnom srčanom insuficijencijom, moguća je primjena metformina uz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redovnu kontrolu srčane i bubrežne funkcije.</w:t>
      </w:r>
    </w:p>
    <w:p w14:paraId="2FA349B8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Metformin je kontraindikovan kod pacijenata sa akutnom i nestabilnom srčanom insuficijencijom (pogledati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dio 4.3).</w:t>
      </w:r>
    </w:p>
    <w:p w14:paraId="264FEED6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638A5D29">
      <w:pPr>
        <w:rPr>
          <w:rFonts w:ascii="Microsoft Sans Serif" w:hAnsi="Microsoft Sans Serif" w:cs="Microsoft Sans Serif"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Primjena kontrastnih sredstava sa jodom</w:t>
      </w:r>
    </w:p>
    <w:p w14:paraId="4E24CA6E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Intravaskularna primjena kontrastnih sredstava sa jodom može dovesti do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nefropatije prouzorkovane kontrastom, dovodeći tako do nagomilavanja metformina i povećanog rizika od razvoja laktatne acidoze</w:t>
      </w:r>
      <w:r>
        <w:rPr>
          <w:rFonts w:ascii="Microsoft Sans Serif" w:hAnsi="Microsoft Sans Serif" w:cs="Microsoft Sans Serif"/>
          <w:sz w:val="20"/>
          <w:szCs w:val="20"/>
        </w:rPr>
        <w:t>.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P</w:t>
      </w:r>
      <w:r>
        <w:rPr>
          <w:rFonts w:ascii="Microsoft Sans Serif" w:hAnsi="Microsoft Sans Serif" w:cs="Microsoft Sans Serif"/>
          <w:sz w:val="20"/>
          <w:szCs w:val="20"/>
        </w:rPr>
        <w:t>rimjen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u</w:t>
      </w:r>
      <w:r>
        <w:rPr>
          <w:rFonts w:ascii="Microsoft Sans Serif" w:hAnsi="Microsoft Sans Serif" w:cs="Microsoft Sans Serif"/>
          <w:sz w:val="20"/>
          <w:szCs w:val="20"/>
        </w:rPr>
        <w:t xml:space="preserve"> metformina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treba</w:t>
      </w:r>
      <w:r>
        <w:rPr>
          <w:rFonts w:ascii="Microsoft Sans Serif" w:hAnsi="Microsoft Sans Serif" w:cs="Microsoft Sans Serif"/>
          <w:sz w:val="20"/>
          <w:szCs w:val="20"/>
        </w:rPr>
        <w:t xml:space="preserve"> prekinuti prije ili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za vr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eme</w:t>
      </w:r>
      <w:r>
        <w:rPr>
          <w:rFonts w:ascii="Microsoft Sans Serif" w:hAnsi="Microsoft Sans Serif" w:cs="Microsoft Sans Serif"/>
          <w:sz w:val="20"/>
          <w:szCs w:val="20"/>
        </w:rPr>
        <w:t xml:space="preserve"> ispitivanja i ne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treba</w:t>
      </w:r>
      <w:r>
        <w:rPr>
          <w:rFonts w:ascii="Microsoft Sans Serif" w:hAnsi="Microsoft Sans Serif" w:cs="Microsoft Sans Serif"/>
          <w:sz w:val="20"/>
          <w:szCs w:val="20"/>
        </w:rPr>
        <w:t xml:space="preserve"> ponovo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započeti</w:t>
      </w:r>
      <w:r>
        <w:rPr>
          <w:rFonts w:ascii="Microsoft Sans Serif" w:hAnsi="Microsoft Sans Serif" w:cs="Microsoft Sans Serif"/>
          <w:sz w:val="20"/>
          <w:szCs w:val="20"/>
        </w:rPr>
        <w:t xml:space="preserve"> najmanje 48 sati nakon ispitivanja pod uslovom da je funkcija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bubrega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ponovo</w:t>
      </w:r>
      <w:r>
        <w:rPr>
          <w:rFonts w:ascii="Microsoft Sans Serif" w:hAnsi="Microsoft Sans Serif" w:cs="Microsoft Sans Serif"/>
          <w:sz w:val="20"/>
          <w:szCs w:val="20"/>
        </w:rPr>
        <w:t xml:space="preserve"> procjenjena 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utvrđeno </w:t>
      </w:r>
      <w:r>
        <w:rPr>
          <w:rFonts w:ascii="Microsoft Sans Serif" w:hAnsi="Microsoft Sans Serif" w:cs="Microsoft Sans Serif"/>
          <w:sz w:val="20"/>
          <w:szCs w:val="20"/>
        </w:rPr>
        <w:t>da je stabilna, pogledati dijelove 4.2 i 4.5.</w:t>
      </w:r>
    </w:p>
    <w:p w14:paraId="7476C44F">
      <w:pPr>
        <w:rPr>
          <w:rFonts w:ascii="Microsoft Sans Serif" w:hAnsi="Microsoft Sans Serif" w:cs="Microsoft Sans Serif"/>
          <w:sz w:val="20"/>
          <w:szCs w:val="20"/>
        </w:rPr>
      </w:pPr>
    </w:p>
    <w:p w14:paraId="0B560F8D">
      <w:pPr>
        <w:rPr>
          <w:rFonts w:ascii="Microsoft Sans Serif" w:hAnsi="Microsoft Sans Serif" w:cs="Microsoft Sans Serif"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Operativni zahvati</w:t>
      </w:r>
    </w:p>
    <w:p w14:paraId="7F9F49A5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Metformin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se mora</w:t>
      </w:r>
      <w:r>
        <w:rPr>
          <w:rFonts w:ascii="Microsoft Sans Serif" w:hAnsi="Microsoft Sans Serif" w:cs="Microsoft Sans Serif"/>
          <w:sz w:val="20"/>
          <w:szCs w:val="20"/>
        </w:rPr>
        <w:t xml:space="preserve"> isklјučiti iz upotrebe za vrijeme operacije koja podrazumjeva upotrebu opšte, spinalne 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epiduralne anestezije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Terapiju ne treba nastavlјati </w:t>
      </w:r>
      <w:r>
        <w:rPr>
          <w:rFonts w:ascii="Microsoft Sans Serif" w:hAnsi="Microsoft Sans Serif" w:cs="Microsoft Sans Serif"/>
          <w:sz w:val="20"/>
          <w:szCs w:val="20"/>
        </w:rPr>
        <w:t>ranije od 48 sati poslije operacije ili do potpunog uspostavlјanja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unosa hrane oralnim putem pod uslovom da je funkcija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bubrega </w:t>
      </w:r>
      <w:r>
        <w:rPr>
          <w:rFonts w:ascii="Microsoft Sans Serif" w:hAnsi="Microsoft Sans Serif" w:cs="Microsoft Sans Serif"/>
          <w:sz w:val="20"/>
          <w:szCs w:val="20"/>
        </w:rPr>
        <w:t xml:space="preserve">procjenjena 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utvrđeno </w:t>
      </w:r>
      <w:r>
        <w:rPr>
          <w:rFonts w:ascii="Microsoft Sans Serif" w:hAnsi="Microsoft Sans Serif" w:cs="Microsoft Sans Serif"/>
          <w:sz w:val="20"/>
          <w:szCs w:val="20"/>
        </w:rPr>
        <w:t>da je stabilna.</w:t>
      </w:r>
    </w:p>
    <w:p w14:paraId="1CD92C57">
      <w:pPr>
        <w:rPr>
          <w:rFonts w:ascii="Microsoft Sans Serif" w:hAnsi="Microsoft Sans Serif" w:cs="Microsoft Sans Serif"/>
          <w:sz w:val="20"/>
          <w:szCs w:val="20"/>
        </w:rPr>
      </w:pPr>
    </w:p>
    <w:p w14:paraId="5286C093">
      <w:pPr>
        <w:rPr>
          <w:rFonts w:ascii="Microsoft Sans Serif" w:hAnsi="Microsoft Sans Serif" w:cs="Microsoft Sans Serif"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Pedijatrijska populacija</w:t>
      </w:r>
    </w:p>
    <w:p w14:paraId="16969F5F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Dijagnoza dijabetes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melitusa</w:t>
      </w:r>
      <w:r>
        <w:rPr>
          <w:rFonts w:ascii="Microsoft Sans Serif" w:hAnsi="Microsoft Sans Serif" w:cs="Microsoft Sans Serif"/>
          <w:sz w:val="20"/>
          <w:szCs w:val="20"/>
        </w:rPr>
        <w:t xml:space="preserve"> tip 2 mora biti potvrđena prije početka terapije metforminom.</w:t>
      </w:r>
    </w:p>
    <w:p w14:paraId="2B6CBC6E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Tokom kontrolisane kliničke studije od jednogodišnjeg trajanja nije ustanovlјen uticaj metformina 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rast i pubertet, ali nisu dostupni dugoročni podaci o ovim specificnim parametrima. Prema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tome,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preporučlјivo</w:t>
      </w:r>
      <w:r>
        <w:rPr>
          <w:rFonts w:ascii="Microsoft Sans Serif" w:hAnsi="Microsoft Sans Serif" w:cs="Microsoft Sans Serif"/>
          <w:sz w:val="20"/>
          <w:szCs w:val="20"/>
        </w:rPr>
        <w:t xml:space="preserve"> je pažlјivo pratiti efekat metformina na ove parametre kod djece koja su na terapiji metforminom, posebno kod djece koja su pred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pubertetom.</w:t>
      </w:r>
    </w:p>
    <w:p w14:paraId="0585954A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</w:p>
    <w:p w14:paraId="70BCFCBD">
      <w:pPr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Djeca uzr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b/>
          <w:sz w:val="20"/>
          <w:szCs w:val="20"/>
        </w:rPr>
        <w:t>sta 10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 do</w:t>
      </w:r>
      <w:r>
        <w:rPr>
          <w:rFonts w:ascii="Microsoft Sans Serif" w:hAnsi="Microsoft Sans Serif" w:cs="Microsoft Sans Serif"/>
          <w:b/>
          <w:sz w:val="20"/>
          <w:szCs w:val="20"/>
        </w:rPr>
        <w:t xml:space="preserve"> 12 godina</w:t>
      </w:r>
    </w:p>
    <w:p w14:paraId="1D38DC18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S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amo</w:t>
      </w:r>
      <w:r>
        <w:rPr>
          <w:rFonts w:ascii="Microsoft Sans Serif" w:hAnsi="Microsoft Sans Serif" w:cs="Microsoft Sans Serif"/>
          <w:sz w:val="20"/>
          <w:szCs w:val="20"/>
        </w:rPr>
        <w:t xml:space="preserve"> 15-oro djece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uzrasta </w:t>
      </w:r>
      <w:r>
        <w:rPr>
          <w:rFonts w:ascii="Microsoft Sans Serif" w:hAnsi="Microsoft Sans Serif" w:cs="Microsoft Sans Serif"/>
          <w:sz w:val="20"/>
          <w:szCs w:val="20"/>
        </w:rPr>
        <w:t>između 10 i 12 godina je bilo uklјučeno u kontrolisane kliničke studije koje su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sprovedene kod djece i adolescenata. Iako se efikasnost i bezbjednost primjene metformina kod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ove </w:t>
      </w:r>
      <w:r>
        <w:rPr>
          <w:rFonts w:ascii="Microsoft Sans Serif" w:hAnsi="Microsoft Sans Serif" w:cs="Microsoft Sans Serif"/>
          <w:sz w:val="20"/>
          <w:szCs w:val="20"/>
        </w:rPr>
        <w:t xml:space="preserve">djece nije razlikovala od efikasnosti i bezbjednosti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ene </w:t>
      </w:r>
      <w:r>
        <w:rPr>
          <w:rFonts w:ascii="Microsoft Sans Serif" w:hAnsi="Microsoft Sans Serif" w:cs="Microsoft Sans Serif"/>
          <w:sz w:val="20"/>
          <w:szCs w:val="20"/>
        </w:rPr>
        <w:t xml:space="preserve">kod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starije </w:t>
      </w:r>
      <w:r>
        <w:rPr>
          <w:rFonts w:ascii="Microsoft Sans Serif" w:hAnsi="Microsoft Sans Serif" w:cs="Microsoft Sans Serif"/>
          <w:sz w:val="20"/>
          <w:szCs w:val="20"/>
        </w:rPr>
        <w:t xml:space="preserve">djece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 adolescenata</w:t>
      </w:r>
      <w:r>
        <w:rPr>
          <w:rFonts w:ascii="Microsoft Sans Serif" w:hAnsi="Microsoft Sans Serif" w:cs="Microsoft Sans Serif"/>
          <w:sz w:val="20"/>
          <w:szCs w:val="20"/>
        </w:rPr>
        <w:t>, posebna pažnja se preporučuje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kada se propisuje metformin djeci uzrasta između 10 i 12 godina.</w:t>
      </w:r>
    </w:p>
    <w:p w14:paraId="29603AE5">
      <w:pPr>
        <w:rPr>
          <w:rFonts w:ascii="Microsoft Sans Serif" w:hAnsi="Microsoft Sans Serif" w:cs="Microsoft Sans Serif"/>
          <w:sz w:val="20"/>
          <w:szCs w:val="20"/>
        </w:rPr>
      </w:pPr>
    </w:p>
    <w:p w14:paraId="6BC0232E">
      <w:pPr>
        <w:rPr>
          <w:rFonts w:ascii="Microsoft Sans Serif" w:hAnsi="Microsoft Sans Serif" w:cs="Microsoft Sans Serif"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Ostale mjere opreza</w:t>
      </w:r>
    </w:p>
    <w:p w14:paraId="45127A32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Svi pacijenti treba da nastave sa svoj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</w:t>
      </w:r>
      <w:r>
        <w:rPr>
          <w:rFonts w:ascii="Microsoft Sans Serif" w:hAnsi="Microsoft Sans Serif" w:cs="Microsoft Sans Serif"/>
          <w:sz w:val="20"/>
          <w:szCs w:val="20"/>
        </w:rPr>
        <w:t xml:space="preserve">m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režimom ishrane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sa ravnom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ernim rasporedom</w:t>
      </w:r>
      <w:r>
        <w:rPr>
          <w:rFonts w:ascii="Microsoft Sans Serif" w:hAnsi="Microsoft Sans Serif" w:cs="Microsoft Sans Serif"/>
          <w:sz w:val="20"/>
          <w:szCs w:val="20"/>
        </w:rPr>
        <w:t xml:space="preserve"> unos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sz w:val="20"/>
          <w:szCs w:val="20"/>
        </w:rPr>
        <w:t xml:space="preserve"> uglјenih hidrata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tokom dana. Gojazni pacijenti treba da nastave sa svojom niskokalorijskom dijetom.</w:t>
      </w:r>
    </w:p>
    <w:p w14:paraId="70E6ABF3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Dijabetes treba redovno pratiti uobičajenim laboratorijskim testovima.</w:t>
      </w:r>
    </w:p>
    <w:p w14:paraId="5C5F76AC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Metformin sam po sebi ne izaziva hipoglikemiju, međutim treba biti oprezan kod kombinacije sa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insulinom ili drugim oralnim antidijebeticima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(</w:t>
      </w:r>
      <w:r>
        <w:rPr>
          <w:rFonts w:ascii="Microsoft Sans Serif" w:hAnsi="Microsoft Sans Serif" w:cs="Microsoft Sans Serif"/>
          <w:sz w:val="20"/>
          <w:szCs w:val="20"/>
        </w:rPr>
        <w:t>kao što su derivati sulfoniluree ili meglitinidi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).</w:t>
      </w:r>
    </w:p>
    <w:p w14:paraId="555885D1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40127AE4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mk-MK"/>
        </w:rPr>
        <w:t xml:space="preserve">Posebna upozorenja 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o pomoćnim supstancima</w:t>
      </w:r>
    </w:p>
    <w:p w14:paraId="2001601C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</w:rPr>
        <w:t>Alkaformin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sadrži laktozu. Pacijenti sa r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etkim nasl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ednim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 xml:space="preserve">poremećajem nepodnošenja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galaktoz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, nedostatkom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„</w:t>
      </w:r>
      <w:r>
        <w:rPr>
          <w:rFonts w:ascii="Microsoft Sans Serif" w:hAnsi="Microsoft Sans Serif" w:cs="Microsoft Sans Serif"/>
          <w:i/>
          <w:sz w:val="20"/>
          <w:szCs w:val="20"/>
          <w:lang w:val="mk-MK"/>
        </w:rPr>
        <w:t>Lapp laktaze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“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ili glukozn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-galaktoz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malapsorpcijom ne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bi trebali uzimati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ovaj lijek.</w:t>
      </w:r>
    </w:p>
    <w:p w14:paraId="3B1AF65C">
      <w:pPr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</w:p>
    <w:p w14:paraId="1469FE91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4157BDAB">
      <w:pP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  <w:t xml:space="preserve">4.5.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ab/>
      </w:r>
      <w: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  <w:t>Interakcije sa drugim lijekovima i drug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>i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  <w:t xml:space="preserve">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>oblici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  <w:t xml:space="preserve"> interakcija</w:t>
      </w:r>
    </w:p>
    <w:p w14:paraId="5E141D6A">
      <w:pP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</w:pPr>
    </w:p>
    <w:p w14:paraId="44B9529C">
      <w:pPr>
        <w:rPr>
          <w:rFonts w:ascii="Microsoft Sans Serif" w:hAnsi="Microsoft Sans Serif" w:cs="Microsoft Sans Serif"/>
          <w:bCs/>
          <w:sz w:val="20"/>
          <w:szCs w:val="20"/>
          <w:u w:val="single"/>
          <w:lang w:val="ru-RU"/>
        </w:rPr>
      </w:pPr>
      <w:r>
        <w:rPr>
          <w:rFonts w:ascii="Microsoft Sans Serif" w:hAnsi="Microsoft Sans Serif" w:cs="Microsoft Sans Serif"/>
          <w:bCs/>
          <w:sz w:val="20"/>
          <w:szCs w:val="20"/>
          <w:u w:val="single"/>
          <w:lang w:val="ru-RU"/>
        </w:rPr>
        <w:t>Ne preporučuje se istovremena upotreba</w:t>
      </w:r>
    </w:p>
    <w:p w14:paraId="14A3021E">
      <w:pPr>
        <w:rPr>
          <w:rFonts w:ascii="Microsoft Sans Serif" w:hAnsi="Microsoft Sans Serif" w:cs="Microsoft Sans Serif"/>
          <w:bCs/>
          <w:sz w:val="20"/>
          <w:szCs w:val="20"/>
          <w:u w:val="single"/>
          <w:lang w:val="ru-RU"/>
        </w:rPr>
      </w:pPr>
    </w:p>
    <w:p w14:paraId="4C94EB66">
      <w:pPr>
        <w:rPr>
          <w:rFonts w:ascii="Microsoft Sans Serif" w:hAnsi="Microsoft Sans Serif" w:cs="Microsoft Sans Serif"/>
          <w:bCs/>
          <w:i/>
          <w:sz w:val="20"/>
          <w:szCs w:val="20"/>
          <w:lang w:val="ru-RU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ru-RU"/>
        </w:rPr>
        <w:t>Alkohol</w:t>
      </w:r>
    </w:p>
    <w:p w14:paraId="0817923B">
      <w:pPr>
        <w:rPr>
          <w:rFonts w:ascii="Microsoft Sans Serif" w:hAnsi="Microsoft Sans Serif" w:cs="Microsoft Sans Serif"/>
          <w:bCs/>
          <w:sz w:val="20"/>
          <w:szCs w:val="20"/>
          <w:lang w:val="ru-RU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ru-RU"/>
        </w:rPr>
        <w:t>Intoksikacija alkoholom je povezana sa povećanim rizikom od laktatne acidoze, posebno prilikom gladovanja, neuhranjenosti ili hepatične insuficijencije.</w:t>
      </w:r>
    </w:p>
    <w:p w14:paraId="0B51A3AC">
      <w:pPr>
        <w:rPr>
          <w:rFonts w:ascii="Microsoft Sans Serif" w:hAnsi="Microsoft Sans Serif" w:cs="Microsoft Sans Serif"/>
          <w:bCs/>
          <w:sz w:val="20"/>
          <w:szCs w:val="20"/>
          <w:lang w:val="ru-RU"/>
        </w:rPr>
      </w:pPr>
    </w:p>
    <w:p w14:paraId="5600C6D7">
      <w:pPr>
        <w:rPr>
          <w:rFonts w:ascii="Microsoft Sans Serif" w:hAnsi="Microsoft Sans Serif" w:cs="Microsoft Sans Serif"/>
          <w:bCs/>
          <w:i/>
          <w:sz w:val="20"/>
          <w:szCs w:val="20"/>
          <w:lang w:val="ru-RU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ru-RU"/>
        </w:rPr>
        <w:t>Kontrastna sredstva koja sadrže jod</w:t>
      </w:r>
    </w:p>
    <w:p w14:paraId="76D8F946">
      <w:pPr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P</w:t>
      </w:r>
      <w:r>
        <w:rPr>
          <w:rFonts w:ascii="Microsoft Sans Serif" w:hAnsi="Microsoft Sans Serif" w:cs="Microsoft Sans Serif"/>
          <w:bCs/>
          <w:sz w:val="20"/>
          <w:szCs w:val="20"/>
        </w:rPr>
        <w:t>rimjena metformina se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mora prekinuti prije ili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za vr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eme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ispitivanja i ne smije se ponovo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započeti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najmanje 48 sati nakon ispitivanja pod uslovom da je funkcija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bubrega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ponovo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procjenjena i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utvrđeno </w:t>
      </w:r>
      <w:r>
        <w:rPr>
          <w:rFonts w:ascii="Microsoft Sans Serif" w:hAnsi="Microsoft Sans Serif" w:cs="Microsoft Sans Serif"/>
          <w:bCs/>
          <w:sz w:val="20"/>
          <w:szCs w:val="20"/>
        </w:rPr>
        <w:t>da je stabilna, pogledati dijelove 4.2 i 4.4.</w:t>
      </w:r>
    </w:p>
    <w:p w14:paraId="7CDFE418">
      <w:pPr>
        <w:rPr>
          <w:rFonts w:ascii="Microsoft Sans Serif" w:hAnsi="Microsoft Sans Serif" w:cs="Microsoft Sans Serif"/>
          <w:bCs/>
          <w:sz w:val="20"/>
          <w:szCs w:val="20"/>
        </w:rPr>
      </w:pPr>
    </w:p>
    <w:p w14:paraId="343E5BB0">
      <w:pPr>
        <w:rPr>
          <w:rFonts w:ascii="Microsoft Sans Serif" w:hAnsi="Microsoft Sans Serif" w:cs="Microsoft Sans Serif"/>
          <w:sz w:val="20"/>
          <w:szCs w:val="20"/>
          <w:u w:val="single"/>
          <w:lang w:val="en-GB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en-GB"/>
        </w:rPr>
        <w:t xml:space="preserve">Kombinacije koje zahtevaju oprez prilikom 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istovremene </w:t>
      </w:r>
      <w:r>
        <w:rPr>
          <w:rFonts w:ascii="Microsoft Sans Serif" w:hAnsi="Microsoft Sans Serif" w:cs="Microsoft Sans Serif"/>
          <w:sz w:val="20"/>
          <w:szCs w:val="20"/>
          <w:u w:val="single"/>
          <w:lang w:val="en-GB"/>
        </w:rPr>
        <w:t>upotrebe</w:t>
      </w:r>
    </w:p>
    <w:p w14:paraId="5750493A">
      <w:pPr>
        <w:rPr>
          <w:rFonts w:ascii="Microsoft Sans Serif" w:hAnsi="Microsoft Sans Serif" w:cs="Microsoft Sans Serif"/>
          <w:sz w:val="20"/>
          <w:szCs w:val="20"/>
          <w:u w:val="single"/>
          <w:lang w:val="en-GB"/>
        </w:rPr>
      </w:pPr>
    </w:p>
    <w:p w14:paraId="3E160B30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Neki lijekovi mogu negativno da utiču na funkciju bubrega što može povećati rizik od nastanka laktatne acidoze, npr. NSAIL, uklјučujući selektivne inhibitore ciklooksigenaze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II (COX)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ACE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inhibitori, antagonisti angiotenzin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II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receptora i diuretici, naročito diuretici Henleove petlјe. Kada se koriste ili se počinje sa upotrebom ovakvih lijekova u kombinaciji sa metforminom, neophodno je praćenje funkcije bubrega.</w:t>
      </w:r>
    </w:p>
    <w:p w14:paraId="6EB81776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276900B5">
      <w:pPr>
        <w:rPr>
          <w:rFonts w:ascii="Microsoft Sans Serif" w:hAnsi="Microsoft Sans Serif" w:cs="Microsoft Sans Serif"/>
          <w:sz w:val="20"/>
          <w:szCs w:val="20"/>
          <w:lang w:val="en-GB"/>
        </w:rPr>
      </w:pPr>
      <w:r>
        <w:rPr>
          <w:rFonts w:ascii="Microsoft Sans Serif" w:hAnsi="Microsoft Sans Serif" w:cs="Microsoft Sans Serif"/>
          <w:i/>
          <w:sz w:val="20"/>
          <w:szCs w:val="20"/>
          <w:lang w:val="en-GB"/>
        </w:rPr>
        <w:t>Lijekovi koji imaju intrinzičnu hiperglikemijsku aktivnost (npr. glukokortikoidi (sistemska i lokalna primjena) i simpatikomimetici).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 </w:t>
      </w:r>
    </w:p>
    <w:p w14:paraId="024CD688">
      <w:pPr>
        <w:rPr>
          <w:rFonts w:ascii="Microsoft Sans Serif" w:hAnsi="Microsoft Sans Serif" w:cs="Microsoft Sans Serif"/>
          <w:sz w:val="20"/>
          <w:szCs w:val="20"/>
          <w:lang w:val="en-GB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>Može biti p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otrebno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 češće provjeravanje koncentraciju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glukoze u krvi, naročito na početku terapije.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Ukoliko je neophodno,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 dozu metformina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treba 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>prilagoditi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 tokom terapije drugim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>lijekom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 i nakon prestanka upotrebe tog lijeka.</w:t>
      </w:r>
    </w:p>
    <w:p w14:paraId="58CECA6A">
      <w:pPr>
        <w:rPr>
          <w:rFonts w:ascii="Microsoft Sans Serif" w:hAnsi="Microsoft Sans Serif" w:cs="Microsoft Sans Serif"/>
          <w:i/>
          <w:sz w:val="20"/>
          <w:szCs w:val="20"/>
          <w:lang w:val="sr-Cyrl-RS"/>
        </w:rPr>
      </w:pPr>
    </w:p>
    <w:p w14:paraId="10382865">
      <w:pPr>
        <w:rPr>
          <w:rFonts w:ascii="Microsoft Sans Serif" w:hAnsi="Microsoft Sans Serif" w:cs="Microsoft Sans Serif"/>
          <w:i/>
          <w:sz w:val="20"/>
          <w:szCs w:val="20"/>
          <w:lang w:val="en-GB"/>
        </w:rPr>
      </w:pP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 xml:space="preserve">Organski transporteri katjona </w:t>
      </w:r>
      <w:r>
        <w:rPr>
          <w:rFonts w:ascii="Microsoft Sans Serif" w:hAnsi="Microsoft Sans Serif" w:cs="Microsoft Sans Serif"/>
          <w:i/>
          <w:sz w:val="20"/>
          <w:szCs w:val="20"/>
          <w:lang w:val="en-GB"/>
        </w:rPr>
        <w:t>(OCT)</w:t>
      </w:r>
    </w:p>
    <w:p w14:paraId="557253AD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Metformin je supstrat za oba transportera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OCT 1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OCT 2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 Ko-administracija metformina sa</w:t>
      </w:r>
    </w:p>
    <w:p w14:paraId="1E00FB67">
      <w:pPr>
        <w:pStyle w:val="18"/>
        <w:numPr>
          <w:ilvl w:val="0"/>
          <w:numId w:val="5"/>
        </w:numPr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Inhibitorima O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C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T 1 (kao što je verapamil), može smanjiti efikasnost metformina.</w:t>
      </w:r>
    </w:p>
    <w:p w14:paraId="26B952F2">
      <w:pPr>
        <w:pStyle w:val="18"/>
        <w:numPr>
          <w:ilvl w:val="0"/>
          <w:numId w:val="5"/>
        </w:numPr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Induktorima O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C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T 1 (kao što je rifampicin) može povećati gastrointestinalnu resorpciju i efikasnost metformina.</w:t>
      </w:r>
    </w:p>
    <w:p w14:paraId="2EAFCE0E">
      <w:pPr>
        <w:pStyle w:val="18"/>
        <w:numPr>
          <w:ilvl w:val="0"/>
          <w:numId w:val="5"/>
        </w:numPr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Inhibitorima O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C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T 2 (kao što su cimetidin, dolutegravir, ranolazin, trimetoprim, vandetanib, isavukonazol), može smanjiti bubrežnu eliminaciju metformina i tako dovesti do povećanja koncentracije metformina u plazmi.</w:t>
      </w:r>
    </w:p>
    <w:p w14:paraId="2980B525">
      <w:pPr>
        <w:pStyle w:val="18"/>
        <w:numPr>
          <w:ilvl w:val="0"/>
          <w:numId w:val="5"/>
        </w:numPr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Inhibitorima O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C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T 1 i O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C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T 2 (kao što su krizotinib, olaparib), može promeniti efikasnost i bubrežnu eliminaciju metformina.</w:t>
      </w:r>
    </w:p>
    <w:p w14:paraId="49B21FE9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517F14D2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Stoga se preporučuje oprez, naročito kod pacijenata sa bubrežnom insuficijencijom, kada se ovi lijekovi upotreblјavaju istovremeno sa metforminom, jer se koncentracija metformina u plazmi može povećati. Ukoliko je potrebno, može se razmotriti prilagođavanje doze metformina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obzirom da O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C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T inhibitori/induktori mogu prom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eniti efikasnost metformina.</w:t>
      </w:r>
    </w:p>
    <w:p w14:paraId="134E9AB4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499199C5">
      <w:pPr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  <w:t xml:space="preserve">4.6.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ab/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Plodnost,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  <w:t>trudnoć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a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  <w:t xml:space="preserve"> i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dojenje</w:t>
      </w:r>
    </w:p>
    <w:p w14:paraId="71C5051D">
      <w:pPr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2E620E9D">
      <w:pPr>
        <w:rPr>
          <w:rFonts w:ascii="Microsoft Sans Serif" w:hAnsi="Microsoft Sans Serif" w:cs="Microsoft Sans Serif"/>
          <w:bCs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Cyrl-RS"/>
        </w:rPr>
        <w:t>Trudnoća</w:t>
      </w:r>
    </w:p>
    <w:p w14:paraId="02D7783A">
      <w:pPr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Nekontrolisani dijabetes tokom trudnoće (gestacijski ili stalni) je udružen sa povećanim rizikom od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pojave </w:t>
      </w:r>
      <w:r>
        <w:rPr>
          <w:rFonts w:ascii="Microsoft Sans Serif" w:hAnsi="Microsoft Sans Serif" w:cs="Microsoft Sans Serif"/>
          <w:bCs/>
          <w:sz w:val="20"/>
          <w:szCs w:val="20"/>
        </w:rPr>
        <w:t>kongenitalnih poremećaja ili perinatalnog mortaliteta.</w:t>
      </w:r>
    </w:p>
    <w:p w14:paraId="1F2BFEB9">
      <w:pPr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Ograničeni podaci upotrebe metformina kod trudnica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ne ukazuju na povećan rizik od kongenitalnih poremećaja.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Studije na životinjama nisu pokazale štetne uticaje na trudnoću, embrionalni ili fetalni razvoj,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porođaj ili na postanatalni razvoj (pogledati dio 5.3).</w:t>
      </w:r>
    </w:p>
    <w:p w14:paraId="75D7B4C8">
      <w:pPr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 xml:space="preserve">Pacijentkinje koje planiraju trudnoću ili tokom trudnoće,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nije preporučivo tretirati dijabetes metforminom, već treba prim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enjivati insulin z</w:t>
      </w:r>
      <w:r>
        <w:rPr>
          <w:rFonts w:ascii="Microsoft Sans Serif" w:hAnsi="Microsoft Sans Serif" w:cs="Microsoft Sans Serif"/>
          <w:bCs/>
          <w:sz w:val="20"/>
          <w:szCs w:val="20"/>
        </w:rPr>
        <w:t>a održavanje koncentracije glukoze u krvi što je moguće bliže normalnim vrednostima, kako bi se smanjio rizik od fetalnih malformacija.</w:t>
      </w:r>
    </w:p>
    <w:p w14:paraId="6F3F48A0">
      <w:pPr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69D21896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Dojenje</w:t>
      </w:r>
    </w:p>
    <w:p w14:paraId="3C061313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Metformin se izlučuje u mlijeko dojilјe. Nisu za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b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lj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ežena neželјena djelovanja kod dojene novorođenčadi/odojčadi. Ipak, usl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ed ograničenih podataka, dojenje se ne preporučuje tokom terapije metforminom. Potrebno je odlučiti da li se treba dojenje prekinuti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uzimajući u obzir važnost dojenja i mogućnost rizika od pojave neželјenih efekata na 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ete.</w:t>
      </w:r>
    </w:p>
    <w:p w14:paraId="50169EE9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0EDB36C6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Plodnost</w:t>
      </w:r>
    </w:p>
    <w:p w14:paraId="0AD11383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Fertilitet kod pacova muškog i ženskog pola nije bio promjenjen u slučaju primjene visokih doza metformina,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kao što je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600 </w:t>
      </w:r>
      <w:r>
        <w:rPr>
          <w:rFonts w:ascii="Microsoft Sans Serif" w:hAnsi="Microsoft Sans Serif" w:cs="Microsoft Sans Serif"/>
          <w:sz w:val="20"/>
          <w:szCs w:val="20"/>
        </w:rPr>
        <w:t xml:space="preserve">mg/kg/dan, što je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približno</w:t>
      </w:r>
      <w:r>
        <w:rPr>
          <w:rFonts w:ascii="Microsoft Sans Serif" w:hAnsi="Microsoft Sans Serif" w:cs="Microsoft Sans Serif"/>
          <w:sz w:val="20"/>
          <w:szCs w:val="20"/>
        </w:rPr>
        <w:t xml:space="preserve"> tri puta više od maksimalnih dnevno preporučenih doza kod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čovjeka, računato prema površini tela.</w:t>
      </w:r>
    </w:p>
    <w:p w14:paraId="11E64A4E">
      <w:pPr>
        <w:rPr>
          <w:rFonts w:ascii="Microsoft Sans Serif" w:hAnsi="Microsoft Sans Serif" w:cs="Microsoft Sans Serif"/>
          <w:sz w:val="20"/>
          <w:szCs w:val="20"/>
        </w:rPr>
      </w:pPr>
    </w:p>
    <w:p w14:paraId="4ABD5146">
      <w:pP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  <w:t xml:space="preserve">4.7.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ab/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>Uticaj lijeka na sposobnost upravlјanja vozilima i rada na mašinama</w:t>
      </w:r>
    </w:p>
    <w:p w14:paraId="5BE3DA72">
      <w:pP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</w:p>
    <w:p w14:paraId="4F403675">
      <w:pPr>
        <w:rPr>
          <w:rFonts w:ascii="Microsoft Sans Serif" w:hAnsi="Microsoft Sans Serif" w:cs="Microsoft Sans Serif"/>
          <w:bCs/>
          <w:sz w:val="20"/>
          <w:szCs w:val="20"/>
          <w:lang w:val="ru-RU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ru-RU"/>
        </w:rPr>
        <w:t>Monoterapija metforminom ne izaziva hipoglikemiju i samim tim nema uticaja na sposobnost upravlјanja vozilima ili rukovanja mašinama.</w:t>
      </w:r>
    </w:p>
    <w:p w14:paraId="6D7607AF">
      <w:pPr>
        <w:rPr>
          <w:rFonts w:ascii="Microsoft Sans Serif" w:hAnsi="Microsoft Sans Serif" w:cs="Microsoft Sans Serif"/>
          <w:bCs/>
          <w:sz w:val="20"/>
          <w:szCs w:val="20"/>
          <w:lang w:val="ru-RU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ru-RU"/>
        </w:rPr>
        <w:t>Međutim, pacijente treba upozoriti na rizik od hipoglikemije ukoliko se metformin prim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Cs/>
          <w:sz w:val="20"/>
          <w:szCs w:val="20"/>
          <w:lang w:val="ru-RU"/>
        </w:rPr>
        <w:t>enjuje u kombinaciji sa drugim antidijabeticima (npr. derivatima sulfoniluree, insulinom ili meglitinidom).</w:t>
      </w:r>
    </w:p>
    <w:p w14:paraId="6411B4F7">
      <w:pPr>
        <w:rPr>
          <w:rFonts w:ascii="Microsoft Sans Serif" w:hAnsi="Microsoft Sans Serif" w:cs="Microsoft Sans Serif"/>
          <w:bCs/>
          <w:sz w:val="20"/>
          <w:szCs w:val="20"/>
          <w:lang w:val="ru-RU"/>
        </w:rPr>
      </w:pPr>
    </w:p>
    <w:p w14:paraId="16585341">
      <w:pPr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4.8.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ab/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Neželјena djelovanja</w:t>
      </w:r>
    </w:p>
    <w:p w14:paraId="557EB130">
      <w:pPr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786070B3">
      <w:pPr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Na početku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terapije, najčešć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neželјen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djelovanja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su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: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mučnina, povraćanje,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dijareja, </w:t>
      </w:r>
      <w:r>
        <w:rPr>
          <w:rFonts w:ascii="Microsoft Sans Serif" w:hAnsi="Microsoft Sans Serif" w:cs="Microsoft Sans Serif"/>
          <w:bCs/>
          <w:sz w:val="20"/>
          <w:szCs w:val="20"/>
        </w:rPr>
        <w:t>abdominalni bol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i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gubitak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apetita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, koja 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prolaze spontano u većini slučajeva. Da bi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se ona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sprečil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bCs/>
          <w:sz w:val="20"/>
          <w:szCs w:val="20"/>
        </w:rPr>
        <w:t>, preporučuje se uzimanje metformina u 2 ili 3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dnevne doze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kao </w:t>
      </w:r>
      <w:r>
        <w:rPr>
          <w:rFonts w:ascii="Microsoft Sans Serif" w:hAnsi="Microsoft Sans Serif" w:cs="Microsoft Sans Serif"/>
          <w:bCs/>
          <w:sz w:val="20"/>
          <w:szCs w:val="20"/>
        </w:rPr>
        <w:t>i postepeno poveća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nje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doz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e</w:t>
      </w:r>
      <w:r>
        <w:rPr>
          <w:rFonts w:ascii="Microsoft Sans Serif" w:hAnsi="Microsoft Sans Serif" w:cs="Microsoft Sans Serif"/>
          <w:bCs/>
          <w:sz w:val="20"/>
          <w:szCs w:val="20"/>
        </w:rPr>
        <w:t>.</w:t>
      </w:r>
    </w:p>
    <w:p w14:paraId="26D0834E">
      <w:pPr>
        <w:rPr>
          <w:rFonts w:ascii="Microsoft Sans Serif" w:hAnsi="Microsoft Sans Serif" w:cs="Microsoft Sans Serif"/>
          <w:bCs/>
          <w:sz w:val="20"/>
          <w:szCs w:val="20"/>
        </w:rPr>
      </w:pPr>
    </w:p>
    <w:p w14:paraId="284A1FFA">
      <w:pPr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Sljedeća neželјena djelovanja su moguć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tokom terapije metforminom.</w:t>
      </w:r>
    </w:p>
    <w:p w14:paraId="3EB98F17">
      <w:pPr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 xml:space="preserve">Učestalost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je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defini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sana kao</w:t>
      </w:r>
      <w:r>
        <w:rPr>
          <w:rFonts w:ascii="Microsoft Sans Serif" w:hAnsi="Microsoft Sans Serif" w:cs="Microsoft Sans Serif"/>
          <w:bCs/>
          <w:sz w:val="20"/>
          <w:szCs w:val="20"/>
        </w:rPr>
        <w:t>:</w:t>
      </w:r>
    </w:p>
    <w:p w14:paraId="6FB333F4">
      <w:pPr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veoma često: ≥ 1/10;</w:t>
      </w:r>
    </w:p>
    <w:p w14:paraId="48DD063C">
      <w:pPr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često ≥ 1/100 i &lt;1/10;</w:t>
      </w:r>
    </w:p>
    <w:p w14:paraId="62450988">
      <w:pPr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povremeno ≥1/1000 i &lt;1/100;</w:t>
      </w:r>
    </w:p>
    <w:p w14:paraId="0D8B892A">
      <w:pPr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rijetko ≥1/10000 i &lt;1/1000</w:t>
      </w:r>
    </w:p>
    <w:p w14:paraId="3D19D32B">
      <w:pPr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veoma rijetko &lt; 1/10 000</w:t>
      </w:r>
    </w:p>
    <w:p w14:paraId="22C6FA54">
      <w:pPr>
        <w:rPr>
          <w:rFonts w:ascii="Microsoft Sans Serif" w:hAnsi="Microsoft Sans Serif" w:cs="Microsoft Sans Serif"/>
          <w:bCs/>
          <w:sz w:val="20"/>
          <w:szCs w:val="20"/>
          <w:u w:val="single"/>
        </w:rPr>
      </w:pPr>
    </w:p>
    <w:p w14:paraId="467E3CF6">
      <w:pPr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 xml:space="preserve">Unutar svake grupe učestalosti, neželјene reakcije su predstavlјene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opadajućom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ozbilјno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šću</w:t>
      </w:r>
      <w:r>
        <w:rPr>
          <w:rFonts w:ascii="Microsoft Sans Serif" w:hAnsi="Microsoft Sans Serif" w:cs="Microsoft Sans Serif"/>
          <w:bCs/>
          <w:sz w:val="20"/>
          <w:szCs w:val="20"/>
        </w:rPr>
        <w:t>.</w:t>
      </w:r>
    </w:p>
    <w:p w14:paraId="73F5780A">
      <w:pPr>
        <w:rPr>
          <w:rFonts w:ascii="Microsoft Sans Serif" w:hAnsi="Microsoft Sans Serif" w:cs="Microsoft Sans Serif"/>
          <w:bCs/>
          <w:sz w:val="20"/>
          <w:szCs w:val="20"/>
        </w:rPr>
      </w:pPr>
    </w:p>
    <w:p w14:paraId="2B0B0D32">
      <w:pPr>
        <w:rPr>
          <w:rFonts w:ascii="Microsoft Sans Serif" w:hAnsi="Microsoft Sans Serif" w:cs="Microsoft Sans Serif"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Poremećaji metabolizma i ishrane</w:t>
      </w:r>
    </w:p>
    <w:p w14:paraId="620610DA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i/>
          <w:sz w:val="20"/>
          <w:szCs w:val="20"/>
        </w:rPr>
        <w:t>Veoma rijetko</w:t>
      </w:r>
      <w:r>
        <w:rPr>
          <w:rFonts w:ascii="Microsoft Sans Serif" w:hAnsi="Microsoft Sans Serif" w:cs="Microsoft Sans Serif"/>
          <w:sz w:val="20"/>
          <w:szCs w:val="20"/>
        </w:rPr>
        <w:t>:</w:t>
      </w:r>
    </w:p>
    <w:p w14:paraId="1DC1654C">
      <w:pPr>
        <w:pStyle w:val="18"/>
        <w:numPr>
          <w:ilvl w:val="0"/>
          <w:numId w:val="6"/>
        </w:numPr>
        <w:ind w:left="0" w:firstLine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Laktatna acidoza (pogledati dio 4.4)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1F57CFE1">
      <w:pPr>
        <w:pStyle w:val="18"/>
        <w:numPr>
          <w:ilvl w:val="0"/>
          <w:numId w:val="6"/>
        </w:numPr>
        <w:ind w:left="0" w:firstLine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Smanjena resorpcija vitamina B12 sa smanjenom koncentracijom u serumu tokom dugotrajne</w:t>
      </w:r>
    </w:p>
    <w:p w14:paraId="06CEB838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upotrebe metformina. Ovu etiologiju treba uzeti u obzir ukoliko pacijent dobije megaloblastnu</w:t>
      </w:r>
    </w:p>
    <w:p w14:paraId="437DE8C7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anemiju.</w:t>
      </w:r>
    </w:p>
    <w:p w14:paraId="5057E91E">
      <w:pPr>
        <w:rPr>
          <w:rFonts w:ascii="Microsoft Sans Serif" w:hAnsi="Microsoft Sans Serif" w:cs="Microsoft Sans Serif"/>
          <w:sz w:val="20"/>
          <w:szCs w:val="20"/>
          <w:u w:val="single"/>
        </w:rPr>
      </w:pPr>
    </w:p>
    <w:p w14:paraId="57970108">
      <w:pPr>
        <w:rPr>
          <w:rFonts w:ascii="Microsoft Sans Serif" w:hAnsi="Microsoft Sans Serif" w:cs="Microsoft Sans Serif"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Poremećaji nervnog sistema</w:t>
      </w:r>
    </w:p>
    <w:p w14:paraId="570F87A4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i/>
          <w:sz w:val="20"/>
          <w:szCs w:val="20"/>
        </w:rPr>
        <w:t>Često</w:t>
      </w:r>
      <w:r>
        <w:rPr>
          <w:rFonts w:ascii="Microsoft Sans Serif" w:hAnsi="Microsoft Sans Serif" w:cs="Microsoft Sans Serif"/>
          <w:sz w:val="20"/>
          <w:szCs w:val="20"/>
        </w:rPr>
        <w:t>:</w:t>
      </w:r>
    </w:p>
    <w:p w14:paraId="09D38276">
      <w:pPr>
        <w:pStyle w:val="18"/>
        <w:numPr>
          <w:ilvl w:val="0"/>
          <w:numId w:val="7"/>
        </w:numPr>
        <w:ind w:left="0" w:firstLine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Poremećaj čula ukusa.</w:t>
      </w:r>
    </w:p>
    <w:p w14:paraId="1240A137">
      <w:pPr>
        <w:rPr>
          <w:rFonts w:ascii="Microsoft Sans Serif" w:hAnsi="Microsoft Sans Serif" w:cs="Microsoft Sans Serif"/>
          <w:sz w:val="20"/>
          <w:szCs w:val="20"/>
        </w:rPr>
      </w:pPr>
    </w:p>
    <w:p w14:paraId="5475853C">
      <w:pPr>
        <w:rPr>
          <w:rFonts w:ascii="Microsoft Sans Serif" w:hAnsi="Microsoft Sans Serif" w:cs="Microsoft Sans Serif"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Gastrointestinalni poremećaji</w:t>
      </w:r>
    </w:p>
    <w:p w14:paraId="3B8528DC">
      <w:pPr>
        <w:rPr>
          <w:rFonts w:ascii="Microsoft Sans Serif" w:hAnsi="Microsoft Sans Serif" w:cs="Microsoft Sans Serif"/>
          <w:i/>
          <w:sz w:val="20"/>
          <w:szCs w:val="20"/>
        </w:rPr>
      </w:pPr>
      <w:r>
        <w:rPr>
          <w:rFonts w:ascii="Microsoft Sans Serif" w:hAnsi="Microsoft Sans Serif" w:cs="Microsoft Sans Serif"/>
          <w:i/>
          <w:sz w:val="20"/>
          <w:szCs w:val="20"/>
        </w:rPr>
        <w:t>Veoma često:</w:t>
      </w:r>
    </w:p>
    <w:p w14:paraId="7E7D667F">
      <w:pPr>
        <w:pStyle w:val="18"/>
        <w:numPr>
          <w:ilvl w:val="0"/>
          <w:numId w:val="7"/>
        </w:numPr>
        <w:ind w:left="0" w:firstLine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Gastrointestinalni poremećaji kao što su m</w:t>
      </w:r>
      <w:r>
        <w:rPr>
          <w:rFonts w:ascii="Microsoft Sans Serif" w:hAnsi="Microsoft Sans Serif" w:cs="Microsoft Sans Serif"/>
          <w:sz w:val="20"/>
          <w:szCs w:val="20"/>
        </w:rPr>
        <w:t>učnina, povraćanje, dijareja, abdominalni bol i gubitak apetita. Ova neželјena djelovanja se javlјaju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najčešće tokom početka terapije i prolaze spontano u većini slučajeva. Da bi ih izbjegli, preporučuje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se uzimanje metformina u 2 ili 3 dnevne doze tokom ili poslije obroka. Postepeno povećavanje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doze </w:t>
      </w:r>
      <w:r>
        <w:rPr>
          <w:rFonts w:ascii="Microsoft Sans Serif" w:hAnsi="Microsoft Sans Serif" w:cs="Microsoft Sans Serif"/>
          <w:sz w:val="20"/>
          <w:szCs w:val="20"/>
        </w:rPr>
        <w:t>može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takođe pobolјšati gastrointestinalnu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podnošlјivost</w:t>
      </w:r>
      <w:r>
        <w:rPr>
          <w:rFonts w:ascii="Microsoft Sans Serif" w:hAnsi="Microsoft Sans Serif" w:cs="Microsoft Sans Serif"/>
          <w:sz w:val="20"/>
          <w:szCs w:val="20"/>
        </w:rPr>
        <w:t>.</w:t>
      </w:r>
    </w:p>
    <w:p w14:paraId="2BD20987">
      <w:pPr>
        <w:rPr>
          <w:rFonts w:ascii="Microsoft Sans Serif" w:hAnsi="Microsoft Sans Serif" w:cs="Microsoft Sans Serif"/>
          <w:sz w:val="20"/>
          <w:szCs w:val="20"/>
        </w:rPr>
      </w:pPr>
    </w:p>
    <w:p w14:paraId="33C44F65">
      <w:pPr>
        <w:rPr>
          <w:rFonts w:ascii="Microsoft Sans Serif" w:hAnsi="Microsoft Sans Serif" w:cs="Microsoft Sans Serif"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Hepatobilijarni poremećaji</w:t>
      </w:r>
    </w:p>
    <w:p w14:paraId="0D2696E2">
      <w:pPr>
        <w:rPr>
          <w:rFonts w:ascii="Microsoft Sans Serif" w:hAnsi="Microsoft Sans Serif" w:cs="Microsoft Sans Serif"/>
          <w:i/>
          <w:sz w:val="20"/>
          <w:szCs w:val="20"/>
        </w:rPr>
      </w:pPr>
      <w:r>
        <w:rPr>
          <w:rFonts w:ascii="Microsoft Sans Serif" w:hAnsi="Microsoft Sans Serif" w:cs="Microsoft Sans Serif"/>
          <w:i/>
          <w:sz w:val="20"/>
          <w:szCs w:val="20"/>
        </w:rPr>
        <w:t>Veoma rijetko:</w:t>
      </w:r>
    </w:p>
    <w:p w14:paraId="1C7710A1">
      <w:pPr>
        <w:pStyle w:val="18"/>
        <w:numPr>
          <w:ilvl w:val="0"/>
          <w:numId w:val="7"/>
        </w:numPr>
        <w:ind w:left="0" w:firstLine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Izolovani slučajevi poremećaja testova funkcije jetre ili hepatitisa koji prolazi nakon isklјučenja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metformina iz upotrebe.</w:t>
      </w:r>
    </w:p>
    <w:p w14:paraId="1EC5B0A1">
      <w:pPr>
        <w:rPr>
          <w:rFonts w:ascii="Microsoft Sans Serif" w:hAnsi="Microsoft Sans Serif" w:cs="Microsoft Sans Serif"/>
          <w:sz w:val="20"/>
          <w:szCs w:val="20"/>
          <w:u w:val="single"/>
        </w:rPr>
      </w:pPr>
    </w:p>
    <w:p w14:paraId="2115D68C">
      <w:pPr>
        <w:rPr>
          <w:rFonts w:ascii="Microsoft Sans Serif" w:hAnsi="Microsoft Sans Serif" w:cs="Microsoft Sans Serif"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Poremećaji kože i potkožnog tkiva</w:t>
      </w:r>
    </w:p>
    <w:p w14:paraId="5DD48C54">
      <w:pPr>
        <w:rPr>
          <w:rFonts w:ascii="Microsoft Sans Serif" w:hAnsi="Microsoft Sans Serif" w:cs="Microsoft Sans Serif"/>
          <w:i/>
          <w:sz w:val="20"/>
          <w:szCs w:val="20"/>
        </w:rPr>
      </w:pPr>
      <w:r>
        <w:rPr>
          <w:rFonts w:ascii="Microsoft Sans Serif" w:hAnsi="Microsoft Sans Serif" w:cs="Microsoft Sans Serif"/>
          <w:i/>
          <w:sz w:val="20"/>
          <w:szCs w:val="20"/>
        </w:rPr>
        <w:t>Veoma rijetko:</w:t>
      </w:r>
    </w:p>
    <w:p w14:paraId="3E1859B1">
      <w:pPr>
        <w:pStyle w:val="18"/>
        <w:numPr>
          <w:ilvl w:val="0"/>
          <w:numId w:val="7"/>
        </w:numPr>
        <w:ind w:left="0" w:firstLine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Reakcije kože kao što je eritem, svrab, urtikarija.</w:t>
      </w:r>
    </w:p>
    <w:p w14:paraId="4735B9B6">
      <w:pPr>
        <w:rPr>
          <w:rFonts w:ascii="Microsoft Sans Serif" w:hAnsi="Microsoft Sans Serif" w:cs="Microsoft Sans Serif"/>
          <w:sz w:val="20"/>
          <w:szCs w:val="20"/>
        </w:rPr>
      </w:pPr>
    </w:p>
    <w:p w14:paraId="73224FDC">
      <w:pPr>
        <w:rPr>
          <w:rFonts w:ascii="Microsoft Sans Serif" w:hAnsi="Microsoft Sans Serif" w:cs="Microsoft Sans Serif"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Pedijatrijska populacija</w:t>
      </w:r>
    </w:p>
    <w:p w14:paraId="065E9579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U objavlјenim podacima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i</w:t>
      </w:r>
      <w:r>
        <w:rPr>
          <w:rFonts w:ascii="Microsoft Sans Serif" w:hAnsi="Microsoft Sans Serif" w:cs="Microsoft Sans Serif"/>
          <w:sz w:val="20"/>
          <w:szCs w:val="20"/>
        </w:rPr>
        <w:t xml:space="preserve"> podacima u postmarketinškom periodu, kao i u kontrolisanim kliničkim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studijama sa pedijatrijskom populacijom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uzrasta</w:t>
      </w:r>
      <w:r>
        <w:rPr>
          <w:rFonts w:ascii="Microsoft Sans Serif" w:hAnsi="Microsoft Sans Serif" w:cs="Microsoft Sans Serif"/>
          <w:sz w:val="20"/>
          <w:szCs w:val="20"/>
        </w:rPr>
        <w:t xml:space="preserve"> od 10 do 16 godina koja je primila terapiju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tokom jedne godine, neželјena djelovanja su bila slična po prirodi i težini kao i ona kod odraslih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759901D2">
      <w:pPr>
        <w:rPr>
          <w:rFonts w:ascii="Microsoft Sans Serif" w:hAnsi="Microsoft Sans Serif" w:cs="Microsoft Sans Serif"/>
          <w:sz w:val="20"/>
          <w:szCs w:val="20"/>
        </w:rPr>
      </w:pPr>
    </w:p>
    <w:p w14:paraId="09E7BE58">
      <w:pPr>
        <w:rPr>
          <w:rFonts w:ascii="Microsoft Sans Serif" w:hAnsi="Microsoft Sans Serif" w:cs="Microsoft Sans Serif"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Prijavljivanje sumnje na neželjena djelovanja lijeka</w:t>
      </w:r>
    </w:p>
    <w:p w14:paraId="1A7DDC8F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Prijavljivanje sumnje na neželjena djelovanja lijekova, a nakon stavljanja lijeka u promet, je od velike važnosti za formiranje kompletnije slike o bezbjednosnom profile lijeka, odnosno za formiranje što bolje ocjene odnosa korist/rizik pri terapijskoj primjeni lijeka.</w:t>
      </w:r>
    </w:p>
    <w:p w14:paraId="69832254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Proces prijavljivanja sumnji na neželjena djelovanja lijeka doprinosi kontinuiranom praćenju odnosa koristi/rizik i adekvatnoj ocjeni bezbjednosnog profila lijeka. Od zdravstvenih stručnjaka se traži da prijave svaku sumnju na neželjeno dejstvo lijeka direktno ALMBIH. Prijava se može dostaviti:</w:t>
      </w:r>
    </w:p>
    <w:p w14:paraId="66C8DC2F">
      <w:pPr>
        <w:pStyle w:val="18"/>
        <w:numPr>
          <w:ilvl w:val="0"/>
          <w:numId w:val="8"/>
        </w:numPr>
        <w:tabs>
          <w:tab w:val="left" w:pos="567"/>
          <w:tab w:val="clear" w:pos="284"/>
        </w:tabs>
        <w:ind w:left="0" w:firstLine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putem softverske aplikacije za prijavu neželjenih dejstava lijekova za humanu upotrebu (IS Farmakovigilansa) o kojoj više informacija možete dobiti u našoj Glavnoj kancelariji za farmakovigilansu, ili</w:t>
      </w:r>
    </w:p>
    <w:p w14:paraId="42B3F7F3">
      <w:pPr>
        <w:pStyle w:val="18"/>
        <w:numPr>
          <w:ilvl w:val="0"/>
          <w:numId w:val="8"/>
        </w:numPr>
        <w:tabs>
          <w:tab w:val="left" w:pos="567"/>
          <w:tab w:val="clear" w:pos="284"/>
        </w:tabs>
        <w:ind w:left="0" w:firstLine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putem odgovarajućeg obrasca za prijavljivanje sumnji na neželjena djelovanja lijeka, koji se mogu naći na internet adresi Agencije za lijekove: www.almbih.gov.ba. Popunjen obrazac se može dostaviti ALMBIH putem pošte, na adresu Agencija za lijekove i medicinska sredstva Bosne i Hercegovine, Veljka Mlađenovića bb, Banja Luka, ili elektronske pošte (na e-mail adresu: </w:t>
      </w:r>
      <w:r>
        <w:fldChar w:fldCharType="begin"/>
      </w:r>
      <w:r>
        <w:instrText xml:space="preserve"> HYPERLINK "mailto:ndl@almbih.gov.ba" </w:instrText>
      </w:r>
      <w:r>
        <w:fldChar w:fldCharType="separate"/>
      </w:r>
      <w:r>
        <w:rPr>
          <w:rStyle w:val="14"/>
          <w:rFonts w:ascii="Microsoft Sans Serif" w:hAnsi="Microsoft Sans Serif" w:cs="Microsoft Sans Serif"/>
          <w:sz w:val="20"/>
          <w:szCs w:val="20"/>
        </w:rPr>
        <w:t>ndl@almbih.gov.ba</w:t>
      </w:r>
      <w:r>
        <w:rPr>
          <w:rStyle w:val="14"/>
          <w:rFonts w:ascii="Microsoft Sans Serif" w:hAnsi="Microsoft Sans Serif" w:cs="Microsoft Sans Serif"/>
          <w:sz w:val="20"/>
          <w:szCs w:val="20"/>
        </w:rPr>
        <w:fldChar w:fldCharType="end"/>
      </w:r>
      <w:r>
        <w:rPr>
          <w:rFonts w:ascii="Microsoft Sans Serif" w:hAnsi="Microsoft Sans Serif" w:cs="Microsoft Sans Serif"/>
          <w:sz w:val="20"/>
          <w:szCs w:val="20"/>
        </w:rPr>
        <w:t>)</w:t>
      </w:r>
    </w:p>
    <w:p w14:paraId="0D3C0F4E">
      <w:pPr>
        <w:pStyle w:val="18"/>
        <w:tabs>
          <w:tab w:val="left" w:pos="567"/>
          <w:tab w:val="clear" w:pos="284"/>
        </w:tabs>
        <w:ind w:left="0"/>
        <w:rPr>
          <w:rFonts w:ascii="Microsoft Sans Serif" w:hAnsi="Microsoft Sans Serif" w:cs="Microsoft Sans Serif"/>
          <w:sz w:val="20"/>
          <w:szCs w:val="20"/>
        </w:rPr>
      </w:pPr>
    </w:p>
    <w:p w14:paraId="5423D7A3">
      <w:pPr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4.9.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ab/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Predoziranje</w:t>
      </w:r>
    </w:p>
    <w:p w14:paraId="7E1459CF">
      <w:pPr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6DC652FB">
      <w:pPr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Hipoglikemija nije primjećena pri dozama metformin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hidrohlorida do 85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g</w:t>
      </w:r>
      <w:r>
        <w:rPr>
          <w:rFonts w:ascii="Microsoft Sans Serif" w:hAnsi="Microsoft Sans Serif" w:cs="Microsoft Sans Serif"/>
          <w:bCs/>
          <w:sz w:val="20"/>
          <w:szCs w:val="20"/>
        </w:rPr>
        <w:t>, iako je dolazilo do pojave laktatne acidoze. Predoziranje metforminom ili pridruženi faktori rizika mogu dovesti do pojave laktatne acidoze. Laktatna acidoza je urgentno stanje i mora se tretirati u bolnici. Najefikasniji metod za uklanjanje laktata i metformina iz organizma je hemodijaliza.</w:t>
      </w:r>
    </w:p>
    <w:p w14:paraId="6C6A5FE4">
      <w:pPr>
        <w:rPr>
          <w:rFonts w:ascii="Microsoft Sans Serif" w:hAnsi="Microsoft Sans Serif" w:cs="Microsoft Sans Serif"/>
          <w:bCs/>
          <w:sz w:val="20"/>
          <w:szCs w:val="20"/>
        </w:rPr>
      </w:pPr>
    </w:p>
    <w:p w14:paraId="47ED9FA5">
      <w:pPr>
        <w:pStyle w:val="17"/>
        <w:spacing w:before="0" w:after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5. </w:t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FARMAKOLOŠKE KARAKTERISTIKE</w:t>
      </w:r>
    </w:p>
    <w:p w14:paraId="0212537D">
      <w:pPr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5.1.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ab/>
      </w:r>
      <w:r>
        <w:rPr>
          <w:rFonts w:ascii="Microsoft Sans Serif" w:hAnsi="Microsoft Sans Serif" w:cs="Microsoft Sans Serif"/>
          <w:b/>
          <w:sz w:val="20"/>
          <w:szCs w:val="20"/>
          <w:lang w:val="bs-Latn-BA"/>
        </w:rPr>
        <w:t>Farmakodinamičke karakteristike</w:t>
      </w:r>
    </w:p>
    <w:p w14:paraId="14198E05">
      <w:pPr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336A24B8">
      <w:pP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Farmakoterapijska grupa: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oralni antidijabetici, derivati bigvanidina</w:t>
      </w:r>
    </w:p>
    <w:p w14:paraId="0A0F7B97">
      <w:pPr>
        <w:rPr>
          <w:rFonts w:ascii="Microsoft Sans Serif" w:hAnsi="Microsoft Sans Serif" w:cs="Microsoft Sans Serif"/>
          <w:sz w:val="20"/>
          <w:szCs w:val="20"/>
        </w:rPr>
      </w:pPr>
    </w:p>
    <w:p w14:paraId="0F05140B">
      <w:pPr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>ATC šifra: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A10</w:t>
      </w:r>
      <w:r>
        <w:rPr>
          <w:rFonts w:ascii="Microsoft Sans Serif" w:hAnsi="Microsoft Sans Serif" w:cs="Microsoft Sans Serif"/>
          <w:bCs/>
          <w:sz w:val="20"/>
          <w:szCs w:val="20"/>
        </w:rPr>
        <w:t>B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A02</w:t>
      </w:r>
    </w:p>
    <w:p w14:paraId="50DEA8B6">
      <w:pPr>
        <w:rPr>
          <w:rFonts w:ascii="Microsoft Sans Serif" w:hAnsi="Microsoft Sans Serif" w:cs="Microsoft Sans Serif"/>
          <w:sz w:val="20"/>
          <w:szCs w:val="20"/>
        </w:rPr>
      </w:pPr>
    </w:p>
    <w:p w14:paraId="08FB293C">
      <w:pPr>
        <w:rPr>
          <w:rFonts w:ascii="Microsoft Sans Serif" w:hAnsi="Microsoft Sans Serif" w:cs="Microsoft Sans Serif"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Mehanizam djelovanja</w:t>
      </w:r>
    </w:p>
    <w:p w14:paraId="2669917B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Metformin je bigvanidin sa antihiperglikemijskim efektom, snižava i bazalnu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postprandijalnu glukozu u plazmi. Ne stimuliše sekreciju insulina, tako da ne dovodi do hipoglikemije.</w:t>
      </w:r>
    </w:p>
    <w:p w14:paraId="3AFED561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5D4CBED5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Metformin može da djeluje preko 3 mehanizma:</w:t>
      </w:r>
    </w:p>
    <w:p w14:paraId="6441CDFD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(1) redukcija proizvodnje glukoze u jetri inhibicijom glukoneogeneze i glikogenolize;</w:t>
      </w:r>
    </w:p>
    <w:p w14:paraId="4B88503B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(2) pobolјšanje perifernog preuzimanja i iskorišćenja glukoze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povećanjem senzitivnosti na insulin 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mišićima;</w:t>
      </w:r>
    </w:p>
    <w:p w14:paraId="477AC1CC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(3) odlaganje intestinalne resorpcije glukoze.</w:t>
      </w:r>
    </w:p>
    <w:p w14:paraId="4B698B32">
      <w:pPr>
        <w:rPr>
          <w:rFonts w:ascii="Microsoft Sans Serif" w:hAnsi="Microsoft Sans Serif" w:cs="Microsoft Sans Serif"/>
          <w:sz w:val="20"/>
          <w:szCs w:val="20"/>
        </w:rPr>
      </w:pPr>
    </w:p>
    <w:p w14:paraId="2B0DE012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Metformin stimuliše intracelularnu sintezu glikogena uticajem na glikogen sintazu. Metformin povećava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kapacitet transporta svih tipova membranoznih glukoznih transportera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(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GLUTs</w:t>
      </w:r>
      <w:r>
        <w:rPr>
          <w:rFonts w:ascii="Microsoft Sans Serif" w:hAnsi="Microsoft Sans Serif" w:cs="Microsoft Sans Serif"/>
          <w:sz w:val="20"/>
          <w:szCs w:val="20"/>
        </w:rPr>
        <w:t>).</w:t>
      </w:r>
    </w:p>
    <w:p w14:paraId="4E59E363">
      <w:pPr>
        <w:rPr>
          <w:rFonts w:ascii="Microsoft Sans Serif" w:hAnsi="Microsoft Sans Serif" w:cs="Microsoft Sans Serif"/>
          <w:sz w:val="20"/>
          <w:szCs w:val="20"/>
        </w:rPr>
      </w:pPr>
    </w:p>
    <w:p w14:paraId="6975266D">
      <w:pPr>
        <w:rPr>
          <w:rFonts w:ascii="Microsoft Sans Serif" w:hAnsi="Microsoft Sans Serif" w:cs="Microsoft Sans Serif"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Farmakodinamska djelovanja</w:t>
      </w:r>
    </w:p>
    <w:p w14:paraId="4E501F27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U kliničkim studijama, upotreba metformina bila je povezana sa stabilnom tjelesnom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masom</w:t>
      </w:r>
      <w:r>
        <w:rPr>
          <w:rFonts w:ascii="Microsoft Sans Serif" w:hAnsi="Microsoft Sans Serif" w:cs="Microsoft Sans Serif"/>
          <w:sz w:val="20"/>
          <w:szCs w:val="20"/>
        </w:rPr>
        <w:t xml:space="preserve"> ili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neznatnim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smanjenjem telesne mase</w:t>
      </w:r>
      <w:r>
        <w:rPr>
          <w:rFonts w:ascii="Microsoft Sans Serif" w:hAnsi="Microsoft Sans Serif" w:cs="Microsoft Sans Serif"/>
          <w:sz w:val="20"/>
          <w:szCs w:val="20"/>
        </w:rPr>
        <w:t>.</w:t>
      </w:r>
    </w:p>
    <w:p w14:paraId="72C80929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Kod lјudi, nezavisno od njegovog djelovanja na glikemiju,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metformin</w:t>
      </w:r>
      <w:r>
        <w:rPr>
          <w:rFonts w:ascii="Microsoft Sans Serif" w:hAnsi="Microsoft Sans Serif" w:cs="Microsoft Sans Serif"/>
          <w:sz w:val="20"/>
          <w:szCs w:val="20"/>
        </w:rPr>
        <w:t xml:space="preserve"> ima povolјna djelovanja na metabolizam lipida. Ovo se pokazalo pri terapijskim dozama u kontrolisanim kliničkim studijama srednjeg trajanja ili dugog tranjanja: metformin redukuje vrijednosti ukupnog holesterola, LDL holesterola i triglicerida.</w:t>
      </w:r>
    </w:p>
    <w:p w14:paraId="7F145C9B">
      <w:pPr>
        <w:rPr>
          <w:rFonts w:ascii="Microsoft Sans Serif" w:hAnsi="Microsoft Sans Serif" w:cs="Microsoft Sans Serif"/>
          <w:sz w:val="20"/>
          <w:szCs w:val="20"/>
        </w:rPr>
      </w:pPr>
    </w:p>
    <w:p w14:paraId="4B31AA1B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Klinička efikasnost </w:t>
      </w:r>
    </w:p>
    <w:p w14:paraId="4B57BB21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Prospektivna randomizirana studija (UKPDS) je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ustanovila</w:t>
      </w:r>
      <w:r>
        <w:rPr>
          <w:rFonts w:ascii="Microsoft Sans Serif" w:hAnsi="Microsoft Sans Serif" w:cs="Microsoft Sans Serif"/>
          <w:sz w:val="20"/>
          <w:szCs w:val="20"/>
        </w:rPr>
        <w:t xml:space="preserve"> dugoročnu korist intenzivne kontrole glikemije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kod odraslih pacijenata sa dijabetesom tip 2.</w:t>
      </w:r>
    </w:p>
    <w:p w14:paraId="7FB2BB59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Analiza rezultata gojaznih pacijenata koji su bili na terapiji sa metforminom, nakon izostanka rezultata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dijetetskih mera, pokazala je:</w:t>
      </w:r>
    </w:p>
    <w:p w14:paraId="06CA47C9">
      <w:pPr>
        <w:pStyle w:val="18"/>
        <w:numPr>
          <w:ilvl w:val="0"/>
          <w:numId w:val="7"/>
        </w:numPr>
        <w:ind w:left="0" w:firstLine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značajno smanjenje apsolutnog rizika bilo koje komplikacije vezane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z</w:t>
      </w:r>
      <w:r>
        <w:rPr>
          <w:rFonts w:ascii="Microsoft Sans Serif" w:hAnsi="Microsoft Sans Serif" w:cs="Microsoft Sans Serif"/>
          <w:sz w:val="20"/>
          <w:szCs w:val="20"/>
        </w:rPr>
        <w:t xml:space="preserve">a dijabetes u grupi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koja je primala</w:t>
      </w:r>
      <w:r>
        <w:rPr>
          <w:rFonts w:ascii="Microsoft Sans Serif" w:hAnsi="Microsoft Sans Serif" w:cs="Microsoft Sans Serif"/>
          <w:sz w:val="20"/>
          <w:szCs w:val="20"/>
        </w:rPr>
        <w:t xml:space="preserve"> metformin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(29,8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događaja</w:t>
      </w:r>
      <w:r>
        <w:rPr>
          <w:rFonts w:ascii="Microsoft Sans Serif" w:hAnsi="Microsoft Sans Serif" w:cs="Microsoft Sans Serif"/>
          <w:sz w:val="20"/>
          <w:szCs w:val="20"/>
        </w:rPr>
        <w:t xml:space="preserve"> na 1000 pacijenata po godini) u poređenju sa grupom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koja je bila </w:t>
      </w:r>
      <w:r>
        <w:rPr>
          <w:rFonts w:ascii="Microsoft Sans Serif" w:hAnsi="Microsoft Sans Serif" w:cs="Microsoft Sans Serif"/>
          <w:sz w:val="20"/>
          <w:szCs w:val="20"/>
        </w:rPr>
        <w:t xml:space="preserve">samo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na </w:t>
      </w:r>
      <w:r>
        <w:rPr>
          <w:rFonts w:ascii="Microsoft Sans Serif" w:hAnsi="Microsoft Sans Serif" w:cs="Microsoft Sans Serif"/>
          <w:sz w:val="20"/>
          <w:szCs w:val="20"/>
        </w:rPr>
        <w:t>dijet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i </w:t>
      </w:r>
      <w:r>
        <w:rPr>
          <w:rFonts w:ascii="Microsoft Sans Serif" w:hAnsi="Microsoft Sans Serif" w:cs="Microsoft Sans Serif"/>
          <w:sz w:val="20"/>
          <w:szCs w:val="20"/>
        </w:rPr>
        <w:t xml:space="preserve">(43,3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događaja</w:t>
      </w:r>
      <w:r>
        <w:rPr>
          <w:rFonts w:ascii="Microsoft Sans Serif" w:hAnsi="Microsoft Sans Serif" w:cs="Microsoft Sans Serif"/>
          <w:sz w:val="20"/>
          <w:szCs w:val="20"/>
        </w:rPr>
        <w:t xml:space="preserve"> na 1000 pacijenata po godini),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p</w:t>
      </w:r>
      <w:r>
        <w:rPr>
          <w:rFonts w:ascii="Microsoft Sans Serif" w:hAnsi="Microsoft Sans Serif" w:cs="Microsoft Sans Serif"/>
          <w:sz w:val="20"/>
          <w:szCs w:val="20"/>
        </w:rPr>
        <w:t>=0,0023 i u odnosu na grupu koja je primala kombinaciju sulfoniluree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i insulin monoterapije (40,1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događaja</w:t>
      </w:r>
      <w:r>
        <w:rPr>
          <w:rFonts w:ascii="Microsoft Sans Serif" w:hAnsi="Microsoft Sans Serif" w:cs="Microsoft Sans Serif"/>
          <w:sz w:val="20"/>
          <w:szCs w:val="20"/>
        </w:rPr>
        <w:t xml:space="preserve"> na 1000 pacijenata po godini), p=0,0034;</w:t>
      </w:r>
    </w:p>
    <w:p w14:paraId="1930A6A4">
      <w:pPr>
        <w:pStyle w:val="18"/>
        <w:numPr>
          <w:ilvl w:val="0"/>
          <w:numId w:val="7"/>
        </w:numPr>
        <w:ind w:left="0" w:firstLine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značajno smanjenje apsolutnog rizika smrtnosti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vezanog za</w:t>
      </w:r>
      <w:r>
        <w:rPr>
          <w:rFonts w:ascii="Microsoft Sans Serif" w:hAnsi="Microsoft Sans Serif" w:cs="Microsoft Sans Serif"/>
          <w:sz w:val="20"/>
          <w:szCs w:val="20"/>
        </w:rPr>
        <w:t xml:space="preserve"> dijabetes: metformin 7,5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događaja</w:t>
      </w:r>
      <w:r>
        <w:rPr>
          <w:rFonts w:ascii="Microsoft Sans Serif" w:hAnsi="Microsoft Sans Serif" w:cs="Microsoft Sans Serif"/>
          <w:sz w:val="20"/>
          <w:szCs w:val="20"/>
        </w:rPr>
        <w:t xml:space="preserve"> na 1000 pacijenata po godini, samo dijeta 12,7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događaja</w:t>
      </w:r>
      <w:r>
        <w:rPr>
          <w:rFonts w:ascii="Microsoft Sans Serif" w:hAnsi="Microsoft Sans Serif" w:cs="Microsoft Sans Serif"/>
          <w:sz w:val="20"/>
          <w:szCs w:val="20"/>
        </w:rPr>
        <w:t xml:space="preserve"> na 1000 pacijenata  po godini, p=0,017;</w:t>
      </w:r>
    </w:p>
    <w:p w14:paraId="7A759307">
      <w:pPr>
        <w:pStyle w:val="18"/>
        <w:numPr>
          <w:ilvl w:val="0"/>
          <w:numId w:val="7"/>
        </w:numPr>
        <w:ind w:left="0" w:firstLine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značajno smanjenje apsolutnog rizika od sveukupnog mortaliteta: metformin (13,5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događaja</w:t>
      </w:r>
      <w:r>
        <w:rPr>
          <w:rFonts w:ascii="Microsoft Sans Serif" w:hAnsi="Microsoft Sans Serif" w:cs="Microsoft Sans Serif"/>
          <w:sz w:val="20"/>
          <w:szCs w:val="20"/>
        </w:rPr>
        <w:t xml:space="preserve"> na 1000 pacijenata po godini) u poređenju sa grupom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koja je bila</w:t>
      </w:r>
      <w:r>
        <w:rPr>
          <w:rFonts w:ascii="Microsoft Sans Serif" w:hAnsi="Microsoft Sans Serif" w:cs="Microsoft Sans Serif"/>
          <w:sz w:val="20"/>
          <w:szCs w:val="20"/>
        </w:rPr>
        <w:t xml:space="preserve"> samo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na </w:t>
      </w:r>
      <w:r>
        <w:rPr>
          <w:rFonts w:ascii="Microsoft Sans Serif" w:hAnsi="Microsoft Sans Serif" w:cs="Microsoft Sans Serif"/>
          <w:sz w:val="20"/>
          <w:szCs w:val="20"/>
        </w:rPr>
        <w:t>dijet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</w:t>
      </w:r>
      <w:r>
        <w:rPr>
          <w:rFonts w:ascii="Microsoft Sans Serif" w:hAnsi="Microsoft Sans Serif" w:cs="Microsoft Sans Serif"/>
          <w:sz w:val="20"/>
          <w:szCs w:val="20"/>
        </w:rPr>
        <w:t xml:space="preserve"> (20,6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događaja</w:t>
      </w:r>
      <w:r>
        <w:rPr>
          <w:rFonts w:ascii="Microsoft Sans Serif" w:hAnsi="Microsoft Sans Serif" w:cs="Microsoft Sans Serif"/>
          <w:sz w:val="20"/>
          <w:szCs w:val="20"/>
        </w:rPr>
        <w:t xml:space="preserve"> na 1000 pacijenata po godini), p=0,011,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kao i u poređenju sa kombinovanim grupama tretiranim sulfonilureom i insulin monoterapijom 18,9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događaja</w:t>
      </w:r>
      <w:r>
        <w:rPr>
          <w:rFonts w:ascii="Microsoft Sans Serif" w:hAnsi="Microsoft Sans Serif" w:cs="Microsoft Sans Serif"/>
          <w:sz w:val="20"/>
          <w:szCs w:val="20"/>
        </w:rPr>
        <w:t xml:space="preserve"> na 1000 pacijenata po godini), p=0,021;</w:t>
      </w:r>
    </w:p>
    <w:p w14:paraId="0B966F41">
      <w:pPr>
        <w:pStyle w:val="18"/>
        <w:numPr>
          <w:ilvl w:val="0"/>
          <w:numId w:val="9"/>
        </w:numPr>
        <w:ind w:left="0" w:firstLine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značajno smanjenje apsolutnog rizika od infarkta miokarda: metformin 11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događaja</w:t>
      </w:r>
      <w:r>
        <w:rPr>
          <w:rFonts w:ascii="Microsoft Sans Serif" w:hAnsi="Microsoft Sans Serif" w:cs="Microsoft Sans Serif"/>
          <w:sz w:val="20"/>
          <w:szCs w:val="20"/>
        </w:rPr>
        <w:t xml:space="preserve"> na 1000 pacijenata po godini,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samo dijeta 18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događaja</w:t>
      </w:r>
      <w:r>
        <w:rPr>
          <w:rFonts w:ascii="Microsoft Sans Serif" w:hAnsi="Microsoft Sans Serif" w:cs="Microsoft Sans Serif"/>
          <w:sz w:val="20"/>
          <w:szCs w:val="20"/>
        </w:rPr>
        <w:t xml:space="preserve"> na1000 pacijenata po godini, p=0,01.</w:t>
      </w:r>
    </w:p>
    <w:p w14:paraId="2536BFE5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Za upotrebu metformina kao terapije drugog izbora, u kombinaciji sa sulfonilureom nije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se pokazala</w:t>
      </w:r>
      <w:r>
        <w:rPr>
          <w:rFonts w:ascii="Microsoft Sans Serif" w:hAnsi="Microsoft Sans Serif" w:cs="Microsoft Sans Serif"/>
          <w:sz w:val="20"/>
          <w:szCs w:val="20"/>
        </w:rPr>
        <w:t xml:space="preserve"> prednost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 pitanju kliničk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og ishoda</w:t>
      </w:r>
      <w:r>
        <w:rPr>
          <w:rFonts w:ascii="Microsoft Sans Serif" w:hAnsi="Microsoft Sans Serif" w:cs="Microsoft Sans Serif"/>
          <w:sz w:val="20"/>
          <w:szCs w:val="20"/>
        </w:rPr>
        <w:t>.</w:t>
      </w:r>
    </w:p>
    <w:p w14:paraId="406C7F45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Kod tip 1 dijabetesa, kod određenih pacijenata primjenjivana je kombinacija metformina i insulina, ali nije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zvanično utvrđena</w:t>
      </w:r>
      <w:r>
        <w:rPr>
          <w:rFonts w:ascii="Microsoft Sans Serif" w:hAnsi="Microsoft Sans Serif" w:cs="Microsoft Sans Serif"/>
          <w:sz w:val="20"/>
          <w:szCs w:val="20"/>
        </w:rPr>
        <w:t xml:space="preserve"> kliničk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korist</w:t>
      </w:r>
      <w:r>
        <w:rPr>
          <w:rFonts w:ascii="Microsoft Sans Serif" w:hAnsi="Microsoft Sans Serif" w:cs="Microsoft Sans Serif"/>
          <w:sz w:val="20"/>
          <w:szCs w:val="20"/>
        </w:rPr>
        <w:t xml:space="preserve"> ove kombinacije.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</w:p>
    <w:p w14:paraId="1D5B540F">
      <w:pPr>
        <w:rPr>
          <w:rFonts w:ascii="Microsoft Sans Serif" w:hAnsi="Microsoft Sans Serif" w:cs="Microsoft Sans Serif"/>
          <w:sz w:val="20"/>
          <w:szCs w:val="20"/>
        </w:rPr>
      </w:pPr>
    </w:p>
    <w:p w14:paraId="53B47CB2">
      <w:pPr>
        <w:rPr>
          <w:rFonts w:ascii="Microsoft Sans Serif" w:hAnsi="Microsoft Sans Serif" w:cs="Microsoft Sans Serif"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Pedijatrijska populacija</w:t>
      </w:r>
    </w:p>
    <w:p w14:paraId="4E2089D0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Kontrolisane kliničke studije 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ograničenoj</w:t>
      </w:r>
      <w:r>
        <w:rPr>
          <w:rFonts w:ascii="Microsoft Sans Serif" w:hAnsi="Microsoft Sans Serif" w:cs="Microsoft Sans Serif"/>
          <w:sz w:val="20"/>
          <w:szCs w:val="20"/>
        </w:rPr>
        <w:t xml:space="preserve"> pedijatrijskoj populaciji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uzrasta</w:t>
      </w:r>
      <w:r>
        <w:rPr>
          <w:rFonts w:ascii="Microsoft Sans Serif" w:hAnsi="Microsoft Sans Serif" w:cs="Microsoft Sans Serif"/>
          <w:sz w:val="20"/>
          <w:szCs w:val="20"/>
        </w:rPr>
        <w:t xml:space="preserve"> od 10 do 16 godina koji su primali terapiju tokom jedne godine pokazale su sličan odgovor kontrole glikemije kao i kod odraslih.</w:t>
      </w:r>
    </w:p>
    <w:p w14:paraId="5153BF89">
      <w:pPr>
        <w:rPr>
          <w:rFonts w:ascii="Microsoft Sans Serif" w:hAnsi="Microsoft Sans Serif" w:cs="Microsoft Sans Serif"/>
          <w:sz w:val="20"/>
          <w:szCs w:val="20"/>
        </w:rPr>
      </w:pPr>
    </w:p>
    <w:p w14:paraId="14E7D5D8">
      <w:pPr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5.2.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ab/>
      </w:r>
      <w:r>
        <w:rPr>
          <w:rFonts w:ascii="Microsoft Sans Serif" w:hAnsi="Microsoft Sans Serif" w:cs="Microsoft Sans Serif"/>
          <w:b/>
          <w:sz w:val="20"/>
          <w:szCs w:val="20"/>
          <w:lang w:val="bs-Latn-BA"/>
        </w:rPr>
        <w:t>Farmakokinetičke karakteristike</w:t>
      </w:r>
    </w:p>
    <w:p w14:paraId="1D03889A">
      <w:pPr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2B9C3A36">
      <w:pPr>
        <w:rPr>
          <w:rFonts w:ascii="Microsoft Sans Serif" w:hAnsi="Microsoft Sans Serif" w:cs="Microsoft Sans Serif"/>
          <w:bCs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bCs/>
          <w:sz w:val="20"/>
          <w:szCs w:val="20"/>
          <w:u w:val="single"/>
        </w:rPr>
        <w:t>Resorpcija</w:t>
      </w:r>
    </w:p>
    <w:p w14:paraId="23720149">
      <w:pPr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 xml:space="preserve">Poslije uzimanja oralne doze metformin-hidrohlorida maksimalna koncentracija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u plazmi </w:t>
      </w:r>
      <w:r>
        <w:rPr>
          <w:rFonts w:ascii="Microsoft Sans Serif" w:hAnsi="Microsoft Sans Serif" w:cs="Microsoft Sans Serif"/>
          <w:bCs/>
          <w:sz w:val="20"/>
          <w:szCs w:val="20"/>
        </w:rPr>
        <w:t>(C</w:t>
      </w:r>
      <w:r>
        <w:rPr>
          <w:rFonts w:ascii="Microsoft Sans Serif" w:hAnsi="Microsoft Sans Serif" w:cs="Microsoft Sans Serif"/>
          <w:bCs/>
          <w:sz w:val="20"/>
          <w:szCs w:val="20"/>
          <w:vertAlign w:val="subscript"/>
        </w:rPr>
        <w:t>max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) se dostiže za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oko </w:t>
      </w:r>
      <w:r>
        <w:rPr>
          <w:rFonts w:ascii="Microsoft Sans Serif" w:hAnsi="Microsoft Sans Serif" w:cs="Microsoft Sans Serif"/>
          <w:bCs/>
          <w:sz w:val="20"/>
          <w:szCs w:val="20"/>
        </w:rPr>
        <w:t>2,5 sata (t</w:t>
      </w:r>
      <w:r>
        <w:rPr>
          <w:rFonts w:ascii="Microsoft Sans Serif" w:hAnsi="Microsoft Sans Serif" w:cs="Microsoft Sans Serif"/>
          <w:bCs/>
          <w:sz w:val="20"/>
          <w:szCs w:val="20"/>
          <w:vertAlign w:val="subscript"/>
        </w:rPr>
        <w:t>max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). Apsolutna bioraspoloživost tableta od 500 mg ili 850 mg metformin-hidrohlorida iznosi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približno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50-60% kod zdravih osoba. Poslije oralne doze, ne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re</w:t>
      </w:r>
      <w:r>
        <w:rPr>
          <w:rFonts w:ascii="Microsoft Sans Serif" w:hAnsi="Microsoft Sans Serif" w:cs="Microsoft Sans Serif"/>
          <w:bCs/>
          <w:sz w:val="20"/>
          <w:szCs w:val="20"/>
        </w:rPr>
        <w:t>sorbovana frakcija izlučena stolicom iznosi 20-30%.</w:t>
      </w:r>
    </w:p>
    <w:p w14:paraId="67A814ED">
      <w:pPr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Poslije oralne administracije, resorpcija metformina je saturabilna i nepotpuna. Pretpostavlјa se da farmakokinetika resorpcije metformina nije linearna.</w:t>
      </w:r>
    </w:p>
    <w:p w14:paraId="3637A5E9">
      <w:pPr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Tokom preporučenog doziranja i intervala doziranja metformina, ravnotežne koncentracije u plazmi se postižu nakon 24 do 48 sati i obično su manje od 1 microgram/ml. U kontrolisanim kliničkim studijama, maksimalna koncentracija metformina u plazmi (C</w:t>
      </w:r>
      <w:r>
        <w:rPr>
          <w:rFonts w:ascii="Microsoft Sans Serif" w:hAnsi="Microsoft Sans Serif" w:cs="Microsoft Sans Serif"/>
          <w:bCs/>
          <w:sz w:val="20"/>
          <w:szCs w:val="20"/>
          <w:vertAlign w:val="subscript"/>
        </w:rPr>
        <w:t>max</w:t>
      </w:r>
      <w:r>
        <w:rPr>
          <w:rFonts w:ascii="Microsoft Sans Serif" w:hAnsi="Microsoft Sans Serif" w:cs="Microsoft Sans Serif"/>
          <w:bCs/>
          <w:sz w:val="20"/>
          <w:szCs w:val="20"/>
        </w:rPr>
        <w:t>) nije prešla 5 microgram/ml, čak ni pri maksimalnim dozama.</w:t>
      </w:r>
    </w:p>
    <w:p w14:paraId="1E868B2F">
      <w:pPr>
        <w:rPr>
          <w:rFonts w:ascii="Microsoft Sans Serif" w:hAnsi="Microsoft Sans Serif" w:cs="Microsoft Sans Serif"/>
          <w:bCs/>
          <w:sz w:val="20"/>
          <w:szCs w:val="20"/>
        </w:rPr>
      </w:pPr>
    </w:p>
    <w:p w14:paraId="50B4CE84">
      <w:pPr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 xml:space="preserve">Hrana smanjuje opseg i blago odlaže resorpcije metformina. Posle administracije doze od 850 mg metformina, primjećeno je smanjenje maksimalne plazma koncentracije za 40%, smanjenje za 25%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vr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ednosti </w:t>
      </w:r>
      <w:r>
        <w:rPr>
          <w:rFonts w:ascii="Microsoft Sans Serif" w:hAnsi="Microsoft Sans Serif" w:cs="Microsoft Sans Serif"/>
          <w:bCs/>
          <w:sz w:val="20"/>
          <w:szCs w:val="20"/>
        </w:rPr>
        <w:t>PIK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-a 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(površina ispod krive) i produženje vremena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do </w:t>
      </w:r>
      <w:r>
        <w:rPr>
          <w:rFonts w:ascii="Microsoft Sans Serif" w:hAnsi="Microsoft Sans Serif" w:cs="Microsoft Sans Serif"/>
          <w:bCs/>
          <w:sz w:val="20"/>
          <w:szCs w:val="20"/>
        </w:rPr>
        <w:t>p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ostizanja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maksimalnih koncentracija u plazmi za 35 minuta. Nije poznata klinička relevantnost ovih podataka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.</w:t>
      </w:r>
    </w:p>
    <w:p w14:paraId="43638009">
      <w:pPr>
        <w:rPr>
          <w:rFonts w:ascii="Microsoft Sans Serif" w:hAnsi="Microsoft Sans Serif" w:cs="Microsoft Sans Serif"/>
          <w:bCs/>
          <w:sz w:val="20"/>
          <w:szCs w:val="20"/>
        </w:rPr>
      </w:pPr>
    </w:p>
    <w:p w14:paraId="5B33AA31">
      <w:pPr>
        <w:rPr>
          <w:rFonts w:ascii="Microsoft Sans Serif" w:hAnsi="Microsoft Sans Serif" w:cs="Microsoft Sans Serif"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Distribucija</w:t>
      </w:r>
    </w:p>
    <w:p w14:paraId="6814FA3B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Vezivanje za proteine plazme je zanemarlјivo. Metformin ulazi u eritrocite. PIK u krvi je niži od PIK-a u plazmi i dešava se otprilike u isto vrijeme. Eritrociti vjerovatno predstavlјaju sekundarni prostor distribucije. Srednji volumen distribucije (Vd) se kreće od 63 - 276 l.</w:t>
      </w:r>
    </w:p>
    <w:p w14:paraId="07D0A0DF">
      <w:pPr>
        <w:rPr>
          <w:rFonts w:ascii="Microsoft Sans Serif" w:hAnsi="Microsoft Sans Serif" w:cs="Microsoft Sans Serif"/>
          <w:sz w:val="20"/>
          <w:szCs w:val="20"/>
        </w:rPr>
      </w:pPr>
    </w:p>
    <w:p w14:paraId="69B85304">
      <w:pPr>
        <w:rPr>
          <w:rFonts w:ascii="Microsoft Sans Serif" w:hAnsi="Microsoft Sans Serif" w:cs="Microsoft Sans Serif"/>
          <w:sz w:val="20"/>
          <w:szCs w:val="20"/>
          <w:u w:val="single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r-Latn-RS"/>
        </w:rPr>
        <w:t>Metabolizam</w:t>
      </w:r>
    </w:p>
    <w:p w14:paraId="75403C0F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Metformin se izlučuje nepromjenjen urinom. Kod lјudi nisu identifikovani metaboliti.</w:t>
      </w:r>
    </w:p>
    <w:p w14:paraId="3C4CF39A">
      <w:pPr>
        <w:rPr>
          <w:rFonts w:ascii="Microsoft Sans Serif" w:hAnsi="Microsoft Sans Serif" w:cs="Microsoft Sans Serif"/>
          <w:sz w:val="20"/>
          <w:szCs w:val="20"/>
        </w:rPr>
      </w:pPr>
    </w:p>
    <w:p w14:paraId="6F2A2100">
      <w:pPr>
        <w:rPr>
          <w:rFonts w:ascii="Microsoft Sans Serif" w:hAnsi="Microsoft Sans Serif" w:cs="Microsoft Sans Serif"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Eliminacija</w:t>
      </w:r>
    </w:p>
    <w:p w14:paraId="3E40F6D5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Renalni klirens metformina je &gt;400 ml/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min</w:t>
      </w:r>
      <w:r>
        <w:rPr>
          <w:rFonts w:ascii="Microsoft Sans Serif" w:hAnsi="Microsoft Sans Serif" w:cs="Microsoft Sans Serif"/>
          <w:sz w:val="20"/>
          <w:szCs w:val="20"/>
        </w:rPr>
        <w:t>, što ukazuje da se metformin eliminiše glomerularnom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filtracijom i tubularnom sekrecijom. Posle oralne doze terminalno poluvrijeme eliminacije je oko 6,5 sati.</w:t>
      </w:r>
    </w:p>
    <w:p w14:paraId="5D4A30B4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Sa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oštećenom funkcijom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bubrega</w:t>
      </w:r>
      <w:r>
        <w:rPr>
          <w:rFonts w:ascii="Microsoft Sans Serif" w:hAnsi="Microsoft Sans Serif" w:cs="Microsoft Sans Serif"/>
          <w:sz w:val="20"/>
          <w:szCs w:val="20"/>
        </w:rPr>
        <w:t>, renalni klirens se smanjuje proporcionalno sa klirensom kreatinina tako 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se poluvrijeme eliminacije produžava, što dovodi do povećanih koncentracija metformina u plazmi.</w:t>
      </w:r>
    </w:p>
    <w:p w14:paraId="023B55BE">
      <w:pPr>
        <w:rPr>
          <w:rFonts w:ascii="Microsoft Sans Serif" w:hAnsi="Microsoft Sans Serif" w:cs="Microsoft Sans Serif"/>
          <w:sz w:val="20"/>
          <w:szCs w:val="20"/>
        </w:rPr>
      </w:pPr>
    </w:p>
    <w:p w14:paraId="3955002A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Karakteristike kod specifičnih grupa pacijenata</w:t>
      </w:r>
    </w:p>
    <w:p w14:paraId="0CF41033">
      <w:pPr>
        <w:rPr>
          <w:rFonts w:ascii="Microsoft Sans Serif" w:hAnsi="Microsoft Sans Serif" w:cs="Microsoft Sans Serif"/>
          <w:sz w:val="20"/>
          <w:szCs w:val="20"/>
        </w:rPr>
      </w:pPr>
    </w:p>
    <w:p w14:paraId="0A1E1CD8">
      <w:pPr>
        <w:rPr>
          <w:rFonts w:ascii="Microsoft Sans Serif" w:hAnsi="Microsoft Sans Serif" w:cs="Microsoft Sans Serif"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Oštećenje bubrežne funkcije</w:t>
      </w:r>
    </w:p>
    <w:p w14:paraId="4045334E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Dostupni podaci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kod pacijenata sa</w:t>
      </w:r>
      <w:r>
        <w:rPr>
          <w:rFonts w:ascii="Microsoft Sans Serif" w:hAnsi="Microsoft Sans Serif" w:cs="Microsoft Sans Serif"/>
          <w:sz w:val="20"/>
          <w:szCs w:val="20"/>
        </w:rPr>
        <w:t xml:space="preserve"> umjerenom bubrežnom insuficijencijom su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skromni</w:t>
      </w:r>
      <w:r>
        <w:rPr>
          <w:rFonts w:ascii="Microsoft Sans Serif" w:hAnsi="Microsoft Sans Serif" w:cs="Microsoft Sans Serif"/>
          <w:sz w:val="20"/>
          <w:szCs w:val="20"/>
        </w:rPr>
        <w:t xml:space="preserve"> i nije moguće napraviti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pouzdanu procjenu sistemske izloženosti metforminu u ovoj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pod</w:t>
      </w:r>
      <w:r>
        <w:rPr>
          <w:rFonts w:ascii="Microsoft Sans Serif" w:hAnsi="Microsoft Sans Serif" w:cs="Microsoft Sans Serif"/>
          <w:sz w:val="20"/>
          <w:szCs w:val="20"/>
        </w:rPr>
        <w:t xml:space="preserve">grupi u odnosu na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pacijente sa</w:t>
      </w:r>
      <w:r>
        <w:rPr>
          <w:rFonts w:ascii="Microsoft Sans Serif" w:hAnsi="Microsoft Sans Serif" w:cs="Microsoft Sans Serif"/>
          <w:sz w:val="20"/>
          <w:szCs w:val="20"/>
        </w:rPr>
        <w:t xml:space="preserve"> normalnom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funkcijom bubrega.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Prema tome, </w:t>
      </w:r>
      <w:r>
        <w:rPr>
          <w:rFonts w:ascii="Microsoft Sans Serif" w:hAnsi="Microsoft Sans Serif" w:cs="Microsoft Sans Serif"/>
          <w:sz w:val="20"/>
          <w:szCs w:val="20"/>
        </w:rPr>
        <w:t xml:space="preserve">prilagođavanje doze potrebno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je </w:t>
      </w:r>
      <w:r>
        <w:rPr>
          <w:rFonts w:ascii="Microsoft Sans Serif" w:hAnsi="Microsoft Sans Serif" w:cs="Microsoft Sans Serif"/>
          <w:sz w:val="20"/>
          <w:szCs w:val="20"/>
        </w:rPr>
        <w:t>izvršiti nakon razmatranja odnosa kliničke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efikasnosti i podnošlјivosti (pogledati dio 4.2).</w:t>
      </w:r>
    </w:p>
    <w:p w14:paraId="39CE10F3">
      <w:pPr>
        <w:rPr>
          <w:rFonts w:ascii="Microsoft Sans Serif" w:hAnsi="Microsoft Sans Serif" w:cs="Microsoft Sans Serif"/>
          <w:sz w:val="20"/>
          <w:szCs w:val="20"/>
        </w:rPr>
      </w:pPr>
    </w:p>
    <w:p w14:paraId="316D1D69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Pedijatri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j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ska populacija</w:t>
      </w:r>
    </w:p>
    <w:p w14:paraId="420E0489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Studija sa pojedinačnom dozom: poslije pojedinačne doze od 500 mg metformin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hidrohlorida, pedijatri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j</w:t>
      </w:r>
      <w:r>
        <w:rPr>
          <w:rFonts w:ascii="Microsoft Sans Serif" w:hAnsi="Microsoft Sans Serif" w:cs="Microsoft Sans Serif"/>
          <w:sz w:val="20"/>
          <w:szCs w:val="20"/>
        </w:rPr>
        <w:t>ski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pacijenti su pokazali sličan farmakokinetički profil kao i kod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zdravih</w:t>
      </w:r>
      <w:r>
        <w:rPr>
          <w:rFonts w:ascii="Microsoft Sans Serif" w:hAnsi="Microsoft Sans Serif" w:cs="Microsoft Sans Serif"/>
          <w:sz w:val="20"/>
          <w:szCs w:val="20"/>
        </w:rPr>
        <w:t xml:space="preserve"> odraslih osoba.</w:t>
      </w:r>
    </w:p>
    <w:p w14:paraId="2ED0C8DF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Studija sa više doza: podaci su ograničeni na jednu studiju. Poslije ponavlјanja doza od 500 mg 2 puta dnevno tokom 7 dana kod pedijatrijskih pacijenata PIK plazma koncentracije (C</w:t>
      </w:r>
      <w:r>
        <w:rPr>
          <w:rFonts w:ascii="Microsoft Sans Serif" w:hAnsi="Microsoft Sans Serif" w:cs="Microsoft Sans Serif"/>
          <w:sz w:val="20"/>
          <w:szCs w:val="20"/>
          <w:vertAlign w:val="subscript"/>
        </w:rPr>
        <w:t>max</w:t>
      </w:r>
      <w:r>
        <w:rPr>
          <w:rFonts w:ascii="Microsoft Sans Serif" w:hAnsi="Microsoft Sans Serif" w:cs="Microsoft Sans Serif"/>
          <w:sz w:val="20"/>
          <w:szCs w:val="20"/>
        </w:rPr>
        <w:t>) 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sistemska izloženost (PIK</w:t>
      </w:r>
      <w:r>
        <w:rPr>
          <w:rFonts w:ascii="Microsoft Sans Serif" w:hAnsi="Microsoft Sans Serif" w:cs="Microsoft Sans Serif"/>
          <w:sz w:val="20"/>
          <w:szCs w:val="20"/>
          <w:vertAlign w:val="subscript"/>
        </w:rPr>
        <w:t>0-t</w:t>
      </w:r>
      <w:r>
        <w:rPr>
          <w:rFonts w:ascii="Microsoft Sans Serif" w:hAnsi="Microsoft Sans Serif" w:cs="Microsoft Sans Serif"/>
          <w:sz w:val="20"/>
          <w:szCs w:val="20"/>
        </w:rPr>
        <w:t>) smanjili su se za oko 33% odnosno 40% u odnosu na odrasle sa dijabetesom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koji su primjenjivali ponovlјene doze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od 500</w:t>
      </w:r>
      <w:r>
        <w:rPr>
          <w:rFonts w:ascii="Microsoft Sans Serif" w:hAnsi="Microsoft Sans Serif" w:cs="Microsoft Sans Serif"/>
          <w:sz w:val="20"/>
          <w:szCs w:val="20"/>
        </w:rPr>
        <w:t xml:space="preserve"> mg dva puta dnevno tokom 14 dana. Pošto su doze individualno titrirane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na osnovu</w:t>
      </w:r>
      <w:r>
        <w:rPr>
          <w:rFonts w:ascii="Microsoft Sans Serif" w:hAnsi="Microsoft Sans Serif" w:cs="Microsoft Sans Serif"/>
          <w:sz w:val="20"/>
          <w:szCs w:val="20"/>
        </w:rPr>
        <w:t xml:space="preserve"> kontrol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 glikemije</w:t>
      </w:r>
      <w:r>
        <w:rPr>
          <w:rFonts w:ascii="Microsoft Sans Serif" w:hAnsi="Microsoft Sans Serif" w:cs="Microsoft Sans Serif"/>
          <w:sz w:val="20"/>
          <w:szCs w:val="20"/>
        </w:rPr>
        <w:t>, ovo je od ograničenog kliničkog značaja.</w:t>
      </w:r>
    </w:p>
    <w:p w14:paraId="1AB6E955">
      <w:pPr>
        <w:rPr>
          <w:rFonts w:ascii="Microsoft Sans Serif" w:hAnsi="Microsoft Sans Serif" w:cs="Microsoft Sans Serif"/>
          <w:sz w:val="20"/>
          <w:szCs w:val="20"/>
        </w:rPr>
      </w:pPr>
    </w:p>
    <w:p w14:paraId="76221EF1">
      <w:pPr>
        <w:rPr>
          <w:rFonts w:ascii="Microsoft Sans Serif" w:hAnsi="Microsoft Sans Serif" w:cs="Microsoft Sans Serif"/>
          <w:b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  <w:t xml:space="preserve">5.3.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ab/>
      </w:r>
      <w:r>
        <w:rPr>
          <w:rFonts w:ascii="Microsoft Sans Serif" w:hAnsi="Microsoft Sans Serif" w:cs="Microsoft Sans Serif"/>
          <w:b/>
          <w:sz w:val="20"/>
          <w:szCs w:val="20"/>
          <w:lang w:val="bs-Latn-BA"/>
        </w:rPr>
        <w:t xml:space="preserve">Neklinički podaci o sigurnosti primjene </w:t>
      </w:r>
    </w:p>
    <w:p w14:paraId="160A052E">
      <w:pPr>
        <w:rPr>
          <w:rFonts w:ascii="Microsoft Sans Serif" w:hAnsi="Microsoft Sans Serif" w:cs="Microsoft Sans Serif"/>
          <w:b/>
          <w:sz w:val="20"/>
          <w:szCs w:val="20"/>
          <w:lang w:val="bs-Latn-BA"/>
        </w:rPr>
      </w:pPr>
    </w:p>
    <w:p w14:paraId="1975727B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Pretklinički podaci, zasnovani na konvencionalnim studijama o bezbjednosti,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farmakologiji, toksičnosti pri ponovlјenim dozama</w:t>
      </w:r>
      <w:r>
        <w:rPr>
          <w:rFonts w:ascii="Microsoft Sans Serif" w:hAnsi="Microsoft Sans Serif" w:cs="Microsoft Sans Serif"/>
          <w:sz w:val="20"/>
          <w:szCs w:val="20"/>
        </w:rPr>
        <w:t>, genotoksičnosti, kancerogenom potencijalu 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reproduktivnoj toksičnosti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ne ukazuju na posebnu opasnost za lјude</w:t>
      </w:r>
      <w:r>
        <w:rPr>
          <w:rFonts w:ascii="Microsoft Sans Serif" w:hAnsi="Microsoft Sans Serif" w:cs="Microsoft Sans Serif"/>
          <w:sz w:val="20"/>
          <w:szCs w:val="20"/>
        </w:rPr>
        <w:t>.</w:t>
      </w:r>
    </w:p>
    <w:p w14:paraId="49B59813">
      <w:pPr>
        <w:rPr>
          <w:rFonts w:ascii="Microsoft Sans Serif" w:hAnsi="Microsoft Sans Serif" w:cs="Microsoft Sans Serif"/>
          <w:sz w:val="20"/>
          <w:szCs w:val="20"/>
        </w:rPr>
      </w:pPr>
    </w:p>
    <w:p w14:paraId="5697DE01">
      <w:pPr>
        <w:pStyle w:val="17"/>
        <w:spacing w:before="0" w:after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6.</w:t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 xml:space="preserve"> FARMACEUTSKI PODACI</w:t>
      </w:r>
    </w:p>
    <w:p w14:paraId="252BCC98">
      <w:pPr>
        <w:pStyle w:val="17"/>
        <w:spacing w:before="0" w:after="0"/>
        <w:rPr>
          <w:rFonts w:ascii="Microsoft Sans Serif" w:hAnsi="Microsoft Sans Serif" w:cs="Microsoft Sans Serif"/>
          <w:sz w:val="20"/>
          <w:szCs w:val="20"/>
        </w:rPr>
      </w:pPr>
    </w:p>
    <w:p w14:paraId="1B2CA2AF">
      <w:pP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6.1.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ab/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Spisak pomo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>ćnih supstanci</w:t>
      </w:r>
    </w:p>
    <w:p w14:paraId="1A69D0A5">
      <w:pP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</w:p>
    <w:p w14:paraId="6875FED7">
      <w:pPr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  <w:t>Tabletno jezgro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:</w:t>
      </w:r>
    </w:p>
    <w:p w14:paraId="11BE6117">
      <w:pPr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Povidon K30</w:t>
      </w:r>
    </w:p>
    <w:p w14:paraId="4F9F60CF">
      <w:pPr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Natrijum</w:t>
      </w:r>
      <w:r>
        <w:rPr>
          <w:rFonts w:ascii="Microsoft Sans Serif" w:hAnsi="Microsoft Sans Serif" w:cs="Microsoft Sans Serif"/>
          <w:bCs/>
          <w:sz w:val="20"/>
          <w:szCs w:val="20"/>
        </w:rPr>
        <w:t>-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skrobglikolat</w:t>
      </w:r>
    </w:p>
    <w:p w14:paraId="3051BA8B">
      <w:pPr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Magnezijum-stearat</w:t>
      </w:r>
    </w:p>
    <w:p w14:paraId="4A6E3C10">
      <w:pPr>
        <w:rPr>
          <w:rFonts w:ascii="Microsoft Sans Serif" w:hAnsi="Microsoft Sans Serif" w:cs="Microsoft Sans Serif"/>
          <w:b/>
          <w:bCs/>
          <w:iCs/>
          <w:sz w:val="20"/>
          <w:szCs w:val="20"/>
          <w:lang w:val="en-GB"/>
        </w:rPr>
      </w:pPr>
    </w:p>
    <w:p w14:paraId="02031C4A">
      <w:pP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>Film obloga tablete:</w:t>
      </w:r>
    </w:p>
    <w:p w14:paraId="4C60FAA1">
      <w:pPr>
        <w:rPr>
          <w:rFonts w:ascii="Microsoft Sans Serif" w:hAnsi="Microsoft Sans Serif" w:cs="Microsoft Sans Serif"/>
          <w:bCs/>
          <w:iCs/>
          <w:sz w:val="20"/>
          <w:szCs w:val="20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</w:rPr>
        <w:t xml:space="preserve">Opadry II White: </w:t>
      </w:r>
    </w:p>
    <w:p w14:paraId="3F7BD1BA">
      <w:pP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    Titan-dioksid </w:t>
      </w:r>
    </w:p>
    <w:p w14:paraId="0C2991E2">
      <w:pP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    Laktoza, monohidrat</w:t>
      </w:r>
    </w:p>
    <w:p w14:paraId="31CE3F41">
      <w:pP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    Hipromeloza </w:t>
      </w:r>
    </w:p>
    <w:p w14:paraId="505D6446">
      <w:pP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    Makrogol/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PEG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4000 </w:t>
      </w:r>
    </w:p>
    <w:p w14:paraId="29DCAC18">
      <w:pPr>
        <w:rPr>
          <w:rFonts w:ascii="Microsoft Sans Serif" w:hAnsi="Microsoft Sans Serif" w:cs="Microsoft Sans Serif"/>
          <w:sz w:val="20"/>
          <w:szCs w:val="20"/>
        </w:rPr>
      </w:pPr>
    </w:p>
    <w:p w14:paraId="11C2E652">
      <w:pPr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6.2.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ab/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Inkompatibilnost</w:t>
      </w:r>
    </w:p>
    <w:p w14:paraId="7D0A83D8">
      <w:pPr>
        <w:rPr>
          <w:rFonts w:ascii="Microsoft Sans Serif" w:hAnsi="Microsoft Sans Serif" w:cs="Microsoft Sans Serif"/>
          <w:sz w:val="20"/>
          <w:szCs w:val="20"/>
          <w:lang w:val="en-GB"/>
        </w:rPr>
      </w:pPr>
    </w:p>
    <w:p w14:paraId="1770EE2E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Nije 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enjivo</w:t>
      </w:r>
    </w:p>
    <w:p w14:paraId="626E2629">
      <w:pPr>
        <w:rPr>
          <w:rFonts w:ascii="Microsoft Sans Serif" w:hAnsi="Microsoft Sans Serif" w:cs="Microsoft Sans Serif"/>
          <w:sz w:val="20"/>
          <w:szCs w:val="20"/>
        </w:rPr>
      </w:pPr>
    </w:p>
    <w:p w14:paraId="36BAEFBA">
      <w:pPr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6.3.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ab/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Rok trajanja</w:t>
      </w:r>
    </w:p>
    <w:p w14:paraId="3C8B7D93">
      <w:pPr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4E5D436C">
      <w:pPr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2 godine.</w:t>
      </w:r>
    </w:p>
    <w:p w14:paraId="6AF069F6">
      <w:pPr>
        <w:rPr>
          <w:rFonts w:ascii="Microsoft Sans Serif" w:hAnsi="Microsoft Sans Serif" w:cs="Microsoft Sans Serif"/>
          <w:sz w:val="20"/>
          <w:szCs w:val="20"/>
        </w:rPr>
      </w:pPr>
    </w:p>
    <w:p w14:paraId="241DF981">
      <w:pP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  <w:t xml:space="preserve">6.4.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ab/>
      </w:r>
      <w: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  <w:t>Posebne m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  <w:t>ere pri čuvanju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 xml:space="preserve"> lijeka</w:t>
      </w:r>
    </w:p>
    <w:p w14:paraId="2CF99C83">
      <w:pPr>
        <w:rPr>
          <w:rFonts w:ascii="Microsoft Sans Serif" w:hAnsi="Microsoft Sans Serif" w:cs="Microsoft Sans Serif"/>
          <w:sz w:val="20"/>
          <w:szCs w:val="20"/>
        </w:rPr>
      </w:pPr>
    </w:p>
    <w:p w14:paraId="409643B3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Lijek treba čuvati na temperaturi do 30⁰C.</w:t>
      </w:r>
    </w:p>
    <w:p w14:paraId="1C549C51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5FAFFAB9">
      <w:pP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 xml:space="preserve">6.5.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ab/>
      </w: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>Vrsta i sadržaj unutrašnjeg pakovanja lijeka</w:t>
      </w:r>
    </w:p>
    <w:p w14:paraId="7D327D18">
      <w:pPr>
        <w:rPr>
          <w:rFonts w:ascii="Microsoft Sans Serif" w:hAnsi="Microsoft Sans Serif" w:cs="Microsoft Sans Serif"/>
          <w:sz w:val="20"/>
          <w:szCs w:val="20"/>
        </w:rPr>
      </w:pPr>
    </w:p>
    <w:p w14:paraId="14F60585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Unutrašnje pakovanje: Blister od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PVC/aluminijumske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folije</w:t>
      </w:r>
      <w:r>
        <w:rPr>
          <w:rFonts w:ascii="Microsoft Sans Serif" w:hAnsi="Microsoft Sans Serif" w:cs="Microsoft Sans Serif"/>
          <w:sz w:val="20"/>
          <w:szCs w:val="20"/>
        </w:rPr>
        <w:t>.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vaki blister sadrži 10 </w:t>
      </w:r>
      <w:r>
        <w:rPr>
          <w:rFonts w:ascii="Microsoft Sans Serif" w:hAnsi="Microsoft Sans Serif" w:cs="Microsoft Sans Serif"/>
          <w:sz w:val="20"/>
          <w:szCs w:val="20"/>
        </w:rPr>
        <w:t xml:space="preserve">film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tableta.</w:t>
      </w:r>
    </w:p>
    <w:p w14:paraId="3D3E8646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Spolјašnje pakovanje: Složiva kartonska kutija koja sadrži 30 film tableta (3 blistera) i Uputstvo za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pacijenta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22B205CC">
      <w:pPr>
        <w:rPr>
          <w:rFonts w:ascii="Microsoft Sans Serif" w:hAnsi="Microsoft Sans Serif" w:cs="Microsoft Sans Serif"/>
          <w:sz w:val="20"/>
          <w:szCs w:val="20"/>
        </w:rPr>
      </w:pPr>
    </w:p>
    <w:p w14:paraId="229518D6">
      <w:pPr>
        <w:numPr>
          <w:ilvl w:val="1"/>
          <w:numId w:val="10"/>
        </w:numPr>
        <w:tabs>
          <w:tab w:val="clear" w:pos="284"/>
        </w:tabs>
        <w:ind w:left="0" w:firstLine="0"/>
        <w:rPr>
          <w:rFonts w:ascii="Microsoft Sans Serif" w:hAnsi="Microsoft Sans Serif" w:cs="Microsoft Sans Serif"/>
          <w:b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 xml:space="preserve">Uputstva za upotrebu i rukovanje i posebne mjere za uklanjanje neiskorištenog lijeka ili otpadnih materijala koji potiču od lijeka </w:t>
      </w:r>
    </w:p>
    <w:p w14:paraId="4CE68649">
      <w:pPr>
        <w:rPr>
          <w:rFonts w:ascii="Microsoft Sans Serif" w:hAnsi="Microsoft Sans Serif" w:cs="Microsoft Sans Serif"/>
          <w:sz w:val="20"/>
          <w:szCs w:val="20"/>
        </w:rPr>
      </w:pPr>
    </w:p>
    <w:p w14:paraId="42BA6F5E">
      <w:pPr>
        <w:tabs>
          <w:tab w:val="left" w:pos="567"/>
        </w:tabs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sz w:val="20"/>
          <w:szCs w:val="20"/>
          <w:lang w:val="sr-Latn-BA"/>
        </w:rPr>
        <w:t xml:space="preserve">Nema posebnih zahtjeva. </w:t>
      </w:r>
    </w:p>
    <w:p w14:paraId="054F429E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Sav neiskorišten lijek ili otpadni materijal treba zbrinuti u skladu sa lokalnim propisima.</w:t>
      </w:r>
    </w:p>
    <w:p w14:paraId="4CBB563A">
      <w:pPr>
        <w:rPr>
          <w:rFonts w:ascii="Microsoft Sans Serif" w:hAnsi="Microsoft Sans Serif" w:cs="Microsoft Sans Serif"/>
          <w:b/>
          <w:sz w:val="20"/>
          <w:szCs w:val="20"/>
          <w:lang w:val="sr-Latn-BA"/>
        </w:rPr>
      </w:pPr>
    </w:p>
    <w:p w14:paraId="49E7DD11">
      <w:pPr>
        <w:numPr>
          <w:ilvl w:val="1"/>
          <w:numId w:val="10"/>
        </w:numPr>
        <w:tabs>
          <w:tab w:val="clear" w:pos="284"/>
        </w:tabs>
        <w:ind w:left="0" w:firstLine="0"/>
        <w:rPr>
          <w:rFonts w:ascii="Microsoft Sans Serif" w:hAnsi="Microsoft Sans Serif" w:cs="Microsoft Sans Serif"/>
          <w:b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>Režim izdavanja</w:t>
      </w:r>
    </w:p>
    <w:p w14:paraId="5F18A187">
      <w:pPr>
        <w:tabs>
          <w:tab w:val="left" w:pos="567"/>
        </w:tabs>
        <w:rPr>
          <w:rFonts w:ascii="Microsoft Sans Serif" w:hAnsi="Microsoft Sans Serif" w:cs="Microsoft Sans Serif"/>
          <w:sz w:val="20"/>
          <w:szCs w:val="20"/>
          <w:lang w:val="sr-Latn-BA"/>
        </w:rPr>
      </w:pPr>
    </w:p>
    <w:p w14:paraId="4EF99567">
      <w:pPr>
        <w:rPr>
          <w:rFonts w:ascii="Microsoft Sans Serif" w:hAnsi="Microsoft Sans Serif" w:cs="Microsoft Sans Serif"/>
          <w:sz w:val="20"/>
          <w:szCs w:val="20"/>
          <w:lang w:val="fr-FR"/>
        </w:rPr>
      </w:pPr>
      <w:r>
        <w:rPr>
          <w:rFonts w:ascii="Microsoft Sans Serif" w:hAnsi="Microsoft Sans Serif" w:cs="Microsoft Sans Serif"/>
          <w:sz w:val="20"/>
          <w:szCs w:val="20"/>
          <w:lang w:val="fr-FR"/>
        </w:rPr>
        <w:t>Lijek se izdaje uz ljekarski recept.</w:t>
      </w:r>
    </w:p>
    <w:p w14:paraId="57E576B2">
      <w:pPr>
        <w:rPr>
          <w:rFonts w:ascii="Microsoft Sans Serif" w:hAnsi="Microsoft Sans Serif" w:cs="Microsoft Sans Serif"/>
          <w:b/>
          <w:sz w:val="20"/>
          <w:szCs w:val="20"/>
          <w:lang w:val="bs-Latn-BA"/>
        </w:rPr>
      </w:pPr>
    </w:p>
    <w:p w14:paraId="1907622F">
      <w:pPr>
        <w:rPr>
          <w:rFonts w:ascii="Microsoft Sans Serif" w:hAnsi="Microsoft Sans Serif" w:cs="Microsoft Sans Serif"/>
          <w:b/>
          <w:sz w:val="20"/>
          <w:szCs w:val="20"/>
          <w:lang w:val="bs-Latn-BA"/>
        </w:rPr>
      </w:pPr>
    </w:p>
    <w:p w14:paraId="4B4E5E8B">
      <w:pPr>
        <w:rPr>
          <w:rFonts w:ascii="Microsoft Sans Serif" w:hAnsi="Microsoft Sans Serif" w:cs="Microsoft Sans Serif"/>
          <w:b/>
          <w:i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>7.</w:t>
      </w: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ab/>
      </w: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ab/>
      </w: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>PROIZVOĐAČ</w:t>
      </w:r>
    </w:p>
    <w:p w14:paraId="188DE08D">
      <w:pPr>
        <w:rPr>
          <w:rFonts w:ascii="Microsoft Sans Serif" w:hAnsi="Microsoft Sans Serif" w:cs="Microsoft Sans Serif"/>
          <w:sz w:val="20"/>
          <w:szCs w:val="20"/>
          <w:lang w:val="hr-HR"/>
        </w:rPr>
      </w:pPr>
    </w:p>
    <w:p w14:paraId="15EC43D6">
      <w:pPr>
        <w:rPr>
          <w:rFonts w:ascii="Microsoft Sans Serif" w:hAnsi="Microsoft Sans Serif" w:cs="Microsoft Sans Serif"/>
          <w:i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ALKALOID AD Skopje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23F32E94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Aleksandar Makedonski br. 12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434EA255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Skopje, Republika Severna Makedonija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5E143CED">
      <w:pPr>
        <w:rPr>
          <w:rFonts w:ascii="Microsoft Sans Serif" w:hAnsi="Microsoft Sans Serif" w:cs="Microsoft Sans Serif"/>
          <w:sz w:val="20"/>
          <w:szCs w:val="20"/>
          <w:lang w:val="hr-HR"/>
        </w:rPr>
      </w:pPr>
    </w:p>
    <w:p w14:paraId="4972468D">
      <w:pPr>
        <w:rPr>
          <w:rFonts w:ascii="Microsoft Sans Serif" w:hAnsi="Microsoft Sans Serif" w:cs="Microsoft Sans Serif"/>
          <w:b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 xml:space="preserve">Proizvođač gotovog lijeka </w:t>
      </w:r>
    </w:p>
    <w:p w14:paraId="40096072">
      <w:pPr>
        <w:rPr>
          <w:rFonts w:ascii="Microsoft Sans Serif" w:hAnsi="Microsoft Sans Serif" w:cs="Microsoft Sans Serif"/>
          <w:i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ALKALOID AD Skopje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42C5CB5B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Aleksandar Makedonski br. 12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39174903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Skopje, Republika Severna Makedonija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1D18F90C">
      <w:pPr>
        <w:pStyle w:val="13"/>
        <w:rPr>
          <w:rFonts w:ascii="Microsoft Sans Serif" w:hAnsi="Microsoft Sans Serif" w:cs="Microsoft Sans Serif"/>
          <w:sz w:val="20"/>
          <w:szCs w:val="20"/>
          <w:lang w:val="sr-Latn-BA"/>
        </w:rPr>
      </w:pPr>
    </w:p>
    <w:p w14:paraId="62170D90">
      <w:pPr>
        <w:rPr>
          <w:rFonts w:ascii="Microsoft Sans Serif" w:hAnsi="Microsoft Sans Serif" w:cs="Microsoft Sans Serif"/>
          <w:b/>
          <w:i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 xml:space="preserve">Nositelj dozvole za stavljanje gotovog lijeka u promet </w:t>
      </w:r>
    </w:p>
    <w:p w14:paraId="297033BE">
      <w:pPr>
        <w:pStyle w:val="13"/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sz w:val="20"/>
          <w:szCs w:val="20"/>
          <w:lang w:val="sr-Latn-BA"/>
        </w:rPr>
        <w:t xml:space="preserve">ALKALOID doo Sarajevo </w:t>
      </w:r>
    </w:p>
    <w:p w14:paraId="507DBF1D">
      <w:pPr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sz w:val="20"/>
          <w:szCs w:val="20"/>
          <w:lang w:val="sr-Latn-BA"/>
        </w:rPr>
        <w:t>Isevića sokak 6, Sarajevo</w:t>
      </w:r>
    </w:p>
    <w:p w14:paraId="03199321">
      <w:pPr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sz w:val="20"/>
          <w:szCs w:val="20"/>
          <w:lang w:val="sr-Latn-BA"/>
        </w:rPr>
        <w:t>Bosna i Hercegovina</w:t>
      </w:r>
    </w:p>
    <w:p w14:paraId="072E196E">
      <w:pPr>
        <w:rPr>
          <w:rFonts w:ascii="Microsoft Sans Serif" w:hAnsi="Microsoft Sans Serif" w:cs="Microsoft Sans Serif"/>
          <w:sz w:val="20"/>
          <w:szCs w:val="20"/>
          <w:lang w:val="bs-Latn-BA"/>
        </w:rPr>
      </w:pPr>
    </w:p>
    <w:p w14:paraId="0E924C89">
      <w:pPr>
        <w:tabs>
          <w:tab w:val="left" w:pos="567"/>
        </w:tabs>
        <w:rPr>
          <w:rFonts w:ascii="Microsoft Sans Serif" w:hAnsi="Microsoft Sans Serif" w:cs="Microsoft Sans Serif"/>
          <w:sz w:val="20"/>
          <w:szCs w:val="20"/>
          <w:lang w:val="sr-Latn-BA"/>
        </w:rPr>
      </w:pPr>
    </w:p>
    <w:p w14:paraId="1D8ED763">
      <w:pPr>
        <w:tabs>
          <w:tab w:val="left" w:pos="360"/>
        </w:tabs>
        <w:rPr>
          <w:rFonts w:ascii="Microsoft Sans Serif" w:hAnsi="Microsoft Sans Serif" w:cs="Microsoft Sans Serif"/>
          <w:b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>8.</w:t>
      </w: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ab/>
      </w: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ab/>
      </w: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>BROJ I DATUM DOZVOLE ZA STAVLJANJE GOTOVOG LIJEKA U PROMET</w:t>
      </w:r>
    </w:p>
    <w:p w14:paraId="0BE9C154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79042B4B">
      <w:pPr>
        <w:rPr>
          <w:rFonts w:ascii="Microsoft Sans Serif" w:hAnsi="Microsoft Sans Serif" w:cs="Microsoft Sans Serif"/>
          <w:b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>Alkaformin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,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500 mg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,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 xml:space="preserve">film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tablete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: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 04-07.3-1-4191/20 od 26.03.2021. godine</w:t>
      </w:r>
    </w:p>
    <w:p w14:paraId="2FFDE524">
      <w:pPr>
        <w:rPr>
          <w:rFonts w:ascii="Microsoft Sans Serif" w:hAnsi="Microsoft Sans Serif" w:cs="Microsoft Sans Serif"/>
          <w:b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>Alkaformin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,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850 mg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,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 xml:space="preserve">film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tablete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: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 04-07.3-1-4192/20 od 26.03.2021. godine</w:t>
      </w:r>
    </w:p>
    <w:p w14:paraId="3A4C6A86">
      <w:pPr>
        <w:rPr>
          <w:rFonts w:ascii="Microsoft Sans Serif" w:hAnsi="Microsoft Sans Serif" w:cs="Microsoft Sans Serif"/>
          <w:b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>Alkaformin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,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1000 mg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,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 xml:space="preserve">film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tablete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: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 04-07.3-1-4193/20 od 26.03.2021. godine</w:t>
      </w:r>
    </w:p>
    <w:p w14:paraId="351156B3">
      <w:pPr>
        <w:rPr>
          <w:rFonts w:ascii="Microsoft Sans Serif" w:hAnsi="Microsoft Sans Serif" w:cs="Microsoft Sans Serif"/>
          <w:sz w:val="20"/>
          <w:szCs w:val="20"/>
          <w:highlight w:val="yellow"/>
        </w:rPr>
      </w:pPr>
    </w:p>
    <w:p w14:paraId="7537EE0C">
      <w:pPr>
        <w:tabs>
          <w:tab w:val="left" w:pos="360"/>
        </w:tabs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>9.</w:t>
      </w: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ab/>
      </w: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ab/>
      </w: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 xml:space="preserve">DATUM REVIZIJE SAŽETKA KARAKTERISTIKA LIJEKA </w:t>
      </w:r>
    </w:p>
    <w:p w14:paraId="7DB442D2">
      <w:pPr>
        <w:rPr>
          <w:rFonts w:ascii="Microsoft Sans Serif" w:hAnsi="Microsoft Sans Serif" w:cs="Microsoft Sans Serif"/>
          <w:sz w:val="20"/>
          <w:szCs w:val="20"/>
          <w:lang w:val="sr-Latn-BA"/>
        </w:rPr>
      </w:pPr>
    </w:p>
    <w:p w14:paraId="07746FA6">
      <w:pPr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sz w:val="20"/>
          <w:szCs w:val="20"/>
          <w:lang w:val="sr-Latn-BA"/>
        </w:rPr>
        <w:t>Mart, 2021 g.</w:t>
      </w:r>
    </w:p>
    <w:p w14:paraId="18EBE270">
      <w:pPr>
        <w:rPr>
          <w:rFonts w:ascii="Microsoft Sans Serif" w:hAnsi="Microsoft Sans Serif" w:cs="Microsoft Sans Serif"/>
          <w:bCs/>
          <w:sz w:val="20"/>
          <w:szCs w:val="20"/>
          <w:lang w:val="mk-MK"/>
        </w:rPr>
      </w:pPr>
    </w:p>
    <w:p w14:paraId="2C5A9FD5">
      <w:pPr>
        <w:rPr>
          <w:rFonts w:ascii="Microsoft Sans Serif" w:hAnsi="Microsoft Sans Serif" w:cs="Microsoft Sans Serif"/>
          <w:bCs/>
          <w:sz w:val="20"/>
          <w:szCs w:val="20"/>
        </w:rPr>
      </w:pPr>
    </w:p>
    <w:sectPr>
      <w:footerReference r:id="rId3" w:type="default"/>
      <w:footerReference r:id="rId4" w:type="even"/>
      <w:pgSz w:w="11907" w:h="16840"/>
      <w:pgMar w:top="2552" w:right="1134" w:bottom="1134" w:left="1418" w:header="357" w:footer="805" w:gutter="0"/>
      <w:pgNumType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(W1)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Humanist777">
    <w:altName w:val="Lucida Sans Unicode"/>
    <w:panose1 w:val="00000000000000000000"/>
    <w:charset w:val="00"/>
    <w:family w:val="swiss"/>
    <w:pitch w:val="default"/>
    <w:sig w:usb0="00000000" w:usb1="00000000" w:usb2="00000000" w:usb3="00000000" w:csb0="0000001B" w:csb1="00000000"/>
  </w:font>
  <w:font w:name="MAC C Swiss">
    <w:altName w:val="Courier New"/>
    <w:panose1 w:val="020B7200000000000000"/>
    <w:charset w:val="00"/>
    <w:family w:val="swiss"/>
    <w:pitch w:val="default"/>
    <w:sig w:usb0="00000000" w:usb1="00000000" w:usb2="00000000" w:usb3="00000000" w:csb0="00000009" w:csb1="0000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9FECA">
    <w:pPr>
      <w:pStyle w:val="12"/>
      <w:tabs>
        <w:tab w:val="left" w:pos="5448"/>
      </w:tabs>
      <w:spacing w:before="360"/>
      <w:jc w:val="center"/>
    </w:pPr>
    <w:sdt>
      <w:sdtPr>
        <w:id w:val="25862803"/>
        <w:docPartObj>
          <w:docPartGallery w:val="AutoText"/>
        </w:docPartObj>
      </w:sdtPr>
      <w:sdtContent>
        <w:sdt>
          <w:sdtPr>
            <w:id w:val="565050477"/>
            <w:docPartObj>
              <w:docPartGallery w:val="AutoText"/>
            </w:docPartObj>
          </w:sdtPr>
          <w:sdtContent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PAGE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od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NUMPAGES 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fldChar w:fldCharType="end"/>
            </w:r>
          </w:sdtContent>
        </w:sdt>
      </w:sdtContent>
    </w:sdt>
  </w:p>
  <w:p w14:paraId="44C06393"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411658">
    <w:pPr>
      <w:pStyle w:val="12"/>
      <w:framePr w:wrap="around" w:vAnchor="text" w:hAnchor="margin" w:xAlign="right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 w14:paraId="31030E08">
    <w:pPr>
      <w:pStyle w:val="1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275A75"/>
    <w:multiLevelType w:val="multilevel"/>
    <w:tmpl w:val="09275A7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3235D70"/>
    <w:multiLevelType w:val="multilevel"/>
    <w:tmpl w:val="13235D7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334293C"/>
    <w:multiLevelType w:val="multilevel"/>
    <w:tmpl w:val="2334293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6036B7A"/>
    <w:multiLevelType w:val="multilevel"/>
    <w:tmpl w:val="26036B7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6205E84"/>
    <w:multiLevelType w:val="multilevel"/>
    <w:tmpl w:val="26205E8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AA04291"/>
    <w:multiLevelType w:val="multilevel"/>
    <w:tmpl w:val="3AA0429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CEB51AC"/>
    <w:multiLevelType w:val="multilevel"/>
    <w:tmpl w:val="3CEB51A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E1F5A18"/>
    <w:multiLevelType w:val="multilevel"/>
    <w:tmpl w:val="3E1F5A18"/>
    <w:lvl w:ilvl="0" w:tentative="0">
      <w:start w:val="0"/>
      <w:numFmt w:val="bullet"/>
      <w:lvlText w:val="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4EA3116A"/>
    <w:multiLevelType w:val="multilevel"/>
    <w:tmpl w:val="4EA3116A"/>
    <w:lvl w:ilvl="0" w:tentative="0">
      <w:start w:val="6"/>
      <w:numFmt w:val="decimal"/>
      <w:lvlText w:val="%1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1" w:tentative="0">
      <w:start w:val="6"/>
      <w:numFmt w:val="decimal"/>
      <w:lvlText w:val="%1.%2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</w:abstractNum>
  <w:abstractNum w:abstractNumId="9">
    <w:nsid w:val="5AF70171"/>
    <w:multiLevelType w:val="multilevel"/>
    <w:tmpl w:val="5AF7017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425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6DA"/>
    <w:rsid w:val="00004111"/>
    <w:rsid w:val="00017801"/>
    <w:rsid w:val="00052BAA"/>
    <w:rsid w:val="00064273"/>
    <w:rsid w:val="00071AEF"/>
    <w:rsid w:val="00075CF2"/>
    <w:rsid w:val="00083BE0"/>
    <w:rsid w:val="0008563F"/>
    <w:rsid w:val="00092307"/>
    <w:rsid w:val="00095FB6"/>
    <w:rsid w:val="0009758B"/>
    <w:rsid w:val="000A0F4A"/>
    <w:rsid w:val="000C7C16"/>
    <w:rsid w:val="000D064D"/>
    <w:rsid w:val="000D5631"/>
    <w:rsid w:val="000E75C0"/>
    <w:rsid w:val="00104A3F"/>
    <w:rsid w:val="00115375"/>
    <w:rsid w:val="00124E89"/>
    <w:rsid w:val="00126BB3"/>
    <w:rsid w:val="00141639"/>
    <w:rsid w:val="0014180A"/>
    <w:rsid w:val="00152F52"/>
    <w:rsid w:val="00173D18"/>
    <w:rsid w:val="00175772"/>
    <w:rsid w:val="00175A7E"/>
    <w:rsid w:val="001966B5"/>
    <w:rsid w:val="001A798E"/>
    <w:rsid w:val="001B4B70"/>
    <w:rsid w:val="001B706A"/>
    <w:rsid w:val="001D10C9"/>
    <w:rsid w:val="001D7F86"/>
    <w:rsid w:val="001E0A07"/>
    <w:rsid w:val="001E6145"/>
    <w:rsid w:val="001F2D4E"/>
    <w:rsid w:val="001F39B6"/>
    <w:rsid w:val="00203AF1"/>
    <w:rsid w:val="0022218E"/>
    <w:rsid w:val="0022223A"/>
    <w:rsid w:val="00226C3D"/>
    <w:rsid w:val="0024132F"/>
    <w:rsid w:val="00241FF9"/>
    <w:rsid w:val="00242DCD"/>
    <w:rsid w:val="00247C5C"/>
    <w:rsid w:val="00251F80"/>
    <w:rsid w:val="00273BE0"/>
    <w:rsid w:val="00274BDD"/>
    <w:rsid w:val="00287783"/>
    <w:rsid w:val="002B2E99"/>
    <w:rsid w:val="002B6F6A"/>
    <w:rsid w:val="002C0FBF"/>
    <w:rsid w:val="002C5A7B"/>
    <w:rsid w:val="002D4037"/>
    <w:rsid w:val="002F303B"/>
    <w:rsid w:val="002F5E2F"/>
    <w:rsid w:val="00313DF6"/>
    <w:rsid w:val="00316FC0"/>
    <w:rsid w:val="00335143"/>
    <w:rsid w:val="003452C0"/>
    <w:rsid w:val="00364428"/>
    <w:rsid w:val="00375B7C"/>
    <w:rsid w:val="00383195"/>
    <w:rsid w:val="003A2DF8"/>
    <w:rsid w:val="003A3DF0"/>
    <w:rsid w:val="003A43A6"/>
    <w:rsid w:val="003B2082"/>
    <w:rsid w:val="003B2A0B"/>
    <w:rsid w:val="003C18A4"/>
    <w:rsid w:val="003D29AA"/>
    <w:rsid w:val="003D7960"/>
    <w:rsid w:val="003E0C76"/>
    <w:rsid w:val="003E3EC7"/>
    <w:rsid w:val="003E5F5C"/>
    <w:rsid w:val="003F33B6"/>
    <w:rsid w:val="003F51F8"/>
    <w:rsid w:val="003F6773"/>
    <w:rsid w:val="004123CD"/>
    <w:rsid w:val="004234ED"/>
    <w:rsid w:val="004262B5"/>
    <w:rsid w:val="00427D41"/>
    <w:rsid w:val="00461E80"/>
    <w:rsid w:val="00462C33"/>
    <w:rsid w:val="004900E6"/>
    <w:rsid w:val="00490DD9"/>
    <w:rsid w:val="00492248"/>
    <w:rsid w:val="00497648"/>
    <w:rsid w:val="004B055F"/>
    <w:rsid w:val="004B48D6"/>
    <w:rsid w:val="004B5A11"/>
    <w:rsid w:val="004B7A50"/>
    <w:rsid w:val="004C12C7"/>
    <w:rsid w:val="004C7657"/>
    <w:rsid w:val="004D230F"/>
    <w:rsid w:val="004D784D"/>
    <w:rsid w:val="004E0336"/>
    <w:rsid w:val="004E4D7A"/>
    <w:rsid w:val="004F2FC9"/>
    <w:rsid w:val="00503332"/>
    <w:rsid w:val="00503974"/>
    <w:rsid w:val="0052230B"/>
    <w:rsid w:val="00525A8A"/>
    <w:rsid w:val="005276F0"/>
    <w:rsid w:val="00530909"/>
    <w:rsid w:val="00597336"/>
    <w:rsid w:val="005B0D03"/>
    <w:rsid w:val="005B3388"/>
    <w:rsid w:val="005B487C"/>
    <w:rsid w:val="005C212E"/>
    <w:rsid w:val="005C3F73"/>
    <w:rsid w:val="005C7891"/>
    <w:rsid w:val="005D1EEE"/>
    <w:rsid w:val="005D449E"/>
    <w:rsid w:val="005F4AFC"/>
    <w:rsid w:val="005F589F"/>
    <w:rsid w:val="00603302"/>
    <w:rsid w:val="00604E4F"/>
    <w:rsid w:val="006054EE"/>
    <w:rsid w:val="006118B6"/>
    <w:rsid w:val="0062214D"/>
    <w:rsid w:val="006270C0"/>
    <w:rsid w:val="00630195"/>
    <w:rsid w:val="00636444"/>
    <w:rsid w:val="006555B8"/>
    <w:rsid w:val="006559AF"/>
    <w:rsid w:val="006605F8"/>
    <w:rsid w:val="00660965"/>
    <w:rsid w:val="00690F65"/>
    <w:rsid w:val="00692864"/>
    <w:rsid w:val="00693874"/>
    <w:rsid w:val="00693F46"/>
    <w:rsid w:val="006A5702"/>
    <w:rsid w:val="006C7F6D"/>
    <w:rsid w:val="006F158F"/>
    <w:rsid w:val="00746429"/>
    <w:rsid w:val="0076291D"/>
    <w:rsid w:val="00764648"/>
    <w:rsid w:val="007672F3"/>
    <w:rsid w:val="00770331"/>
    <w:rsid w:val="007773C2"/>
    <w:rsid w:val="00782C53"/>
    <w:rsid w:val="0079526D"/>
    <w:rsid w:val="007B16C4"/>
    <w:rsid w:val="007C2D7E"/>
    <w:rsid w:val="007C5238"/>
    <w:rsid w:val="007C57D9"/>
    <w:rsid w:val="007D17FD"/>
    <w:rsid w:val="007D48C5"/>
    <w:rsid w:val="007E06F0"/>
    <w:rsid w:val="007F0EBE"/>
    <w:rsid w:val="00802DFC"/>
    <w:rsid w:val="008130E2"/>
    <w:rsid w:val="00814781"/>
    <w:rsid w:val="00816844"/>
    <w:rsid w:val="00816CFE"/>
    <w:rsid w:val="00826766"/>
    <w:rsid w:val="00834DBB"/>
    <w:rsid w:val="00842FFB"/>
    <w:rsid w:val="008438A3"/>
    <w:rsid w:val="0086351A"/>
    <w:rsid w:val="0086371F"/>
    <w:rsid w:val="00874101"/>
    <w:rsid w:val="00874B34"/>
    <w:rsid w:val="00874B61"/>
    <w:rsid w:val="00880C9E"/>
    <w:rsid w:val="00883DEA"/>
    <w:rsid w:val="00887634"/>
    <w:rsid w:val="00894ACC"/>
    <w:rsid w:val="008A337E"/>
    <w:rsid w:val="008A48B7"/>
    <w:rsid w:val="008B0A2A"/>
    <w:rsid w:val="008B0D28"/>
    <w:rsid w:val="008B3EB5"/>
    <w:rsid w:val="008C5809"/>
    <w:rsid w:val="008D2E97"/>
    <w:rsid w:val="008D78C9"/>
    <w:rsid w:val="008E0FC9"/>
    <w:rsid w:val="00912097"/>
    <w:rsid w:val="00913684"/>
    <w:rsid w:val="00923865"/>
    <w:rsid w:val="0093016E"/>
    <w:rsid w:val="00934B4D"/>
    <w:rsid w:val="0094395F"/>
    <w:rsid w:val="00954CF0"/>
    <w:rsid w:val="00955C75"/>
    <w:rsid w:val="009677DF"/>
    <w:rsid w:val="009760AE"/>
    <w:rsid w:val="009946F8"/>
    <w:rsid w:val="00996E6B"/>
    <w:rsid w:val="009A1D64"/>
    <w:rsid w:val="009A3B6F"/>
    <w:rsid w:val="009B1292"/>
    <w:rsid w:val="009B2430"/>
    <w:rsid w:val="009B338B"/>
    <w:rsid w:val="009B4ABF"/>
    <w:rsid w:val="009B58AD"/>
    <w:rsid w:val="009B7935"/>
    <w:rsid w:val="009C7280"/>
    <w:rsid w:val="009C7BA2"/>
    <w:rsid w:val="009D1161"/>
    <w:rsid w:val="009D667B"/>
    <w:rsid w:val="009E359A"/>
    <w:rsid w:val="009E7E15"/>
    <w:rsid w:val="009F4449"/>
    <w:rsid w:val="00A02252"/>
    <w:rsid w:val="00A0325E"/>
    <w:rsid w:val="00A1185B"/>
    <w:rsid w:val="00A127F1"/>
    <w:rsid w:val="00A2394D"/>
    <w:rsid w:val="00A27130"/>
    <w:rsid w:val="00A312CE"/>
    <w:rsid w:val="00A65FE4"/>
    <w:rsid w:val="00A7147C"/>
    <w:rsid w:val="00A7660B"/>
    <w:rsid w:val="00A86236"/>
    <w:rsid w:val="00A86897"/>
    <w:rsid w:val="00A95733"/>
    <w:rsid w:val="00AB5465"/>
    <w:rsid w:val="00AC6F25"/>
    <w:rsid w:val="00AE72D9"/>
    <w:rsid w:val="00AF4BA8"/>
    <w:rsid w:val="00B01BC0"/>
    <w:rsid w:val="00B10EB5"/>
    <w:rsid w:val="00B26FAC"/>
    <w:rsid w:val="00B31739"/>
    <w:rsid w:val="00B31AA2"/>
    <w:rsid w:val="00B33C42"/>
    <w:rsid w:val="00B62521"/>
    <w:rsid w:val="00B66CAE"/>
    <w:rsid w:val="00B74C0B"/>
    <w:rsid w:val="00B8400D"/>
    <w:rsid w:val="00B93A37"/>
    <w:rsid w:val="00BA1819"/>
    <w:rsid w:val="00BA5A22"/>
    <w:rsid w:val="00BA5B2B"/>
    <w:rsid w:val="00BA7CDD"/>
    <w:rsid w:val="00BB1741"/>
    <w:rsid w:val="00BB55E5"/>
    <w:rsid w:val="00BD725A"/>
    <w:rsid w:val="00BE2A2C"/>
    <w:rsid w:val="00BF3750"/>
    <w:rsid w:val="00C06244"/>
    <w:rsid w:val="00C40975"/>
    <w:rsid w:val="00C424C5"/>
    <w:rsid w:val="00C51BD7"/>
    <w:rsid w:val="00C536C2"/>
    <w:rsid w:val="00C55F47"/>
    <w:rsid w:val="00C56E2E"/>
    <w:rsid w:val="00C57850"/>
    <w:rsid w:val="00C64A31"/>
    <w:rsid w:val="00C823FB"/>
    <w:rsid w:val="00C82E8B"/>
    <w:rsid w:val="00C87173"/>
    <w:rsid w:val="00CC4C88"/>
    <w:rsid w:val="00CD0B1F"/>
    <w:rsid w:val="00CD21F3"/>
    <w:rsid w:val="00CD3F96"/>
    <w:rsid w:val="00CD66E2"/>
    <w:rsid w:val="00CE0487"/>
    <w:rsid w:val="00CE09F3"/>
    <w:rsid w:val="00CE76DA"/>
    <w:rsid w:val="00D036B6"/>
    <w:rsid w:val="00D0649D"/>
    <w:rsid w:val="00D11E94"/>
    <w:rsid w:val="00D24F74"/>
    <w:rsid w:val="00D25E96"/>
    <w:rsid w:val="00D30389"/>
    <w:rsid w:val="00D337F6"/>
    <w:rsid w:val="00D46D08"/>
    <w:rsid w:val="00D50F8C"/>
    <w:rsid w:val="00D52CDB"/>
    <w:rsid w:val="00D61710"/>
    <w:rsid w:val="00D6538B"/>
    <w:rsid w:val="00D6611E"/>
    <w:rsid w:val="00D6687D"/>
    <w:rsid w:val="00D85C5F"/>
    <w:rsid w:val="00D85F37"/>
    <w:rsid w:val="00DB4534"/>
    <w:rsid w:val="00DD2A82"/>
    <w:rsid w:val="00DD7CF7"/>
    <w:rsid w:val="00DE0099"/>
    <w:rsid w:val="00DE1307"/>
    <w:rsid w:val="00DE49BD"/>
    <w:rsid w:val="00DF46E4"/>
    <w:rsid w:val="00E04856"/>
    <w:rsid w:val="00E06642"/>
    <w:rsid w:val="00E3498B"/>
    <w:rsid w:val="00E46200"/>
    <w:rsid w:val="00E504B4"/>
    <w:rsid w:val="00E50CD3"/>
    <w:rsid w:val="00E56089"/>
    <w:rsid w:val="00E71D56"/>
    <w:rsid w:val="00E7744E"/>
    <w:rsid w:val="00E87BE1"/>
    <w:rsid w:val="00E92E87"/>
    <w:rsid w:val="00E941F0"/>
    <w:rsid w:val="00EA020F"/>
    <w:rsid w:val="00EA1F85"/>
    <w:rsid w:val="00ED500B"/>
    <w:rsid w:val="00ED7227"/>
    <w:rsid w:val="00ED735F"/>
    <w:rsid w:val="00EE0CE1"/>
    <w:rsid w:val="00EE37AF"/>
    <w:rsid w:val="00F0217C"/>
    <w:rsid w:val="00F302DD"/>
    <w:rsid w:val="00F33E94"/>
    <w:rsid w:val="00F5775F"/>
    <w:rsid w:val="00F6033A"/>
    <w:rsid w:val="00F63F24"/>
    <w:rsid w:val="00F857F1"/>
    <w:rsid w:val="00FA110B"/>
    <w:rsid w:val="00FA4381"/>
    <w:rsid w:val="00FB302D"/>
    <w:rsid w:val="00FB3C91"/>
    <w:rsid w:val="00FB5520"/>
    <w:rsid w:val="00FC2449"/>
    <w:rsid w:val="00FD72D9"/>
    <w:rsid w:val="00FE7E4F"/>
    <w:rsid w:val="00FF0D13"/>
    <w:rsid w:val="3B7E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tabs>
        <w:tab w:val="left" w:pos="284"/>
      </w:tabs>
      <w:jc w:val="both"/>
    </w:pPr>
    <w:rPr>
      <w:rFonts w:ascii="Times New Roman" w:hAnsi="Times New Roman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Arial (W1)" w:hAnsi="Arial (W1)" w:cs="Arial"/>
      <w:b/>
      <w:bCs/>
      <w:i/>
      <w:iCs/>
      <w:sz w:val="32"/>
      <w:u w:val="single"/>
      <w:lang w:val="sr-Latn-CS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rFonts w:ascii="Arial" w:hAnsi="Arial" w:cs="Arial"/>
      <w:i/>
      <w:iCs/>
      <w:color w:val="999999"/>
      <w:sz w:val="18"/>
    </w:rPr>
  </w:style>
  <w:style w:type="paragraph" w:styleId="4">
    <w:name w:val="heading 3"/>
    <w:basedOn w:val="1"/>
    <w:next w:val="1"/>
    <w:qFormat/>
    <w:uiPriority w:val="0"/>
    <w:pPr>
      <w:keepNext/>
      <w:tabs>
        <w:tab w:val="clear" w:pos="284"/>
      </w:tabs>
      <w:ind w:left="72" w:hanging="72"/>
      <w:jc w:val="left"/>
      <w:outlineLvl w:val="2"/>
    </w:pPr>
    <w:rPr>
      <w:rFonts w:ascii="Arial" w:hAnsi="Arial" w:cs="Arial"/>
      <w:i/>
      <w:iCs/>
      <w:color w:val="999999"/>
      <w:sz w:val="18"/>
    </w:rPr>
  </w:style>
  <w:style w:type="paragraph" w:styleId="5">
    <w:name w:val="heading 4"/>
    <w:basedOn w:val="1"/>
    <w:next w:val="1"/>
    <w:qFormat/>
    <w:uiPriority w:val="0"/>
    <w:pPr>
      <w:keepNext/>
      <w:ind w:right="265"/>
      <w:jc w:val="right"/>
      <w:outlineLvl w:val="3"/>
    </w:pPr>
    <w:rPr>
      <w:rFonts w:ascii="Arial" w:hAnsi="Arial" w:cs="Arial"/>
      <w:i/>
      <w:iCs/>
      <w:color w:val="999999"/>
      <w:sz w:val="16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character" w:styleId="9">
    <w:name w:val="annotation reference"/>
    <w:qFormat/>
    <w:uiPriority w:val="0"/>
    <w:rPr>
      <w:sz w:val="16"/>
      <w:szCs w:val="16"/>
    </w:rPr>
  </w:style>
  <w:style w:type="paragraph" w:styleId="10">
    <w:name w:val="annotation text"/>
    <w:basedOn w:val="1"/>
    <w:semiHidden/>
    <w:qFormat/>
    <w:uiPriority w:val="0"/>
    <w:rPr>
      <w:sz w:val="20"/>
      <w:szCs w:val="20"/>
    </w:rPr>
  </w:style>
  <w:style w:type="paragraph" w:styleId="11">
    <w:name w:val="annotation subject"/>
    <w:basedOn w:val="10"/>
    <w:next w:val="10"/>
    <w:semiHidden/>
    <w:qFormat/>
    <w:uiPriority w:val="0"/>
    <w:rPr>
      <w:b/>
      <w:bCs/>
    </w:rPr>
  </w:style>
  <w:style w:type="paragraph" w:styleId="12">
    <w:name w:val="footer"/>
    <w:basedOn w:val="1"/>
    <w:link w:val="16"/>
    <w:qFormat/>
    <w:uiPriority w:val="99"/>
    <w:pPr>
      <w:tabs>
        <w:tab w:val="center" w:pos="4536"/>
        <w:tab w:val="right" w:pos="9072"/>
        <w:tab w:val="clear" w:pos="284"/>
      </w:tabs>
    </w:pPr>
  </w:style>
  <w:style w:type="paragraph" w:styleId="13">
    <w:name w:val="header"/>
    <w:basedOn w:val="1"/>
    <w:link w:val="19"/>
    <w:qFormat/>
    <w:uiPriority w:val="0"/>
    <w:pPr>
      <w:tabs>
        <w:tab w:val="center" w:pos="4536"/>
        <w:tab w:val="right" w:pos="9072"/>
        <w:tab w:val="clear" w:pos="284"/>
      </w:tabs>
    </w:pPr>
  </w:style>
  <w:style w:type="character" w:styleId="14">
    <w:name w:val="Hyperlink"/>
    <w:basedOn w:val="6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page number"/>
    <w:basedOn w:val="6"/>
    <w:qFormat/>
    <w:uiPriority w:val="0"/>
  </w:style>
  <w:style w:type="character" w:customStyle="1" w:styleId="16">
    <w:name w:val="Footer Char"/>
    <w:basedOn w:val="6"/>
    <w:link w:val="12"/>
    <w:qFormat/>
    <w:uiPriority w:val="99"/>
    <w:rPr>
      <w:rFonts w:ascii="Humanist777" w:hAnsi="Humanist777"/>
      <w:sz w:val="24"/>
      <w:szCs w:val="24"/>
    </w:rPr>
  </w:style>
  <w:style w:type="paragraph" w:customStyle="1" w:styleId="17">
    <w:name w:val="NASLOV 123"/>
    <w:basedOn w:val="1"/>
    <w:qFormat/>
    <w:uiPriority w:val="0"/>
    <w:pPr>
      <w:spacing w:before="200" w:after="200"/>
      <w:jc w:val="left"/>
    </w:pPr>
    <w:rPr>
      <w:b/>
      <w:szCs w:val="22"/>
    </w:rPr>
  </w:style>
  <w:style w:type="paragraph" w:styleId="18">
    <w:name w:val="List Paragraph"/>
    <w:basedOn w:val="1"/>
    <w:qFormat/>
    <w:uiPriority w:val="0"/>
    <w:pPr>
      <w:ind w:left="720"/>
      <w:contextualSpacing/>
    </w:pPr>
  </w:style>
  <w:style w:type="character" w:customStyle="1" w:styleId="19">
    <w:name w:val="Header Char"/>
    <w:basedOn w:val="6"/>
    <w:link w:val="13"/>
    <w:qFormat/>
    <w:uiPriority w:val="99"/>
    <w:rPr>
      <w:sz w:val="22"/>
      <w:szCs w:val="24"/>
    </w:rPr>
  </w:style>
  <w:style w:type="paragraph" w:customStyle="1" w:styleId="20">
    <w:name w:val="Revision"/>
    <w:hidden/>
    <w:semiHidden/>
    <w:qFormat/>
    <w:uiPriority w:val="99"/>
    <w:rPr>
      <w:rFonts w:ascii="Times New Roman" w:hAnsi="Times New Roman" w:eastAsia="Times New Roman" w:cs="Times New Roman"/>
      <w:sz w:val="22"/>
      <w:szCs w:val="24"/>
      <w:lang w:val="en-US" w:eastAsia="en-US" w:bidi="ar-SA"/>
    </w:rPr>
  </w:style>
  <w:style w:type="character" w:customStyle="1" w:styleId="21">
    <w:name w:val="Header Char1"/>
    <w:qFormat/>
    <w:locked/>
    <w:uiPriority w:val="0"/>
    <w:rPr>
      <w:rFonts w:ascii="MAC C Swiss" w:hAnsi="MAC C Swiss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5E7BF-81C9-419D-897B-F87F270059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3932</Words>
  <Characters>22413</Characters>
  <Lines>186</Lines>
  <Paragraphs>52</Paragraphs>
  <TotalTime>1</TotalTime>
  <ScaleCrop>false</ScaleCrop>
  <LinksUpToDate>false</LinksUpToDate>
  <CharactersWithSpaces>26293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2021-07-30T05:17:00Z</dcterms:created>
  <dc:creator>TANJANE</dc:creator>
  <cp:lastModifiedBy>Haris</cp:lastModifiedBy>
  <cp:lastPrinted>2020-12-17T08:24:00Z</cp:lastPrinted>
  <dcterms:modified xsi:type="dcterms:W3CDTF">2025-02-21T14:29:37Z</dcterms:modified>
  <dc:title>SAŽETAK KARAKTERISTIKA LEKA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0C93991B2D83484181956748BA791009_13</vt:lpwstr>
  </property>
</Properties>
</file>