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1D7C7">
      <w:pPr>
        <w:pStyle w:val="12"/>
        <w:shd w:val="clear" w:color="auto" w:fill="auto"/>
        <w:spacing w:line="240" w:lineRule="auto"/>
        <w:ind w:firstLine="0"/>
        <w:rPr>
          <w:b/>
          <w:sz w:val="20"/>
          <w:szCs w:val="20"/>
        </w:rPr>
      </w:pPr>
      <w:bookmarkStart w:id="0" w:name="_GoBack"/>
      <w:bookmarkEnd w:id="0"/>
      <w:r>
        <w:rPr>
          <w:b/>
          <w:sz w:val="20"/>
          <w:szCs w:val="20"/>
        </w:rPr>
        <w:t>SAŽETAK KARAKTERISTIKA LIJEKA</w:t>
      </w:r>
    </w:p>
    <w:p w14:paraId="07FFCF3B">
      <w:pPr>
        <w:pStyle w:val="12"/>
        <w:shd w:val="clear" w:color="auto" w:fill="auto"/>
        <w:spacing w:line="240" w:lineRule="auto"/>
        <w:ind w:firstLine="0"/>
        <w:rPr>
          <w:b/>
          <w:sz w:val="20"/>
          <w:szCs w:val="20"/>
        </w:rPr>
      </w:pPr>
    </w:p>
    <w:p w14:paraId="7BBDB284">
      <w:pPr>
        <w:pStyle w:val="12"/>
        <w:shd w:val="clear" w:color="auto" w:fill="auto"/>
        <w:spacing w:line="240" w:lineRule="auto"/>
        <w:ind w:firstLine="0"/>
        <w:rPr>
          <w:b/>
          <w:sz w:val="20"/>
          <w:szCs w:val="20"/>
        </w:rPr>
      </w:pPr>
    </w:p>
    <w:p w14:paraId="377678FA">
      <w:pPr>
        <w:pStyle w:val="12"/>
        <w:numPr>
          <w:ilvl w:val="0"/>
          <w:numId w:val="1"/>
        </w:numPr>
        <w:shd w:val="clear" w:color="auto" w:fill="auto"/>
        <w:tabs>
          <w:tab w:val="left" w:pos="589"/>
        </w:tabs>
        <w:spacing w:line="240" w:lineRule="auto"/>
        <w:ind w:firstLine="0"/>
        <w:jc w:val="both"/>
        <w:rPr>
          <w:b/>
          <w:sz w:val="20"/>
          <w:szCs w:val="20"/>
        </w:rPr>
      </w:pPr>
      <w:r>
        <w:rPr>
          <w:b/>
          <w:sz w:val="20"/>
          <w:szCs w:val="20"/>
        </w:rPr>
        <w:t>NAZIV GOTOVOG LIJEKA</w:t>
      </w:r>
    </w:p>
    <w:p w14:paraId="570BCE95">
      <w:pPr>
        <w:pStyle w:val="12"/>
        <w:shd w:val="clear" w:color="auto" w:fill="auto"/>
        <w:tabs>
          <w:tab w:val="left" w:pos="589"/>
        </w:tabs>
        <w:spacing w:line="240" w:lineRule="auto"/>
        <w:ind w:firstLine="0"/>
        <w:jc w:val="both"/>
        <w:rPr>
          <w:b/>
          <w:sz w:val="20"/>
          <w:szCs w:val="20"/>
        </w:rPr>
      </w:pPr>
    </w:p>
    <w:p w14:paraId="7B011A12">
      <w:pPr>
        <w:pStyle w:val="12"/>
        <w:shd w:val="clear" w:color="auto" w:fill="auto"/>
        <w:spacing w:line="240" w:lineRule="auto"/>
        <w:ind w:firstLine="0"/>
        <w:jc w:val="both"/>
        <w:rPr>
          <w:sz w:val="20"/>
          <w:szCs w:val="20"/>
        </w:rPr>
      </w:pPr>
      <w:r>
        <w:rPr>
          <w:sz w:val="20"/>
          <w:szCs w:val="20"/>
        </w:rPr>
        <w:t xml:space="preserve">Syrleno 2,5 mg tableta </w:t>
      </w:r>
    </w:p>
    <w:p w14:paraId="74520C9D">
      <w:pPr>
        <w:pStyle w:val="12"/>
        <w:shd w:val="clear" w:color="auto" w:fill="auto"/>
        <w:spacing w:line="240" w:lineRule="auto"/>
        <w:ind w:firstLine="0"/>
        <w:jc w:val="both"/>
        <w:rPr>
          <w:sz w:val="20"/>
          <w:szCs w:val="20"/>
        </w:rPr>
      </w:pPr>
      <w:r>
        <w:rPr>
          <w:sz w:val="20"/>
          <w:szCs w:val="20"/>
        </w:rPr>
        <w:t xml:space="preserve">Syrleno 5 mg tableta </w:t>
      </w:r>
    </w:p>
    <w:p w14:paraId="0ABAC86B">
      <w:pPr>
        <w:pStyle w:val="12"/>
        <w:shd w:val="clear" w:color="auto" w:fill="auto"/>
        <w:spacing w:line="240" w:lineRule="auto"/>
        <w:ind w:firstLine="0"/>
        <w:jc w:val="both"/>
        <w:rPr>
          <w:sz w:val="20"/>
          <w:szCs w:val="20"/>
        </w:rPr>
      </w:pPr>
      <w:r>
        <w:rPr>
          <w:sz w:val="20"/>
          <w:szCs w:val="20"/>
        </w:rPr>
        <w:t>Syrleno 10 mg tableta</w:t>
      </w:r>
    </w:p>
    <w:p w14:paraId="3AA75B35">
      <w:pPr>
        <w:pStyle w:val="12"/>
        <w:shd w:val="clear" w:color="auto" w:fill="auto"/>
        <w:spacing w:line="240" w:lineRule="auto"/>
        <w:ind w:firstLine="0"/>
        <w:jc w:val="both"/>
        <w:rPr>
          <w:sz w:val="20"/>
          <w:szCs w:val="20"/>
        </w:rPr>
      </w:pPr>
    </w:p>
    <w:p w14:paraId="4162CBC8">
      <w:pPr>
        <w:pStyle w:val="12"/>
        <w:shd w:val="clear" w:color="auto" w:fill="auto"/>
        <w:spacing w:line="240" w:lineRule="auto"/>
        <w:ind w:firstLine="0"/>
        <w:jc w:val="both"/>
        <w:rPr>
          <w:sz w:val="20"/>
          <w:szCs w:val="20"/>
        </w:rPr>
      </w:pPr>
    </w:p>
    <w:p w14:paraId="06309518">
      <w:pPr>
        <w:pStyle w:val="12"/>
        <w:numPr>
          <w:ilvl w:val="0"/>
          <w:numId w:val="1"/>
        </w:numPr>
        <w:shd w:val="clear" w:color="auto" w:fill="auto"/>
        <w:tabs>
          <w:tab w:val="left" w:pos="589"/>
        </w:tabs>
        <w:spacing w:line="240" w:lineRule="auto"/>
        <w:ind w:firstLine="0"/>
        <w:jc w:val="both"/>
        <w:rPr>
          <w:b/>
          <w:sz w:val="20"/>
          <w:szCs w:val="20"/>
        </w:rPr>
      </w:pPr>
      <w:r>
        <w:rPr>
          <w:b/>
          <w:sz w:val="20"/>
          <w:szCs w:val="20"/>
        </w:rPr>
        <w:t>KVALITATIVNI I KVANTITATIVNI SASTAV</w:t>
      </w:r>
    </w:p>
    <w:p w14:paraId="10D4809B">
      <w:pPr>
        <w:pStyle w:val="12"/>
        <w:shd w:val="clear" w:color="auto" w:fill="auto"/>
        <w:tabs>
          <w:tab w:val="left" w:pos="589"/>
        </w:tabs>
        <w:spacing w:line="240" w:lineRule="auto"/>
        <w:ind w:firstLine="0"/>
        <w:jc w:val="both"/>
        <w:rPr>
          <w:b/>
          <w:sz w:val="20"/>
          <w:szCs w:val="20"/>
        </w:rPr>
      </w:pPr>
    </w:p>
    <w:p w14:paraId="43566757">
      <w:pPr>
        <w:pStyle w:val="12"/>
        <w:shd w:val="clear" w:color="auto" w:fill="auto"/>
        <w:spacing w:line="240" w:lineRule="auto"/>
        <w:ind w:firstLine="0"/>
        <w:jc w:val="both"/>
        <w:rPr>
          <w:sz w:val="20"/>
          <w:szCs w:val="20"/>
        </w:rPr>
      </w:pPr>
      <w:r>
        <w:rPr>
          <w:rStyle w:val="19"/>
          <w:sz w:val="20"/>
          <w:szCs w:val="20"/>
        </w:rPr>
        <w:t>Syrleno 2,5 mg tableta</w:t>
      </w:r>
      <w:r>
        <w:rPr>
          <w:sz w:val="20"/>
          <w:szCs w:val="20"/>
        </w:rPr>
        <w:t xml:space="preserve"> </w:t>
      </w:r>
    </w:p>
    <w:p w14:paraId="64C754D0">
      <w:pPr>
        <w:pStyle w:val="12"/>
        <w:shd w:val="clear" w:color="auto" w:fill="auto"/>
        <w:spacing w:line="240" w:lineRule="auto"/>
        <w:ind w:firstLine="0"/>
        <w:jc w:val="both"/>
        <w:rPr>
          <w:sz w:val="20"/>
          <w:szCs w:val="20"/>
        </w:rPr>
      </w:pPr>
      <w:r>
        <w:rPr>
          <w:sz w:val="20"/>
          <w:szCs w:val="20"/>
        </w:rPr>
        <w:t>Jedna tableta sadrži 2,5 mg everolimusa.</w:t>
      </w:r>
    </w:p>
    <w:p w14:paraId="1BA77510">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74,3 mg laktoze.</w:t>
      </w:r>
    </w:p>
    <w:p w14:paraId="0242BA36">
      <w:pPr>
        <w:pStyle w:val="12"/>
        <w:shd w:val="clear" w:color="auto" w:fill="auto"/>
        <w:spacing w:line="240" w:lineRule="auto"/>
        <w:ind w:firstLine="0"/>
        <w:jc w:val="both"/>
        <w:rPr>
          <w:sz w:val="20"/>
          <w:szCs w:val="20"/>
        </w:rPr>
      </w:pPr>
    </w:p>
    <w:p w14:paraId="54EE6376">
      <w:pPr>
        <w:pStyle w:val="12"/>
        <w:shd w:val="clear" w:color="auto" w:fill="auto"/>
        <w:spacing w:line="240" w:lineRule="auto"/>
        <w:ind w:firstLine="0"/>
        <w:jc w:val="both"/>
        <w:rPr>
          <w:sz w:val="20"/>
          <w:szCs w:val="20"/>
        </w:rPr>
      </w:pPr>
      <w:r>
        <w:rPr>
          <w:rStyle w:val="19"/>
          <w:sz w:val="20"/>
          <w:szCs w:val="20"/>
        </w:rPr>
        <w:t>Syrleno 5 mg tableta</w:t>
      </w:r>
      <w:r>
        <w:rPr>
          <w:sz w:val="20"/>
          <w:szCs w:val="20"/>
        </w:rPr>
        <w:t xml:space="preserve"> </w:t>
      </w:r>
    </w:p>
    <w:p w14:paraId="586A8866">
      <w:pPr>
        <w:pStyle w:val="12"/>
        <w:shd w:val="clear" w:color="auto" w:fill="auto"/>
        <w:spacing w:line="240" w:lineRule="auto"/>
        <w:ind w:firstLine="0"/>
        <w:jc w:val="both"/>
        <w:rPr>
          <w:sz w:val="20"/>
          <w:szCs w:val="20"/>
        </w:rPr>
      </w:pPr>
      <w:r>
        <w:rPr>
          <w:sz w:val="20"/>
          <w:szCs w:val="20"/>
        </w:rPr>
        <w:t>Jedna tableta sadrži 5 mg everolimusa.</w:t>
      </w:r>
    </w:p>
    <w:p w14:paraId="3F3B761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148,5 mg laktoze.</w:t>
      </w:r>
    </w:p>
    <w:p w14:paraId="672E2985">
      <w:pPr>
        <w:pStyle w:val="12"/>
        <w:shd w:val="clear" w:color="auto" w:fill="auto"/>
        <w:spacing w:line="240" w:lineRule="auto"/>
        <w:ind w:firstLine="0"/>
        <w:jc w:val="both"/>
        <w:rPr>
          <w:sz w:val="20"/>
          <w:szCs w:val="20"/>
        </w:rPr>
      </w:pPr>
    </w:p>
    <w:p w14:paraId="70FBB2FF">
      <w:pPr>
        <w:pStyle w:val="12"/>
        <w:shd w:val="clear" w:color="auto" w:fill="auto"/>
        <w:spacing w:line="240" w:lineRule="auto"/>
        <w:ind w:firstLine="0"/>
        <w:jc w:val="both"/>
        <w:rPr>
          <w:sz w:val="20"/>
          <w:szCs w:val="20"/>
        </w:rPr>
      </w:pPr>
      <w:r>
        <w:rPr>
          <w:rStyle w:val="19"/>
          <w:sz w:val="20"/>
          <w:szCs w:val="20"/>
        </w:rPr>
        <w:t>Syrleno 10 mg tableta</w:t>
      </w:r>
      <w:r>
        <w:rPr>
          <w:sz w:val="20"/>
          <w:szCs w:val="20"/>
        </w:rPr>
        <w:t xml:space="preserve"> </w:t>
      </w:r>
    </w:p>
    <w:p w14:paraId="030EDF1F">
      <w:pPr>
        <w:pStyle w:val="12"/>
        <w:shd w:val="clear" w:color="auto" w:fill="auto"/>
        <w:spacing w:line="240" w:lineRule="auto"/>
        <w:ind w:firstLine="0"/>
        <w:jc w:val="both"/>
        <w:rPr>
          <w:sz w:val="20"/>
          <w:szCs w:val="20"/>
        </w:rPr>
      </w:pPr>
      <w:r>
        <w:rPr>
          <w:sz w:val="20"/>
          <w:szCs w:val="20"/>
        </w:rPr>
        <w:t>Jedna tableta sadrži 10 mg everolimusa.</w:t>
      </w:r>
    </w:p>
    <w:p w14:paraId="1E797A3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297,0 mg laktoze. </w:t>
      </w:r>
    </w:p>
    <w:p w14:paraId="35525DE8">
      <w:pPr>
        <w:pStyle w:val="12"/>
        <w:shd w:val="clear" w:color="auto" w:fill="auto"/>
        <w:spacing w:line="240" w:lineRule="auto"/>
        <w:ind w:firstLine="0"/>
        <w:jc w:val="both"/>
        <w:rPr>
          <w:sz w:val="20"/>
          <w:szCs w:val="20"/>
        </w:rPr>
      </w:pPr>
    </w:p>
    <w:p w14:paraId="33E96386">
      <w:pPr>
        <w:pStyle w:val="12"/>
        <w:shd w:val="clear" w:color="auto" w:fill="auto"/>
        <w:spacing w:line="240" w:lineRule="auto"/>
        <w:ind w:firstLine="0"/>
        <w:jc w:val="both"/>
        <w:rPr>
          <w:sz w:val="20"/>
          <w:szCs w:val="20"/>
        </w:rPr>
      </w:pPr>
      <w:r>
        <w:rPr>
          <w:sz w:val="20"/>
          <w:szCs w:val="20"/>
        </w:rPr>
        <w:t>Za potpuni sastav pomoćnih supstanci pogledati dio 6.1</w:t>
      </w:r>
    </w:p>
    <w:p w14:paraId="1B9BE825">
      <w:pPr>
        <w:pStyle w:val="12"/>
        <w:shd w:val="clear" w:color="auto" w:fill="auto"/>
        <w:spacing w:line="240" w:lineRule="auto"/>
        <w:ind w:firstLine="0"/>
        <w:jc w:val="both"/>
        <w:rPr>
          <w:b/>
          <w:sz w:val="20"/>
          <w:szCs w:val="20"/>
        </w:rPr>
      </w:pPr>
    </w:p>
    <w:p w14:paraId="47258C76">
      <w:pPr>
        <w:pStyle w:val="12"/>
        <w:shd w:val="clear" w:color="auto" w:fill="auto"/>
        <w:spacing w:line="240" w:lineRule="auto"/>
        <w:ind w:firstLine="0"/>
        <w:jc w:val="both"/>
        <w:rPr>
          <w:b/>
          <w:sz w:val="20"/>
          <w:szCs w:val="20"/>
        </w:rPr>
      </w:pPr>
    </w:p>
    <w:p w14:paraId="068A6D7A">
      <w:pPr>
        <w:pStyle w:val="12"/>
        <w:numPr>
          <w:ilvl w:val="0"/>
          <w:numId w:val="1"/>
        </w:numPr>
        <w:shd w:val="clear" w:color="auto" w:fill="auto"/>
        <w:tabs>
          <w:tab w:val="left" w:pos="589"/>
        </w:tabs>
        <w:spacing w:line="240" w:lineRule="auto"/>
        <w:ind w:firstLine="0"/>
        <w:jc w:val="both"/>
        <w:rPr>
          <w:b/>
          <w:sz w:val="20"/>
          <w:szCs w:val="20"/>
        </w:rPr>
      </w:pPr>
      <w:r>
        <w:rPr>
          <w:b/>
          <w:sz w:val="20"/>
          <w:szCs w:val="20"/>
        </w:rPr>
        <w:t>FARMACEUTSKI OBLIK</w:t>
      </w:r>
    </w:p>
    <w:p w14:paraId="0796964C">
      <w:pPr>
        <w:pStyle w:val="12"/>
        <w:shd w:val="clear" w:color="auto" w:fill="auto"/>
        <w:tabs>
          <w:tab w:val="left" w:pos="589"/>
        </w:tabs>
        <w:spacing w:line="240" w:lineRule="auto"/>
        <w:ind w:firstLine="0"/>
        <w:jc w:val="both"/>
        <w:rPr>
          <w:b/>
          <w:sz w:val="20"/>
          <w:szCs w:val="20"/>
        </w:rPr>
      </w:pPr>
    </w:p>
    <w:p w14:paraId="3710A532">
      <w:pPr>
        <w:pStyle w:val="12"/>
        <w:numPr>
          <w:ilvl w:val="0"/>
          <w:numId w:val="2"/>
        </w:numPr>
        <w:shd w:val="clear" w:color="auto" w:fill="auto"/>
        <w:spacing w:line="240" w:lineRule="auto"/>
        <w:jc w:val="both"/>
        <w:rPr>
          <w:sz w:val="20"/>
          <w:szCs w:val="20"/>
        </w:rPr>
      </w:pPr>
      <w:r>
        <w:rPr>
          <w:sz w:val="20"/>
          <w:szCs w:val="20"/>
        </w:rPr>
        <w:t>Tableta</w:t>
      </w:r>
    </w:p>
    <w:p w14:paraId="29CCD952">
      <w:pPr>
        <w:pStyle w:val="12"/>
        <w:shd w:val="clear" w:color="auto" w:fill="auto"/>
        <w:spacing w:line="240" w:lineRule="auto"/>
        <w:ind w:firstLine="0"/>
        <w:jc w:val="both"/>
        <w:rPr>
          <w:sz w:val="20"/>
          <w:szCs w:val="20"/>
        </w:rPr>
      </w:pPr>
    </w:p>
    <w:p w14:paraId="3801550C">
      <w:pPr>
        <w:pStyle w:val="12"/>
        <w:shd w:val="clear" w:color="auto" w:fill="auto"/>
        <w:tabs>
          <w:tab w:val="left" w:pos="356"/>
        </w:tabs>
        <w:spacing w:line="240" w:lineRule="auto"/>
        <w:ind w:firstLine="0"/>
        <w:jc w:val="both"/>
        <w:rPr>
          <w:sz w:val="20"/>
          <w:szCs w:val="20"/>
          <w:u w:val="single"/>
        </w:rPr>
      </w:pPr>
      <w:r>
        <w:rPr>
          <w:sz w:val="20"/>
          <w:szCs w:val="20"/>
          <w:u w:val="single"/>
        </w:rPr>
        <w:t>Syrleno 2,5 mg tablete</w:t>
      </w:r>
    </w:p>
    <w:p w14:paraId="1677C7A5">
      <w:pPr>
        <w:pStyle w:val="12"/>
        <w:shd w:val="clear" w:color="auto" w:fill="auto"/>
        <w:tabs>
          <w:tab w:val="left" w:pos="356"/>
        </w:tabs>
        <w:spacing w:line="240" w:lineRule="auto"/>
        <w:ind w:firstLine="0"/>
        <w:jc w:val="both"/>
        <w:rPr>
          <w:sz w:val="20"/>
          <w:szCs w:val="20"/>
        </w:rPr>
      </w:pPr>
      <w:r>
        <w:rPr>
          <w:sz w:val="20"/>
          <w:szCs w:val="20"/>
        </w:rPr>
        <w:t>Ovalne, bijele do skoro bijele, bikonveksne tablete, sa utisnutom oznakom E9VS na jednoj strani i 2.5 na drugoj strani tablete.</w:t>
      </w:r>
    </w:p>
    <w:p w14:paraId="0C32B0A1">
      <w:pPr>
        <w:pStyle w:val="12"/>
        <w:shd w:val="clear" w:color="auto" w:fill="auto"/>
        <w:tabs>
          <w:tab w:val="left" w:pos="356"/>
        </w:tabs>
        <w:spacing w:line="240" w:lineRule="auto"/>
        <w:ind w:firstLine="0"/>
        <w:jc w:val="both"/>
        <w:rPr>
          <w:sz w:val="20"/>
          <w:szCs w:val="20"/>
        </w:rPr>
      </w:pPr>
    </w:p>
    <w:p w14:paraId="4121B321">
      <w:pPr>
        <w:pStyle w:val="12"/>
        <w:shd w:val="clear" w:color="auto" w:fill="auto"/>
        <w:spacing w:line="240" w:lineRule="auto"/>
        <w:ind w:firstLine="0"/>
        <w:jc w:val="both"/>
        <w:rPr>
          <w:sz w:val="20"/>
          <w:szCs w:val="20"/>
          <w:u w:val="single"/>
        </w:rPr>
      </w:pPr>
      <w:r>
        <w:rPr>
          <w:sz w:val="20"/>
          <w:szCs w:val="20"/>
          <w:u w:val="single"/>
        </w:rPr>
        <w:t>Syrleno 5 mg tablete</w:t>
      </w:r>
    </w:p>
    <w:p w14:paraId="0FAEBFFF">
      <w:pPr>
        <w:pStyle w:val="12"/>
        <w:shd w:val="clear" w:color="auto" w:fill="auto"/>
        <w:spacing w:line="240" w:lineRule="auto"/>
        <w:ind w:firstLine="0"/>
        <w:jc w:val="both"/>
        <w:rPr>
          <w:sz w:val="20"/>
          <w:szCs w:val="20"/>
        </w:rPr>
      </w:pPr>
      <w:r>
        <w:rPr>
          <w:sz w:val="20"/>
          <w:szCs w:val="20"/>
        </w:rPr>
        <w:t>Ovalne, bijele do skoro bijele, bikonveksne tablete, sa utisnutom oznakom E9VS 5 na jednoj strani tablete.</w:t>
      </w:r>
    </w:p>
    <w:p w14:paraId="3E085342">
      <w:pPr>
        <w:pStyle w:val="12"/>
        <w:shd w:val="clear" w:color="auto" w:fill="auto"/>
        <w:spacing w:line="240" w:lineRule="auto"/>
        <w:ind w:firstLine="0"/>
        <w:jc w:val="both"/>
        <w:rPr>
          <w:sz w:val="20"/>
          <w:szCs w:val="20"/>
        </w:rPr>
      </w:pPr>
    </w:p>
    <w:p w14:paraId="05CB9818">
      <w:pPr>
        <w:pStyle w:val="12"/>
        <w:shd w:val="clear" w:color="auto" w:fill="auto"/>
        <w:spacing w:line="240" w:lineRule="auto"/>
        <w:ind w:firstLine="0"/>
        <w:jc w:val="both"/>
        <w:rPr>
          <w:sz w:val="20"/>
          <w:szCs w:val="20"/>
          <w:u w:val="single"/>
        </w:rPr>
      </w:pPr>
      <w:r>
        <w:rPr>
          <w:sz w:val="20"/>
          <w:szCs w:val="20"/>
          <w:u w:val="single"/>
        </w:rPr>
        <w:t>Syrleno 10 mg tablete</w:t>
      </w:r>
    </w:p>
    <w:p w14:paraId="606ED89A">
      <w:pPr>
        <w:pStyle w:val="12"/>
        <w:shd w:val="clear" w:color="auto" w:fill="auto"/>
        <w:spacing w:line="240" w:lineRule="auto"/>
        <w:ind w:firstLine="0"/>
        <w:jc w:val="both"/>
        <w:rPr>
          <w:sz w:val="20"/>
          <w:szCs w:val="20"/>
        </w:rPr>
      </w:pPr>
      <w:r>
        <w:rPr>
          <w:sz w:val="20"/>
          <w:szCs w:val="20"/>
        </w:rPr>
        <w:t>Ovalne, bijele do skoro bijele, bikonveksne tablete, sa utisnutom oznakom E9VS 10 na jednoj strani tablete.</w:t>
      </w:r>
    </w:p>
    <w:p w14:paraId="17786CAE">
      <w:pPr>
        <w:pStyle w:val="12"/>
        <w:shd w:val="clear" w:color="auto" w:fill="auto"/>
        <w:spacing w:line="240" w:lineRule="auto"/>
        <w:ind w:firstLine="0"/>
        <w:jc w:val="both"/>
        <w:rPr>
          <w:sz w:val="20"/>
          <w:szCs w:val="20"/>
        </w:rPr>
      </w:pPr>
    </w:p>
    <w:p w14:paraId="01EE15CC">
      <w:pPr>
        <w:pStyle w:val="12"/>
        <w:shd w:val="clear" w:color="auto" w:fill="auto"/>
        <w:spacing w:line="240" w:lineRule="auto"/>
        <w:ind w:firstLine="0"/>
        <w:jc w:val="both"/>
        <w:rPr>
          <w:sz w:val="20"/>
          <w:szCs w:val="20"/>
        </w:rPr>
      </w:pPr>
    </w:p>
    <w:p w14:paraId="25C6EAA2">
      <w:pPr>
        <w:pStyle w:val="12"/>
        <w:numPr>
          <w:ilvl w:val="0"/>
          <w:numId w:val="1"/>
        </w:numPr>
        <w:shd w:val="clear" w:color="auto" w:fill="auto"/>
        <w:tabs>
          <w:tab w:val="left" w:pos="589"/>
        </w:tabs>
        <w:spacing w:line="240" w:lineRule="auto"/>
        <w:ind w:firstLine="0"/>
        <w:jc w:val="both"/>
        <w:rPr>
          <w:b/>
          <w:sz w:val="20"/>
          <w:szCs w:val="20"/>
        </w:rPr>
      </w:pPr>
      <w:r>
        <w:rPr>
          <w:b/>
          <w:sz w:val="20"/>
          <w:szCs w:val="20"/>
        </w:rPr>
        <w:t>KLINIČKI PODACI</w:t>
      </w:r>
    </w:p>
    <w:p w14:paraId="5B24132E">
      <w:pPr>
        <w:pStyle w:val="12"/>
        <w:shd w:val="clear" w:color="auto" w:fill="auto"/>
        <w:tabs>
          <w:tab w:val="left" w:pos="589"/>
        </w:tabs>
        <w:spacing w:line="240" w:lineRule="auto"/>
        <w:ind w:firstLine="0"/>
        <w:jc w:val="both"/>
        <w:rPr>
          <w:b/>
          <w:sz w:val="20"/>
          <w:szCs w:val="20"/>
        </w:rPr>
      </w:pPr>
    </w:p>
    <w:p w14:paraId="1200C3C0">
      <w:pPr>
        <w:pStyle w:val="12"/>
        <w:numPr>
          <w:ilvl w:val="1"/>
          <w:numId w:val="1"/>
        </w:numPr>
        <w:shd w:val="clear" w:color="auto" w:fill="auto"/>
        <w:tabs>
          <w:tab w:val="left" w:pos="589"/>
        </w:tabs>
        <w:spacing w:line="240" w:lineRule="auto"/>
        <w:ind w:firstLine="0"/>
        <w:jc w:val="both"/>
        <w:rPr>
          <w:b/>
          <w:sz w:val="20"/>
          <w:szCs w:val="20"/>
        </w:rPr>
      </w:pPr>
      <w:r>
        <w:rPr>
          <w:b/>
          <w:sz w:val="20"/>
          <w:szCs w:val="20"/>
        </w:rPr>
        <w:t>Terapijske indikacije</w:t>
      </w:r>
    </w:p>
    <w:p w14:paraId="42624FC7">
      <w:pPr>
        <w:pStyle w:val="12"/>
        <w:shd w:val="clear" w:color="auto" w:fill="auto"/>
        <w:tabs>
          <w:tab w:val="left" w:pos="589"/>
        </w:tabs>
        <w:spacing w:line="240" w:lineRule="auto"/>
        <w:ind w:firstLine="0"/>
        <w:jc w:val="both"/>
        <w:rPr>
          <w:sz w:val="20"/>
          <w:szCs w:val="20"/>
        </w:rPr>
      </w:pPr>
    </w:p>
    <w:p w14:paraId="509B5384">
      <w:pPr>
        <w:pStyle w:val="12"/>
        <w:shd w:val="clear" w:color="auto" w:fill="auto"/>
        <w:spacing w:line="240" w:lineRule="auto"/>
        <w:ind w:firstLine="0"/>
        <w:jc w:val="both"/>
        <w:rPr>
          <w:sz w:val="20"/>
          <w:szCs w:val="20"/>
        </w:rPr>
      </w:pPr>
      <w:r>
        <w:rPr>
          <w:rStyle w:val="19"/>
          <w:sz w:val="20"/>
          <w:szCs w:val="20"/>
        </w:rPr>
        <w:t>Uznapredovali rak dojke pozitivan na hormonske receptore</w:t>
      </w:r>
    </w:p>
    <w:p w14:paraId="71DFE111">
      <w:pPr>
        <w:pStyle w:val="12"/>
        <w:shd w:val="clear" w:color="auto" w:fill="auto"/>
        <w:spacing w:line="240" w:lineRule="auto"/>
        <w:ind w:firstLine="0"/>
        <w:jc w:val="both"/>
        <w:rPr>
          <w:sz w:val="20"/>
          <w:szCs w:val="20"/>
        </w:rPr>
      </w:pPr>
      <w:r>
        <w:rPr>
          <w:sz w:val="20"/>
          <w:szCs w:val="20"/>
        </w:rPr>
        <w:t>Lijek Syrleno, u kombinaciji sa eksemestanom, je indikovan za liječenje uznapredovalog karcinoma dojke pozitivnog na hormonske receptore, a negativnog na HER2/neu, kod žena u postmenopauzi bez simptomatske visceralne bolesti nakon recidiva ili progresije bolesti do kojih je došlo nakon primjene nesteroidnog inhibitora aromataze.</w:t>
      </w:r>
    </w:p>
    <w:p w14:paraId="34CA3B84">
      <w:pPr>
        <w:pStyle w:val="12"/>
        <w:shd w:val="clear" w:color="auto" w:fill="auto"/>
        <w:spacing w:line="240" w:lineRule="auto"/>
        <w:ind w:firstLine="0"/>
        <w:jc w:val="both"/>
        <w:rPr>
          <w:rStyle w:val="19"/>
          <w:sz w:val="20"/>
          <w:szCs w:val="20"/>
        </w:rPr>
      </w:pPr>
    </w:p>
    <w:p w14:paraId="4D5A17FC">
      <w:pPr>
        <w:pStyle w:val="12"/>
        <w:shd w:val="clear" w:color="auto" w:fill="auto"/>
        <w:spacing w:line="240" w:lineRule="auto"/>
        <w:ind w:firstLine="0"/>
        <w:jc w:val="both"/>
        <w:rPr>
          <w:sz w:val="20"/>
          <w:szCs w:val="20"/>
        </w:rPr>
      </w:pPr>
      <w:r>
        <w:rPr>
          <w:rStyle w:val="19"/>
          <w:sz w:val="20"/>
          <w:szCs w:val="20"/>
        </w:rPr>
        <w:t xml:space="preserve">Neuroendokrini tumori sa </w:t>
      </w:r>
      <w:r>
        <w:rPr>
          <w:rStyle w:val="19"/>
          <w:sz w:val="20"/>
          <w:szCs w:val="20"/>
          <w:lang w:val="sv-SE"/>
        </w:rPr>
        <w:t>porijeklom</w:t>
      </w:r>
      <w:r>
        <w:rPr>
          <w:rStyle w:val="19"/>
          <w:sz w:val="20"/>
          <w:szCs w:val="20"/>
        </w:rPr>
        <w:t xml:space="preserve"> u gušterači</w:t>
      </w:r>
    </w:p>
    <w:p w14:paraId="14570101">
      <w:pPr>
        <w:pStyle w:val="12"/>
        <w:shd w:val="clear" w:color="auto" w:fill="auto"/>
        <w:spacing w:line="240" w:lineRule="auto"/>
        <w:ind w:firstLine="0"/>
        <w:jc w:val="both"/>
        <w:rPr>
          <w:sz w:val="20"/>
          <w:szCs w:val="20"/>
        </w:rPr>
      </w:pPr>
      <w:r>
        <w:rPr>
          <w:sz w:val="20"/>
          <w:szCs w:val="20"/>
        </w:rPr>
        <w:t>Lijek Syrleno je indikovan za liječenje neresektabilnih ili metastatskih, dobro ili umjereno diferenciranih neuroendokrinih tumora sa primarnim porijeklom u gušterači, kod odraslih pacijenata sa progresivnom bolešću.</w:t>
      </w:r>
    </w:p>
    <w:p w14:paraId="68CE50C3">
      <w:pPr>
        <w:pStyle w:val="12"/>
        <w:shd w:val="clear" w:color="auto" w:fill="auto"/>
        <w:spacing w:line="240" w:lineRule="auto"/>
        <w:ind w:firstLine="0"/>
        <w:jc w:val="both"/>
        <w:rPr>
          <w:rStyle w:val="19"/>
          <w:sz w:val="20"/>
          <w:szCs w:val="20"/>
        </w:rPr>
      </w:pPr>
    </w:p>
    <w:p w14:paraId="332CBD4E">
      <w:pPr>
        <w:pStyle w:val="12"/>
        <w:shd w:val="clear" w:color="auto" w:fill="auto"/>
        <w:spacing w:line="240" w:lineRule="auto"/>
        <w:ind w:firstLine="0"/>
        <w:jc w:val="both"/>
        <w:rPr>
          <w:rStyle w:val="19"/>
          <w:sz w:val="20"/>
          <w:szCs w:val="20"/>
        </w:rPr>
      </w:pPr>
    </w:p>
    <w:p w14:paraId="4DFD3B08">
      <w:pPr>
        <w:pStyle w:val="12"/>
        <w:shd w:val="clear" w:color="auto" w:fill="auto"/>
        <w:spacing w:line="240" w:lineRule="auto"/>
        <w:ind w:firstLine="0"/>
        <w:jc w:val="both"/>
        <w:rPr>
          <w:sz w:val="20"/>
          <w:szCs w:val="20"/>
          <w:lang w:val="hr-BA"/>
        </w:rPr>
      </w:pPr>
      <w:r>
        <w:rPr>
          <w:rStyle w:val="19"/>
          <w:sz w:val="20"/>
          <w:szCs w:val="20"/>
        </w:rPr>
        <w:t xml:space="preserve">Neuroendokrini tumori </w:t>
      </w:r>
      <w:r>
        <w:rPr>
          <w:rStyle w:val="19"/>
          <w:sz w:val="20"/>
          <w:szCs w:val="20"/>
          <w:lang w:val="hr-BA"/>
        </w:rPr>
        <w:t>gastrointestinalnog ili pulmonarnog porijekla</w:t>
      </w:r>
    </w:p>
    <w:p w14:paraId="06CE74DB">
      <w:pPr>
        <w:pStyle w:val="12"/>
        <w:shd w:val="clear" w:color="auto" w:fill="auto"/>
        <w:spacing w:line="240" w:lineRule="auto"/>
        <w:ind w:firstLine="0"/>
        <w:jc w:val="both"/>
        <w:rPr>
          <w:sz w:val="20"/>
          <w:szCs w:val="20"/>
        </w:rPr>
      </w:pPr>
      <w:r>
        <w:rPr>
          <w:sz w:val="20"/>
          <w:szCs w:val="20"/>
        </w:rPr>
        <w:t>Lijek Syrleno je indikovan za liječenje neresektabilnih ili metastatskih, dobro diferenciranih (stepen 1 ili stepen 2) nefunkcionalnih neuroendokrinih tumora gastrointestinalnog ili pulmonarnog porijekla, kod odraslih pacijenata sa progresivnom bolešću (pogledati di</w:t>
      </w:r>
      <w:r>
        <w:rPr>
          <w:sz w:val="20"/>
          <w:szCs w:val="20"/>
          <w:lang w:val="hr-BA"/>
        </w:rPr>
        <w:t>jelove</w:t>
      </w:r>
      <w:r>
        <w:rPr>
          <w:sz w:val="20"/>
          <w:szCs w:val="20"/>
        </w:rPr>
        <w:t xml:space="preserve"> 4.4 i 5.1).</w:t>
      </w:r>
    </w:p>
    <w:p w14:paraId="3965ABF5">
      <w:pPr>
        <w:pStyle w:val="12"/>
        <w:shd w:val="clear" w:color="auto" w:fill="auto"/>
        <w:spacing w:line="240" w:lineRule="auto"/>
        <w:ind w:firstLine="0"/>
        <w:jc w:val="both"/>
        <w:rPr>
          <w:rStyle w:val="19"/>
          <w:sz w:val="20"/>
          <w:szCs w:val="20"/>
        </w:rPr>
      </w:pPr>
    </w:p>
    <w:p w14:paraId="0C82AAE7">
      <w:pPr>
        <w:pStyle w:val="12"/>
        <w:shd w:val="clear" w:color="auto" w:fill="auto"/>
        <w:spacing w:line="240" w:lineRule="auto"/>
        <w:ind w:firstLine="0"/>
        <w:jc w:val="both"/>
        <w:rPr>
          <w:sz w:val="20"/>
          <w:szCs w:val="20"/>
        </w:rPr>
      </w:pPr>
      <w:r>
        <w:rPr>
          <w:rStyle w:val="19"/>
          <w:sz w:val="20"/>
          <w:szCs w:val="20"/>
        </w:rPr>
        <w:t>Karcinom bubrežnih ćelija</w:t>
      </w:r>
    </w:p>
    <w:p w14:paraId="0BE30BAE">
      <w:pPr>
        <w:pStyle w:val="12"/>
        <w:shd w:val="clear" w:color="auto" w:fill="auto"/>
        <w:spacing w:line="240" w:lineRule="auto"/>
        <w:ind w:firstLine="0"/>
        <w:jc w:val="both"/>
        <w:rPr>
          <w:sz w:val="20"/>
          <w:szCs w:val="20"/>
        </w:rPr>
      </w:pPr>
      <w:r>
        <w:rPr>
          <w:sz w:val="20"/>
          <w:szCs w:val="20"/>
        </w:rPr>
        <w:t>Lijek Syrleno je indikovan za liječenje pacijenata sa uznapredovalim karcinomom bubrežnih ćelija kod kojih je bolest napredovala tokom ili nakon liječenja lijekovima koji ciljano djeluju protiv faktora rasta vaskularnog endotela (VEGF-ciljana terapija).</w:t>
      </w:r>
    </w:p>
    <w:p w14:paraId="2043C8B0">
      <w:pPr>
        <w:pStyle w:val="12"/>
        <w:shd w:val="clear" w:color="auto" w:fill="auto"/>
        <w:spacing w:line="240" w:lineRule="auto"/>
        <w:ind w:firstLine="0"/>
        <w:jc w:val="both"/>
        <w:rPr>
          <w:sz w:val="20"/>
          <w:szCs w:val="20"/>
        </w:rPr>
      </w:pPr>
    </w:p>
    <w:p w14:paraId="6376BD6F">
      <w:pPr>
        <w:pStyle w:val="12"/>
        <w:numPr>
          <w:ilvl w:val="1"/>
          <w:numId w:val="1"/>
        </w:numPr>
        <w:shd w:val="clear" w:color="auto" w:fill="auto"/>
        <w:tabs>
          <w:tab w:val="left" w:pos="596"/>
        </w:tabs>
        <w:spacing w:line="240" w:lineRule="auto"/>
        <w:ind w:firstLine="0"/>
        <w:jc w:val="both"/>
        <w:rPr>
          <w:b/>
          <w:sz w:val="20"/>
          <w:szCs w:val="20"/>
        </w:rPr>
      </w:pPr>
      <w:r>
        <w:rPr>
          <w:b/>
          <w:sz w:val="20"/>
          <w:szCs w:val="20"/>
        </w:rPr>
        <w:t>Doziranje i način primjene</w:t>
      </w:r>
    </w:p>
    <w:p w14:paraId="5D4E3FB0">
      <w:pPr>
        <w:pStyle w:val="12"/>
        <w:shd w:val="clear" w:color="auto" w:fill="auto"/>
        <w:tabs>
          <w:tab w:val="left" w:pos="596"/>
        </w:tabs>
        <w:spacing w:line="240" w:lineRule="auto"/>
        <w:ind w:firstLine="0"/>
        <w:jc w:val="both"/>
        <w:rPr>
          <w:sz w:val="20"/>
          <w:szCs w:val="20"/>
        </w:rPr>
      </w:pPr>
    </w:p>
    <w:p w14:paraId="1DEE2027">
      <w:pPr>
        <w:pStyle w:val="12"/>
        <w:shd w:val="clear" w:color="auto" w:fill="auto"/>
        <w:spacing w:line="240" w:lineRule="auto"/>
        <w:ind w:firstLine="0"/>
        <w:jc w:val="both"/>
        <w:rPr>
          <w:sz w:val="20"/>
          <w:szCs w:val="20"/>
        </w:rPr>
      </w:pPr>
      <w:r>
        <w:rPr>
          <w:sz w:val="20"/>
          <w:szCs w:val="20"/>
        </w:rPr>
        <w:t>Liječenje lijekom Syrleno mora započeti i nadgledati ljekar sa iskustvom u terapiji karcinoma.</w:t>
      </w:r>
    </w:p>
    <w:p w14:paraId="53542A25">
      <w:pPr>
        <w:pStyle w:val="12"/>
        <w:shd w:val="clear" w:color="auto" w:fill="auto"/>
        <w:spacing w:line="240" w:lineRule="auto"/>
        <w:ind w:firstLine="0"/>
        <w:jc w:val="both"/>
        <w:rPr>
          <w:sz w:val="20"/>
          <w:szCs w:val="20"/>
        </w:rPr>
      </w:pPr>
    </w:p>
    <w:p w14:paraId="5EE1AD33">
      <w:pPr>
        <w:pStyle w:val="12"/>
        <w:shd w:val="clear" w:color="auto" w:fill="auto"/>
        <w:spacing w:line="240" w:lineRule="auto"/>
        <w:ind w:firstLine="0"/>
        <w:jc w:val="both"/>
        <w:rPr>
          <w:sz w:val="20"/>
          <w:szCs w:val="20"/>
        </w:rPr>
      </w:pPr>
      <w:r>
        <w:rPr>
          <w:rStyle w:val="19"/>
          <w:sz w:val="20"/>
          <w:szCs w:val="20"/>
        </w:rPr>
        <w:t>Doziranje</w:t>
      </w:r>
    </w:p>
    <w:p w14:paraId="12BE5C9D">
      <w:pPr>
        <w:pStyle w:val="12"/>
        <w:shd w:val="clear" w:color="auto" w:fill="auto"/>
        <w:spacing w:line="240" w:lineRule="auto"/>
        <w:ind w:firstLine="0"/>
        <w:jc w:val="both"/>
        <w:rPr>
          <w:sz w:val="20"/>
          <w:szCs w:val="20"/>
        </w:rPr>
      </w:pPr>
      <w:r>
        <w:rPr>
          <w:sz w:val="20"/>
          <w:szCs w:val="20"/>
        </w:rPr>
        <w:t>Lijek Syrleno je dostupan u obliku tableta od 2,5 mg, 5 mg i 10 mg za različite režime doziranja.</w:t>
      </w:r>
    </w:p>
    <w:p w14:paraId="2BF3B9C5">
      <w:pPr>
        <w:pStyle w:val="12"/>
        <w:shd w:val="clear" w:color="auto" w:fill="auto"/>
        <w:spacing w:line="240" w:lineRule="auto"/>
        <w:ind w:firstLine="0"/>
        <w:jc w:val="both"/>
        <w:rPr>
          <w:sz w:val="20"/>
          <w:szCs w:val="20"/>
        </w:rPr>
      </w:pPr>
    </w:p>
    <w:p w14:paraId="402A8006">
      <w:pPr>
        <w:pStyle w:val="12"/>
        <w:shd w:val="clear" w:color="auto" w:fill="auto"/>
        <w:tabs>
          <w:tab w:val="left" w:pos="3119"/>
        </w:tabs>
        <w:spacing w:line="240" w:lineRule="auto"/>
        <w:ind w:firstLine="0"/>
        <w:jc w:val="both"/>
        <w:rPr>
          <w:sz w:val="20"/>
          <w:szCs w:val="20"/>
        </w:rPr>
      </w:pPr>
      <w:r>
        <w:rPr>
          <w:sz w:val="20"/>
          <w:szCs w:val="20"/>
        </w:rPr>
        <w:t>Preporučena doza je 10 mg everolimusa jednom dnevno. Liječenje treba nastaviti sve dok postoji klinička korist ili do pojave neprihvatljive toksičnosti.</w:t>
      </w:r>
    </w:p>
    <w:p w14:paraId="397E4EA1">
      <w:pPr>
        <w:pStyle w:val="12"/>
        <w:shd w:val="clear" w:color="auto" w:fill="auto"/>
        <w:spacing w:line="240" w:lineRule="auto"/>
        <w:ind w:firstLine="0"/>
        <w:jc w:val="both"/>
        <w:rPr>
          <w:sz w:val="20"/>
          <w:szCs w:val="20"/>
        </w:rPr>
      </w:pPr>
    </w:p>
    <w:p w14:paraId="3D9B5845">
      <w:pPr>
        <w:pStyle w:val="12"/>
        <w:shd w:val="clear" w:color="auto" w:fill="auto"/>
        <w:spacing w:line="240" w:lineRule="auto"/>
        <w:ind w:firstLine="0"/>
        <w:jc w:val="both"/>
        <w:rPr>
          <w:sz w:val="20"/>
          <w:szCs w:val="20"/>
        </w:rPr>
      </w:pPr>
      <w:r>
        <w:rPr>
          <w:sz w:val="20"/>
          <w:szCs w:val="20"/>
        </w:rPr>
        <w:t>U slučaju propuštene doze, pacijent ne smije uzeti dodatnu dozu, već uzeti uobičajeno propisanu sljedeću dozu.</w:t>
      </w:r>
    </w:p>
    <w:p w14:paraId="0B962A7C">
      <w:pPr>
        <w:pStyle w:val="12"/>
        <w:shd w:val="clear" w:color="auto" w:fill="auto"/>
        <w:spacing w:line="240" w:lineRule="auto"/>
        <w:ind w:firstLine="0"/>
        <w:jc w:val="both"/>
        <w:rPr>
          <w:sz w:val="20"/>
          <w:szCs w:val="20"/>
        </w:rPr>
      </w:pPr>
    </w:p>
    <w:p w14:paraId="1AE87B3D">
      <w:pPr>
        <w:pStyle w:val="21"/>
        <w:shd w:val="clear" w:color="auto" w:fill="auto"/>
        <w:spacing w:line="240" w:lineRule="auto"/>
        <w:rPr>
          <w:spacing w:val="0"/>
        </w:rPr>
      </w:pPr>
      <w:r>
        <w:rPr>
          <w:spacing w:val="0"/>
        </w:rPr>
        <w:t>Prilagođavanje doze zbog neželjene dejstva</w:t>
      </w:r>
    </w:p>
    <w:p w14:paraId="63CCA2BB">
      <w:pPr>
        <w:pStyle w:val="12"/>
        <w:shd w:val="clear" w:color="auto" w:fill="auto"/>
        <w:spacing w:line="240" w:lineRule="auto"/>
        <w:ind w:firstLine="0"/>
        <w:jc w:val="both"/>
        <w:rPr>
          <w:sz w:val="20"/>
          <w:szCs w:val="20"/>
        </w:rPr>
      </w:pPr>
      <w:r>
        <w:rPr>
          <w:sz w:val="20"/>
          <w:szCs w:val="20"/>
        </w:rPr>
        <w:t>Zbrinjavanje suspektnih teških i/ili nepodnošljivih neželjenih dejstva moglo bi zahtijevati smanjenje doze i/ili privremeni prekid liječenja lijekom Syrleno. Za neželjena dejstva stepena 1, prilagođavanje doze obično nije potrebno. Ako je potrebno smanjenje doze, preporučuje se doza od 5 mg dnevno pri čemu doza ne smije biti manja od 5 mg dnevno.</w:t>
      </w:r>
    </w:p>
    <w:p w14:paraId="3C8BDC64">
      <w:pPr>
        <w:pStyle w:val="12"/>
        <w:shd w:val="clear" w:color="auto" w:fill="auto"/>
        <w:spacing w:line="240" w:lineRule="auto"/>
        <w:ind w:firstLine="0"/>
        <w:jc w:val="both"/>
        <w:rPr>
          <w:sz w:val="20"/>
          <w:szCs w:val="20"/>
        </w:rPr>
      </w:pPr>
    </w:p>
    <w:p w14:paraId="5C92B6DA">
      <w:pPr>
        <w:pStyle w:val="12"/>
        <w:shd w:val="clear" w:color="auto" w:fill="auto"/>
        <w:spacing w:line="240" w:lineRule="auto"/>
        <w:ind w:firstLine="0"/>
        <w:jc w:val="both"/>
        <w:rPr>
          <w:sz w:val="20"/>
          <w:szCs w:val="20"/>
        </w:rPr>
      </w:pPr>
      <w:r>
        <w:rPr>
          <w:sz w:val="20"/>
          <w:szCs w:val="20"/>
        </w:rPr>
        <w:t>Tablica 1 sadrži sažetak preporuka za prilagođavanje doze kod specifičnih neželjenih dejstava (takođe pogledati dio 4.4).</w:t>
      </w:r>
    </w:p>
    <w:p w14:paraId="037DB0D3">
      <w:pPr>
        <w:pStyle w:val="12"/>
        <w:shd w:val="clear" w:color="auto" w:fill="auto"/>
        <w:spacing w:line="240" w:lineRule="auto"/>
        <w:ind w:firstLine="0"/>
        <w:jc w:val="both"/>
        <w:rPr>
          <w:sz w:val="20"/>
          <w:szCs w:val="20"/>
        </w:rPr>
      </w:pPr>
    </w:p>
    <w:p w14:paraId="07F54A26">
      <w:pPr>
        <w:pStyle w:val="23"/>
        <w:shd w:val="clear" w:color="auto" w:fill="auto"/>
        <w:spacing w:line="240" w:lineRule="auto"/>
        <w:jc w:val="both"/>
        <w:rPr>
          <w:b/>
          <w:sz w:val="20"/>
          <w:szCs w:val="20"/>
          <w:lang w:val="hr-BA"/>
        </w:rPr>
      </w:pPr>
      <w:r>
        <w:rPr>
          <w:b/>
          <w:sz w:val="20"/>
          <w:szCs w:val="20"/>
        </w:rPr>
        <w:t xml:space="preserve">Tablica 1 Preporuke za prilagođavanje doze </w:t>
      </w:r>
      <w:r>
        <w:rPr>
          <w:b/>
          <w:sz w:val="20"/>
          <w:szCs w:val="20"/>
          <w:lang w:val="hr-BA"/>
        </w:rPr>
        <w:t>everolimusa</w:t>
      </w:r>
    </w:p>
    <w:tbl>
      <w:tblPr>
        <w:tblStyle w:val="3"/>
        <w:tblW w:w="0" w:type="auto"/>
        <w:tblInd w:w="10" w:type="dxa"/>
        <w:tblLayout w:type="fixed"/>
        <w:tblCellMar>
          <w:top w:w="0" w:type="dxa"/>
          <w:left w:w="10" w:type="dxa"/>
          <w:bottom w:w="0" w:type="dxa"/>
          <w:right w:w="10" w:type="dxa"/>
        </w:tblCellMar>
      </w:tblPr>
      <w:tblGrid>
        <w:gridCol w:w="1997"/>
        <w:gridCol w:w="1426"/>
        <w:gridCol w:w="5909"/>
      </w:tblGrid>
      <w:tr w14:paraId="6E26608B">
        <w:tblPrEx>
          <w:tblCellMar>
            <w:top w:w="0" w:type="dxa"/>
            <w:left w:w="10" w:type="dxa"/>
            <w:bottom w:w="0" w:type="dxa"/>
            <w:right w:w="10" w:type="dxa"/>
          </w:tblCellMar>
        </w:tblPrEx>
        <w:trPr>
          <w:trHeight w:val="730" w:hRule="atLeast"/>
        </w:trPr>
        <w:tc>
          <w:tcPr>
            <w:tcW w:w="1997" w:type="dxa"/>
            <w:tcBorders>
              <w:top w:val="single" w:color="auto" w:sz="4" w:space="0"/>
              <w:left w:val="single" w:color="auto" w:sz="4" w:space="0"/>
            </w:tcBorders>
            <w:shd w:val="clear" w:color="auto" w:fill="FFFFFF"/>
          </w:tcPr>
          <w:p w14:paraId="3A451816">
            <w:pPr>
              <w:pStyle w:val="12"/>
              <w:shd w:val="clear" w:color="auto" w:fill="auto"/>
              <w:spacing w:line="240" w:lineRule="auto"/>
              <w:ind w:firstLine="0"/>
              <w:jc w:val="both"/>
              <w:rPr>
                <w:b/>
                <w:sz w:val="20"/>
                <w:szCs w:val="20"/>
              </w:rPr>
            </w:pPr>
            <w:r>
              <w:rPr>
                <w:rStyle w:val="24"/>
                <w:b/>
                <w:sz w:val="20"/>
                <w:szCs w:val="20"/>
              </w:rPr>
              <w:t>Neželjena dejstva</w:t>
            </w:r>
          </w:p>
        </w:tc>
        <w:tc>
          <w:tcPr>
            <w:tcW w:w="1426" w:type="dxa"/>
            <w:tcBorders>
              <w:top w:val="single" w:color="auto" w:sz="4" w:space="0"/>
              <w:left w:val="single" w:color="auto" w:sz="4" w:space="0"/>
            </w:tcBorders>
            <w:shd w:val="clear" w:color="auto" w:fill="FFFFFF"/>
          </w:tcPr>
          <w:p w14:paraId="07B9D3F2">
            <w:pPr>
              <w:pStyle w:val="12"/>
              <w:shd w:val="clear" w:color="auto" w:fill="auto"/>
              <w:spacing w:line="240" w:lineRule="auto"/>
              <w:ind w:firstLine="0"/>
              <w:jc w:val="left"/>
              <w:rPr>
                <w:b/>
                <w:sz w:val="20"/>
                <w:szCs w:val="20"/>
              </w:rPr>
            </w:pPr>
            <w:r>
              <w:rPr>
                <w:rStyle w:val="24"/>
                <w:b/>
                <w:sz w:val="20"/>
                <w:szCs w:val="20"/>
              </w:rPr>
              <w:t>Ozbiljnost</w:t>
            </w:r>
            <w:r>
              <w:rPr>
                <w:rStyle w:val="24"/>
                <w:b/>
                <w:sz w:val="20"/>
                <w:szCs w:val="20"/>
                <w:vertAlign w:val="superscript"/>
              </w:rPr>
              <w:t>1</w:t>
            </w:r>
          </w:p>
        </w:tc>
        <w:tc>
          <w:tcPr>
            <w:tcW w:w="5894" w:type="dxa"/>
            <w:tcBorders>
              <w:top w:val="single" w:color="auto" w:sz="4" w:space="0"/>
              <w:left w:val="single" w:color="auto" w:sz="4" w:space="0"/>
              <w:right w:val="single" w:color="auto" w:sz="4" w:space="0"/>
            </w:tcBorders>
            <w:shd w:val="clear" w:color="auto" w:fill="FFFFFF"/>
          </w:tcPr>
          <w:p w14:paraId="7F04971E">
            <w:pPr>
              <w:pStyle w:val="12"/>
              <w:shd w:val="clear" w:color="auto" w:fill="auto"/>
              <w:spacing w:line="240" w:lineRule="auto"/>
              <w:ind w:firstLine="0"/>
              <w:jc w:val="left"/>
              <w:rPr>
                <w:b/>
                <w:sz w:val="20"/>
                <w:szCs w:val="20"/>
              </w:rPr>
            </w:pPr>
            <w:r>
              <w:rPr>
                <w:rStyle w:val="24"/>
                <w:b/>
                <w:sz w:val="20"/>
                <w:szCs w:val="20"/>
              </w:rPr>
              <w:t>Prilagođavanje doze everolimusa</w:t>
            </w:r>
          </w:p>
        </w:tc>
      </w:tr>
      <w:tr w14:paraId="01DF4EAC">
        <w:tblPrEx>
          <w:tblCellMar>
            <w:top w:w="0" w:type="dxa"/>
            <w:left w:w="10" w:type="dxa"/>
            <w:bottom w:w="0" w:type="dxa"/>
            <w:right w:w="10" w:type="dxa"/>
          </w:tblCellMar>
        </w:tblPrEx>
        <w:trPr>
          <w:trHeight w:val="1066" w:hRule="atLeast"/>
        </w:trPr>
        <w:tc>
          <w:tcPr>
            <w:tcW w:w="1997" w:type="dxa"/>
            <w:vMerge w:val="restart"/>
            <w:tcBorders>
              <w:top w:val="single" w:color="auto" w:sz="4" w:space="0"/>
              <w:left w:val="single" w:color="auto" w:sz="4" w:space="0"/>
            </w:tcBorders>
            <w:shd w:val="clear" w:color="auto" w:fill="FFFFFF"/>
          </w:tcPr>
          <w:p w14:paraId="51529E12">
            <w:pPr>
              <w:pStyle w:val="12"/>
              <w:shd w:val="clear" w:color="auto" w:fill="auto"/>
              <w:spacing w:line="240" w:lineRule="auto"/>
              <w:ind w:firstLine="0"/>
              <w:jc w:val="both"/>
              <w:rPr>
                <w:sz w:val="20"/>
                <w:szCs w:val="20"/>
              </w:rPr>
            </w:pPr>
            <w:r>
              <w:rPr>
                <w:rStyle w:val="24"/>
                <w:sz w:val="20"/>
                <w:szCs w:val="20"/>
              </w:rPr>
              <w:t>Neinfektivni</w:t>
            </w:r>
          </w:p>
          <w:p w14:paraId="6986EFD4">
            <w:pPr>
              <w:pStyle w:val="12"/>
              <w:shd w:val="clear" w:color="auto" w:fill="auto"/>
              <w:spacing w:line="240" w:lineRule="auto"/>
              <w:ind w:firstLine="0"/>
              <w:jc w:val="both"/>
              <w:rPr>
                <w:sz w:val="20"/>
                <w:szCs w:val="20"/>
              </w:rPr>
            </w:pPr>
            <w:r>
              <w:rPr>
                <w:rStyle w:val="24"/>
                <w:sz w:val="20"/>
                <w:szCs w:val="20"/>
              </w:rPr>
              <w:t>pneumonitis</w:t>
            </w:r>
          </w:p>
        </w:tc>
        <w:tc>
          <w:tcPr>
            <w:tcW w:w="1426" w:type="dxa"/>
            <w:tcBorders>
              <w:top w:val="single" w:color="auto" w:sz="4" w:space="0"/>
              <w:left w:val="single" w:color="auto" w:sz="4" w:space="0"/>
            </w:tcBorders>
            <w:shd w:val="clear" w:color="auto" w:fill="FFFFFF"/>
          </w:tcPr>
          <w:p w14:paraId="78AB894E">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67BF67C0">
            <w:pPr>
              <w:pStyle w:val="12"/>
              <w:shd w:val="clear" w:color="auto" w:fill="auto"/>
              <w:spacing w:line="240" w:lineRule="auto"/>
              <w:ind w:firstLine="0"/>
              <w:jc w:val="left"/>
              <w:rPr>
                <w:rStyle w:val="24"/>
                <w:sz w:val="20"/>
                <w:szCs w:val="20"/>
              </w:rPr>
            </w:pPr>
            <w:r>
              <w:rPr>
                <w:rStyle w:val="24"/>
                <w:sz w:val="20"/>
                <w:szCs w:val="20"/>
              </w:rPr>
              <w:t xml:space="preserve">Razmotriti prekid liječenja dok se simptomi ne poboljšaju </w:t>
            </w:r>
          </w:p>
          <w:p w14:paraId="34FC18AD">
            <w:pPr>
              <w:pStyle w:val="12"/>
              <w:shd w:val="clear" w:color="auto" w:fill="auto"/>
              <w:spacing w:line="240" w:lineRule="auto"/>
              <w:ind w:firstLine="0"/>
              <w:jc w:val="left"/>
              <w:rPr>
                <w:sz w:val="20"/>
                <w:szCs w:val="20"/>
              </w:rPr>
            </w:pPr>
            <w:r>
              <w:rPr>
                <w:rStyle w:val="24"/>
                <w:sz w:val="20"/>
                <w:szCs w:val="20"/>
              </w:rPr>
              <w:t xml:space="preserve">do stepena </w:t>
            </w:r>
            <w:r>
              <w:rPr>
                <w:szCs w:val="22"/>
              </w:rPr>
              <w:t>≤</w:t>
            </w:r>
            <w:r>
              <w:rPr>
                <w:rStyle w:val="24"/>
                <w:sz w:val="20"/>
                <w:szCs w:val="20"/>
              </w:rPr>
              <w:t>1.</w:t>
            </w:r>
          </w:p>
          <w:p w14:paraId="464B7C37">
            <w:pPr>
              <w:pStyle w:val="12"/>
              <w:shd w:val="clear" w:color="auto" w:fill="auto"/>
              <w:spacing w:line="240" w:lineRule="auto"/>
              <w:ind w:firstLine="0"/>
              <w:jc w:val="left"/>
              <w:rPr>
                <w:sz w:val="20"/>
                <w:szCs w:val="20"/>
              </w:rPr>
            </w:pPr>
            <w:r>
              <w:rPr>
                <w:rStyle w:val="24"/>
                <w:sz w:val="20"/>
                <w:szCs w:val="20"/>
              </w:rPr>
              <w:t xml:space="preserve">Ponovo započeti liječenje u dozi od 5 mg dnevno. </w:t>
            </w:r>
          </w:p>
          <w:p w14:paraId="58E91BE0">
            <w:pPr>
              <w:pStyle w:val="12"/>
              <w:shd w:val="clear" w:color="auto" w:fill="auto"/>
              <w:spacing w:line="240" w:lineRule="auto"/>
              <w:ind w:firstLine="0"/>
              <w:jc w:val="left"/>
              <w:rPr>
                <w:sz w:val="20"/>
                <w:szCs w:val="20"/>
              </w:rPr>
            </w:pPr>
            <w:r>
              <w:rPr>
                <w:rStyle w:val="24"/>
                <w:sz w:val="20"/>
                <w:szCs w:val="20"/>
              </w:rPr>
              <w:t>Prekinuti liječenje ako ne dođe do poboljšanja unutar 4 nedelje.</w:t>
            </w:r>
          </w:p>
        </w:tc>
      </w:tr>
      <w:tr w14:paraId="1759FA82">
        <w:tblPrEx>
          <w:tblCellMar>
            <w:top w:w="0" w:type="dxa"/>
            <w:left w:w="10" w:type="dxa"/>
            <w:bottom w:w="0" w:type="dxa"/>
            <w:right w:w="10" w:type="dxa"/>
          </w:tblCellMar>
        </w:tblPrEx>
        <w:trPr>
          <w:trHeight w:val="806" w:hRule="atLeast"/>
        </w:trPr>
        <w:tc>
          <w:tcPr>
            <w:tcW w:w="1997" w:type="dxa"/>
            <w:vMerge w:val="continue"/>
            <w:tcBorders>
              <w:left w:val="single" w:color="auto" w:sz="4" w:space="0"/>
            </w:tcBorders>
            <w:shd w:val="clear" w:color="auto" w:fill="FFFFFF"/>
          </w:tcPr>
          <w:p w14:paraId="6ED9DE58">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3733C93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583BE0A4">
            <w:pPr>
              <w:pStyle w:val="12"/>
              <w:shd w:val="clear" w:color="auto" w:fill="auto"/>
              <w:spacing w:line="240" w:lineRule="auto"/>
              <w:ind w:firstLine="0"/>
              <w:jc w:val="left"/>
              <w:rPr>
                <w:rStyle w:val="24"/>
                <w:sz w:val="20"/>
                <w:szCs w:val="20"/>
              </w:rPr>
            </w:pPr>
            <w:r>
              <w:rPr>
                <w:rStyle w:val="24"/>
                <w:sz w:val="20"/>
                <w:szCs w:val="20"/>
              </w:rPr>
              <w:t xml:space="preserve">Privremeno prekinuti liječenje dok se simptomi ne poboljšaju do stepena </w:t>
            </w:r>
            <w:r>
              <w:rPr>
                <w:szCs w:val="22"/>
              </w:rPr>
              <w:t>≤</w:t>
            </w:r>
            <w:r>
              <w:rPr>
                <w:rStyle w:val="24"/>
                <w:sz w:val="20"/>
                <w:szCs w:val="20"/>
              </w:rPr>
              <w:t xml:space="preserve">1. </w:t>
            </w:r>
          </w:p>
          <w:p w14:paraId="58BAF51B">
            <w:pPr>
              <w:pStyle w:val="12"/>
              <w:shd w:val="clear" w:color="auto" w:fill="auto"/>
              <w:spacing w:line="240" w:lineRule="auto"/>
              <w:ind w:firstLine="0"/>
              <w:jc w:val="left"/>
              <w:rPr>
                <w:sz w:val="20"/>
                <w:szCs w:val="20"/>
              </w:rPr>
            </w:pPr>
            <w:r>
              <w:rPr>
                <w:rStyle w:val="24"/>
                <w:sz w:val="20"/>
                <w:szCs w:val="20"/>
              </w:rPr>
              <w:t>Razmotriti ponovno uvođenje liječenja u dozi od 5 mg dnevno. U slučaju ponovne toksičnosti stepena 3, razmotriti prekid liječenja.</w:t>
            </w:r>
          </w:p>
        </w:tc>
      </w:tr>
      <w:tr w14:paraId="70CB16BE">
        <w:tblPrEx>
          <w:tblCellMar>
            <w:top w:w="0" w:type="dxa"/>
            <w:left w:w="10" w:type="dxa"/>
            <w:bottom w:w="0" w:type="dxa"/>
            <w:right w:w="10" w:type="dxa"/>
          </w:tblCellMar>
        </w:tblPrEx>
        <w:trPr>
          <w:trHeight w:val="269" w:hRule="atLeast"/>
        </w:trPr>
        <w:tc>
          <w:tcPr>
            <w:tcW w:w="1997" w:type="dxa"/>
            <w:vMerge w:val="continue"/>
            <w:tcBorders>
              <w:left w:val="single" w:color="auto" w:sz="4" w:space="0"/>
              <w:bottom w:val="single" w:color="auto" w:sz="4" w:space="0"/>
            </w:tcBorders>
            <w:shd w:val="clear" w:color="auto" w:fill="FFFFFF"/>
          </w:tcPr>
          <w:p w14:paraId="71EBFDB4">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570D03D">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right w:val="single" w:color="auto" w:sz="4" w:space="0"/>
            </w:tcBorders>
            <w:shd w:val="clear" w:color="auto" w:fill="FFFFFF"/>
          </w:tcPr>
          <w:p w14:paraId="53F172B9">
            <w:pPr>
              <w:pStyle w:val="12"/>
              <w:shd w:val="clear" w:color="auto" w:fill="auto"/>
              <w:spacing w:line="240" w:lineRule="auto"/>
              <w:ind w:firstLine="0"/>
              <w:jc w:val="left"/>
              <w:rPr>
                <w:sz w:val="20"/>
                <w:szCs w:val="20"/>
              </w:rPr>
            </w:pPr>
            <w:r>
              <w:rPr>
                <w:rStyle w:val="24"/>
                <w:sz w:val="20"/>
                <w:szCs w:val="20"/>
              </w:rPr>
              <w:t>Prekinuti liječenje.</w:t>
            </w:r>
          </w:p>
        </w:tc>
      </w:tr>
      <w:tr w14:paraId="13E9CAEB">
        <w:tblPrEx>
          <w:tblCellMar>
            <w:top w:w="0" w:type="dxa"/>
            <w:left w:w="10" w:type="dxa"/>
            <w:bottom w:w="0" w:type="dxa"/>
            <w:right w:w="10" w:type="dxa"/>
          </w:tblCellMar>
        </w:tblPrEx>
        <w:trPr>
          <w:trHeight w:val="1075" w:hRule="atLeast"/>
        </w:trPr>
        <w:tc>
          <w:tcPr>
            <w:tcW w:w="1997" w:type="dxa"/>
            <w:vMerge w:val="restart"/>
            <w:tcBorders>
              <w:top w:val="single" w:color="auto" w:sz="4" w:space="0"/>
              <w:left w:val="single" w:color="auto" w:sz="4" w:space="0"/>
              <w:bottom w:val="single" w:color="auto" w:sz="4" w:space="0"/>
            </w:tcBorders>
            <w:shd w:val="clear" w:color="auto" w:fill="FFFFFF"/>
          </w:tcPr>
          <w:p w14:paraId="3A347AAC">
            <w:pPr>
              <w:pStyle w:val="12"/>
              <w:shd w:val="clear" w:color="auto" w:fill="auto"/>
              <w:spacing w:line="240" w:lineRule="auto"/>
              <w:ind w:firstLine="0"/>
              <w:jc w:val="both"/>
              <w:rPr>
                <w:sz w:val="20"/>
                <w:szCs w:val="20"/>
              </w:rPr>
            </w:pPr>
            <w:r>
              <w:rPr>
                <w:rStyle w:val="24"/>
                <w:sz w:val="20"/>
                <w:szCs w:val="20"/>
              </w:rPr>
              <w:t>Stomatitis</w:t>
            </w:r>
          </w:p>
        </w:tc>
        <w:tc>
          <w:tcPr>
            <w:tcW w:w="1426" w:type="dxa"/>
            <w:tcBorders>
              <w:top w:val="single" w:color="auto" w:sz="4" w:space="0"/>
              <w:left w:val="single" w:color="auto" w:sz="4" w:space="0"/>
            </w:tcBorders>
            <w:shd w:val="clear" w:color="auto" w:fill="FFFFFF"/>
          </w:tcPr>
          <w:p w14:paraId="0A52F7DF">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2BFBE241">
            <w:pPr>
              <w:pStyle w:val="12"/>
              <w:shd w:val="clear" w:color="auto" w:fill="auto"/>
              <w:spacing w:line="240" w:lineRule="auto"/>
              <w:ind w:firstLine="0"/>
              <w:jc w:val="left"/>
              <w:rPr>
                <w:sz w:val="20"/>
                <w:szCs w:val="20"/>
              </w:rPr>
            </w:pPr>
            <w:r>
              <w:rPr>
                <w:rStyle w:val="24"/>
                <w:sz w:val="20"/>
                <w:szCs w:val="20"/>
              </w:rPr>
              <w:t xml:space="preserve">Privremeno prekinuti primjene do poboljšanja do stepena </w:t>
            </w:r>
            <w:r>
              <w:rPr>
                <w:szCs w:val="22"/>
              </w:rPr>
              <w:t>≤</w:t>
            </w:r>
            <w:r>
              <w:rPr>
                <w:rStyle w:val="24"/>
                <w:sz w:val="20"/>
                <w:szCs w:val="20"/>
              </w:rPr>
              <w:t>1.</w:t>
            </w:r>
          </w:p>
          <w:p w14:paraId="7923B2F3">
            <w:pPr>
              <w:pStyle w:val="12"/>
              <w:shd w:val="clear" w:color="auto" w:fill="auto"/>
              <w:spacing w:line="240" w:lineRule="auto"/>
              <w:ind w:firstLine="0"/>
              <w:jc w:val="left"/>
              <w:rPr>
                <w:sz w:val="20"/>
                <w:szCs w:val="20"/>
              </w:rPr>
            </w:pPr>
            <w:r>
              <w:rPr>
                <w:rStyle w:val="24"/>
                <w:sz w:val="20"/>
                <w:szCs w:val="20"/>
              </w:rPr>
              <w:t>Ponovo započeti liječenje u istoj dozi.</w:t>
            </w:r>
          </w:p>
          <w:p w14:paraId="6994FE39">
            <w:pPr>
              <w:pStyle w:val="12"/>
              <w:shd w:val="clear" w:color="auto" w:fill="auto"/>
              <w:spacing w:line="240" w:lineRule="auto"/>
              <w:ind w:firstLine="0"/>
              <w:jc w:val="left"/>
              <w:rPr>
                <w:sz w:val="20"/>
                <w:szCs w:val="20"/>
              </w:rPr>
            </w:pPr>
            <w:r>
              <w:rPr>
                <w:rStyle w:val="24"/>
                <w:sz w:val="20"/>
                <w:szCs w:val="20"/>
              </w:rPr>
              <w:t xml:space="preserve">Ako se vrati stomatitis stepena 2, prekinuti primjenu do poboljšanja do stepena </w:t>
            </w:r>
            <w:r>
              <w:rPr>
                <w:szCs w:val="22"/>
              </w:rPr>
              <w:t>≤</w:t>
            </w:r>
            <w:r>
              <w:rPr>
                <w:rStyle w:val="24"/>
                <w:sz w:val="20"/>
                <w:szCs w:val="20"/>
              </w:rPr>
              <w:t>1. Ponovo započeti liječenje u dozi od 5 mg dnevno.</w:t>
            </w:r>
          </w:p>
        </w:tc>
      </w:tr>
      <w:tr w14:paraId="4CA24E66">
        <w:tblPrEx>
          <w:tblCellMar>
            <w:top w:w="0" w:type="dxa"/>
            <w:left w:w="10" w:type="dxa"/>
            <w:bottom w:w="0" w:type="dxa"/>
            <w:right w:w="10" w:type="dxa"/>
          </w:tblCellMar>
        </w:tblPrEx>
        <w:trPr>
          <w:trHeight w:val="538" w:hRule="atLeast"/>
        </w:trPr>
        <w:tc>
          <w:tcPr>
            <w:tcW w:w="1997" w:type="dxa"/>
            <w:vMerge w:val="continue"/>
            <w:tcBorders>
              <w:top w:val="single" w:color="auto" w:sz="4" w:space="0"/>
              <w:left w:val="single" w:color="auto" w:sz="4" w:space="0"/>
              <w:bottom w:val="single" w:color="auto" w:sz="4" w:space="0"/>
            </w:tcBorders>
            <w:shd w:val="clear" w:color="auto" w:fill="FFFFFF"/>
          </w:tcPr>
          <w:p w14:paraId="0B1A56AA">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C7B8191">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792647ED">
            <w:pPr>
              <w:pStyle w:val="12"/>
              <w:shd w:val="clear" w:color="auto" w:fill="auto"/>
              <w:spacing w:line="240" w:lineRule="auto"/>
              <w:ind w:firstLine="0"/>
              <w:jc w:val="left"/>
              <w:rPr>
                <w:sz w:val="20"/>
                <w:szCs w:val="20"/>
              </w:rPr>
            </w:pPr>
            <w:r>
              <w:rPr>
                <w:rStyle w:val="24"/>
                <w:sz w:val="20"/>
                <w:szCs w:val="20"/>
              </w:rPr>
              <w:t>Privremen</w:t>
            </w:r>
            <w:r>
              <w:rPr>
                <w:rStyle w:val="24"/>
                <w:sz w:val="20"/>
                <w:szCs w:val="20"/>
                <w:lang w:val="sr-Cyrl-RS"/>
              </w:rPr>
              <w:t>о</w:t>
            </w:r>
            <w:r>
              <w:rPr>
                <w:rStyle w:val="24"/>
                <w:sz w:val="20"/>
                <w:szCs w:val="20"/>
              </w:rPr>
              <w:t xml:space="preserve"> prekinuti primjene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7AA13F55">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09A6904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5F99283">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276978F">
            <w:pPr>
              <w:pStyle w:val="12"/>
              <w:shd w:val="clear" w:color="auto" w:fill="auto"/>
              <w:spacing w:line="240" w:lineRule="auto"/>
              <w:ind w:firstLine="0"/>
              <w:jc w:val="left"/>
              <w:rPr>
                <w:sz w:val="20"/>
                <w:szCs w:val="20"/>
              </w:rPr>
            </w:pPr>
            <w:r>
              <w:rPr>
                <w:rStyle w:val="24"/>
                <w:sz w:val="20"/>
                <w:szCs w:val="20"/>
              </w:rPr>
              <w:t>Prekinuti liječenje.</w:t>
            </w:r>
          </w:p>
        </w:tc>
      </w:tr>
      <w:tr w14:paraId="6317A94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bottom w:val="single" w:color="auto" w:sz="4" w:space="0"/>
            </w:tcBorders>
            <w:shd w:val="clear" w:color="auto" w:fill="FFFFFF"/>
          </w:tcPr>
          <w:p w14:paraId="17079FC9">
            <w:pPr>
              <w:pStyle w:val="12"/>
              <w:shd w:val="clear" w:color="auto" w:fill="auto"/>
              <w:spacing w:line="240" w:lineRule="auto"/>
              <w:ind w:firstLine="0"/>
              <w:jc w:val="both"/>
              <w:rPr>
                <w:sz w:val="20"/>
                <w:szCs w:val="20"/>
              </w:rPr>
            </w:pPr>
            <w:r>
              <w:rPr>
                <w:rStyle w:val="24"/>
                <w:sz w:val="20"/>
                <w:szCs w:val="20"/>
              </w:rPr>
              <w:t>Druge nehematološke</w:t>
            </w:r>
          </w:p>
          <w:p w14:paraId="1A8997E5">
            <w:pPr>
              <w:pStyle w:val="12"/>
              <w:shd w:val="clear" w:color="auto" w:fill="auto"/>
              <w:spacing w:line="240" w:lineRule="auto"/>
              <w:ind w:firstLine="0"/>
              <w:jc w:val="both"/>
              <w:rPr>
                <w:sz w:val="20"/>
                <w:szCs w:val="20"/>
              </w:rPr>
            </w:pPr>
            <w:r>
              <w:rPr>
                <w:rStyle w:val="24"/>
                <w:sz w:val="20"/>
                <w:szCs w:val="20"/>
              </w:rPr>
              <w:t>toksičnosti</w:t>
            </w:r>
          </w:p>
          <w:p w14:paraId="2B94F6AC">
            <w:pPr>
              <w:pStyle w:val="12"/>
              <w:shd w:val="clear" w:color="auto" w:fill="auto"/>
              <w:spacing w:line="240" w:lineRule="auto"/>
              <w:ind w:firstLine="0"/>
              <w:jc w:val="both"/>
              <w:rPr>
                <w:sz w:val="20"/>
                <w:szCs w:val="20"/>
              </w:rPr>
            </w:pPr>
            <w:r>
              <w:rPr>
                <w:rStyle w:val="24"/>
                <w:sz w:val="20"/>
                <w:szCs w:val="20"/>
              </w:rPr>
              <w:t>(isključujući</w:t>
            </w:r>
          </w:p>
          <w:p w14:paraId="0CC7ED18">
            <w:pPr>
              <w:pStyle w:val="12"/>
              <w:shd w:val="clear" w:color="auto" w:fill="auto"/>
              <w:spacing w:line="240" w:lineRule="auto"/>
              <w:ind w:firstLine="0"/>
              <w:jc w:val="both"/>
              <w:rPr>
                <w:sz w:val="20"/>
                <w:szCs w:val="20"/>
              </w:rPr>
            </w:pPr>
            <w:r>
              <w:rPr>
                <w:rStyle w:val="24"/>
                <w:sz w:val="20"/>
                <w:szCs w:val="20"/>
              </w:rPr>
              <w:t>metaboličke</w:t>
            </w:r>
          </w:p>
          <w:p w14:paraId="6CDF6591">
            <w:pPr>
              <w:pStyle w:val="12"/>
              <w:shd w:val="clear" w:color="auto" w:fill="auto"/>
              <w:spacing w:line="240" w:lineRule="auto"/>
              <w:ind w:firstLine="0"/>
              <w:jc w:val="both"/>
              <w:rPr>
                <w:sz w:val="20"/>
                <w:szCs w:val="20"/>
              </w:rPr>
            </w:pPr>
            <w:r>
              <w:rPr>
                <w:rStyle w:val="24"/>
                <w:sz w:val="20"/>
                <w:szCs w:val="20"/>
              </w:rPr>
              <w:t>događaje)</w:t>
            </w:r>
          </w:p>
        </w:tc>
        <w:tc>
          <w:tcPr>
            <w:tcW w:w="1426" w:type="dxa"/>
            <w:tcBorders>
              <w:top w:val="single" w:color="auto" w:sz="4" w:space="0"/>
              <w:left w:val="single" w:color="auto" w:sz="4" w:space="0"/>
              <w:bottom w:val="single" w:color="auto" w:sz="4" w:space="0"/>
            </w:tcBorders>
            <w:shd w:val="clear" w:color="auto" w:fill="FFFFFF"/>
          </w:tcPr>
          <w:p w14:paraId="51486030">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09EFCA9">
            <w:pPr>
              <w:pStyle w:val="12"/>
              <w:shd w:val="clear" w:color="auto" w:fill="auto"/>
              <w:spacing w:line="240" w:lineRule="auto"/>
              <w:ind w:firstLine="0"/>
              <w:jc w:val="left"/>
              <w:rPr>
                <w:sz w:val="20"/>
                <w:szCs w:val="20"/>
              </w:rPr>
            </w:pPr>
            <w:r>
              <w:rPr>
                <w:rStyle w:val="24"/>
                <w:sz w:val="20"/>
                <w:szCs w:val="20"/>
              </w:rPr>
              <w:t xml:space="preserve">Ako je toksičnost podnošljiva, nije potrebno prilagođavanje doze. Ako toksičnost postane nepodnošljiva, privremeno prekinuti primjenu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istoj dozi.</w:t>
            </w:r>
          </w:p>
          <w:p w14:paraId="4E4FB676">
            <w:pPr>
              <w:pStyle w:val="12"/>
              <w:shd w:val="clear" w:color="auto" w:fill="auto"/>
              <w:spacing w:line="240" w:lineRule="auto"/>
              <w:ind w:firstLine="0"/>
              <w:jc w:val="left"/>
              <w:rPr>
                <w:sz w:val="20"/>
                <w:szCs w:val="20"/>
              </w:rPr>
            </w:pPr>
            <w:r>
              <w:rPr>
                <w:rStyle w:val="24"/>
                <w:sz w:val="20"/>
                <w:szCs w:val="20"/>
              </w:rPr>
              <w:t xml:space="preserve">Ako se vrati toksičnost stepena 2, prekinuti liječenje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1532D604">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1DC4FB08">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28DF2245">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3328C08">
            <w:pPr>
              <w:pStyle w:val="12"/>
              <w:shd w:val="clear" w:color="auto" w:fill="auto"/>
              <w:spacing w:line="240" w:lineRule="auto"/>
              <w:ind w:firstLine="0"/>
              <w:jc w:val="left"/>
              <w:rPr>
                <w:sz w:val="20"/>
                <w:szCs w:val="20"/>
              </w:rPr>
            </w:pPr>
            <w:r>
              <w:rPr>
                <w:rStyle w:val="24"/>
                <w:sz w:val="20"/>
                <w:szCs w:val="20"/>
              </w:rPr>
              <w:t xml:space="preserve">Privremeni prekid primjene do </w:t>
            </w:r>
            <w:r>
              <w:rPr>
                <w:rStyle w:val="24"/>
                <w:sz w:val="20"/>
                <w:szCs w:val="20"/>
                <w:lang w:val="hr-BA"/>
              </w:rPr>
              <w:t>poboljšanja</w:t>
            </w:r>
            <w:r>
              <w:rPr>
                <w:rStyle w:val="24"/>
                <w:sz w:val="20"/>
                <w:szCs w:val="20"/>
              </w:rPr>
              <w:t xml:space="preserve"> na stepen </w:t>
            </w:r>
            <w:r>
              <w:rPr>
                <w:szCs w:val="22"/>
              </w:rPr>
              <w:t>≤</w:t>
            </w:r>
            <w:r>
              <w:rPr>
                <w:rStyle w:val="24"/>
                <w:sz w:val="20"/>
                <w:szCs w:val="20"/>
              </w:rPr>
              <w:t xml:space="preserve">1. Razmotriti ponovno uvođenje liječenja u dozi od 5 mg dnevno. </w:t>
            </w:r>
            <w:r>
              <w:rPr>
                <w:rStyle w:val="24"/>
                <w:sz w:val="20"/>
                <w:szCs w:val="20"/>
                <w:lang w:val="hr-BA"/>
              </w:rPr>
              <w:t>U slučaju ponovne</w:t>
            </w:r>
            <w:r>
              <w:rPr>
                <w:rStyle w:val="24"/>
                <w:sz w:val="20"/>
                <w:szCs w:val="20"/>
              </w:rPr>
              <w:t xml:space="preserve"> toksičnosti stepena 3, razmotriti prekid liječenja.</w:t>
            </w:r>
          </w:p>
        </w:tc>
      </w:tr>
      <w:tr w14:paraId="50D6D962">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5A491964">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415FE52C">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6E7ACA4">
            <w:pPr>
              <w:pStyle w:val="12"/>
              <w:shd w:val="clear" w:color="auto" w:fill="auto"/>
              <w:spacing w:line="240" w:lineRule="auto"/>
              <w:ind w:firstLine="0"/>
              <w:jc w:val="left"/>
              <w:rPr>
                <w:sz w:val="20"/>
                <w:szCs w:val="20"/>
              </w:rPr>
            </w:pPr>
            <w:r>
              <w:rPr>
                <w:rStyle w:val="24"/>
                <w:sz w:val="20"/>
                <w:szCs w:val="20"/>
              </w:rPr>
              <w:t>Prekinuti liječenje.</w:t>
            </w:r>
          </w:p>
        </w:tc>
      </w:tr>
      <w:tr w14:paraId="781EE316">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5D5E5B38">
            <w:pPr>
              <w:pStyle w:val="12"/>
              <w:shd w:val="clear" w:color="auto" w:fill="auto"/>
              <w:spacing w:line="240" w:lineRule="auto"/>
              <w:ind w:firstLine="0"/>
              <w:jc w:val="both"/>
              <w:rPr>
                <w:sz w:val="20"/>
                <w:szCs w:val="20"/>
              </w:rPr>
            </w:pPr>
            <w:r>
              <w:rPr>
                <w:rStyle w:val="24"/>
                <w:sz w:val="20"/>
                <w:szCs w:val="20"/>
              </w:rPr>
              <w:t>Metabolički događaji (npr. hiperglikemija, dislipidemija)</w:t>
            </w:r>
          </w:p>
        </w:tc>
        <w:tc>
          <w:tcPr>
            <w:tcW w:w="1426" w:type="dxa"/>
            <w:tcBorders>
              <w:top w:val="single" w:color="auto" w:sz="4" w:space="0"/>
              <w:left w:val="single" w:color="auto" w:sz="4" w:space="0"/>
              <w:bottom w:val="single" w:color="auto" w:sz="4" w:space="0"/>
            </w:tcBorders>
            <w:shd w:val="clear" w:color="auto" w:fill="FFFFFF"/>
          </w:tcPr>
          <w:p w14:paraId="07DE4C4A">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21574C">
            <w:pPr>
              <w:pStyle w:val="12"/>
              <w:shd w:val="clear" w:color="auto" w:fill="auto"/>
              <w:spacing w:line="240" w:lineRule="auto"/>
              <w:ind w:firstLine="0"/>
              <w:jc w:val="left"/>
              <w:rPr>
                <w:sz w:val="20"/>
                <w:szCs w:val="20"/>
              </w:rPr>
            </w:pPr>
            <w:r>
              <w:rPr>
                <w:rStyle w:val="24"/>
                <w:sz w:val="20"/>
                <w:szCs w:val="20"/>
              </w:rPr>
              <w:t>Nije potrebno prilagođavanje doze.</w:t>
            </w:r>
          </w:p>
        </w:tc>
      </w:tr>
      <w:tr w14:paraId="3CAF0FC2">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53FAB329">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3B8029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55481466">
            <w:pPr>
              <w:pStyle w:val="12"/>
              <w:shd w:val="clear" w:color="auto" w:fill="auto"/>
              <w:spacing w:line="240" w:lineRule="auto"/>
              <w:ind w:firstLine="0"/>
              <w:jc w:val="left"/>
              <w:rPr>
                <w:sz w:val="20"/>
                <w:szCs w:val="20"/>
              </w:rPr>
            </w:pPr>
            <w:r>
              <w:rPr>
                <w:rStyle w:val="24"/>
                <w:sz w:val="20"/>
                <w:szCs w:val="20"/>
              </w:rPr>
              <w:t>Privremeni prekid primjene.</w:t>
            </w:r>
          </w:p>
          <w:p w14:paraId="49437A13">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2B3B4B0F">
        <w:tblPrEx>
          <w:tblCellMar>
            <w:top w:w="0" w:type="dxa"/>
            <w:left w:w="10" w:type="dxa"/>
            <w:bottom w:w="0" w:type="dxa"/>
            <w:right w:w="10" w:type="dxa"/>
          </w:tblCellMar>
        </w:tblPrEx>
        <w:trPr>
          <w:trHeight w:val="345" w:hRule="atLeast"/>
        </w:trPr>
        <w:tc>
          <w:tcPr>
            <w:tcW w:w="1997" w:type="dxa"/>
            <w:vMerge w:val="continue"/>
            <w:tcBorders>
              <w:left w:val="single" w:color="auto" w:sz="4" w:space="0"/>
              <w:bottom w:val="single" w:color="auto" w:sz="4" w:space="0"/>
            </w:tcBorders>
            <w:shd w:val="clear" w:color="auto" w:fill="FFFFFF"/>
          </w:tcPr>
          <w:p w14:paraId="22FC4BB0">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43F059FB">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B8D11D">
            <w:pPr>
              <w:pStyle w:val="12"/>
              <w:shd w:val="clear" w:color="auto" w:fill="auto"/>
              <w:spacing w:line="240" w:lineRule="auto"/>
              <w:ind w:firstLine="0"/>
              <w:jc w:val="left"/>
              <w:rPr>
                <w:sz w:val="20"/>
                <w:szCs w:val="20"/>
              </w:rPr>
            </w:pPr>
            <w:r>
              <w:rPr>
                <w:rStyle w:val="24"/>
                <w:sz w:val="20"/>
                <w:szCs w:val="20"/>
              </w:rPr>
              <w:t>Prekinuti liječenje.</w:t>
            </w:r>
          </w:p>
        </w:tc>
      </w:tr>
      <w:tr w14:paraId="6F868E12">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1CBB4C4D">
            <w:pPr>
              <w:pStyle w:val="12"/>
              <w:shd w:val="clear" w:color="auto" w:fill="auto"/>
              <w:spacing w:line="240" w:lineRule="auto"/>
              <w:ind w:firstLine="0"/>
              <w:jc w:val="both"/>
              <w:rPr>
                <w:sz w:val="20"/>
                <w:szCs w:val="20"/>
              </w:rPr>
            </w:pPr>
            <w:r>
              <w:rPr>
                <w:rStyle w:val="24"/>
                <w:sz w:val="20"/>
                <w:szCs w:val="20"/>
              </w:rPr>
              <w:t>Trombocitopenija</w:t>
            </w:r>
          </w:p>
        </w:tc>
        <w:tc>
          <w:tcPr>
            <w:tcW w:w="1426" w:type="dxa"/>
            <w:tcBorders>
              <w:top w:val="single" w:color="auto" w:sz="4" w:space="0"/>
              <w:left w:val="single" w:color="auto" w:sz="4" w:space="0"/>
              <w:bottom w:val="single" w:color="auto" w:sz="4" w:space="0"/>
            </w:tcBorders>
            <w:shd w:val="clear" w:color="auto" w:fill="FFFFFF"/>
          </w:tcPr>
          <w:p w14:paraId="586AF53F">
            <w:pPr>
              <w:pStyle w:val="12"/>
              <w:shd w:val="clear" w:color="auto" w:fill="auto"/>
              <w:spacing w:line="240" w:lineRule="auto"/>
              <w:ind w:firstLine="0"/>
              <w:jc w:val="left"/>
              <w:rPr>
                <w:sz w:val="20"/>
                <w:szCs w:val="20"/>
              </w:rPr>
            </w:pPr>
            <w:r>
              <w:rPr>
                <w:rStyle w:val="24"/>
                <w:sz w:val="20"/>
                <w:szCs w:val="20"/>
              </w:rPr>
              <w:t>Stepen 2 (&lt;75,</w:t>
            </w:r>
          </w:p>
          <w:p w14:paraId="1A4F5279">
            <w:pPr>
              <w:pStyle w:val="12"/>
              <w:shd w:val="clear" w:color="auto" w:fill="auto"/>
              <w:spacing w:line="240" w:lineRule="auto"/>
              <w:ind w:firstLine="0"/>
              <w:jc w:val="left"/>
              <w:rPr>
                <w:sz w:val="20"/>
                <w:szCs w:val="20"/>
              </w:rPr>
            </w:pPr>
            <w:r>
              <w:rPr>
                <w:szCs w:val="22"/>
              </w:rPr>
              <w:t>≥</w:t>
            </w:r>
            <w:r>
              <w:rPr>
                <w:rStyle w:val="24"/>
                <w:sz w:val="20"/>
                <w:szCs w:val="20"/>
              </w:rPr>
              <w: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01BA49A">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istoj dozi.</w:t>
            </w:r>
          </w:p>
        </w:tc>
      </w:tr>
      <w:tr w14:paraId="7198D567">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1805388F">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1B578EB5">
            <w:pPr>
              <w:pStyle w:val="12"/>
              <w:shd w:val="clear" w:color="auto" w:fill="auto"/>
              <w:spacing w:line="240" w:lineRule="auto"/>
              <w:ind w:firstLine="0"/>
              <w:jc w:val="left"/>
              <w:rPr>
                <w:sz w:val="20"/>
                <w:szCs w:val="20"/>
              </w:rPr>
            </w:pPr>
            <w:r>
              <w:rPr>
                <w:rStyle w:val="24"/>
                <w:sz w:val="20"/>
                <w:szCs w:val="20"/>
              </w:rPr>
              <w:t>Stepen 3 i 4 (&lt;50x10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090A77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dozi od 5 mg dnevno.</w:t>
            </w:r>
          </w:p>
        </w:tc>
      </w:tr>
      <w:tr w14:paraId="66AC9FC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0F3FBC51">
            <w:pPr>
              <w:pStyle w:val="12"/>
              <w:shd w:val="clear" w:color="auto" w:fill="auto"/>
              <w:spacing w:line="240" w:lineRule="auto"/>
              <w:ind w:firstLine="0"/>
              <w:jc w:val="both"/>
              <w:rPr>
                <w:sz w:val="20"/>
                <w:szCs w:val="20"/>
              </w:rPr>
            </w:pPr>
            <w:r>
              <w:rPr>
                <w:rStyle w:val="24"/>
                <w:sz w:val="20"/>
                <w:szCs w:val="20"/>
              </w:rPr>
              <w:t>Neutropenija</w:t>
            </w:r>
          </w:p>
        </w:tc>
        <w:tc>
          <w:tcPr>
            <w:tcW w:w="1426" w:type="dxa"/>
            <w:tcBorders>
              <w:top w:val="single" w:color="auto" w:sz="4" w:space="0"/>
              <w:left w:val="single" w:color="auto" w:sz="4" w:space="0"/>
              <w:bottom w:val="single" w:color="auto" w:sz="4" w:space="0"/>
            </w:tcBorders>
            <w:shd w:val="clear" w:color="auto" w:fill="FFFFFF"/>
          </w:tcPr>
          <w:p w14:paraId="1B28387C">
            <w:pPr>
              <w:pStyle w:val="12"/>
              <w:shd w:val="clear" w:color="auto" w:fill="auto"/>
              <w:spacing w:line="240" w:lineRule="auto"/>
              <w:ind w:firstLine="0"/>
              <w:jc w:val="left"/>
              <w:rPr>
                <w:sz w:val="20"/>
                <w:szCs w:val="20"/>
              </w:rPr>
            </w:pPr>
            <w:r>
              <w:rPr>
                <w:rStyle w:val="24"/>
                <w:sz w:val="20"/>
                <w:szCs w:val="20"/>
              </w:rPr>
              <w:t>Stepen 2 (</w:t>
            </w:r>
            <w:r>
              <w:rPr>
                <w:szCs w:val="22"/>
              </w:rPr>
              <w:t>≥</w:t>
            </w:r>
            <w:r>
              <w:rPr>
                <w:rStyle w:val="24"/>
                <w:sz w:val="20"/>
                <w:szCs w:val="20"/>
              </w:rPr>
              <w:t>1x10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10BA457">
            <w:pPr>
              <w:pStyle w:val="12"/>
              <w:shd w:val="clear" w:color="auto" w:fill="auto"/>
              <w:spacing w:line="240" w:lineRule="auto"/>
              <w:ind w:firstLine="0"/>
              <w:jc w:val="left"/>
              <w:rPr>
                <w:sz w:val="20"/>
                <w:szCs w:val="20"/>
              </w:rPr>
            </w:pPr>
            <w:r>
              <w:rPr>
                <w:rStyle w:val="24"/>
                <w:sz w:val="20"/>
                <w:szCs w:val="20"/>
              </w:rPr>
              <w:t>Nije potrebno prilagođavanje doze.</w:t>
            </w:r>
          </w:p>
        </w:tc>
      </w:tr>
      <w:tr w14:paraId="1FC19D7E">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07799C9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F78E86D">
            <w:pPr>
              <w:pStyle w:val="12"/>
              <w:shd w:val="clear" w:color="auto" w:fill="auto"/>
              <w:spacing w:line="240" w:lineRule="auto"/>
              <w:ind w:firstLine="0"/>
              <w:jc w:val="left"/>
              <w:rPr>
                <w:sz w:val="20"/>
                <w:szCs w:val="20"/>
              </w:rPr>
            </w:pPr>
            <w:r>
              <w:rPr>
                <w:rStyle w:val="24"/>
                <w:sz w:val="20"/>
                <w:szCs w:val="20"/>
              </w:rPr>
              <w:t xml:space="preserve">Stepen 3 (&lt;1, </w:t>
            </w:r>
            <w:r>
              <w:rPr>
                <w:szCs w:val="22"/>
              </w:rPr>
              <w:t>≥</w:t>
            </w:r>
            <w:r>
              <w:rPr>
                <w:rStyle w:val="24"/>
                <w:sz w:val="20"/>
                <w:szCs w:val="20"/>
              </w:rPr>
              <w: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C7997CE">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istoj dozi.</w:t>
            </w:r>
          </w:p>
        </w:tc>
      </w:tr>
      <w:tr w14:paraId="5836AF46">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61C3B493">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2BF36862">
            <w:pPr>
              <w:pStyle w:val="12"/>
              <w:shd w:val="clear" w:color="auto" w:fill="auto"/>
              <w:spacing w:line="240" w:lineRule="auto"/>
              <w:ind w:firstLine="0"/>
              <w:jc w:val="left"/>
              <w:rPr>
                <w:sz w:val="20"/>
                <w:szCs w:val="20"/>
              </w:rPr>
            </w:pPr>
            <w:r>
              <w:rPr>
                <w:rStyle w:val="24"/>
                <w:sz w:val="20"/>
                <w:szCs w:val="20"/>
              </w:rPr>
              <w:t>Stepen 4 (&lt;0,5x10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3F850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dozi od 5 mg dnevno.</w:t>
            </w:r>
          </w:p>
        </w:tc>
      </w:tr>
      <w:tr w14:paraId="17FACA6E">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44EEF4E9">
            <w:pPr>
              <w:pStyle w:val="12"/>
              <w:shd w:val="clear" w:color="auto" w:fill="auto"/>
              <w:spacing w:line="240" w:lineRule="auto"/>
              <w:ind w:firstLine="0"/>
              <w:jc w:val="both"/>
              <w:rPr>
                <w:sz w:val="20"/>
                <w:szCs w:val="20"/>
              </w:rPr>
            </w:pPr>
            <w:r>
              <w:rPr>
                <w:rStyle w:val="24"/>
                <w:sz w:val="20"/>
                <w:szCs w:val="20"/>
              </w:rPr>
              <w:t>Febrilna neutropenija</w:t>
            </w:r>
          </w:p>
        </w:tc>
        <w:tc>
          <w:tcPr>
            <w:tcW w:w="1426" w:type="dxa"/>
            <w:tcBorders>
              <w:top w:val="single" w:color="auto" w:sz="4" w:space="0"/>
              <w:left w:val="single" w:color="auto" w:sz="4" w:space="0"/>
              <w:bottom w:val="single" w:color="auto" w:sz="4" w:space="0"/>
            </w:tcBorders>
            <w:shd w:val="clear" w:color="auto" w:fill="FFFFFF"/>
          </w:tcPr>
          <w:p w14:paraId="1E365860">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25E92A87">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(&gt;1,25x10</w:t>
            </w:r>
            <w:r>
              <w:rPr>
                <w:rStyle w:val="24"/>
                <w:sz w:val="20"/>
                <w:szCs w:val="20"/>
                <w:vertAlign w:val="superscript"/>
              </w:rPr>
              <w:t>9</w:t>
            </w:r>
            <w:r>
              <w:rPr>
                <w:rStyle w:val="24"/>
                <w:sz w:val="20"/>
                <w:szCs w:val="20"/>
              </w:rPr>
              <w:t>/l) i povlačenja povišene tjelesne temperature.</w:t>
            </w:r>
          </w:p>
          <w:p w14:paraId="7D1133BD">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31C71964">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0B349FAD">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7CDE6EC9">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C4D0509">
            <w:pPr>
              <w:pStyle w:val="12"/>
              <w:shd w:val="clear" w:color="auto" w:fill="auto"/>
              <w:spacing w:line="240" w:lineRule="auto"/>
              <w:ind w:firstLine="0"/>
              <w:jc w:val="left"/>
              <w:rPr>
                <w:sz w:val="20"/>
                <w:szCs w:val="20"/>
              </w:rPr>
            </w:pPr>
            <w:r>
              <w:rPr>
                <w:rStyle w:val="24"/>
                <w:sz w:val="20"/>
                <w:szCs w:val="20"/>
              </w:rPr>
              <w:t>Prekinuti liječenje.</w:t>
            </w:r>
          </w:p>
        </w:tc>
      </w:tr>
      <w:tr w14:paraId="4C23CBAD">
        <w:tblPrEx>
          <w:tblCellMar>
            <w:top w:w="0" w:type="dxa"/>
            <w:left w:w="10" w:type="dxa"/>
            <w:bottom w:w="0" w:type="dxa"/>
            <w:right w:w="10" w:type="dxa"/>
          </w:tblCellMar>
        </w:tblPrEx>
        <w:trPr>
          <w:trHeight w:val="854" w:hRule="atLeast"/>
        </w:trPr>
        <w:tc>
          <w:tcPr>
            <w:tcW w:w="9332" w:type="dxa"/>
            <w:gridSpan w:val="3"/>
            <w:tcBorders>
              <w:top w:val="single" w:color="auto" w:sz="4" w:space="0"/>
              <w:left w:val="single" w:color="auto" w:sz="4" w:space="0"/>
              <w:bottom w:val="single" w:color="auto" w:sz="4" w:space="0"/>
              <w:right w:val="single" w:color="auto" w:sz="4" w:space="0"/>
            </w:tcBorders>
            <w:shd w:val="clear" w:color="auto" w:fill="FFFFFF"/>
          </w:tcPr>
          <w:p w14:paraId="3E25D331">
            <w:pPr>
              <w:pStyle w:val="12"/>
              <w:shd w:val="clear" w:color="auto" w:fill="auto"/>
              <w:spacing w:line="240" w:lineRule="auto"/>
              <w:ind w:left="262" w:hanging="142"/>
              <w:jc w:val="left"/>
              <w:rPr>
                <w:sz w:val="20"/>
                <w:szCs w:val="20"/>
              </w:rPr>
            </w:pPr>
            <w:r>
              <w:rPr>
                <w:rStyle w:val="24"/>
                <w:sz w:val="20"/>
                <w:szCs w:val="20"/>
                <w:vertAlign w:val="superscript"/>
              </w:rPr>
              <w:t>1</w:t>
            </w:r>
            <w:r>
              <w:rPr>
                <w:rStyle w:val="24"/>
                <w:sz w:val="20"/>
                <w:szCs w:val="20"/>
              </w:rPr>
              <w:t xml:space="preserve"> Stepeni se temelje na Zajedničkoj terminolo</w:t>
            </w:r>
            <w:r>
              <w:rPr>
                <w:rStyle w:val="24"/>
                <w:sz w:val="20"/>
                <w:szCs w:val="20"/>
                <w:lang w:val="hr-BA"/>
              </w:rPr>
              <w:t>škom kriterijumu</w:t>
            </w:r>
            <w:r>
              <w:rPr>
                <w:rStyle w:val="24"/>
                <w:sz w:val="20"/>
                <w:szCs w:val="20"/>
              </w:rPr>
              <w:t xml:space="preserve"> za neželjena dejstva (CTCAE, engl. </w:t>
            </w:r>
            <w:r>
              <w:rPr>
                <w:rStyle w:val="25"/>
                <w:spacing w:val="0"/>
              </w:rPr>
              <w:t>Common Terminoiogy Criteria forAdverse Events)</w:t>
            </w:r>
            <w:r>
              <w:rPr>
                <w:rStyle w:val="24"/>
                <w:sz w:val="20"/>
                <w:szCs w:val="20"/>
              </w:rPr>
              <w:t xml:space="preserve"> v3.0 Nacionalnog instituta za rak (NCl, engl. </w:t>
            </w:r>
            <w:r>
              <w:rPr>
                <w:rStyle w:val="25"/>
                <w:spacing w:val="0"/>
              </w:rPr>
              <w:t>National Cancei Institut</w:t>
            </w:r>
            <w:r>
              <w:rPr>
                <w:rStyle w:val="24"/>
                <w:i/>
                <w:sz w:val="20"/>
                <w:szCs w:val="20"/>
              </w:rPr>
              <w:t>e)</w:t>
            </w:r>
          </w:p>
        </w:tc>
      </w:tr>
    </w:tbl>
    <w:p w14:paraId="144993A0">
      <w:pPr>
        <w:pStyle w:val="21"/>
        <w:shd w:val="clear" w:color="auto" w:fill="auto"/>
        <w:spacing w:line="240" w:lineRule="auto"/>
        <w:rPr>
          <w:rStyle w:val="26"/>
          <w:i/>
          <w:iCs/>
          <w:spacing w:val="0"/>
        </w:rPr>
      </w:pPr>
    </w:p>
    <w:p w14:paraId="65B12A8E">
      <w:pPr>
        <w:pStyle w:val="21"/>
        <w:shd w:val="clear" w:color="auto" w:fill="auto"/>
        <w:spacing w:line="240" w:lineRule="auto"/>
        <w:rPr>
          <w:spacing w:val="0"/>
        </w:rPr>
      </w:pPr>
      <w:r>
        <w:rPr>
          <w:rStyle w:val="26"/>
          <w:i/>
          <w:iCs/>
          <w:spacing w:val="0"/>
        </w:rPr>
        <w:t>Posebne populacije</w:t>
      </w:r>
      <w:r>
        <w:rPr>
          <w:spacing w:val="0"/>
        </w:rPr>
        <w:t xml:space="preserve"> </w:t>
      </w:r>
    </w:p>
    <w:p w14:paraId="58BA63B9">
      <w:pPr>
        <w:pStyle w:val="21"/>
        <w:shd w:val="clear" w:color="auto" w:fill="auto"/>
        <w:spacing w:line="240" w:lineRule="auto"/>
        <w:rPr>
          <w:i w:val="0"/>
          <w:spacing w:val="0"/>
        </w:rPr>
      </w:pPr>
      <w:r>
        <w:rPr>
          <w:i w:val="0"/>
          <w:spacing w:val="0"/>
        </w:rPr>
        <w:t>(Stariji pacijenti ≥65 godina)</w:t>
      </w:r>
    </w:p>
    <w:p w14:paraId="01909DC2">
      <w:pPr>
        <w:pStyle w:val="12"/>
        <w:shd w:val="clear" w:color="auto" w:fill="auto"/>
        <w:spacing w:line="240" w:lineRule="auto"/>
        <w:ind w:firstLine="0"/>
        <w:jc w:val="both"/>
        <w:rPr>
          <w:sz w:val="20"/>
          <w:szCs w:val="20"/>
        </w:rPr>
      </w:pPr>
      <w:r>
        <w:rPr>
          <w:sz w:val="20"/>
          <w:szCs w:val="20"/>
        </w:rPr>
        <w:t>Nije potrebno prilagođavanje doze (pogledati dio 5.2).</w:t>
      </w:r>
    </w:p>
    <w:p w14:paraId="2400BE05">
      <w:pPr>
        <w:pStyle w:val="12"/>
        <w:shd w:val="clear" w:color="auto" w:fill="auto"/>
        <w:spacing w:line="240" w:lineRule="auto"/>
        <w:ind w:firstLine="0"/>
        <w:jc w:val="both"/>
        <w:rPr>
          <w:sz w:val="20"/>
          <w:szCs w:val="20"/>
        </w:rPr>
      </w:pPr>
    </w:p>
    <w:p w14:paraId="4B86958A">
      <w:pPr>
        <w:pStyle w:val="21"/>
        <w:shd w:val="clear" w:color="auto" w:fill="auto"/>
        <w:spacing w:line="240" w:lineRule="auto"/>
        <w:rPr>
          <w:spacing w:val="0"/>
        </w:rPr>
      </w:pPr>
      <w:r>
        <w:rPr>
          <w:spacing w:val="0"/>
        </w:rPr>
        <w:t>Oštećenje funkcije bubrega</w:t>
      </w:r>
    </w:p>
    <w:p w14:paraId="0523BEAB">
      <w:pPr>
        <w:pStyle w:val="12"/>
        <w:shd w:val="clear" w:color="auto" w:fill="auto"/>
        <w:spacing w:line="240" w:lineRule="auto"/>
        <w:ind w:firstLine="0"/>
        <w:jc w:val="both"/>
        <w:rPr>
          <w:sz w:val="20"/>
          <w:szCs w:val="20"/>
        </w:rPr>
      </w:pPr>
      <w:r>
        <w:rPr>
          <w:sz w:val="20"/>
          <w:szCs w:val="20"/>
        </w:rPr>
        <w:t>Nije potrebno prilagođavanje doze (pogledati dio 5.2).</w:t>
      </w:r>
    </w:p>
    <w:p w14:paraId="475654BA">
      <w:pPr>
        <w:pStyle w:val="12"/>
        <w:shd w:val="clear" w:color="auto" w:fill="auto"/>
        <w:spacing w:line="240" w:lineRule="auto"/>
        <w:ind w:firstLine="0"/>
        <w:jc w:val="both"/>
        <w:rPr>
          <w:sz w:val="20"/>
          <w:szCs w:val="20"/>
        </w:rPr>
      </w:pPr>
    </w:p>
    <w:p w14:paraId="55FD3CA9">
      <w:pPr>
        <w:pStyle w:val="21"/>
        <w:shd w:val="clear" w:color="auto" w:fill="auto"/>
        <w:spacing w:line="240" w:lineRule="auto"/>
        <w:rPr>
          <w:spacing w:val="0"/>
        </w:rPr>
      </w:pPr>
      <w:r>
        <w:rPr>
          <w:spacing w:val="0"/>
        </w:rPr>
        <w:t>Oštećenje funkcije jetre</w:t>
      </w:r>
    </w:p>
    <w:p w14:paraId="6F0CF81B">
      <w:pPr>
        <w:pStyle w:val="12"/>
        <w:numPr>
          <w:ilvl w:val="0"/>
          <w:numId w:val="3"/>
        </w:numPr>
        <w:shd w:val="clear" w:color="auto" w:fill="auto"/>
        <w:tabs>
          <w:tab w:val="left" w:pos="613"/>
        </w:tabs>
        <w:spacing w:line="240" w:lineRule="auto"/>
        <w:ind w:left="284" w:hanging="284"/>
        <w:jc w:val="both"/>
        <w:rPr>
          <w:sz w:val="20"/>
          <w:szCs w:val="20"/>
        </w:rPr>
      </w:pPr>
      <w:r>
        <w:rPr>
          <w:sz w:val="20"/>
          <w:szCs w:val="20"/>
        </w:rPr>
        <w:t>Blago oštećenje funkcije jetre (Child-Pugh A) - preporučena doza je 7,5 mg dnevno.</w:t>
      </w:r>
    </w:p>
    <w:p w14:paraId="5F972668">
      <w:pPr>
        <w:pStyle w:val="12"/>
        <w:numPr>
          <w:ilvl w:val="0"/>
          <w:numId w:val="3"/>
        </w:numPr>
        <w:shd w:val="clear" w:color="auto" w:fill="auto"/>
        <w:tabs>
          <w:tab w:val="left" w:pos="613"/>
        </w:tabs>
        <w:spacing w:line="240" w:lineRule="auto"/>
        <w:ind w:left="284" w:hanging="284"/>
        <w:jc w:val="both"/>
        <w:rPr>
          <w:sz w:val="20"/>
          <w:szCs w:val="20"/>
        </w:rPr>
      </w:pPr>
      <w:r>
        <w:rPr>
          <w:sz w:val="20"/>
          <w:szCs w:val="20"/>
        </w:rPr>
        <w:t>Umjereno oštećenje funkcije jetre (Child-Pugh B) - preporučena doza je 5 mg dnevno.</w:t>
      </w:r>
    </w:p>
    <w:p w14:paraId="44A954B3">
      <w:pPr>
        <w:pStyle w:val="12"/>
        <w:numPr>
          <w:ilvl w:val="0"/>
          <w:numId w:val="3"/>
        </w:numPr>
        <w:shd w:val="clear" w:color="auto" w:fill="auto"/>
        <w:tabs>
          <w:tab w:val="left" w:pos="284"/>
          <w:tab w:val="left" w:pos="613"/>
        </w:tabs>
        <w:spacing w:line="240" w:lineRule="auto"/>
        <w:ind w:left="284" w:hanging="284"/>
        <w:jc w:val="both"/>
        <w:rPr>
          <w:sz w:val="20"/>
          <w:szCs w:val="20"/>
        </w:rPr>
      </w:pPr>
      <w:r>
        <w:rPr>
          <w:sz w:val="20"/>
          <w:szCs w:val="20"/>
        </w:rPr>
        <w:t xml:space="preserve">Teško oštećenje funkcije jetre (Child-Pugh C) - everolimus se preporučuje samo ako željena korist liječenja prevazilazi potencijalni rizik. U tom slučaju, </w:t>
      </w:r>
      <w:r>
        <w:rPr>
          <w:sz w:val="20"/>
          <w:szCs w:val="20"/>
          <w:lang w:val="sv-SE"/>
        </w:rPr>
        <w:t xml:space="preserve">ne smije se </w:t>
      </w:r>
      <w:r>
        <w:rPr>
          <w:sz w:val="20"/>
          <w:szCs w:val="20"/>
          <w:lang w:val="hr-BA"/>
        </w:rPr>
        <w:t xml:space="preserve">prekoračiti </w:t>
      </w:r>
      <w:r>
        <w:rPr>
          <w:sz w:val="20"/>
          <w:szCs w:val="20"/>
        </w:rPr>
        <w:t>doza od 2,5 mg dnevno.</w:t>
      </w:r>
    </w:p>
    <w:p w14:paraId="2F23269A">
      <w:pPr>
        <w:pStyle w:val="12"/>
        <w:shd w:val="clear" w:color="auto" w:fill="auto"/>
        <w:spacing w:line="240" w:lineRule="auto"/>
        <w:ind w:firstLine="0"/>
        <w:jc w:val="both"/>
        <w:rPr>
          <w:sz w:val="20"/>
          <w:szCs w:val="20"/>
        </w:rPr>
      </w:pPr>
      <w:r>
        <w:rPr>
          <w:sz w:val="20"/>
          <w:szCs w:val="20"/>
        </w:rPr>
        <w:t>Doza se mora prilagoditi ako se hepatički status pacijenta (prema Child-Pugh klasifikaciji) promijeni tokom liječenja (takođe pogledati dijelove 4.4 i 5.2).</w:t>
      </w:r>
    </w:p>
    <w:p w14:paraId="728CB809">
      <w:pPr>
        <w:pStyle w:val="12"/>
        <w:shd w:val="clear" w:color="auto" w:fill="auto"/>
        <w:spacing w:line="240" w:lineRule="auto"/>
        <w:ind w:firstLine="0"/>
        <w:jc w:val="both"/>
        <w:rPr>
          <w:sz w:val="20"/>
          <w:szCs w:val="20"/>
        </w:rPr>
      </w:pPr>
    </w:p>
    <w:p w14:paraId="1B7D2629">
      <w:pPr>
        <w:pStyle w:val="21"/>
        <w:shd w:val="clear" w:color="auto" w:fill="auto"/>
        <w:spacing w:line="240" w:lineRule="auto"/>
        <w:rPr>
          <w:spacing w:val="0"/>
        </w:rPr>
      </w:pPr>
      <w:r>
        <w:rPr>
          <w:spacing w:val="0"/>
        </w:rPr>
        <w:t>Pedijatrijska populacija</w:t>
      </w:r>
    </w:p>
    <w:p w14:paraId="2B2DB429">
      <w:pPr>
        <w:pStyle w:val="12"/>
        <w:shd w:val="clear" w:color="auto" w:fill="auto"/>
        <w:spacing w:line="240" w:lineRule="auto"/>
        <w:ind w:firstLine="0"/>
        <w:jc w:val="both"/>
        <w:rPr>
          <w:sz w:val="20"/>
          <w:szCs w:val="20"/>
        </w:rPr>
      </w:pPr>
      <w:r>
        <w:rPr>
          <w:sz w:val="20"/>
          <w:szCs w:val="20"/>
        </w:rPr>
        <w:t>Bezbjednost i efikasnost lijeka everolimus kod djece u dobi od 0 do 18 godina nisu još ustanovljene. Nema dostupnih podataka.</w:t>
      </w:r>
    </w:p>
    <w:p w14:paraId="13654464">
      <w:pPr>
        <w:pStyle w:val="12"/>
        <w:shd w:val="clear" w:color="auto" w:fill="auto"/>
        <w:spacing w:line="240" w:lineRule="auto"/>
        <w:ind w:firstLine="0"/>
        <w:jc w:val="both"/>
        <w:rPr>
          <w:sz w:val="20"/>
          <w:szCs w:val="20"/>
        </w:rPr>
      </w:pPr>
    </w:p>
    <w:p w14:paraId="2EFD6C59">
      <w:pPr>
        <w:pStyle w:val="12"/>
        <w:shd w:val="clear" w:color="auto" w:fill="auto"/>
        <w:spacing w:line="240" w:lineRule="auto"/>
        <w:ind w:firstLine="0"/>
        <w:jc w:val="both"/>
        <w:rPr>
          <w:sz w:val="20"/>
          <w:szCs w:val="20"/>
        </w:rPr>
      </w:pPr>
      <w:r>
        <w:rPr>
          <w:rStyle w:val="19"/>
          <w:sz w:val="20"/>
          <w:szCs w:val="20"/>
        </w:rPr>
        <w:t>Način primjene</w:t>
      </w:r>
    </w:p>
    <w:p w14:paraId="65842726">
      <w:pPr>
        <w:pStyle w:val="12"/>
        <w:shd w:val="clear" w:color="auto" w:fill="auto"/>
        <w:spacing w:line="240" w:lineRule="auto"/>
        <w:ind w:firstLine="0"/>
        <w:jc w:val="both"/>
        <w:rPr>
          <w:sz w:val="20"/>
          <w:szCs w:val="20"/>
        </w:rPr>
      </w:pPr>
      <w:r>
        <w:rPr>
          <w:sz w:val="20"/>
          <w:szCs w:val="20"/>
        </w:rPr>
        <w:t>Lijek Syrleno je potrebno uzimati peroralno, jednom dnevno, svaki dan u isto vrijeme, dosljedno sa ili bez hrane (pogledati dio 5.2). Syrleno tablete treba progutati cijele sa čašom vode. Tablete ne treba žvakati niti drobiti.</w:t>
      </w:r>
    </w:p>
    <w:p w14:paraId="50487556">
      <w:pPr>
        <w:pStyle w:val="12"/>
        <w:shd w:val="clear" w:color="auto" w:fill="auto"/>
        <w:tabs>
          <w:tab w:val="left" w:pos="6874"/>
          <w:tab w:val="left" w:pos="7742"/>
        </w:tabs>
        <w:spacing w:line="240" w:lineRule="auto"/>
        <w:ind w:firstLine="0"/>
        <w:jc w:val="both"/>
        <w:rPr>
          <w:sz w:val="20"/>
          <w:szCs w:val="20"/>
        </w:rPr>
      </w:pPr>
    </w:p>
    <w:p w14:paraId="14BA93F2">
      <w:pPr>
        <w:pStyle w:val="12"/>
        <w:numPr>
          <w:ilvl w:val="1"/>
          <w:numId w:val="1"/>
        </w:numPr>
        <w:shd w:val="clear" w:color="auto" w:fill="auto"/>
        <w:tabs>
          <w:tab w:val="left" w:pos="618"/>
        </w:tabs>
        <w:spacing w:line="240" w:lineRule="auto"/>
        <w:ind w:firstLine="0"/>
        <w:jc w:val="both"/>
        <w:rPr>
          <w:b/>
          <w:sz w:val="20"/>
          <w:szCs w:val="20"/>
        </w:rPr>
      </w:pPr>
      <w:r>
        <w:rPr>
          <w:b/>
          <w:sz w:val="20"/>
          <w:szCs w:val="20"/>
        </w:rPr>
        <w:t>Kontraindikacije</w:t>
      </w:r>
    </w:p>
    <w:p w14:paraId="54CA6E0D">
      <w:pPr>
        <w:pStyle w:val="12"/>
        <w:shd w:val="clear" w:color="auto" w:fill="auto"/>
        <w:tabs>
          <w:tab w:val="left" w:pos="618"/>
        </w:tabs>
        <w:spacing w:line="240" w:lineRule="auto"/>
        <w:ind w:firstLine="0"/>
        <w:jc w:val="both"/>
        <w:rPr>
          <w:b/>
          <w:sz w:val="20"/>
          <w:szCs w:val="20"/>
        </w:rPr>
      </w:pPr>
    </w:p>
    <w:p w14:paraId="74ECB8F8">
      <w:pPr>
        <w:pStyle w:val="12"/>
        <w:shd w:val="clear" w:color="auto" w:fill="auto"/>
        <w:spacing w:line="240" w:lineRule="auto"/>
        <w:ind w:firstLine="0"/>
        <w:jc w:val="both"/>
        <w:rPr>
          <w:sz w:val="20"/>
          <w:szCs w:val="20"/>
        </w:rPr>
      </w:pPr>
      <w:r>
        <w:rPr>
          <w:sz w:val="20"/>
          <w:szCs w:val="20"/>
        </w:rPr>
        <w:t>Preosjetljivost na aktivnu supstancu, druge derivate rapamicina ili na bilo koju od pomoćnih supstanci navedenih u dijelu 6.1.</w:t>
      </w:r>
    </w:p>
    <w:p w14:paraId="3880F08A">
      <w:pPr>
        <w:pStyle w:val="12"/>
        <w:shd w:val="clear" w:color="auto" w:fill="auto"/>
        <w:spacing w:line="240" w:lineRule="auto"/>
        <w:ind w:firstLine="0"/>
        <w:jc w:val="both"/>
        <w:rPr>
          <w:sz w:val="20"/>
          <w:szCs w:val="20"/>
        </w:rPr>
      </w:pPr>
    </w:p>
    <w:p w14:paraId="4598AE15">
      <w:pPr>
        <w:pStyle w:val="12"/>
        <w:numPr>
          <w:ilvl w:val="1"/>
          <w:numId w:val="1"/>
        </w:numPr>
        <w:shd w:val="clear" w:color="auto" w:fill="auto"/>
        <w:tabs>
          <w:tab w:val="left" w:pos="618"/>
        </w:tabs>
        <w:spacing w:line="240" w:lineRule="auto"/>
        <w:ind w:firstLine="0"/>
        <w:jc w:val="both"/>
        <w:rPr>
          <w:b/>
          <w:sz w:val="20"/>
          <w:szCs w:val="20"/>
        </w:rPr>
      </w:pPr>
      <w:r>
        <w:rPr>
          <w:b/>
          <w:sz w:val="20"/>
          <w:szCs w:val="20"/>
        </w:rPr>
        <w:t xml:space="preserve">Posebna upozorenja i mjere opreza pri upotrebi </w:t>
      </w:r>
    </w:p>
    <w:p w14:paraId="0D5B2E34">
      <w:pPr>
        <w:pStyle w:val="12"/>
        <w:shd w:val="clear" w:color="auto" w:fill="auto"/>
        <w:tabs>
          <w:tab w:val="left" w:pos="618"/>
        </w:tabs>
        <w:spacing w:line="240" w:lineRule="auto"/>
        <w:ind w:firstLine="0"/>
        <w:jc w:val="both"/>
        <w:rPr>
          <w:sz w:val="20"/>
          <w:szCs w:val="20"/>
        </w:rPr>
      </w:pPr>
    </w:p>
    <w:p w14:paraId="7E083ACF">
      <w:pPr>
        <w:pStyle w:val="12"/>
        <w:shd w:val="clear" w:color="auto" w:fill="auto"/>
        <w:tabs>
          <w:tab w:val="left" w:pos="618"/>
        </w:tabs>
        <w:spacing w:line="240" w:lineRule="auto"/>
        <w:ind w:firstLine="0"/>
        <w:jc w:val="both"/>
        <w:rPr>
          <w:sz w:val="20"/>
          <w:szCs w:val="20"/>
        </w:rPr>
      </w:pPr>
      <w:r>
        <w:rPr>
          <w:rStyle w:val="19"/>
          <w:sz w:val="20"/>
          <w:szCs w:val="20"/>
        </w:rPr>
        <w:t>Neinfektivni pneumonitis</w:t>
      </w:r>
    </w:p>
    <w:p w14:paraId="1CC500B3">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r>
        <w:rPr>
          <w:sz w:val="20"/>
          <w:szCs w:val="20"/>
        </w:rPr>
        <w:t xml:space="preserve">Neinfektivni pneumonitis je efekat specifičan za klasu derivata rapamicina, uključujući everolimus. Neinfektivni pneumonitis (uključujući intersticijsku bolest pluća) učestalo se prijavljuje kod pacijenata koji uzimaju lijek everolimus (pogledati dio 4.8). Neki slučajevi su bili teški i rijetko doveli do smrtnog ishoda. Dijagnoza neinfektivnog pneumonitisa se mora uzeti u obzir kod pacijenata sa nespecifičnim respiratornim znacima i simptomima kao što su hipoksija, pleuralni izliv, kašalj ili dispneja, </w:t>
      </w:r>
      <w:r>
        <w:rPr>
          <w:sz w:val="20"/>
          <w:szCs w:val="20"/>
          <w:lang w:val="hr-BA"/>
        </w:rPr>
        <w:t>i</w:t>
      </w:r>
      <w:r>
        <w:rPr>
          <w:sz w:val="20"/>
          <w:szCs w:val="20"/>
        </w:rPr>
        <w:t xml:space="preserve"> kod kojih su odgovarajućim pretragama isključeni infekcija, neoplastični i drugi nemedicinski uzroci. Pri diferencijalnoj dijagnozi neinfektivnog pneumonitisa potrebno je isključiti oportunističke infekcije kao što je pneumonija koju uzrokuje </w:t>
      </w:r>
      <w:r>
        <w:rPr>
          <w:i/>
          <w:sz w:val="20"/>
          <w:szCs w:val="20"/>
        </w:rPr>
        <w:t>pneumocystis jirovecii (carinii)</w:t>
      </w:r>
      <w:r>
        <w:rPr>
          <w:sz w:val="20"/>
          <w:szCs w:val="20"/>
        </w:rPr>
        <w:t xml:space="preserve"> (PJP/PCP) (pogledati u nastavku teksta „Infekcije"). Pacijenti se moraju savjetovati da odmah prijave nove respiratorne simptome ili pogoršanje postojećih simptoma.</w:t>
      </w:r>
    </w:p>
    <w:p w14:paraId="4CB8A346">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p>
    <w:p w14:paraId="625CA2DF">
      <w:pPr>
        <w:pStyle w:val="12"/>
        <w:shd w:val="clear" w:color="auto" w:fill="auto"/>
        <w:spacing w:line="240" w:lineRule="auto"/>
        <w:ind w:firstLine="0"/>
        <w:jc w:val="both"/>
        <w:rPr>
          <w:sz w:val="20"/>
          <w:szCs w:val="20"/>
        </w:rPr>
      </w:pPr>
      <w:r>
        <w:rPr>
          <w:sz w:val="20"/>
          <w:szCs w:val="20"/>
        </w:rPr>
        <w:t>Pacijenti kod kojih se razviju radiološke promjene koje ukazuju na neinfektivni pneumonitis, a koji imaju blage simptome, ili uopšte nemaju simptome, mogu nastaviti liječenje everolimusa bez prilagođavanja doze. Ako su simptomi umjereni (stepen 2) ili teški (stepen 3) možda će biti indikovana primjena kortikosteroida do</w:t>
      </w:r>
      <w:r>
        <w:rPr>
          <w:sz w:val="20"/>
          <w:szCs w:val="20"/>
          <w:lang w:val="sr-Cyrl-RS"/>
        </w:rPr>
        <w:t xml:space="preserve"> </w:t>
      </w:r>
      <w:r>
        <w:rPr>
          <w:sz w:val="20"/>
          <w:szCs w:val="20"/>
        </w:rPr>
        <w:t>pobolj</w:t>
      </w:r>
      <w:r>
        <w:rPr>
          <w:sz w:val="20"/>
          <w:szCs w:val="20"/>
          <w:lang w:val="hr-BA"/>
        </w:rPr>
        <w:t>šanja</w:t>
      </w:r>
      <w:r>
        <w:rPr>
          <w:sz w:val="20"/>
          <w:szCs w:val="20"/>
        </w:rPr>
        <w:t xml:space="preserve"> kliničkih simptoma.</w:t>
      </w:r>
    </w:p>
    <w:p w14:paraId="16E13B2D">
      <w:pPr>
        <w:pStyle w:val="12"/>
        <w:shd w:val="clear" w:color="auto" w:fill="auto"/>
        <w:spacing w:line="240" w:lineRule="auto"/>
        <w:ind w:firstLine="0"/>
        <w:jc w:val="both"/>
        <w:rPr>
          <w:sz w:val="20"/>
          <w:szCs w:val="20"/>
        </w:rPr>
      </w:pPr>
    </w:p>
    <w:p w14:paraId="59A7F1FB">
      <w:pPr>
        <w:pStyle w:val="12"/>
        <w:shd w:val="clear" w:color="auto" w:fill="auto"/>
        <w:spacing w:line="240" w:lineRule="auto"/>
        <w:ind w:firstLine="0"/>
        <w:jc w:val="both"/>
        <w:rPr>
          <w:sz w:val="20"/>
          <w:szCs w:val="20"/>
        </w:rPr>
      </w:pPr>
      <w:r>
        <w:rPr>
          <w:sz w:val="20"/>
          <w:szCs w:val="20"/>
        </w:rPr>
        <w:t xml:space="preserve">Kod pacijenata koji zahtijevaju primjenu kortikosteroida za liječenje neinfektivnog pneumonitisa može se razmotriti profilaksa pneumonije koju uzrokuje </w:t>
      </w:r>
      <w:r>
        <w:rPr>
          <w:i/>
          <w:sz w:val="20"/>
          <w:szCs w:val="20"/>
        </w:rPr>
        <w:t>pneumocystis jirovecii (carinii)</w:t>
      </w:r>
      <w:r>
        <w:rPr>
          <w:sz w:val="20"/>
          <w:szCs w:val="20"/>
        </w:rPr>
        <w:t xml:space="preserve"> (PJP/PCP).</w:t>
      </w:r>
    </w:p>
    <w:p w14:paraId="1AFB12B6">
      <w:pPr>
        <w:pStyle w:val="12"/>
        <w:shd w:val="clear" w:color="auto" w:fill="auto"/>
        <w:spacing w:line="240" w:lineRule="auto"/>
        <w:ind w:firstLine="0"/>
        <w:jc w:val="both"/>
        <w:rPr>
          <w:sz w:val="20"/>
          <w:szCs w:val="20"/>
        </w:rPr>
      </w:pPr>
    </w:p>
    <w:p w14:paraId="2D099281">
      <w:pPr>
        <w:pStyle w:val="12"/>
        <w:shd w:val="clear" w:color="auto" w:fill="auto"/>
        <w:spacing w:line="240" w:lineRule="auto"/>
        <w:ind w:firstLine="0"/>
        <w:jc w:val="both"/>
        <w:rPr>
          <w:sz w:val="20"/>
          <w:szCs w:val="20"/>
        </w:rPr>
      </w:pPr>
      <w:r>
        <w:rPr>
          <w:rStyle w:val="19"/>
          <w:sz w:val="20"/>
          <w:szCs w:val="20"/>
        </w:rPr>
        <w:t>Infekcije</w:t>
      </w:r>
    </w:p>
    <w:p w14:paraId="63463627">
      <w:pPr>
        <w:pStyle w:val="12"/>
        <w:shd w:val="clear" w:color="auto" w:fill="auto"/>
        <w:spacing w:line="240" w:lineRule="auto"/>
        <w:ind w:firstLine="0"/>
        <w:jc w:val="both"/>
        <w:rPr>
          <w:sz w:val="20"/>
          <w:szCs w:val="20"/>
        </w:rPr>
      </w:pPr>
      <w:r>
        <w:rPr>
          <w:sz w:val="20"/>
          <w:szCs w:val="20"/>
        </w:rPr>
        <w:t xml:space="preserve">Everolimus ima imunosupresivna svojstva i može povećati sklonost pacijenata prema bakterijskim, gljivičnim, virusnim ili protozoalnim infekcijama, uključujući infekcije uzrokovane oportunističkim patogenima (pogledati dio 4.8). Kod pacijenata koji su uzimali everolimus opisane su lokalizovane i sistemske infekcije, uključujući pneumonu, druge bakterijske infekcije, invazivne gljivične infekcije, kao što je aspergiloza, kandidijaza ili pneumonija koju uzrokuje </w:t>
      </w:r>
      <w:r>
        <w:rPr>
          <w:i/>
          <w:sz w:val="20"/>
          <w:szCs w:val="20"/>
        </w:rPr>
        <w:t>pneumocystis jirovecii (carinii)</w:t>
      </w:r>
      <w:r>
        <w:rPr>
          <w:sz w:val="20"/>
          <w:szCs w:val="20"/>
        </w:rPr>
        <w:t xml:space="preserve"> (PJP/PCP) i virusne infekcije uključujući reaktivaciju hepatitis B virusa. Neke od ovih infekcija su bile teške (npr. dovele su do sepse, insuficijencije pluća ili jetre) i ponekad smrtonosne.</w:t>
      </w:r>
    </w:p>
    <w:p w14:paraId="17986776">
      <w:pPr>
        <w:pStyle w:val="12"/>
        <w:shd w:val="clear" w:color="auto" w:fill="auto"/>
        <w:spacing w:line="240" w:lineRule="auto"/>
        <w:ind w:firstLine="0"/>
        <w:jc w:val="both"/>
        <w:rPr>
          <w:sz w:val="20"/>
          <w:szCs w:val="20"/>
        </w:rPr>
      </w:pPr>
    </w:p>
    <w:p w14:paraId="4CC5E5EB">
      <w:pPr>
        <w:pStyle w:val="12"/>
        <w:shd w:val="clear" w:color="auto" w:fill="auto"/>
        <w:spacing w:line="240" w:lineRule="auto"/>
        <w:ind w:firstLine="0"/>
        <w:jc w:val="both"/>
        <w:rPr>
          <w:sz w:val="20"/>
          <w:szCs w:val="20"/>
        </w:rPr>
      </w:pPr>
      <w:r>
        <w:rPr>
          <w:sz w:val="20"/>
          <w:szCs w:val="20"/>
        </w:rPr>
        <w:t>Ljekari i pacijenti moraju biti svjesni povećanog rizika za nastanak infekcije tokom primjene lijeka everolimus. Već postojeće infekcije potrebno je adekvatno liječiti i potpuno izliječiti prije početka liječenja lijekom everolimus. Za vrijeme uzimanja lijeka everolimus, potrebno je biti na oprezu zbog mogućnosti pojave simptoma i znakova infekcije; u slučaju potvrde dijagnoze infekcije, odmah je potrebno započeti odgovarajuće liječenje i razmotriti privremeni ili trajni prekid primjene lijeka everolimus.</w:t>
      </w:r>
    </w:p>
    <w:p w14:paraId="5F125038">
      <w:pPr>
        <w:pStyle w:val="12"/>
        <w:shd w:val="clear" w:color="auto" w:fill="auto"/>
        <w:spacing w:line="240" w:lineRule="auto"/>
        <w:ind w:firstLine="0"/>
        <w:jc w:val="both"/>
        <w:rPr>
          <w:sz w:val="20"/>
          <w:szCs w:val="20"/>
        </w:rPr>
      </w:pPr>
    </w:p>
    <w:p w14:paraId="5C9C6B1B">
      <w:pPr>
        <w:pStyle w:val="12"/>
        <w:shd w:val="clear" w:color="auto" w:fill="auto"/>
        <w:spacing w:line="240" w:lineRule="auto"/>
        <w:ind w:firstLine="0"/>
        <w:jc w:val="both"/>
        <w:rPr>
          <w:sz w:val="20"/>
          <w:szCs w:val="20"/>
        </w:rPr>
      </w:pPr>
      <w:r>
        <w:rPr>
          <w:sz w:val="20"/>
          <w:szCs w:val="20"/>
        </w:rPr>
        <w:t>Ako je postavljena dijagnoza invazivne sistemske gljivične infekcije, liječenje lijekom everolimus potrebno je odmah i trajno prekinuti i kod pacijenata provesti odgovarajuće antifungalno liječenje.</w:t>
      </w:r>
    </w:p>
    <w:p w14:paraId="77C5C0D3">
      <w:pPr>
        <w:pStyle w:val="12"/>
        <w:shd w:val="clear" w:color="auto" w:fill="auto"/>
        <w:spacing w:line="240" w:lineRule="auto"/>
        <w:ind w:firstLine="0"/>
        <w:jc w:val="both"/>
        <w:rPr>
          <w:sz w:val="20"/>
          <w:szCs w:val="20"/>
        </w:rPr>
      </w:pPr>
    </w:p>
    <w:p w14:paraId="78834C92">
      <w:pPr>
        <w:pStyle w:val="12"/>
        <w:shd w:val="clear" w:color="auto" w:fill="auto"/>
        <w:spacing w:line="240" w:lineRule="auto"/>
        <w:ind w:firstLine="0"/>
        <w:jc w:val="both"/>
        <w:rPr>
          <w:sz w:val="20"/>
          <w:szCs w:val="20"/>
        </w:rPr>
      </w:pPr>
      <w:r>
        <w:rPr>
          <w:sz w:val="20"/>
          <w:szCs w:val="20"/>
        </w:rPr>
        <w:t>Kod pacijenata koji su primali everolimus prijavljeni su slučajevi pneumonije koju uzrokuje PJP/PCP, ponekad sa smrtnim ishodom. PJP/PCP se može povezati sa istovremenom primjenom kortikosteroida ili drugih imunosupresiva. Kada je potrebna istovremena primjena kortikosteroida ili drugih imunosupresiva, potrebno je razmotriti profilaksu za PJP/PCP.</w:t>
      </w:r>
    </w:p>
    <w:p w14:paraId="601D68DC">
      <w:pPr>
        <w:pStyle w:val="12"/>
        <w:shd w:val="clear" w:color="auto" w:fill="auto"/>
        <w:spacing w:line="240" w:lineRule="auto"/>
        <w:ind w:firstLine="0"/>
        <w:jc w:val="both"/>
        <w:rPr>
          <w:sz w:val="20"/>
          <w:szCs w:val="20"/>
        </w:rPr>
      </w:pPr>
    </w:p>
    <w:p w14:paraId="634CA872">
      <w:pPr>
        <w:pStyle w:val="12"/>
        <w:shd w:val="clear" w:color="auto" w:fill="auto"/>
        <w:spacing w:line="240" w:lineRule="auto"/>
        <w:ind w:firstLine="0"/>
        <w:jc w:val="both"/>
        <w:rPr>
          <w:sz w:val="20"/>
          <w:szCs w:val="20"/>
        </w:rPr>
      </w:pPr>
      <w:r>
        <w:rPr>
          <w:rStyle w:val="19"/>
          <w:sz w:val="20"/>
          <w:szCs w:val="20"/>
        </w:rPr>
        <w:t>Reakcije preosjetljivosti</w:t>
      </w:r>
    </w:p>
    <w:p w14:paraId="0EE7062B">
      <w:pPr>
        <w:pStyle w:val="12"/>
        <w:shd w:val="clear" w:color="auto" w:fill="auto"/>
        <w:spacing w:line="240" w:lineRule="auto"/>
        <w:ind w:firstLine="0"/>
        <w:jc w:val="both"/>
        <w:rPr>
          <w:sz w:val="20"/>
          <w:szCs w:val="20"/>
        </w:rPr>
      </w:pPr>
      <w:r>
        <w:rPr>
          <w:sz w:val="20"/>
          <w:szCs w:val="20"/>
        </w:rPr>
        <w:t>Reakcije preosjetljivosti koje se manifestuju simptomima koji uključuju, ali nisu ograničeni na, anafilaksu, dispneju, naleti crvenila, bol u prsima ili angioedem (npr. oticanje disajnih puteva ili jezika, sa ili bez poremećaja disanja) zabilježene su pri primjeni everolimusa (pogledati dio 4.3).</w:t>
      </w:r>
    </w:p>
    <w:p w14:paraId="4FE4508C">
      <w:pPr>
        <w:pStyle w:val="12"/>
        <w:shd w:val="clear" w:color="auto" w:fill="auto"/>
        <w:spacing w:line="240" w:lineRule="auto"/>
        <w:ind w:firstLine="0"/>
        <w:jc w:val="both"/>
        <w:rPr>
          <w:sz w:val="20"/>
          <w:szCs w:val="20"/>
        </w:rPr>
      </w:pPr>
    </w:p>
    <w:p w14:paraId="04F2FC28">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78C03038">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(npr.oticanje disajnih puteva ili jezika, sa ili bez respiratornih poremeć</w:t>
      </w:r>
      <w:r>
        <w:rPr>
          <w:sz w:val="20"/>
          <w:szCs w:val="20"/>
          <w:lang w:val="mk-MK"/>
        </w:rPr>
        <w:t>а</w:t>
      </w:r>
      <w:r>
        <w:rPr>
          <w:sz w:val="20"/>
          <w:szCs w:val="20"/>
        </w:rPr>
        <w:t>ja) (pogledati dio 4.5).</w:t>
      </w:r>
    </w:p>
    <w:p w14:paraId="1D6E9AB7">
      <w:pPr>
        <w:pStyle w:val="12"/>
        <w:shd w:val="clear" w:color="auto" w:fill="auto"/>
        <w:spacing w:line="240" w:lineRule="auto"/>
        <w:ind w:firstLine="0"/>
        <w:jc w:val="both"/>
        <w:rPr>
          <w:sz w:val="20"/>
          <w:szCs w:val="20"/>
        </w:rPr>
      </w:pPr>
      <w:r>
        <w:rPr>
          <w:rStyle w:val="19"/>
          <w:sz w:val="20"/>
          <w:szCs w:val="20"/>
        </w:rPr>
        <w:t>Stomatitis</w:t>
      </w:r>
    </w:p>
    <w:p w14:paraId="37321C13">
      <w:pPr>
        <w:pStyle w:val="12"/>
        <w:shd w:val="clear" w:color="auto" w:fill="auto"/>
        <w:spacing w:line="240" w:lineRule="auto"/>
        <w:ind w:firstLine="0"/>
        <w:jc w:val="both"/>
        <w:rPr>
          <w:sz w:val="20"/>
          <w:szCs w:val="20"/>
        </w:rPr>
      </w:pPr>
      <w:r>
        <w:rPr>
          <w:sz w:val="20"/>
          <w:szCs w:val="20"/>
        </w:rPr>
        <w:t>Stomatitis, koji uključuje ulceracije u usnoj šupljini i oralni mukozitis, je najčešće zabilježena neželjeno dejstvo kod pacijenata liječenih everolimusom (pogledati dio 4.8). Stomatitis se većinom javlja unutar prvih 8 nedelja liječenja. Ispitivanje sa jednom grupom kod pacijentica u postmenopauzi sa rakom dojke liječenih everolimusom plus eksemestanom ukazalo je na to da bezalkoholni oralni rastvor kortikosteroida, primijenjen kao rastvor za ispiranje usta tokom prvih 8 nedelja liječenja, mo</w:t>
      </w:r>
      <w:r>
        <w:rPr>
          <w:sz w:val="20"/>
          <w:szCs w:val="20"/>
          <w:lang w:val="hr-BA"/>
        </w:rPr>
        <w:t>že</w:t>
      </w:r>
      <w:r>
        <w:rPr>
          <w:sz w:val="20"/>
          <w:szCs w:val="20"/>
        </w:rPr>
        <w:t xml:space="preserve"> smanjiti incidencu i težinu stomatitisa (pogledati dio 5.1). Zbrinjavanje stomatitisa stoga može uključivati profilaktičku i/ili terapijsku primjenu topikalnih preparat</w:t>
      </w:r>
      <w:r>
        <w:rPr>
          <w:sz w:val="20"/>
          <w:szCs w:val="20"/>
          <w:lang w:val="mk-MK"/>
        </w:rPr>
        <w:t>а</w:t>
      </w:r>
      <w:r>
        <w:rPr>
          <w:sz w:val="20"/>
          <w:szCs w:val="20"/>
        </w:rPr>
        <w:t>, kao što je upotreba bezalkoholn</w:t>
      </w:r>
      <w:r>
        <w:rPr>
          <w:sz w:val="20"/>
          <w:szCs w:val="20"/>
          <w:lang w:val="hr-BA"/>
        </w:rPr>
        <w:t>ih</w:t>
      </w:r>
      <w:r>
        <w:rPr>
          <w:sz w:val="20"/>
          <w:szCs w:val="20"/>
        </w:rPr>
        <w:t xml:space="preserve"> oralnih rastvora kortikosteroida kao rastvora za ispiranje usta. Međutim, proizvodi koji sadrže alkohol, hidrogen peroksid, jod i derivate majčine dušice moraju se izbjegavati, jer mogu dovesti do pogoršanja stanja. Preporučuje se praćenje zbog moguće pojave gljivične infekcije te njeno liječenje, naročito kod pacijenata koji se liječe steroidnim lijekovima. Antimikotici se ne smiju koristiti, osim ako nije dijagnosticirana gljivična infekcija (pogledati dio 4.5).</w:t>
      </w:r>
    </w:p>
    <w:p w14:paraId="186BD1DB">
      <w:pPr>
        <w:pStyle w:val="12"/>
        <w:shd w:val="clear" w:color="auto" w:fill="auto"/>
        <w:spacing w:line="240" w:lineRule="auto"/>
        <w:ind w:firstLine="0"/>
        <w:jc w:val="both"/>
        <w:rPr>
          <w:sz w:val="20"/>
          <w:szCs w:val="20"/>
        </w:rPr>
      </w:pPr>
    </w:p>
    <w:p w14:paraId="7B5E86F0">
      <w:pPr>
        <w:pStyle w:val="12"/>
        <w:shd w:val="clear" w:color="auto" w:fill="auto"/>
        <w:spacing w:line="240" w:lineRule="auto"/>
        <w:ind w:firstLine="0"/>
        <w:jc w:val="both"/>
        <w:rPr>
          <w:sz w:val="20"/>
          <w:szCs w:val="20"/>
        </w:rPr>
      </w:pPr>
      <w:r>
        <w:rPr>
          <w:rStyle w:val="19"/>
          <w:sz w:val="20"/>
          <w:szCs w:val="20"/>
        </w:rPr>
        <w:t>Slučajevi bubrežne insuficijencije</w:t>
      </w:r>
    </w:p>
    <w:p w14:paraId="746B90DB">
      <w:pPr>
        <w:pStyle w:val="12"/>
        <w:shd w:val="clear" w:color="auto" w:fill="auto"/>
        <w:spacing w:line="240" w:lineRule="auto"/>
        <w:ind w:firstLine="0"/>
        <w:jc w:val="both"/>
        <w:rPr>
          <w:sz w:val="20"/>
          <w:szCs w:val="20"/>
        </w:rPr>
      </w:pPr>
      <w:r>
        <w:rPr>
          <w:sz w:val="20"/>
          <w:szCs w:val="20"/>
        </w:rPr>
        <w:t xml:space="preserve">Slučajevi </w:t>
      </w:r>
      <w:r>
        <w:rPr>
          <w:rStyle w:val="19"/>
          <w:sz w:val="20"/>
          <w:szCs w:val="20"/>
          <w:u w:val="none"/>
        </w:rPr>
        <w:t>bubrežne insuficijencije</w:t>
      </w:r>
      <w:r>
        <w:rPr>
          <w:sz w:val="20"/>
          <w:szCs w:val="20"/>
        </w:rPr>
        <w:t xml:space="preserve"> (uključujući akutnu </w:t>
      </w:r>
      <w:r>
        <w:rPr>
          <w:rStyle w:val="19"/>
          <w:sz w:val="20"/>
          <w:szCs w:val="20"/>
          <w:u w:val="none"/>
        </w:rPr>
        <w:t>bubrežnu insuficijenciju</w:t>
      </w:r>
      <w:r>
        <w:rPr>
          <w:sz w:val="20"/>
          <w:szCs w:val="20"/>
        </w:rPr>
        <w:t>), neki i sa smrtnim ishodom, bili su prijavljeni kod pacijenata liječenih everolimusom (pogledati dio 4.8). Potrebno je pratiti funkciju bubrega naročito kod pacijenata koji imaju dodatne faktore rizika koji bi mogli dodatno oštetiti funkciju bubrega.</w:t>
      </w:r>
    </w:p>
    <w:p w14:paraId="5DA12282">
      <w:pPr>
        <w:pStyle w:val="12"/>
        <w:shd w:val="clear" w:color="auto" w:fill="auto"/>
        <w:spacing w:line="240" w:lineRule="auto"/>
        <w:ind w:firstLine="0"/>
        <w:jc w:val="both"/>
        <w:rPr>
          <w:sz w:val="20"/>
          <w:szCs w:val="20"/>
        </w:rPr>
      </w:pPr>
    </w:p>
    <w:p w14:paraId="09B5C64C">
      <w:pPr>
        <w:pStyle w:val="12"/>
        <w:shd w:val="clear" w:color="auto" w:fill="auto"/>
        <w:spacing w:line="240" w:lineRule="auto"/>
        <w:ind w:firstLine="0"/>
        <w:jc w:val="both"/>
        <w:rPr>
          <w:sz w:val="20"/>
          <w:szCs w:val="20"/>
          <w:u w:val="single"/>
        </w:rPr>
      </w:pPr>
      <w:r>
        <w:rPr>
          <w:rStyle w:val="19"/>
          <w:sz w:val="20"/>
          <w:szCs w:val="20"/>
        </w:rPr>
        <w:t>Laboratorijski testovi i praćenje</w:t>
      </w:r>
    </w:p>
    <w:p w14:paraId="1D8508C2">
      <w:pPr>
        <w:pStyle w:val="21"/>
        <w:shd w:val="clear" w:color="auto" w:fill="auto"/>
        <w:spacing w:line="240" w:lineRule="auto"/>
        <w:rPr>
          <w:spacing w:val="0"/>
        </w:rPr>
      </w:pPr>
      <w:r>
        <w:rPr>
          <w:spacing w:val="0"/>
        </w:rPr>
        <w:t>Funkcija bubrega</w:t>
      </w:r>
    </w:p>
    <w:p w14:paraId="13ADC855">
      <w:pPr>
        <w:pStyle w:val="12"/>
        <w:shd w:val="clear" w:color="auto" w:fill="auto"/>
        <w:spacing w:line="240" w:lineRule="auto"/>
        <w:ind w:firstLine="0"/>
        <w:jc w:val="both"/>
        <w:rPr>
          <w:sz w:val="20"/>
          <w:szCs w:val="20"/>
        </w:rPr>
      </w:pPr>
      <w:r>
        <w:rPr>
          <w:sz w:val="20"/>
          <w:szCs w:val="20"/>
        </w:rPr>
        <w:t xml:space="preserve">Prijavljeno je povećanje kreatinina u serumu, obično umjeren i proteinurija (pogledati dio 4.8). Preporučuje se praćenje funkcije bubrega, uključujući mjerenje azota iz ureje u krvi (BUN - engl. </w:t>
      </w:r>
      <w:r>
        <w:rPr>
          <w:rStyle w:val="27"/>
          <w:spacing w:val="0"/>
        </w:rPr>
        <w:t xml:space="preserve">blood urea nitrogen), </w:t>
      </w:r>
      <w:r>
        <w:rPr>
          <w:sz w:val="20"/>
          <w:szCs w:val="20"/>
        </w:rPr>
        <w:t>proteina u urinu ili kreatinina u serumu, prije početka liječenja lijekom everolimus i periodično nakon toga.</w:t>
      </w:r>
    </w:p>
    <w:p w14:paraId="0CEB0DCB">
      <w:pPr>
        <w:pStyle w:val="12"/>
        <w:shd w:val="clear" w:color="auto" w:fill="auto"/>
        <w:spacing w:line="240" w:lineRule="auto"/>
        <w:ind w:firstLine="0"/>
        <w:jc w:val="both"/>
        <w:rPr>
          <w:sz w:val="20"/>
          <w:szCs w:val="20"/>
        </w:rPr>
      </w:pPr>
    </w:p>
    <w:p w14:paraId="307CDEF7">
      <w:pPr>
        <w:pStyle w:val="21"/>
        <w:shd w:val="clear" w:color="auto" w:fill="auto"/>
        <w:spacing w:line="240" w:lineRule="auto"/>
        <w:rPr>
          <w:spacing w:val="0"/>
        </w:rPr>
      </w:pPr>
      <w:r>
        <w:rPr>
          <w:spacing w:val="0"/>
        </w:rPr>
        <w:t>Glukoza u krvi</w:t>
      </w:r>
    </w:p>
    <w:p w14:paraId="418288BD">
      <w:pPr>
        <w:pStyle w:val="12"/>
        <w:shd w:val="clear" w:color="auto" w:fill="auto"/>
        <w:spacing w:line="240" w:lineRule="auto"/>
        <w:ind w:firstLine="0"/>
        <w:jc w:val="both"/>
        <w:rPr>
          <w:sz w:val="20"/>
          <w:szCs w:val="20"/>
        </w:rPr>
      </w:pPr>
      <w:r>
        <w:rPr>
          <w:sz w:val="20"/>
          <w:szCs w:val="20"/>
        </w:rPr>
        <w:t>Prijavljena je hiperglikemija (pogledati dio 4.8). Praćenje glukoze u serumu natašte preporučuje se prije početka terapije lijekom everolimus i periodično nakon toga. Preporučuje se češće praćenje kada se everolimus primjenjuje istovremeno sa drugim lijekovima koji mogu indukovati hiperglikemiju. Kada je moguće, treba postići optimalnu kontrolu glukoze u krvi prije nego pacijent počne uzimati everolimus.</w:t>
      </w:r>
    </w:p>
    <w:p w14:paraId="47C4A0CA">
      <w:pPr>
        <w:pStyle w:val="12"/>
        <w:shd w:val="clear" w:color="auto" w:fill="auto"/>
        <w:spacing w:line="240" w:lineRule="auto"/>
        <w:ind w:firstLine="0"/>
        <w:jc w:val="both"/>
        <w:rPr>
          <w:sz w:val="20"/>
          <w:szCs w:val="20"/>
        </w:rPr>
      </w:pPr>
    </w:p>
    <w:p w14:paraId="5D592EF6">
      <w:pPr>
        <w:pStyle w:val="21"/>
        <w:shd w:val="clear" w:color="auto" w:fill="auto"/>
        <w:spacing w:line="240" w:lineRule="auto"/>
        <w:rPr>
          <w:spacing w:val="0"/>
        </w:rPr>
      </w:pPr>
      <w:r>
        <w:rPr>
          <w:spacing w:val="0"/>
        </w:rPr>
        <w:t>Lipidi u krvi</w:t>
      </w:r>
    </w:p>
    <w:p w14:paraId="416B7B71">
      <w:pPr>
        <w:pStyle w:val="12"/>
        <w:shd w:val="clear" w:color="auto" w:fill="auto"/>
        <w:spacing w:line="240" w:lineRule="auto"/>
        <w:ind w:firstLine="0"/>
        <w:jc w:val="both"/>
        <w:rPr>
          <w:sz w:val="20"/>
          <w:szCs w:val="20"/>
        </w:rPr>
      </w:pPr>
      <w:r>
        <w:rPr>
          <w:sz w:val="20"/>
          <w:szCs w:val="20"/>
        </w:rPr>
        <w:t>Prijavljena je dislipidemija (uključujući hiperholesterolemiju i hipertrigliceridemiju). Preporučuje se praćenje holesterola i triglicerida u krvi prije početka terapije everolimusom i periodično nakon toga, kao i liječenje odgovarajućom terapijom.</w:t>
      </w:r>
    </w:p>
    <w:p w14:paraId="536B835A">
      <w:pPr>
        <w:pStyle w:val="12"/>
        <w:shd w:val="clear" w:color="auto" w:fill="auto"/>
        <w:spacing w:line="240" w:lineRule="auto"/>
        <w:ind w:firstLine="0"/>
        <w:jc w:val="both"/>
        <w:rPr>
          <w:sz w:val="20"/>
          <w:szCs w:val="20"/>
        </w:rPr>
      </w:pPr>
    </w:p>
    <w:p w14:paraId="5E9B03B6">
      <w:pPr>
        <w:pStyle w:val="21"/>
        <w:shd w:val="clear" w:color="auto" w:fill="auto"/>
        <w:spacing w:line="240" w:lineRule="auto"/>
        <w:rPr>
          <w:spacing w:val="0"/>
        </w:rPr>
      </w:pPr>
      <w:r>
        <w:rPr>
          <w:spacing w:val="0"/>
        </w:rPr>
        <w:t>Hematološki parametri</w:t>
      </w:r>
    </w:p>
    <w:p w14:paraId="7BEA4C28">
      <w:pPr>
        <w:pStyle w:val="12"/>
        <w:shd w:val="clear" w:color="auto" w:fill="auto"/>
        <w:spacing w:line="240" w:lineRule="auto"/>
        <w:ind w:firstLine="0"/>
        <w:jc w:val="both"/>
        <w:rPr>
          <w:sz w:val="20"/>
          <w:szCs w:val="20"/>
        </w:rPr>
      </w:pPr>
      <w:r>
        <w:rPr>
          <w:sz w:val="20"/>
          <w:szCs w:val="20"/>
        </w:rPr>
        <w:t>Prijavljeno je sniženje vrijednosti hemoglobina, broja limfocita, neutrofila i trombocita (pogledati dio 4.8). Preporučuje se kontrola kompletne krvne slike prije početka liječenja everolimus</w:t>
      </w:r>
      <w:r>
        <w:rPr>
          <w:sz w:val="20"/>
          <w:szCs w:val="20"/>
          <w:lang w:val="hr-BA"/>
        </w:rPr>
        <w:t>om</w:t>
      </w:r>
      <w:r>
        <w:rPr>
          <w:sz w:val="20"/>
          <w:szCs w:val="20"/>
        </w:rPr>
        <w:t xml:space="preserve"> i periodično nakon toga.</w:t>
      </w:r>
    </w:p>
    <w:p w14:paraId="6678A213">
      <w:pPr>
        <w:pStyle w:val="12"/>
        <w:shd w:val="clear" w:color="auto" w:fill="auto"/>
        <w:spacing w:line="240" w:lineRule="auto"/>
        <w:ind w:firstLine="0"/>
        <w:jc w:val="both"/>
        <w:rPr>
          <w:sz w:val="20"/>
          <w:szCs w:val="20"/>
        </w:rPr>
      </w:pPr>
    </w:p>
    <w:p w14:paraId="3CEEA35F">
      <w:pPr>
        <w:pStyle w:val="12"/>
        <w:shd w:val="clear" w:color="auto" w:fill="auto"/>
        <w:spacing w:line="240" w:lineRule="auto"/>
        <w:ind w:firstLine="0"/>
        <w:jc w:val="both"/>
        <w:rPr>
          <w:sz w:val="20"/>
          <w:szCs w:val="20"/>
        </w:rPr>
      </w:pPr>
      <w:r>
        <w:rPr>
          <w:rStyle w:val="19"/>
          <w:sz w:val="20"/>
          <w:szCs w:val="20"/>
        </w:rPr>
        <w:t>Funkcionalni karcinoidni tumori</w:t>
      </w:r>
    </w:p>
    <w:p w14:paraId="29FE3FA4">
      <w:pPr>
        <w:pStyle w:val="12"/>
        <w:shd w:val="clear" w:color="auto" w:fill="auto"/>
        <w:spacing w:line="240" w:lineRule="auto"/>
        <w:ind w:firstLine="0"/>
        <w:jc w:val="both"/>
        <w:rPr>
          <w:sz w:val="20"/>
          <w:szCs w:val="20"/>
        </w:rPr>
      </w:pPr>
      <w:r>
        <w:rPr>
          <w:sz w:val="20"/>
          <w:szCs w:val="20"/>
        </w:rPr>
        <w:t xml:space="preserve">U randomiziranom, dvostruko slijepom, multicentričnom ispitivanju kod pacijenata sa funkcionalnim karcinoidnim tumorima, everolimus primijenjen zajedno sa depo preparatom oktreotida bio je upoređen sa primjenom placeba i depo preparata oktreotida. U ispitivanju nije postignut primarnog parametra efikasnosti (preživljenje bez progresije bolesti [eng. </w:t>
      </w:r>
      <w:r>
        <w:rPr>
          <w:rStyle w:val="27"/>
          <w:spacing w:val="0"/>
        </w:rPr>
        <w:t>progression-free-survival</w:t>
      </w:r>
      <w:r>
        <w:rPr>
          <w:i/>
          <w:sz w:val="20"/>
          <w:szCs w:val="20"/>
        </w:rPr>
        <w:t>-</w:t>
      </w:r>
      <w:r>
        <w:rPr>
          <w:sz w:val="20"/>
          <w:szCs w:val="20"/>
        </w:rPr>
        <w:t xml:space="preserve"> PFS]), a privremena analiza ukupnog preživljavanja numerički je bila u prilog grupe koja je primala placebo i depo preparat oktreotida. Stoga, bezbjednost primjene i efikasnost everolimusa kod pacijenata sa funkcionalnim karcinoidnim tumorima nije utvrđena.</w:t>
      </w:r>
    </w:p>
    <w:p w14:paraId="19DC3F09">
      <w:pPr>
        <w:pStyle w:val="12"/>
        <w:shd w:val="clear" w:color="auto" w:fill="auto"/>
        <w:spacing w:line="240" w:lineRule="auto"/>
        <w:ind w:firstLine="0"/>
        <w:jc w:val="both"/>
        <w:rPr>
          <w:sz w:val="20"/>
          <w:szCs w:val="20"/>
        </w:rPr>
      </w:pPr>
    </w:p>
    <w:p w14:paraId="316B088C">
      <w:pPr>
        <w:pStyle w:val="12"/>
        <w:shd w:val="clear" w:color="auto" w:fill="auto"/>
        <w:spacing w:line="240" w:lineRule="auto"/>
        <w:ind w:firstLine="0"/>
        <w:jc w:val="both"/>
        <w:rPr>
          <w:rStyle w:val="19"/>
          <w:sz w:val="20"/>
          <w:szCs w:val="20"/>
        </w:rPr>
      </w:pPr>
      <w:r>
        <w:rPr>
          <w:rStyle w:val="19"/>
          <w:sz w:val="20"/>
          <w:szCs w:val="20"/>
        </w:rPr>
        <w:t>Prognostički faktori kod neuroendokrinih tumora gastrointestinalnog ili pulmonarnog porijekla</w:t>
      </w:r>
    </w:p>
    <w:p w14:paraId="7233B940">
      <w:pPr>
        <w:pStyle w:val="12"/>
        <w:shd w:val="clear" w:color="auto" w:fill="auto"/>
        <w:spacing w:line="240" w:lineRule="auto"/>
        <w:ind w:firstLine="0"/>
        <w:jc w:val="both"/>
        <w:rPr>
          <w:sz w:val="20"/>
          <w:szCs w:val="20"/>
        </w:rPr>
      </w:pPr>
      <w:r>
        <w:rPr>
          <w:sz w:val="20"/>
          <w:szCs w:val="20"/>
        </w:rPr>
        <w:t>Kod pacijenata sa nefunkcionalnim neuroendokrinim tumorima gastrointestinalnog ili pulmonarnog porijekla i dobrim početnim prognostičkim faktorima, npr. ileumom kao primarno</w:t>
      </w:r>
      <w:r>
        <w:rPr>
          <w:sz w:val="20"/>
          <w:szCs w:val="20"/>
          <w:lang w:val="sr-Cyrl-RS"/>
        </w:rPr>
        <w:t xml:space="preserve"> </w:t>
      </w:r>
      <w:r>
        <w:rPr>
          <w:sz w:val="20"/>
          <w:szCs w:val="20"/>
        </w:rPr>
        <w:t>porijeklo tumora i normalnim vrijednostima hromogranina A ili bez zahvaćenosti kostiju, potrebno je individualno procijeniti koristi i rizike prije početka liječenja everolimusom. Ograničeni dokaz PFS koristi je prijavljen u podgrupi pacijenata sa ileumom kao primarnim porijeklom tumora (pogledati dio 5.1)</w:t>
      </w:r>
    </w:p>
    <w:p w14:paraId="166943D5">
      <w:pPr>
        <w:pStyle w:val="12"/>
        <w:shd w:val="clear" w:color="auto" w:fill="auto"/>
        <w:spacing w:line="240" w:lineRule="auto"/>
        <w:ind w:firstLine="0"/>
        <w:jc w:val="both"/>
        <w:rPr>
          <w:rStyle w:val="19"/>
          <w:sz w:val="20"/>
          <w:szCs w:val="20"/>
        </w:rPr>
      </w:pPr>
    </w:p>
    <w:p w14:paraId="2AA9D573">
      <w:pPr>
        <w:pStyle w:val="12"/>
        <w:shd w:val="clear" w:color="auto" w:fill="auto"/>
        <w:spacing w:line="240" w:lineRule="auto"/>
        <w:ind w:firstLine="0"/>
        <w:jc w:val="both"/>
        <w:rPr>
          <w:sz w:val="20"/>
          <w:szCs w:val="20"/>
        </w:rPr>
      </w:pPr>
      <w:r>
        <w:rPr>
          <w:rStyle w:val="19"/>
          <w:sz w:val="20"/>
          <w:szCs w:val="20"/>
        </w:rPr>
        <w:t>Interakcije</w:t>
      </w:r>
    </w:p>
    <w:p w14:paraId="506E59C5">
      <w:pPr>
        <w:pStyle w:val="12"/>
        <w:shd w:val="clear" w:color="auto" w:fill="auto"/>
        <w:spacing w:line="240" w:lineRule="auto"/>
        <w:ind w:firstLine="0"/>
        <w:jc w:val="both"/>
        <w:rPr>
          <w:sz w:val="20"/>
          <w:szCs w:val="20"/>
        </w:rPr>
      </w:pPr>
      <w:r>
        <w:rPr>
          <w:sz w:val="20"/>
          <w:szCs w:val="20"/>
        </w:rPr>
        <w:t>Mora se izbjegavati istovremena primjena sa inhibitorima i induktorima CYP3A4 i/ili</w:t>
      </w:r>
      <w:r>
        <w:rPr>
          <w:sz w:val="20"/>
          <w:szCs w:val="20"/>
          <w:lang w:val="hr-BA"/>
        </w:rPr>
        <w:t xml:space="preserve"> grupom lijekova koja djeluje na efluksnu</w:t>
      </w:r>
      <w:r>
        <w:rPr>
          <w:sz w:val="20"/>
          <w:szCs w:val="20"/>
        </w:rPr>
        <w:t xml:space="preserve"> pumpu P-glikoproteina (PgP). Ako se ne može izbjeći istovremena primjena umjerenog inhibitora ili induktora CYP3A4 i/ili PgP, potrebno je pažljivo pratiti kliničko stanje pacijenta</w:t>
      </w:r>
      <w:r>
        <w:rPr>
          <w:sz w:val="20"/>
          <w:szCs w:val="20"/>
          <w:lang w:val="mk-MK"/>
        </w:rPr>
        <w:t>. P</w:t>
      </w:r>
      <w:r>
        <w:rPr>
          <w:sz w:val="20"/>
          <w:szCs w:val="20"/>
        </w:rPr>
        <w:t>otrebno je razmotriti prilagođavanje doze everolimusa prema predviđenom PIK-u (pogledati dio 4.5).</w:t>
      </w:r>
    </w:p>
    <w:p w14:paraId="3476AEDD">
      <w:pPr>
        <w:pStyle w:val="12"/>
        <w:shd w:val="clear" w:color="auto" w:fill="auto"/>
        <w:spacing w:line="240" w:lineRule="auto"/>
        <w:ind w:firstLine="0"/>
        <w:jc w:val="both"/>
        <w:rPr>
          <w:sz w:val="20"/>
          <w:szCs w:val="20"/>
        </w:rPr>
      </w:pPr>
      <w:r>
        <w:rPr>
          <w:sz w:val="20"/>
          <w:szCs w:val="20"/>
        </w:rPr>
        <w:t>Istovremeno liječenje sa potentnim inhibitorima CYP3A4/PgP-a dovodi do dramatičnog povećanja koncentracije everolimusa u plazmi (pogledati dio 4.5). Za sada nema dovoljno podataka iz kojih bi se moglo preporučiti doziranje u ovoj situaciji. Dakle, istovremeno liječenje lijekom everolimus i potentnim inhibitorima se ne preporučuje.</w:t>
      </w:r>
    </w:p>
    <w:p w14:paraId="481F1506">
      <w:pPr>
        <w:pStyle w:val="12"/>
        <w:shd w:val="clear" w:color="auto" w:fill="auto"/>
        <w:spacing w:line="240" w:lineRule="auto"/>
        <w:ind w:firstLine="0"/>
        <w:jc w:val="both"/>
        <w:rPr>
          <w:sz w:val="20"/>
          <w:szCs w:val="20"/>
        </w:rPr>
      </w:pPr>
    </w:p>
    <w:p w14:paraId="6B765E9E">
      <w:pPr>
        <w:pStyle w:val="12"/>
        <w:shd w:val="clear" w:color="auto" w:fill="auto"/>
        <w:spacing w:line="240" w:lineRule="auto"/>
        <w:ind w:firstLine="0"/>
        <w:jc w:val="both"/>
        <w:rPr>
          <w:sz w:val="20"/>
          <w:szCs w:val="20"/>
        </w:rPr>
      </w:pPr>
      <w:r>
        <w:rPr>
          <w:sz w:val="20"/>
          <w:szCs w:val="20"/>
        </w:rPr>
        <w:t>Potreban je oprez pri uzimanju everolimus u kombinaciji sa oralno primijenjenim CYP3A4 supstratima sa uskom terapijskom širinom zbog mogućih interakcija među lijekovima. Ako se everolimus uzima sa peroralno primijenjenim CYP3A4 supstratima sa uskom terapijskom širinom (npr. pimozid, terfenadin, astemizol, cisaprid, hinidin ili derivati ergot alkaloida), pacijente je potrebno pratiti kako bi se uočile neželjene dejstva opisane u informacijama o lijeku peroralno primijenjenih supstrata CYP3A4 (pogledati dio 4.5).</w:t>
      </w:r>
    </w:p>
    <w:p w14:paraId="3718D2A1">
      <w:pPr>
        <w:pStyle w:val="12"/>
        <w:shd w:val="clear" w:color="auto" w:fill="auto"/>
        <w:spacing w:line="240" w:lineRule="auto"/>
        <w:ind w:firstLine="0"/>
        <w:jc w:val="both"/>
        <w:rPr>
          <w:sz w:val="20"/>
          <w:szCs w:val="20"/>
        </w:rPr>
      </w:pPr>
    </w:p>
    <w:p w14:paraId="4E552E73">
      <w:pPr>
        <w:pStyle w:val="12"/>
        <w:shd w:val="clear" w:color="auto" w:fill="auto"/>
        <w:spacing w:line="240" w:lineRule="auto"/>
        <w:ind w:firstLine="0"/>
        <w:jc w:val="both"/>
        <w:rPr>
          <w:sz w:val="20"/>
          <w:szCs w:val="20"/>
        </w:rPr>
      </w:pPr>
      <w:r>
        <w:rPr>
          <w:rStyle w:val="19"/>
          <w:sz w:val="20"/>
          <w:szCs w:val="20"/>
        </w:rPr>
        <w:t>Oštećenje funkcije jetre</w:t>
      </w:r>
    </w:p>
    <w:p w14:paraId="34E3C1F4">
      <w:pPr>
        <w:pStyle w:val="12"/>
        <w:shd w:val="clear" w:color="auto" w:fill="auto"/>
        <w:spacing w:line="240" w:lineRule="auto"/>
        <w:ind w:firstLine="0"/>
        <w:jc w:val="both"/>
        <w:rPr>
          <w:sz w:val="20"/>
          <w:szCs w:val="20"/>
        </w:rPr>
      </w:pPr>
      <w:r>
        <w:rPr>
          <w:sz w:val="20"/>
          <w:szCs w:val="20"/>
        </w:rPr>
        <w:t>Izloženost everolimusu bila je povećana kod pacijenata sa blagim (Child-Pugh A), umjerenim (Child-Pugh B) i teškim (Child-Pugh C) oštećenjem funkcije jetre (pogledati dio 5.2).</w:t>
      </w:r>
    </w:p>
    <w:p w14:paraId="20946EC1">
      <w:pPr>
        <w:pStyle w:val="12"/>
        <w:shd w:val="clear" w:color="auto" w:fill="auto"/>
        <w:spacing w:line="240" w:lineRule="auto"/>
        <w:ind w:firstLine="0"/>
        <w:jc w:val="both"/>
        <w:rPr>
          <w:sz w:val="20"/>
          <w:szCs w:val="20"/>
        </w:rPr>
      </w:pPr>
    </w:p>
    <w:p w14:paraId="7969B608">
      <w:pPr>
        <w:pStyle w:val="12"/>
        <w:shd w:val="clear" w:color="auto" w:fill="auto"/>
        <w:spacing w:line="240" w:lineRule="auto"/>
        <w:ind w:firstLine="0"/>
        <w:jc w:val="both"/>
        <w:rPr>
          <w:sz w:val="20"/>
          <w:szCs w:val="20"/>
        </w:rPr>
      </w:pPr>
      <w:r>
        <w:rPr>
          <w:sz w:val="20"/>
          <w:szCs w:val="20"/>
        </w:rPr>
        <w:t>Primjena everolimusa se preporučuje kod pacijenata sa teškim oštećenjem funkcije jetre (Child- Pugh C), samo ako je moguća korist prevazilazi rizika (pogledati dijelove 4.2 i 5.2).</w:t>
      </w:r>
    </w:p>
    <w:p w14:paraId="30ED962A">
      <w:pPr>
        <w:pStyle w:val="12"/>
        <w:shd w:val="clear" w:color="auto" w:fill="auto"/>
        <w:spacing w:line="240" w:lineRule="auto"/>
        <w:ind w:firstLine="0"/>
        <w:jc w:val="both"/>
        <w:rPr>
          <w:sz w:val="20"/>
          <w:szCs w:val="20"/>
        </w:rPr>
      </w:pPr>
      <w:r>
        <w:rPr>
          <w:sz w:val="20"/>
          <w:szCs w:val="20"/>
        </w:rPr>
        <w:t>Trenutno nema dostupnih podataka o kliničkoj bezbjednosti ili efikasnosti na temelju kojih bi se mogle donijeti preporuke o prilagođavanju doze za zbrinjavanje neželjenih dejstva kod pacijenata sa oštećenjem jetre.</w:t>
      </w:r>
    </w:p>
    <w:p w14:paraId="25A6A738">
      <w:pPr>
        <w:pStyle w:val="12"/>
        <w:shd w:val="clear" w:color="auto" w:fill="auto"/>
        <w:spacing w:line="240" w:lineRule="auto"/>
        <w:ind w:firstLine="0"/>
        <w:jc w:val="both"/>
        <w:rPr>
          <w:sz w:val="20"/>
          <w:szCs w:val="20"/>
        </w:rPr>
      </w:pPr>
    </w:p>
    <w:p w14:paraId="0569E0A5">
      <w:pPr>
        <w:pStyle w:val="12"/>
        <w:shd w:val="clear" w:color="auto" w:fill="auto"/>
        <w:spacing w:line="240" w:lineRule="auto"/>
        <w:ind w:firstLine="0"/>
        <w:jc w:val="both"/>
        <w:rPr>
          <w:sz w:val="20"/>
          <w:szCs w:val="20"/>
        </w:rPr>
      </w:pPr>
      <w:r>
        <w:rPr>
          <w:rStyle w:val="19"/>
          <w:sz w:val="20"/>
          <w:szCs w:val="20"/>
        </w:rPr>
        <w:t>Vakcinacija</w:t>
      </w:r>
    </w:p>
    <w:p w14:paraId="49DBD07D">
      <w:pPr>
        <w:pStyle w:val="12"/>
        <w:shd w:val="clear" w:color="auto" w:fill="auto"/>
        <w:spacing w:line="240" w:lineRule="auto"/>
        <w:ind w:firstLine="0"/>
        <w:jc w:val="both"/>
        <w:rPr>
          <w:sz w:val="20"/>
          <w:szCs w:val="20"/>
        </w:rPr>
      </w:pPr>
      <w:r>
        <w:rPr>
          <w:sz w:val="20"/>
          <w:szCs w:val="20"/>
        </w:rPr>
        <w:t>Primjena živih vakcina se mora izbjegavati tokom liječenja everolimusom (pogledati dio 4.5).</w:t>
      </w:r>
    </w:p>
    <w:p w14:paraId="10DA2E3E">
      <w:pPr>
        <w:pStyle w:val="12"/>
        <w:shd w:val="clear" w:color="auto" w:fill="auto"/>
        <w:spacing w:line="240" w:lineRule="auto"/>
        <w:ind w:firstLine="0"/>
        <w:jc w:val="both"/>
        <w:rPr>
          <w:sz w:val="20"/>
          <w:szCs w:val="20"/>
        </w:rPr>
      </w:pPr>
    </w:p>
    <w:p w14:paraId="0ACE6C3B">
      <w:pPr>
        <w:pStyle w:val="12"/>
        <w:shd w:val="clear" w:color="auto" w:fill="auto"/>
        <w:spacing w:line="240" w:lineRule="auto"/>
        <w:ind w:firstLine="0"/>
        <w:jc w:val="both"/>
        <w:rPr>
          <w:sz w:val="20"/>
          <w:szCs w:val="20"/>
        </w:rPr>
      </w:pPr>
      <w:r>
        <w:rPr>
          <w:rStyle w:val="19"/>
          <w:sz w:val="20"/>
          <w:szCs w:val="20"/>
        </w:rPr>
        <w:t>Komplikacije pri zarastanju rane</w:t>
      </w:r>
    </w:p>
    <w:p w14:paraId="2C1ACE07">
      <w:pPr>
        <w:pStyle w:val="12"/>
        <w:shd w:val="clear" w:color="auto" w:fill="auto"/>
        <w:spacing w:line="240" w:lineRule="auto"/>
        <w:ind w:firstLine="0"/>
        <w:jc w:val="both"/>
        <w:rPr>
          <w:sz w:val="20"/>
          <w:szCs w:val="20"/>
        </w:rPr>
      </w:pPr>
      <w:r>
        <w:rPr>
          <w:sz w:val="20"/>
          <w:szCs w:val="20"/>
        </w:rPr>
        <w:t xml:space="preserve">Odgođeno zarastanje rane je efekat povezan sa grupom derivata rapamicina, uključujući everolimus. Potreban je oprez pri primjeni lijeka everolimus </w:t>
      </w:r>
      <w:r>
        <w:rPr>
          <w:sz w:val="20"/>
          <w:szCs w:val="20"/>
          <w:lang w:val="sv-SE"/>
        </w:rPr>
        <w:t>tokom perioperativnog perioda</w:t>
      </w:r>
      <w:r>
        <w:rPr>
          <w:sz w:val="20"/>
          <w:szCs w:val="20"/>
        </w:rPr>
        <w:t>.</w:t>
      </w:r>
    </w:p>
    <w:p w14:paraId="1B5EBE08">
      <w:pPr>
        <w:pStyle w:val="12"/>
        <w:shd w:val="clear" w:color="auto" w:fill="auto"/>
        <w:spacing w:line="240" w:lineRule="auto"/>
        <w:ind w:firstLine="0"/>
        <w:jc w:val="both"/>
        <w:rPr>
          <w:sz w:val="20"/>
          <w:szCs w:val="20"/>
        </w:rPr>
      </w:pPr>
    </w:p>
    <w:p w14:paraId="0A594F23">
      <w:pPr>
        <w:shd w:val="clear" w:color="auto" w:fill="FFFFFF"/>
        <w:spacing w:line="0" w:lineRule="atLeast"/>
        <w:jc w:val="both"/>
        <w:rPr>
          <w:rFonts w:ascii="Microsoft Sans Serif" w:hAnsi="Microsoft Sans Serif" w:eastAsia="Microsoft Sans Serif" w:cs="Microsoft Sans Serif"/>
          <w:color w:val="auto"/>
          <w:sz w:val="20"/>
          <w:szCs w:val="20"/>
          <w:u w:val="single"/>
        </w:rPr>
      </w:pPr>
      <w:r>
        <w:rPr>
          <w:rFonts w:ascii="Microsoft Sans Serif" w:hAnsi="Microsoft Sans Serif" w:eastAsia="Microsoft Sans Serif" w:cs="Microsoft Sans Serif"/>
          <w:color w:val="auto"/>
          <w:sz w:val="20"/>
          <w:szCs w:val="20"/>
          <w:u w:val="single"/>
        </w:rPr>
        <w:t>Komplikacije terapije zračenjem</w:t>
      </w:r>
    </w:p>
    <w:p w14:paraId="1F3D9AA9">
      <w:pPr>
        <w:shd w:val="clear" w:color="auto" w:fill="FFFFFF"/>
        <w:spacing w:line="0" w:lineRule="atLeast"/>
        <w:jc w:val="both"/>
        <w:rPr>
          <w:rFonts w:ascii="Microsoft Sans Serif" w:hAnsi="Microsoft Sans Serif" w:eastAsia="Microsoft Sans Serif" w:cs="Microsoft Sans Serif"/>
          <w:color w:val="auto"/>
          <w:sz w:val="20"/>
          <w:szCs w:val="20"/>
        </w:rPr>
      </w:pPr>
      <w:r>
        <w:rPr>
          <w:rFonts w:ascii="Microsoft Sans Serif" w:hAnsi="Microsoft Sans Serif" w:eastAsia="Microsoft Sans Serif" w:cs="Microsoft Sans Serif"/>
          <w:color w:val="auto"/>
          <w:sz w:val="20"/>
          <w:szCs w:val="20"/>
        </w:rPr>
        <w:t>Prijavljene su ozbiljne i teške reakcije na zračenje (kao što su radijacijski ezofagitis, radijacijski pneumonitis i ozlijeda kože zračenjem), uključujući slučajeve sa smrtnim ishodom, kada se everolimus uzimao tijekom ili ubrzo nakon terapije zračenjem. Stoga je potreban oprez zbog potenciranja toksičnosti radioterapije kod pacijenata koji uzimaju everolimus u kratkom vremenskom periodu od terapije zračenjem.</w:t>
      </w:r>
    </w:p>
    <w:p w14:paraId="69FB95CD">
      <w:pPr>
        <w:jc w:val="both"/>
        <w:rPr>
          <w:color w:val="auto"/>
          <w:sz w:val="20"/>
          <w:szCs w:val="20"/>
        </w:rPr>
      </w:pPr>
      <w:r>
        <w:rPr>
          <w:rFonts w:ascii="Microsoft Sans Serif" w:hAnsi="Microsoft Sans Serif" w:eastAsia="Microsoft Sans Serif" w:cs="Microsoft Sans Serif"/>
          <w:color w:val="auto"/>
          <w:sz w:val="20"/>
          <w:szCs w:val="20"/>
        </w:rPr>
        <w:t xml:space="preserve">Osim toga, prijavljen je sindrom inflamatorne reakcije ozračenog područja (engl. </w:t>
      </w:r>
      <w:r>
        <w:rPr>
          <w:rFonts w:ascii="Microsoft Sans Serif" w:hAnsi="Microsoft Sans Serif" w:eastAsia="Microsoft Sans Serif" w:cs="Microsoft Sans Serif"/>
          <w:i/>
          <w:color w:val="auto"/>
          <w:sz w:val="20"/>
          <w:szCs w:val="20"/>
        </w:rPr>
        <w:t>radiation recall syndrome</w:t>
      </w:r>
      <w:r>
        <w:rPr>
          <w:rFonts w:ascii="Microsoft Sans Serif" w:hAnsi="Microsoft Sans Serif" w:eastAsia="Microsoft Sans Serif" w:cs="Microsoft Sans Serif"/>
          <w:color w:val="auto"/>
          <w:sz w:val="20"/>
          <w:szCs w:val="20"/>
        </w:rPr>
        <w:t>, RRS) kod pacijenata koji su uzimali everolimus koji su prethodno bili na terapiji zračenjem. U slučaju RRS-a, treba razmotriti privremeni ili trajni prekid uzimanja everolimusa.</w:t>
      </w:r>
    </w:p>
    <w:p w14:paraId="129199AC">
      <w:pPr>
        <w:pStyle w:val="12"/>
        <w:shd w:val="clear" w:color="auto" w:fill="auto"/>
        <w:spacing w:line="240" w:lineRule="auto"/>
        <w:ind w:firstLine="0"/>
        <w:jc w:val="both"/>
        <w:rPr>
          <w:sz w:val="20"/>
          <w:szCs w:val="20"/>
        </w:rPr>
      </w:pPr>
    </w:p>
    <w:p w14:paraId="082C47DE">
      <w:pPr>
        <w:pStyle w:val="12"/>
        <w:shd w:val="clear" w:color="auto" w:fill="auto"/>
        <w:spacing w:line="240" w:lineRule="auto"/>
        <w:ind w:firstLine="0"/>
        <w:jc w:val="both"/>
        <w:rPr>
          <w:sz w:val="20"/>
          <w:szCs w:val="20"/>
        </w:rPr>
      </w:pPr>
      <w:r>
        <w:rPr>
          <w:rStyle w:val="19"/>
          <w:sz w:val="20"/>
          <w:szCs w:val="20"/>
        </w:rPr>
        <w:t xml:space="preserve">Lijek Syrleno sadrži laktozu. </w:t>
      </w:r>
    </w:p>
    <w:p w14:paraId="3575E96A">
      <w:pPr>
        <w:pStyle w:val="12"/>
        <w:shd w:val="clear" w:color="auto" w:fill="auto"/>
        <w:spacing w:line="240" w:lineRule="auto"/>
        <w:ind w:firstLine="0"/>
        <w:jc w:val="both"/>
        <w:rPr>
          <w:sz w:val="20"/>
          <w:szCs w:val="20"/>
        </w:rPr>
      </w:pPr>
      <w:r>
        <w:rPr>
          <w:sz w:val="20"/>
          <w:szCs w:val="20"/>
        </w:rPr>
        <w:t>Pacijenti sa rijetkim nasljednim poremećajem nepodnošenja galaktoze, totalnim nedostatkom laktaze ili glukoza-galaktoza malapsorpcijom ne bi trebali uzimati ovaj lijek.</w:t>
      </w:r>
    </w:p>
    <w:p w14:paraId="07885DFB">
      <w:pPr>
        <w:pStyle w:val="12"/>
        <w:shd w:val="clear" w:color="auto" w:fill="auto"/>
        <w:spacing w:line="240" w:lineRule="auto"/>
        <w:ind w:firstLine="0"/>
        <w:jc w:val="both"/>
        <w:rPr>
          <w:sz w:val="20"/>
          <w:szCs w:val="20"/>
        </w:rPr>
      </w:pPr>
    </w:p>
    <w:p w14:paraId="158A0AD4">
      <w:pPr>
        <w:pStyle w:val="12"/>
        <w:numPr>
          <w:ilvl w:val="1"/>
          <w:numId w:val="1"/>
        </w:numPr>
        <w:shd w:val="clear" w:color="auto" w:fill="auto"/>
        <w:tabs>
          <w:tab w:val="left" w:pos="701"/>
        </w:tabs>
        <w:spacing w:line="240" w:lineRule="auto"/>
        <w:ind w:firstLine="0"/>
        <w:jc w:val="both"/>
        <w:rPr>
          <w:b/>
          <w:sz w:val="20"/>
          <w:szCs w:val="20"/>
        </w:rPr>
      </w:pPr>
      <w:r>
        <w:rPr>
          <w:b/>
          <w:sz w:val="20"/>
          <w:szCs w:val="20"/>
        </w:rPr>
        <w:t>Interakcije sa drugim lijekovima i drugi oblici interakcija</w:t>
      </w:r>
    </w:p>
    <w:p w14:paraId="6BCE13AC">
      <w:pPr>
        <w:pStyle w:val="12"/>
        <w:shd w:val="clear" w:color="auto" w:fill="auto"/>
        <w:tabs>
          <w:tab w:val="left" w:pos="701"/>
        </w:tabs>
        <w:spacing w:line="240" w:lineRule="auto"/>
        <w:ind w:firstLine="0"/>
        <w:jc w:val="both"/>
        <w:rPr>
          <w:b/>
          <w:sz w:val="20"/>
          <w:szCs w:val="20"/>
        </w:rPr>
      </w:pPr>
    </w:p>
    <w:p w14:paraId="5BD59136">
      <w:pPr>
        <w:pStyle w:val="12"/>
        <w:shd w:val="clear" w:color="auto" w:fill="auto"/>
        <w:spacing w:line="240" w:lineRule="auto"/>
        <w:ind w:firstLine="0"/>
        <w:jc w:val="both"/>
        <w:rPr>
          <w:sz w:val="20"/>
          <w:szCs w:val="20"/>
        </w:rPr>
      </w:pPr>
      <w:r>
        <w:rPr>
          <w:sz w:val="20"/>
          <w:szCs w:val="20"/>
        </w:rPr>
        <w:t xml:space="preserve">Everolimus je supstrat za CYP3A4, i takođe supstrat i umjereni inhibitor PgP-a. Prema tome, apsorpcija i posljedična eliminacija everolimusa mogu biti pod uticajem lijekova koji utiču na CYP3A4 i/ili PgP. </w:t>
      </w:r>
      <w:r>
        <w:rPr>
          <w:rStyle w:val="27"/>
          <w:spacing w:val="0"/>
        </w:rPr>
        <w:t>In vitro,</w:t>
      </w:r>
      <w:r>
        <w:rPr>
          <w:sz w:val="20"/>
          <w:szCs w:val="20"/>
        </w:rPr>
        <w:t xml:space="preserve"> everolimus je kompetitivni inhibitor CYP3A4 i miješani inhibitor CYP2D6.</w:t>
      </w:r>
    </w:p>
    <w:p w14:paraId="2B30BBD4">
      <w:pPr>
        <w:pStyle w:val="12"/>
        <w:shd w:val="clear" w:color="auto" w:fill="auto"/>
        <w:spacing w:line="240" w:lineRule="auto"/>
        <w:ind w:firstLine="0"/>
        <w:jc w:val="both"/>
        <w:rPr>
          <w:sz w:val="20"/>
          <w:szCs w:val="20"/>
        </w:rPr>
      </w:pPr>
    </w:p>
    <w:p w14:paraId="07A28D7C">
      <w:pPr>
        <w:pStyle w:val="12"/>
        <w:shd w:val="clear" w:color="auto" w:fill="auto"/>
        <w:spacing w:line="240" w:lineRule="auto"/>
        <w:ind w:firstLine="0"/>
        <w:jc w:val="both"/>
        <w:rPr>
          <w:sz w:val="20"/>
          <w:szCs w:val="20"/>
        </w:rPr>
      </w:pPr>
      <w:r>
        <w:rPr>
          <w:sz w:val="20"/>
          <w:szCs w:val="20"/>
        </w:rPr>
        <w:t>Poznate i teoretske interakcije sa izabranim inhibitorima i induktorima CYP3A4 i PgP-a navedene su u nastavku teksta u Tablici 2.</w:t>
      </w:r>
    </w:p>
    <w:p w14:paraId="021A7CE2">
      <w:pPr>
        <w:pStyle w:val="12"/>
        <w:shd w:val="clear" w:color="auto" w:fill="auto"/>
        <w:spacing w:line="240" w:lineRule="auto"/>
        <w:ind w:firstLine="0"/>
        <w:jc w:val="both"/>
        <w:rPr>
          <w:sz w:val="20"/>
          <w:szCs w:val="20"/>
        </w:rPr>
      </w:pPr>
    </w:p>
    <w:p w14:paraId="4D358B5F">
      <w:pPr>
        <w:pStyle w:val="12"/>
        <w:shd w:val="clear" w:color="auto" w:fill="auto"/>
        <w:spacing w:line="240" w:lineRule="auto"/>
        <w:ind w:firstLine="0"/>
        <w:jc w:val="both"/>
        <w:rPr>
          <w:sz w:val="20"/>
          <w:szCs w:val="20"/>
        </w:rPr>
      </w:pPr>
      <w:r>
        <w:rPr>
          <w:rStyle w:val="19"/>
          <w:sz w:val="20"/>
          <w:szCs w:val="20"/>
        </w:rPr>
        <w:t>CYP3A4 i PgP inhibitori povećavaju koncentraciju everolimusa</w:t>
      </w:r>
    </w:p>
    <w:p w14:paraId="1A3087DE">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inhibiraju CYP3A4 ili PgP mogu povećati koncentraciju everolimusa u</w:t>
      </w:r>
      <w:r>
        <w:rPr>
          <w:sz w:val="20"/>
          <w:szCs w:val="20"/>
        </w:rPr>
        <w:tab/>
      </w:r>
      <w:r>
        <w:rPr>
          <w:sz w:val="20"/>
          <w:szCs w:val="20"/>
        </w:rPr>
        <w:t xml:space="preserve"> krvi</w:t>
      </w:r>
      <w:r>
        <w:rPr>
          <w:sz w:val="20"/>
          <w:szCs w:val="20"/>
        </w:rPr>
        <w:tab/>
      </w:r>
      <w:r>
        <w:rPr>
          <w:sz w:val="20"/>
          <w:szCs w:val="20"/>
        </w:rPr>
        <w:t xml:space="preserve"> smanjenjem metabolizma everolimusa ili njegovog izbacivanja iz ćelija crijeva.</w:t>
      </w:r>
    </w:p>
    <w:p w14:paraId="52D91DA6">
      <w:pPr>
        <w:pStyle w:val="12"/>
        <w:shd w:val="clear" w:color="auto" w:fill="auto"/>
        <w:spacing w:line="240" w:lineRule="auto"/>
        <w:ind w:firstLine="0"/>
        <w:jc w:val="both"/>
        <w:rPr>
          <w:sz w:val="20"/>
          <w:szCs w:val="20"/>
        </w:rPr>
      </w:pPr>
    </w:p>
    <w:p w14:paraId="6E534683">
      <w:pPr>
        <w:pStyle w:val="12"/>
        <w:shd w:val="clear" w:color="auto" w:fill="auto"/>
        <w:spacing w:line="240" w:lineRule="auto"/>
        <w:ind w:firstLine="0"/>
        <w:jc w:val="both"/>
        <w:rPr>
          <w:sz w:val="20"/>
          <w:szCs w:val="20"/>
        </w:rPr>
      </w:pPr>
      <w:r>
        <w:rPr>
          <w:rStyle w:val="19"/>
          <w:sz w:val="20"/>
          <w:szCs w:val="20"/>
        </w:rPr>
        <w:t>CYP3A4 i PgP induktori snižavaju koncentraciju everolimusa</w:t>
      </w:r>
    </w:p>
    <w:p w14:paraId="21C23315">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su induktori CYP3A4 ili PgP mogu sniziti koncentraciju everolimusa u krvi povećanjemmetabolizma everolimusa ili njegovog izbacivanja iz ćelija crijeva.</w:t>
      </w:r>
    </w:p>
    <w:p w14:paraId="7CEAF276">
      <w:pPr>
        <w:pStyle w:val="12"/>
        <w:shd w:val="clear" w:color="auto" w:fill="auto"/>
        <w:spacing w:line="240" w:lineRule="auto"/>
        <w:ind w:firstLine="0"/>
        <w:jc w:val="both"/>
        <w:rPr>
          <w:sz w:val="20"/>
          <w:szCs w:val="20"/>
        </w:rPr>
      </w:pPr>
    </w:p>
    <w:p w14:paraId="2002452E">
      <w:pPr>
        <w:pStyle w:val="23"/>
        <w:shd w:val="clear" w:color="auto" w:fill="auto"/>
        <w:spacing w:line="240" w:lineRule="auto"/>
        <w:jc w:val="both"/>
        <w:rPr>
          <w:rStyle w:val="46"/>
          <w:b/>
          <w:sz w:val="20"/>
          <w:szCs w:val="20"/>
          <w:u w:val="none"/>
        </w:rPr>
      </w:pPr>
      <w:r>
        <w:rPr>
          <w:rStyle w:val="46"/>
          <w:b/>
          <w:sz w:val="20"/>
          <w:szCs w:val="20"/>
          <w:u w:val="none"/>
        </w:rPr>
        <w:t>Tablica 2 Dejstva drugih aktivnih supstanci na everolimus</w:t>
      </w:r>
    </w:p>
    <w:p w14:paraId="1224C2F7">
      <w:pPr>
        <w:pStyle w:val="23"/>
        <w:shd w:val="clear" w:color="auto" w:fill="auto"/>
        <w:spacing w:line="240" w:lineRule="auto"/>
        <w:jc w:val="both"/>
        <w:rPr>
          <w:b/>
          <w:sz w:val="20"/>
          <w:szCs w:val="20"/>
        </w:rPr>
      </w:pPr>
    </w:p>
    <w:tbl>
      <w:tblPr>
        <w:tblStyle w:val="3"/>
        <w:tblW w:w="9360" w:type="dxa"/>
        <w:tblInd w:w="10" w:type="dxa"/>
        <w:tblLayout w:type="fixed"/>
        <w:tblCellMar>
          <w:top w:w="0" w:type="dxa"/>
          <w:left w:w="10" w:type="dxa"/>
          <w:bottom w:w="0" w:type="dxa"/>
          <w:right w:w="10" w:type="dxa"/>
        </w:tblCellMar>
      </w:tblPr>
      <w:tblGrid>
        <w:gridCol w:w="2634"/>
        <w:gridCol w:w="3243"/>
        <w:gridCol w:w="3483"/>
      </w:tblGrid>
      <w:tr w14:paraId="44B3A2F0">
        <w:tblPrEx>
          <w:tblCellMar>
            <w:top w:w="0" w:type="dxa"/>
            <w:left w:w="10" w:type="dxa"/>
            <w:bottom w:w="0" w:type="dxa"/>
            <w:right w:w="10" w:type="dxa"/>
          </w:tblCellMar>
        </w:tblPrEx>
        <w:trPr>
          <w:trHeight w:val="1061" w:hRule="atLeast"/>
        </w:trPr>
        <w:tc>
          <w:tcPr>
            <w:tcW w:w="2634" w:type="dxa"/>
            <w:tcBorders>
              <w:top w:val="single" w:color="auto" w:sz="4" w:space="0"/>
              <w:left w:val="single" w:color="auto" w:sz="4" w:space="0"/>
            </w:tcBorders>
            <w:shd w:val="clear" w:color="auto" w:fill="FFFFFF"/>
          </w:tcPr>
          <w:p w14:paraId="27583BA0">
            <w:pPr>
              <w:pStyle w:val="12"/>
              <w:shd w:val="clear" w:color="auto" w:fill="auto"/>
              <w:spacing w:line="240" w:lineRule="auto"/>
              <w:ind w:firstLine="0"/>
              <w:jc w:val="left"/>
              <w:rPr>
                <w:rStyle w:val="24"/>
                <w:b/>
                <w:sz w:val="20"/>
                <w:szCs w:val="20"/>
              </w:rPr>
            </w:pPr>
            <w:r>
              <w:rPr>
                <w:rStyle w:val="24"/>
                <w:b/>
                <w:sz w:val="20"/>
                <w:szCs w:val="20"/>
              </w:rPr>
              <w:t>Aktivna supstanca</w:t>
            </w:r>
          </w:p>
          <w:p w14:paraId="7EF41DF2">
            <w:pPr>
              <w:pStyle w:val="12"/>
              <w:shd w:val="clear" w:color="auto" w:fill="auto"/>
              <w:spacing w:line="240" w:lineRule="auto"/>
              <w:ind w:firstLine="0"/>
              <w:jc w:val="left"/>
              <w:rPr>
                <w:b/>
                <w:sz w:val="20"/>
                <w:szCs w:val="20"/>
              </w:rPr>
            </w:pPr>
            <w:r>
              <w:rPr>
                <w:rStyle w:val="24"/>
                <w:b/>
                <w:sz w:val="20"/>
                <w:szCs w:val="20"/>
              </w:rPr>
              <w:t>po interakciji</w:t>
            </w:r>
          </w:p>
        </w:tc>
        <w:tc>
          <w:tcPr>
            <w:tcW w:w="3243" w:type="dxa"/>
            <w:tcBorders>
              <w:top w:val="single" w:color="auto" w:sz="4" w:space="0"/>
              <w:left w:val="single" w:color="auto" w:sz="4" w:space="0"/>
            </w:tcBorders>
            <w:shd w:val="clear" w:color="auto" w:fill="FFFFFF"/>
          </w:tcPr>
          <w:p w14:paraId="762DCF49">
            <w:pPr>
              <w:pStyle w:val="12"/>
              <w:shd w:val="clear" w:color="auto" w:fill="auto"/>
              <w:spacing w:line="240" w:lineRule="auto"/>
              <w:ind w:firstLine="0"/>
              <w:jc w:val="left"/>
              <w:rPr>
                <w:b/>
                <w:sz w:val="20"/>
                <w:szCs w:val="20"/>
              </w:rPr>
            </w:pPr>
            <w:r>
              <w:rPr>
                <w:rStyle w:val="24"/>
                <w:b/>
                <w:sz w:val="20"/>
                <w:szCs w:val="20"/>
              </w:rPr>
              <w:t>Interakcija - promjena u PIK/C</w:t>
            </w:r>
            <w:r>
              <w:rPr>
                <w:rStyle w:val="24"/>
                <w:b/>
                <w:sz w:val="20"/>
                <w:szCs w:val="20"/>
                <w:vertAlign w:val="subscript"/>
              </w:rPr>
              <w:t>max</w:t>
            </w:r>
            <w:r>
              <w:rPr>
                <w:rStyle w:val="24"/>
                <w:b/>
                <w:sz w:val="20"/>
                <w:szCs w:val="20"/>
              </w:rPr>
              <w:t xml:space="preserve"> everolimusa</w:t>
            </w:r>
          </w:p>
          <w:p w14:paraId="567625D2">
            <w:pPr>
              <w:pStyle w:val="12"/>
              <w:shd w:val="clear" w:color="auto" w:fill="auto"/>
              <w:spacing w:line="240" w:lineRule="auto"/>
              <w:ind w:firstLine="0"/>
              <w:jc w:val="left"/>
              <w:rPr>
                <w:b/>
                <w:sz w:val="20"/>
                <w:szCs w:val="20"/>
              </w:rPr>
            </w:pPr>
            <w:r>
              <w:rPr>
                <w:rStyle w:val="24"/>
                <w:b/>
                <w:sz w:val="20"/>
                <w:szCs w:val="20"/>
              </w:rPr>
              <w:t>Omjer geometrijskih sredina (zapaženi raspon)</w:t>
            </w:r>
          </w:p>
        </w:tc>
        <w:tc>
          <w:tcPr>
            <w:tcW w:w="3479" w:type="dxa"/>
            <w:tcBorders>
              <w:top w:val="single" w:color="auto" w:sz="4" w:space="0"/>
              <w:left w:val="single" w:color="auto" w:sz="4" w:space="0"/>
              <w:right w:val="single" w:color="auto" w:sz="4" w:space="0"/>
            </w:tcBorders>
            <w:shd w:val="clear" w:color="auto" w:fill="FFFFFF"/>
          </w:tcPr>
          <w:p w14:paraId="0D95BE56">
            <w:pPr>
              <w:pStyle w:val="12"/>
              <w:shd w:val="clear" w:color="auto" w:fill="auto"/>
              <w:spacing w:line="240" w:lineRule="auto"/>
              <w:ind w:firstLine="0"/>
              <w:jc w:val="left"/>
              <w:rPr>
                <w:b/>
                <w:sz w:val="20"/>
                <w:szCs w:val="20"/>
              </w:rPr>
            </w:pPr>
            <w:r>
              <w:rPr>
                <w:rStyle w:val="24"/>
                <w:b/>
                <w:sz w:val="20"/>
                <w:szCs w:val="20"/>
              </w:rPr>
              <w:t>Preporuke za istovremenu primjenu</w:t>
            </w:r>
          </w:p>
        </w:tc>
      </w:tr>
      <w:tr w14:paraId="27AAC645">
        <w:tblPrEx>
          <w:tblCellMar>
            <w:top w:w="0" w:type="dxa"/>
            <w:left w:w="10" w:type="dxa"/>
            <w:bottom w:w="0" w:type="dxa"/>
            <w:right w:w="10" w:type="dxa"/>
          </w:tblCellMar>
        </w:tblPrEx>
        <w:trPr>
          <w:trHeight w:val="173" w:hRule="atLeast"/>
        </w:trPr>
        <w:tc>
          <w:tcPr>
            <w:tcW w:w="9356" w:type="dxa"/>
            <w:gridSpan w:val="3"/>
            <w:tcBorders>
              <w:top w:val="single" w:color="auto" w:sz="4" w:space="0"/>
              <w:left w:val="single" w:color="auto" w:sz="4" w:space="0"/>
              <w:right w:val="single" w:color="auto" w:sz="4" w:space="0"/>
            </w:tcBorders>
            <w:shd w:val="clear" w:color="auto" w:fill="FFFFFF"/>
          </w:tcPr>
          <w:p w14:paraId="3A7EA5C8">
            <w:pPr>
              <w:jc w:val="both"/>
              <w:rPr>
                <w:rFonts w:ascii="Microsoft Sans Serif" w:hAnsi="Microsoft Sans Serif" w:cs="Microsoft Sans Serif"/>
                <w:b/>
                <w:sz w:val="20"/>
                <w:szCs w:val="20"/>
              </w:rPr>
            </w:pPr>
          </w:p>
        </w:tc>
      </w:tr>
      <w:tr w14:paraId="14F2DC9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542B1C8B">
            <w:pPr>
              <w:pStyle w:val="12"/>
              <w:shd w:val="clear" w:color="auto" w:fill="auto"/>
              <w:spacing w:line="240" w:lineRule="auto"/>
              <w:ind w:firstLine="0"/>
              <w:jc w:val="both"/>
              <w:rPr>
                <w:b/>
                <w:sz w:val="20"/>
                <w:szCs w:val="20"/>
              </w:rPr>
            </w:pPr>
            <w:r>
              <w:rPr>
                <w:rStyle w:val="25"/>
                <w:b/>
                <w:spacing w:val="0"/>
              </w:rPr>
              <w:t>Potentni</w:t>
            </w:r>
            <w:r>
              <w:rPr>
                <w:rStyle w:val="24"/>
                <w:b/>
                <w:sz w:val="20"/>
                <w:szCs w:val="20"/>
              </w:rPr>
              <w:t xml:space="preserve"> inhibitori CYP3A4/PgP</w:t>
            </w:r>
          </w:p>
        </w:tc>
      </w:tr>
      <w:tr w14:paraId="3D0A65FB">
        <w:tblPrEx>
          <w:tblCellMar>
            <w:top w:w="0" w:type="dxa"/>
            <w:left w:w="10" w:type="dxa"/>
            <w:bottom w:w="0" w:type="dxa"/>
            <w:right w:w="10" w:type="dxa"/>
          </w:tblCellMar>
        </w:tblPrEx>
        <w:trPr>
          <w:trHeight w:val="1046" w:hRule="atLeast"/>
        </w:trPr>
        <w:tc>
          <w:tcPr>
            <w:tcW w:w="2634" w:type="dxa"/>
            <w:tcBorders>
              <w:top w:val="single" w:color="auto" w:sz="4" w:space="0"/>
              <w:left w:val="single" w:color="auto" w:sz="4" w:space="0"/>
            </w:tcBorders>
            <w:shd w:val="clear" w:color="auto" w:fill="FFFFFF"/>
          </w:tcPr>
          <w:p w14:paraId="44052309">
            <w:pPr>
              <w:pStyle w:val="12"/>
              <w:shd w:val="clear" w:color="auto" w:fill="auto"/>
              <w:spacing w:line="240" w:lineRule="auto"/>
              <w:ind w:firstLine="0"/>
              <w:jc w:val="both"/>
              <w:rPr>
                <w:b/>
                <w:sz w:val="20"/>
                <w:szCs w:val="20"/>
              </w:rPr>
            </w:pPr>
            <w:r>
              <w:rPr>
                <w:rStyle w:val="24"/>
                <w:b/>
                <w:sz w:val="20"/>
                <w:szCs w:val="20"/>
              </w:rPr>
              <w:t>ketokonazol</w:t>
            </w:r>
          </w:p>
        </w:tc>
        <w:tc>
          <w:tcPr>
            <w:tcW w:w="3243" w:type="dxa"/>
            <w:tcBorders>
              <w:top w:val="single" w:color="auto" w:sz="4" w:space="0"/>
              <w:left w:val="single" w:color="auto" w:sz="4" w:space="0"/>
            </w:tcBorders>
            <w:shd w:val="clear" w:color="auto" w:fill="FFFFFF"/>
          </w:tcPr>
          <w:p w14:paraId="141DE11F">
            <w:pPr>
              <w:pStyle w:val="12"/>
              <w:shd w:val="clear" w:color="auto" w:fill="auto"/>
              <w:spacing w:line="240" w:lineRule="auto"/>
              <w:ind w:firstLine="0"/>
              <w:jc w:val="both"/>
              <w:rPr>
                <w:sz w:val="20"/>
                <w:szCs w:val="20"/>
              </w:rPr>
            </w:pPr>
            <w:r>
              <w:rPr>
                <w:sz w:val="20"/>
                <w:szCs w:val="20"/>
              </w:rPr>
              <w:t>PIK ↑</w:t>
            </w:r>
            <w:r>
              <w:rPr>
                <w:rStyle w:val="24"/>
                <w:sz w:val="20"/>
                <w:szCs w:val="20"/>
              </w:rPr>
              <w:t xml:space="preserve"> 15,3-puta (raspon 11,2-22,5) </w:t>
            </w:r>
            <w:r>
              <w:rPr>
                <w:sz w:val="20"/>
                <w:szCs w:val="20"/>
              </w:rPr>
              <w:t>C</w:t>
            </w:r>
            <w:r>
              <w:rPr>
                <w:sz w:val="20"/>
                <w:szCs w:val="20"/>
                <w:vertAlign w:val="subscript"/>
              </w:rPr>
              <w:t>max</w:t>
            </w:r>
            <w:r>
              <w:rPr>
                <w:sz w:val="20"/>
                <w:szCs w:val="20"/>
              </w:rPr>
              <w:t xml:space="preserve"> ↑</w:t>
            </w:r>
            <w:r>
              <w:rPr>
                <w:rStyle w:val="24"/>
                <w:sz w:val="20"/>
                <w:szCs w:val="20"/>
              </w:rPr>
              <w:t xml:space="preserve"> 4,1-puta (raspon 2,6-7,0)</w:t>
            </w:r>
          </w:p>
        </w:tc>
        <w:tc>
          <w:tcPr>
            <w:tcW w:w="3479" w:type="dxa"/>
            <w:vMerge w:val="restart"/>
            <w:tcBorders>
              <w:top w:val="single" w:color="auto" w:sz="4" w:space="0"/>
              <w:left w:val="single" w:color="auto" w:sz="4" w:space="0"/>
              <w:right w:val="single" w:color="auto" w:sz="4" w:space="0"/>
            </w:tcBorders>
            <w:shd w:val="clear" w:color="auto" w:fill="FFFFFF"/>
          </w:tcPr>
          <w:p w14:paraId="5952155D">
            <w:pPr>
              <w:pStyle w:val="12"/>
              <w:shd w:val="clear" w:color="auto" w:fill="auto"/>
              <w:spacing w:line="240" w:lineRule="auto"/>
              <w:ind w:firstLine="0"/>
              <w:jc w:val="left"/>
              <w:rPr>
                <w:sz w:val="20"/>
                <w:szCs w:val="20"/>
              </w:rPr>
            </w:pPr>
            <w:r>
              <w:rPr>
                <w:rStyle w:val="24"/>
                <w:sz w:val="20"/>
                <w:szCs w:val="20"/>
              </w:rPr>
              <w:t>lstovremena primjena everolimusa i potentnih inhibitora se ne preporučuje.</w:t>
            </w:r>
          </w:p>
        </w:tc>
      </w:tr>
      <w:tr w14:paraId="0B1FBC14">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52F715D0">
            <w:pPr>
              <w:pStyle w:val="12"/>
              <w:shd w:val="clear" w:color="auto" w:fill="auto"/>
              <w:spacing w:line="240" w:lineRule="auto"/>
              <w:ind w:firstLine="0"/>
              <w:jc w:val="both"/>
              <w:rPr>
                <w:b/>
                <w:sz w:val="20"/>
                <w:szCs w:val="20"/>
              </w:rPr>
            </w:pPr>
            <w:r>
              <w:rPr>
                <w:rStyle w:val="24"/>
                <w:b/>
                <w:sz w:val="20"/>
                <w:szCs w:val="20"/>
              </w:rPr>
              <w:t>Itrakonazol,</w:t>
            </w:r>
          </w:p>
          <w:p w14:paraId="6C0CBF46">
            <w:pPr>
              <w:pStyle w:val="12"/>
              <w:shd w:val="clear" w:color="auto" w:fill="auto"/>
              <w:spacing w:line="240" w:lineRule="auto"/>
              <w:ind w:firstLine="0"/>
              <w:jc w:val="both"/>
              <w:rPr>
                <w:b/>
                <w:sz w:val="20"/>
                <w:szCs w:val="20"/>
              </w:rPr>
            </w:pPr>
            <w:r>
              <w:rPr>
                <w:rStyle w:val="24"/>
                <w:b/>
                <w:sz w:val="20"/>
                <w:szCs w:val="20"/>
              </w:rPr>
              <w:t>posakonazol,</w:t>
            </w:r>
          </w:p>
          <w:p w14:paraId="4012E427">
            <w:pPr>
              <w:pStyle w:val="12"/>
              <w:shd w:val="clear" w:color="auto" w:fill="auto"/>
              <w:spacing w:line="240" w:lineRule="auto"/>
              <w:ind w:firstLine="0"/>
              <w:jc w:val="both"/>
              <w:rPr>
                <w:b/>
                <w:sz w:val="20"/>
                <w:szCs w:val="20"/>
              </w:rPr>
            </w:pPr>
            <w:r>
              <w:rPr>
                <w:rStyle w:val="24"/>
                <w:b/>
                <w:sz w:val="20"/>
                <w:szCs w:val="20"/>
              </w:rPr>
              <w:t>vorikonazol</w:t>
            </w:r>
          </w:p>
        </w:tc>
        <w:tc>
          <w:tcPr>
            <w:tcW w:w="3243" w:type="dxa"/>
            <w:vMerge w:val="restart"/>
            <w:tcBorders>
              <w:top w:val="single" w:color="auto" w:sz="4" w:space="0"/>
              <w:left w:val="single" w:color="auto" w:sz="4" w:space="0"/>
            </w:tcBorders>
            <w:shd w:val="clear" w:color="auto" w:fill="FFFFFF"/>
          </w:tcPr>
          <w:p w14:paraId="2FC79299">
            <w:pPr>
              <w:pStyle w:val="12"/>
              <w:shd w:val="clear" w:color="auto" w:fill="auto"/>
              <w:spacing w:line="240" w:lineRule="auto"/>
              <w:ind w:firstLine="0"/>
              <w:jc w:val="left"/>
              <w:rPr>
                <w:sz w:val="20"/>
                <w:szCs w:val="20"/>
              </w:rPr>
            </w:pPr>
            <w:r>
              <w:rPr>
                <w:rStyle w:val="24"/>
                <w:sz w:val="20"/>
                <w:szCs w:val="20"/>
              </w:rPr>
              <w:t>Nije ispitano. Očekuje se veliko povećanje koncentracije everolimusa.</w:t>
            </w:r>
          </w:p>
        </w:tc>
        <w:tc>
          <w:tcPr>
            <w:tcW w:w="3479" w:type="dxa"/>
            <w:vMerge w:val="continue"/>
            <w:tcBorders>
              <w:left w:val="single" w:color="auto" w:sz="4" w:space="0"/>
              <w:right w:val="single" w:color="auto" w:sz="4" w:space="0"/>
            </w:tcBorders>
            <w:shd w:val="clear" w:color="auto" w:fill="FFFFFF"/>
          </w:tcPr>
          <w:p w14:paraId="164FB6AD">
            <w:pPr>
              <w:jc w:val="both"/>
              <w:rPr>
                <w:rFonts w:ascii="Microsoft Sans Serif" w:hAnsi="Microsoft Sans Serif" w:cs="Microsoft Sans Serif"/>
                <w:sz w:val="20"/>
                <w:szCs w:val="20"/>
              </w:rPr>
            </w:pPr>
          </w:p>
        </w:tc>
      </w:tr>
      <w:tr w14:paraId="6CF244A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5B7F0BB4">
            <w:pPr>
              <w:pStyle w:val="12"/>
              <w:shd w:val="clear" w:color="auto" w:fill="auto"/>
              <w:spacing w:line="240" w:lineRule="auto"/>
              <w:ind w:firstLine="0"/>
              <w:jc w:val="both"/>
              <w:rPr>
                <w:b/>
                <w:sz w:val="20"/>
                <w:szCs w:val="20"/>
              </w:rPr>
            </w:pPr>
            <w:r>
              <w:rPr>
                <w:rStyle w:val="24"/>
                <w:b/>
                <w:sz w:val="20"/>
                <w:szCs w:val="20"/>
              </w:rPr>
              <w:t>Telitromicin,</w:t>
            </w:r>
          </w:p>
          <w:p w14:paraId="33F0DA53">
            <w:pPr>
              <w:pStyle w:val="12"/>
              <w:shd w:val="clear" w:color="auto" w:fill="auto"/>
              <w:spacing w:line="240" w:lineRule="auto"/>
              <w:ind w:firstLine="0"/>
              <w:jc w:val="both"/>
              <w:rPr>
                <w:b/>
                <w:sz w:val="20"/>
                <w:szCs w:val="20"/>
              </w:rPr>
            </w:pPr>
            <w:r>
              <w:rPr>
                <w:rStyle w:val="24"/>
                <w:b/>
                <w:sz w:val="20"/>
                <w:szCs w:val="20"/>
              </w:rPr>
              <w:t>klaritromicin</w:t>
            </w:r>
          </w:p>
        </w:tc>
        <w:tc>
          <w:tcPr>
            <w:tcW w:w="3243" w:type="dxa"/>
            <w:vMerge w:val="continue"/>
            <w:tcBorders>
              <w:left w:val="single" w:color="auto" w:sz="4" w:space="0"/>
            </w:tcBorders>
            <w:shd w:val="clear" w:color="auto" w:fill="FFFFFF"/>
          </w:tcPr>
          <w:p w14:paraId="39F4652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FD8D863">
            <w:pPr>
              <w:jc w:val="both"/>
              <w:rPr>
                <w:rFonts w:ascii="Microsoft Sans Serif" w:hAnsi="Microsoft Sans Serif" w:cs="Microsoft Sans Serif"/>
                <w:sz w:val="20"/>
                <w:szCs w:val="20"/>
              </w:rPr>
            </w:pPr>
          </w:p>
        </w:tc>
      </w:tr>
      <w:tr w14:paraId="16F4FED6">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254089B8">
            <w:pPr>
              <w:pStyle w:val="12"/>
              <w:shd w:val="clear" w:color="auto" w:fill="auto"/>
              <w:spacing w:line="240" w:lineRule="auto"/>
              <w:ind w:firstLine="0"/>
              <w:jc w:val="both"/>
              <w:rPr>
                <w:b/>
                <w:sz w:val="20"/>
                <w:szCs w:val="20"/>
              </w:rPr>
            </w:pPr>
            <w:r>
              <w:rPr>
                <w:rStyle w:val="24"/>
                <w:b/>
                <w:sz w:val="20"/>
                <w:szCs w:val="20"/>
              </w:rPr>
              <w:t>Nefazodon</w:t>
            </w:r>
          </w:p>
        </w:tc>
        <w:tc>
          <w:tcPr>
            <w:tcW w:w="3243" w:type="dxa"/>
            <w:vMerge w:val="continue"/>
            <w:tcBorders>
              <w:left w:val="single" w:color="auto" w:sz="4" w:space="0"/>
            </w:tcBorders>
            <w:shd w:val="clear" w:color="auto" w:fill="FFFFFF"/>
          </w:tcPr>
          <w:p w14:paraId="37F02399">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2927090">
            <w:pPr>
              <w:jc w:val="both"/>
              <w:rPr>
                <w:rFonts w:ascii="Microsoft Sans Serif" w:hAnsi="Microsoft Sans Serif" w:cs="Microsoft Sans Serif"/>
                <w:sz w:val="20"/>
                <w:szCs w:val="20"/>
              </w:rPr>
            </w:pPr>
          </w:p>
        </w:tc>
      </w:tr>
      <w:tr w14:paraId="2B53F54D">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4FE105E6">
            <w:pPr>
              <w:pStyle w:val="12"/>
              <w:shd w:val="clear" w:color="auto" w:fill="auto"/>
              <w:spacing w:line="240" w:lineRule="auto"/>
              <w:ind w:firstLine="0"/>
              <w:jc w:val="left"/>
              <w:rPr>
                <w:b/>
                <w:sz w:val="20"/>
                <w:szCs w:val="20"/>
              </w:rPr>
            </w:pPr>
            <w:r>
              <w:rPr>
                <w:rStyle w:val="24"/>
                <w:b/>
                <w:sz w:val="20"/>
                <w:szCs w:val="20"/>
              </w:rPr>
              <w:t>Ritonavir, atazanavir, sakvinavir, darunavir, indinavir, nelfinavir</w:t>
            </w:r>
          </w:p>
        </w:tc>
        <w:tc>
          <w:tcPr>
            <w:tcW w:w="3243" w:type="dxa"/>
            <w:vMerge w:val="continue"/>
            <w:tcBorders>
              <w:left w:val="single" w:color="auto" w:sz="4" w:space="0"/>
            </w:tcBorders>
            <w:shd w:val="clear" w:color="auto" w:fill="FFFFFF"/>
          </w:tcPr>
          <w:p w14:paraId="06AC1E3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40F559C">
            <w:pPr>
              <w:jc w:val="both"/>
              <w:rPr>
                <w:rFonts w:ascii="Microsoft Sans Serif" w:hAnsi="Microsoft Sans Serif" w:cs="Microsoft Sans Serif"/>
                <w:sz w:val="20"/>
                <w:szCs w:val="20"/>
              </w:rPr>
            </w:pPr>
          </w:p>
        </w:tc>
      </w:tr>
      <w:tr w14:paraId="58A3E97D">
        <w:tblPrEx>
          <w:tblCellMar>
            <w:top w:w="0" w:type="dxa"/>
            <w:left w:w="10" w:type="dxa"/>
            <w:bottom w:w="0" w:type="dxa"/>
            <w:right w:w="10" w:type="dxa"/>
          </w:tblCellMar>
        </w:tblPrEx>
        <w:trPr>
          <w:trHeight w:val="168" w:hRule="atLeast"/>
        </w:trPr>
        <w:tc>
          <w:tcPr>
            <w:tcW w:w="9356" w:type="dxa"/>
            <w:gridSpan w:val="3"/>
            <w:tcBorders>
              <w:top w:val="single" w:color="auto" w:sz="4" w:space="0"/>
              <w:left w:val="single" w:color="auto" w:sz="4" w:space="0"/>
              <w:right w:val="single" w:color="auto" w:sz="4" w:space="0"/>
            </w:tcBorders>
            <w:shd w:val="clear" w:color="auto" w:fill="FFFFFF"/>
          </w:tcPr>
          <w:p w14:paraId="4EF64438">
            <w:pPr>
              <w:jc w:val="both"/>
              <w:rPr>
                <w:rFonts w:ascii="Microsoft Sans Serif" w:hAnsi="Microsoft Sans Serif" w:cs="Microsoft Sans Serif"/>
                <w:sz w:val="20"/>
                <w:szCs w:val="20"/>
              </w:rPr>
            </w:pPr>
          </w:p>
        </w:tc>
      </w:tr>
      <w:tr w14:paraId="1C836B7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234155C0">
            <w:pPr>
              <w:pStyle w:val="12"/>
              <w:shd w:val="clear" w:color="auto" w:fill="auto"/>
              <w:spacing w:line="240" w:lineRule="auto"/>
              <w:ind w:firstLine="0"/>
              <w:jc w:val="both"/>
              <w:rPr>
                <w:b/>
                <w:sz w:val="20"/>
                <w:szCs w:val="20"/>
              </w:rPr>
            </w:pPr>
            <w:r>
              <w:rPr>
                <w:rStyle w:val="25"/>
                <w:b/>
                <w:spacing w:val="0"/>
              </w:rPr>
              <w:t>Umjereni</w:t>
            </w:r>
            <w:r>
              <w:rPr>
                <w:rStyle w:val="24"/>
                <w:b/>
                <w:i/>
                <w:sz w:val="20"/>
                <w:szCs w:val="20"/>
              </w:rPr>
              <w:t xml:space="preserve"> </w:t>
            </w:r>
            <w:r>
              <w:rPr>
                <w:rStyle w:val="24"/>
                <w:b/>
                <w:sz w:val="20"/>
                <w:szCs w:val="20"/>
              </w:rPr>
              <w:t>inhibitori CYP3A4/PgP</w:t>
            </w:r>
          </w:p>
        </w:tc>
      </w:tr>
      <w:tr w14:paraId="1744ADD9">
        <w:tblPrEx>
          <w:tblCellMar>
            <w:top w:w="0" w:type="dxa"/>
            <w:left w:w="10" w:type="dxa"/>
            <w:bottom w:w="0" w:type="dxa"/>
            <w:right w:w="10" w:type="dxa"/>
          </w:tblCellMar>
        </w:tblPrEx>
        <w:trPr>
          <w:trHeight w:val="912" w:hRule="atLeast"/>
        </w:trPr>
        <w:tc>
          <w:tcPr>
            <w:tcW w:w="2634" w:type="dxa"/>
            <w:tcBorders>
              <w:top w:val="single" w:color="auto" w:sz="4" w:space="0"/>
              <w:left w:val="single" w:color="auto" w:sz="4" w:space="0"/>
            </w:tcBorders>
            <w:shd w:val="clear" w:color="auto" w:fill="FFFFFF"/>
          </w:tcPr>
          <w:p w14:paraId="78BE56FE">
            <w:pPr>
              <w:pStyle w:val="12"/>
              <w:shd w:val="clear" w:color="auto" w:fill="auto"/>
              <w:spacing w:line="240" w:lineRule="auto"/>
              <w:ind w:firstLine="0"/>
              <w:jc w:val="both"/>
              <w:rPr>
                <w:b/>
                <w:sz w:val="20"/>
                <w:szCs w:val="20"/>
              </w:rPr>
            </w:pPr>
            <w:r>
              <w:rPr>
                <w:rStyle w:val="24"/>
                <w:b/>
                <w:sz w:val="20"/>
                <w:szCs w:val="20"/>
              </w:rPr>
              <w:t>Eritromicin</w:t>
            </w:r>
          </w:p>
        </w:tc>
        <w:tc>
          <w:tcPr>
            <w:tcW w:w="3243" w:type="dxa"/>
            <w:tcBorders>
              <w:top w:val="single" w:color="auto" w:sz="4" w:space="0"/>
              <w:left w:val="single" w:color="auto" w:sz="4" w:space="0"/>
            </w:tcBorders>
            <w:shd w:val="clear" w:color="auto" w:fill="FFFFFF"/>
          </w:tcPr>
          <w:p w14:paraId="0F995D73">
            <w:pPr>
              <w:pStyle w:val="12"/>
              <w:shd w:val="clear" w:color="auto" w:fill="auto"/>
              <w:spacing w:line="240" w:lineRule="auto"/>
              <w:ind w:firstLine="0"/>
              <w:jc w:val="both"/>
              <w:rPr>
                <w:sz w:val="20"/>
                <w:szCs w:val="20"/>
              </w:rPr>
            </w:pPr>
            <w:r>
              <w:rPr>
                <w:sz w:val="20"/>
                <w:szCs w:val="20"/>
              </w:rPr>
              <w:t xml:space="preserve">PIK ↑ </w:t>
            </w:r>
            <w:r>
              <w:rPr>
                <w:rStyle w:val="24"/>
                <w:sz w:val="20"/>
                <w:szCs w:val="20"/>
              </w:rPr>
              <w:t>4,4-puta (raspon 2,0-12,6)</w:t>
            </w:r>
          </w:p>
          <w:p w14:paraId="40CB9B12">
            <w:pPr>
              <w:pStyle w:val="12"/>
              <w:shd w:val="clear" w:color="auto" w:fill="auto"/>
              <w:spacing w:line="240" w:lineRule="auto"/>
              <w:ind w:firstLine="0"/>
              <w:jc w:val="both"/>
              <w:rPr>
                <w:sz w:val="20"/>
                <w:szCs w:val="20"/>
              </w:rPr>
            </w:pPr>
            <w:r>
              <w:rPr>
                <w:sz w:val="20"/>
                <w:szCs w:val="20"/>
              </w:rPr>
              <w:t>C</w:t>
            </w:r>
            <w:r>
              <w:rPr>
                <w:sz w:val="20"/>
                <w:szCs w:val="20"/>
                <w:vertAlign w:val="subscript"/>
              </w:rPr>
              <w:t>max</w:t>
            </w:r>
            <w:r>
              <w:rPr>
                <w:sz w:val="20"/>
                <w:szCs w:val="20"/>
              </w:rPr>
              <w:t xml:space="preserve"> ↑ </w:t>
            </w:r>
            <w:r>
              <w:rPr>
                <w:rStyle w:val="24"/>
                <w:sz w:val="20"/>
                <w:szCs w:val="20"/>
              </w:rPr>
              <w:t>2,0-puta (raspon 0,9-3,5)</w:t>
            </w:r>
          </w:p>
        </w:tc>
        <w:tc>
          <w:tcPr>
            <w:tcW w:w="3479" w:type="dxa"/>
            <w:vMerge w:val="restart"/>
            <w:tcBorders>
              <w:top w:val="single" w:color="auto" w:sz="4" w:space="0"/>
              <w:left w:val="single" w:color="auto" w:sz="4" w:space="0"/>
              <w:right w:val="single" w:color="auto" w:sz="4" w:space="0"/>
            </w:tcBorders>
            <w:shd w:val="clear" w:color="auto" w:fill="FFFFFF"/>
          </w:tcPr>
          <w:p w14:paraId="5E08EBA3">
            <w:pPr>
              <w:pStyle w:val="12"/>
              <w:shd w:val="clear" w:color="auto" w:fill="auto"/>
              <w:spacing w:line="240" w:lineRule="auto"/>
              <w:ind w:firstLine="0"/>
              <w:jc w:val="left"/>
              <w:rPr>
                <w:sz w:val="20"/>
                <w:szCs w:val="20"/>
              </w:rPr>
            </w:pPr>
            <w:r>
              <w:rPr>
                <w:rStyle w:val="24"/>
                <w:sz w:val="20"/>
                <w:szCs w:val="20"/>
              </w:rPr>
              <w:t>Potreban je oprez ako se ne može izbjeći istovremena primjena sa umjerenim inhibitorima CYP3A4 ili PgP. Ako je kod pacijenata potrebno istovremeno primijeniti umjereni inhibitor CYP3A4 ili PgP, može se razmotriti sniženje doze na 5 mg dnevno ili 2,5 mg dnevno. Međutim, ne postoje klinički podaci za to prilagođavanje doze. Zbog varijabilnosti između ispitanika preporučene prilagođene doze možda nisu optimalne kod svih pojedinaca, stoga se preporučuje pažljivo praćenje neželjenih dejstva (pogledati dijelove 4.2 i 4.4). Ako se prekine primjena umjerenog inhibitora, potrebno je uzeti u obzir period čišćenja organizma od najmanje 2 do 3 dana (prosječno vrijeme eliminacije za najčešće korištene umjerene inhibitore) prije povratka doze everolimusa na dozu primjenjivanu prije početka istovremene primjene.</w:t>
            </w:r>
          </w:p>
        </w:tc>
      </w:tr>
      <w:tr w14:paraId="26EB263D">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40CE2B4F">
            <w:pPr>
              <w:pStyle w:val="12"/>
              <w:shd w:val="clear" w:color="auto" w:fill="auto"/>
              <w:spacing w:line="240" w:lineRule="auto"/>
              <w:ind w:firstLine="0"/>
              <w:jc w:val="both"/>
              <w:rPr>
                <w:b/>
                <w:sz w:val="20"/>
                <w:szCs w:val="20"/>
              </w:rPr>
            </w:pPr>
            <w:r>
              <w:rPr>
                <w:rStyle w:val="24"/>
                <w:b/>
                <w:sz w:val="20"/>
                <w:szCs w:val="20"/>
              </w:rPr>
              <w:t>Imatinib</w:t>
            </w:r>
          </w:p>
        </w:tc>
        <w:tc>
          <w:tcPr>
            <w:tcW w:w="3243" w:type="dxa"/>
            <w:tcBorders>
              <w:top w:val="single" w:color="auto" w:sz="4" w:space="0"/>
              <w:left w:val="single" w:color="auto" w:sz="4" w:space="0"/>
            </w:tcBorders>
            <w:shd w:val="clear" w:color="auto" w:fill="FFFFFF"/>
          </w:tcPr>
          <w:p w14:paraId="4060487F">
            <w:pPr>
              <w:pStyle w:val="12"/>
              <w:shd w:val="clear" w:color="auto" w:fill="auto"/>
              <w:spacing w:line="240" w:lineRule="auto"/>
              <w:ind w:firstLine="0"/>
              <w:jc w:val="both"/>
              <w:rPr>
                <w:rStyle w:val="24"/>
                <w:sz w:val="20"/>
                <w:szCs w:val="20"/>
              </w:rPr>
            </w:pPr>
            <w:r>
              <w:rPr>
                <w:sz w:val="20"/>
                <w:szCs w:val="20"/>
              </w:rPr>
              <w:t xml:space="preserve">PIK ↑ </w:t>
            </w:r>
            <w:r>
              <w:rPr>
                <w:rStyle w:val="24"/>
                <w:sz w:val="20"/>
                <w:szCs w:val="20"/>
              </w:rPr>
              <w:t xml:space="preserve">3,7-puta </w:t>
            </w:r>
          </w:p>
          <w:p w14:paraId="48C9FEF6">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 xml:space="preserve"> 2,2-puta</w:t>
            </w:r>
          </w:p>
        </w:tc>
        <w:tc>
          <w:tcPr>
            <w:tcW w:w="3479" w:type="dxa"/>
            <w:vMerge w:val="continue"/>
            <w:tcBorders>
              <w:left w:val="single" w:color="auto" w:sz="4" w:space="0"/>
              <w:right w:val="single" w:color="auto" w:sz="4" w:space="0"/>
            </w:tcBorders>
            <w:shd w:val="clear" w:color="auto" w:fill="FFFFFF"/>
          </w:tcPr>
          <w:p w14:paraId="08470082">
            <w:pPr>
              <w:jc w:val="both"/>
              <w:rPr>
                <w:rFonts w:ascii="Microsoft Sans Serif" w:hAnsi="Microsoft Sans Serif" w:cs="Microsoft Sans Serif"/>
                <w:sz w:val="20"/>
                <w:szCs w:val="20"/>
              </w:rPr>
            </w:pPr>
          </w:p>
        </w:tc>
      </w:tr>
      <w:tr w14:paraId="2AB939DD">
        <w:tblPrEx>
          <w:tblCellMar>
            <w:top w:w="0" w:type="dxa"/>
            <w:left w:w="10" w:type="dxa"/>
            <w:bottom w:w="0" w:type="dxa"/>
            <w:right w:w="10" w:type="dxa"/>
          </w:tblCellMar>
        </w:tblPrEx>
        <w:trPr>
          <w:trHeight w:val="893" w:hRule="atLeast"/>
        </w:trPr>
        <w:tc>
          <w:tcPr>
            <w:tcW w:w="2634" w:type="dxa"/>
            <w:tcBorders>
              <w:top w:val="single" w:color="auto" w:sz="4" w:space="0"/>
              <w:left w:val="single" w:color="auto" w:sz="4" w:space="0"/>
            </w:tcBorders>
            <w:shd w:val="clear" w:color="auto" w:fill="FFFFFF"/>
          </w:tcPr>
          <w:p w14:paraId="2626AFAE">
            <w:pPr>
              <w:pStyle w:val="12"/>
              <w:shd w:val="clear" w:color="auto" w:fill="auto"/>
              <w:spacing w:line="240" w:lineRule="auto"/>
              <w:ind w:firstLine="0"/>
              <w:jc w:val="both"/>
              <w:rPr>
                <w:b/>
                <w:sz w:val="20"/>
                <w:szCs w:val="20"/>
              </w:rPr>
            </w:pPr>
            <w:r>
              <w:rPr>
                <w:rStyle w:val="24"/>
                <w:b/>
                <w:sz w:val="20"/>
                <w:szCs w:val="20"/>
              </w:rPr>
              <w:t>Verapamil</w:t>
            </w:r>
          </w:p>
        </w:tc>
        <w:tc>
          <w:tcPr>
            <w:tcW w:w="3243" w:type="dxa"/>
            <w:tcBorders>
              <w:top w:val="single" w:color="auto" w:sz="4" w:space="0"/>
              <w:left w:val="single" w:color="auto" w:sz="4" w:space="0"/>
            </w:tcBorders>
            <w:shd w:val="clear" w:color="auto" w:fill="FFFFFF"/>
          </w:tcPr>
          <w:p w14:paraId="4EEE5E34">
            <w:pPr>
              <w:pStyle w:val="12"/>
              <w:shd w:val="clear" w:color="auto" w:fill="auto"/>
              <w:spacing w:line="240" w:lineRule="auto"/>
              <w:ind w:firstLine="0"/>
              <w:jc w:val="both"/>
              <w:rPr>
                <w:sz w:val="20"/>
                <w:szCs w:val="20"/>
              </w:rPr>
            </w:pPr>
            <w:r>
              <w:rPr>
                <w:sz w:val="20"/>
                <w:szCs w:val="20"/>
              </w:rPr>
              <w:t xml:space="preserve">PIK ↑ </w:t>
            </w:r>
            <w:r>
              <w:rPr>
                <w:rStyle w:val="24"/>
                <w:sz w:val="20"/>
                <w:szCs w:val="20"/>
              </w:rPr>
              <w:t>3,5-puta (raspon 2,2-6,3)</w:t>
            </w:r>
          </w:p>
          <w:p w14:paraId="1896D938">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w:t>
            </w:r>
            <w:r>
              <w:rPr>
                <w:rStyle w:val="24"/>
                <w:sz w:val="20"/>
                <w:szCs w:val="20"/>
              </w:rPr>
              <w:t>2,3-puta (raspon1,3-3,8)</w:t>
            </w:r>
          </w:p>
        </w:tc>
        <w:tc>
          <w:tcPr>
            <w:tcW w:w="3479" w:type="dxa"/>
            <w:vMerge w:val="continue"/>
            <w:tcBorders>
              <w:left w:val="single" w:color="auto" w:sz="4" w:space="0"/>
              <w:right w:val="single" w:color="auto" w:sz="4" w:space="0"/>
            </w:tcBorders>
            <w:shd w:val="clear" w:color="auto" w:fill="FFFFFF"/>
          </w:tcPr>
          <w:p w14:paraId="6E18065E">
            <w:pPr>
              <w:jc w:val="both"/>
              <w:rPr>
                <w:rFonts w:ascii="Microsoft Sans Serif" w:hAnsi="Microsoft Sans Serif" w:cs="Microsoft Sans Serif"/>
                <w:sz w:val="20"/>
                <w:szCs w:val="20"/>
              </w:rPr>
            </w:pPr>
          </w:p>
        </w:tc>
      </w:tr>
      <w:tr w14:paraId="36F294CB">
        <w:tblPrEx>
          <w:tblCellMar>
            <w:top w:w="0" w:type="dxa"/>
            <w:left w:w="10" w:type="dxa"/>
            <w:bottom w:w="0" w:type="dxa"/>
            <w:right w:w="10" w:type="dxa"/>
          </w:tblCellMar>
        </w:tblPrEx>
        <w:trPr>
          <w:trHeight w:val="1003" w:hRule="atLeast"/>
        </w:trPr>
        <w:tc>
          <w:tcPr>
            <w:tcW w:w="2634" w:type="dxa"/>
            <w:tcBorders>
              <w:top w:val="single" w:color="auto" w:sz="4" w:space="0"/>
              <w:left w:val="single" w:color="auto" w:sz="4" w:space="0"/>
            </w:tcBorders>
            <w:shd w:val="clear" w:color="auto" w:fill="FFFFFF"/>
          </w:tcPr>
          <w:p w14:paraId="1EED948D">
            <w:pPr>
              <w:pStyle w:val="12"/>
              <w:shd w:val="clear" w:color="auto" w:fill="auto"/>
              <w:spacing w:line="240" w:lineRule="auto"/>
              <w:ind w:firstLine="0"/>
              <w:jc w:val="both"/>
              <w:rPr>
                <w:b/>
                <w:sz w:val="20"/>
                <w:szCs w:val="20"/>
              </w:rPr>
            </w:pPr>
            <w:r>
              <w:rPr>
                <w:rStyle w:val="24"/>
                <w:b/>
                <w:sz w:val="20"/>
                <w:szCs w:val="20"/>
              </w:rPr>
              <w:t>Oralni ciklosporin</w:t>
            </w:r>
          </w:p>
        </w:tc>
        <w:tc>
          <w:tcPr>
            <w:tcW w:w="3243" w:type="dxa"/>
            <w:tcBorders>
              <w:top w:val="single" w:color="auto" w:sz="4" w:space="0"/>
              <w:left w:val="single" w:color="auto" w:sz="4" w:space="0"/>
            </w:tcBorders>
            <w:shd w:val="clear" w:color="auto" w:fill="FFFFFF"/>
          </w:tcPr>
          <w:p w14:paraId="1B68A0B8">
            <w:pPr>
              <w:pStyle w:val="12"/>
              <w:shd w:val="clear" w:color="auto" w:fill="auto"/>
              <w:spacing w:line="240" w:lineRule="auto"/>
              <w:ind w:firstLine="0"/>
              <w:jc w:val="both"/>
              <w:rPr>
                <w:rStyle w:val="24"/>
                <w:sz w:val="20"/>
                <w:szCs w:val="20"/>
              </w:rPr>
            </w:pPr>
            <w:r>
              <w:rPr>
                <w:sz w:val="20"/>
                <w:szCs w:val="20"/>
              </w:rPr>
              <w:t xml:space="preserve">PIK↑ </w:t>
            </w:r>
            <w:r>
              <w:rPr>
                <w:rStyle w:val="24"/>
                <w:sz w:val="20"/>
                <w:szCs w:val="20"/>
              </w:rPr>
              <w:t xml:space="preserve">2,7-puta (raspon 1,5-4,7) </w:t>
            </w:r>
          </w:p>
          <w:p w14:paraId="17EA6EDD">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 xml:space="preserve">↑ </w:t>
            </w:r>
            <w:r>
              <w:rPr>
                <w:rStyle w:val="24"/>
                <w:sz w:val="20"/>
                <w:szCs w:val="20"/>
              </w:rPr>
              <w:t>1.8-puta (raspon 1,3-2,6)</w:t>
            </w:r>
          </w:p>
        </w:tc>
        <w:tc>
          <w:tcPr>
            <w:tcW w:w="3479" w:type="dxa"/>
            <w:vMerge w:val="continue"/>
            <w:tcBorders>
              <w:left w:val="single" w:color="auto" w:sz="4" w:space="0"/>
              <w:right w:val="single" w:color="auto" w:sz="4" w:space="0"/>
            </w:tcBorders>
            <w:shd w:val="clear" w:color="auto" w:fill="FFFFFF"/>
          </w:tcPr>
          <w:p w14:paraId="17ABDAB8">
            <w:pPr>
              <w:jc w:val="both"/>
              <w:rPr>
                <w:rFonts w:ascii="Microsoft Sans Serif" w:hAnsi="Microsoft Sans Serif" w:cs="Microsoft Sans Serif"/>
                <w:sz w:val="20"/>
                <w:szCs w:val="20"/>
              </w:rPr>
            </w:pPr>
          </w:p>
        </w:tc>
      </w:tr>
      <w:tr w14:paraId="72C46817">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77335CE6">
            <w:pPr>
              <w:pStyle w:val="12"/>
              <w:shd w:val="clear" w:color="auto" w:fill="auto"/>
              <w:spacing w:line="240" w:lineRule="auto"/>
              <w:ind w:firstLine="0"/>
              <w:jc w:val="both"/>
              <w:rPr>
                <w:b/>
                <w:sz w:val="20"/>
                <w:szCs w:val="20"/>
              </w:rPr>
            </w:pPr>
            <w:r>
              <w:rPr>
                <w:b/>
                <w:sz w:val="20"/>
                <w:szCs w:val="20"/>
              </w:rPr>
              <w:t xml:space="preserve">Kanabidiol </w:t>
            </w:r>
          </w:p>
          <w:p w14:paraId="2966F02F">
            <w:pPr>
              <w:pStyle w:val="12"/>
              <w:shd w:val="clear" w:color="auto" w:fill="auto"/>
              <w:spacing w:line="240" w:lineRule="auto"/>
              <w:ind w:firstLine="0"/>
              <w:jc w:val="both"/>
              <w:rPr>
                <w:rStyle w:val="24"/>
                <w:b/>
                <w:sz w:val="20"/>
                <w:szCs w:val="20"/>
              </w:rPr>
            </w:pPr>
            <w:r>
              <w:rPr>
                <w:b/>
                <w:sz w:val="20"/>
                <w:szCs w:val="20"/>
              </w:rPr>
              <w:t>(inhibitor P</w:t>
            </w:r>
            <w:r>
              <w:rPr>
                <w:b/>
                <w:sz w:val="20"/>
                <w:szCs w:val="20"/>
                <w:lang w:val="mk-MK"/>
              </w:rPr>
              <w:t>-</w:t>
            </w:r>
            <w:r>
              <w:rPr>
                <w:b/>
                <w:sz w:val="20"/>
                <w:szCs w:val="20"/>
              </w:rPr>
              <w:t>glikoproteina)</w:t>
            </w:r>
          </w:p>
        </w:tc>
        <w:tc>
          <w:tcPr>
            <w:tcW w:w="3243" w:type="dxa"/>
            <w:tcBorders>
              <w:top w:val="single" w:color="auto" w:sz="4" w:space="0"/>
              <w:left w:val="single" w:color="auto" w:sz="4" w:space="0"/>
            </w:tcBorders>
            <w:shd w:val="clear" w:color="auto" w:fill="FFFFFF"/>
          </w:tcPr>
          <w:p w14:paraId="6D00242D">
            <w:pPr>
              <w:pStyle w:val="12"/>
              <w:shd w:val="clear" w:color="auto" w:fill="auto"/>
              <w:spacing w:line="240" w:lineRule="auto"/>
              <w:ind w:firstLine="0"/>
              <w:jc w:val="left"/>
              <w:rPr>
                <w:sz w:val="20"/>
                <w:szCs w:val="20"/>
              </w:rPr>
            </w:pPr>
            <w:r>
              <w:rPr>
                <w:sz w:val="20"/>
                <w:szCs w:val="20"/>
              </w:rPr>
              <w:t xml:space="preserve">PIK ↑ 2,5 puta </w:t>
            </w:r>
          </w:p>
          <w:p w14:paraId="6D190A59">
            <w:pPr>
              <w:pStyle w:val="12"/>
              <w:shd w:val="clear" w:color="auto" w:fill="auto"/>
              <w:spacing w:line="240" w:lineRule="auto"/>
              <w:ind w:firstLine="0"/>
              <w:jc w:val="left"/>
              <w:rPr>
                <w:rStyle w:val="24"/>
                <w:sz w:val="20"/>
                <w:szCs w:val="20"/>
              </w:rPr>
            </w:pPr>
            <w:r>
              <w:rPr>
                <w:sz w:val="20"/>
                <w:szCs w:val="20"/>
              </w:rPr>
              <w:t>C</w:t>
            </w:r>
            <w:r>
              <w:rPr>
                <w:sz w:val="20"/>
                <w:szCs w:val="20"/>
                <w:vertAlign w:val="subscript"/>
              </w:rPr>
              <w:t>max</w:t>
            </w:r>
            <w:r>
              <w:rPr>
                <w:sz w:val="20"/>
                <w:szCs w:val="20"/>
              </w:rPr>
              <w:t xml:space="preserve"> ↑ 2,5 puta</w:t>
            </w:r>
          </w:p>
        </w:tc>
        <w:tc>
          <w:tcPr>
            <w:tcW w:w="3479" w:type="dxa"/>
            <w:vMerge w:val="continue"/>
            <w:tcBorders>
              <w:left w:val="single" w:color="auto" w:sz="4" w:space="0"/>
              <w:right w:val="single" w:color="auto" w:sz="4" w:space="0"/>
            </w:tcBorders>
            <w:shd w:val="clear" w:color="auto" w:fill="FFFFFF"/>
          </w:tcPr>
          <w:p w14:paraId="74AED8E9">
            <w:pPr>
              <w:jc w:val="both"/>
              <w:rPr>
                <w:rFonts w:ascii="Microsoft Sans Serif" w:hAnsi="Microsoft Sans Serif" w:cs="Microsoft Sans Serif"/>
                <w:sz w:val="20"/>
                <w:szCs w:val="20"/>
              </w:rPr>
            </w:pPr>
          </w:p>
        </w:tc>
      </w:tr>
      <w:tr w14:paraId="44B137DD">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13430252">
            <w:pPr>
              <w:pStyle w:val="12"/>
              <w:shd w:val="clear" w:color="auto" w:fill="auto"/>
              <w:spacing w:line="240" w:lineRule="auto"/>
              <w:ind w:firstLine="0"/>
              <w:jc w:val="both"/>
              <w:rPr>
                <w:b/>
                <w:sz w:val="20"/>
                <w:szCs w:val="20"/>
              </w:rPr>
            </w:pPr>
            <w:r>
              <w:rPr>
                <w:rStyle w:val="24"/>
                <w:b/>
                <w:sz w:val="20"/>
                <w:szCs w:val="20"/>
              </w:rPr>
              <w:t>Flukonazol</w:t>
            </w:r>
          </w:p>
        </w:tc>
        <w:tc>
          <w:tcPr>
            <w:tcW w:w="3243" w:type="dxa"/>
            <w:vMerge w:val="restart"/>
            <w:tcBorders>
              <w:top w:val="single" w:color="auto" w:sz="4" w:space="0"/>
              <w:left w:val="single" w:color="auto" w:sz="4" w:space="0"/>
            </w:tcBorders>
            <w:shd w:val="clear" w:color="auto" w:fill="FFFFFF"/>
          </w:tcPr>
          <w:p w14:paraId="0CBCBDB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3FC6B241">
            <w:pPr>
              <w:jc w:val="both"/>
              <w:rPr>
                <w:rFonts w:ascii="Microsoft Sans Serif" w:hAnsi="Microsoft Sans Serif" w:cs="Microsoft Sans Serif"/>
                <w:sz w:val="20"/>
                <w:szCs w:val="20"/>
              </w:rPr>
            </w:pPr>
          </w:p>
        </w:tc>
      </w:tr>
      <w:tr w14:paraId="7E74BB2A">
        <w:tblPrEx>
          <w:tblCellMar>
            <w:top w:w="0" w:type="dxa"/>
            <w:left w:w="10" w:type="dxa"/>
            <w:bottom w:w="0" w:type="dxa"/>
            <w:right w:w="10" w:type="dxa"/>
          </w:tblCellMar>
        </w:tblPrEx>
        <w:trPr>
          <w:trHeight w:val="250" w:hRule="atLeast"/>
        </w:trPr>
        <w:tc>
          <w:tcPr>
            <w:tcW w:w="2634" w:type="dxa"/>
            <w:tcBorders>
              <w:top w:val="single" w:color="auto" w:sz="4" w:space="0"/>
              <w:left w:val="single" w:color="auto" w:sz="4" w:space="0"/>
            </w:tcBorders>
            <w:shd w:val="clear" w:color="auto" w:fill="FFFFFF"/>
          </w:tcPr>
          <w:p w14:paraId="5DB8E15D">
            <w:pPr>
              <w:pStyle w:val="12"/>
              <w:shd w:val="clear" w:color="auto" w:fill="auto"/>
              <w:spacing w:line="240" w:lineRule="auto"/>
              <w:ind w:firstLine="0"/>
              <w:jc w:val="both"/>
              <w:rPr>
                <w:b/>
                <w:sz w:val="20"/>
                <w:szCs w:val="20"/>
              </w:rPr>
            </w:pPr>
            <w:r>
              <w:rPr>
                <w:rStyle w:val="24"/>
                <w:b/>
                <w:sz w:val="20"/>
                <w:szCs w:val="20"/>
              </w:rPr>
              <w:t>Diltiazem</w:t>
            </w:r>
          </w:p>
        </w:tc>
        <w:tc>
          <w:tcPr>
            <w:tcW w:w="3243" w:type="dxa"/>
            <w:vMerge w:val="continue"/>
            <w:tcBorders>
              <w:left w:val="single" w:color="auto" w:sz="4" w:space="0"/>
            </w:tcBorders>
            <w:shd w:val="clear" w:color="auto" w:fill="FFFFFF"/>
          </w:tcPr>
          <w:p w14:paraId="18AAA2F3">
            <w:pPr>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53A08E9">
            <w:pPr>
              <w:jc w:val="both"/>
              <w:rPr>
                <w:rFonts w:ascii="Microsoft Sans Serif" w:hAnsi="Microsoft Sans Serif" w:cs="Microsoft Sans Serif"/>
                <w:sz w:val="20"/>
                <w:szCs w:val="20"/>
              </w:rPr>
            </w:pPr>
          </w:p>
        </w:tc>
      </w:tr>
      <w:tr w14:paraId="2C2CBC0A">
        <w:tblPrEx>
          <w:tblCellMar>
            <w:top w:w="0" w:type="dxa"/>
            <w:left w:w="10" w:type="dxa"/>
            <w:bottom w:w="0" w:type="dxa"/>
            <w:right w:w="10" w:type="dxa"/>
          </w:tblCellMar>
        </w:tblPrEx>
        <w:trPr>
          <w:trHeight w:val="470" w:hRule="atLeast"/>
        </w:trPr>
        <w:tc>
          <w:tcPr>
            <w:tcW w:w="2634" w:type="dxa"/>
            <w:tcBorders>
              <w:top w:val="single" w:color="auto" w:sz="4" w:space="0"/>
              <w:left w:val="single" w:color="auto" w:sz="4" w:space="0"/>
            </w:tcBorders>
            <w:shd w:val="clear" w:color="auto" w:fill="FFFFFF"/>
          </w:tcPr>
          <w:p w14:paraId="5F3D495F">
            <w:pPr>
              <w:pStyle w:val="12"/>
              <w:shd w:val="clear" w:color="auto" w:fill="auto"/>
              <w:spacing w:line="240" w:lineRule="auto"/>
              <w:ind w:firstLine="0"/>
              <w:jc w:val="both"/>
              <w:rPr>
                <w:b/>
                <w:sz w:val="20"/>
                <w:szCs w:val="20"/>
              </w:rPr>
            </w:pPr>
            <w:r>
              <w:rPr>
                <w:rStyle w:val="24"/>
                <w:b/>
                <w:sz w:val="20"/>
                <w:szCs w:val="20"/>
              </w:rPr>
              <w:t>Dronedaron</w:t>
            </w:r>
          </w:p>
        </w:tc>
        <w:tc>
          <w:tcPr>
            <w:tcW w:w="3243" w:type="dxa"/>
            <w:tcBorders>
              <w:top w:val="single" w:color="auto" w:sz="4" w:space="0"/>
              <w:left w:val="single" w:color="auto" w:sz="4" w:space="0"/>
            </w:tcBorders>
            <w:shd w:val="clear" w:color="auto" w:fill="FFFFFF"/>
          </w:tcPr>
          <w:p w14:paraId="4D3498F4">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75DCA181">
            <w:pPr>
              <w:jc w:val="both"/>
              <w:rPr>
                <w:rFonts w:ascii="Microsoft Sans Serif" w:hAnsi="Microsoft Sans Serif" w:cs="Microsoft Sans Serif"/>
                <w:sz w:val="20"/>
                <w:szCs w:val="20"/>
              </w:rPr>
            </w:pPr>
          </w:p>
        </w:tc>
      </w:tr>
      <w:tr w14:paraId="26DCEB9F">
        <w:tblPrEx>
          <w:tblCellMar>
            <w:top w:w="0" w:type="dxa"/>
            <w:left w:w="10" w:type="dxa"/>
            <w:bottom w:w="0" w:type="dxa"/>
            <w:right w:w="10" w:type="dxa"/>
          </w:tblCellMar>
        </w:tblPrEx>
        <w:trPr>
          <w:trHeight w:val="1143" w:hRule="atLeast"/>
        </w:trPr>
        <w:tc>
          <w:tcPr>
            <w:tcW w:w="2634" w:type="dxa"/>
            <w:tcBorders>
              <w:top w:val="single" w:color="auto" w:sz="4" w:space="0"/>
              <w:left w:val="single" w:color="auto" w:sz="4" w:space="0"/>
              <w:bottom w:val="single" w:color="auto" w:sz="4" w:space="0"/>
            </w:tcBorders>
            <w:shd w:val="clear" w:color="auto" w:fill="FFFFFF"/>
          </w:tcPr>
          <w:p w14:paraId="4B368DF2">
            <w:pPr>
              <w:pStyle w:val="12"/>
              <w:shd w:val="clear" w:color="auto" w:fill="auto"/>
              <w:spacing w:line="240" w:lineRule="auto"/>
              <w:ind w:firstLine="0"/>
              <w:jc w:val="both"/>
              <w:rPr>
                <w:b/>
                <w:sz w:val="20"/>
                <w:szCs w:val="20"/>
              </w:rPr>
            </w:pPr>
            <w:r>
              <w:rPr>
                <w:rStyle w:val="24"/>
                <w:b/>
                <w:sz w:val="20"/>
                <w:szCs w:val="20"/>
              </w:rPr>
              <w:t>Amprenavir,</w:t>
            </w:r>
          </w:p>
          <w:p w14:paraId="06F04D3E">
            <w:pPr>
              <w:pStyle w:val="12"/>
              <w:shd w:val="clear" w:color="auto" w:fill="auto"/>
              <w:spacing w:line="240" w:lineRule="auto"/>
              <w:ind w:firstLine="0"/>
              <w:jc w:val="both"/>
              <w:rPr>
                <w:b/>
                <w:sz w:val="20"/>
                <w:szCs w:val="20"/>
              </w:rPr>
            </w:pPr>
            <w:r>
              <w:rPr>
                <w:rStyle w:val="24"/>
                <w:b/>
                <w:sz w:val="20"/>
                <w:szCs w:val="20"/>
              </w:rPr>
              <w:t>Fosamprenavir</w:t>
            </w:r>
          </w:p>
        </w:tc>
        <w:tc>
          <w:tcPr>
            <w:tcW w:w="3243" w:type="dxa"/>
            <w:tcBorders>
              <w:top w:val="single" w:color="auto" w:sz="4" w:space="0"/>
              <w:left w:val="single" w:color="auto" w:sz="4" w:space="0"/>
              <w:bottom w:val="single" w:color="auto" w:sz="4" w:space="0"/>
            </w:tcBorders>
            <w:shd w:val="clear" w:color="auto" w:fill="FFFFFF"/>
          </w:tcPr>
          <w:p w14:paraId="4BCFEC3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bottom w:val="single" w:color="auto" w:sz="4" w:space="0"/>
              <w:right w:val="single" w:color="auto" w:sz="4" w:space="0"/>
            </w:tcBorders>
            <w:shd w:val="clear" w:color="auto" w:fill="FFFFFF"/>
          </w:tcPr>
          <w:p w14:paraId="02A59F4D">
            <w:pPr>
              <w:jc w:val="both"/>
              <w:rPr>
                <w:rFonts w:ascii="Microsoft Sans Serif" w:hAnsi="Microsoft Sans Serif" w:cs="Microsoft Sans Serif"/>
                <w:sz w:val="20"/>
                <w:szCs w:val="20"/>
              </w:rPr>
            </w:pPr>
          </w:p>
        </w:tc>
      </w:tr>
      <w:tr w14:paraId="61970D70">
        <w:tblPrEx>
          <w:tblCellMar>
            <w:top w:w="0" w:type="dxa"/>
            <w:left w:w="10" w:type="dxa"/>
            <w:bottom w:w="0" w:type="dxa"/>
            <w:right w:w="10" w:type="dxa"/>
          </w:tblCellMar>
        </w:tblPrEx>
        <w:trPr>
          <w:trHeight w:val="792" w:hRule="atLeast"/>
        </w:trPr>
        <w:tc>
          <w:tcPr>
            <w:tcW w:w="2634" w:type="dxa"/>
            <w:tcBorders>
              <w:top w:val="single" w:color="auto" w:sz="4" w:space="0"/>
              <w:left w:val="single" w:color="auto" w:sz="4" w:space="0"/>
              <w:bottom w:val="single" w:color="auto" w:sz="4" w:space="0"/>
            </w:tcBorders>
            <w:shd w:val="clear" w:color="auto" w:fill="FFFFFF"/>
          </w:tcPr>
          <w:p w14:paraId="0447F168">
            <w:pPr>
              <w:pStyle w:val="12"/>
              <w:shd w:val="clear" w:color="auto" w:fill="auto"/>
              <w:spacing w:line="240" w:lineRule="auto"/>
              <w:ind w:firstLine="0"/>
              <w:jc w:val="left"/>
              <w:rPr>
                <w:b/>
                <w:sz w:val="20"/>
                <w:szCs w:val="20"/>
              </w:rPr>
            </w:pPr>
            <w:r>
              <w:rPr>
                <w:rStyle w:val="24"/>
                <w:b/>
                <w:sz w:val="20"/>
                <w:szCs w:val="20"/>
              </w:rPr>
              <w:t>Sok od grejpfruta ili druga hrana koja utiče na CYP3A4/pgp</w:t>
            </w:r>
          </w:p>
        </w:tc>
        <w:tc>
          <w:tcPr>
            <w:tcW w:w="3243" w:type="dxa"/>
            <w:tcBorders>
              <w:top w:val="single" w:color="auto" w:sz="4" w:space="0"/>
              <w:left w:val="single" w:color="auto" w:sz="4" w:space="0"/>
              <w:bottom w:val="single" w:color="auto" w:sz="4" w:space="0"/>
            </w:tcBorders>
            <w:shd w:val="clear" w:color="auto" w:fill="FFFFFF"/>
          </w:tcPr>
          <w:p w14:paraId="5704E790">
            <w:pPr>
              <w:pStyle w:val="12"/>
              <w:shd w:val="clear" w:color="auto" w:fill="auto"/>
              <w:spacing w:line="240" w:lineRule="auto"/>
              <w:ind w:firstLine="0"/>
              <w:jc w:val="left"/>
              <w:rPr>
                <w:sz w:val="20"/>
                <w:szCs w:val="20"/>
              </w:rPr>
            </w:pPr>
            <w:r>
              <w:rPr>
                <w:rStyle w:val="24"/>
                <w:sz w:val="20"/>
                <w:szCs w:val="20"/>
              </w:rPr>
              <w:t>Nije ispitano. Očekuje se povećana izloženost (efekta znatno varira).</w:t>
            </w:r>
          </w:p>
        </w:tc>
        <w:tc>
          <w:tcPr>
            <w:tcW w:w="3479" w:type="dxa"/>
            <w:tcBorders>
              <w:top w:val="single" w:color="auto" w:sz="4" w:space="0"/>
              <w:left w:val="single" w:color="auto" w:sz="4" w:space="0"/>
              <w:bottom w:val="single" w:color="auto" w:sz="4" w:space="0"/>
              <w:right w:val="single" w:color="auto" w:sz="4" w:space="0"/>
            </w:tcBorders>
            <w:shd w:val="clear" w:color="auto" w:fill="FFFFFF"/>
          </w:tcPr>
          <w:p w14:paraId="723475C5">
            <w:pPr>
              <w:pStyle w:val="12"/>
              <w:shd w:val="clear" w:color="auto" w:fill="auto"/>
              <w:spacing w:line="240" w:lineRule="auto"/>
              <w:ind w:firstLine="0"/>
              <w:jc w:val="left"/>
              <w:rPr>
                <w:sz w:val="20"/>
                <w:szCs w:val="20"/>
              </w:rPr>
            </w:pPr>
            <w:r>
              <w:rPr>
                <w:rStyle w:val="24"/>
                <w:sz w:val="20"/>
                <w:szCs w:val="20"/>
              </w:rPr>
              <w:t>Kombinaciju je potrebno uzbjegavati.</w:t>
            </w:r>
          </w:p>
        </w:tc>
      </w:tr>
      <w:tr w14:paraId="31DE1ED2">
        <w:tblPrEx>
          <w:tblCellMar>
            <w:top w:w="0" w:type="dxa"/>
            <w:left w:w="10" w:type="dxa"/>
            <w:bottom w:w="0" w:type="dxa"/>
            <w:right w:w="10" w:type="dxa"/>
          </w:tblCellMar>
        </w:tblPrEx>
        <w:trPr>
          <w:trHeight w:val="182" w:hRule="atLeast"/>
        </w:trPr>
        <w:tc>
          <w:tcPr>
            <w:tcW w:w="9356" w:type="dxa"/>
            <w:gridSpan w:val="3"/>
            <w:tcBorders>
              <w:top w:val="single" w:color="auto" w:sz="4" w:space="0"/>
              <w:left w:val="single" w:color="auto" w:sz="4" w:space="0"/>
              <w:bottom w:val="single" w:color="auto" w:sz="4" w:space="0"/>
              <w:right w:val="single" w:color="auto" w:sz="4" w:space="0"/>
            </w:tcBorders>
            <w:shd w:val="clear" w:color="auto" w:fill="FFFFFF"/>
          </w:tcPr>
          <w:p w14:paraId="7AEB59BA">
            <w:pPr>
              <w:jc w:val="both"/>
              <w:rPr>
                <w:rFonts w:ascii="Microsoft Sans Serif" w:hAnsi="Microsoft Sans Serif" w:cs="Microsoft Sans Serif"/>
                <w:sz w:val="20"/>
                <w:szCs w:val="20"/>
              </w:rPr>
            </w:pPr>
          </w:p>
        </w:tc>
      </w:tr>
      <w:tr w14:paraId="116AB81D">
        <w:tblPrEx>
          <w:tblCellMar>
            <w:top w:w="0" w:type="dxa"/>
            <w:left w:w="10" w:type="dxa"/>
            <w:bottom w:w="0" w:type="dxa"/>
            <w:right w:w="10" w:type="dxa"/>
          </w:tblCellMar>
        </w:tblPrEx>
        <w:trPr>
          <w:trHeight w:val="287" w:hRule="atLeast"/>
        </w:trPr>
        <w:tc>
          <w:tcPr>
            <w:tcW w:w="9360" w:type="dxa"/>
            <w:gridSpan w:val="3"/>
            <w:tcBorders>
              <w:top w:val="single" w:color="auto" w:sz="4" w:space="0"/>
              <w:left w:val="single" w:color="auto" w:sz="4" w:space="0"/>
              <w:right w:val="single" w:color="auto" w:sz="4" w:space="0"/>
            </w:tcBorders>
            <w:shd w:val="clear" w:color="auto" w:fill="FFFFFF"/>
          </w:tcPr>
          <w:p w14:paraId="315127A5">
            <w:pPr>
              <w:pStyle w:val="12"/>
              <w:shd w:val="clear" w:color="auto" w:fill="auto"/>
              <w:spacing w:line="240" w:lineRule="auto"/>
              <w:ind w:firstLine="0"/>
              <w:jc w:val="both"/>
              <w:rPr>
                <w:rStyle w:val="49"/>
                <w:b/>
                <w:sz w:val="20"/>
                <w:szCs w:val="20"/>
              </w:rPr>
            </w:pPr>
            <w:r>
              <w:rPr>
                <w:b/>
                <w:sz w:val="20"/>
                <w:szCs w:val="20"/>
              </w:rPr>
              <w:t>Potentni i umjereni</w:t>
            </w:r>
            <w:r>
              <w:rPr>
                <w:rStyle w:val="50"/>
                <w:b/>
                <w:sz w:val="20"/>
                <w:szCs w:val="20"/>
              </w:rPr>
              <w:t xml:space="preserve"> </w:t>
            </w:r>
            <w:r>
              <w:rPr>
                <w:rStyle w:val="50"/>
                <w:b/>
                <w:i w:val="0"/>
                <w:sz w:val="20"/>
                <w:szCs w:val="20"/>
              </w:rPr>
              <w:t>induktori</w:t>
            </w:r>
            <w:r>
              <w:rPr>
                <w:rStyle w:val="50"/>
                <w:b/>
                <w:sz w:val="20"/>
                <w:szCs w:val="20"/>
              </w:rPr>
              <w:t xml:space="preserve"> CYP3A4</w:t>
            </w:r>
          </w:p>
        </w:tc>
      </w:tr>
      <w:tr w14:paraId="4DF35C1B">
        <w:tblPrEx>
          <w:tblCellMar>
            <w:top w:w="0" w:type="dxa"/>
            <w:left w:w="10" w:type="dxa"/>
            <w:bottom w:w="0" w:type="dxa"/>
            <w:right w:w="10" w:type="dxa"/>
          </w:tblCellMar>
        </w:tblPrEx>
        <w:trPr>
          <w:trHeight w:val="1051" w:hRule="atLeast"/>
        </w:trPr>
        <w:tc>
          <w:tcPr>
            <w:tcW w:w="2634" w:type="dxa"/>
            <w:tcBorders>
              <w:top w:val="single" w:color="auto" w:sz="4" w:space="0"/>
              <w:left w:val="single" w:color="auto" w:sz="4" w:space="0"/>
            </w:tcBorders>
            <w:shd w:val="clear" w:color="auto" w:fill="FFFFFF"/>
          </w:tcPr>
          <w:p w14:paraId="4625FBD7">
            <w:pPr>
              <w:pStyle w:val="12"/>
              <w:shd w:val="clear" w:color="auto" w:fill="auto"/>
              <w:spacing w:line="240" w:lineRule="auto"/>
              <w:ind w:firstLine="0"/>
              <w:jc w:val="left"/>
              <w:rPr>
                <w:b/>
                <w:sz w:val="20"/>
                <w:szCs w:val="20"/>
              </w:rPr>
            </w:pPr>
            <w:r>
              <w:rPr>
                <w:rStyle w:val="24"/>
                <w:b/>
                <w:sz w:val="20"/>
                <w:szCs w:val="20"/>
              </w:rPr>
              <w:t>Rifampicin</w:t>
            </w:r>
          </w:p>
        </w:tc>
        <w:tc>
          <w:tcPr>
            <w:tcW w:w="3243" w:type="dxa"/>
            <w:tcBorders>
              <w:top w:val="single" w:color="auto" w:sz="4" w:space="0"/>
              <w:left w:val="single" w:color="auto" w:sz="4" w:space="0"/>
              <w:right w:val="single" w:color="auto" w:sz="4" w:space="0"/>
            </w:tcBorders>
            <w:shd w:val="clear" w:color="auto" w:fill="FFFFFF"/>
          </w:tcPr>
          <w:p w14:paraId="3A3B2FA3">
            <w:pPr>
              <w:pStyle w:val="12"/>
              <w:shd w:val="clear" w:color="auto" w:fill="auto"/>
              <w:spacing w:line="240" w:lineRule="auto"/>
              <w:ind w:firstLine="0"/>
              <w:jc w:val="both"/>
              <w:rPr>
                <w:rStyle w:val="24"/>
                <w:sz w:val="20"/>
                <w:szCs w:val="20"/>
              </w:rPr>
            </w:pPr>
            <w:r>
              <w:rPr>
                <w:sz w:val="20"/>
                <w:szCs w:val="20"/>
              </w:rPr>
              <w:t>PIK ↓</w:t>
            </w:r>
            <w:r>
              <w:rPr>
                <w:rStyle w:val="24"/>
                <w:sz w:val="20"/>
                <w:szCs w:val="20"/>
              </w:rPr>
              <w:t xml:space="preserve">63% (raspon 0-80%) </w:t>
            </w:r>
          </w:p>
          <w:p w14:paraId="0B9F5377">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58% (raspon 10-70%)</w:t>
            </w:r>
          </w:p>
        </w:tc>
        <w:tc>
          <w:tcPr>
            <w:tcW w:w="3483" w:type="dxa"/>
            <w:vMerge w:val="restart"/>
            <w:tcBorders>
              <w:top w:val="single" w:color="auto" w:sz="4" w:space="0"/>
              <w:left w:val="single" w:color="auto" w:sz="4" w:space="0"/>
              <w:right w:val="single" w:color="auto" w:sz="4" w:space="0"/>
            </w:tcBorders>
            <w:shd w:val="clear" w:color="auto" w:fill="FFFFFF"/>
          </w:tcPr>
          <w:p w14:paraId="7A51A823">
            <w:pPr>
              <w:pStyle w:val="12"/>
              <w:shd w:val="clear" w:color="auto" w:fill="auto"/>
              <w:spacing w:line="240" w:lineRule="auto"/>
              <w:ind w:firstLine="0"/>
              <w:jc w:val="left"/>
              <w:rPr>
                <w:sz w:val="20"/>
                <w:szCs w:val="20"/>
              </w:rPr>
            </w:pPr>
            <w:r>
              <w:rPr>
                <w:rStyle w:val="49"/>
                <w:sz w:val="20"/>
                <w:szCs w:val="20"/>
              </w:rPr>
              <w:t xml:space="preserve">Potrebno je izbjegavati istovremenu primjenu potentnih induktora CYP3A4. Ako je kod pacijenata potrebna istovremena primjena potentnog CYP3A4 induktora, mora se razmotriti povećanje doze everolimusa sa 10 mg dnevno do najviše 20 mg dnevno sa povećanjem od po 5 mg ili manje primijenjenima na 4. i 8. dan nakon početka primjene induktora. Predviđa se da će ta doza everolimusa prilagoditi PIK na raspon uočen bez induktora. Međutim, nema kliničkih podataka za ovakvo prilagođavanje doze. Ako se prekine liječenje induktorom, potrebno je uzeti u obzir period </w:t>
            </w:r>
            <w:r>
              <w:rPr>
                <w:rStyle w:val="49"/>
                <w:sz w:val="20"/>
                <w:szCs w:val="20"/>
                <w:lang w:val="hr-BA"/>
              </w:rPr>
              <w:t>čišćenje</w:t>
            </w:r>
            <w:r>
              <w:rPr>
                <w:rStyle w:val="49"/>
                <w:sz w:val="20"/>
                <w:szCs w:val="20"/>
              </w:rPr>
              <w:t xml:space="preserve"> organizma od najmanje 3 do 5 dana (prihvatljivo vrijeme za značajno smanjenje indukcije enzima) prije povratka doze everolimusa na dozu primjenjivanu prije početka istovremene primjene.</w:t>
            </w:r>
          </w:p>
          <w:p w14:paraId="29AC317D">
            <w:pPr>
              <w:pStyle w:val="12"/>
              <w:shd w:val="clear" w:color="auto" w:fill="auto"/>
              <w:spacing w:line="240" w:lineRule="auto"/>
              <w:ind w:firstLine="0"/>
              <w:jc w:val="left"/>
              <w:rPr>
                <w:rStyle w:val="24"/>
                <w:sz w:val="20"/>
                <w:szCs w:val="20"/>
              </w:rPr>
            </w:pPr>
          </w:p>
        </w:tc>
      </w:tr>
      <w:tr w14:paraId="790A48D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0C214D88">
            <w:pPr>
              <w:pStyle w:val="12"/>
              <w:shd w:val="clear" w:color="auto" w:fill="auto"/>
              <w:spacing w:line="240" w:lineRule="auto"/>
              <w:ind w:firstLine="0"/>
              <w:jc w:val="left"/>
              <w:rPr>
                <w:b/>
                <w:sz w:val="20"/>
                <w:szCs w:val="20"/>
              </w:rPr>
            </w:pPr>
            <w:r>
              <w:rPr>
                <w:rStyle w:val="24"/>
                <w:b/>
                <w:sz w:val="20"/>
                <w:szCs w:val="20"/>
              </w:rPr>
              <w:t>Deksametazon</w:t>
            </w:r>
          </w:p>
        </w:tc>
        <w:tc>
          <w:tcPr>
            <w:tcW w:w="3243" w:type="dxa"/>
            <w:tcBorders>
              <w:top w:val="single" w:color="auto" w:sz="4" w:space="0"/>
              <w:left w:val="single" w:color="auto" w:sz="4" w:space="0"/>
              <w:right w:val="single" w:color="auto" w:sz="4" w:space="0"/>
            </w:tcBorders>
            <w:shd w:val="clear" w:color="auto" w:fill="FFFFFF"/>
          </w:tcPr>
          <w:p w14:paraId="74A80616">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6CFE7639">
            <w:pPr>
              <w:pStyle w:val="12"/>
              <w:shd w:val="clear" w:color="auto" w:fill="auto"/>
              <w:spacing w:line="240" w:lineRule="auto"/>
              <w:ind w:firstLine="0"/>
              <w:jc w:val="left"/>
              <w:rPr>
                <w:rStyle w:val="24"/>
                <w:sz w:val="20"/>
                <w:szCs w:val="20"/>
              </w:rPr>
            </w:pPr>
          </w:p>
        </w:tc>
      </w:tr>
      <w:tr w14:paraId="68545C15">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1A993BBF">
            <w:pPr>
              <w:pStyle w:val="12"/>
              <w:shd w:val="clear" w:color="auto" w:fill="auto"/>
              <w:spacing w:line="240" w:lineRule="auto"/>
              <w:ind w:firstLine="0"/>
              <w:jc w:val="left"/>
              <w:rPr>
                <w:b/>
                <w:sz w:val="20"/>
                <w:szCs w:val="20"/>
              </w:rPr>
            </w:pPr>
            <w:r>
              <w:rPr>
                <w:rStyle w:val="24"/>
                <w:b/>
                <w:sz w:val="20"/>
                <w:szCs w:val="20"/>
              </w:rPr>
              <w:t>Karbamazepin, fenobarbital, fenitoin</w:t>
            </w:r>
          </w:p>
        </w:tc>
        <w:tc>
          <w:tcPr>
            <w:tcW w:w="3243" w:type="dxa"/>
            <w:tcBorders>
              <w:top w:val="single" w:color="auto" w:sz="4" w:space="0"/>
              <w:left w:val="single" w:color="auto" w:sz="4" w:space="0"/>
              <w:right w:val="single" w:color="auto" w:sz="4" w:space="0"/>
            </w:tcBorders>
            <w:shd w:val="clear" w:color="auto" w:fill="FFFFFF"/>
          </w:tcPr>
          <w:p w14:paraId="0395C790">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24158321">
            <w:pPr>
              <w:pStyle w:val="12"/>
              <w:shd w:val="clear" w:color="auto" w:fill="auto"/>
              <w:spacing w:line="240" w:lineRule="auto"/>
              <w:ind w:firstLine="0"/>
              <w:jc w:val="left"/>
              <w:rPr>
                <w:rStyle w:val="24"/>
                <w:sz w:val="20"/>
                <w:szCs w:val="20"/>
              </w:rPr>
            </w:pPr>
          </w:p>
        </w:tc>
      </w:tr>
      <w:tr w14:paraId="10F09292">
        <w:tblPrEx>
          <w:tblCellMar>
            <w:top w:w="0" w:type="dxa"/>
            <w:left w:w="10" w:type="dxa"/>
            <w:bottom w:w="0" w:type="dxa"/>
            <w:right w:w="10" w:type="dxa"/>
          </w:tblCellMar>
        </w:tblPrEx>
        <w:trPr>
          <w:trHeight w:val="3216" w:hRule="atLeast"/>
        </w:trPr>
        <w:tc>
          <w:tcPr>
            <w:tcW w:w="2634" w:type="dxa"/>
            <w:tcBorders>
              <w:top w:val="single" w:color="auto" w:sz="4" w:space="0"/>
              <w:left w:val="single" w:color="auto" w:sz="4" w:space="0"/>
            </w:tcBorders>
            <w:shd w:val="clear" w:color="auto" w:fill="FFFFFF"/>
          </w:tcPr>
          <w:p w14:paraId="075D7C55">
            <w:pPr>
              <w:pStyle w:val="12"/>
              <w:shd w:val="clear" w:color="auto" w:fill="auto"/>
              <w:spacing w:line="240" w:lineRule="auto"/>
              <w:ind w:firstLine="0"/>
              <w:jc w:val="left"/>
              <w:rPr>
                <w:b/>
                <w:sz w:val="20"/>
                <w:szCs w:val="20"/>
              </w:rPr>
            </w:pPr>
            <w:r>
              <w:rPr>
                <w:rStyle w:val="24"/>
                <w:b/>
                <w:sz w:val="20"/>
                <w:szCs w:val="20"/>
              </w:rPr>
              <w:t>Efavirenz, nevirapin</w:t>
            </w:r>
          </w:p>
        </w:tc>
        <w:tc>
          <w:tcPr>
            <w:tcW w:w="3243" w:type="dxa"/>
            <w:tcBorders>
              <w:top w:val="single" w:color="auto" w:sz="4" w:space="0"/>
              <w:left w:val="single" w:color="auto" w:sz="4" w:space="0"/>
              <w:right w:val="single" w:color="auto" w:sz="4" w:space="0"/>
            </w:tcBorders>
            <w:shd w:val="clear" w:color="auto" w:fill="FFFFFF"/>
          </w:tcPr>
          <w:p w14:paraId="28776F2B">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08F0977F">
            <w:pPr>
              <w:pStyle w:val="12"/>
              <w:shd w:val="clear" w:color="auto" w:fill="auto"/>
              <w:spacing w:line="240" w:lineRule="auto"/>
              <w:ind w:firstLine="0"/>
              <w:jc w:val="left"/>
              <w:rPr>
                <w:rStyle w:val="24"/>
                <w:sz w:val="20"/>
                <w:szCs w:val="20"/>
              </w:rPr>
            </w:pPr>
          </w:p>
        </w:tc>
      </w:tr>
      <w:tr w14:paraId="24775F34">
        <w:tblPrEx>
          <w:tblCellMar>
            <w:top w:w="0" w:type="dxa"/>
            <w:left w:w="10" w:type="dxa"/>
            <w:bottom w:w="0" w:type="dxa"/>
            <w:right w:w="10" w:type="dxa"/>
          </w:tblCellMar>
        </w:tblPrEx>
        <w:trPr>
          <w:trHeight w:val="802" w:hRule="atLeast"/>
        </w:trPr>
        <w:tc>
          <w:tcPr>
            <w:tcW w:w="2634" w:type="dxa"/>
            <w:tcBorders>
              <w:top w:val="single" w:color="auto" w:sz="4" w:space="0"/>
              <w:left w:val="single" w:color="auto" w:sz="4" w:space="0"/>
              <w:bottom w:val="single" w:color="auto" w:sz="4" w:space="0"/>
            </w:tcBorders>
            <w:shd w:val="clear" w:color="auto" w:fill="FFFFFF"/>
          </w:tcPr>
          <w:p w14:paraId="78339DB0">
            <w:pPr>
              <w:pStyle w:val="12"/>
              <w:shd w:val="clear" w:color="auto" w:fill="auto"/>
              <w:spacing w:line="240" w:lineRule="auto"/>
              <w:ind w:firstLine="0"/>
              <w:jc w:val="left"/>
              <w:rPr>
                <w:b/>
                <w:sz w:val="20"/>
                <w:szCs w:val="20"/>
              </w:rPr>
            </w:pPr>
            <w:r>
              <w:rPr>
                <w:rStyle w:val="24"/>
                <w:b/>
                <w:sz w:val="20"/>
                <w:szCs w:val="20"/>
              </w:rPr>
              <w:t>Kantarion</w:t>
            </w:r>
          </w:p>
          <w:p w14:paraId="6F35610C">
            <w:pPr>
              <w:pStyle w:val="12"/>
              <w:shd w:val="clear" w:color="auto" w:fill="auto"/>
              <w:spacing w:line="240" w:lineRule="auto"/>
              <w:ind w:firstLine="0"/>
              <w:jc w:val="left"/>
              <w:rPr>
                <w:sz w:val="20"/>
                <w:szCs w:val="20"/>
              </w:rPr>
            </w:pPr>
            <w:r>
              <w:rPr>
                <w:rStyle w:val="25"/>
                <w:b/>
                <w:spacing w:val="0"/>
              </w:rPr>
              <w:t>(hypericum perforatum)</w:t>
            </w:r>
          </w:p>
        </w:tc>
        <w:tc>
          <w:tcPr>
            <w:tcW w:w="3243" w:type="dxa"/>
            <w:tcBorders>
              <w:top w:val="single" w:color="auto" w:sz="4" w:space="0"/>
              <w:left w:val="single" w:color="auto" w:sz="4" w:space="0"/>
              <w:bottom w:val="single" w:color="auto" w:sz="4" w:space="0"/>
              <w:right w:val="single" w:color="auto" w:sz="4" w:space="0"/>
            </w:tcBorders>
            <w:shd w:val="clear" w:color="auto" w:fill="FFFFFF"/>
          </w:tcPr>
          <w:p w14:paraId="6DD8E9CA">
            <w:pPr>
              <w:pStyle w:val="12"/>
              <w:shd w:val="clear" w:color="auto" w:fill="auto"/>
              <w:spacing w:line="240" w:lineRule="auto"/>
              <w:ind w:firstLine="0"/>
              <w:jc w:val="left"/>
              <w:rPr>
                <w:sz w:val="20"/>
                <w:szCs w:val="20"/>
              </w:rPr>
            </w:pPr>
            <w:r>
              <w:rPr>
                <w:rStyle w:val="24"/>
                <w:sz w:val="20"/>
                <w:szCs w:val="20"/>
              </w:rPr>
              <w:t>Nije ispitano. Očekuje se veoma smanjena izloženost.</w:t>
            </w:r>
          </w:p>
        </w:tc>
        <w:tc>
          <w:tcPr>
            <w:tcW w:w="3483" w:type="dxa"/>
            <w:tcBorders>
              <w:top w:val="single" w:color="auto" w:sz="4" w:space="0"/>
              <w:left w:val="single" w:color="auto" w:sz="4" w:space="0"/>
              <w:bottom w:val="single" w:color="auto" w:sz="4" w:space="0"/>
              <w:right w:val="single" w:color="auto" w:sz="4" w:space="0"/>
            </w:tcBorders>
            <w:shd w:val="clear" w:color="auto" w:fill="FFFFFF"/>
          </w:tcPr>
          <w:p w14:paraId="1F1FDD3E">
            <w:pPr>
              <w:pStyle w:val="12"/>
              <w:shd w:val="clear" w:color="auto" w:fill="auto"/>
              <w:spacing w:line="240" w:lineRule="auto"/>
              <w:ind w:firstLine="0"/>
              <w:jc w:val="left"/>
              <w:rPr>
                <w:rStyle w:val="24"/>
                <w:sz w:val="20"/>
                <w:szCs w:val="20"/>
              </w:rPr>
            </w:pPr>
            <w:r>
              <w:rPr>
                <w:rStyle w:val="49"/>
                <w:sz w:val="20"/>
                <w:szCs w:val="20"/>
              </w:rPr>
              <w:t>Pripravci koji sadrže kantarion se ne smiju koristiti tokom liječenja everolimusom.</w:t>
            </w:r>
          </w:p>
        </w:tc>
      </w:tr>
    </w:tbl>
    <w:p w14:paraId="128C12E7">
      <w:pPr>
        <w:pStyle w:val="12"/>
        <w:shd w:val="clear" w:color="auto" w:fill="auto"/>
        <w:spacing w:line="240" w:lineRule="auto"/>
        <w:ind w:firstLine="0"/>
        <w:jc w:val="both"/>
        <w:rPr>
          <w:rStyle w:val="19"/>
          <w:sz w:val="20"/>
          <w:szCs w:val="20"/>
        </w:rPr>
      </w:pPr>
    </w:p>
    <w:p w14:paraId="22BDE68F">
      <w:pPr>
        <w:pStyle w:val="12"/>
        <w:shd w:val="clear" w:color="auto" w:fill="auto"/>
        <w:spacing w:line="240" w:lineRule="auto"/>
        <w:ind w:firstLine="0"/>
        <w:jc w:val="both"/>
        <w:rPr>
          <w:sz w:val="20"/>
          <w:szCs w:val="20"/>
        </w:rPr>
      </w:pPr>
      <w:r>
        <w:rPr>
          <w:rStyle w:val="19"/>
          <w:sz w:val="20"/>
          <w:szCs w:val="20"/>
        </w:rPr>
        <w:t>Lijekovi čiju koncentraciju u plazmi može biti promijenjena everolimusom</w:t>
      </w:r>
    </w:p>
    <w:p w14:paraId="6A42D017">
      <w:pPr>
        <w:pStyle w:val="12"/>
        <w:shd w:val="clear" w:color="auto" w:fill="auto"/>
        <w:spacing w:line="240" w:lineRule="auto"/>
        <w:ind w:firstLine="0"/>
        <w:jc w:val="both"/>
        <w:rPr>
          <w:sz w:val="20"/>
          <w:szCs w:val="20"/>
        </w:rPr>
      </w:pPr>
      <w:r>
        <w:rPr>
          <w:sz w:val="20"/>
          <w:szCs w:val="20"/>
        </w:rPr>
        <w:t xml:space="preserve">Na temelju </w:t>
      </w:r>
      <w:r>
        <w:rPr>
          <w:rStyle w:val="27"/>
          <w:spacing w:val="0"/>
        </w:rPr>
        <w:t>in vitro</w:t>
      </w:r>
      <w:r>
        <w:rPr>
          <w:sz w:val="20"/>
          <w:szCs w:val="20"/>
        </w:rPr>
        <w:t xml:space="preserve"> rezultata, sistemske koncentracije postignute nakon dnevne peroralne doze od 10 mg vjerovatno ne utiču na inhibiciju PgP-a, CYP3A4 i CYP2D6. Međutim, ne može se isključiti inhibicija CYP3A4 i PgP-a u crijevima. Ispitivanje interakcije kod zdravih ispitanika pokazalo je da je istovremena primjena oralne doze midazolama, osjetljivog CYP3A4 supstrata, sa everolimusom rezultirala 25%-tnim povećanjem C</w:t>
      </w:r>
      <w:r>
        <w:rPr>
          <w:sz w:val="20"/>
          <w:szCs w:val="20"/>
          <w:vertAlign w:val="subscript"/>
        </w:rPr>
        <w:t>max</w:t>
      </w:r>
      <w:r>
        <w:rPr>
          <w:sz w:val="20"/>
          <w:szCs w:val="20"/>
        </w:rPr>
        <w:t xml:space="preserve"> midazolama i 30%-tnim povećanjem PIK</w:t>
      </w:r>
      <w:r>
        <w:rPr>
          <w:sz w:val="20"/>
          <w:szCs w:val="20"/>
          <w:vertAlign w:val="subscript"/>
        </w:rPr>
        <w:t>(0</w:t>
      </w:r>
      <w:r>
        <w:rPr>
          <w:sz w:val="20"/>
          <w:szCs w:val="20"/>
        </w:rPr>
        <w:t>-</w:t>
      </w:r>
      <w:r>
        <w:rPr>
          <w:sz w:val="20"/>
          <w:szCs w:val="20"/>
          <w:vertAlign w:val="subscript"/>
        </w:rPr>
        <w:t>inf</w:t>
      </w:r>
      <w:r>
        <w:rPr>
          <w:sz w:val="20"/>
          <w:szCs w:val="20"/>
        </w:rPr>
        <w:t>) midazolama. Ovaj efekat je vjerovatno posljedica inhibicije CYP3A4 u crijevima izazvane everolimusom. Dakle, everolimus može uticati na bioraspoloživost istovremeno peroralno primijenjenih supstrata CYP3A4. Međutim, ne očekuje se klinički značajna promjena izloženosti sistemski primijenjenih CYP3A4 supstrata (pogledati dio 4.4).</w:t>
      </w:r>
    </w:p>
    <w:p w14:paraId="203601E3">
      <w:pPr>
        <w:pStyle w:val="12"/>
        <w:shd w:val="clear" w:color="auto" w:fill="auto"/>
        <w:spacing w:line="240" w:lineRule="auto"/>
        <w:ind w:firstLine="0"/>
        <w:jc w:val="both"/>
        <w:rPr>
          <w:sz w:val="20"/>
          <w:szCs w:val="20"/>
        </w:rPr>
      </w:pPr>
    </w:p>
    <w:p w14:paraId="52F31AC9">
      <w:pPr>
        <w:pStyle w:val="12"/>
        <w:shd w:val="clear" w:color="auto" w:fill="auto"/>
        <w:spacing w:line="240" w:lineRule="auto"/>
        <w:ind w:firstLine="0"/>
        <w:jc w:val="both"/>
        <w:rPr>
          <w:sz w:val="20"/>
          <w:szCs w:val="20"/>
        </w:rPr>
      </w:pPr>
      <w:r>
        <w:rPr>
          <w:sz w:val="20"/>
          <w:szCs w:val="20"/>
        </w:rPr>
        <w:t>Istovremena primjena everolimusa i depo preparata oktreotida povećala je C</w:t>
      </w:r>
      <w:r>
        <w:rPr>
          <w:sz w:val="20"/>
          <w:szCs w:val="20"/>
          <w:vertAlign w:val="subscript"/>
        </w:rPr>
        <w:t>min</w:t>
      </w:r>
      <w:r>
        <w:rPr>
          <w:sz w:val="20"/>
          <w:szCs w:val="20"/>
        </w:rPr>
        <w:t xml:space="preserve"> oktreotida sa geometrijskim srednjim omjerom (everolimus/placebo) od 1,47. Ne može se utvrditi klinički značajan efekat na efikasnost everolimusa kod pacijenata sa uznapredovalim neuroendokrinim tumorima.</w:t>
      </w:r>
    </w:p>
    <w:p w14:paraId="53576922">
      <w:pPr>
        <w:pStyle w:val="12"/>
        <w:shd w:val="clear" w:color="auto" w:fill="auto"/>
        <w:spacing w:line="240" w:lineRule="auto"/>
        <w:ind w:firstLine="0"/>
        <w:jc w:val="both"/>
        <w:rPr>
          <w:sz w:val="20"/>
          <w:szCs w:val="20"/>
        </w:rPr>
      </w:pPr>
    </w:p>
    <w:p w14:paraId="5B692E91">
      <w:pPr>
        <w:pStyle w:val="12"/>
        <w:shd w:val="clear" w:color="auto" w:fill="auto"/>
        <w:spacing w:line="240" w:lineRule="auto"/>
        <w:ind w:firstLine="0"/>
        <w:jc w:val="both"/>
        <w:rPr>
          <w:sz w:val="20"/>
          <w:szCs w:val="20"/>
        </w:rPr>
      </w:pPr>
      <w:r>
        <w:rPr>
          <w:sz w:val="20"/>
          <w:szCs w:val="20"/>
        </w:rPr>
        <w:t>Istovremena primjena everolimusa i eksemestana povećala je C</w:t>
      </w:r>
      <w:r>
        <w:rPr>
          <w:sz w:val="20"/>
          <w:szCs w:val="20"/>
          <w:vertAlign w:val="subscript"/>
        </w:rPr>
        <w:t>min</w:t>
      </w:r>
      <w:r>
        <w:rPr>
          <w:sz w:val="20"/>
          <w:szCs w:val="20"/>
        </w:rPr>
        <w:t xml:space="preserve"> i C</w:t>
      </w:r>
      <w:r>
        <w:rPr>
          <w:sz w:val="20"/>
          <w:szCs w:val="20"/>
          <w:vertAlign w:val="subscript"/>
        </w:rPr>
        <w:t>2h</w:t>
      </w:r>
      <w:r>
        <w:rPr>
          <w:sz w:val="20"/>
          <w:szCs w:val="20"/>
        </w:rPr>
        <w:t xml:space="preserve"> eksemestana za 45% odnosno 64%. Međutim, nije bilo razlika među dvije grupe pacijentica u uporedivim nivoima estradiola u stanju dinamičke ravnoteže (4 nedelja). Kod pacijentica sa uznapredovalim rakom dojke pozitivnim na hormonske receptore koje su primale spomenutu kombinaciju nije uočen povećani broj neželjenih događaja povezanih sa eksemestanom. Nije vjerovatno da bi porast niova eksemestana imao efekta na efikasnost ili bezbjednost primjene.</w:t>
      </w:r>
    </w:p>
    <w:p w14:paraId="6D2C5C1F">
      <w:pPr>
        <w:pStyle w:val="12"/>
        <w:shd w:val="clear" w:color="auto" w:fill="auto"/>
        <w:spacing w:line="240" w:lineRule="auto"/>
        <w:ind w:firstLine="0"/>
        <w:jc w:val="both"/>
        <w:rPr>
          <w:sz w:val="20"/>
          <w:szCs w:val="20"/>
        </w:rPr>
      </w:pPr>
    </w:p>
    <w:p w14:paraId="59D6FD3B">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27BDB6E6">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(pogledati dio 4.4).</w:t>
      </w:r>
    </w:p>
    <w:p w14:paraId="341E4FB3">
      <w:pPr>
        <w:pStyle w:val="12"/>
        <w:shd w:val="clear" w:color="auto" w:fill="auto"/>
        <w:spacing w:line="240" w:lineRule="auto"/>
        <w:ind w:firstLine="0"/>
        <w:jc w:val="both"/>
        <w:rPr>
          <w:sz w:val="20"/>
          <w:szCs w:val="20"/>
        </w:rPr>
      </w:pPr>
    </w:p>
    <w:p w14:paraId="09E45E12">
      <w:pPr>
        <w:pStyle w:val="12"/>
        <w:shd w:val="clear" w:color="auto" w:fill="auto"/>
        <w:spacing w:line="240" w:lineRule="auto"/>
        <w:ind w:firstLine="0"/>
        <w:jc w:val="both"/>
        <w:rPr>
          <w:sz w:val="20"/>
          <w:szCs w:val="20"/>
        </w:rPr>
      </w:pPr>
      <w:r>
        <w:rPr>
          <w:rStyle w:val="19"/>
          <w:sz w:val="20"/>
          <w:szCs w:val="20"/>
        </w:rPr>
        <w:t>Vakcinacija</w:t>
      </w:r>
    </w:p>
    <w:p w14:paraId="18F99C6D">
      <w:pPr>
        <w:pStyle w:val="12"/>
        <w:shd w:val="clear" w:color="auto" w:fill="auto"/>
        <w:spacing w:line="240" w:lineRule="auto"/>
        <w:ind w:firstLine="0"/>
        <w:jc w:val="both"/>
        <w:rPr>
          <w:sz w:val="20"/>
          <w:szCs w:val="20"/>
        </w:rPr>
      </w:pPr>
      <w:r>
        <w:rPr>
          <w:sz w:val="20"/>
          <w:szCs w:val="20"/>
          <w:lang w:val="hr-BA"/>
        </w:rPr>
        <w:t>I</w:t>
      </w:r>
      <w:r>
        <w:rPr>
          <w:sz w:val="20"/>
          <w:szCs w:val="20"/>
        </w:rPr>
        <w:t>munološki odgovor na vakcinaciju može da bude promijenjen, pa zato vakcinacija može biti manje efikasna tokom liječenja everolimusom. Primjenu živih vakcina potrebno je izbjegavati tokom liječenja everolimusom (pogledati dio 4.4). Primjeri živih vakcina su: intranazalna vakcina protiv gripa, male boginje, zaušnjaci, rubeola, oralni polio, BCG (Bacillus Calmette- Guerin), žuta groznica, varičela i TY21a vakcina protiv tifusa.</w:t>
      </w:r>
    </w:p>
    <w:p w14:paraId="0EF64E1F">
      <w:pPr>
        <w:pStyle w:val="12"/>
        <w:shd w:val="clear" w:color="auto" w:fill="auto"/>
        <w:spacing w:line="240" w:lineRule="auto"/>
        <w:ind w:firstLine="0"/>
        <w:jc w:val="both"/>
        <w:rPr>
          <w:sz w:val="20"/>
          <w:szCs w:val="20"/>
        </w:rPr>
      </w:pPr>
    </w:p>
    <w:p w14:paraId="11FA4540">
      <w:pPr>
        <w:pStyle w:val="12"/>
        <w:shd w:val="clear" w:color="auto" w:fill="auto"/>
        <w:spacing w:line="240" w:lineRule="auto"/>
        <w:ind w:firstLine="0"/>
        <w:jc w:val="both"/>
        <w:rPr>
          <w:sz w:val="20"/>
          <w:szCs w:val="20"/>
          <w:u w:val="single"/>
        </w:rPr>
      </w:pPr>
      <w:r>
        <w:rPr>
          <w:sz w:val="20"/>
          <w:szCs w:val="20"/>
          <w:u w:val="single"/>
        </w:rPr>
        <w:t xml:space="preserve">Liječenje zračenjem </w:t>
      </w:r>
    </w:p>
    <w:p w14:paraId="4F84978B">
      <w:pPr>
        <w:pStyle w:val="12"/>
        <w:shd w:val="clear" w:color="auto" w:fill="auto"/>
        <w:spacing w:line="240" w:lineRule="auto"/>
        <w:ind w:firstLine="0"/>
        <w:jc w:val="both"/>
        <w:rPr>
          <w:sz w:val="20"/>
          <w:szCs w:val="20"/>
        </w:rPr>
      </w:pPr>
      <w:r>
        <w:rPr>
          <w:sz w:val="20"/>
          <w:szCs w:val="20"/>
        </w:rPr>
        <w:t>Prijavljeno je potenciranje toksičnosti radioterapije kod pacijenata koji su uzimali everolimus (pogledati dijelove 4.4 i 4.8).</w:t>
      </w:r>
    </w:p>
    <w:p w14:paraId="3AF2CACE">
      <w:pPr>
        <w:pStyle w:val="12"/>
        <w:shd w:val="clear" w:color="auto" w:fill="auto"/>
        <w:spacing w:line="240" w:lineRule="auto"/>
        <w:ind w:firstLine="0"/>
        <w:jc w:val="both"/>
        <w:rPr>
          <w:b/>
          <w:sz w:val="20"/>
          <w:szCs w:val="20"/>
        </w:rPr>
      </w:pPr>
    </w:p>
    <w:p w14:paraId="0F5B0613">
      <w:pPr>
        <w:pStyle w:val="12"/>
        <w:numPr>
          <w:ilvl w:val="1"/>
          <w:numId w:val="1"/>
        </w:numPr>
        <w:shd w:val="clear" w:color="auto" w:fill="auto"/>
        <w:tabs>
          <w:tab w:val="left" w:pos="596"/>
        </w:tabs>
        <w:spacing w:line="240" w:lineRule="auto"/>
        <w:ind w:firstLine="0"/>
        <w:jc w:val="both"/>
        <w:rPr>
          <w:b/>
          <w:sz w:val="20"/>
          <w:szCs w:val="20"/>
        </w:rPr>
      </w:pPr>
      <w:r>
        <w:rPr>
          <w:b/>
          <w:sz w:val="20"/>
          <w:szCs w:val="20"/>
        </w:rPr>
        <w:t>Plodnost, trudnoća i dojenje</w:t>
      </w:r>
    </w:p>
    <w:p w14:paraId="3204B416">
      <w:pPr>
        <w:pStyle w:val="12"/>
        <w:shd w:val="clear" w:color="auto" w:fill="auto"/>
        <w:tabs>
          <w:tab w:val="left" w:pos="596"/>
        </w:tabs>
        <w:spacing w:line="240" w:lineRule="auto"/>
        <w:ind w:firstLine="0"/>
        <w:jc w:val="both"/>
        <w:rPr>
          <w:b/>
          <w:sz w:val="20"/>
          <w:szCs w:val="20"/>
        </w:rPr>
      </w:pPr>
    </w:p>
    <w:p w14:paraId="797D77C5">
      <w:pPr>
        <w:pStyle w:val="12"/>
        <w:shd w:val="clear" w:color="auto" w:fill="auto"/>
        <w:spacing w:line="240" w:lineRule="auto"/>
        <w:ind w:firstLine="0"/>
        <w:jc w:val="both"/>
        <w:rPr>
          <w:sz w:val="20"/>
          <w:szCs w:val="20"/>
        </w:rPr>
      </w:pPr>
      <w:r>
        <w:rPr>
          <w:rStyle w:val="19"/>
          <w:sz w:val="20"/>
          <w:szCs w:val="20"/>
        </w:rPr>
        <w:t>Žene reproduktivne dobi/Kontracepcija kod muškaraca i žena</w:t>
      </w:r>
    </w:p>
    <w:p w14:paraId="5D68C138">
      <w:pPr>
        <w:pStyle w:val="12"/>
        <w:shd w:val="clear" w:color="auto" w:fill="auto"/>
        <w:spacing w:line="240" w:lineRule="auto"/>
        <w:ind w:firstLine="0"/>
        <w:jc w:val="both"/>
        <w:rPr>
          <w:sz w:val="20"/>
          <w:szCs w:val="20"/>
        </w:rPr>
      </w:pPr>
      <w:r>
        <w:rPr>
          <w:sz w:val="20"/>
          <w:szCs w:val="20"/>
        </w:rPr>
        <w:t>Žene reproduktivne dobi moraju koristiti visoko efikasnu kontracepciju tokom uzimanja everolimusa i do 8 nedelja nakon završetka liječenja (npr. hormonski kontraceptivi koji ne sadrže estrogen namijenjeni za oralnu</w:t>
      </w:r>
      <w:r>
        <w:rPr>
          <w:sz w:val="20"/>
          <w:szCs w:val="20"/>
          <w:lang w:val="sr-Cyrl-RS"/>
        </w:rPr>
        <w:t xml:space="preserve"> </w:t>
      </w:r>
      <w:r>
        <w:rPr>
          <w:sz w:val="20"/>
          <w:szCs w:val="20"/>
        </w:rPr>
        <w:t>primjenu</w:t>
      </w:r>
      <w:r>
        <w:rPr>
          <w:sz w:val="20"/>
          <w:szCs w:val="20"/>
          <w:lang w:val="sr-Cyrl-RS"/>
        </w:rPr>
        <w:t xml:space="preserve">, </w:t>
      </w:r>
      <w:r>
        <w:rPr>
          <w:sz w:val="20"/>
          <w:szCs w:val="20"/>
        </w:rPr>
        <w:t>u obliku injekcije ili implanta, kontraceptivi koji sadrže progesteron, histerektomija, podvezivanje jajovoda, potpuna seksualna apstinencija, metode barijere, intrauterini uložak i/ili sterilizacija žene/muškarca). Pacijentima muškog pola ne treba zabraniti da pokušaju za</w:t>
      </w:r>
      <w:r>
        <w:rPr>
          <w:sz w:val="20"/>
          <w:szCs w:val="20"/>
          <w:lang w:val="hr-BA"/>
        </w:rPr>
        <w:t>četi djete</w:t>
      </w:r>
      <w:r>
        <w:rPr>
          <w:sz w:val="20"/>
          <w:szCs w:val="20"/>
        </w:rPr>
        <w:t>.</w:t>
      </w:r>
    </w:p>
    <w:p w14:paraId="16C9568A">
      <w:pPr>
        <w:pStyle w:val="12"/>
        <w:shd w:val="clear" w:color="auto" w:fill="auto"/>
        <w:spacing w:line="240" w:lineRule="auto"/>
        <w:ind w:firstLine="0"/>
        <w:jc w:val="both"/>
        <w:rPr>
          <w:sz w:val="20"/>
          <w:szCs w:val="20"/>
        </w:rPr>
      </w:pPr>
    </w:p>
    <w:p w14:paraId="4509B3C4">
      <w:pPr>
        <w:pStyle w:val="12"/>
        <w:shd w:val="clear" w:color="auto" w:fill="auto"/>
        <w:spacing w:line="240" w:lineRule="auto"/>
        <w:ind w:firstLine="0"/>
        <w:jc w:val="both"/>
        <w:rPr>
          <w:sz w:val="20"/>
          <w:szCs w:val="20"/>
        </w:rPr>
      </w:pPr>
      <w:r>
        <w:rPr>
          <w:rStyle w:val="19"/>
          <w:sz w:val="20"/>
          <w:szCs w:val="20"/>
        </w:rPr>
        <w:t>Trudnoća</w:t>
      </w:r>
    </w:p>
    <w:p w14:paraId="2042328F">
      <w:pPr>
        <w:pStyle w:val="12"/>
        <w:shd w:val="clear" w:color="auto" w:fill="auto"/>
        <w:spacing w:line="240" w:lineRule="auto"/>
        <w:ind w:firstLine="0"/>
        <w:jc w:val="both"/>
        <w:rPr>
          <w:sz w:val="20"/>
          <w:szCs w:val="20"/>
        </w:rPr>
      </w:pPr>
      <w:r>
        <w:rPr>
          <w:sz w:val="20"/>
          <w:szCs w:val="20"/>
        </w:rPr>
        <w:t>Nema odgovarajućih podataka o primjeni everolimusa kod trudnica. Ispitivanja na životinjama pokazala su reproduktivnu toksičnost, uključujući embriotoksičnost i fetotoksičnost (pogledati dio 5.3). Potencijalni rizik za ljude nije poznat.</w:t>
      </w:r>
    </w:p>
    <w:p w14:paraId="269A4EF3">
      <w:pPr>
        <w:pStyle w:val="12"/>
        <w:shd w:val="clear" w:color="auto" w:fill="auto"/>
        <w:spacing w:line="240" w:lineRule="auto"/>
        <w:ind w:firstLine="0"/>
        <w:jc w:val="both"/>
        <w:rPr>
          <w:sz w:val="20"/>
          <w:szCs w:val="20"/>
        </w:rPr>
      </w:pPr>
    </w:p>
    <w:p w14:paraId="08D38032">
      <w:pPr>
        <w:pStyle w:val="12"/>
        <w:shd w:val="clear" w:color="auto" w:fill="auto"/>
        <w:spacing w:line="240" w:lineRule="auto"/>
        <w:ind w:firstLine="0"/>
        <w:jc w:val="both"/>
        <w:rPr>
          <w:sz w:val="20"/>
          <w:szCs w:val="20"/>
        </w:rPr>
      </w:pPr>
      <w:r>
        <w:rPr>
          <w:sz w:val="20"/>
          <w:szCs w:val="20"/>
        </w:rPr>
        <w:t>Ne preporučuje se primjena everolimusa u trudnoći i kod žena reproduktivne dobi koje ne koriste kontracepciju.</w:t>
      </w:r>
    </w:p>
    <w:p w14:paraId="34E9AF51">
      <w:pPr>
        <w:pStyle w:val="12"/>
        <w:shd w:val="clear" w:color="auto" w:fill="auto"/>
        <w:spacing w:line="240" w:lineRule="auto"/>
        <w:ind w:firstLine="0"/>
        <w:jc w:val="both"/>
        <w:rPr>
          <w:sz w:val="20"/>
          <w:szCs w:val="20"/>
        </w:rPr>
      </w:pPr>
    </w:p>
    <w:p w14:paraId="03F79643">
      <w:pPr>
        <w:pStyle w:val="12"/>
        <w:shd w:val="clear" w:color="auto" w:fill="auto"/>
        <w:spacing w:line="240" w:lineRule="auto"/>
        <w:ind w:firstLine="0"/>
        <w:jc w:val="both"/>
        <w:rPr>
          <w:sz w:val="20"/>
          <w:szCs w:val="20"/>
        </w:rPr>
      </w:pPr>
      <w:r>
        <w:rPr>
          <w:rStyle w:val="19"/>
          <w:sz w:val="20"/>
          <w:szCs w:val="20"/>
        </w:rPr>
        <w:t>Dojenje</w:t>
      </w:r>
    </w:p>
    <w:p w14:paraId="4C4C4807">
      <w:pPr>
        <w:pStyle w:val="12"/>
        <w:shd w:val="clear" w:color="auto" w:fill="auto"/>
        <w:spacing w:line="240" w:lineRule="auto"/>
        <w:ind w:firstLine="0"/>
        <w:jc w:val="both"/>
        <w:rPr>
          <w:sz w:val="20"/>
          <w:szCs w:val="20"/>
        </w:rPr>
      </w:pPr>
      <w:r>
        <w:rPr>
          <w:sz w:val="20"/>
          <w:szCs w:val="20"/>
        </w:rPr>
        <w:t>Nije poznato izlučuje li se everolimus u majčino mlijeko kod ljudi. Međutim, kod štakora se everolimus i/ili njegovi metaboliti lako izlučuju u mlijeko (pogledati dio 5.3). Zato žene koje uzimaju everolimus ne smiju dojiti tokom liječenja te još 2 nedelje nakon posljednje doze.</w:t>
      </w:r>
    </w:p>
    <w:p w14:paraId="25741D85">
      <w:pPr>
        <w:pStyle w:val="12"/>
        <w:shd w:val="clear" w:color="auto" w:fill="auto"/>
        <w:spacing w:line="240" w:lineRule="auto"/>
        <w:ind w:firstLine="0"/>
        <w:jc w:val="both"/>
        <w:rPr>
          <w:sz w:val="20"/>
          <w:szCs w:val="20"/>
        </w:rPr>
      </w:pPr>
    </w:p>
    <w:p w14:paraId="729D3D26">
      <w:pPr>
        <w:pStyle w:val="12"/>
        <w:shd w:val="clear" w:color="auto" w:fill="auto"/>
        <w:spacing w:line="240" w:lineRule="auto"/>
        <w:ind w:firstLine="0"/>
        <w:jc w:val="both"/>
        <w:rPr>
          <w:sz w:val="20"/>
          <w:szCs w:val="20"/>
        </w:rPr>
      </w:pPr>
      <w:r>
        <w:rPr>
          <w:rStyle w:val="19"/>
          <w:sz w:val="20"/>
          <w:szCs w:val="20"/>
        </w:rPr>
        <w:t>Plodnost</w:t>
      </w:r>
    </w:p>
    <w:p w14:paraId="153FBFBC">
      <w:pPr>
        <w:pStyle w:val="12"/>
        <w:shd w:val="clear" w:color="auto" w:fill="auto"/>
        <w:spacing w:line="240" w:lineRule="auto"/>
        <w:ind w:firstLine="0"/>
        <w:jc w:val="both"/>
        <w:rPr>
          <w:sz w:val="20"/>
          <w:szCs w:val="20"/>
        </w:rPr>
      </w:pPr>
      <w:r>
        <w:rPr>
          <w:sz w:val="20"/>
          <w:szCs w:val="20"/>
        </w:rPr>
        <w:t>Nije poznato izaziva li everolimus neplodnost kod liječenih muških i ženskih pacijenata, ali kod žena je uočena amenoreja (sekundarna amenoreja i druge menstrualne nepravilnosti) praćena neravnotežom luteinizirajućeg hormona (LH) i folikulostimulirajućeg hormona (FSH). Na temelju nekliničkih podataka, plodnost kod muškaraca i žena može biti kompromitovana zbog liječenja everolimusom (pogledati dio 5.3).</w:t>
      </w:r>
    </w:p>
    <w:p w14:paraId="49AB5C8C">
      <w:pPr>
        <w:pStyle w:val="12"/>
        <w:shd w:val="clear" w:color="auto" w:fill="auto"/>
        <w:spacing w:line="240" w:lineRule="auto"/>
        <w:ind w:firstLine="0"/>
        <w:jc w:val="both"/>
        <w:rPr>
          <w:b/>
          <w:sz w:val="20"/>
          <w:szCs w:val="20"/>
        </w:rPr>
      </w:pPr>
    </w:p>
    <w:p w14:paraId="4E0A4B1D">
      <w:pPr>
        <w:pStyle w:val="12"/>
        <w:numPr>
          <w:ilvl w:val="1"/>
          <w:numId w:val="1"/>
        </w:numPr>
        <w:shd w:val="clear" w:color="auto" w:fill="auto"/>
        <w:tabs>
          <w:tab w:val="left" w:pos="596"/>
        </w:tabs>
        <w:spacing w:line="240" w:lineRule="auto"/>
        <w:ind w:firstLine="0"/>
        <w:jc w:val="both"/>
        <w:rPr>
          <w:b/>
          <w:sz w:val="20"/>
          <w:szCs w:val="20"/>
        </w:rPr>
      </w:pPr>
      <w:r>
        <w:rPr>
          <w:b/>
          <w:sz w:val="20"/>
          <w:szCs w:val="20"/>
        </w:rPr>
        <w:t>Uticaj na sposobnost upravljanja vozilima i rada sa mašinama</w:t>
      </w:r>
    </w:p>
    <w:p w14:paraId="7BF072B8">
      <w:pPr>
        <w:pStyle w:val="12"/>
        <w:shd w:val="clear" w:color="auto" w:fill="auto"/>
        <w:tabs>
          <w:tab w:val="left" w:pos="596"/>
        </w:tabs>
        <w:spacing w:line="240" w:lineRule="auto"/>
        <w:ind w:firstLine="0"/>
        <w:jc w:val="both"/>
        <w:rPr>
          <w:sz w:val="20"/>
          <w:szCs w:val="20"/>
        </w:rPr>
      </w:pPr>
    </w:p>
    <w:p w14:paraId="526DFF38">
      <w:pPr>
        <w:pStyle w:val="12"/>
        <w:shd w:val="clear" w:color="auto" w:fill="auto"/>
        <w:spacing w:line="240" w:lineRule="auto"/>
        <w:ind w:firstLine="0"/>
        <w:jc w:val="both"/>
        <w:rPr>
          <w:sz w:val="20"/>
          <w:szCs w:val="20"/>
        </w:rPr>
      </w:pPr>
      <w:r>
        <w:rPr>
          <w:sz w:val="20"/>
          <w:szCs w:val="20"/>
        </w:rPr>
        <w:t>Everolimus malo ili umjereno utiče na sposobnost upravljanja vozilima i rada sa mašinama. Pacijentima je potrebno savjetovati da budu oprezni pri upravljanju vozilima ili radu sa mašinama ako tokom liječenja everolimusom osjete umor.</w:t>
      </w:r>
    </w:p>
    <w:p w14:paraId="60E4E347">
      <w:pPr>
        <w:pStyle w:val="12"/>
        <w:shd w:val="clear" w:color="auto" w:fill="auto"/>
        <w:spacing w:line="240" w:lineRule="auto"/>
        <w:ind w:firstLine="0"/>
        <w:jc w:val="both"/>
        <w:rPr>
          <w:sz w:val="20"/>
          <w:szCs w:val="20"/>
        </w:rPr>
      </w:pPr>
    </w:p>
    <w:p w14:paraId="47F01620">
      <w:pPr>
        <w:pStyle w:val="12"/>
        <w:numPr>
          <w:ilvl w:val="1"/>
          <w:numId w:val="1"/>
        </w:numPr>
        <w:shd w:val="clear" w:color="auto" w:fill="auto"/>
        <w:tabs>
          <w:tab w:val="left" w:pos="596"/>
        </w:tabs>
        <w:spacing w:line="240" w:lineRule="auto"/>
        <w:ind w:firstLine="0"/>
        <w:jc w:val="both"/>
        <w:rPr>
          <w:b/>
          <w:sz w:val="20"/>
          <w:szCs w:val="20"/>
        </w:rPr>
      </w:pPr>
      <w:r>
        <w:rPr>
          <w:b/>
          <w:sz w:val="20"/>
          <w:szCs w:val="20"/>
        </w:rPr>
        <w:t>Neželjena djelovanja</w:t>
      </w:r>
    </w:p>
    <w:p w14:paraId="608DA2B7">
      <w:pPr>
        <w:pStyle w:val="12"/>
        <w:shd w:val="clear" w:color="auto" w:fill="auto"/>
        <w:tabs>
          <w:tab w:val="left" w:pos="596"/>
        </w:tabs>
        <w:spacing w:line="240" w:lineRule="auto"/>
        <w:ind w:firstLine="0"/>
        <w:jc w:val="both"/>
        <w:rPr>
          <w:b/>
          <w:sz w:val="20"/>
          <w:szCs w:val="20"/>
        </w:rPr>
      </w:pPr>
    </w:p>
    <w:p w14:paraId="34A81F32">
      <w:pPr>
        <w:pStyle w:val="12"/>
        <w:shd w:val="clear" w:color="auto" w:fill="auto"/>
        <w:spacing w:line="240" w:lineRule="auto"/>
        <w:ind w:firstLine="0"/>
        <w:jc w:val="both"/>
        <w:rPr>
          <w:sz w:val="20"/>
          <w:szCs w:val="20"/>
        </w:rPr>
      </w:pPr>
      <w:r>
        <w:rPr>
          <w:rStyle w:val="19"/>
          <w:sz w:val="20"/>
          <w:szCs w:val="20"/>
        </w:rPr>
        <w:t>Sažetak sigurnosnog profila</w:t>
      </w:r>
    </w:p>
    <w:p w14:paraId="30C19D67">
      <w:pPr>
        <w:pStyle w:val="12"/>
        <w:shd w:val="clear" w:color="auto" w:fill="auto"/>
        <w:spacing w:line="240" w:lineRule="auto"/>
        <w:ind w:firstLine="0"/>
        <w:jc w:val="both"/>
        <w:rPr>
          <w:sz w:val="20"/>
          <w:szCs w:val="20"/>
        </w:rPr>
      </w:pPr>
      <w:r>
        <w:rPr>
          <w:sz w:val="20"/>
          <w:szCs w:val="20"/>
        </w:rPr>
        <w:t>Sigurnosni profil temelji se na objedinjenim podacima od 2879 pacijenata liječenih everolimusom u 11 kliničkih ispitivanja, od kojih su pet bila randomizirana, dvostruko slijepa, placebom kontrolirana ispitivanja faze III, a šest su bila otvorena ispitivanja faze I i faze II, vezana uz odobrene indikacije.</w:t>
      </w:r>
    </w:p>
    <w:p w14:paraId="0EC042E6">
      <w:pPr>
        <w:pStyle w:val="12"/>
        <w:shd w:val="clear" w:color="auto" w:fill="auto"/>
        <w:spacing w:line="240" w:lineRule="auto"/>
        <w:ind w:firstLine="0"/>
        <w:jc w:val="both"/>
        <w:rPr>
          <w:sz w:val="20"/>
          <w:szCs w:val="20"/>
        </w:rPr>
      </w:pPr>
    </w:p>
    <w:p w14:paraId="00D33A2A">
      <w:pPr>
        <w:pStyle w:val="12"/>
        <w:shd w:val="clear" w:color="auto" w:fill="auto"/>
        <w:spacing w:line="240" w:lineRule="auto"/>
        <w:ind w:firstLine="0"/>
        <w:jc w:val="both"/>
        <w:rPr>
          <w:sz w:val="20"/>
          <w:szCs w:val="20"/>
        </w:rPr>
      </w:pPr>
      <w:r>
        <w:rPr>
          <w:sz w:val="20"/>
          <w:szCs w:val="20"/>
        </w:rPr>
        <w:t xml:space="preserve">Najčešća neželjena djelovanja (incidenca </w:t>
      </w:r>
      <w:r>
        <w:rPr>
          <w:szCs w:val="22"/>
        </w:rPr>
        <w:t>≥</w:t>
      </w:r>
      <w:r>
        <w:rPr>
          <w:sz w:val="20"/>
          <w:szCs w:val="20"/>
        </w:rPr>
        <w:t>1/10) iz objedinjenih bezbjednosnih podataka su (prema opadajućem redoslijedu): stomatitis, osip, umor, proliv, infekcije, mučnina, smanjeni apetit, anemija, disgeuzija, pneumonitis, periferni edem, hiperglikemija, astenija, svrbež, gubitak tjelesne težine, hiperholesterolemija, epistaksa, kašalj i glavobolja.</w:t>
      </w:r>
    </w:p>
    <w:p w14:paraId="426B111C">
      <w:pPr>
        <w:pStyle w:val="12"/>
        <w:shd w:val="clear" w:color="auto" w:fill="auto"/>
        <w:spacing w:line="240" w:lineRule="auto"/>
        <w:ind w:firstLine="0"/>
        <w:jc w:val="both"/>
        <w:rPr>
          <w:sz w:val="20"/>
          <w:szCs w:val="20"/>
        </w:rPr>
      </w:pPr>
    </w:p>
    <w:p w14:paraId="207C2D53">
      <w:pPr>
        <w:pStyle w:val="12"/>
        <w:shd w:val="clear" w:color="auto" w:fill="auto"/>
        <w:spacing w:line="240" w:lineRule="auto"/>
        <w:ind w:firstLine="0"/>
        <w:jc w:val="both"/>
        <w:rPr>
          <w:sz w:val="20"/>
          <w:szCs w:val="20"/>
        </w:rPr>
      </w:pPr>
      <w:r>
        <w:rPr>
          <w:sz w:val="20"/>
          <w:szCs w:val="20"/>
        </w:rPr>
        <w:t xml:space="preserve">Najučestalija neželjena djelovanja stepena 3-4 (incidenca </w:t>
      </w:r>
      <w:r>
        <w:rPr>
          <w:szCs w:val="22"/>
        </w:rPr>
        <w:t>≥</w:t>
      </w:r>
      <w:r>
        <w:rPr>
          <w:sz w:val="20"/>
          <w:szCs w:val="20"/>
        </w:rPr>
        <w:t xml:space="preserve">1/100 do &lt;1/10) su bile stomatitis, anemija, hiperglikemija, infekcije, umor, proliv, pneumonitis, astenija, trombocitopenija, neutropenija, dispneja, proteinurija, limfopenija, hemoragija, hipofosfatemija, osip, hipertenzija, pneumonija, povećane vrijednosti alanin aminotransferaza (ALT), povećane vrijednosti aspartat aminotransferaza </w:t>
      </w:r>
      <w:r>
        <w:rPr>
          <w:rStyle w:val="51"/>
          <w:sz w:val="20"/>
          <w:szCs w:val="20"/>
        </w:rPr>
        <w:t>(aSt)</w:t>
      </w:r>
      <w:r>
        <w:rPr>
          <w:sz w:val="20"/>
          <w:szCs w:val="20"/>
        </w:rPr>
        <w:t xml:space="preserve"> i dijabetes melitus. Stepeni neželjenih djelovanja određeni su prema CTCAE Verziji 3.0 i 4.03. </w:t>
      </w:r>
    </w:p>
    <w:p w14:paraId="56E39966">
      <w:pPr>
        <w:pStyle w:val="12"/>
        <w:shd w:val="clear" w:color="auto" w:fill="auto"/>
        <w:spacing w:line="240" w:lineRule="auto"/>
        <w:ind w:firstLine="0"/>
        <w:jc w:val="both"/>
        <w:rPr>
          <w:sz w:val="20"/>
          <w:szCs w:val="20"/>
        </w:rPr>
      </w:pPr>
    </w:p>
    <w:p w14:paraId="7480CC7F">
      <w:pPr>
        <w:pStyle w:val="12"/>
        <w:shd w:val="clear" w:color="auto" w:fill="auto"/>
        <w:spacing w:line="240" w:lineRule="auto"/>
        <w:ind w:firstLine="0"/>
        <w:jc w:val="both"/>
        <w:rPr>
          <w:sz w:val="20"/>
          <w:szCs w:val="20"/>
        </w:rPr>
      </w:pPr>
      <w:r>
        <w:rPr>
          <w:rStyle w:val="19"/>
          <w:sz w:val="20"/>
          <w:szCs w:val="20"/>
        </w:rPr>
        <w:t>Tabelarni popis neželjenih djelovanja</w:t>
      </w:r>
    </w:p>
    <w:p w14:paraId="0C321A4D">
      <w:pPr>
        <w:pStyle w:val="12"/>
        <w:shd w:val="clear" w:color="auto" w:fill="auto"/>
        <w:spacing w:line="240" w:lineRule="auto"/>
        <w:ind w:firstLine="0"/>
        <w:jc w:val="both"/>
        <w:rPr>
          <w:sz w:val="20"/>
          <w:szCs w:val="20"/>
        </w:rPr>
      </w:pPr>
      <w:r>
        <w:rPr>
          <w:sz w:val="20"/>
          <w:szCs w:val="20"/>
        </w:rPr>
        <w:t>U Tablici 3 prikazana je kategorija učestalosti neželjenih djelovanja prijavljenih u objedinjenoj analizi razmatranoj za bezbjednosno praćenje. Neželjena djelovanja su navedene prema MedDRA klasifikaciji organskih sistema i kategoriji učestalosti. Kategorije učestalosti definisane su na sljedeći način: vrlo često (</w:t>
      </w:r>
      <w:r>
        <w:rPr>
          <w:szCs w:val="22"/>
        </w:rPr>
        <w:t>≥</w:t>
      </w:r>
      <w:r>
        <w:rPr>
          <w:sz w:val="20"/>
          <w:szCs w:val="20"/>
        </w:rPr>
        <w:t>1/10); često (</w:t>
      </w:r>
      <w:r>
        <w:rPr>
          <w:szCs w:val="22"/>
        </w:rPr>
        <w:t>≥</w:t>
      </w:r>
      <w:r>
        <w:rPr>
          <w:sz w:val="20"/>
          <w:szCs w:val="20"/>
        </w:rPr>
        <w:t>1/100 i &lt;1/10); povremeno (</w:t>
      </w:r>
      <w:r>
        <w:rPr>
          <w:szCs w:val="22"/>
        </w:rPr>
        <w:t>≥</w:t>
      </w:r>
      <w:r>
        <w:rPr>
          <w:sz w:val="20"/>
          <w:szCs w:val="20"/>
        </w:rPr>
        <w:t>1/1000 i &lt;1/100); rijetko (</w:t>
      </w:r>
      <w:r>
        <w:rPr>
          <w:szCs w:val="22"/>
        </w:rPr>
        <w:t>≥</w:t>
      </w:r>
      <w:r>
        <w:rPr>
          <w:sz w:val="20"/>
          <w:szCs w:val="20"/>
        </w:rPr>
        <w:t>1/10 000 i &lt;1/1000); vrlo rijetko (&lt;1/10 000); nepoznato (ne može se procijeniti na osnovu dostupnih podataka). Unutar svake grupe učestalosti neželjena djelovanja su navedene po opadaju</w:t>
      </w:r>
      <w:r>
        <w:rPr>
          <w:sz w:val="20"/>
          <w:szCs w:val="20"/>
          <w:lang w:val="hr-BA"/>
        </w:rPr>
        <w:t>ćem nizu prema ozbiljnosti</w:t>
      </w:r>
      <w:r>
        <w:rPr>
          <w:sz w:val="20"/>
          <w:szCs w:val="20"/>
        </w:rPr>
        <w:t>.</w:t>
      </w:r>
    </w:p>
    <w:p w14:paraId="7927C0AE">
      <w:pPr>
        <w:pStyle w:val="12"/>
        <w:shd w:val="clear" w:color="auto" w:fill="auto"/>
        <w:spacing w:line="240" w:lineRule="auto"/>
        <w:ind w:firstLine="0"/>
        <w:jc w:val="both"/>
        <w:rPr>
          <w:sz w:val="20"/>
          <w:szCs w:val="20"/>
        </w:rPr>
      </w:pPr>
    </w:p>
    <w:p w14:paraId="0517C2B5">
      <w:pPr>
        <w:pStyle w:val="12"/>
        <w:shd w:val="clear" w:color="auto" w:fill="auto"/>
        <w:spacing w:line="240" w:lineRule="auto"/>
        <w:ind w:firstLine="0"/>
        <w:jc w:val="both"/>
        <w:rPr>
          <w:rStyle w:val="46"/>
          <w:b/>
          <w:sz w:val="20"/>
          <w:szCs w:val="20"/>
          <w:u w:val="none"/>
        </w:rPr>
      </w:pPr>
      <w:r>
        <w:rPr>
          <w:rStyle w:val="46"/>
          <w:b/>
          <w:sz w:val="20"/>
          <w:szCs w:val="20"/>
          <w:u w:val="none"/>
        </w:rPr>
        <w:t>Tablica 3 Neželjena djelovanja prijavljene u kliničkim ispitivanjima</w:t>
      </w:r>
    </w:p>
    <w:tbl>
      <w:tblPr>
        <w:tblStyle w:val="3"/>
        <w:tblW w:w="9326" w:type="dxa"/>
        <w:tblInd w:w="10" w:type="dxa"/>
        <w:tblLayout w:type="fixed"/>
        <w:tblCellMar>
          <w:top w:w="0" w:type="dxa"/>
          <w:left w:w="10" w:type="dxa"/>
          <w:bottom w:w="0" w:type="dxa"/>
          <w:right w:w="10" w:type="dxa"/>
        </w:tblCellMar>
      </w:tblPr>
      <w:tblGrid>
        <w:gridCol w:w="1701"/>
        <w:gridCol w:w="7625"/>
      </w:tblGrid>
      <w:tr w14:paraId="65B34F9A">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2B5E8F7C">
            <w:pPr>
              <w:pStyle w:val="12"/>
              <w:shd w:val="clear" w:color="auto" w:fill="auto"/>
              <w:spacing w:line="240" w:lineRule="auto"/>
              <w:ind w:firstLine="0"/>
              <w:jc w:val="both"/>
              <w:rPr>
                <w:b/>
                <w:sz w:val="20"/>
                <w:szCs w:val="20"/>
              </w:rPr>
            </w:pPr>
            <w:r>
              <w:rPr>
                <w:rStyle w:val="24"/>
                <w:b/>
                <w:sz w:val="20"/>
                <w:szCs w:val="20"/>
              </w:rPr>
              <w:t>Infekcije i infestacije</w:t>
            </w:r>
          </w:p>
        </w:tc>
      </w:tr>
      <w:tr w14:paraId="24840B90">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B01B2B2">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7B3111C7">
            <w:pPr>
              <w:pStyle w:val="12"/>
              <w:shd w:val="clear" w:color="auto" w:fill="auto"/>
              <w:spacing w:line="240" w:lineRule="auto"/>
              <w:ind w:firstLine="0"/>
              <w:jc w:val="both"/>
              <w:rPr>
                <w:sz w:val="20"/>
                <w:szCs w:val="20"/>
              </w:rPr>
            </w:pPr>
            <w:r>
              <w:rPr>
                <w:rStyle w:val="24"/>
                <w:sz w:val="20"/>
                <w:szCs w:val="20"/>
              </w:rPr>
              <w:t xml:space="preserve">Infekcije </w:t>
            </w:r>
            <w:r>
              <w:rPr>
                <w:rStyle w:val="24"/>
                <w:sz w:val="20"/>
                <w:szCs w:val="20"/>
                <w:vertAlign w:val="superscript"/>
              </w:rPr>
              <w:t>a,</w:t>
            </w:r>
            <w:r>
              <w:rPr>
                <w:rStyle w:val="24"/>
                <w:sz w:val="20"/>
                <w:szCs w:val="20"/>
              </w:rPr>
              <w:t>*</w:t>
            </w:r>
          </w:p>
        </w:tc>
      </w:tr>
      <w:tr w14:paraId="6A2282F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8BC47FC">
            <w:pPr>
              <w:pStyle w:val="12"/>
              <w:shd w:val="clear" w:color="auto" w:fill="auto"/>
              <w:spacing w:line="240" w:lineRule="auto"/>
              <w:ind w:firstLine="0"/>
              <w:jc w:val="both"/>
              <w:rPr>
                <w:b/>
                <w:sz w:val="20"/>
                <w:szCs w:val="20"/>
              </w:rPr>
            </w:pPr>
            <w:r>
              <w:rPr>
                <w:rStyle w:val="24"/>
                <w:b/>
                <w:sz w:val="20"/>
                <w:szCs w:val="20"/>
              </w:rPr>
              <w:t>Poremećaji krvi i limfnog sistema</w:t>
            </w:r>
          </w:p>
        </w:tc>
      </w:tr>
      <w:tr w14:paraId="675FA94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907E1E0">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E713088">
            <w:pPr>
              <w:pStyle w:val="12"/>
              <w:shd w:val="clear" w:color="auto" w:fill="auto"/>
              <w:spacing w:line="240" w:lineRule="auto"/>
              <w:ind w:firstLine="0"/>
              <w:jc w:val="both"/>
              <w:rPr>
                <w:sz w:val="20"/>
                <w:szCs w:val="20"/>
              </w:rPr>
            </w:pPr>
            <w:r>
              <w:rPr>
                <w:rStyle w:val="24"/>
                <w:sz w:val="20"/>
                <w:szCs w:val="20"/>
              </w:rPr>
              <w:t>Anemija</w:t>
            </w:r>
          </w:p>
        </w:tc>
      </w:tr>
      <w:tr w14:paraId="5C01A68F">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EA4EB">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D39C32E">
            <w:pPr>
              <w:pStyle w:val="12"/>
              <w:shd w:val="clear" w:color="auto" w:fill="auto"/>
              <w:spacing w:line="240" w:lineRule="auto"/>
              <w:ind w:firstLine="0"/>
              <w:jc w:val="both"/>
              <w:rPr>
                <w:sz w:val="20"/>
                <w:szCs w:val="20"/>
              </w:rPr>
            </w:pPr>
            <w:r>
              <w:rPr>
                <w:rStyle w:val="24"/>
                <w:sz w:val="20"/>
                <w:szCs w:val="20"/>
              </w:rPr>
              <w:t>Trombocitopenija, neutropenija, leukopenija, limfopenija</w:t>
            </w:r>
          </w:p>
        </w:tc>
      </w:tr>
      <w:tr w14:paraId="077A412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65F96B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C24B680">
            <w:pPr>
              <w:pStyle w:val="12"/>
              <w:shd w:val="clear" w:color="auto" w:fill="auto"/>
              <w:spacing w:line="240" w:lineRule="auto"/>
              <w:ind w:firstLine="0"/>
              <w:jc w:val="both"/>
              <w:rPr>
                <w:sz w:val="20"/>
                <w:szCs w:val="20"/>
              </w:rPr>
            </w:pPr>
            <w:r>
              <w:rPr>
                <w:rStyle w:val="24"/>
                <w:sz w:val="20"/>
                <w:szCs w:val="20"/>
              </w:rPr>
              <w:t>Pancitopenija</w:t>
            </w:r>
          </w:p>
        </w:tc>
      </w:tr>
      <w:tr w14:paraId="33F11BF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7822BAFA">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676BF70A">
            <w:pPr>
              <w:pStyle w:val="12"/>
              <w:shd w:val="clear" w:color="auto" w:fill="auto"/>
              <w:spacing w:line="240" w:lineRule="auto"/>
              <w:ind w:firstLine="0"/>
              <w:jc w:val="both"/>
              <w:rPr>
                <w:sz w:val="20"/>
                <w:szCs w:val="20"/>
              </w:rPr>
            </w:pPr>
            <w:r>
              <w:rPr>
                <w:rStyle w:val="24"/>
                <w:sz w:val="20"/>
                <w:szCs w:val="20"/>
              </w:rPr>
              <w:t>Čista aplazija crvenih krvnih ćelija</w:t>
            </w:r>
          </w:p>
        </w:tc>
      </w:tr>
      <w:tr w14:paraId="510351F1">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3CAAAB2">
            <w:pPr>
              <w:pStyle w:val="12"/>
              <w:shd w:val="clear" w:color="auto" w:fill="auto"/>
              <w:spacing w:line="240" w:lineRule="auto"/>
              <w:ind w:firstLine="0"/>
              <w:jc w:val="both"/>
              <w:rPr>
                <w:b/>
                <w:sz w:val="20"/>
                <w:szCs w:val="20"/>
              </w:rPr>
            </w:pPr>
            <w:r>
              <w:rPr>
                <w:rStyle w:val="24"/>
                <w:b/>
                <w:sz w:val="20"/>
                <w:szCs w:val="20"/>
              </w:rPr>
              <w:t>Poremećaji imunološkog sistema</w:t>
            </w:r>
          </w:p>
        </w:tc>
      </w:tr>
      <w:tr w14:paraId="69C4E7A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76B7E3E">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1D6D562">
            <w:pPr>
              <w:pStyle w:val="12"/>
              <w:shd w:val="clear" w:color="auto" w:fill="auto"/>
              <w:spacing w:line="240" w:lineRule="auto"/>
              <w:ind w:firstLine="0"/>
              <w:jc w:val="both"/>
              <w:rPr>
                <w:sz w:val="20"/>
                <w:szCs w:val="20"/>
              </w:rPr>
            </w:pPr>
            <w:r>
              <w:rPr>
                <w:rStyle w:val="24"/>
                <w:sz w:val="20"/>
                <w:szCs w:val="20"/>
              </w:rPr>
              <w:t>Preosjetljivost</w:t>
            </w:r>
          </w:p>
        </w:tc>
      </w:tr>
      <w:tr w14:paraId="71A7BEA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1F86782">
            <w:pPr>
              <w:pStyle w:val="12"/>
              <w:shd w:val="clear" w:color="auto" w:fill="auto"/>
              <w:spacing w:line="240" w:lineRule="auto"/>
              <w:ind w:firstLine="0"/>
              <w:jc w:val="both"/>
              <w:rPr>
                <w:b/>
                <w:sz w:val="20"/>
                <w:szCs w:val="20"/>
              </w:rPr>
            </w:pPr>
            <w:r>
              <w:rPr>
                <w:rStyle w:val="24"/>
                <w:b/>
                <w:sz w:val="20"/>
                <w:szCs w:val="20"/>
              </w:rPr>
              <w:t>Poremećaji metabolizma i prehrane</w:t>
            </w:r>
          </w:p>
        </w:tc>
      </w:tr>
      <w:tr w14:paraId="77DD2FF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B49804E">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5DCC0B5F">
            <w:pPr>
              <w:pStyle w:val="12"/>
              <w:shd w:val="clear" w:color="auto" w:fill="auto"/>
              <w:spacing w:line="240" w:lineRule="auto"/>
              <w:ind w:firstLine="0"/>
              <w:jc w:val="both"/>
              <w:rPr>
                <w:sz w:val="20"/>
                <w:szCs w:val="20"/>
              </w:rPr>
            </w:pPr>
            <w:r>
              <w:rPr>
                <w:rStyle w:val="24"/>
                <w:sz w:val="20"/>
                <w:szCs w:val="20"/>
              </w:rPr>
              <w:t>Smanjeni apetit, hiperglikemija, hiperholesterolemija</w:t>
            </w:r>
          </w:p>
        </w:tc>
      </w:tr>
      <w:tr w14:paraId="4A310E49">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7B85617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46F899CC">
            <w:pPr>
              <w:pStyle w:val="12"/>
              <w:shd w:val="clear" w:color="auto" w:fill="auto"/>
              <w:spacing w:line="240" w:lineRule="auto"/>
              <w:ind w:firstLine="0"/>
              <w:jc w:val="both"/>
              <w:rPr>
                <w:sz w:val="20"/>
                <w:szCs w:val="20"/>
              </w:rPr>
            </w:pPr>
            <w:r>
              <w:rPr>
                <w:rStyle w:val="24"/>
                <w:sz w:val="20"/>
                <w:szCs w:val="20"/>
              </w:rPr>
              <w:t>Hipertrigliceridemija, hipofosfatemija, diabetes mellitus, hiperlipidemija, hipokalemija, dehidratacija, hipokalcemija</w:t>
            </w:r>
          </w:p>
        </w:tc>
      </w:tr>
      <w:tr w14:paraId="6544533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6FDE4EE">
            <w:pPr>
              <w:pStyle w:val="12"/>
              <w:shd w:val="clear" w:color="auto" w:fill="auto"/>
              <w:spacing w:line="240" w:lineRule="auto"/>
              <w:ind w:firstLine="0"/>
              <w:jc w:val="both"/>
              <w:rPr>
                <w:b/>
                <w:sz w:val="20"/>
                <w:szCs w:val="20"/>
              </w:rPr>
            </w:pPr>
            <w:r>
              <w:rPr>
                <w:rStyle w:val="24"/>
                <w:b/>
                <w:sz w:val="20"/>
                <w:szCs w:val="20"/>
              </w:rPr>
              <w:t>Psihijatrijski poremećaji</w:t>
            </w:r>
          </w:p>
        </w:tc>
      </w:tr>
      <w:tr w14:paraId="38B0CF5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938DC71">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56D99C4">
            <w:pPr>
              <w:pStyle w:val="12"/>
              <w:shd w:val="clear" w:color="auto" w:fill="auto"/>
              <w:spacing w:line="240" w:lineRule="auto"/>
              <w:ind w:firstLine="0"/>
              <w:jc w:val="both"/>
              <w:rPr>
                <w:sz w:val="20"/>
                <w:szCs w:val="20"/>
              </w:rPr>
            </w:pPr>
            <w:r>
              <w:rPr>
                <w:rStyle w:val="24"/>
                <w:sz w:val="20"/>
                <w:szCs w:val="20"/>
              </w:rPr>
              <w:t>Nesanica</w:t>
            </w:r>
          </w:p>
        </w:tc>
      </w:tr>
      <w:tr w14:paraId="24A67AA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0E2B77">
            <w:pPr>
              <w:pStyle w:val="12"/>
              <w:shd w:val="clear" w:color="auto" w:fill="auto"/>
              <w:spacing w:line="240" w:lineRule="auto"/>
              <w:ind w:firstLine="0"/>
              <w:jc w:val="both"/>
              <w:rPr>
                <w:b/>
                <w:sz w:val="20"/>
                <w:szCs w:val="20"/>
              </w:rPr>
            </w:pPr>
            <w:r>
              <w:rPr>
                <w:rStyle w:val="24"/>
                <w:b/>
                <w:sz w:val="20"/>
                <w:szCs w:val="20"/>
              </w:rPr>
              <w:t>Poremećaji nervnog sistema</w:t>
            </w:r>
          </w:p>
        </w:tc>
      </w:tr>
      <w:tr w14:paraId="322C0E6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1BC2D6A">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B26FFB1">
            <w:pPr>
              <w:pStyle w:val="12"/>
              <w:shd w:val="clear" w:color="auto" w:fill="auto"/>
              <w:spacing w:line="240" w:lineRule="auto"/>
              <w:ind w:firstLine="0"/>
              <w:jc w:val="both"/>
              <w:rPr>
                <w:sz w:val="20"/>
                <w:szCs w:val="20"/>
              </w:rPr>
            </w:pPr>
            <w:r>
              <w:rPr>
                <w:rStyle w:val="24"/>
                <w:sz w:val="20"/>
                <w:szCs w:val="20"/>
              </w:rPr>
              <w:t>Disgeuzija, glavobolja</w:t>
            </w:r>
          </w:p>
        </w:tc>
      </w:tr>
      <w:tr w14:paraId="68E069B7">
        <w:tblPrEx>
          <w:tblCellMar>
            <w:top w:w="0" w:type="dxa"/>
            <w:left w:w="10" w:type="dxa"/>
            <w:bottom w:w="0" w:type="dxa"/>
            <w:right w:w="10" w:type="dxa"/>
          </w:tblCellMar>
        </w:tblPrEx>
        <w:trPr>
          <w:trHeight w:val="274" w:hRule="atLeast"/>
        </w:trPr>
        <w:tc>
          <w:tcPr>
            <w:tcW w:w="1701" w:type="dxa"/>
            <w:tcBorders>
              <w:top w:val="single" w:color="auto" w:sz="4" w:space="0"/>
              <w:left w:val="single" w:color="auto" w:sz="4" w:space="0"/>
            </w:tcBorders>
            <w:shd w:val="clear" w:color="auto" w:fill="FFFFFF"/>
          </w:tcPr>
          <w:p w14:paraId="5F307A5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61D2A3BD">
            <w:pPr>
              <w:pStyle w:val="12"/>
              <w:shd w:val="clear" w:color="auto" w:fill="auto"/>
              <w:spacing w:line="240" w:lineRule="auto"/>
              <w:ind w:firstLine="0"/>
              <w:jc w:val="both"/>
              <w:rPr>
                <w:sz w:val="20"/>
                <w:szCs w:val="20"/>
              </w:rPr>
            </w:pPr>
            <w:r>
              <w:rPr>
                <w:rStyle w:val="24"/>
                <w:sz w:val="20"/>
                <w:szCs w:val="20"/>
              </w:rPr>
              <w:t>Ageuzija</w:t>
            </w:r>
          </w:p>
        </w:tc>
      </w:tr>
      <w:tr w14:paraId="54CC814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4448C71">
            <w:pPr>
              <w:pStyle w:val="12"/>
              <w:shd w:val="clear" w:color="auto" w:fill="auto"/>
              <w:spacing w:line="240" w:lineRule="auto"/>
              <w:ind w:firstLine="0"/>
              <w:jc w:val="both"/>
              <w:rPr>
                <w:b/>
                <w:sz w:val="20"/>
                <w:szCs w:val="20"/>
              </w:rPr>
            </w:pPr>
            <w:r>
              <w:rPr>
                <w:rStyle w:val="24"/>
                <w:b/>
                <w:sz w:val="20"/>
                <w:szCs w:val="20"/>
              </w:rPr>
              <w:t>Poremećaji oka</w:t>
            </w:r>
          </w:p>
        </w:tc>
      </w:tr>
      <w:tr w14:paraId="5851C3B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4892DEE">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B3DDD3">
            <w:pPr>
              <w:pStyle w:val="12"/>
              <w:shd w:val="clear" w:color="auto" w:fill="auto"/>
              <w:spacing w:line="240" w:lineRule="auto"/>
              <w:ind w:firstLine="0"/>
              <w:jc w:val="both"/>
              <w:rPr>
                <w:sz w:val="20"/>
                <w:szCs w:val="20"/>
              </w:rPr>
            </w:pPr>
            <w:r>
              <w:rPr>
                <w:rStyle w:val="24"/>
                <w:sz w:val="20"/>
                <w:szCs w:val="20"/>
              </w:rPr>
              <w:t>Edem očnog kapka</w:t>
            </w:r>
          </w:p>
        </w:tc>
      </w:tr>
      <w:tr w14:paraId="34BBD92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3CF0C91">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921E786">
            <w:pPr>
              <w:pStyle w:val="12"/>
              <w:shd w:val="clear" w:color="auto" w:fill="auto"/>
              <w:spacing w:line="240" w:lineRule="auto"/>
              <w:ind w:firstLine="0"/>
              <w:jc w:val="both"/>
              <w:rPr>
                <w:sz w:val="20"/>
                <w:szCs w:val="20"/>
              </w:rPr>
            </w:pPr>
            <w:r>
              <w:rPr>
                <w:rStyle w:val="24"/>
                <w:sz w:val="20"/>
                <w:szCs w:val="20"/>
              </w:rPr>
              <w:t>Konjunktivitis</w:t>
            </w:r>
          </w:p>
        </w:tc>
      </w:tr>
      <w:tr w14:paraId="28C47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258635A3">
            <w:pPr>
              <w:pStyle w:val="12"/>
              <w:shd w:val="clear" w:color="auto" w:fill="auto"/>
              <w:spacing w:line="240" w:lineRule="auto"/>
              <w:ind w:firstLine="0"/>
              <w:jc w:val="both"/>
              <w:rPr>
                <w:b/>
                <w:sz w:val="20"/>
                <w:szCs w:val="20"/>
              </w:rPr>
            </w:pPr>
            <w:r>
              <w:rPr>
                <w:rStyle w:val="24"/>
                <w:b/>
                <w:sz w:val="20"/>
                <w:szCs w:val="20"/>
              </w:rPr>
              <w:t>Srčani poremećaji</w:t>
            </w:r>
          </w:p>
        </w:tc>
      </w:tr>
      <w:tr w14:paraId="5668B29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3E9D23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C313270">
            <w:pPr>
              <w:pStyle w:val="12"/>
              <w:shd w:val="clear" w:color="auto" w:fill="auto"/>
              <w:spacing w:line="240" w:lineRule="auto"/>
              <w:ind w:firstLine="0"/>
              <w:jc w:val="both"/>
              <w:rPr>
                <w:sz w:val="20"/>
                <w:szCs w:val="20"/>
                <w:lang w:val="hr-BA"/>
              </w:rPr>
            </w:pPr>
            <w:r>
              <w:rPr>
                <w:rStyle w:val="24"/>
                <w:sz w:val="20"/>
                <w:szCs w:val="20"/>
              </w:rPr>
              <w:t>Kongestivn</w:t>
            </w:r>
            <w:r>
              <w:rPr>
                <w:rStyle w:val="24"/>
                <w:sz w:val="20"/>
                <w:szCs w:val="20"/>
                <w:lang w:val="sr-Cyrl-RS"/>
              </w:rPr>
              <w:t xml:space="preserve">а </w:t>
            </w:r>
            <w:r>
              <w:rPr>
                <w:rStyle w:val="24"/>
                <w:sz w:val="20"/>
                <w:szCs w:val="20"/>
                <w:lang w:val="hr-BA"/>
              </w:rPr>
              <w:t>srčana insuficijencija</w:t>
            </w:r>
          </w:p>
        </w:tc>
      </w:tr>
      <w:tr w14:paraId="3DAAAFB3">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9989577">
            <w:pPr>
              <w:pStyle w:val="12"/>
              <w:shd w:val="clear" w:color="auto" w:fill="auto"/>
              <w:spacing w:line="240" w:lineRule="auto"/>
              <w:ind w:firstLine="0"/>
              <w:jc w:val="both"/>
              <w:rPr>
                <w:b/>
                <w:sz w:val="20"/>
                <w:szCs w:val="20"/>
              </w:rPr>
            </w:pPr>
            <w:r>
              <w:rPr>
                <w:rStyle w:val="24"/>
                <w:b/>
                <w:sz w:val="20"/>
                <w:szCs w:val="20"/>
              </w:rPr>
              <w:t>Vaskularni poremećaji</w:t>
            </w:r>
          </w:p>
        </w:tc>
      </w:tr>
      <w:tr w14:paraId="4320045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234C1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2A843D">
            <w:pPr>
              <w:pStyle w:val="12"/>
              <w:shd w:val="clear" w:color="auto" w:fill="auto"/>
              <w:spacing w:line="240" w:lineRule="auto"/>
              <w:ind w:firstLine="0"/>
              <w:jc w:val="both"/>
              <w:rPr>
                <w:sz w:val="20"/>
                <w:szCs w:val="20"/>
              </w:rPr>
            </w:pPr>
            <w:r>
              <w:rPr>
                <w:rStyle w:val="24"/>
                <w:sz w:val="20"/>
                <w:szCs w:val="20"/>
              </w:rPr>
              <w:t xml:space="preserve">Hemoragija </w:t>
            </w:r>
            <w:r>
              <w:rPr>
                <w:rStyle w:val="24"/>
                <w:sz w:val="20"/>
                <w:szCs w:val="20"/>
                <w:vertAlign w:val="superscript"/>
              </w:rPr>
              <w:t>b</w:t>
            </w:r>
            <w:r>
              <w:rPr>
                <w:rStyle w:val="24"/>
                <w:sz w:val="20"/>
                <w:szCs w:val="20"/>
              </w:rPr>
              <w:t xml:space="preserve">, hipertenzija, </w:t>
            </w:r>
            <w:r>
              <w:rPr>
                <w:sz w:val="20"/>
                <w:szCs w:val="20"/>
              </w:rPr>
              <w:t xml:space="preserve">limfedem </w:t>
            </w:r>
            <w:r>
              <w:rPr>
                <w:sz w:val="20"/>
                <w:szCs w:val="20"/>
                <w:vertAlign w:val="superscript"/>
              </w:rPr>
              <w:t>g</w:t>
            </w:r>
          </w:p>
        </w:tc>
      </w:tr>
      <w:tr w14:paraId="38E5B74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E53FBFD">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6F6E616">
            <w:pPr>
              <w:pStyle w:val="12"/>
              <w:shd w:val="clear" w:color="auto" w:fill="auto"/>
              <w:spacing w:line="240" w:lineRule="auto"/>
              <w:ind w:firstLine="0"/>
              <w:jc w:val="both"/>
              <w:rPr>
                <w:sz w:val="20"/>
                <w:szCs w:val="20"/>
              </w:rPr>
            </w:pPr>
            <w:r>
              <w:rPr>
                <w:rStyle w:val="24"/>
                <w:sz w:val="20"/>
                <w:szCs w:val="20"/>
              </w:rPr>
              <w:t>Naleti crvenila, duboka venska tromboza</w:t>
            </w:r>
          </w:p>
        </w:tc>
      </w:tr>
      <w:tr w14:paraId="3D85071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FB4FE1A">
            <w:pPr>
              <w:pStyle w:val="12"/>
              <w:shd w:val="clear" w:color="auto" w:fill="auto"/>
              <w:spacing w:line="240" w:lineRule="auto"/>
              <w:ind w:firstLine="0"/>
              <w:jc w:val="both"/>
              <w:rPr>
                <w:rStyle w:val="24"/>
                <w:sz w:val="20"/>
                <w:szCs w:val="20"/>
              </w:rPr>
            </w:pPr>
            <w:r>
              <w:rPr>
                <w:rStyle w:val="24"/>
                <w:b/>
                <w:sz w:val="20"/>
                <w:szCs w:val="20"/>
              </w:rPr>
              <w:t>Respiratorni, torakalni i medijastinalni poremećaji</w:t>
            </w:r>
          </w:p>
        </w:tc>
      </w:tr>
      <w:tr w14:paraId="0C39E2E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36D9017">
            <w:pPr>
              <w:pStyle w:val="12"/>
              <w:shd w:val="clear" w:color="auto" w:fill="auto"/>
              <w:spacing w:line="240" w:lineRule="auto"/>
              <w:ind w:firstLine="0"/>
              <w:jc w:val="both"/>
              <w:rPr>
                <w:rStyle w:val="24"/>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0D3D8592">
            <w:pPr>
              <w:pStyle w:val="12"/>
              <w:shd w:val="clear" w:color="auto" w:fill="auto"/>
              <w:spacing w:line="240" w:lineRule="auto"/>
              <w:ind w:firstLine="0"/>
              <w:jc w:val="both"/>
              <w:rPr>
                <w:rStyle w:val="24"/>
                <w:sz w:val="20"/>
                <w:szCs w:val="20"/>
              </w:rPr>
            </w:pPr>
            <w:r>
              <w:rPr>
                <w:rStyle w:val="24"/>
                <w:sz w:val="20"/>
                <w:szCs w:val="20"/>
              </w:rPr>
              <w:t>Pneumonitis</w:t>
            </w:r>
            <w:r>
              <w:rPr>
                <w:rStyle w:val="24"/>
                <w:sz w:val="20"/>
                <w:szCs w:val="20"/>
                <w:vertAlign w:val="superscript"/>
              </w:rPr>
              <w:t>c</w:t>
            </w:r>
            <w:r>
              <w:rPr>
                <w:rStyle w:val="24"/>
                <w:sz w:val="20"/>
                <w:szCs w:val="20"/>
              </w:rPr>
              <w:t>, epistaksa, kašalj</w:t>
            </w:r>
          </w:p>
        </w:tc>
      </w:tr>
      <w:tr w14:paraId="36FAE01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3C22F27">
            <w:pPr>
              <w:pStyle w:val="12"/>
              <w:shd w:val="clear" w:color="auto" w:fill="auto"/>
              <w:spacing w:line="240" w:lineRule="auto"/>
              <w:ind w:firstLine="0"/>
              <w:jc w:val="both"/>
              <w:rPr>
                <w:rStyle w:val="24"/>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B97BB57">
            <w:pPr>
              <w:pStyle w:val="12"/>
              <w:shd w:val="clear" w:color="auto" w:fill="auto"/>
              <w:spacing w:line="240" w:lineRule="auto"/>
              <w:ind w:firstLine="0"/>
              <w:jc w:val="both"/>
              <w:rPr>
                <w:rStyle w:val="24"/>
                <w:sz w:val="20"/>
                <w:szCs w:val="20"/>
              </w:rPr>
            </w:pPr>
            <w:r>
              <w:rPr>
                <w:rStyle w:val="24"/>
                <w:sz w:val="20"/>
                <w:szCs w:val="20"/>
              </w:rPr>
              <w:t>Dispneja</w:t>
            </w:r>
          </w:p>
        </w:tc>
      </w:tr>
      <w:tr w14:paraId="6FF9D69E">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173599F">
            <w:pPr>
              <w:pStyle w:val="12"/>
              <w:shd w:val="clear" w:color="auto" w:fill="auto"/>
              <w:spacing w:line="240" w:lineRule="auto"/>
              <w:ind w:firstLine="0"/>
              <w:jc w:val="both"/>
              <w:rPr>
                <w:rStyle w:val="24"/>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1421A5A">
            <w:pPr>
              <w:pStyle w:val="12"/>
              <w:shd w:val="clear" w:color="auto" w:fill="auto"/>
              <w:spacing w:line="240" w:lineRule="auto"/>
              <w:ind w:firstLine="0"/>
              <w:jc w:val="both"/>
              <w:rPr>
                <w:rStyle w:val="24"/>
                <w:sz w:val="20"/>
                <w:szCs w:val="20"/>
              </w:rPr>
            </w:pPr>
            <w:r>
              <w:rPr>
                <w:rStyle w:val="24"/>
                <w:sz w:val="20"/>
                <w:szCs w:val="20"/>
              </w:rPr>
              <w:t>Hemoptizija, plućna embolija</w:t>
            </w:r>
          </w:p>
        </w:tc>
      </w:tr>
      <w:tr w14:paraId="4BB4D4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EAB6920">
            <w:pPr>
              <w:pStyle w:val="12"/>
              <w:shd w:val="clear" w:color="auto" w:fill="auto"/>
              <w:spacing w:line="240" w:lineRule="auto"/>
              <w:ind w:firstLine="0"/>
              <w:jc w:val="both"/>
              <w:rPr>
                <w:rStyle w:val="24"/>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70ECE908">
            <w:pPr>
              <w:pStyle w:val="12"/>
              <w:shd w:val="clear" w:color="auto" w:fill="auto"/>
              <w:spacing w:line="240" w:lineRule="auto"/>
              <w:ind w:firstLine="0"/>
              <w:jc w:val="both"/>
              <w:rPr>
                <w:rStyle w:val="24"/>
                <w:sz w:val="20"/>
                <w:szCs w:val="20"/>
              </w:rPr>
            </w:pPr>
            <w:r>
              <w:rPr>
                <w:rStyle w:val="24"/>
                <w:sz w:val="20"/>
                <w:szCs w:val="20"/>
              </w:rPr>
              <w:t>Akutni respiratorni distres sindrom</w:t>
            </w:r>
          </w:p>
        </w:tc>
      </w:tr>
      <w:tr w14:paraId="3EB4BA6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33B22D8">
            <w:pPr>
              <w:pStyle w:val="12"/>
              <w:shd w:val="clear" w:color="auto" w:fill="auto"/>
              <w:spacing w:line="240" w:lineRule="auto"/>
              <w:ind w:firstLine="0"/>
              <w:jc w:val="both"/>
              <w:rPr>
                <w:rStyle w:val="24"/>
                <w:b/>
                <w:sz w:val="20"/>
                <w:szCs w:val="20"/>
              </w:rPr>
            </w:pPr>
            <w:r>
              <w:rPr>
                <w:rStyle w:val="24"/>
                <w:b/>
                <w:sz w:val="20"/>
                <w:szCs w:val="20"/>
              </w:rPr>
              <w:t>Gastrointestinalni poremećaji</w:t>
            </w:r>
          </w:p>
        </w:tc>
      </w:tr>
      <w:tr w14:paraId="2E273F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65F8D55">
            <w:pPr>
              <w:rPr>
                <w:rFonts w:ascii="Microsoft Sans Serif" w:hAnsi="Microsoft Sans Serif" w:cs="Microsoft Sans Serif"/>
                <w:sz w:val="20"/>
                <w:szCs w:val="20"/>
              </w:rPr>
            </w:pPr>
            <w:r>
              <w:rPr>
                <w:rFonts w:ascii="Microsoft Sans Serif" w:hAnsi="Microsoft Sans Serif" w:cs="Microsoft Sans Serif"/>
                <w:sz w:val="20"/>
                <w:szCs w:val="20"/>
              </w:rPr>
              <w:t>Vrlo 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0ABDCB27">
            <w:pPr>
              <w:pStyle w:val="12"/>
              <w:shd w:val="clear" w:color="auto" w:fill="auto"/>
              <w:spacing w:line="240" w:lineRule="auto"/>
              <w:ind w:firstLine="0"/>
              <w:jc w:val="both"/>
              <w:rPr>
                <w:rStyle w:val="24"/>
                <w:sz w:val="20"/>
                <w:szCs w:val="20"/>
              </w:rPr>
            </w:pPr>
            <w:r>
              <w:rPr>
                <w:rStyle w:val="24"/>
                <w:sz w:val="20"/>
                <w:szCs w:val="20"/>
              </w:rPr>
              <w:t>Stomatitis</w:t>
            </w:r>
            <w:r>
              <w:rPr>
                <w:rStyle w:val="24"/>
                <w:sz w:val="20"/>
                <w:szCs w:val="20"/>
                <w:vertAlign w:val="superscript"/>
              </w:rPr>
              <w:t>d</w:t>
            </w:r>
            <w:r>
              <w:rPr>
                <w:rStyle w:val="24"/>
                <w:sz w:val="20"/>
                <w:szCs w:val="20"/>
              </w:rPr>
              <w:t>, dijareja, nauzeja</w:t>
            </w:r>
          </w:p>
        </w:tc>
      </w:tr>
      <w:tr w14:paraId="428A9A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2B84103">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61A2EDD3">
            <w:pPr>
              <w:pStyle w:val="12"/>
              <w:shd w:val="clear" w:color="auto" w:fill="auto"/>
              <w:spacing w:line="240" w:lineRule="auto"/>
              <w:ind w:firstLine="0"/>
              <w:jc w:val="both"/>
              <w:rPr>
                <w:rStyle w:val="24"/>
                <w:sz w:val="20"/>
                <w:szCs w:val="20"/>
              </w:rPr>
            </w:pPr>
            <w:r>
              <w:rPr>
                <w:rStyle w:val="24"/>
                <w:sz w:val="20"/>
                <w:szCs w:val="20"/>
              </w:rPr>
              <w:t>Povraćanje, suva usta, abdominalni bol, inflamacija sluzokože, bol u ustim, dispepsija, disfagija</w:t>
            </w:r>
          </w:p>
        </w:tc>
      </w:tr>
      <w:tr w14:paraId="27C807CB">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A52710E">
            <w:pPr>
              <w:pStyle w:val="12"/>
              <w:shd w:val="clear" w:color="auto" w:fill="auto"/>
              <w:spacing w:line="240" w:lineRule="auto"/>
              <w:ind w:firstLine="0"/>
              <w:jc w:val="both"/>
              <w:rPr>
                <w:rStyle w:val="24"/>
                <w:sz w:val="20"/>
                <w:szCs w:val="20"/>
              </w:rPr>
            </w:pPr>
            <w:r>
              <w:rPr>
                <w:b/>
                <w:sz w:val="20"/>
                <w:szCs w:val="20"/>
              </w:rPr>
              <w:t>Hepatobilijarni poremećaj</w:t>
            </w:r>
          </w:p>
        </w:tc>
      </w:tr>
      <w:tr w14:paraId="43AA488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FDFCB31">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782E57B">
            <w:pPr>
              <w:pStyle w:val="12"/>
              <w:shd w:val="clear" w:color="auto" w:fill="auto"/>
              <w:spacing w:line="240" w:lineRule="auto"/>
              <w:ind w:firstLine="0"/>
              <w:jc w:val="both"/>
              <w:rPr>
                <w:rStyle w:val="24"/>
                <w:sz w:val="20"/>
                <w:szCs w:val="20"/>
              </w:rPr>
            </w:pPr>
            <w:r>
              <w:rPr>
                <w:rStyle w:val="24"/>
                <w:sz w:val="20"/>
                <w:szCs w:val="20"/>
              </w:rPr>
              <w:t>Povećane vrijednosti aspartat aminotransferaza, povećane vrijednosti alanin aminotransferaza</w:t>
            </w:r>
          </w:p>
        </w:tc>
      </w:tr>
      <w:tr w14:paraId="637D6097">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76ACEFED">
            <w:pPr>
              <w:pStyle w:val="12"/>
              <w:shd w:val="clear" w:color="auto" w:fill="auto"/>
              <w:spacing w:line="240" w:lineRule="auto"/>
              <w:ind w:firstLine="0"/>
              <w:jc w:val="both"/>
              <w:rPr>
                <w:b/>
                <w:sz w:val="20"/>
                <w:szCs w:val="20"/>
              </w:rPr>
            </w:pPr>
            <w:r>
              <w:rPr>
                <w:rStyle w:val="24"/>
                <w:b/>
                <w:sz w:val="20"/>
                <w:szCs w:val="20"/>
              </w:rPr>
              <w:t>Poremećaji kože i potkožnog tkiva</w:t>
            </w:r>
          </w:p>
        </w:tc>
      </w:tr>
      <w:tr w14:paraId="4B885B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F66AE">
            <w:pPr>
              <w:pStyle w:val="12"/>
              <w:shd w:val="clear" w:color="auto" w:fill="auto"/>
              <w:spacing w:line="240" w:lineRule="auto"/>
              <w:ind w:firstLine="0"/>
              <w:jc w:val="both"/>
              <w:rPr>
                <w:sz w:val="20"/>
                <w:szCs w:val="20"/>
              </w:rPr>
            </w:pPr>
            <w:r>
              <w:rPr>
                <w:rStyle w:val="24"/>
                <w:sz w:val="20"/>
                <w:szCs w:val="20"/>
              </w:rPr>
              <w:t>Crlo često</w:t>
            </w:r>
          </w:p>
        </w:tc>
        <w:tc>
          <w:tcPr>
            <w:tcW w:w="7625" w:type="dxa"/>
            <w:tcBorders>
              <w:top w:val="single" w:color="auto" w:sz="4" w:space="0"/>
              <w:left w:val="single" w:color="auto" w:sz="4" w:space="0"/>
              <w:right w:val="single" w:color="auto" w:sz="4" w:space="0"/>
            </w:tcBorders>
            <w:shd w:val="clear" w:color="auto" w:fill="FFFFFF"/>
          </w:tcPr>
          <w:p w14:paraId="0A431BA6">
            <w:pPr>
              <w:pStyle w:val="12"/>
              <w:shd w:val="clear" w:color="auto" w:fill="auto"/>
              <w:spacing w:line="240" w:lineRule="auto"/>
              <w:ind w:firstLine="0"/>
              <w:jc w:val="both"/>
              <w:rPr>
                <w:sz w:val="20"/>
                <w:szCs w:val="20"/>
              </w:rPr>
            </w:pPr>
            <w:r>
              <w:rPr>
                <w:rStyle w:val="24"/>
                <w:sz w:val="20"/>
                <w:szCs w:val="20"/>
              </w:rPr>
              <w:t>Osip, svrbež</w:t>
            </w:r>
          </w:p>
        </w:tc>
      </w:tr>
      <w:tr w14:paraId="577374D3">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491D3185">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0019310">
            <w:pPr>
              <w:pStyle w:val="12"/>
              <w:shd w:val="clear" w:color="auto" w:fill="auto"/>
              <w:spacing w:line="240" w:lineRule="auto"/>
              <w:ind w:firstLine="0"/>
              <w:jc w:val="both"/>
              <w:rPr>
                <w:sz w:val="20"/>
                <w:szCs w:val="20"/>
              </w:rPr>
            </w:pPr>
            <w:r>
              <w:rPr>
                <w:rStyle w:val="24"/>
                <w:sz w:val="20"/>
                <w:szCs w:val="20"/>
              </w:rPr>
              <w:t>Suha koža, poremećaj noktiju, blaga alopecija, akne, eritem, onihoklaza, sindrom palmarno-plantarne eritrodizestezije, Ijuštenje kože, kožne lezije</w:t>
            </w:r>
          </w:p>
        </w:tc>
      </w:tr>
      <w:tr w14:paraId="061E661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3559C59">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065BAD92">
            <w:pPr>
              <w:pStyle w:val="12"/>
              <w:shd w:val="clear" w:color="auto" w:fill="auto"/>
              <w:spacing w:line="240" w:lineRule="auto"/>
              <w:ind w:firstLine="0"/>
              <w:jc w:val="both"/>
              <w:rPr>
                <w:sz w:val="20"/>
                <w:szCs w:val="20"/>
              </w:rPr>
            </w:pPr>
            <w:r>
              <w:rPr>
                <w:rStyle w:val="25"/>
                <w:i w:val="0"/>
                <w:spacing w:val="0"/>
              </w:rPr>
              <w:t>A</w:t>
            </w:r>
            <w:r>
              <w:rPr>
                <w:rStyle w:val="24"/>
                <w:sz w:val="20"/>
                <w:szCs w:val="20"/>
              </w:rPr>
              <w:t>ngioedem*</w:t>
            </w:r>
          </w:p>
        </w:tc>
      </w:tr>
      <w:tr w14:paraId="3ED40A5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73F9F6D">
            <w:pPr>
              <w:pStyle w:val="12"/>
              <w:shd w:val="clear" w:color="auto" w:fill="auto"/>
              <w:spacing w:line="240" w:lineRule="auto"/>
              <w:ind w:firstLine="0"/>
              <w:jc w:val="both"/>
              <w:rPr>
                <w:b/>
                <w:sz w:val="20"/>
                <w:szCs w:val="20"/>
              </w:rPr>
            </w:pPr>
            <w:r>
              <w:rPr>
                <w:rStyle w:val="24"/>
                <w:b/>
                <w:sz w:val="20"/>
                <w:szCs w:val="20"/>
              </w:rPr>
              <w:t>Poremećaji mišićno-koštanog sistema i vezivnog tkiva</w:t>
            </w:r>
          </w:p>
        </w:tc>
      </w:tr>
      <w:tr w14:paraId="5420687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679D7B1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F8889EF">
            <w:pPr>
              <w:pStyle w:val="12"/>
              <w:shd w:val="clear" w:color="auto" w:fill="auto"/>
              <w:spacing w:line="240" w:lineRule="auto"/>
              <w:ind w:firstLine="0"/>
              <w:jc w:val="both"/>
              <w:rPr>
                <w:sz w:val="20"/>
                <w:szCs w:val="20"/>
              </w:rPr>
            </w:pPr>
            <w:r>
              <w:rPr>
                <w:rStyle w:val="24"/>
                <w:sz w:val="20"/>
                <w:szCs w:val="20"/>
              </w:rPr>
              <w:t>Artralgija</w:t>
            </w:r>
          </w:p>
        </w:tc>
      </w:tr>
      <w:tr w14:paraId="1D2B0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A54AAD7">
            <w:pPr>
              <w:pStyle w:val="12"/>
              <w:shd w:val="clear" w:color="auto" w:fill="auto"/>
              <w:spacing w:line="240" w:lineRule="auto"/>
              <w:ind w:firstLine="0"/>
              <w:jc w:val="both"/>
              <w:rPr>
                <w:b/>
                <w:sz w:val="20"/>
                <w:szCs w:val="20"/>
              </w:rPr>
            </w:pPr>
            <w:r>
              <w:rPr>
                <w:rStyle w:val="24"/>
                <w:b/>
                <w:sz w:val="20"/>
                <w:szCs w:val="20"/>
              </w:rPr>
              <w:t>Poremećaji bubrega i mokraćnog sistema</w:t>
            </w:r>
          </w:p>
        </w:tc>
      </w:tr>
      <w:tr w14:paraId="68DD804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68C2688">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9AEFAF0">
            <w:pPr>
              <w:pStyle w:val="12"/>
              <w:shd w:val="clear" w:color="auto" w:fill="auto"/>
              <w:spacing w:line="240" w:lineRule="auto"/>
              <w:ind w:firstLine="0"/>
              <w:jc w:val="both"/>
              <w:rPr>
                <w:sz w:val="20"/>
                <w:szCs w:val="20"/>
              </w:rPr>
            </w:pPr>
            <w:r>
              <w:rPr>
                <w:rStyle w:val="24"/>
                <w:sz w:val="20"/>
                <w:szCs w:val="20"/>
              </w:rPr>
              <w:t>Proteinurija*, povećane vrijednosti kreatinina u krvi, bubrežna insuficijencija*</w:t>
            </w:r>
          </w:p>
        </w:tc>
      </w:tr>
      <w:tr w14:paraId="425284A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48E513A">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2CECB1A">
            <w:pPr>
              <w:pStyle w:val="12"/>
              <w:shd w:val="clear" w:color="auto" w:fill="auto"/>
              <w:spacing w:line="240" w:lineRule="auto"/>
              <w:ind w:firstLine="0"/>
              <w:jc w:val="both"/>
              <w:rPr>
                <w:sz w:val="20"/>
                <w:szCs w:val="20"/>
              </w:rPr>
            </w:pPr>
            <w:r>
              <w:rPr>
                <w:rStyle w:val="24"/>
                <w:sz w:val="20"/>
                <w:szCs w:val="20"/>
              </w:rPr>
              <w:t>Učestalo dnevno mokrenje, akutna bubrežna insuficijencija *</w:t>
            </w:r>
          </w:p>
        </w:tc>
      </w:tr>
      <w:tr w14:paraId="12ADC1E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B7DD32">
            <w:pPr>
              <w:pStyle w:val="12"/>
              <w:shd w:val="clear" w:color="auto" w:fill="auto"/>
              <w:spacing w:line="240" w:lineRule="auto"/>
              <w:ind w:firstLine="0"/>
              <w:jc w:val="both"/>
              <w:rPr>
                <w:b/>
                <w:sz w:val="20"/>
                <w:szCs w:val="20"/>
              </w:rPr>
            </w:pPr>
            <w:r>
              <w:rPr>
                <w:rStyle w:val="24"/>
                <w:b/>
                <w:sz w:val="20"/>
                <w:szCs w:val="20"/>
              </w:rPr>
              <w:t>Poremećaji reproduktivnog sistema i dojki</w:t>
            </w:r>
          </w:p>
        </w:tc>
      </w:tr>
      <w:tr w14:paraId="1D97856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45C6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F8A0966">
            <w:pPr>
              <w:pStyle w:val="12"/>
              <w:shd w:val="clear" w:color="auto" w:fill="auto"/>
              <w:spacing w:line="240" w:lineRule="auto"/>
              <w:ind w:firstLine="0"/>
              <w:jc w:val="both"/>
              <w:rPr>
                <w:sz w:val="20"/>
                <w:szCs w:val="20"/>
                <w:vertAlign w:val="superscript"/>
              </w:rPr>
            </w:pPr>
            <w:r>
              <w:rPr>
                <w:rStyle w:val="24"/>
                <w:sz w:val="20"/>
                <w:szCs w:val="20"/>
              </w:rPr>
              <w:t>Nepravilno menstrualno krvarenje</w:t>
            </w:r>
            <w:r>
              <w:rPr>
                <w:rStyle w:val="24"/>
                <w:sz w:val="20"/>
                <w:szCs w:val="20"/>
                <w:vertAlign w:val="superscript"/>
              </w:rPr>
              <w:t>e</w:t>
            </w:r>
          </w:p>
        </w:tc>
      </w:tr>
      <w:tr w14:paraId="12C604D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E61AFC">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EA60978">
            <w:pPr>
              <w:pStyle w:val="12"/>
              <w:shd w:val="clear" w:color="auto" w:fill="auto"/>
              <w:spacing w:line="240" w:lineRule="auto"/>
              <w:ind w:firstLine="0"/>
              <w:jc w:val="both"/>
              <w:rPr>
                <w:sz w:val="20"/>
                <w:szCs w:val="20"/>
                <w:vertAlign w:val="superscript"/>
              </w:rPr>
            </w:pPr>
            <w:r>
              <w:rPr>
                <w:rStyle w:val="24"/>
                <w:sz w:val="20"/>
                <w:szCs w:val="20"/>
              </w:rPr>
              <w:t>Amenoreja</w:t>
            </w:r>
            <w:r>
              <w:rPr>
                <w:rStyle w:val="24"/>
                <w:sz w:val="20"/>
                <w:szCs w:val="20"/>
                <w:vertAlign w:val="superscript"/>
              </w:rPr>
              <w:t>e</w:t>
            </w:r>
            <w:r>
              <w:rPr>
                <w:rStyle w:val="24"/>
                <w:sz w:val="20"/>
                <w:szCs w:val="20"/>
              </w:rPr>
              <w:t>*</w:t>
            </w:r>
          </w:p>
        </w:tc>
      </w:tr>
      <w:tr w14:paraId="297D208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1B50B3E">
            <w:pPr>
              <w:pStyle w:val="12"/>
              <w:shd w:val="clear" w:color="auto" w:fill="auto"/>
              <w:spacing w:line="240" w:lineRule="auto"/>
              <w:ind w:firstLine="0"/>
              <w:jc w:val="both"/>
              <w:rPr>
                <w:b/>
                <w:sz w:val="20"/>
                <w:szCs w:val="20"/>
              </w:rPr>
            </w:pPr>
            <w:r>
              <w:rPr>
                <w:rStyle w:val="24"/>
                <w:b/>
                <w:sz w:val="20"/>
                <w:szCs w:val="20"/>
              </w:rPr>
              <w:t>Opšti poremećaji i reakcije na mjestu primjene</w:t>
            </w:r>
          </w:p>
        </w:tc>
      </w:tr>
      <w:tr w14:paraId="6D92ACB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0553D5F">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2120420D">
            <w:pPr>
              <w:pStyle w:val="12"/>
              <w:shd w:val="clear" w:color="auto" w:fill="auto"/>
              <w:spacing w:line="240" w:lineRule="auto"/>
              <w:ind w:firstLine="0"/>
              <w:jc w:val="both"/>
              <w:rPr>
                <w:sz w:val="20"/>
                <w:szCs w:val="20"/>
              </w:rPr>
            </w:pPr>
            <w:r>
              <w:rPr>
                <w:rStyle w:val="24"/>
                <w:sz w:val="20"/>
                <w:szCs w:val="20"/>
              </w:rPr>
              <w:t>Umor, astenija, periferni edem</w:t>
            </w:r>
          </w:p>
        </w:tc>
      </w:tr>
      <w:tr w14:paraId="1C06665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8A09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3360FBC">
            <w:pPr>
              <w:pStyle w:val="12"/>
              <w:shd w:val="clear" w:color="auto" w:fill="auto"/>
              <w:spacing w:line="240" w:lineRule="auto"/>
              <w:ind w:firstLine="0"/>
              <w:jc w:val="both"/>
              <w:rPr>
                <w:sz w:val="20"/>
                <w:szCs w:val="20"/>
              </w:rPr>
            </w:pPr>
            <w:r>
              <w:rPr>
                <w:rStyle w:val="24"/>
                <w:sz w:val="20"/>
                <w:szCs w:val="20"/>
              </w:rPr>
              <w:t>Pireksija</w:t>
            </w:r>
          </w:p>
        </w:tc>
      </w:tr>
      <w:tr w14:paraId="30F74E64">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C9085D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F6BADCD">
            <w:pPr>
              <w:pStyle w:val="12"/>
              <w:shd w:val="clear" w:color="auto" w:fill="auto"/>
              <w:spacing w:line="240" w:lineRule="auto"/>
              <w:ind w:firstLine="0"/>
              <w:jc w:val="both"/>
              <w:rPr>
                <w:sz w:val="20"/>
                <w:szCs w:val="20"/>
              </w:rPr>
            </w:pPr>
            <w:r>
              <w:rPr>
                <w:rStyle w:val="24"/>
                <w:sz w:val="20"/>
                <w:szCs w:val="20"/>
              </w:rPr>
              <w:t>Nesrčani bol u grudima, otežano zarastanje rane</w:t>
            </w:r>
          </w:p>
        </w:tc>
      </w:tr>
      <w:tr w14:paraId="4CD634E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1A871FA8">
            <w:pPr>
              <w:pStyle w:val="12"/>
              <w:shd w:val="clear" w:color="auto" w:fill="auto"/>
              <w:spacing w:line="240" w:lineRule="auto"/>
              <w:ind w:firstLine="0"/>
              <w:jc w:val="both"/>
              <w:rPr>
                <w:b/>
                <w:sz w:val="20"/>
                <w:szCs w:val="20"/>
              </w:rPr>
            </w:pPr>
            <w:r>
              <w:rPr>
                <w:rStyle w:val="24"/>
                <w:b/>
                <w:sz w:val="20"/>
                <w:szCs w:val="20"/>
              </w:rPr>
              <w:t>Pretrage</w:t>
            </w:r>
          </w:p>
        </w:tc>
      </w:tr>
      <w:tr w14:paraId="7B682C2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0B7E5E5">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39FB5E94">
            <w:pPr>
              <w:pStyle w:val="12"/>
              <w:shd w:val="clear" w:color="auto" w:fill="auto"/>
              <w:spacing w:line="240" w:lineRule="auto"/>
              <w:ind w:firstLine="0"/>
              <w:jc w:val="both"/>
              <w:rPr>
                <w:sz w:val="20"/>
                <w:szCs w:val="20"/>
              </w:rPr>
            </w:pPr>
            <w:r>
              <w:rPr>
                <w:rStyle w:val="24"/>
                <w:sz w:val="20"/>
                <w:szCs w:val="20"/>
              </w:rPr>
              <w:t>Gubitak tjelesne težine</w:t>
            </w:r>
          </w:p>
        </w:tc>
      </w:tr>
      <w:tr w14:paraId="268DDBB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9679A0E">
            <w:pPr>
              <w:pStyle w:val="12"/>
              <w:shd w:val="clear" w:color="auto" w:fill="auto"/>
              <w:spacing w:line="240" w:lineRule="auto"/>
              <w:ind w:firstLine="0"/>
              <w:jc w:val="both"/>
              <w:rPr>
                <w:rStyle w:val="24"/>
                <w:b/>
                <w:sz w:val="20"/>
                <w:szCs w:val="20"/>
              </w:rPr>
            </w:pPr>
            <w:r>
              <w:rPr>
                <w:rStyle w:val="24"/>
                <w:b/>
                <w:sz w:val="20"/>
                <w:szCs w:val="20"/>
              </w:rPr>
              <w:t>Povrede, trovanja i proceduralne komplikacije</w:t>
            </w:r>
          </w:p>
        </w:tc>
      </w:tr>
      <w:tr w14:paraId="3FCACAE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778534A">
            <w:pPr>
              <w:pStyle w:val="12"/>
              <w:shd w:val="clear" w:color="auto" w:fill="auto"/>
              <w:spacing w:line="240" w:lineRule="auto"/>
              <w:ind w:firstLine="0"/>
              <w:jc w:val="both"/>
              <w:rPr>
                <w:rStyle w:val="24"/>
                <w:sz w:val="20"/>
                <w:szCs w:val="20"/>
              </w:rPr>
            </w:pPr>
            <w:r>
              <w:rPr>
                <w:rStyle w:val="24"/>
                <w:sz w:val="20"/>
                <w:szCs w:val="20"/>
              </w:rPr>
              <w:t xml:space="preserve">nepoznato </w:t>
            </w:r>
            <w:r>
              <w:rPr>
                <w:rStyle w:val="24"/>
                <w:sz w:val="20"/>
                <w:szCs w:val="20"/>
                <w:vertAlign w:val="superscript"/>
              </w:rPr>
              <w:t>f</w:t>
            </w:r>
          </w:p>
        </w:tc>
        <w:tc>
          <w:tcPr>
            <w:tcW w:w="7625" w:type="dxa"/>
            <w:tcBorders>
              <w:top w:val="single" w:color="auto" w:sz="4" w:space="0"/>
              <w:left w:val="single" w:color="auto" w:sz="4" w:space="0"/>
              <w:right w:val="single" w:color="auto" w:sz="4" w:space="0"/>
            </w:tcBorders>
            <w:shd w:val="clear" w:color="auto" w:fill="FFFFFF"/>
          </w:tcPr>
          <w:p w14:paraId="4E2014CD">
            <w:pPr>
              <w:pStyle w:val="12"/>
              <w:shd w:val="clear" w:color="auto" w:fill="auto"/>
              <w:spacing w:line="240" w:lineRule="auto"/>
              <w:ind w:firstLine="0"/>
              <w:jc w:val="both"/>
              <w:rPr>
                <w:rStyle w:val="24"/>
                <w:sz w:val="20"/>
                <w:szCs w:val="20"/>
              </w:rPr>
            </w:pPr>
            <w:r>
              <w:rPr>
                <w:rStyle w:val="24"/>
                <w:sz w:val="20"/>
                <w:szCs w:val="20"/>
              </w:rPr>
              <w:t xml:space="preserve">Sindrom </w:t>
            </w:r>
            <w:r>
              <w:rPr>
                <w:sz w:val="20"/>
                <w:szCs w:val="20"/>
              </w:rPr>
              <w:t xml:space="preserve">inflamatorne reakcije ozračenog područja </w:t>
            </w:r>
            <w:r>
              <w:rPr>
                <w:color w:val="auto"/>
                <w:sz w:val="20"/>
                <w:szCs w:val="20"/>
              </w:rPr>
              <w:t xml:space="preserve">(engl. </w:t>
            </w:r>
            <w:r>
              <w:rPr>
                <w:i/>
                <w:color w:val="auto"/>
                <w:sz w:val="20"/>
                <w:szCs w:val="20"/>
              </w:rPr>
              <w:t>radiation recall syndrome</w:t>
            </w:r>
            <w:r>
              <w:rPr>
                <w:color w:val="auto"/>
                <w:sz w:val="20"/>
                <w:szCs w:val="20"/>
              </w:rPr>
              <w:t>, RRS)</w:t>
            </w:r>
            <w:r>
              <w:rPr>
                <w:rStyle w:val="24"/>
                <w:sz w:val="20"/>
                <w:szCs w:val="20"/>
              </w:rPr>
              <w:t>, potenciranje reakcije na zračenje</w:t>
            </w:r>
          </w:p>
        </w:tc>
      </w:tr>
      <w:tr w14:paraId="40AFBFD2">
        <w:tblPrEx>
          <w:tblCellMar>
            <w:top w:w="0" w:type="dxa"/>
            <w:left w:w="10" w:type="dxa"/>
            <w:bottom w:w="0" w:type="dxa"/>
            <w:right w:w="10" w:type="dxa"/>
          </w:tblCellMar>
        </w:tblPrEx>
        <w:trPr>
          <w:trHeight w:val="3101" w:hRule="atLeast"/>
        </w:trPr>
        <w:tc>
          <w:tcPr>
            <w:tcW w:w="9326" w:type="dxa"/>
            <w:gridSpan w:val="2"/>
            <w:tcBorders>
              <w:top w:val="single" w:color="auto" w:sz="4" w:space="0"/>
              <w:left w:val="single" w:color="auto" w:sz="4" w:space="0"/>
              <w:bottom w:val="single" w:color="auto" w:sz="4" w:space="0"/>
              <w:right w:val="single" w:color="auto" w:sz="4" w:space="0"/>
            </w:tcBorders>
            <w:shd w:val="clear" w:color="auto" w:fill="FFFFFF"/>
          </w:tcPr>
          <w:p w14:paraId="02B6EEBB">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 vidjeti i odjeljak “Opis odabranih neželjenih djelovanja”</w:t>
            </w:r>
          </w:p>
          <w:p w14:paraId="3EF123A5">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a</w:t>
            </w:r>
            <w:r>
              <w:rPr>
                <w:rFonts w:ascii="Microsoft Sans Serif" w:hAnsi="Microsoft Sans Serif" w:cs="Microsoft Sans Serif"/>
                <w:color w:val="auto"/>
                <w:sz w:val="20"/>
                <w:szCs w:val="20"/>
                <w:lang w:val="sv-SE"/>
              </w:rPr>
              <w:t xml:space="preserve"> Uključuje sve reakcije unutar klasifikacije organskog sistema ‘</w:t>
            </w:r>
            <w:r>
              <w:rPr>
                <w:rFonts w:ascii="Microsoft Sans Serif" w:hAnsi="Microsoft Sans Serif" w:cs="Microsoft Sans Serif"/>
                <w:color w:val="auto"/>
                <w:sz w:val="20"/>
                <w:szCs w:val="20"/>
                <w:lang w:val="hr-BA"/>
              </w:rPr>
              <w:t>I</w:t>
            </w:r>
            <w:r>
              <w:rPr>
                <w:rFonts w:ascii="Microsoft Sans Serif" w:hAnsi="Microsoft Sans Serif" w:cs="Microsoft Sans Serif"/>
                <w:color w:val="auto"/>
                <w:sz w:val="20"/>
                <w:szCs w:val="20"/>
                <w:lang w:val="sv-SE"/>
              </w:rPr>
              <w:t>nfekcije i infestacije’ uključujući (često)</w:t>
            </w:r>
          </w:p>
          <w:p w14:paraId="34BC29EC">
            <w:pPr>
              <w:widowControl/>
              <w:autoSpaceDE w:val="0"/>
              <w:autoSpaceDN w:val="0"/>
              <w:adjustRightInd w:val="0"/>
              <w:ind w:left="258"/>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pneumoniju, infekciju mokraćnog sistema; (povremeno) bronhitis, herpes zoster, sepsu, apsces i izolovane slučajeve oportunističkih infekcija [npr. aspergiloza, kandidijaza, pneumonija koju uzrokuje</w:t>
            </w:r>
            <w:r>
              <w:rPr>
                <w:rFonts w:ascii="Microsoft Sans Serif" w:hAnsi="Microsoft Sans Serif" w:cs="Microsoft Sans Serif"/>
                <w:i/>
                <w:iCs/>
                <w:color w:val="auto"/>
                <w:sz w:val="20"/>
                <w:szCs w:val="20"/>
                <w:lang w:val="sv-SE"/>
              </w:rPr>
              <w:t xml:space="preserve"> Pneumocystis jirovecii </w:t>
            </w:r>
            <w:r>
              <w:rPr>
                <w:rFonts w:ascii="Microsoft Sans Serif" w:hAnsi="Microsoft Sans Serif" w:cs="Microsoft Sans Serif"/>
                <w:color w:val="auto"/>
                <w:sz w:val="20"/>
                <w:szCs w:val="20"/>
                <w:lang w:val="sv-SE"/>
              </w:rPr>
              <w:t>(</w:t>
            </w:r>
            <w:r>
              <w:rPr>
                <w:rFonts w:ascii="Microsoft Sans Serif" w:hAnsi="Microsoft Sans Serif" w:cs="Microsoft Sans Serif"/>
                <w:i/>
                <w:iCs/>
                <w:color w:val="auto"/>
                <w:sz w:val="20"/>
                <w:szCs w:val="20"/>
                <w:lang w:val="sv-SE"/>
              </w:rPr>
              <w:t>carinii</w:t>
            </w:r>
            <w:r>
              <w:rPr>
                <w:rFonts w:ascii="Microsoft Sans Serif" w:hAnsi="Microsoft Sans Serif" w:cs="Microsoft Sans Serif"/>
                <w:color w:val="auto"/>
                <w:sz w:val="20"/>
                <w:szCs w:val="20"/>
                <w:lang w:val="sv-SE"/>
              </w:rPr>
              <w:t>) (PJP, PCP) i hepatitis B (pogledati također dio 4.4)] i (rijetko) virusni miokarditis</w:t>
            </w:r>
          </w:p>
          <w:p w14:paraId="31A11B3A">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b</w:t>
            </w:r>
            <w:r>
              <w:rPr>
                <w:rFonts w:ascii="Microsoft Sans Serif" w:hAnsi="Microsoft Sans Serif" w:cs="Microsoft Sans Serif"/>
                <w:color w:val="auto"/>
                <w:sz w:val="20"/>
                <w:szCs w:val="20"/>
                <w:lang w:val="sv-SE"/>
              </w:rPr>
              <w:t xml:space="preserve"> Uključuje različite događaje krvarenja iz različitih mjesta koji nisu pojedinačno navedeni</w:t>
            </w:r>
          </w:p>
          <w:p w14:paraId="2F261143">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c</w:t>
            </w:r>
            <w:r>
              <w:rPr>
                <w:rFonts w:ascii="Microsoft Sans Serif" w:hAnsi="Microsoft Sans Serif" w:cs="Microsoft Sans Serif"/>
                <w:color w:val="auto"/>
                <w:sz w:val="20"/>
                <w:szCs w:val="20"/>
                <w:lang w:val="sv-SE"/>
              </w:rPr>
              <w:t xml:space="preserve"> Uključuje (vrlo često) pneumonitis, (često) intersticijsku plućnu bolest, infiltraciju pluća i (rijetko) plućno alveolarno krvarenje, plućnu toksičnost i alveolitis</w:t>
            </w:r>
          </w:p>
          <w:p w14:paraId="23ECA312">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d</w:t>
            </w:r>
            <w:r>
              <w:rPr>
                <w:rFonts w:ascii="Microsoft Sans Serif" w:hAnsi="Microsoft Sans Serif" w:cs="Microsoft Sans Serif"/>
                <w:color w:val="auto"/>
                <w:sz w:val="20"/>
                <w:szCs w:val="20"/>
                <w:lang w:val="sv-SE"/>
              </w:rPr>
              <w:t xml:space="preserve"> Uključuje (vrlo često) stomatitis, (često) aftozni stomatitis, ulceraciju usne šupljine i jezika i (povremeno) glosodiniju i glositis</w:t>
            </w:r>
          </w:p>
          <w:p w14:paraId="0DF1032C">
            <w:pPr>
              <w:pStyle w:val="12"/>
              <w:shd w:val="clear" w:color="auto" w:fill="auto"/>
              <w:spacing w:line="240" w:lineRule="auto"/>
              <w:ind w:left="116" w:firstLine="0"/>
              <w:jc w:val="both"/>
              <w:rPr>
                <w:color w:val="auto"/>
                <w:sz w:val="20"/>
                <w:szCs w:val="20"/>
                <w:lang w:val="sv-SE"/>
              </w:rPr>
            </w:pPr>
            <w:r>
              <w:rPr>
                <w:color w:val="auto"/>
                <w:sz w:val="20"/>
                <w:szCs w:val="20"/>
                <w:vertAlign w:val="superscript"/>
                <w:lang w:val="sv-SE"/>
              </w:rPr>
              <w:t>e</w:t>
            </w:r>
            <w:r>
              <w:rPr>
                <w:color w:val="auto"/>
                <w:sz w:val="20"/>
                <w:szCs w:val="20"/>
                <w:lang w:val="sv-SE"/>
              </w:rPr>
              <w:t xml:space="preserve"> Učestalost temeljena na broju žena od 10 do 55 godina u objedinjenim podacima</w:t>
            </w:r>
          </w:p>
          <w:p w14:paraId="279E7D08">
            <w:pPr>
              <w:pStyle w:val="12"/>
              <w:shd w:val="clear" w:color="auto" w:fill="auto"/>
              <w:spacing w:line="240" w:lineRule="auto"/>
              <w:ind w:left="400" w:hanging="284"/>
              <w:jc w:val="both"/>
              <w:rPr>
                <w:color w:val="auto"/>
                <w:sz w:val="20"/>
                <w:szCs w:val="20"/>
                <w:lang w:val="sv-SE"/>
              </w:rPr>
            </w:pPr>
            <w:r>
              <w:rPr>
                <w:color w:val="auto"/>
                <w:sz w:val="20"/>
                <w:szCs w:val="20"/>
                <w:vertAlign w:val="superscript"/>
                <w:lang w:val="sv-SE"/>
              </w:rPr>
              <w:t>f</w:t>
            </w:r>
            <w:r>
              <w:t xml:space="preserve">  </w:t>
            </w:r>
            <w:r>
              <w:rPr>
                <w:color w:val="auto"/>
                <w:sz w:val="20"/>
                <w:szCs w:val="20"/>
                <w:lang w:val="sv-SE"/>
              </w:rPr>
              <w:t>Neželjena djelovanja utvrđena nakon stavljanja lijeka u promet</w:t>
            </w:r>
          </w:p>
          <w:p w14:paraId="1EC486E0">
            <w:pPr>
              <w:pStyle w:val="12"/>
              <w:shd w:val="clear" w:color="auto" w:fill="auto"/>
              <w:spacing w:line="240" w:lineRule="auto"/>
              <w:ind w:left="258" w:hanging="142"/>
              <w:jc w:val="left"/>
              <w:rPr>
                <w:color w:val="auto"/>
                <w:sz w:val="20"/>
                <w:szCs w:val="20"/>
                <w:lang w:val="en-US"/>
              </w:rPr>
            </w:pPr>
            <w:r>
              <w:rPr>
                <w:color w:val="auto"/>
                <w:sz w:val="20"/>
                <w:szCs w:val="20"/>
                <w:vertAlign w:val="superscript"/>
                <w:lang w:val="sv-SE"/>
              </w:rPr>
              <w:t>g</w:t>
            </w:r>
            <w:r>
              <w:rPr>
                <w:color w:val="auto"/>
                <w:sz w:val="20"/>
                <w:szCs w:val="20"/>
                <w:lang w:val="sv-SE"/>
              </w:rPr>
              <w:t xml:space="preserve"> Neželjeno djelovanje utvrđeno na osnovu izvještaja nakon stavljanja lijeka u promet. </w:t>
            </w:r>
            <w:r>
              <w:rPr>
                <w:color w:val="auto"/>
                <w:sz w:val="20"/>
                <w:szCs w:val="20"/>
                <w:lang w:val="en-US"/>
              </w:rPr>
              <w:t>Učestalost je određena iz objedinjenih onkoloških sigurnosnih ispitivanja.</w:t>
            </w:r>
          </w:p>
          <w:p w14:paraId="4838A8C7">
            <w:pPr>
              <w:pStyle w:val="12"/>
              <w:shd w:val="clear" w:color="auto" w:fill="auto"/>
              <w:spacing w:line="240" w:lineRule="auto"/>
              <w:ind w:left="258" w:hanging="142"/>
              <w:jc w:val="left"/>
              <w:rPr>
                <w:sz w:val="20"/>
                <w:szCs w:val="20"/>
              </w:rPr>
            </w:pPr>
          </w:p>
        </w:tc>
      </w:tr>
    </w:tbl>
    <w:p w14:paraId="315EB9DA">
      <w:pPr>
        <w:pStyle w:val="12"/>
        <w:shd w:val="clear" w:color="auto" w:fill="auto"/>
        <w:spacing w:line="240" w:lineRule="auto"/>
        <w:ind w:firstLine="0"/>
        <w:jc w:val="both"/>
        <w:rPr>
          <w:rStyle w:val="19"/>
          <w:sz w:val="20"/>
          <w:szCs w:val="20"/>
        </w:rPr>
      </w:pPr>
    </w:p>
    <w:p w14:paraId="1A0C9C84">
      <w:pPr>
        <w:pStyle w:val="12"/>
        <w:shd w:val="clear" w:color="auto" w:fill="auto"/>
        <w:spacing w:line="240" w:lineRule="auto"/>
        <w:ind w:firstLine="0"/>
        <w:jc w:val="both"/>
        <w:rPr>
          <w:sz w:val="20"/>
          <w:szCs w:val="20"/>
        </w:rPr>
      </w:pPr>
      <w:r>
        <w:rPr>
          <w:rStyle w:val="19"/>
          <w:sz w:val="20"/>
          <w:szCs w:val="20"/>
        </w:rPr>
        <w:t>Opis odabranih neželjenih djelovanja</w:t>
      </w:r>
    </w:p>
    <w:p w14:paraId="70DD2FE5">
      <w:pPr>
        <w:pStyle w:val="12"/>
        <w:shd w:val="clear" w:color="auto" w:fill="auto"/>
        <w:spacing w:line="240" w:lineRule="auto"/>
        <w:ind w:firstLine="0"/>
        <w:jc w:val="both"/>
        <w:rPr>
          <w:sz w:val="20"/>
          <w:szCs w:val="20"/>
        </w:rPr>
      </w:pPr>
      <w:r>
        <w:rPr>
          <w:sz w:val="20"/>
          <w:szCs w:val="20"/>
        </w:rPr>
        <w:t>U kliničkim ispitivanjima i spontanim prijavama nakon stavljanja lijeka u promet, everolimus je bio povezan sa ozbiljnim slučajevima reaktivacije hepatitisa B, uključujući i sa smrtnim ishodom. Reaktivacija infekcije je očekivani događaj tokom perioda imunosupresije.</w:t>
      </w:r>
    </w:p>
    <w:p w14:paraId="70834A04">
      <w:pPr>
        <w:pStyle w:val="12"/>
        <w:shd w:val="clear" w:color="auto" w:fill="auto"/>
        <w:spacing w:line="240" w:lineRule="auto"/>
        <w:ind w:firstLine="0"/>
        <w:jc w:val="both"/>
        <w:rPr>
          <w:sz w:val="20"/>
          <w:szCs w:val="20"/>
        </w:rPr>
      </w:pPr>
    </w:p>
    <w:p w14:paraId="77BB75F5">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6DA9379B">
      <w:pPr>
        <w:pStyle w:val="12"/>
        <w:spacing w:line="240" w:lineRule="auto"/>
        <w:ind w:firstLine="0"/>
        <w:jc w:val="both"/>
        <w:rPr>
          <w:sz w:val="20"/>
          <w:szCs w:val="20"/>
        </w:rPr>
      </w:pPr>
      <w:r>
        <w:rPr>
          <w:sz w:val="20"/>
          <w:szCs w:val="20"/>
        </w:rPr>
        <w:t xml:space="preserve">povezan sa događajima bubrežne insuficijencije (uključujući i sa smrtnim ishodom) i proteinurije. </w:t>
      </w:r>
    </w:p>
    <w:p w14:paraId="0FC71C0A">
      <w:pPr>
        <w:pStyle w:val="12"/>
        <w:spacing w:line="240" w:lineRule="auto"/>
        <w:ind w:firstLine="0"/>
        <w:jc w:val="both"/>
        <w:rPr>
          <w:sz w:val="20"/>
          <w:szCs w:val="20"/>
        </w:rPr>
      </w:pPr>
      <w:r>
        <w:rPr>
          <w:sz w:val="20"/>
          <w:szCs w:val="20"/>
        </w:rPr>
        <w:t>Preporučuje se praćenje bubrežne funkcije (pogledati dio 4.4).</w:t>
      </w:r>
    </w:p>
    <w:p w14:paraId="648B604E">
      <w:pPr>
        <w:pStyle w:val="12"/>
        <w:spacing w:line="240" w:lineRule="auto"/>
        <w:ind w:firstLine="0"/>
        <w:jc w:val="both"/>
        <w:rPr>
          <w:sz w:val="20"/>
          <w:szCs w:val="20"/>
        </w:rPr>
      </w:pPr>
    </w:p>
    <w:p w14:paraId="51FA84C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2C4841D">
      <w:pPr>
        <w:pStyle w:val="12"/>
        <w:spacing w:line="240" w:lineRule="auto"/>
        <w:ind w:firstLine="0"/>
        <w:jc w:val="both"/>
        <w:rPr>
          <w:sz w:val="20"/>
          <w:szCs w:val="20"/>
        </w:rPr>
      </w:pPr>
      <w:r>
        <w:rPr>
          <w:sz w:val="20"/>
          <w:szCs w:val="20"/>
        </w:rPr>
        <w:t>povezan sa slučajevima amenoreje (sekundarna amenoreja i druge menstrualne nepravilnosti).</w:t>
      </w:r>
    </w:p>
    <w:p w14:paraId="180CFA65">
      <w:pPr>
        <w:pStyle w:val="12"/>
        <w:spacing w:line="240" w:lineRule="auto"/>
        <w:ind w:firstLine="0"/>
        <w:jc w:val="both"/>
        <w:rPr>
          <w:sz w:val="20"/>
          <w:szCs w:val="20"/>
        </w:rPr>
      </w:pPr>
    </w:p>
    <w:p w14:paraId="44EEAE7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3A7C06F">
      <w:pPr>
        <w:pStyle w:val="12"/>
        <w:shd w:val="clear" w:color="auto" w:fill="auto"/>
        <w:spacing w:line="240" w:lineRule="auto"/>
        <w:ind w:firstLine="0"/>
        <w:jc w:val="both"/>
        <w:rPr>
          <w:sz w:val="20"/>
          <w:szCs w:val="20"/>
        </w:rPr>
      </w:pPr>
      <w:r>
        <w:rPr>
          <w:sz w:val="20"/>
          <w:szCs w:val="20"/>
        </w:rPr>
        <w:t xml:space="preserve">povezan sa slučajevima pneumonije koju uzrokuje </w:t>
      </w:r>
      <w:r>
        <w:rPr>
          <w:rStyle w:val="27"/>
          <w:spacing w:val="0"/>
        </w:rPr>
        <w:t>Pneumocystis</w:t>
      </w:r>
      <w:r>
        <w:rPr>
          <w:rStyle w:val="27"/>
          <w:spacing w:val="0"/>
          <w:lang w:val="sr-Cyrl-RS"/>
        </w:rPr>
        <w:t xml:space="preserve"> </w:t>
      </w:r>
      <w:r>
        <w:rPr>
          <w:rStyle w:val="27"/>
          <w:spacing w:val="0"/>
        </w:rPr>
        <w:t>jirovecii</w:t>
      </w:r>
      <w:r>
        <w:rPr>
          <w:rStyle w:val="27"/>
          <w:spacing w:val="0"/>
          <w:lang w:val="sr-Cyrl-RS"/>
        </w:rPr>
        <w:t xml:space="preserve"> </w:t>
      </w:r>
      <w:r>
        <w:rPr>
          <w:rStyle w:val="27"/>
          <w:spacing w:val="0"/>
        </w:rPr>
        <w:t>(carinil)</w:t>
      </w:r>
      <w:r>
        <w:rPr>
          <w:sz w:val="20"/>
          <w:szCs w:val="20"/>
        </w:rPr>
        <w:t xml:space="preserve"> (PJP, PCP), neki sa smrtnim ishodom (pogledati dio 4.4).</w:t>
      </w:r>
    </w:p>
    <w:p w14:paraId="258E1474">
      <w:pPr>
        <w:pStyle w:val="12"/>
        <w:shd w:val="clear" w:color="auto" w:fill="auto"/>
        <w:spacing w:line="240" w:lineRule="auto"/>
        <w:ind w:firstLine="0"/>
        <w:jc w:val="both"/>
        <w:rPr>
          <w:sz w:val="20"/>
          <w:szCs w:val="20"/>
        </w:rPr>
      </w:pPr>
    </w:p>
    <w:p w14:paraId="56B36D79">
      <w:pPr>
        <w:pStyle w:val="12"/>
        <w:shd w:val="clear" w:color="auto" w:fill="auto"/>
        <w:spacing w:line="240" w:lineRule="auto"/>
        <w:ind w:firstLine="0"/>
        <w:jc w:val="both"/>
        <w:rPr>
          <w:sz w:val="20"/>
          <w:szCs w:val="20"/>
        </w:rPr>
      </w:pPr>
      <w:r>
        <w:rPr>
          <w:sz w:val="20"/>
          <w:szCs w:val="20"/>
        </w:rPr>
        <w:t>U kliničkim ispitivanjima i spontanim prijavama nakon stavljanja lijeka u promet prijavljen je angioedem uz istovremenu primjenu ili bez istovremene primjene sa ACE inhibitorima (pogledati dio 4.4).</w:t>
      </w:r>
    </w:p>
    <w:p w14:paraId="3C7B91CD">
      <w:pPr>
        <w:pStyle w:val="12"/>
        <w:shd w:val="clear" w:color="auto" w:fill="auto"/>
        <w:spacing w:line="240" w:lineRule="auto"/>
        <w:ind w:firstLine="0"/>
        <w:jc w:val="both"/>
        <w:rPr>
          <w:rStyle w:val="19"/>
          <w:sz w:val="20"/>
          <w:szCs w:val="20"/>
        </w:rPr>
      </w:pPr>
    </w:p>
    <w:p w14:paraId="6B952CF4">
      <w:pPr>
        <w:pStyle w:val="12"/>
        <w:shd w:val="clear" w:color="auto" w:fill="auto"/>
        <w:spacing w:line="240" w:lineRule="auto"/>
        <w:ind w:firstLine="0"/>
        <w:jc w:val="both"/>
        <w:rPr>
          <w:sz w:val="20"/>
          <w:szCs w:val="20"/>
        </w:rPr>
      </w:pPr>
      <w:r>
        <w:rPr>
          <w:rStyle w:val="19"/>
          <w:sz w:val="20"/>
          <w:szCs w:val="20"/>
        </w:rPr>
        <w:t>Stariji pacijenti</w:t>
      </w:r>
    </w:p>
    <w:p w14:paraId="410DFB8D">
      <w:pPr>
        <w:pStyle w:val="12"/>
        <w:shd w:val="clear" w:color="auto" w:fill="auto"/>
        <w:spacing w:line="240" w:lineRule="auto"/>
        <w:ind w:firstLine="0"/>
        <w:jc w:val="both"/>
        <w:rPr>
          <w:rStyle w:val="19"/>
          <w:sz w:val="20"/>
          <w:szCs w:val="20"/>
        </w:rPr>
      </w:pPr>
      <w:r>
        <w:rPr>
          <w:sz w:val="20"/>
          <w:szCs w:val="20"/>
        </w:rPr>
        <w:t>U objedinjenim sigurnosnim podacima, 37% pacijenata liječenih everolimusom imalo je ≥65 godina. Broj pacijenata sa neželjenim djelovanjima zbog kojih je došlo do prekida primjene lijeka bio je viši kod pacijenata sa ≥65 godina (20% u odnosu na 13%). Najčešća neželjena djelovanja koja su dovela do prekida primjene bile su pneumonitis (uključujući intersticijsku plućnu bolest), stomatitis, umor i dispneja.</w:t>
      </w:r>
    </w:p>
    <w:p w14:paraId="21BE1E9E">
      <w:pPr>
        <w:pStyle w:val="12"/>
        <w:shd w:val="clear" w:color="auto" w:fill="auto"/>
        <w:spacing w:line="240" w:lineRule="auto"/>
        <w:ind w:firstLine="0"/>
        <w:jc w:val="both"/>
        <w:rPr>
          <w:rStyle w:val="19"/>
          <w:sz w:val="20"/>
          <w:szCs w:val="20"/>
        </w:rPr>
      </w:pPr>
    </w:p>
    <w:p w14:paraId="5078165B">
      <w:pPr>
        <w:pStyle w:val="12"/>
        <w:shd w:val="clear" w:color="auto" w:fill="auto"/>
        <w:spacing w:line="240" w:lineRule="auto"/>
        <w:ind w:firstLine="0"/>
        <w:jc w:val="both"/>
        <w:rPr>
          <w:sz w:val="20"/>
          <w:szCs w:val="20"/>
        </w:rPr>
      </w:pPr>
      <w:r>
        <w:rPr>
          <w:rStyle w:val="19"/>
          <w:sz w:val="20"/>
          <w:szCs w:val="20"/>
        </w:rPr>
        <w:t>Prijavljivanje sumnje na neželjena djelovanja lijeka</w:t>
      </w:r>
    </w:p>
    <w:p w14:paraId="29FE7B80">
      <w:pPr>
        <w:pStyle w:val="12"/>
        <w:shd w:val="clear" w:color="auto" w:fill="auto"/>
        <w:spacing w:line="240" w:lineRule="auto"/>
        <w:ind w:firstLine="0"/>
        <w:jc w:val="both"/>
        <w:rPr>
          <w:sz w:val="20"/>
          <w:szCs w:val="20"/>
        </w:rPr>
      </w:pPr>
      <w:r>
        <w:rPr>
          <w:sz w:val="20"/>
          <w:szCs w:val="20"/>
        </w:rPr>
        <w:t>Prijavljivanje sumnje na neželjena dejstava lijekova, a nakon stavljanja lijeka u promet, je od velike važnosti za formiranje kompletnije slike o bezbjedonosnom profilu lijeka, odnosno za formiranje što bolje ocjene odnosa korist/rizik pri terapijskoj primjeni lijeka.</w:t>
      </w:r>
    </w:p>
    <w:p w14:paraId="22D49A32">
      <w:pPr>
        <w:pStyle w:val="12"/>
        <w:shd w:val="clear" w:color="auto" w:fill="auto"/>
        <w:spacing w:line="240" w:lineRule="auto"/>
        <w:ind w:firstLine="0"/>
        <w:jc w:val="both"/>
        <w:rPr>
          <w:sz w:val="20"/>
          <w:szCs w:val="20"/>
        </w:rPr>
      </w:pPr>
      <w:r>
        <w:rPr>
          <w:sz w:val="20"/>
          <w:szCs w:val="20"/>
        </w:rPr>
        <w:t>Proces prijave sumnji na neželjena djelovanja lijeka doprinosi kontinuiranom praćenju odnosa koristi/rizik i adekvatnoj ocjeni bezbjedonosnog profila lijeka. Od zdravstvenih stručnjaka se traži da prijave svaku sumnju na neželjeno dejstvo lijekadirektno ALMBIH. Prijava se može dostaviti:</w:t>
      </w:r>
    </w:p>
    <w:p w14:paraId="512C2896">
      <w:pPr>
        <w:pStyle w:val="12"/>
        <w:numPr>
          <w:ilvl w:val="0"/>
          <w:numId w:val="4"/>
        </w:numPr>
        <w:shd w:val="clear" w:color="auto" w:fill="auto"/>
        <w:tabs>
          <w:tab w:val="left" w:pos="745"/>
        </w:tabs>
        <w:spacing w:line="240" w:lineRule="auto"/>
        <w:ind w:left="284" w:hanging="284"/>
        <w:jc w:val="both"/>
        <w:rPr>
          <w:sz w:val="20"/>
          <w:szCs w:val="20"/>
        </w:rPr>
      </w:pPr>
      <w:r>
        <w:rPr>
          <w:sz w:val="20"/>
          <w:szCs w:val="20"/>
        </w:rPr>
        <w:t>putem softverske aplikacije za prijavu neželjenih dejstava lijekova za humanu upotrebu (IS Farmakovigilansa) o kojoj više informacija možete dobiti u nasoj Glavnoj kancelariji za farmakovigilansu, ili</w:t>
      </w:r>
    </w:p>
    <w:p w14:paraId="261DD3B7">
      <w:pPr>
        <w:pStyle w:val="12"/>
        <w:numPr>
          <w:ilvl w:val="0"/>
          <w:numId w:val="4"/>
        </w:numPr>
        <w:shd w:val="clear" w:color="auto" w:fill="auto"/>
        <w:tabs>
          <w:tab w:val="left" w:pos="745"/>
        </w:tabs>
        <w:spacing w:line="240" w:lineRule="auto"/>
        <w:ind w:left="284" w:hanging="284"/>
        <w:jc w:val="both"/>
        <w:rPr>
          <w:sz w:val="20"/>
          <w:szCs w:val="20"/>
        </w:rPr>
      </w:pPr>
      <w:r>
        <w:rPr>
          <w:sz w:val="20"/>
          <w:szCs w:val="20"/>
        </w:rPr>
        <w:t xml:space="preserve">putem odgovarajućeg obrasca za prijavljivanje sumnji na neželjena djelovanja lijeka, koji se mogu naći na internet adresi Agencije za lijekove: </w:t>
      </w:r>
      <w:r>
        <w:fldChar w:fldCharType="begin"/>
      </w:r>
      <w:r>
        <w:instrText xml:space="preserve"> HYPERLINK "http://www.almbih.gov.ba" </w:instrText>
      </w:r>
      <w:r>
        <w:fldChar w:fldCharType="separate"/>
      </w:r>
      <w:r>
        <w:rPr>
          <w:rStyle w:val="10"/>
          <w:sz w:val="20"/>
          <w:szCs w:val="20"/>
        </w:rPr>
        <w:t>www.almbih.gov.ba</w:t>
      </w:r>
      <w:r>
        <w:rPr>
          <w:rStyle w:val="10"/>
          <w:sz w:val="20"/>
          <w:szCs w:val="20"/>
        </w:rPr>
        <w:fldChar w:fldCharType="end"/>
      </w:r>
      <w:r>
        <w:rPr>
          <w:sz w:val="20"/>
          <w:szCs w:val="20"/>
        </w:rPr>
        <w:t xml:space="preserve">. Popunjen obrazac se može dostaviti ALMBIH putem pošte, na adresu Agencija za lijekove i medicinska sredstva Bosne i Hercegovine, Veljka Mlađenovica bb, Banja Luka, ili elektronske pošte (na e-mail adresu: </w:t>
      </w:r>
      <w:r>
        <w:fldChar w:fldCharType="begin"/>
      </w:r>
      <w:r>
        <w:instrText xml:space="preserve"> HYPERLINK "mailto:ndl@almbih.gov.ba" </w:instrText>
      </w:r>
      <w:r>
        <w:fldChar w:fldCharType="separate"/>
      </w:r>
      <w:r>
        <w:rPr>
          <w:rStyle w:val="10"/>
          <w:sz w:val="20"/>
          <w:szCs w:val="20"/>
        </w:rPr>
        <w:t>ndl@almbih.gov.ba</w:t>
      </w:r>
      <w:r>
        <w:rPr>
          <w:rStyle w:val="10"/>
          <w:sz w:val="20"/>
          <w:szCs w:val="20"/>
        </w:rPr>
        <w:fldChar w:fldCharType="end"/>
      </w:r>
      <w:r>
        <w:rPr>
          <w:rStyle w:val="19"/>
          <w:sz w:val="20"/>
          <w:szCs w:val="20"/>
        </w:rPr>
        <w:t>)</w:t>
      </w:r>
      <w:r>
        <w:rPr>
          <w:sz w:val="20"/>
          <w:szCs w:val="20"/>
        </w:rPr>
        <w:t>.</w:t>
      </w:r>
    </w:p>
    <w:p w14:paraId="614FE96C">
      <w:pPr>
        <w:pStyle w:val="12"/>
        <w:shd w:val="clear" w:color="auto" w:fill="auto"/>
        <w:tabs>
          <w:tab w:val="left" w:pos="745"/>
        </w:tabs>
        <w:spacing w:line="240" w:lineRule="auto"/>
        <w:ind w:firstLine="0"/>
        <w:jc w:val="both"/>
        <w:rPr>
          <w:b/>
          <w:sz w:val="20"/>
          <w:szCs w:val="20"/>
        </w:rPr>
      </w:pPr>
    </w:p>
    <w:p w14:paraId="51BABB2F">
      <w:pPr>
        <w:pStyle w:val="12"/>
        <w:shd w:val="clear" w:color="auto" w:fill="auto"/>
        <w:spacing w:line="240" w:lineRule="auto"/>
        <w:ind w:firstLine="0"/>
        <w:jc w:val="both"/>
        <w:rPr>
          <w:b/>
          <w:sz w:val="20"/>
          <w:szCs w:val="20"/>
        </w:rPr>
      </w:pPr>
      <w:r>
        <w:rPr>
          <w:b/>
          <w:sz w:val="20"/>
          <w:szCs w:val="20"/>
        </w:rPr>
        <w:t>4.9 Predoziranje</w:t>
      </w:r>
    </w:p>
    <w:p w14:paraId="03ABE9F2">
      <w:pPr>
        <w:pStyle w:val="12"/>
        <w:shd w:val="clear" w:color="auto" w:fill="auto"/>
        <w:spacing w:line="240" w:lineRule="auto"/>
        <w:ind w:firstLine="0"/>
        <w:jc w:val="both"/>
        <w:rPr>
          <w:b/>
          <w:sz w:val="20"/>
          <w:szCs w:val="20"/>
        </w:rPr>
      </w:pPr>
    </w:p>
    <w:p w14:paraId="753AA3A8">
      <w:pPr>
        <w:pStyle w:val="12"/>
        <w:shd w:val="clear" w:color="auto" w:fill="auto"/>
        <w:spacing w:line="240" w:lineRule="auto"/>
        <w:ind w:firstLine="0"/>
        <w:jc w:val="both"/>
        <w:rPr>
          <w:sz w:val="20"/>
          <w:szCs w:val="20"/>
        </w:rPr>
      </w:pPr>
      <w:r>
        <w:rPr>
          <w:sz w:val="20"/>
          <w:szCs w:val="20"/>
        </w:rPr>
        <w:t>Prijavljeno iskustvo sa predoziranjem kod ljudi je vrlo ograničeno. Pojedinačne doze do 70 mg primjenjivane su sa prihvatljivom akutnom podnošljivosti. U svim slučajevima predoziranja potrebno je provoditi opšte suportivne mjere.</w:t>
      </w:r>
    </w:p>
    <w:p w14:paraId="65A54D74">
      <w:pPr>
        <w:pStyle w:val="12"/>
        <w:shd w:val="clear" w:color="auto" w:fill="auto"/>
        <w:spacing w:line="240" w:lineRule="auto"/>
        <w:ind w:firstLine="0"/>
        <w:jc w:val="both"/>
        <w:rPr>
          <w:sz w:val="20"/>
          <w:szCs w:val="20"/>
        </w:rPr>
      </w:pPr>
    </w:p>
    <w:p w14:paraId="11994ADD">
      <w:pPr>
        <w:pStyle w:val="12"/>
        <w:shd w:val="clear" w:color="auto" w:fill="auto"/>
        <w:spacing w:line="240" w:lineRule="auto"/>
        <w:ind w:firstLine="0"/>
        <w:jc w:val="both"/>
        <w:rPr>
          <w:sz w:val="20"/>
          <w:szCs w:val="20"/>
        </w:rPr>
      </w:pPr>
    </w:p>
    <w:p w14:paraId="40D9AD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FARMAKOLOŠKE KARAKTERISTIKE</w:t>
      </w:r>
    </w:p>
    <w:p w14:paraId="79D23D05">
      <w:pPr>
        <w:pStyle w:val="12"/>
        <w:shd w:val="clear" w:color="auto" w:fill="auto"/>
        <w:tabs>
          <w:tab w:val="left" w:pos="591"/>
        </w:tabs>
        <w:spacing w:line="240" w:lineRule="auto"/>
        <w:ind w:firstLine="0"/>
        <w:jc w:val="both"/>
        <w:rPr>
          <w:b/>
          <w:sz w:val="20"/>
          <w:szCs w:val="20"/>
        </w:rPr>
      </w:pPr>
    </w:p>
    <w:p w14:paraId="117BD7B7">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Farmakodinamičke karakteristike</w:t>
      </w:r>
    </w:p>
    <w:p w14:paraId="570F345D">
      <w:pPr>
        <w:pStyle w:val="12"/>
        <w:shd w:val="clear" w:color="auto" w:fill="auto"/>
        <w:tabs>
          <w:tab w:val="left" w:pos="591"/>
        </w:tabs>
        <w:spacing w:line="240" w:lineRule="auto"/>
        <w:ind w:firstLine="0"/>
        <w:jc w:val="both"/>
        <w:rPr>
          <w:b/>
          <w:sz w:val="20"/>
          <w:szCs w:val="20"/>
        </w:rPr>
      </w:pPr>
    </w:p>
    <w:p w14:paraId="358F8626">
      <w:pPr>
        <w:pStyle w:val="12"/>
        <w:shd w:val="clear" w:color="auto" w:fill="auto"/>
        <w:spacing w:line="240" w:lineRule="auto"/>
        <w:ind w:firstLine="0"/>
        <w:jc w:val="both"/>
        <w:rPr>
          <w:sz w:val="20"/>
          <w:szCs w:val="20"/>
        </w:rPr>
      </w:pPr>
      <w:r>
        <w:rPr>
          <w:sz w:val="20"/>
          <w:szCs w:val="20"/>
        </w:rPr>
        <w:t xml:space="preserve">Farmakoterapijska grupa: Antineoplastici, inhibitori protein kinaze, </w:t>
      </w:r>
    </w:p>
    <w:p w14:paraId="7D58A60E">
      <w:pPr>
        <w:pStyle w:val="12"/>
        <w:shd w:val="clear" w:color="auto" w:fill="auto"/>
        <w:spacing w:line="240" w:lineRule="auto"/>
        <w:ind w:firstLine="0"/>
        <w:jc w:val="both"/>
        <w:rPr>
          <w:sz w:val="20"/>
          <w:szCs w:val="20"/>
        </w:rPr>
      </w:pPr>
      <w:r>
        <w:rPr>
          <w:sz w:val="20"/>
          <w:szCs w:val="20"/>
        </w:rPr>
        <w:t>ATC oznaka: L01EG02</w:t>
      </w:r>
    </w:p>
    <w:p w14:paraId="4CE751DC">
      <w:pPr>
        <w:pStyle w:val="12"/>
        <w:shd w:val="clear" w:color="auto" w:fill="auto"/>
        <w:spacing w:line="240" w:lineRule="auto"/>
        <w:ind w:firstLine="0"/>
        <w:jc w:val="both"/>
        <w:rPr>
          <w:sz w:val="20"/>
          <w:szCs w:val="20"/>
        </w:rPr>
      </w:pPr>
    </w:p>
    <w:p w14:paraId="613C389D">
      <w:pPr>
        <w:pStyle w:val="12"/>
        <w:shd w:val="clear" w:color="auto" w:fill="auto"/>
        <w:spacing w:line="240" w:lineRule="auto"/>
        <w:ind w:firstLine="0"/>
        <w:jc w:val="both"/>
        <w:rPr>
          <w:sz w:val="20"/>
          <w:szCs w:val="20"/>
        </w:rPr>
      </w:pPr>
      <w:r>
        <w:rPr>
          <w:rStyle w:val="19"/>
          <w:sz w:val="20"/>
          <w:szCs w:val="20"/>
        </w:rPr>
        <w:t>Mehanizam djelovanja</w:t>
      </w:r>
    </w:p>
    <w:p w14:paraId="5E54DB1D">
      <w:pPr>
        <w:pStyle w:val="12"/>
        <w:shd w:val="clear" w:color="auto" w:fill="auto"/>
        <w:spacing w:line="240" w:lineRule="auto"/>
        <w:ind w:firstLine="0"/>
        <w:jc w:val="both"/>
        <w:rPr>
          <w:sz w:val="20"/>
          <w:szCs w:val="20"/>
        </w:rPr>
      </w:pPr>
      <w:r>
        <w:rPr>
          <w:sz w:val="20"/>
          <w:szCs w:val="20"/>
        </w:rPr>
        <w:t xml:space="preserve">Everolimus je selektivni mTOR (engl. </w:t>
      </w:r>
      <w:r>
        <w:rPr>
          <w:rStyle w:val="27"/>
          <w:spacing w:val="0"/>
        </w:rPr>
        <w:t>mammalian target of rapamycin)</w:t>
      </w:r>
      <w:r>
        <w:rPr>
          <w:sz w:val="20"/>
          <w:szCs w:val="20"/>
        </w:rPr>
        <w:t xml:space="preserve"> inhibitor. mTOR je serin-treonin kinaza od ključne važnosti, </w:t>
      </w:r>
      <w:r>
        <w:rPr>
          <w:sz w:val="20"/>
          <w:szCs w:val="20"/>
          <w:lang w:val="hr-BA"/>
        </w:rPr>
        <w:t xml:space="preserve">za </w:t>
      </w:r>
      <w:r>
        <w:rPr>
          <w:sz w:val="20"/>
          <w:szCs w:val="20"/>
        </w:rPr>
        <w:t xml:space="preserve">čija se aktivnost zna da je povećana kod različitih karcinoma kod ljudi. Everolimus se veže na intracelularni protein FKBP-12, pri čemu stvara kompleks koji inhibira aktivnost mTOR kompleksa-1 (mTORC1). Inhibicija mTORC1 signalnog puta interferira sa translacijom i sintezom proteina tako da smanjuje aktivnost S6 ribosomski protein kinaza (S6K1) i protein koji veže eukariotski faktor elongacije 4E (4EBP-1; engl. </w:t>
      </w:r>
      <w:r>
        <w:rPr>
          <w:rStyle w:val="27"/>
          <w:spacing w:val="0"/>
        </w:rPr>
        <w:t>4E-bindingprotein)</w:t>
      </w:r>
      <w:r>
        <w:rPr>
          <w:sz w:val="20"/>
          <w:szCs w:val="20"/>
        </w:rPr>
        <w:t xml:space="preserve"> koje regulišu proteine uključene u ćelijski ciklus, angiogenezu i glikolizu. Smatra se da S6K1 fosforilira aktivacijski funkcionalni domen 1 estrogenskog receptora, koja je odgovor</w:t>
      </w:r>
      <w:r>
        <w:rPr>
          <w:sz w:val="20"/>
          <w:szCs w:val="20"/>
          <w:lang w:val="mk-MK"/>
        </w:rPr>
        <w:t>а</w:t>
      </w:r>
      <w:r>
        <w:rPr>
          <w:sz w:val="20"/>
          <w:szCs w:val="20"/>
        </w:rPr>
        <w:t>n za aktivaciju receptora nezavisn</w:t>
      </w:r>
      <w:r>
        <w:rPr>
          <w:sz w:val="20"/>
          <w:szCs w:val="20"/>
          <w:lang w:val="hr-BA"/>
        </w:rPr>
        <w:t>ih</w:t>
      </w:r>
      <w:r>
        <w:rPr>
          <w:sz w:val="20"/>
          <w:szCs w:val="20"/>
        </w:rPr>
        <w:t xml:space="preserve"> od liganda. Everolimus snižava nivoe vaskularnog endotelnog faktora rasta (VEGF) koji potencira proces angiogeneze kod tumora. Everolimus je potentni inhibitor rasta i proliferacije tumorskih ćelija, endotelnih ćelija, fibroblasta i glatkih mišićnih ćelija u krvnim sudovima i je </w:t>
      </w:r>
      <w:r>
        <w:rPr>
          <w:rStyle w:val="27"/>
          <w:spacing w:val="0"/>
        </w:rPr>
        <w:t>in vitro</w:t>
      </w:r>
      <w:r>
        <w:rPr>
          <w:sz w:val="20"/>
          <w:szCs w:val="20"/>
        </w:rPr>
        <w:t xml:space="preserve"> i </w:t>
      </w:r>
      <w:r>
        <w:rPr>
          <w:rStyle w:val="27"/>
          <w:spacing w:val="0"/>
        </w:rPr>
        <w:t>in vivo</w:t>
      </w:r>
      <w:r>
        <w:rPr>
          <w:sz w:val="20"/>
          <w:szCs w:val="20"/>
        </w:rPr>
        <w:t xml:space="preserve"> pokazano da smanjuje glikolizu u čvrstim tumorima.</w:t>
      </w:r>
    </w:p>
    <w:p w14:paraId="3F76E116">
      <w:pPr>
        <w:pStyle w:val="12"/>
        <w:shd w:val="clear" w:color="auto" w:fill="auto"/>
        <w:spacing w:line="240" w:lineRule="auto"/>
        <w:ind w:firstLine="0"/>
        <w:jc w:val="both"/>
        <w:rPr>
          <w:sz w:val="20"/>
          <w:szCs w:val="20"/>
        </w:rPr>
      </w:pPr>
    </w:p>
    <w:p w14:paraId="1B3BC399">
      <w:pPr>
        <w:pStyle w:val="12"/>
        <w:shd w:val="clear" w:color="auto" w:fill="auto"/>
        <w:spacing w:line="240" w:lineRule="auto"/>
        <w:ind w:firstLine="0"/>
        <w:jc w:val="both"/>
        <w:rPr>
          <w:sz w:val="20"/>
          <w:szCs w:val="20"/>
        </w:rPr>
      </w:pPr>
    </w:p>
    <w:p w14:paraId="437B3310">
      <w:pPr>
        <w:pStyle w:val="12"/>
        <w:shd w:val="clear" w:color="auto" w:fill="auto"/>
        <w:spacing w:line="240" w:lineRule="auto"/>
        <w:ind w:firstLine="0"/>
        <w:jc w:val="both"/>
        <w:rPr>
          <w:sz w:val="20"/>
          <w:szCs w:val="20"/>
        </w:rPr>
      </w:pPr>
    </w:p>
    <w:p w14:paraId="1DAA1CC9">
      <w:pPr>
        <w:pStyle w:val="12"/>
        <w:shd w:val="clear" w:color="auto" w:fill="auto"/>
        <w:spacing w:line="240" w:lineRule="auto"/>
        <w:ind w:firstLine="0"/>
        <w:jc w:val="both"/>
        <w:rPr>
          <w:rStyle w:val="19"/>
          <w:sz w:val="20"/>
          <w:szCs w:val="20"/>
        </w:rPr>
      </w:pPr>
      <w:r>
        <w:rPr>
          <w:rStyle w:val="19"/>
          <w:sz w:val="20"/>
          <w:szCs w:val="20"/>
        </w:rPr>
        <w:t>Klinička efikasnost i bezbjednost</w:t>
      </w:r>
    </w:p>
    <w:p w14:paraId="6474F2B0">
      <w:pPr>
        <w:pStyle w:val="12"/>
        <w:shd w:val="clear" w:color="auto" w:fill="auto"/>
        <w:spacing w:line="240" w:lineRule="auto"/>
        <w:ind w:firstLine="0"/>
        <w:jc w:val="both"/>
        <w:rPr>
          <w:sz w:val="20"/>
          <w:szCs w:val="20"/>
        </w:rPr>
      </w:pPr>
    </w:p>
    <w:p w14:paraId="221F04CB">
      <w:pPr>
        <w:pStyle w:val="21"/>
        <w:shd w:val="clear" w:color="auto" w:fill="auto"/>
        <w:spacing w:line="240" w:lineRule="auto"/>
        <w:rPr>
          <w:spacing w:val="0"/>
          <w:u w:val="single"/>
        </w:rPr>
      </w:pPr>
      <w:r>
        <w:rPr>
          <w:spacing w:val="0"/>
          <w:u w:val="single"/>
        </w:rPr>
        <w:t>Uznapredovali rak dojke pozitivan na hormonske receptore</w:t>
      </w:r>
    </w:p>
    <w:p w14:paraId="1B0794F3">
      <w:pPr>
        <w:pStyle w:val="12"/>
        <w:shd w:val="clear" w:color="auto" w:fill="auto"/>
        <w:spacing w:line="240" w:lineRule="auto"/>
        <w:ind w:firstLine="0"/>
        <w:jc w:val="both"/>
        <w:rPr>
          <w:sz w:val="20"/>
          <w:szCs w:val="20"/>
        </w:rPr>
      </w:pPr>
      <w:r>
        <w:rPr>
          <w:sz w:val="20"/>
          <w:szCs w:val="20"/>
        </w:rPr>
        <w:t xml:space="preserve">BOLERO-2 (CRAD001Y2301 ispitivanje), randomizovano, dvostruko slijepo, multicentrično ispitivanje faze III kod koje je primjenjivan everolimusa plus eksemestana u odnosu na placebo plus eksemestan, sprovedeno je kod  žena u postmenopauzi sa uznapredovalim rakom dojke pozitivnim na estrogenske receptore i negativnim na HER2/neu, kod kojih je došlo do recidiva ili progresije bolesti nakon prethodnog liječenja letrozolom ili anastrozolom. Dodatna randomizacija </w:t>
      </w:r>
      <w:r>
        <w:rPr>
          <w:sz w:val="20"/>
          <w:szCs w:val="20"/>
          <w:lang w:val="hr-BA"/>
        </w:rPr>
        <w:t>s</w:t>
      </w:r>
      <w:r>
        <w:rPr>
          <w:sz w:val="20"/>
          <w:szCs w:val="20"/>
        </w:rPr>
        <w:t>provedena je prema dokumentovanoj osjetljivosti na prethodnu hormonsku terapiju i prisutnosti visceralnih metastaza. Osjetljivost na prethodnu hormonsku terapiju bila je definisana ili kao (1) dokumentovana klinička korist (potpuni odgovor, djelomičan odgovor, stabilna bolest ≥24 nedelje) nakon barem jedne prethodne hormonske terapije u uznapredovaloj bolesti, ili kao (2) najmanje 24 mjeseca adjuvantne hormonske terapije prije recidiva bolesti.</w:t>
      </w:r>
    </w:p>
    <w:p w14:paraId="0CE9E068">
      <w:pPr>
        <w:pStyle w:val="12"/>
        <w:shd w:val="clear" w:color="auto" w:fill="auto"/>
        <w:spacing w:line="240" w:lineRule="auto"/>
        <w:ind w:firstLine="0"/>
        <w:jc w:val="both"/>
        <w:rPr>
          <w:sz w:val="20"/>
          <w:szCs w:val="20"/>
        </w:rPr>
      </w:pPr>
    </w:p>
    <w:p w14:paraId="0352BD1E">
      <w:pPr>
        <w:pStyle w:val="12"/>
        <w:shd w:val="clear" w:color="auto" w:fill="auto"/>
        <w:spacing w:line="240" w:lineRule="auto"/>
        <w:ind w:firstLine="0"/>
        <w:jc w:val="both"/>
        <w:rPr>
          <w:sz w:val="20"/>
          <w:szCs w:val="20"/>
        </w:rPr>
      </w:pPr>
      <w:r>
        <w:rPr>
          <w:sz w:val="20"/>
          <w:szCs w:val="20"/>
        </w:rPr>
        <w:t>Primarni parametar pra</w:t>
      </w:r>
      <w:r>
        <w:rPr>
          <w:sz w:val="20"/>
          <w:szCs w:val="20"/>
          <w:lang w:val="hr-BA"/>
        </w:rPr>
        <w:t xml:space="preserve">ćenja </w:t>
      </w:r>
      <w:r>
        <w:rPr>
          <w:sz w:val="20"/>
          <w:szCs w:val="20"/>
        </w:rPr>
        <w:t xml:space="preserve">ishoda ispitivanja bilo je preživljavanje bez progresije bolesti prema RECIST kriterijima (engl. </w:t>
      </w:r>
      <w:r>
        <w:rPr>
          <w:rStyle w:val="27"/>
          <w:spacing w:val="0"/>
        </w:rPr>
        <w:t>Response Evaluation Criteria in Solid Tumors),</w:t>
      </w:r>
      <w:r>
        <w:rPr>
          <w:sz w:val="20"/>
          <w:szCs w:val="20"/>
        </w:rPr>
        <w:t xml:space="preserve"> na osnovu procjene ispitivača (lokalna radiolo</w:t>
      </w:r>
      <w:r>
        <w:rPr>
          <w:sz w:val="20"/>
          <w:szCs w:val="20"/>
          <w:lang w:val="hr-BA"/>
        </w:rPr>
        <w:t>ška procjena</w:t>
      </w:r>
      <w:r>
        <w:rPr>
          <w:sz w:val="20"/>
          <w:szCs w:val="20"/>
        </w:rPr>
        <w:t>). Suportivne analize preživljavanja bez progresije bolesti temeljile su se na nezavisnoj centralnoj radiološkoj procjeni.</w:t>
      </w:r>
    </w:p>
    <w:p w14:paraId="182DD861">
      <w:pPr>
        <w:pStyle w:val="12"/>
        <w:shd w:val="clear" w:color="auto" w:fill="auto"/>
        <w:spacing w:line="240" w:lineRule="auto"/>
        <w:ind w:firstLine="0"/>
        <w:jc w:val="both"/>
        <w:rPr>
          <w:sz w:val="20"/>
          <w:szCs w:val="20"/>
        </w:rPr>
      </w:pPr>
      <w:r>
        <w:rPr>
          <w:sz w:val="20"/>
          <w:szCs w:val="20"/>
        </w:rPr>
        <w:t>Sekundarni parametar pra</w:t>
      </w:r>
      <w:r>
        <w:rPr>
          <w:sz w:val="20"/>
          <w:szCs w:val="20"/>
          <w:lang w:val="hr-BA"/>
        </w:rPr>
        <w:t xml:space="preserve">ćenje </w:t>
      </w:r>
      <w:r>
        <w:rPr>
          <w:sz w:val="20"/>
          <w:szCs w:val="20"/>
        </w:rPr>
        <w:t>ishoda ispitivanja uključivao je ukupno preživljavanje, objektivnu stopu odgovora, stopu kliničke koristi, bezbjednost primjene, promjenu u kvalitetu života i vrijeme do pogoršanja opšteg stanja prema ECOG-u.</w:t>
      </w:r>
    </w:p>
    <w:p w14:paraId="31D2C8B9">
      <w:pPr>
        <w:pStyle w:val="12"/>
        <w:shd w:val="clear" w:color="auto" w:fill="auto"/>
        <w:spacing w:line="240" w:lineRule="auto"/>
        <w:ind w:firstLine="0"/>
        <w:jc w:val="both"/>
        <w:rPr>
          <w:sz w:val="20"/>
          <w:szCs w:val="20"/>
        </w:rPr>
      </w:pPr>
      <w:r>
        <w:rPr>
          <w:sz w:val="20"/>
          <w:szCs w:val="20"/>
        </w:rPr>
        <w:t>Ukupno 724 pacijentkinje bile su randomizirane u omjeru 2:1 u dvije terapijske grupe: ili u grupu koja je primala kombinaciju everolimusa (10 mg dnevno) i eksemestana (25 mg dnevno) (n=485) ili u grupu koja je primala kombinaciju placeba i eksemestana (25 mg dnevno) (n=239). U trenutku konačne analize ukupnog preživljavanja, medijana trajanja liječenja everolimusom bio je 24,0 nedelja (raspon 1,0-199,1 nedelja). Medijana trajanja liječenja eksemestanom bilo je duže u grupi koja je primala everolimus i eksemestan i iznosio je 29,5 nedelja (1,0-199,1) u sporedbi sa 14,1 nedelja (1,0-156,0) u grupi koja je primala placebo i eksemestan.</w:t>
      </w:r>
    </w:p>
    <w:p w14:paraId="13321C7A">
      <w:pPr>
        <w:pStyle w:val="12"/>
        <w:shd w:val="clear" w:color="auto" w:fill="auto"/>
        <w:spacing w:line="240" w:lineRule="auto"/>
        <w:ind w:firstLine="0"/>
        <w:jc w:val="both"/>
        <w:rPr>
          <w:sz w:val="20"/>
          <w:szCs w:val="20"/>
        </w:rPr>
      </w:pPr>
    </w:p>
    <w:p w14:paraId="7E6B369F">
      <w:pPr>
        <w:pStyle w:val="12"/>
        <w:shd w:val="clear" w:color="auto" w:fill="auto"/>
        <w:spacing w:line="240" w:lineRule="auto"/>
        <w:ind w:firstLine="0"/>
        <w:jc w:val="both"/>
        <w:rPr>
          <w:sz w:val="20"/>
          <w:szCs w:val="20"/>
        </w:rPr>
      </w:pPr>
      <w:r>
        <w:rPr>
          <w:sz w:val="20"/>
          <w:szCs w:val="20"/>
        </w:rPr>
        <w:t>Rezultati efikasnosti za primarni parametar praćenje ishoda ispitivanja dobijeni su konačnom analizom preživljavanja bez progresije bolesti (pogledati Tablicu 4 i Sliku 1). Pacijentice u grupi koja je primala placebo i eksemestan nisu prešle na everolimus u trenutku progresije bolesti.</w:t>
      </w:r>
    </w:p>
    <w:p w14:paraId="721B74A9">
      <w:pPr>
        <w:pStyle w:val="12"/>
        <w:shd w:val="clear" w:color="auto" w:fill="auto"/>
        <w:spacing w:line="240" w:lineRule="auto"/>
        <w:ind w:firstLine="0"/>
        <w:rPr>
          <w:sz w:val="20"/>
          <w:szCs w:val="20"/>
        </w:rPr>
      </w:pPr>
    </w:p>
    <w:p w14:paraId="22575DD3">
      <w:pPr>
        <w:pStyle w:val="23"/>
        <w:shd w:val="clear" w:color="auto" w:fill="auto"/>
        <w:spacing w:line="240" w:lineRule="auto"/>
        <w:jc w:val="both"/>
        <w:rPr>
          <w:b/>
          <w:sz w:val="20"/>
          <w:szCs w:val="20"/>
        </w:rPr>
      </w:pPr>
      <w:r>
        <w:rPr>
          <w:b/>
          <w:sz w:val="20"/>
          <w:szCs w:val="20"/>
        </w:rPr>
        <w:t>Tablica 4 BOLERO-2 rezultati efikasnosti</w:t>
      </w:r>
    </w:p>
    <w:tbl>
      <w:tblPr>
        <w:tblStyle w:val="3"/>
        <w:tblW w:w="93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086"/>
        <w:gridCol w:w="1622"/>
        <w:gridCol w:w="1800"/>
        <w:gridCol w:w="1618"/>
        <w:gridCol w:w="1219"/>
      </w:tblGrid>
      <w:tr w14:paraId="51BD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8" w:hRule="atLeast"/>
        </w:trPr>
        <w:tc>
          <w:tcPr>
            <w:tcW w:w="3086" w:type="dxa"/>
            <w:shd w:val="clear" w:color="auto" w:fill="FFFFFF"/>
          </w:tcPr>
          <w:p w14:paraId="6958FE7C">
            <w:pPr>
              <w:pStyle w:val="12"/>
              <w:shd w:val="clear" w:color="auto" w:fill="auto"/>
              <w:spacing w:line="240" w:lineRule="auto"/>
              <w:ind w:firstLine="0"/>
              <w:jc w:val="left"/>
              <w:rPr>
                <w:b/>
                <w:sz w:val="20"/>
                <w:szCs w:val="20"/>
              </w:rPr>
            </w:pPr>
            <w:r>
              <w:rPr>
                <w:rStyle w:val="24"/>
                <w:b/>
                <w:sz w:val="20"/>
                <w:szCs w:val="20"/>
              </w:rPr>
              <w:t>Analiza</w:t>
            </w:r>
          </w:p>
        </w:tc>
        <w:tc>
          <w:tcPr>
            <w:tcW w:w="1622" w:type="dxa"/>
            <w:shd w:val="clear" w:color="auto" w:fill="FFFFFF"/>
          </w:tcPr>
          <w:p w14:paraId="1627BDBB">
            <w:pPr>
              <w:pStyle w:val="12"/>
              <w:shd w:val="clear" w:color="auto" w:fill="auto"/>
              <w:spacing w:line="240" w:lineRule="auto"/>
              <w:ind w:firstLine="0"/>
              <w:jc w:val="left"/>
              <w:rPr>
                <w:b/>
                <w:sz w:val="20"/>
                <w:szCs w:val="20"/>
              </w:rPr>
            </w:pPr>
            <w:r>
              <w:rPr>
                <w:rStyle w:val="24"/>
                <w:b/>
                <w:sz w:val="20"/>
                <w:szCs w:val="20"/>
              </w:rPr>
              <w:t>Everolimus</w:t>
            </w:r>
            <w:r>
              <w:rPr>
                <w:rStyle w:val="24"/>
                <w:b/>
                <w:sz w:val="20"/>
                <w:szCs w:val="20"/>
                <w:vertAlign w:val="superscript"/>
              </w:rPr>
              <w:t>a</w:t>
            </w:r>
          </w:p>
          <w:p w14:paraId="0DA66AE1">
            <w:pPr>
              <w:pStyle w:val="12"/>
              <w:shd w:val="clear" w:color="auto" w:fill="auto"/>
              <w:spacing w:line="240" w:lineRule="auto"/>
              <w:ind w:firstLine="0"/>
              <w:jc w:val="left"/>
              <w:rPr>
                <w:b/>
                <w:sz w:val="20"/>
                <w:szCs w:val="20"/>
              </w:rPr>
            </w:pPr>
            <w:r>
              <w:rPr>
                <w:rStyle w:val="24"/>
                <w:b/>
                <w:sz w:val="20"/>
                <w:szCs w:val="20"/>
              </w:rPr>
              <w:t>n=485</w:t>
            </w:r>
          </w:p>
        </w:tc>
        <w:tc>
          <w:tcPr>
            <w:tcW w:w="1800" w:type="dxa"/>
            <w:shd w:val="clear" w:color="auto" w:fill="FFFFFF"/>
          </w:tcPr>
          <w:p w14:paraId="445EF934">
            <w:pPr>
              <w:pStyle w:val="12"/>
              <w:shd w:val="clear" w:color="auto" w:fill="auto"/>
              <w:spacing w:line="240" w:lineRule="auto"/>
              <w:ind w:firstLine="0"/>
              <w:jc w:val="left"/>
              <w:rPr>
                <w:b/>
                <w:sz w:val="20"/>
                <w:szCs w:val="20"/>
              </w:rPr>
            </w:pPr>
            <w:r>
              <w:rPr>
                <w:rStyle w:val="24"/>
                <w:b/>
                <w:sz w:val="20"/>
                <w:szCs w:val="20"/>
              </w:rPr>
              <w:t>Placebo</w:t>
            </w:r>
            <w:r>
              <w:rPr>
                <w:rStyle w:val="24"/>
                <w:b/>
                <w:sz w:val="20"/>
                <w:szCs w:val="20"/>
                <w:vertAlign w:val="superscript"/>
              </w:rPr>
              <w:t>a</w:t>
            </w:r>
          </w:p>
          <w:p w14:paraId="0A8B13F7">
            <w:pPr>
              <w:pStyle w:val="12"/>
              <w:shd w:val="clear" w:color="auto" w:fill="auto"/>
              <w:spacing w:line="240" w:lineRule="auto"/>
              <w:ind w:firstLine="0"/>
              <w:jc w:val="left"/>
              <w:rPr>
                <w:b/>
                <w:sz w:val="20"/>
                <w:szCs w:val="20"/>
              </w:rPr>
            </w:pPr>
            <w:r>
              <w:rPr>
                <w:rStyle w:val="24"/>
                <w:b/>
                <w:sz w:val="20"/>
                <w:szCs w:val="20"/>
              </w:rPr>
              <w:t>n=239</w:t>
            </w:r>
          </w:p>
        </w:tc>
        <w:tc>
          <w:tcPr>
            <w:tcW w:w="1618" w:type="dxa"/>
            <w:shd w:val="clear" w:color="auto" w:fill="FFFFFF"/>
          </w:tcPr>
          <w:p w14:paraId="14899691">
            <w:pPr>
              <w:pStyle w:val="12"/>
              <w:shd w:val="clear" w:color="auto" w:fill="auto"/>
              <w:spacing w:line="240" w:lineRule="auto"/>
              <w:ind w:firstLine="0"/>
              <w:jc w:val="left"/>
              <w:rPr>
                <w:b/>
                <w:sz w:val="20"/>
                <w:szCs w:val="20"/>
              </w:rPr>
            </w:pPr>
            <w:r>
              <w:rPr>
                <w:rStyle w:val="24"/>
                <w:b/>
                <w:sz w:val="20"/>
                <w:szCs w:val="20"/>
              </w:rPr>
              <w:t>Omjer hazarda</w:t>
            </w:r>
          </w:p>
        </w:tc>
        <w:tc>
          <w:tcPr>
            <w:tcW w:w="1219" w:type="dxa"/>
            <w:shd w:val="clear" w:color="auto" w:fill="FFFFFF"/>
          </w:tcPr>
          <w:p w14:paraId="322BB4A4">
            <w:pPr>
              <w:pStyle w:val="12"/>
              <w:shd w:val="clear" w:color="auto" w:fill="auto"/>
              <w:spacing w:line="240" w:lineRule="auto"/>
              <w:ind w:firstLine="0"/>
              <w:jc w:val="left"/>
              <w:rPr>
                <w:b/>
                <w:sz w:val="20"/>
                <w:szCs w:val="20"/>
              </w:rPr>
            </w:pPr>
            <w:r>
              <w:rPr>
                <w:rStyle w:val="24"/>
                <w:b/>
                <w:sz w:val="20"/>
                <w:szCs w:val="20"/>
              </w:rPr>
              <w:t>p-vrijednost</w:t>
            </w:r>
          </w:p>
        </w:tc>
      </w:tr>
      <w:tr w14:paraId="0380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7862DB33">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5F91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645F4BF1">
            <w:pPr>
              <w:pStyle w:val="12"/>
              <w:shd w:val="clear" w:color="auto" w:fill="auto"/>
              <w:spacing w:line="240" w:lineRule="auto"/>
              <w:ind w:firstLine="0"/>
              <w:jc w:val="both"/>
              <w:rPr>
                <w:sz w:val="20"/>
                <w:szCs w:val="20"/>
              </w:rPr>
            </w:pPr>
            <w:r>
              <w:rPr>
                <w:rStyle w:val="24"/>
                <w:sz w:val="20"/>
                <w:szCs w:val="20"/>
              </w:rPr>
              <w:t>Radiološka procjena od strane ispitivača</w:t>
            </w:r>
          </w:p>
        </w:tc>
        <w:tc>
          <w:tcPr>
            <w:tcW w:w="1622" w:type="dxa"/>
            <w:shd w:val="clear" w:color="auto" w:fill="FFFFFF"/>
          </w:tcPr>
          <w:p w14:paraId="36F153D6">
            <w:pPr>
              <w:pStyle w:val="12"/>
              <w:shd w:val="clear" w:color="auto" w:fill="auto"/>
              <w:spacing w:line="240" w:lineRule="auto"/>
              <w:ind w:firstLine="0"/>
              <w:rPr>
                <w:rStyle w:val="24"/>
                <w:sz w:val="20"/>
                <w:szCs w:val="20"/>
              </w:rPr>
            </w:pPr>
            <w:r>
              <w:rPr>
                <w:rStyle w:val="24"/>
                <w:sz w:val="20"/>
                <w:szCs w:val="20"/>
              </w:rPr>
              <w:t xml:space="preserve">7,8 </w:t>
            </w:r>
          </w:p>
          <w:p w14:paraId="632A192C">
            <w:pPr>
              <w:pStyle w:val="12"/>
              <w:shd w:val="clear" w:color="auto" w:fill="auto"/>
              <w:spacing w:line="240" w:lineRule="auto"/>
              <w:ind w:firstLine="0"/>
              <w:rPr>
                <w:sz w:val="20"/>
                <w:szCs w:val="20"/>
              </w:rPr>
            </w:pPr>
            <w:r>
              <w:rPr>
                <w:rStyle w:val="24"/>
                <w:sz w:val="20"/>
                <w:szCs w:val="20"/>
              </w:rPr>
              <w:t>(6,9 do 8,5)</w:t>
            </w:r>
          </w:p>
        </w:tc>
        <w:tc>
          <w:tcPr>
            <w:tcW w:w="1800" w:type="dxa"/>
            <w:shd w:val="clear" w:color="auto" w:fill="FFFFFF"/>
          </w:tcPr>
          <w:p w14:paraId="64909C08">
            <w:pPr>
              <w:pStyle w:val="12"/>
              <w:shd w:val="clear" w:color="auto" w:fill="auto"/>
              <w:spacing w:line="240" w:lineRule="auto"/>
              <w:ind w:firstLine="0"/>
              <w:rPr>
                <w:rStyle w:val="24"/>
                <w:sz w:val="20"/>
                <w:szCs w:val="20"/>
              </w:rPr>
            </w:pPr>
            <w:r>
              <w:rPr>
                <w:rStyle w:val="24"/>
                <w:sz w:val="20"/>
                <w:szCs w:val="20"/>
              </w:rPr>
              <w:t xml:space="preserve">3,2 </w:t>
            </w:r>
          </w:p>
          <w:p w14:paraId="6114A46B">
            <w:pPr>
              <w:pStyle w:val="12"/>
              <w:shd w:val="clear" w:color="auto" w:fill="auto"/>
              <w:spacing w:line="240" w:lineRule="auto"/>
              <w:ind w:firstLine="0"/>
              <w:rPr>
                <w:sz w:val="20"/>
                <w:szCs w:val="20"/>
              </w:rPr>
            </w:pPr>
            <w:r>
              <w:rPr>
                <w:rStyle w:val="24"/>
                <w:sz w:val="20"/>
                <w:szCs w:val="20"/>
              </w:rPr>
              <w:t>(2,8 do 4,1)</w:t>
            </w:r>
          </w:p>
        </w:tc>
        <w:tc>
          <w:tcPr>
            <w:tcW w:w="1618" w:type="dxa"/>
            <w:shd w:val="clear" w:color="auto" w:fill="FFFFFF"/>
          </w:tcPr>
          <w:p w14:paraId="25CFFA60">
            <w:pPr>
              <w:pStyle w:val="12"/>
              <w:shd w:val="clear" w:color="auto" w:fill="auto"/>
              <w:spacing w:line="240" w:lineRule="auto"/>
              <w:ind w:firstLine="0"/>
              <w:rPr>
                <w:rStyle w:val="24"/>
                <w:sz w:val="20"/>
                <w:szCs w:val="20"/>
              </w:rPr>
            </w:pPr>
            <w:r>
              <w:rPr>
                <w:rStyle w:val="24"/>
                <w:sz w:val="20"/>
                <w:szCs w:val="20"/>
              </w:rPr>
              <w:t xml:space="preserve">0,45 </w:t>
            </w:r>
          </w:p>
          <w:p w14:paraId="6FF48B3D">
            <w:pPr>
              <w:pStyle w:val="12"/>
              <w:shd w:val="clear" w:color="auto" w:fill="auto"/>
              <w:spacing w:line="240" w:lineRule="auto"/>
              <w:ind w:firstLine="0"/>
              <w:rPr>
                <w:sz w:val="20"/>
                <w:szCs w:val="20"/>
              </w:rPr>
            </w:pPr>
            <w:r>
              <w:rPr>
                <w:rStyle w:val="24"/>
                <w:sz w:val="20"/>
                <w:szCs w:val="20"/>
              </w:rPr>
              <w:t>(0,38 do 0,54)</w:t>
            </w:r>
          </w:p>
        </w:tc>
        <w:tc>
          <w:tcPr>
            <w:tcW w:w="1219" w:type="dxa"/>
            <w:shd w:val="clear" w:color="auto" w:fill="FFFFFF"/>
          </w:tcPr>
          <w:p w14:paraId="138E925B">
            <w:pPr>
              <w:pStyle w:val="12"/>
              <w:shd w:val="clear" w:color="auto" w:fill="auto"/>
              <w:spacing w:line="240" w:lineRule="auto"/>
              <w:ind w:firstLine="0"/>
              <w:rPr>
                <w:sz w:val="20"/>
                <w:szCs w:val="20"/>
              </w:rPr>
            </w:pPr>
            <w:r>
              <w:rPr>
                <w:rStyle w:val="24"/>
                <w:sz w:val="20"/>
                <w:szCs w:val="20"/>
              </w:rPr>
              <w:t>&lt;0,0001</w:t>
            </w:r>
          </w:p>
        </w:tc>
      </w:tr>
      <w:tr w14:paraId="62E8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6A6194B6">
            <w:pPr>
              <w:pStyle w:val="12"/>
              <w:shd w:val="clear" w:color="auto" w:fill="auto"/>
              <w:spacing w:line="240" w:lineRule="auto"/>
              <w:ind w:firstLine="0"/>
              <w:jc w:val="both"/>
              <w:rPr>
                <w:sz w:val="20"/>
                <w:szCs w:val="20"/>
              </w:rPr>
            </w:pPr>
            <w:r>
              <w:rPr>
                <w:rStyle w:val="24"/>
                <w:sz w:val="20"/>
                <w:szCs w:val="20"/>
              </w:rPr>
              <w:t>Neovisna radiološka procjena</w:t>
            </w:r>
          </w:p>
        </w:tc>
        <w:tc>
          <w:tcPr>
            <w:tcW w:w="1622" w:type="dxa"/>
            <w:shd w:val="clear" w:color="auto" w:fill="FFFFFF"/>
          </w:tcPr>
          <w:p w14:paraId="3C92F664">
            <w:pPr>
              <w:pStyle w:val="12"/>
              <w:shd w:val="clear" w:color="auto" w:fill="auto"/>
              <w:spacing w:line="240" w:lineRule="auto"/>
              <w:ind w:firstLine="0"/>
              <w:rPr>
                <w:rStyle w:val="24"/>
                <w:sz w:val="20"/>
                <w:szCs w:val="20"/>
              </w:rPr>
            </w:pPr>
            <w:r>
              <w:rPr>
                <w:rStyle w:val="24"/>
                <w:sz w:val="20"/>
                <w:szCs w:val="20"/>
              </w:rPr>
              <w:t xml:space="preserve">11,0 </w:t>
            </w:r>
          </w:p>
          <w:p w14:paraId="6D031FDC">
            <w:pPr>
              <w:pStyle w:val="12"/>
              <w:shd w:val="clear" w:color="auto" w:fill="auto"/>
              <w:spacing w:line="240" w:lineRule="auto"/>
              <w:ind w:firstLine="0"/>
              <w:rPr>
                <w:sz w:val="20"/>
                <w:szCs w:val="20"/>
              </w:rPr>
            </w:pPr>
            <w:r>
              <w:rPr>
                <w:rStyle w:val="24"/>
                <w:sz w:val="20"/>
                <w:szCs w:val="20"/>
              </w:rPr>
              <w:t>(9,7 do 15,0)</w:t>
            </w:r>
          </w:p>
        </w:tc>
        <w:tc>
          <w:tcPr>
            <w:tcW w:w="1800" w:type="dxa"/>
            <w:shd w:val="clear" w:color="auto" w:fill="FFFFFF"/>
          </w:tcPr>
          <w:p w14:paraId="2BEA2A58">
            <w:pPr>
              <w:pStyle w:val="12"/>
              <w:shd w:val="clear" w:color="auto" w:fill="auto"/>
              <w:spacing w:line="240" w:lineRule="auto"/>
              <w:ind w:firstLine="0"/>
              <w:rPr>
                <w:sz w:val="20"/>
                <w:szCs w:val="20"/>
              </w:rPr>
            </w:pPr>
            <w:r>
              <w:rPr>
                <w:rStyle w:val="24"/>
                <w:sz w:val="20"/>
                <w:szCs w:val="20"/>
              </w:rPr>
              <w:t>4,1</w:t>
            </w:r>
          </w:p>
          <w:p w14:paraId="51672957">
            <w:pPr>
              <w:pStyle w:val="12"/>
              <w:shd w:val="clear" w:color="auto" w:fill="auto"/>
              <w:spacing w:line="240" w:lineRule="auto"/>
              <w:ind w:firstLine="0"/>
              <w:rPr>
                <w:sz w:val="20"/>
                <w:szCs w:val="20"/>
              </w:rPr>
            </w:pPr>
            <w:r>
              <w:rPr>
                <w:rStyle w:val="24"/>
                <w:sz w:val="20"/>
                <w:szCs w:val="20"/>
              </w:rPr>
              <w:t>(2,9 do 5,6)</w:t>
            </w:r>
          </w:p>
        </w:tc>
        <w:tc>
          <w:tcPr>
            <w:tcW w:w="1618" w:type="dxa"/>
            <w:shd w:val="clear" w:color="auto" w:fill="FFFFFF"/>
          </w:tcPr>
          <w:p w14:paraId="3C462888">
            <w:pPr>
              <w:pStyle w:val="12"/>
              <w:shd w:val="clear" w:color="auto" w:fill="auto"/>
              <w:spacing w:line="240" w:lineRule="auto"/>
              <w:ind w:firstLine="0"/>
              <w:rPr>
                <w:rStyle w:val="24"/>
                <w:sz w:val="20"/>
                <w:szCs w:val="20"/>
              </w:rPr>
            </w:pPr>
            <w:r>
              <w:rPr>
                <w:rStyle w:val="24"/>
                <w:sz w:val="20"/>
                <w:szCs w:val="20"/>
              </w:rPr>
              <w:t xml:space="preserve">0,38 </w:t>
            </w:r>
          </w:p>
          <w:p w14:paraId="7DA9D15C">
            <w:pPr>
              <w:pStyle w:val="12"/>
              <w:shd w:val="clear" w:color="auto" w:fill="auto"/>
              <w:spacing w:line="240" w:lineRule="auto"/>
              <w:ind w:firstLine="0"/>
              <w:rPr>
                <w:sz w:val="20"/>
                <w:szCs w:val="20"/>
              </w:rPr>
            </w:pPr>
            <w:r>
              <w:rPr>
                <w:rStyle w:val="24"/>
                <w:sz w:val="20"/>
                <w:szCs w:val="20"/>
              </w:rPr>
              <w:t>(0,31 do 0,48)</w:t>
            </w:r>
          </w:p>
        </w:tc>
        <w:tc>
          <w:tcPr>
            <w:tcW w:w="1219" w:type="dxa"/>
            <w:shd w:val="clear" w:color="auto" w:fill="FFFFFF"/>
          </w:tcPr>
          <w:p w14:paraId="76D19FB1">
            <w:pPr>
              <w:pStyle w:val="12"/>
              <w:shd w:val="clear" w:color="auto" w:fill="auto"/>
              <w:spacing w:line="240" w:lineRule="auto"/>
              <w:ind w:firstLine="0"/>
              <w:rPr>
                <w:sz w:val="20"/>
                <w:szCs w:val="20"/>
              </w:rPr>
            </w:pPr>
            <w:r>
              <w:rPr>
                <w:rStyle w:val="24"/>
                <w:sz w:val="20"/>
                <w:szCs w:val="20"/>
              </w:rPr>
              <w:t>&lt;0,0001</w:t>
            </w:r>
          </w:p>
        </w:tc>
      </w:tr>
      <w:tr w14:paraId="01E4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05895DE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790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2B561281">
            <w:pPr>
              <w:pStyle w:val="12"/>
              <w:shd w:val="clear" w:color="auto" w:fill="auto"/>
              <w:spacing w:line="240" w:lineRule="auto"/>
              <w:ind w:firstLine="0"/>
              <w:jc w:val="both"/>
              <w:rPr>
                <w:sz w:val="20"/>
                <w:szCs w:val="20"/>
              </w:rPr>
            </w:pPr>
            <w:r>
              <w:rPr>
                <w:rStyle w:val="24"/>
                <w:sz w:val="20"/>
                <w:szCs w:val="20"/>
              </w:rPr>
              <w:t>Medijan ukupnog preživljavanja</w:t>
            </w:r>
          </w:p>
        </w:tc>
        <w:tc>
          <w:tcPr>
            <w:tcW w:w="1622" w:type="dxa"/>
            <w:shd w:val="clear" w:color="auto" w:fill="FFFFFF"/>
          </w:tcPr>
          <w:p w14:paraId="2010B556">
            <w:pPr>
              <w:pStyle w:val="12"/>
              <w:shd w:val="clear" w:color="auto" w:fill="auto"/>
              <w:spacing w:line="240" w:lineRule="auto"/>
              <w:ind w:firstLine="0"/>
              <w:rPr>
                <w:rStyle w:val="24"/>
                <w:sz w:val="20"/>
                <w:szCs w:val="20"/>
              </w:rPr>
            </w:pPr>
            <w:r>
              <w:rPr>
                <w:rStyle w:val="24"/>
                <w:sz w:val="20"/>
                <w:szCs w:val="20"/>
              </w:rPr>
              <w:t>31,0</w:t>
            </w:r>
          </w:p>
          <w:p w14:paraId="3C095FE3">
            <w:pPr>
              <w:pStyle w:val="12"/>
              <w:shd w:val="clear" w:color="auto" w:fill="auto"/>
              <w:spacing w:line="240" w:lineRule="auto"/>
              <w:ind w:firstLine="0"/>
              <w:rPr>
                <w:sz w:val="20"/>
                <w:szCs w:val="20"/>
              </w:rPr>
            </w:pPr>
            <w:r>
              <w:rPr>
                <w:rStyle w:val="24"/>
                <w:sz w:val="20"/>
                <w:szCs w:val="20"/>
              </w:rPr>
              <w:t xml:space="preserve"> (28,0 - 34,6)</w:t>
            </w:r>
          </w:p>
        </w:tc>
        <w:tc>
          <w:tcPr>
            <w:tcW w:w="1800" w:type="dxa"/>
            <w:shd w:val="clear" w:color="auto" w:fill="FFFFFF"/>
          </w:tcPr>
          <w:p w14:paraId="4EB0516B">
            <w:pPr>
              <w:pStyle w:val="12"/>
              <w:shd w:val="clear" w:color="auto" w:fill="auto"/>
              <w:spacing w:line="240" w:lineRule="auto"/>
              <w:ind w:firstLine="0"/>
              <w:rPr>
                <w:rStyle w:val="24"/>
                <w:sz w:val="20"/>
                <w:szCs w:val="20"/>
              </w:rPr>
            </w:pPr>
            <w:r>
              <w:rPr>
                <w:rStyle w:val="24"/>
                <w:sz w:val="20"/>
                <w:szCs w:val="20"/>
              </w:rPr>
              <w:t>26,6</w:t>
            </w:r>
          </w:p>
          <w:p w14:paraId="5D305A6C">
            <w:pPr>
              <w:pStyle w:val="12"/>
              <w:shd w:val="clear" w:color="auto" w:fill="auto"/>
              <w:spacing w:line="240" w:lineRule="auto"/>
              <w:ind w:firstLine="0"/>
              <w:rPr>
                <w:sz w:val="20"/>
                <w:szCs w:val="20"/>
              </w:rPr>
            </w:pPr>
            <w:r>
              <w:rPr>
                <w:rStyle w:val="24"/>
                <w:sz w:val="20"/>
                <w:szCs w:val="20"/>
              </w:rPr>
              <w:t xml:space="preserve"> (22,6 - 33,1)</w:t>
            </w:r>
          </w:p>
        </w:tc>
        <w:tc>
          <w:tcPr>
            <w:tcW w:w="1618" w:type="dxa"/>
            <w:shd w:val="clear" w:color="auto" w:fill="FFFFFF"/>
          </w:tcPr>
          <w:p w14:paraId="589F9B0E">
            <w:pPr>
              <w:pStyle w:val="12"/>
              <w:shd w:val="clear" w:color="auto" w:fill="auto"/>
              <w:spacing w:line="240" w:lineRule="auto"/>
              <w:ind w:firstLine="0"/>
              <w:rPr>
                <w:rStyle w:val="24"/>
                <w:sz w:val="20"/>
                <w:szCs w:val="20"/>
              </w:rPr>
            </w:pPr>
            <w:r>
              <w:rPr>
                <w:rStyle w:val="24"/>
                <w:sz w:val="20"/>
                <w:szCs w:val="20"/>
              </w:rPr>
              <w:t xml:space="preserve">0,89 </w:t>
            </w:r>
          </w:p>
          <w:p w14:paraId="2309D84C">
            <w:pPr>
              <w:pStyle w:val="12"/>
              <w:shd w:val="clear" w:color="auto" w:fill="auto"/>
              <w:spacing w:line="240" w:lineRule="auto"/>
              <w:ind w:firstLine="0"/>
              <w:rPr>
                <w:sz w:val="20"/>
                <w:szCs w:val="20"/>
              </w:rPr>
            </w:pPr>
            <w:r>
              <w:rPr>
                <w:rStyle w:val="24"/>
                <w:sz w:val="20"/>
                <w:szCs w:val="20"/>
              </w:rPr>
              <w:t>(0,73 - 1,10)</w:t>
            </w:r>
          </w:p>
        </w:tc>
        <w:tc>
          <w:tcPr>
            <w:tcW w:w="1219" w:type="dxa"/>
            <w:shd w:val="clear" w:color="auto" w:fill="FFFFFF"/>
          </w:tcPr>
          <w:p w14:paraId="4BBBA723">
            <w:pPr>
              <w:pStyle w:val="12"/>
              <w:shd w:val="clear" w:color="auto" w:fill="auto"/>
              <w:spacing w:line="240" w:lineRule="auto"/>
              <w:ind w:firstLine="0"/>
              <w:rPr>
                <w:sz w:val="20"/>
                <w:szCs w:val="20"/>
              </w:rPr>
            </w:pPr>
            <w:r>
              <w:rPr>
                <w:rStyle w:val="24"/>
                <w:sz w:val="20"/>
                <w:szCs w:val="20"/>
              </w:rPr>
              <w:t>0,1426</w:t>
            </w:r>
          </w:p>
        </w:tc>
      </w:tr>
      <w:tr w14:paraId="0AF1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3086" w:type="dxa"/>
            <w:shd w:val="clear" w:color="auto" w:fill="FFFFFF"/>
          </w:tcPr>
          <w:p w14:paraId="3A6FEA0D">
            <w:pPr>
              <w:pStyle w:val="12"/>
              <w:shd w:val="clear" w:color="auto" w:fill="auto"/>
              <w:spacing w:line="240" w:lineRule="auto"/>
              <w:ind w:firstLine="0"/>
              <w:jc w:val="both"/>
              <w:rPr>
                <w:b/>
                <w:sz w:val="20"/>
                <w:szCs w:val="20"/>
              </w:rPr>
            </w:pPr>
            <w:r>
              <w:rPr>
                <w:rStyle w:val="24"/>
                <w:b/>
                <w:sz w:val="20"/>
                <w:szCs w:val="20"/>
              </w:rPr>
              <w:t>Najbolji ukupan odgovor (%) (95%</w:t>
            </w:r>
          </w:p>
        </w:tc>
        <w:tc>
          <w:tcPr>
            <w:tcW w:w="1622" w:type="dxa"/>
            <w:shd w:val="clear" w:color="auto" w:fill="FFFFFF"/>
          </w:tcPr>
          <w:p w14:paraId="7272C844">
            <w:pPr>
              <w:pStyle w:val="12"/>
              <w:shd w:val="clear" w:color="auto" w:fill="auto"/>
              <w:spacing w:line="240" w:lineRule="auto"/>
              <w:ind w:firstLine="0"/>
              <w:jc w:val="both"/>
              <w:rPr>
                <w:b/>
                <w:sz w:val="20"/>
                <w:szCs w:val="20"/>
              </w:rPr>
            </w:pPr>
            <w:r>
              <w:rPr>
                <w:rStyle w:val="24"/>
                <w:b/>
                <w:sz w:val="20"/>
                <w:szCs w:val="20"/>
              </w:rPr>
              <w:t>CI)</w:t>
            </w:r>
          </w:p>
        </w:tc>
        <w:tc>
          <w:tcPr>
            <w:tcW w:w="1800" w:type="dxa"/>
            <w:shd w:val="clear" w:color="auto" w:fill="FFFFFF"/>
          </w:tcPr>
          <w:p w14:paraId="3879C6D9">
            <w:pPr>
              <w:jc w:val="both"/>
              <w:rPr>
                <w:rFonts w:ascii="Microsoft Sans Serif" w:hAnsi="Microsoft Sans Serif" w:cs="Microsoft Sans Serif"/>
                <w:sz w:val="20"/>
                <w:szCs w:val="20"/>
              </w:rPr>
            </w:pPr>
          </w:p>
        </w:tc>
        <w:tc>
          <w:tcPr>
            <w:tcW w:w="1618" w:type="dxa"/>
            <w:shd w:val="clear" w:color="auto" w:fill="FFFFFF"/>
          </w:tcPr>
          <w:p w14:paraId="32CE4D46">
            <w:pPr>
              <w:jc w:val="both"/>
              <w:rPr>
                <w:rFonts w:ascii="Microsoft Sans Serif" w:hAnsi="Microsoft Sans Serif" w:cs="Microsoft Sans Serif"/>
                <w:sz w:val="20"/>
                <w:szCs w:val="20"/>
              </w:rPr>
            </w:pPr>
          </w:p>
        </w:tc>
        <w:tc>
          <w:tcPr>
            <w:tcW w:w="1219" w:type="dxa"/>
            <w:shd w:val="clear" w:color="auto" w:fill="FFFFFF"/>
          </w:tcPr>
          <w:p w14:paraId="2F77331F">
            <w:pPr>
              <w:jc w:val="both"/>
              <w:rPr>
                <w:rFonts w:ascii="Microsoft Sans Serif" w:hAnsi="Microsoft Sans Serif" w:cs="Microsoft Sans Serif"/>
                <w:sz w:val="20"/>
                <w:szCs w:val="20"/>
              </w:rPr>
            </w:pPr>
          </w:p>
        </w:tc>
      </w:tr>
      <w:tr w14:paraId="2B5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5C419C95">
            <w:pPr>
              <w:pStyle w:val="12"/>
              <w:shd w:val="clear" w:color="auto" w:fill="auto"/>
              <w:spacing w:line="240" w:lineRule="auto"/>
              <w:ind w:firstLine="0"/>
              <w:jc w:val="both"/>
              <w:rPr>
                <w:sz w:val="20"/>
                <w:szCs w:val="20"/>
              </w:rPr>
            </w:pPr>
            <w:r>
              <w:rPr>
                <w:rStyle w:val="24"/>
                <w:sz w:val="20"/>
                <w:szCs w:val="20"/>
              </w:rPr>
              <w:t>Objektivna stopa odgovora</w:t>
            </w:r>
            <w:r>
              <w:rPr>
                <w:rStyle w:val="24"/>
                <w:sz w:val="20"/>
                <w:szCs w:val="20"/>
                <w:vertAlign w:val="superscript"/>
              </w:rPr>
              <w:t>b</w:t>
            </w:r>
          </w:p>
        </w:tc>
        <w:tc>
          <w:tcPr>
            <w:tcW w:w="1622" w:type="dxa"/>
            <w:shd w:val="clear" w:color="auto" w:fill="FFFFFF"/>
          </w:tcPr>
          <w:p w14:paraId="5C20D612">
            <w:pPr>
              <w:pStyle w:val="12"/>
              <w:shd w:val="clear" w:color="auto" w:fill="auto"/>
              <w:spacing w:line="240" w:lineRule="auto"/>
              <w:ind w:firstLine="0"/>
              <w:rPr>
                <w:rStyle w:val="24"/>
                <w:sz w:val="20"/>
                <w:szCs w:val="20"/>
              </w:rPr>
            </w:pPr>
            <w:r>
              <w:rPr>
                <w:rStyle w:val="24"/>
                <w:sz w:val="20"/>
                <w:szCs w:val="20"/>
              </w:rPr>
              <w:t xml:space="preserve">12,6% </w:t>
            </w:r>
          </w:p>
          <w:p w14:paraId="72C1577D">
            <w:pPr>
              <w:pStyle w:val="12"/>
              <w:shd w:val="clear" w:color="auto" w:fill="auto"/>
              <w:spacing w:line="240" w:lineRule="auto"/>
              <w:ind w:firstLine="0"/>
              <w:rPr>
                <w:sz w:val="20"/>
                <w:szCs w:val="20"/>
              </w:rPr>
            </w:pPr>
            <w:r>
              <w:rPr>
                <w:rStyle w:val="24"/>
                <w:sz w:val="20"/>
                <w:szCs w:val="20"/>
              </w:rPr>
              <w:t>(9,8 do 15.9)</w:t>
            </w:r>
          </w:p>
        </w:tc>
        <w:tc>
          <w:tcPr>
            <w:tcW w:w="1800" w:type="dxa"/>
            <w:shd w:val="clear" w:color="auto" w:fill="FFFFFF"/>
          </w:tcPr>
          <w:p w14:paraId="7E464646">
            <w:pPr>
              <w:pStyle w:val="12"/>
              <w:shd w:val="clear" w:color="auto" w:fill="auto"/>
              <w:spacing w:line="240" w:lineRule="auto"/>
              <w:ind w:firstLine="0"/>
              <w:rPr>
                <w:rStyle w:val="24"/>
                <w:sz w:val="20"/>
                <w:szCs w:val="20"/>
              </w:rPr>
            </w:pPr>
            <w:r>
              <w:rPr>
                <w:rStyle w:val="24"/>
                <w:sz w:val="20"/>
                <w:szCs w:val="20"/>
              </w:rPr>
              <w:t>1,7%</w:t>
            </w:r>
          </w:p>
          <w:p w14:paraId="6902F2F9">
            <w:pPr>
              <w:pStyle w:val="12"/>
              <w:shd w:val="clear" w:color="auto" w:fill="auto"/>
              <w:spacing w:line="240" w:lineRule="auto"/>
              <w:ind w:firstLine="0"/>
              <w:rPr>
                <w:sz w:val="20"/>
                <w:szCs w:val="20"/>
              </w:rPr>
            </w:pPr>
            <w:r>
              <w:rPr>
                <w:rStyle w:val="24"/>
                <w:sz w:val="20"/>
                <w:szCs w:val="20"/>
              </w:rPr>
              <w:t xml:space="preserve"> (0,5 do 4,2)</w:t>
            </w:r>
          </w:p>
        </w:tc>
        <w:tc>
          <w:tcPr>
            <w:tcW w:w="1618" w:type="dxa"/>
            <w:shd w:val="clear" w:color="auto" w:fill="FFFFFF"/>
          </w:tcPr>
          <w:p w14:paraId="31302AED">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1FEB923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6E6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9" w:hRule="atLeast"/>
        </w:trPr>
        <w:tc>
          <w:tcPr>
            <w:tcW w:w="3086" w:type="dxa"/>
            <w:shd w:val="clear" w:color="auto" w:fill="FFFFFF"/>
          </w:tcPr>
          <w:p w14:paraId="0AA39E53">
            <w:pPr>
              <w:jc w:val="both"/>
              <w:rPr>
                <w:rFonts w:ascii="Microsoft Sans Serif" w:hAnsi="Microsoft Sans Serif" w:cs="Microsoft Sans Serif"/>
                <w:sz w:val="20"/>
                <w:szCs w:val="20"/>
              </w:rPr>
            </w:pPr>
          </w:p>
        </w:tc>
        <w:tc>
          <w:tcPr>
            <w:tcW w:w="1622" w:type="dxa"/>
            <w:shd w:val="clear" w:color="auto" w:fill="FFFFFF"/>
          </w:tcPr>
          <w:p w14:paraId="41FD862E">
            <w:pPr>
              <w:jc w:val="both"/>
              <w:rPr>
                <w:rFonts w:ascii="Microsoft Sans Serif" w:hAnsi="Microsoft Sans Serif" w:cs="Microsoft Sans Serif"/>
                <w:sz w:val="20"/>
                <w:szCs w:val="20"/>
              </w:rPr>
            </w:pPr>
          </w:p>
        </w:tc>
        <w:tc>
          <w:tcPr>
            <w:tcW w:w="1800" w:type="dxa"/>
            <w:shd w:val="clear" w:color="auto" w:fill="FFFFFF"/>
          </w:tcPr>
          <w:p w14:paraId="36117D1C">
            <w:pPr>
              <w:jc w:val="both"/>
              <w:rPr>
                <w:rFonts w:ascii="Microsoft Sans Serif" w:hAnsi="Microsoft Sans Serif" w:cs="Microsoft Sans Serif"/>
                <w:sz w:val="20"/>
                <w:szCs w:val="20"/>
              </w:rPr>
            </w:pPr>
          </w:p>
        </w:tc>
        <w:tc>
          <w:tcPr>
            <w:tcW w:w="1618" w:type="dxa"/>
            <w:shd w:val="clear" w:color="auto" w:fill="FFFFFF"/>
          </w:tcPr>
          <w:p w14:paraId="57F97250">
            <w:pPr>
              <w:jc w:val="both"/>
              <w:rPr>
                <w:rFonts w:ascii="Microsoft Sans Serif" w:hAnsi="Microsoft Sans Serif" w:cs="Microsoft Sans Serif"/>
                <w:sz w:val="20"/>
                <w:szCs w:val="20"/>
              </w:rPr>
            </w:pPr>
          </w:p>
        </w:tc>
        <w:tc>
          <w:tcPr>
            <w:tcW w:w="1219" w:type="dxa"/>
            <w:shd w:val="clear" w:color="auto" w:fill="FFFFFF"/>
          </w:tcPr>
          <w:p w14:paraId="17A34A6C">
            <w:pPr>
              <w:jc w:val="both"/>
              <w:rPr>
                <w:rFonts w:ascii="Microsoft Sans Serif" w:hAnsi="Microsoft Sans Serif" w:cs="Microsoft Sans Serif"/>
                <w:sz w:val="20"/>
                <w:szCs w:val="20"/>
              </w:rPr>
            </w:pPr>
          </w:p>
        </w:tc>
      </w:tr>
      <w:tr w14:paraId="5798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1034955D">
            <w:pPr>
              <w:pStyle w:val="12"/>
              <w:shd w:val="clear" w:color="auto" w:fill="auto"/>
              <w:spacing w:line="240" w:lineRule="auto"/>
              <w:ind w:firstLine="0"/>
              <w:jc w:val="both"/>
              <w:rPr>
                <w:sz w:val="20"/>
                <w:szCs w:val="20"/>
              </w:rPr>
            </w:pPr>
            <w:r>
              <w:rPr>
                <w:rStyle w:val="24"/>
                <w:sz w:val="20"/>
                <w:szCs w:val="20"/>
              </w:rPr>
              <w:t>Stopa kliničke koristi</w:t>
            </w:r>
            <w:r>
              <w:rPr>
                <w:rStyle w:val="24"/>
                <w:sz w:val="20"/>
                <w:szCs w:val="20"/>
                <w:vertAlign w:val="superscript"/>
              </w:rPr>
              <w:t>c</w:t>
            </w:r>
          </w:p>
        </w:tc>
        <w:tc>
          <w:tcPr>
            <w:tcW w:w="1622" w:type="dxa"/>
            <w:shd w:val="clear" w:color="auto" w:fill="FFFFFF"/>
          </w:tcPr>
          <w:p w14:paraId="4C52C1DD">
            <w:pPr>
              <w:pStyle w:val="12"/>
              <w:shd w:val="clear" w:color="auto" w:fill="auto"/>
              <w:tabs>
                <w:tab w:val="left" w:pos="945"/>
              </w:tabs>
              <w:spacing w:line="240" w:lineRule="auto"/>
              <w:ind w:firstLine="0"/>
              <w:rPr>
                <w:sz w:val="20"/>
                <w:szCs w:val="20"/>
              </w:rPr>
            </w:pPr>
            <w:r>
              <w:rPr>
                <w:rStyle w:val="24"/>
                <w:sz w:val="20"/>
                <w:szCs w:val="20"/>
              </w:rPr>
              <w:t>51,3%</w:t>
            </w:r>
          </w:p>
          <w:p w14:paraId="1DE41427">
            <w:pPr>
              <w:pStyle w:val="12"/>
              <w:shd w:val="clear" w:color="auto" w:fill="auto"/>
              <w:spacing w:line="240" w:lineRule="auto"/>
              <w:ind w:firstLine="0"/>
              <w:rPr>
                <w:sz w:val="20"/>
                <w:szCs w:val="20"/>
              </w:rPr>
            </w:pPr>
            <w:r>
              <w:rPr>
                <w:rStyle w:val="24"/>
                <w:sz w:val="20"/>
                <w:szCs w:val="20"/>
              </w:rPr>
              <w:t>(46,8 do 55,9)</w:t>
            </w:r>
          </w:p>
        </w:tc>
        <w:tc>
          <w:tcPr>
            <w:tcW w:w="1800" w:type="dxa"/>
            <w:shd w:val="clear" w:color="auto" w:fill="FFFFFF"/>
          </w:tcPr>
          <w:p w14:paraId="51E5DFFA">
            <w:pPr>
              <w:pStyle w:val="12"/>
              <w:shd w:val="clear" w:color="auto" w:fill="auto"/>
              <w:spacing w:line="240" w:lineRule="auto"/>
              <w:ind w:firstLine="0"/>
              <w:rPr>
                <w:rStyle w:val="24"/>
                <w:sz w:val="20"/>
                <w:szCs w:val="20"/>
              </w:rPr>
            </w:pPr>
            <w:r>
              <w:rPr>
                <w:rStyle w:val="24"/>
                <w:sz w:val="20"/>
                <w:szCs w:val="20"/>
              </w:rPr>
              <w:t xml:space="preserve">26,4% </w:t>
            </w:r>
          </w:p>
          <w:p w14:paraId="7ACE626B">
            <w:pPr>
              <w:pStyle w:val="12"/>
              <w:shd w:val="clear" w:color="auto" w:fill="auto"/>
              <w:spacing w:line="240" w:lineRule="auto"/>
              <w:ind w:firstLine="0"/>
              <w:rPr>
                <w:sz w:val="20"/>
                <w:szCs w:val="20"/>
              </w:rPr>
            </w:pPr>
            <w:r>
              <w:rPr>
                <w:rStyle w:val="24"/>
                <w:sz w:val="20"/>
                <w:szCs w:val="20"/>
              </w:rPr>
              <w:t>(20,9 do 32,4)</w:t>
            </w:r>
          </w:p>
        </w:tc>
        <w:tc>
          <w:tcPr>
            <w:tcW w:w="1618" w:type="dxa"/>
            <w:shd w:val="clear" w:color="auto" w:fill="FFFFFF"/>
          </w:tcPr>
          <w:p w14:paraId="5AA29296">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29DE7E1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01C0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72" w:hRule="atLeast"/>
        </w:trPr>
        <w:tc>
          <w:tcPr>
            <w:tcW w:w="9345" w:type="dxa"/>
            <w:gridSpan w:val="5"/>
            <w:shd w:val="clear" w:color="auto" w:fill="FFFFFF"/>
          </w:tcPr>
          <w:p w14:paraId="101BC042">
            <w:pPr>
              <w:pStyle w:val="12"/>
              <w:shd w:val="clear" w:color="auto" w:fill="auto"/>
              <w:spacing w:line="240" w:lineRule="auto"/>
              <w:ind w:left="264" w:hanging="142"/>
              <w:jc w:val="both"/>
              <w:rPr>
                <w:sz w:val="18"/>
                <w:szCs w:val="18"/>
              </w:rPr>
            </w:pPr>
            <w:r>
              <w:rPr>
                <w:rStyle w:val="24"/>
                <w:sz w:val="18"/>
                <w:szCs w:val="18"/>
                <w:vertAlign w:val="superscript"/>
              </w:rPr>
              <w:t>a</w:t>
            </w:r>
            <w:r>
              <w:rPr>
                <w:rStyle w:val="24"/>
                <w:sz w:val="18"/>
                <w:szCs w:val="18"/>
              </w:rPr>
              <w:t xml:space="preserve"> Plus eksemestan</w:t>
            </w:r>
          </w:p>
          <w:p w14:paraId="13AB513C">
            <w:pPr>
              <w:pStyle w:val="12"/>
              <w:shd w:val="clear" w:color="auto" w:fill="auto"/>
              <w:spacing w:line="240" w:lineRule="auto"/>
              <w:ind w:left="264" w:hanging="142"/>
              <w:jc w:val="both"/>
              <w:rPr>
                <w:rStyle w:val="24"/>
                <w:sz w:val="18"/>
                <w:szCs w:val="18"/>
              </w:rPr>
            </w:pPr>
            <w:r>
              <w:rPr>
                <w:rStyle w:val="24"/>
                <w:sz w:val="18"/>
                <w:szCs w:val="18"/>
                <w:vertAlign w:val="superscript"/>
              </w:rPr>
              <w:t>b</w:t>
            </w:r>
            <w:r>
              <w:rPr>
                <w:rStyle w:val="24"/>
                <w:sz w:val="18"/>
                <w:szCs w:val="18"/>
              </w:rPr>
              <w:t xml:space="preserve"> Objektivna stopa odgovora = udio pacijentica sa potpunim ili djelomičnim odgovorom </w:t>
            </w:r>
          </w:p>
          <w:p w14:paraId="2E58398C">
            <w:pPr>
              <w:pStyle w:val="12"/>
              <w:shd w:val="clear" w:color="auto" w:fill="auto"/>
              <w:spacing w:line="240" w:lineRule="auto"/>
              <w:ind w:left="264" w:hanging="142"/>
              <w:jc w:val="both"/>
              <w:rPr>
                <w:rStyle w:val="24"/>
                <w:sz w:val="18"/>
                <w:szCs w:val="18"/>
              </w:rPr>
            </w:pPr>
            <w:r>
              <w:rPr>
                <w:rStyle w:val="24"/>
                <w:sz w:val="18"/>
                <w:szCs w:val="18"/>
                <w:vertAlign w:val="superscript"/>
              </w:rPr>
              <w:t>c</w:t>
            </w:r>
            <w:r>
              <w:rPr>
                <w:rStyle w:val="24"/>
                <w:sz w:val="18"/>
                <w:szCs w:val="18"/>
              </w:rPr>
              <w:t xml:space="preserve"> Stopa kliničke koristi = udio pacijentica sa potpunim ili djelomičnim odgovorom ili stabilnom bolešću </w:t>
            </w:r>
            <w:r>
              <w:rPr>
                <w:sz w:val="18"/>
                <w:szCs w:val="18"/>
              </w:rPr>
              <w:t>≥</w:t>
            </w:r>
            <w:r>
              <w:rPr>
                <w:rStyle w:val="24"/>
                <w:sz w:val="18"/>
                <w:szCs w:val="18"/>
              </w:rPr>
              <w:t xml:space="preserve">24 nedelje </w:t>
            </w:r>
          </w:p>
          <w:p w14:paraId="09A48608">
            <w:pPr>
              <w:pStyle w:val="12"/>
              <w:shd w:val="clear" w:color="auto" w:fill="auto"/>
              <w:spacing w:line="240" w:lineRule="auto"/>
              <w:ind w:left="264" w:hanging="142"/>
              <w:jc w:val="both"/>
              <w:rPr>
                <w:sz w:val="18"/>
                <w:szCs w:val="18"/>
              </w:rPr>
            </w:pPr>
            <w:r>
              <w:rPr>
                <w:rStyle w:val="24"/>
                <w:sz w:val="18"/>
                <w:szCs w:val="18"/>
                <w:vertAlign w:val="superscript"/>
              </w:rPr>
              <w:t>d</w:t>
            </w:r>
            <w:r>
              <w:rPr>
                <w:rStyle w:val="24"/>
                <w:sz w:val="18"/>
                <w:szCs w:val="18"/>
              </w:rPr>
              <w:t xml:space="preserve"> Nije primjenjivo</w:t>
            </w:r>
          </w:p>
          <w:p w14:paraId="07B6900A">
            <w:pPr>
              <w:pStyle w:val="12"/>
              <w:spacing w:line="240" w:lineRule="auto"/>
              <w:ind w:left="264" w:hanging="142"/>
              <w:jc w:val="left"/>
              <w:rPr>
                <w:sz w:val="20"/>
                <w:szCs w:val="20"/>
              </w:rPr>
            </w:pPr>
            <w:r>
              <w:rPr>
                <w:sz w:val="18"/>
                <w:szCs w:val="18"/>
                <w:vertAlign w:val="superscript"/>
              </w:rPr>
              <w:t>e</w:t>
            </w:r>
            <w:r>
              <w:rPr>
                <w:rStyle w:val="24"/>
                <w:sz w:val="18"/>
                <w:szCs w:val="18"/>
              </w:rPr>
              <w:t xml:space="preserve"> p vrijednost preuzeta je iz egzaktnoga Cochran-Mantel-Haenszelovog testa primjenom stratificirane verzije Cochran-Armitageovog permutacijskog testa.</w:t>
            </w:r>
          </w:p>
        </w:tc>
      </w:tr>
    </w:tbl>
    <w:p w14:paraId="7BC298FA">
      <w:pPr>
        <w:widowControl/>
        <w:autoSpaceDE w:val="0"/>
        <w:autoSpaceDN w:val="0"/>
        <w:adjustRightInd w:val="0"/>
        <w:rPr>
          <w:rFonts w:ascii="Microsoft Sans Serif" w:hAnsi="Microsoft Sans Serif" w:cs="Microsoft Sans Serif"/>
          <w:b/>
          <w:bCs/>
          <w:color w:val="auto"/>
          <w:sz w:val="20"/>
          <w:szCs w:val="20"/>
        </w:rPr>
      </w:pPr>
    </w:p>
    <w:p w14:paraId="6F3E9B74">
      <w:pPr>
        <w:widowControl/>
        <w:autoSpaceDE w:val="0"/>
        <w:autoSpaceDN w:val="0"/>
        <w:adjustRightInd w:val="0"/>
        <w:rPr>
          <w:rFonts w:ascii="Microsoft Sans Serif" w:hAnsi="Microsoft Sans Serif" w:cs="Microsoft Sans Serif"/>
          <w:b/>
          <w:bCs/>
          <w:color w:val="auto"/>
          <w:sz w:val="20"/>
          <w:szCs w:val="20"/>
          <w:lang w:val="sv-SE"/>
        </w:rPr>
      </w:pPr>
      <w:r>
        <w:rPr>
          <w:rFonts w:ascii="Microsoft Sans Serif" w:hAnsi="Microsoft Sans Serif" w:cs="Microsoft Sans Serif"/>
          <w:b/>
          <w:bCs/>
          <w:color w:val="auto"/>
          <w:sz w:val="20"/>
          <w:szCs w:val="20"/>
          <w:lang w:val="sv-SE"/>
        </w:rPr>
        <w:t>Slika 1 BOLERO-2 Kaplan-Meier-ova kriva preživljavanja bez progresije bolesti (radiološka procjena od strane ispitivača)</w:t>
      </w:r>
    </w:p>
    <w:p w14:paraId="4FDE994A">
      <w:pPr>
        <w:jc w:val="both"/>
        <w:rPr>
          <w:rFonts w:ascii="Microsoft Sans Serif" w:hAnsi="Microsoft Sans Serif" w:cs="Microsoft Sans Serif"/>
          <w:sz w:val="20"/>
          <w:szCs w:val="20"/>
        </w:rPr>
      </w:pPr>
      <w:r>
        <w:rPr>
          <w:b/>
          <w:bCs/>
          <w:szCs w:val="22"/>
          <w:lang w:val="en-US" w:eastAsia="en-US"/>
        </w:rPr>
        <w:drawing>
          <wp:inline distT="0" distB="0" distL="0" distR="0">
            <wp:extent cx="5105400" cy="4069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4979" cy="4085509"/>
                    </a:xfrm>
                    <a:prstGeom prst="rect">
                      <a:avLst/>
                    </a:prstGeom>
                    <a:noFill/>
                    <a:ln>
                      <a:noFill/>
                    </a:ln>
                  </pic:spPr>
                </pic:pic>
              </a:graphicData>
            </a:graphic>
          </wp:inline>
        </w:drawing>
      </w:r>
    </w:p>
    <w:p w14:paraId="36FEBBCF">
      <w:pPr>
        <w:rPr>
          <w:rFonts w:ascii="Microsoft Sans Serif" w:hAnsi="Microsoft Sans Serif" w:cs="Microsoft Sans Serif"/>
          <w:sz w:val="20"/>
          <w:szCs w:val="20"/>
        </w:rPr>
      </w:pPr>
    </w:p>
    <w:p w14:paraId="6577B503">
      <w:pPr>
        <w:pStyle w:val="12"/>
        <w:shd w:val="clear" w:color="auto" w:fill="auto"/>
        <w:spacing w:line="240" w:lineRule="auto"/>
        <w:ind w:firstLine="0"/>
        <w:jc w:val="both"/>
        <w:rPr>
          <w:sz w:val="20"/>
          <w:szCs w:val="20"/>
        </w:rPr>
      </w:pPr>
      <w:r>
        <w:rPr>
          <w:sz w:val="20"/>
          <w:szCs w:val="20"/>
        </w:rPr>
        <w:t>Procjenjeni efekti liječenja na preživljavanje bez progresije bolesti podupiru i rezultati planirane analize preživljavanja bez progresije bolesti u podgrupama prema procjeni ispitivača. U svim analiziranim podgrupama (starost, osjetljivost na raniju hormonsku terapiju, broj zahvaćenih organa, status lezija samo na kostima na početku liječenja i prisutnost visceralnih metastaza, i preko glavnih demografskih i prognostičkih podgrupa) uočen je pozitivan efekat liječenja kombinacijom everolimusa i eksemestana sa procijenjenim omjerom hazarda (HR) u poređenju sa kombinacijom placeba i eksemestana u rasponu od 0,25 do 0,60.</w:t>
      </w:r>
    </w:p>
    <w:p w14:paraId="3C681280">
      <w:pPr>
        <w:pStyle w:val="12"/>
        <w:shd w:val="clear" w:color="auto" w:fill="auto"/>
        <w:spacing w:line="240" w:lineRule="auto"/>
        <w:ind w:firstLine="0"/>
        <w:jc w:val="both"/>
        <w:rPr>
          <w:sz w:val="20"/>
          <w:szCs w:val="20"/>
        </w:rPr>
      </w:pPr>
    </w:p>
    <w:p w14:paraId="7F9A8D3E">
      <w:pPr>
        <w:pStyle w:val="12"/>
        <w:shd w:val="clear" w:color="auto" w:fill="auto"/>
        <w:spacing w:line="240" w:lineRule="auto"/>
        <w:ind w:firstLine="0"/>
        <w:jc w:val="both"/>
        <w:rPr>
          <w:sz w:val="20"/>
          <w:szCs w:val="20"/>
        </w:rPr>
      </w:pPr>
      <w:r>
        <w:rPr>
          <w:sz w:val="20"/>
          <w:szCs w:val="20"/>
        </w:rPr>
        <w:t xml:space="preserve">Nije bilo razlike između dvije grupe </w:t>
      </w:r>
      <w:r>
        <w:rPr>
          <w:sz w:val="20"/>
          <w:szCs w:val="20"/>
          <w:lang w:val="hr-BA"/>
        </w:rPr>
        <w:t>u</w:t>
      </w:r>
      <w:r>
        <w:rPr>
          <w:sz w:val="20"/>
          <w:szCs w:val="20"/>
        </w:rPr>
        <w:t xml:space="preserve"> vremenu do ≥5% pogoršanja rezultata ukupne i funkcionalne rezultate prema QLQ-C30 ljestvici.</w:t>
      </w:r>
    </w:p>
    <w:p w14:paraId="67296E12">
      <w:pPr>
        <w:pStyle w:val="12"/>
        <w:shd w:val="clear" w:color="auto" w:fill="auto"/>
        <w:spacing w:line="240" w:lineRule="auto"/>
        <w:ind w:firstLine="0"/>
        <w:jc w:val="both"/>
        <w:rPr>
          <w:sz w:val="20"/>
          <w:szCs w:val="20"/>
        </w:rPr>
      </w:pPr>
    </w:p>
    <w:p w14:paraId="3B708DC5">
      <w:pPr>
        <w:pStyle w:val="12"/>
        <w:shd w:val="clear" w:color="auto" w:fill="auto"/>
        <w:spacing w:line="240" w:lineRule="auto"/>
        <w:ind w:firstLine="0"/>
        <w:jc w:val="both"/>
        <w:rPr>
          <w:rStyle w:val="19"/>
          <w:sz w:val="20"/>
          <w:szCs w:val="20"/>
          <w:u w:val="none"/>
        </w:rPr>
      </w:pPr>
      <w:r>
        <w:rPr>
          <w:rStyle w:val="19"/>
          <w:sz w:val="20"/>
          <w:szCs w:val="20"/>
          <w:u w:val="none"/>
        </w:rPr>
        <w:t>BOLERO-6 (studija CRAD001Y2201), trostruka, randomizovana, otvorena, faza II ispitivanja</w:t>
      </w:r>
      <w:r>
        <w:rPr>
          <w:sz w:val="20"/>
          <w:szCs w:val="20"/>
        </w:rPr>
        <w:t xml:space="preserve"> u kojoj je primjenjivan </w:t>
      </w:r>
      <w:r>
        <w:rPr>
          <w:rStyle w:val="19"/>
          <w:sz w:val="20"/>
          <w:szCs w:val="20"/>
          <w:u w:val="none"/>
        </w:rPr>
        <w:t>everolimus u kombinaciji sa eksemestanom u odnosu na everolimus i u odnosu na primjenu kapecitabin u liječenju</w:t>
      </w:r>
      <w:r>
        <w:rPr>
          <w:sz w:val="20"/>
          <w:szCs w:val="20"/>
        </w:rPr>
        <w:t xml:space="preserve"> </w:t>
      </w:r>
      <w:r>
        <w:rPr>
          <w:rStyle w:val="19"/>
          <w:sz w:val="20"/>
          <w:szCs w:val="20"/>
          <w:u w:val="none"/>
        </w:rPr>
        <w:t>žena u postmenopauzi sa lokalno</w:t>
      </w:r>
      <w:r>
        <w:rPr>
          <w:sz w:val="20"/>
          <w:szCs w:val="20"/>
        </w:rPr>
        <w:t xml:space="preserve"> </w:t>
      </w:r>
      <w:r>
        <w:rPr>
          <w:rStyle w:val="19"/>
          <w:sz w:val="20"/>
          <w:szCs w:val="20"/>
          <w:u w:val="none"/>
        </w:rPr>
        <w:t>uznapredovalim, rekurentnim ili metastaziranim karcinom dojke pozitivnim na estrogenske receptore, negativnim na HER2/neu, nakon recidiva ili progresije bolesti do koje je do</w:t>
      </w:r>
      <w:r>
        <w:rPr>
          <w:rStyle w:val="19"/>
          <w:sz w:val="20"/>
          <w:szCs w:val="20"/>
          <w:u w:val="none"/>
          <w:lang w:val="hr-BA"/>
        </w:rPr>
        <w:t>šlo</w:t>
      </w:r>
      <w:r>
        <w:rPr>
          <w:rStyle w:val="19"/>
          <w:sz w:val="20"/>
          <w:szCs w:val="20"/>
          <w:u w:val="none"/>
        </w:rPr>
        <w:t xml:space="preserve"> nakon prethodne</w:t>
      </w:r>
      <w:r>
        <w:rPr>
          <w:sz w:val="20"/>
          <w:szCs w:val="20"/>
        </w:rPr>
        <w:t xml:space="preserve"> terapije </w:t>
      </w:r>
      <w:r>
        <w:rPr>
          <w:rStyle w:val="19"/>
          <w:sz w:val="20"/>
          <w:szCs w:val="20"/>
          <w:u w:val="none"/>
        </w:rPr>
        <w:t>letrozolu ili anastrozolu.</w:t>
      </w:r>
    </w:p>
    <w:p w14:paraId="67FB8140">
      <w:pPr>
        <w:pStyle w:val="12"/>
        <w:shd w:val="clear" w:color="auto" w:fill="auto"/>
        <w:spacing w:line="240" w:lineRule="auto"/>
        <w:ind w:firstLine="0"/>
        <w:jc w:val="both"/>
        <w:rPr>
          <w:sz w:val="20"/>
          <w:szCs w:val="20"/>
        </w:rPr>
      </w:pPr>
    </w:p>
    <w:p w14:paraId="369A676A">
      <w:pPr>
        <w:pStyle w:val="12"/>
        <w:shd w:val="clear" w:color="auto" w:fill="auto"/>
        <w:spacing w:line="240" w:lineRule="auto"/>
        <w:ind w:firstLine="0"/>
        <w:jc w:val="both"/>
        <w:rPr>
          <w:sz w:val="20"/>
          <w:szCs w:val="20"/>
        </w:rPr>
      </w:pPr>
      <w:r>
        <w:rPr>
          <w:rStyle w:val="19"/>
          <w:sz w:val="20"/>
          <w:szCs w:val="20"/>
          <w:u w:val="none"/>
        </w:rPr>
        <w:t>Primarni cilj studije bio je procjena HR PFS-a za everolimus + eksemestan u odnosu na primjenu</w:t>
      </w:r>
      <w:r>
        <w:rPr>
          <w:sz w:val="20"/>
          <w:szCs w:val="20"/>
        </w:rPr>
        <w:t xml:space="preserve"> </w:t>
      </w:r>
      <w:r>
        <w:rPr>
          <w:rStyle w:val="19"/>
          <w:sz w:val="20"/>
          <w:szCs w:val="20"/>
          <w:u w:val="none"/>
        </w:rPr>
        <w:t>everolimusa samostalno. Ključni sekundarni cilj bila je procjena HR PFS-a za everolimus + eksemestan u odnosu</w:t>
      </w:r>
      <w:r>
        <w:rPr>
          <w:sz w:val="20"/>
          <w:szCs w:val="20"/>
        </w:rPr>
        <w:t xml:space="preserve"> </w:t>
      </w:r>
      <w:r>
        <w:rPr>
          <w:rStyle w:val="19"/>
          <w:sz w:val="20"/>
          <w:szCs w:val="20"/>
          <w:u w:val="none"/>
        </w:rPr>
        <w:t>na kapecitabin.</w:t>
      </w:r>
    </w:p>
    <w:p w14:paraId="5C7E2E50">
      <w:pPr>
        <w:pStyle w:val="12"/>
        <w:shd w:val="clear" w:color="auto" w:fill="auto"/>
        <w:spacing w:line="240" w:lineRule="auto"/>
        <w:ind w:firstLine="0"/>
        <w:jc w:val="both"/>
        <w:rPr>
          <w:sz w:val="20"/>
          <w:szCs w:val="20"/>
        </w:rPr>
      </w:pPr>
      <w:r>
        <w:rPr>
          <w:rStyle w:val="19"/>
          <w:sz w:val="20"/>
          <w:szCs w:val="20"/>
          <w:u w:val="none"/>
        </w:rPr>
        <w:t>Ostali sekundarni ciljevi obuhvaćali su procjenu OS-a, objektivnu stopu odgovora, stopu kliničke koristi,</w:t>
      </w:r>
      <w:r>
        <w:rPr>
          <w:sz w:val="20"/>
          <w:szCs w:val="20"/>
        </w:rPr>
        <w:t xml:space="preserve"> </w:t>
      </w:r>
      <w:r>
        <w:rPr>
          <w:rStyle w:val="19"/>
          <w:sz w:val="20"/>
          <w:szCs w:val="20"/>
          <w:u w:val="none"/>
        </w:rPr>
        <w:t>bezbjednost, vrijeme pogoršanja performansi ECOG-a, vrijeme pogoršanja QoL-a i zadovoljstvo</w:t>
      </w:r>
      <w:r>
        <w:rPr>
          <w:sz w:val="20"/>
          <w:szCs w:val="20"/>
        </w:rPr>
        <w:t xml:space="preserve"> </w:t>
      </w:r>
      <w:r>
        <w:rPr>
          <w:rStyle w:val="19"/>
          <w:sz w:val="20"/>
          <w:szCs w:val="20"/>
          <w:u w:val="none"/>
        </w:rPr>
        <w:t>liječenjem (TSQM). Nisu planirane formalne statističke usporedbe.</w:t>
      </w:r>
    </w:p>
    <w:p w14:paraId="24912FB5">
      <w:pPr>
        <w:pStyle w:val="12"/>
        <w:shd w:val="clear" w:color="auto" w:fill="auto"/>
        <w:spacing w:line="240" w:lineRule="auto"/>
        <w:ind w:firstLine="0"/>
        <w:jc w:val="both"/>
        <w:rPr>
          <w:rStyle w:val="19"/>
          <w:sz w:val="20"/>
          <w:szCs w:val="20"/>
          <w:u w:val="none"/>
        </w:rPr>
      </w:pPr>
    </w:p>
    <w:p w14:paraId="6FC3A6F9">
      <w:pPr>
        <w:pStyle w:val="12"/>
        <w:shd w:val="clear" w:color="auto" w:fill="auto"/>
        <w:spacing w:line="240" w:lineRule="auto"/>
        <w:ind w:firstLine="0"/>
        <w:jc w:val="both"/>
        <w:rPr>
          <w:rStyle w:val="19"/>
          <w:sz w:val="20"/>
          <w:szCs w:val="20"/>
          <w:u w:val="none"/>
        </w:rPr>
      </w:pPr>
      <w:r>
        <w:rPr>
          <w:rStyle w:val="19"/>
          <w:sz w:val="20"/>
          <w:szCs w:val="20"/>
          <w:u w:val="none"/>
        </w:rPr>
        <w:t>Ukupno je 309 pacijenata randomizirano u omjeru 1:1:1 ili u grupi koje ja primala kombinaciji everolimus (10 mg dnevno) +</w:t>
      </w:r>
      <w:r>
        <w:rPr>
          <w:sz w:val="20"/>
          <w:szCs w:val="20"/>
        </w:rPr>
        <w:t xml:space="preserve"> </w:t>
      </w:r>
      <w:r>
        <w:rPr>
          <w:rStyle w:val="19"/>
          <w:sz w:val="20"/>
          <w:szCs w:val="20"/>
          <w:u w:val="none"/>
        </w:rPr>
        <w:t>eksemestana (25 mg dnevno) (n = 104), ili u grupi koja je primala samo everolimus (10 mg dnevno) (n = 103) ili u prupi koja je primala kapecitabin</w:t>
      </w:r>
      <w:r>
        <w:rPr>
          <w:sz w:val="20"/>
          <w:szCs w:val="20"/>
        </w:rPr>
        <w:t xml:space="preserve"> </w:t>
      </w:r>
      <w:r>
        <w:rPr>
          <w:rStyle w:val="19"/>
          <w:sz w:val="20"/>
          <w:szCs w:val="20"/>
          <w:u w:val="none"/>
        </w:rPr>
        <w:t>(doza 1250 mg/m</w:t>
      </w:r>
      <w:r>
        <w:rPr>
          <w:rStyle w:val="19"/>
          <w:sz w:val="20"/>
          <w:szCs w:val="20"/>
          <w:u w:val="none"/>
          <w:vertAlign w:val="superscript"/>
        </w:rPr>
        <w:t>2</w:t>
      </w:r>
      <w:r>
        <w:rPr>
          <w:rStyle w:val="19"/>
          <w:sz w:val="20"/>
          <w:szCs w:val="20"/>
          <w:u w:val="none"/>
        </w:rPr>
        <w:t xml:space="preserve"> dva puta dnevno tokom 2 nedelje, nakon čega slijedi jednonedeljni odmor, tronedeljni ciklus) (n = 102). U vrijeme zaklju</w:t>
      </w:r>
      <w:r>
        <w:rPr>
          <w:rStyle w:val="19"/>
          <w:sz w:val="20"/>
          <w:szCs w:val="20"/>
          <w:u w:val="none"/>
          <w:lang w:val="hr-BA"/>
        </w:rPr>
        <w:t>čavanja</w:t>
      </w:r>
      <w:r>
        <w:rPr>
          <w:rStyle w:val="19"/>
          <w:sz w:val="20"/>
          <w:szCs w:val="20"/>
          <w:u w:val="none"/>
        </w:rPr>
        <w:t xml:space="preserve"> podataka, medijana trajanja liječenja bila je 27,5 nedelja</w:t>
      </w:r>
      <w:r>
        <w:rPr>
          <w:sz w:val="20"/>
          <w:szCs w:val="20"/>
        </w:rPr>
        <w:t xml:space="preserve"> </w:t>
      </w:r>
      <w:r>
        <w:rPr>
          <w:rStyle w:val="19"/>
          <w:sz w:val="20"/>
          <w:szCs w:val="20"/>
          <w:u w:val="none"/>
        </w:rPr>
        <w:t>(raspon 2,0-165,7) u grupi koja je primala everolimus + eksemestana, 20 nedelja (1,3-145,0) u grupi koja je primala samo everolimusa i 26,7</w:t>
      </w:r>
      <w:r>
        <w:rPr>
          <w:sz w:val="20"/>
          <w:szCs w:val="20"/>
        </w:rPr>
        <w:t xml:space="preserve"> </w:t>
      </w:r>
      <w:r>
        <w:rPr>
          <w:rStyle w:val="19"/>
          <w:sz w:val="20"/>
          <w:szCs w:val="20"/>
          <w:u w:val="none"/>
        </w:rPr>
        <w:t>nedelja (1.4-177.1) u grupi koja je primala kapecitabina.</w:t>
      </w:r>
    </w:p>
    <w:p w14:paraId="3FE99E96">
      <w:pPr>
        <w:pStyle w:val="12"/>
        <w:shd w:val="clear" w:color="auto" w:fill="auto"/>
        <w:spacing w:line="240" w:lineRule="auto"/>
        <w:ind w:firstLine="0"/>
        <w:jc w:val="both"/>
        <w:rPr>
          <w:sz w:val="20"/>
          <w:szCs w:val="20"/>
        </w:rPr>
      </w:pPr>
    </w:p>
    <w:p w14:paraId="0075AB5A">
      <w:pPr>
        <w:pStyle w:val="12"/>
        <w:shd w:val="clear" w:color="auto" w:fill="auto"/>
        <w:spacing w:line="240" w:lineRule="auto"/>
        <w:ind w:firstLine="0"/>
        <w:jc w:val="both"/>
        <w:rPr>
          <w:rStyle w:val="19"/>
          <w:sz w:val="20"/>
          <w:szCs w:val="20"/>
          <w:u w:val="none"/>
        </w:rPr>
      </w:pPr>
      <w:r>
        <w:rPr>
          <w:rStyle w:val="19"/>
          <w:sz w:val="20"/>
          <w:szCs w:val="20"/>
          <w:u w:val="none"/>
        </w:rPr>
        <w:t>Rezultat konačne analize PFS sa 154 PFS događaja opaženih na temelju procjene lokalnog ispitivača</w:t>
      </w:r>
      <w:r>
        <w:rPr>
          <w:sz w:val="20"/>
          <w:szCs w:val="20"/>
        </w:rPr>
        <w:t xml:space="preserve"> </w:t>
      </w:r>
      <w:r>
        <w:rPr>
          <w:rStyle w:val="19"/>
          <w:sz w:val="20"/>
          <w:szCs w:val="20"/>
          <w:u w:val="none"/>
        </w:rPr>
        <w:t>pokazao je procijenjeni HR od 0,74 (90% CI: 0,57, 0,97) u prilog grupe everolimus + eksemestan u</w:t>
      </w:r>
      <w:r>
        <w:rPr>
          <w:sz w:val="20"/>
          <w:szCs w:val="20"/>
        </w:rPr>
        <w:t xml:space="preserve"> </w:t>
      </w:r>
      <w:r>
        <w:rPr>
          <w:rStyle w:val="19"/>
          <w:sz w:val="20"/>
          <w:szCs w:val="20"/>
          <w:u w:val="none"/>
        </w:rPr>
        <w:t>odnosu na grupu</w:t>
      </w:r>
      <w:r>
        <w:rPr>
          <w:rStyle w:val="19"/>
          <w:sz w:val="20"/>
          <w:szCs w:val="20"/>
          <w:u w:val="none"/>
          <w:lang w:val="sr-Cyrl-RS"/>
        </w:rPr>
        <w:t xml:space="preserve"> </w:t>
      </w:r>
      <w:r>
        <w:rPr>
          <w:rStyle w:val="19"/>
          <w:sz w:val="20"/>
          <w:szCs w:val="20"/>
          <w:u w:val="none"/>
        </w:rPr>
        <w:t>koja je primala everolimus. Medijana PFS-a bila je 8,4 mjeseca (90% CI: 6,6, 9,7) i 6.8 mjeseci (90% CI: 5,5, 7,2), respektivno.</w:t>
      </w:r>
    </w:p>
    <w:p w14:paraId="3D3B3A6B">
      <w:pPr>
        <w:pStyle w:val="12"/>
        <w:shd w:val="clear" w:color="auto" w:fill="auto"/>
        <w:tabs>
          <w:tab w:val="left" w:pos="351"/>
        </w:tabs>
        <w:spacing w:line="240" w:lineRule="auto"/>
        <w:ind w:firstLine="0"/>
        <w:jc w:val="both"/>
        <w:rPr>
          <w:rStyle w:val="19"/>
          <w:sz w:val="20"/>
          <w:szCs w:val="20"/>
        </w:rPr>
      </w:pPr>
    </w:p>
    <w:p w14:paraId="5226E5AE">
      <w:pPr>
        <w:autoSpaceDE w:val="0"/>
        <w:autoSpaceDN w:val="0"/>
        <w:adjustRightInd w:val="0"/>
        <w:rPr>
          <w:rFonts w:eastAsia="Times New Roman"/>
          <w:b/>
          <w:bCs/>
          <w:color w:val="auto"/>
          <w:sz w:val="20"/>
          <w:szCs w:val="20"/>
          <w:lang w:eastAsia="en-US"/>
        </w:rPr>
      </w:pPr>
      <w:r>
        <w:rPr>
          <w:rFonts w:ascii="Microsoft Sans Serif" w:hAnsi="Microsoft Sans Serif" w:cs="Microsoft Sans Serif"/>
          <w:b/>
          <w:color w:val="auto"/>
          <w:sz w:val="20"/>
          <w:szCs w:val="20"/>
        </w:rPr>
        <w:t>Slika 2</w:t>
      </w:r>
      <w:r>
        <w:rPr>
          <w:rFonts w:ascii="Microsoft Sans Serif" w:hAnsi="Microsoft Sans Serif" w:eastAsia="Times New Roman" w:cs="Microsoft Sans Serif"/>
          <w:b/>
          <w:bCs/>
          <w:color w:val="auto"/>
          <w:sz w:val="20"/>
          <w:szCs w:val="20"/>
          <w:lang w:eastAsia="en-US"/>
        </w:rPr>
        <w:t xml:space="preserve"> BOLERO-6 Kaplan-Meier-ova kriva preživljavanja bez progresije bolesti (radiološka procjena od strane ispitivača)</w:t>
      </w:r>
    </w:p>
    <w:p w14:paraId="39461AAE">
      <w:pPr>
        <w:pStyle w:val="12"/>
        <w:shd w:val="clear" w:color="auto" w:fill="auto"/>
        <w:spacing w:line="240" w:lineRule="auto"/>
        <w:ind w:firstLine="0"/>
        <w:jc w:val="both"/>
        <w:rPr>
          <w:color w:val="auto"/>
          <w:sz w:val="20"/>
          <w:szCs w:val="20"/>
        </w:rPr>
      </w:pPr>
    </w:p>
    <w:p w14:paraId="5C642100">
      <w:pPr>
        <w:jc w:val="both"/>
        <w:rPr>
          <w:rFonts w:ascii="Microsoft Sans Serif" w:hAnsi="Microsoft Sans Serif" w:cs="Microsoft Sans Serif"/>
          <w:sz w:val="20"/>
        </w:rPr>
      </w:pPr>
      <w:r>
        <w:rPr>
          <w:rFonts w:ascii="Microsoft Sans Serif" w:hAnsi="Microsoft Sans Serif" w:cs="Microsoft Sans Serif" w:eastAsiaTheme="minorHAnsi"/>
          <w:sz w:val="20"/>
          <w:szCs w:val="20"/>
          <w:lang w:val="bs-Latn-BA" w:eastAsia="en-US"/>
        </w:rPr>
        <w:object>
          <v:shape id="_x0000_i1025" o:spt="75" type="#_x0000_t75" style="height:240pt;width:465pt;" o:ole="t" filled="f" o:preferrelative="t" stroked="f" coordsize="21600,21600">
            <v:path/>
            <v:fill on="f" focussize="0,0"/>
            <v:stroke on="f" joinstyle="miter"/>
            <v:imagedata r:id="rId10" o:title=""/>
            <o:lock v:ext="edit" aspectratio="t"/>
            <w10:wrap type="none"/>
            <w10:anchorlock/>
          </v:shape>
          <o:OLEObject Type="Embed" ProgID="CorelDraw.Graphic.18" ShapeID="_x0000_i1025" DrawAspect="Content" ObjectID="_1468075725" r:id="rId9">
            <o:LockedField>false</o:LockedField>
          </o:OLEObject>
        </w:object>
      </w:r>
      <w:r>
        <w:rPr>
          <w:rFonts w:ascii="Microsoft Sans Serif" w:hAnsi="Microsoft Sans Serif" w:cs="Microsoft Sans Serif"/>
          <w:sz w:val="20"/>
        </w:rPr>
        <w:t>Za ključn</w:t>
      </w:r>
      <w:r>
        <w:rPr>
          <w:rFonts w:ascii="Microsoft Sans Serif" w:hAnsi="Microsoft Sans Serif" w:cs="Microsoft Sans Serif"/>
          <w:sz w:val="20"/>
          <w:lang w:val="hr-BA"/>
        </w:rPr>
        <w:t>i</w:t>
      </w:r>
      <w:r>
        <w:rPr>
          <w:rFonts w:ascii="Microsoft Sans Serif" w:hAnsi="Microsoft Sans Serif" w:cs="Microsoft Sans Serif"/>
          <w:sz w:val="20"/>
        </w:rPr>
        <w:t xml:space="preserve"> sekundarni parametar praćenje ishoda PFS, procenjeni HR bio je 1,26 (90% CI: 0,96, 1,66) u prilog grupe koja je primala kapecitabina u odnosu na grupu koja je primala kombinaciju everolimus + eksemestan na osnovu ukupno 148 primjećenih PFS događaja.</w:t>
      </w:r>
    </w:p>
    <w:p w14:paraId="0852E0BC">
      <w:pPr>
        <w:pStyle w:val="21"/>
        <w:shd w:val="clear" w:color="auto" w:fill="auto"/>
        <w:spacing w:line="240" w:lineRule="auto"/>
        <w:rPr>
          <w:i w:val="0"/>
          <w:spacing w:val="0"/>
        </w:rPr>
      </w:pPr>
      <w:r>
        <w:rPr>
          <w:i w:val="0"/>
          <w:spacing w:val="0"/>
        </w:rPr>
        <w:t xml:space="preserve">Rezultati sekundarnog parametra praćenje ishoda OS nisu u skladu sa primarnim parametrom praćenje ishoda PFS, sa </w:t>
      </w:r>
      <w:r>
        <w:rPr>
          <w:i w:val="0"/>
          <w:spacing w:val="0"/>
          <w:lang w:val="sr-Cyrl-RS"/>
        </w:rPr>
        <w:t xml:space="preserve"> </w:t>
      </w:r>
      <w:r>
        <w:rPr>
          <w:i w:val="0"/>
          <w:spacing w:val="0"/>
        </w:rPr>
        <w:t>tim da su opa</w:t>
      </w:r>
      <w:r>
        <w:rPr>
          <w:i w:val="0"/>
          <w:spacing w:val="0"/>
          <w:lang w:val="hr-BA"/>
        </w:rPr>
        <w:t>ženi rezultati bili u prilog grupe koja je primala</w:t>
      </w:r>
      <w:r>
        <w:rPr>
          <w:i w:val="0"/>
          <w:spacing w:val="0"/>
        </w:rPr>
        <w:t xml:space="preserve"> samo everolimus. Procjenjeni HR bio je 1,27 (90% CI: 0,95, 1,70) za  poređenje OS u  grupi</w:t>
      </w:r>
      <w:r>
        <w:rPr>
          <w:i w:val="0"/>
          <w:spacing w:val="0"/>
          <w:lang w:val="sr-Cyrl-RS"/>
        </w:rPr>
        <w:t xml:space="preserve"> </w:t>
      </w:r>
      <w:r>
        <w:rPr>
          <w:i w:val="0"/>
          <w:spacing w:val="0"/>
        </w:rPr>
        <w:t>koja je primala samo everolimusa u odnosu na grupu koja je primala kombinaciju everolimus + eksemestan. Procjenjeni  HR za poređenje OS u grupi</w:t>
      </w:r>
      <w:r>
        <w:rPr>
          <w:i w:val="0"/>
          <w:spacing w:val="0"/>
          <w:lang w:val="hr-BA"/>
        </w:rPr>
        <w:t xml:space="preserve"> koja je primala</w:t>
      </w:r>
      <w:r>
        <w:rPr>
          <w:i w:val="0"/>
          <w:spacing w:val="0"/>
        </w:rPr>
        <w:t xml:space="preserve"> kombinacije everolimus + eksemestan u odnosu na grupu koje je primala kapecitabina bio je 1,33 (CI 90%: 0,99, 1,79).</w:t>
      </w:r>
    </w:p>
    <w:p w14:paraId="6E8436B4">
      <w:pPr>
        <w:pStyle w:val="21"/>
        <w:shd w:val="clear" w:color="auto" w:fill="auto"/>
        <w:spacing w:line="240" w:lineRule="auto"/>
        <w:rPr>
          <w:spacing w:val="0"/>
        </w:rPr>
      </w:pPr>
    </w:p>
    <w:p w14:paraId="61339040">
      <w:pPr>
        <w:pStyle w:val="21"/>
        <w:shd w:val="clear" w:color="auto" w:fill="auto"/>
        <w:spacing w:line="240" w:lineRule="auto"/>
        <w:rPr>
          <w:spacing w:val="0"/>
          <w:u w:val="single"/>
        </w:rPr>
      </w:pPr>
      <w:r>
        <w:rPr>
          <w:spacing w:val="0"/>
          <w:u w:val="single"/>
        </w:rPr>
        <w:t>Uznapredovali neuroendokrini tumori sa porijeklom u gušterači (pNET)</w:t>
      </w:r>
    </w:p>
    <w:p w14:paraId="1231C0A4">
      <w:pPr>
        <w:pStyle w:val="12"/>
        <w:shd w:val="clear" w:color="auto" w:fill="auto"/>
        <w:spacing w:line="240" w:lineRule="auto"/>
        <w:ind w:firstLine="0"/>
        <w:jc w:val="both"/>
        <w:rPr>
          <w:sz w:val="20"/>
          <w:szCs w:val="20"/>
        </w:rPr>
      </w:pPr>
      <w:r>
        <w:rPr>
          <w:sz w:val="20"/>
          <w:szCs w:val="20"/>
        </w:rPr>
        <w:t>RADIANT-3 (ispitivanje CRAD001C2324), multicentrično, randomizirano, dvostruko slijepo ispitivanje faze III, u kojem je upoređivana kombinacija everolimusa i najbolje suportivne njege u odnosu na placebo i najbolje suportivne njege kod pacijenata sa uznapredovalim pNET-om, pokazalo je statistički značajnu kliničku korist za everolimus u odnosu na placebo, sa 2,4-puta produženjem medijane preživljavanja bez progresije bolesti (11,04 mjeseca u odnosu na 4,6 mjeseci), (omjer hazarda 0,35; 95% CI: 0,27; 0,45; p&lt;0,0001) (pogledati Tablicu 5 i Sliku 3).</w:t>
      </w:r>
    </w:p>
    <w:p w14:paraId="19B821CE">
      <w:pPr>
        <w:pStyle w:val="12"/>
        <w:shd w:val="clear" w:color="auto" w:fill="auto"/>
        <w:spacing w:line="240" w:lineRule="auto"/>
        <w:ind w:firstLine="0"/>
        <w:jc w:val="both"/>
        <w:rPr>
          <w:sz w:val="20"/>
          <w:szCs w:val="20"/>
        </w:rPr>
      </w:pPr>
    </w:p>
    <w:p w14:paraId="47F5A797">
      <w:pPr>
        <w:pStyle w:val="12"/>
        <w:shd w:val="clear" w:color="auto" w:fill="auto"/>
        <w:spacing w:line="240" w:lineRule="auto"/>
        <w:ind w:firstLine="0"/>
        <w:jc w:val="both"/>
        <w:rPr>
          <w:sz w:val="20"/>
          <w:szCs w:val="20"/>
        </w:rPr>
      </w:pPr>
      <w:r>
        <w:rPr>
          <w:sz w:val="20"/>
          <w:szCs w:val="20"/>
        </w:rPr>
        <w:t>Ispitivanje RADIANT-3 uključivalo je pacijente sa dobro i umjereno diferenciranim uznapredovalim pNET-om kod kojih je bolest progredirala tokom prethodnih 12 mjeseci. Liječenje analozima somatostatina bilo je dopušteno kao dio najbolje suportivne njege liječenja.</w:t>
      </w:r>
    </w:p>
    <w:p w14:paraId="362B17D5">
      <w:pPr>
        <w:pStyle w:val="12"/>
        <w:shd w:val="clear" w:color="auto" w:fill="auto"/>
        <w:spacing w:line="240" w:lineRule="auto"/>
        <w:ind w:firstLine="0"/>
        <w:jc w:val="both"/>
        <w:rPr>
          <w:sz w:val="20"/>
          <w:szCs w:val="20"/>
        </w:rPr>
      </w:pPr>
    </w:p>
    <w:p w14:paraId="2E3E2743">
      <w:pPr>
        <w:pStyle w:val="12"/>
        <w:shd w:val="clear" w:color="auto" w:fill="auto"/>
        <w:spacing w:line="240" w:lineRule="auto"/>
        <w:ind w:firstLine="0"/>
        <w:jc w:val="both"/>
        <w:rPr>
          <w:sz w:val="20"/>
          <w:szCs w:val="20"/>
        </w:rPr>
      </w:pPr>
      <w:r>
        <w:rPr>
          <w:sz w:val="20"/>
          <w:szCs w:val="20"/>
        </w:rPr>
        <w:t>Primarni parametar praćenje ishoda ispitivanja bilo je preživljavanje bez progresije bolesti ocijenjeno prema RECIST kriterijima. Nakon zabilježene radiološke progresije, ispitivač je mogao otkriti terapiju koju su primali pacijenti. Oni koji su bili randomizirani u grupu koja je primala placebo mogli su nakon toga primati everolimus u otvorenom dijelu ispitivanja.</w:t>
      </w:r>
    </w:p>
    <w:p w14:paraId="217509DC">
      <w:pPr>
        <w:pStyle w:val="12"/>
        <w:shd w:val="clear" w:color="auto" w:fill="auto"/>
        <w:spacing w:line="240" w:lineRule="auto"/>
        <w:ind w:firstLine="0"/>
        <w:jc w:val="both"/>
        <w:rPr>
          <w:sz w:val="20"/>
          <w:szCs w:val="20"/>
        </w:rPr>
      </w:pPr>
    </w:p>
    <w:p w14:paraId="22081291">
      <w:pPr>
        <w:pStyle w:val="12"/>
        <w:shd w:val="clear" w:color="auto" w:fill="auto"/>
        <w:spacing w:line="240" w:lineRule="auto"/>
        <w:ind w:firstLine="0"/>
        <w:jc w:val="both"/>
        <w:rPr>
          <w:sz w:val="20"/>
          <w:szCs w:val="20"/>
        </w:rPr>
      </w:pPr>
      <w:r>
        <w:rPr>
          <w:sz w:val="20"/>
          <w:szCs w:val="20"/>
        </w:rPr>
        <w:t>Sekundarni parametri praćenja ishod ispitivanja uključivao je bezbjednost primjene, objektivnu stopu odgovora, trajanje odgovora i ukupno preživljenje.</w:t>
      </w:r>
    </w:p>
    <w:p w14:paraId="7E5C2A2B">
      <w:pPr>
        <w:pStyle w:val="12"/>
        <w:shd w:val="clear" w:color="auto" w:fill="auto"/>
        <w:spacing w:line="240" w:lineRule="auto"/>
        <w:ind w:firstLine="0"/>
        <w:jc w:val="both"/>
        <w:rPr>
          <w:sz w:val="20"/>
          <w:szCs w:val="20"/>
        </w:rPr>
      </w:pPr>
    </w:p>
    <w:p w14:paraId="2ABD0FC1">
      <w:pPr>
        <w:pStyle w:val="12"/>
        <w:shd w:val="clear" w:color="auto" w:fill="auto"/>
        <w:spacing w:line="240" w:lineRule="auto"/>
        <w:ind w:firstLine="0"/>
        <w:jc w:val="both"/>
        <w:rPr>
          <w:sz w:val="20"/>
          <w:szCs w:val="20"/>
        </w:rPr>
      </w:pPr>
      <w:r>
        <w:rPr>
          <w:sz w:val="20"/>
          <w:szCs w:val="20"/>
        </w:rPr>
        <w:t>Ukupno je bilo randomizirano 410 pacijenata u omjeru 1:1 u grupu koja je primala everolimus 10 mg/dan (n=207) ili u grupu koja je primala placebo (n=203). Grupe su bile dobro uravnotežene prema demografskim karakteristikama (medijana starosti od 58 godina, 55% muški, 78,5% bijel</w:t>
      </w:r>
      <w:r>
        <w:rPr>
          <w:sz w:val="20"/>
          <w:szCs w:val="20"/>
          <w:lang w:val="sv-SE"/>
        </w:rPr>
        <w:t>e rase</w:t>
      </w:r>
      <w:r>
        <w:rPr>
          <w:sz w:val="20"/>
          <w:szCs w:val="20"/>
        </w:rPr>
        <w:t>). Pedeset osam posto pacijenata u obje grupe prethodno je primalo sistemsku terapiju. Medijana trajanja slijepe faze ispitivanja iznosio je 37,8 nedelja (raspon 1,1-129,9 nedelja) za pacijente koji su primali everolimus i 16,1 nedelju (raspon 0,4-147,0 nedelja) za one koji su primali placebo.</w:t>
      </w:r>
    </w:p>
    <w:p w14:paraId="6D411C7B">
      <w:pPr>
        <w:pStyle w:val="12"/>
        <w:shd w:val="clear" w:color="auto" w:fill="auto"/>
        <w:spacing w:line="240" w:lineRule="auto"/>
        <w:ind w:firstLine="0"/>
        <w:jc w:val="both"/>
        <w:rPr>
          <w:sz w:val="20"/>
          <w:szCs w:val="20"/>
        </w:rPr>
      </w:pPr>
    </w:p>
    <w:p w14:paraId="00257A0F">
      <w:pPr>
        <w:pStyle w:val="12"/>
        <w:shd w:val="clear" w:color="auto" w:fill="auto"/>
        <w:spacing w:line="240" w:lineRule="auto"/>
        <w:ind w:firstLine="0"/>
        <w:jc w:val="both"/>
        <w:rPr>
          <w:sz w:val="20"/>
          <w:szCs w:val="20"/>
        </w:rPr>
      </w:pPr>
      <w:r>
        <w:rPr>
          <w:sz w:val="20"/>
          <w:szCs w:val="20"/>
        </w:rPr>
        <w:t>Nakon progresije bolesti ili nakon otkrivanja terapije koju su primali pacijenti, 172 od 203 pacijenta (84,7%) inicijalno randomiziranih na placebo prešlo je na everolimus u otvorenom dijelu ispitivanja. Medijana trajanja otvorenog dijela liječenja bio je 47,7 nedelja za sve pacijente; 67,1 nedelja kod 53 pacijenta randomiziranih na everolimus koji su prešli na everolimus u otvorenom dijelu ispitivanja i 44,1 nedelju kod 172 pacijenta randomiziranih na placebo koji su prešli na everolimus u otvorenom dijelu ispitivanja.</w:t>
      </w:r>
    </w:p>
    <w:p w14:paraId="38C83C3C">
      <w:pPr>
        <w:pStyle w:val="12"/>
        <w:shd w:val="clear" w:color="auto" w:fill="auto"/>
        <w:tabs>
          <w:tab w:val="left" w:pos="506"/>
        </w:tabs>
        <w:spacing w:line="240" w:lineRule="auto"/>
        <w:ind w:firstLine="0"/>
        <w:jc w:val="both"/>
        <w:rPr>
          <w:b/>
          <w:sz w:val="20"/>
          <w:szCs w:val="20"/>
        </w:rPr>
      </w:pPr>
    </w:p>
    <w:p w14:paraId="74BB98C5">
      <w:pPr>
        <w:pStyle w:val="12"/>
        <w:shd w:val="clear" w:color="auto" w:fill="auto"/>
        <w:spacing w:line="240" w:lineRule="auto"/>
        <w:ind w:firstLine="0"/>
        <w:jc w:val="both"/>
        <w:rPr>
          <w:b/>
          <w:sz w:val="20"/>
          <w:szCs w:val="20"/>
        </w:rPr>
      </w:pPr>
      <w:r>
        <w:rPr>
          <w:b/>
          <w:sz w:val="20"/>
          <w:szCs w:val="20"/>
        </w:rPr>
        <w:t>Tablica 5 RADIANT-3 - Rezultati efikasnosti</w:t>
      </w:r>
    </w:p>
    <w:tbl>
      <w:tblPr>
        <w:tblStyle w:val="3"/>
        <w:tblW w:w="0" w:type="auto"/>
        <w:tblInd w:w="10" w:type="dxa"/>
        <w:tblLayout w:type="fixed"/>
        <w:tblCellMar>
          <w:top w:w="0" w:type="dxa"/>
          <w:left w:w="10" w:type="dxa"/>
          <w:bottom w:w="0" w:type="dxa"/>
          <w:right w:w="10" w:type="dxa"/>
        </w:tblCellMar>
      </w:tblPr>
      <w:tblGrid>
        <w:gridCol w:w="2515"/>
        <w:gridCol w:w="1637"/>
        <w:gridCol w:w="1536"/>
        <w:gridCol w:w="1867"/>
        <w:gridCol w:w="1253"/>
      </w:tblGrid>
      <w:tr w14:paraId="50D5F8E1">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56DA4BF4">
            <w:pPr>
              <w:pStyle w:val="12"/>
              <w:shd w:val="clear" w:color="auto" w:fill="auto"/>
              <w:spacing w:line="240" w:lineRule="auto"/>
              <w:ind w:firstLine="0"/>
              <w:jc w:val="both"/>
              <w:rPr>
                <w:b/>
                <w:sz w:val="20"/>
                <w:szCs w:val="20"/>
              </w:rPr>
            </w:pPr>
            <w:r>
              <w:rPr>
                <w:rStyle w:val="24"/>
                <w:b/>
                <w:sz w:val="20"/>
                <w:szCs w:val="20"/>
              </w:rPr>
              <w:t>Populacija</w:t>
            </w:r>
          </w:p>
        </w:tc>
        <w:tc>
          <w:tcPr>
            <w:tcW w:w="1637" w:type="dxa"/>
            <w:tcBorders>
              <w:top w:val="single" w:color="auto" w:sz="4" w:space="0"/>
              <w:left w:val="single" w:color="auto" w:sz="4" w:space="0"/>
            </w:tcBorders>
            <w:shd w:val="clear" w:color="auto" w:fill="FFFFFF"/>
          </w:tcPr>
          <w:p w14:paraId="0FA0A344">
            <w:pPr>
              <w:pStyle w:val="12"/>
              <w:shd w:val="clear" w:color="auto" w:fill="auto"/>
              <w:spacing w:line="240" w:lineRule="auto"/>
              <w:ind w:firstLine="0"/>
              <w:rPr>
                <w:b/>
                <w:sz w:val="20"/>
                <w:szCs w:val="20"/>
              </w:rPr>
            </w:pPr>
            <w:r>
              <w:rPr>
                <w:rStyle w:val="24"/>
                <w:b/>
                <w:sz w:val="20"/>
                <w:szCs w:val="20"/>
              </w:rPr>
              <w:t>Everolimus</w:t>
            </w:r>
          </w:p>
          <w:p w14:paraId="20A41017">
            <w:pPr>
              <w:pStyle w:val="12"/>
              <w:shd w:val="clear" w:color="auto" w:fill="auto"/>
              <w:spacing w:line="240" w:lineRule="auto"/>
              <w:ind w:firstLine="0"/>
              <w:rPr>
                <w:b/>
                <w:sz w:val="20"/>
                <w:szCs w:val="20"/>
              </w:rPr>
            </w:pPr>
            <w:r>
              <w:rPr>
                <w:rStyle w:val="24"/>
                <w:b/>
                <w:sz w:val="20"/>
                <w:szCs w:val="20"/>
              </w:rPr>
              <w:t>n=207</w:t>
            </w:r>
          </w:p>
        </w:tc>
        <w:tc>
          <w:tcPr>
            <w:tcW w:w="1536" w:type="dxa"/>
            <w:tcBorders>
              <w:top w:val="single" w:color="auto" w:sz="4" w:space="0"/>
              <w:left w:val="single" w:color="auto" w:sz="4" w:space="0"/>
            </w:tcBorders>
            <w:shd w:val="clear" w:color="auto" w:fill="FFFFFF"/>
          </w:tcPr>
          <w:p w14:paraId="510A1886">
            <w:pPr>
              <w:pStyle w:val="12"/>
              <w:shd w:val="clear" w:color="auto" w:fill="auto"/>
              <w:spacing w:line="240" w:lineRule="auto"/>
              <w:ind w:firstLine="0"/>
              <w:rPr>
                <w:b/>
                <w:sz w:val="20"/>
                <w:szCs w:val="20"/>
              </w:rPr>
            </w:pPr>
            <w:r>
              <w:rPr>
                <w:rStyle w:val="24"/>
                <w:b/>
                <w:sz w:val="20"/>
                <w:szCs w:val="20"/>
              </w:rPr>
              <w:t>Placebo</w:t>
            </w:r>
          </w:p>
          <w:p w14:paraId="0B5BA22D">
            <w:pPr>
              <w:pStyle w:val="12"/>
              <w:shd w:val="clear" w:color="auto" w:fill="auto"/>
              <w:spacing w:line="240" w:lineRule="auto"/>
              <w:ind w:firstLine="0"/>
              <w:rPr>
                <w:b/>
                <w:sz w:val="20"/>
                <w:szCs w:val="20"/>
              </w:rPr>
            </w:pPr>
            <w:r>
              <w:rPr>
                <w:rStyle w:val="24"/>
                <w:b/>
                <w:sz w:val="20"/>
                <w:szCs w:val="20"/>
              </w:rPr>
              <w:t>n=203</w:t>
            </w:r>
          </w:p>
        </w:tc>
        <w:tc>
          <w:tcPr>
            <w:tcW w:w="1867" w:type="dxa"/>
            <w:tcBorders>
              <w:top w:val="single" w:color="auto" w:sz="4" w:space="0"/>
              <w:left w:val="single" w:color="auto" w:sz="4" w:space="0"/>
            </w:tcBorders>
            <w:shd w:val="clear" w:color="auto" w:fill="FFFFFF"/>
          </w:tcPr>
          <w:p w14:paraId="5569557D">
            <w:pPr>
              <w:pStyle w:val="12"/>
              <w:shd w:val="clear" w:color="auto" w:fill="auto"/>
              <w:spacing w:line="240" w:lineRule="auto"/>
              <w:ind w:firstLine="0"/>
              <w:rPr>
                <w:rStyle w:val="24"/>
                <w:b/>
                <w:sz w:val="20"/>
                <w:szCs w:val="20"/>
              </w:rPr>
            </w:pPr>
            <w:r>
              <w:rPr>
                <w:rStyle w:val="24"/>
                <w:b/>
                <w:sz w:val="20"/>
                <w:szCs w:val="20"/>
              </w:rPr>
              <w:t xml:space="preserve">Omjer hazarda </w:t>
            </w:r>
          </w:p>
          <w:p w14:paraId="45017EA4">
            <w:pPr>
              <w:pStyle w:val="12"/>
              <w:shd w:val="clear" w:color="auto" w:fill="auto"/>
              <w:spacing w:line="240" w:lineRule="auto"/>
              <w:ind w:firstLine="0"/>
              <w:rPr>
                <w:b/>
                <w:sz w:val="20"/>
                <w:szCs w:val="20"/>
              </w:rPr>
            </w:pPr>
            <w:r>
              <w:rPr>
                <w:rStyle w:val="24"/>
                <w:b/>
                <w:sz w:val="20"/>
                <w:szCs w:val="20"/>
              </w:rPr>
              <w:t>(95% CI)</w:t>
            </w:r>
          </w:p>
        </w:tc>
        <w:tc>
          <w:tcPr>
            <w:tcW w:w="1253" w:type="dxa"/>
            <w:tcBorders>
              <w:top w:val="single" w:color="auto" w:sz="4" w:space="0"/>
              <w:left w:val="single" w:color="auto" w:sz="4" w:space="0"/>
              <w:right w:val="single" w:color="auto" w:sz="4" w:space="0"/>
            </w:tcBorders>
            <w:shd w:val="clear" w:color="auto" w:fill="FFFFFF"/>
          </w:tcPr>
          <w:p w14:paraId="6564386F">
            <w:pPr>
              <w:pStyle w:val="12"/>
              <w:shd w:val="clear" w:color="auto" w:fill="auto"/>
              <w:spacing w:line="240" w:lineRule="auto"/>
              <w:ind w:firstLine="0"/>
              <w:rPr>
                <w:b/>
                <w:sz w:val="20"/>
                <w:szCs w:val="20"/>
              </w:rPr>
            </w:pPr>
            <w:r>
              <w:rPr>
                <w:rStyle w:val="24"/>
                <w:b/>
                <w:sz w:val="20"/>
                <w:szCs w:val="20"/>
              </w:rPr>
              <w:t>p-vrijednost</w:t>
            </w:r>
          </w:p>
        </w:tc>
      </w:tr>
      <w:tr w14:paraId="5B77D246">
        <w:tblPrEx>
          <w:tblCellMar>
            <w:top w:w="0" w:type="dxa"/>
            <w:left w:w="10" w:type="dxa"/>
            <w:bottom w:w="0" w:type="dxa"/>
            <w:right w:w="10" w:type="dxa"/>
          </w:tblCellMar>
        </w:tblPrEx>
        <w:trPr>
          <w:trHeight w:val="221" w:hRule="atLeast"/>
        </w:trPr>
        <w:tc>
          <w:tcPr>
            <w:tcW w:w="8808" w:type="dxa"/>
            <w:gridSpan w:val="5"/>
            <w:tcBorders>
              <w:top w:val="single" w:color="auto" w:sz="4" w:space="0"/>
              <w:left w:val="single" w:color="auto" w:sz="4" w:space="0"/>
              <w:right w:val="single" w:color="auto" w:sz="4" w:space="0"/>
            </w:tcBorders>
            <w:shd w:val="clear" w:color="auto" w:fill="FFFFFF"/>
          </w:tcPr>
          <w:p w14:paraId="3BB9A190">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1F718AC7">
        <w:tblPrEx>
          <w:tblCellMar>
            <w:top w:w="0" w:type="dxa"/>
            <w:left w:w="10" w:type="dxa"/>
            <w:bottom w:w="0" w:type="dxa"/>
            <w:right w:w="10" w:type="dxa"/>
          </w:tblCellMar>
        </w:tblPrEx>
        <w:trPr>
          <w:trHeight w:val="595" w:hRule="atLeast"/>
        </w:trPr>
        <w:tc>
          <w:tcPr>
            <w:tcW w:w="2515" w:type="dxa"/>
            <w:tcBorders>
              <w:top w:val="single" w:color="auto" w:sz="4" w:space="0"/>
              <w:left w:val="single" w:color="auto" w:sz="4" w:space="0"/>
            </w:tcBorders>
            <w:shd w:val="clear" w:color="auto" w:fill="FFFFFF"/>
          </w:tcPr>
          <w:p w14:paraId="1ECAB3C7">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637" w:type="dxa"/>
            <w:tcBorders>
              <w:top w:val="single" w:color="auto" w:sz="4" w:space="0"/>
              <w:left w:val="single" w:color="auto" w:sz="4" w:space="0"/>
            </w:tcBorders>
            <w:shd w:val="clear" w:color="auto" w:fill="FFFFFF"/>
          </w:tcPr>
          <w:p w14:paraId="615FA5CB">
            <w:pPr>
              <w:pStyle w:val="12"/>
              <w:shd w:val="clear" w:color="auto" w:fill="auto"/>
              <w:spacing w:line="240" w:lineRule="auto"/>
              <w:ind w:firstLine="0"/>
              <w:rPr>
                <w:rStyle w:val="24"/>
                <w:sz w:val="20"/>
                <w:szCs w:val="20"/>
              </w:rPr>
            </w:pPr>
            <w:r>
              <w:rPr>
                <w:rStyle w:val="24"/>
                <w:sz w:val="20"/>
                <w:szCs w:val="20"/>
              </w:rPr>
              <w:t>11,04</w:t>
            </w:r>
          </w:p>
          <w:p w14:paraId="2D68480B">
            <w:pPr>
              <w:pStyle w:val="12"/>
              <w:shd w:val="clear" w:color="auto" w:fill="auto"/>
              <w:spacing w:line="240" w:lineRule="auto"/>
              <w:ind w:firstLine="0"/>
              <w:rPr>
                <w:sz w:val="20"/>
                <w:szCs w:val="20"/>
              </w:rPr>
            </w:pPr>
            <w:r>
              <w:rPr>
                <w:rStyle w:val="24"/>
                <w:sz w:val="20"/>
                <w:szCs w:val="20"/>
              </w:rPr>
              <w:t>(8,41, 13,86)</w:t>
            </w:r>
          </w:p>
        </w:tc>
        <w:tc>
          <w:tcPr>
            <w:tcW w:w="1536" w:type="dxa"/>
            <w:tcBorders>
              <w:top w:val="single" w:color="auto" w:sz="4" w:space="0"/>
              <w:left w:val="single" w:color="auto" w:sz="4" w:space="0"/>
            </w:tcBorders>
            <w:shd w:val="clear" w:color="auto" w:fill="FFFFFF"/>
          </w:tcPr>
          <w:p w14:paraId="14A0AC09">
            <w:pPr>
              <w:pStyle w:val="12"/>
              <w:shd w:val="clear" w:color="auto" w:fill="auto"/>
              <w:spacing w:line="240" w:lineRule="auto"/>
              <w:ind w:firstLine="0"/>
              <w:rPr>
                <w:rStyle w:val="24"/>
                <w:sz w:val="20"/>
                <w:szCs w:val="20"/>
              </w:rPr>
            </w:pPr>
            <w:r>
              <w:rPr>
                <w:rStyle w:val="24"/>
                <w:sz w:val="20"/>
                <w:szCs w:val="20"/>
              </w:rPr>
              <w:t>4,60</w:t>
            </w:r>
          </w:p>
          <w:p w14:paraId="72F4872B">
            <w:pPr>
              <w:pStyle w:val="12"/>
              <w:shd w:val="clear" w:color="auto" w:fill="auto"/>
              <w:spacing w:line="240" w:lineRule="auto"/>
              <w:ind w:firstLine="0"/>
              <w:rPr>
                <w:sz w:val="20"/>
                <w:szCs w:val="20"/>
              </w:rPr>
            </w:pPr>
            <w:r>
              <w:rPr>
                <w:rStyle w:val="24"/>
                <w:sz w:val="20"/>
                <w:szCs w:val="20"/>
              </w:rPr>
              <w:t>(3,06, 5,39)</w:t>
            </w:r>
          </w:p>
        </w:tc>
        <w:tc>
          <w:tcPr>
            <w:tcW w:w="1867" w:type="dxa"/>
            <w:tcBorders>
              <w:top w:val="single" w:color="auto" w:sz="4" w:space="0"/>
              <w:left w:val="single" w:color="auto" w:sz="4" w:space="0"/>
            </w:tcBorders>
            <w:shd w:val="clear" w:color="auto" w:fill="FFFFFF"/>
          </w:tcPr>
          <w:p w14:paraId="29F27BC7">
            <w:pPr>
              <w:pStyle w:val="12"/>
              <w:shd w:val="clear" w:color="auto" w:fill="auto"/>
              <w:spacing w:line="240" w:lineRule="auto"/>
              <w:ind w:firstLine="0"/>
              <w:rPr>
                <w:rStyle w:val="24"/>
                <w:sz w:val="20"/>
                <w:szCs w:val="20"/>
              </w:rPr>
            </w:pPr>
            <w:r>
              <w:rPr>
                <w:rStyle w:val="24"/>
                <w:sz w:val="20"/>
                <w:szCs w:val="20"/>
              </w:rPr>
              <w:t>0,35</w:t>
            </w:r>
          </w:p>
          <w:p w14:paraId="56833E35">
            <w:pPr>
              <w:pStyle w:val="12"/>
              <w:shd w:val="clear" w:color="auto" w:fill="auto"/>
              <w:spacing w:line="240" w:lineRule="auto"/>
              <w:ind w:firstLine="0"/>
              <w:rPr>
                <w:sz w:val="20"/>
                <w:szCs w:val="20"/>
              </w:rPr>
            </w:pPr>
            <w:r>
              <w:rPr>
                <w:rStyle w:val="24"/>
                <w:sz w:val="20"/>
                <w:szCs w:val="20"/>
              </w:rPr>
              <w:t>(0,27, 0,45)</w:t>
            </w:r>
          </w:p>
        </w:tc>
        <w:tc>
          <w:tcPr>
            <w:tcW w:w="1253" w:type="dxa"/>
            <w:tcBorders>
              <w:top w:val="single" w:color="auto" w:sz="4" w:space="0"/>
              <w:left w:val="single" w:color="auto" w:sz="4" w:space="0"/>
              <w:right w:val="single" w:color="auto" w:sz="4" w:space="0"/>
            </w:tcBorders>
            <w:shd w:val="clear" w:color="auto" w:fill="FFFFFF"/>
          </w:tcPr>
          <w:p w14:paraId="03F66AF2">
            <w:pPr>
              <w:pStyle w:val="12"/>
              <w:shd w:val="clear" w:color="auto" w:fill="auto"/>
              <w:spacing w:line="240" w:lineRule="auto"/>
              <w:ind w:firstLine="0"/>
              <w:rPr>
                <w:sz w:val="20"/>
                <w:szCs w:val="20"/>
              </w:rPr>
            </w:pPr>
            <w:r>
              <w:rPr>
                <w:rStyle w:val="24"/>
                <w:sz w:val="20"/>
                <w:szCs w:val="20"/>
              </w:rPr>
              <w:t>&lt;0,0001</w:t>
            </w:r>
          </w:p>
        </w:tc>
      </w:tr>
      <w:tr w14:paraId="6E1748CC">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61E5A4FF">
            <w:pPr>
              <w:pStyle w:val="12"/>
              <w:shd w:val="clear" w:color="auto" w:fill="auto"/>
              <w:spacing w:line="240" w:lineRule="auto"/>
              <w:ind w:firstLine="0"/>
              <w:jc w:val="left"/>
              <w:rPr>
                <w:sz w:val="20"/>
                <w:szCs w:val="20"/>
              </w:rPr>
            </w:pPr>
            <w:r>
              <w:rPr>
                <w:rStyle w:val="24"/>
                <w:sz w:val="20"/>
                <w:szCs w:val="20"/>
              </w:rPr>
              <w:t>Neovisna radiološka procjena</w:t>
            </w:r>
          </w:p>
        </w:tc>
        <w:tc>
          <w:tcPr>
            <w:tcW w:w="1637" w:type="dxa"/>
            <w:tcBorders>
              <w:top w:val="single" w:color="auto" w:sz="4" w:space="0"/>
              <w:left w:val="single" w:color="auto" w:sz="4" w:space="0"/>
            </w:tcBorders>
            <w:shd w:val="clear" w:color="auto" w:fill="FFFFFF"/>
          </w:tcPr>
          <w:p w14:paraId="41F7A706">
            <w:pPr>
              <w:pStyle w:val="12"/>
              <w:shd w:val="clear" w:color="auto" w:fill="auto"/>
              <w:spacing w:line="240" w:lineRule="auto"/>
              <w:ind w:firstLine="0"/>
              <w:rPr>
                <w:rStyle w:val="24"/>
                <w:sz w:val="20"/>
                <w:szCs w:val="20"/>
              </w:rPr>
            </w:pPr>
            <w:r>
              <w:rPr>
                <w:rStyle w:val="24"/>
                <w:sz w:val="20"/>
                <w:szCs w:val="20"/>
              </w:rPr>
              <w:t>13,67</w:t>
            </w:r>
          </w:p>
          <w:p w14:paraId="54CF6998">
            <w:pPr>
              <w:pStyle w:val="12"/>
              <w:shd w:val="clear" w:color="auto" w:fill="auto"/>
              <w:spacing w:line="240" w:lineRule="auto"/>
              <w:ind w:firstLine="0"/>
              <w:rPr>
                <w:sz w:val="20"/>
                <w:szCs w:val="20"/>
              </w:rPr>
            </w:pPr>
            <w:r>
              <w:rPr>
                <w:rStyle w:val="24"/>
                <w:sz w:val="20"/>
                <w:szCs w:val="20"/>
              </w:rPr>
              <w:t>(11,17, 18,79)</w:t>
            </w:r>
          </w:p>
        </w:tc>
        <w:tc>
          <w:tcPr>
            <w:tcW w:w="1536" w:type="dxa"/>
            <w:tcBorders>
              <w:top w:val="single" w:color="auto" w:sz="4" w:space="0"/>
              <w:left w:val="single" w:color="auto" w:sz="4" w:space="0"/>
            </w:tcBorders>
            <w:shd w:val="clear" w:color="auto" w:fill="FFFFFF"/>
          </w:tcPr>
          <w:p w14:paraId="3412D2F2">
            <w:pPr>
              <w:pStyle w:val="12"/>
              <w:shd w:val="clear" w:color="auto" w:fill="auto"/>
              <w:spacing w:line="240" w:lineRule="auto"/>
              <w:ind w:firstLine="0"/>
              <w:rPr>
                <w:rStyle w:val="24"/>
                <w:sz w:val="20"/>
                <w:szCs w:val="20"/>
              </w:rPr>
            </w:pPr>
            <w:r>
              <w:rPr>
                <w:rStyle w:val="24"/>
                <w:sz w:val="20"/>
                <w:szCs w:val="20"/>
              </w:rPr>
              <w:t>5,68</w:t>
            </w:r>
          </w:p>
          <w:p w14:paraId="513368E0">
            <w:pPr>
              <w:pStyle w:val="12"/>
              <w:shd w:val="clear" w:color="auto" w:fill="auto"/>
              <w:spacing w:line="240" w:lineRule="auto"/>
              <w:ind w:firstLine="0"/>
              <w:rPr>
                <w:sz w:val="20"/>
                <w:szCs w:val="20"/>
              </w:rPr>
            </w:pPr>
            <w:r>
              <w:rPr>
                <w:rStyle w:val="24"/>
                <w:sz w:val="20"/>
                <w:szCs w:val="20"/>
              </w:rPr>
              <w:t>(5,39, 8,31)</w:t>
            </w:r>
          </w:p>
        </w:tc>
        <w:tc>
          <w:tcPr>
            <w:tcW w:w="1867" w:type="dxa"/>
            <w:tcBorders>
              <w:top w:val="single" w:color="auto" w:sz="4" w:space="0"/>
              <w:left w:val="single" w:color="auto" w:sz="4" w:space="0"/>
            </w:tcBorders>
            <w:shd w:val="clear" w:color="auto" w:fill="FFFFFF"/>
          </w:tcPr>
          <w:p w14:paraId="3C4B46D9">
            <w:pPr>
              <w:pStyle w:val="12"/>
              <w:shd w:val="clear" w:color="auto" w:fill="auto"/>
              <w:spacing w:line="240" w:lineRule="auto"/>
              <w:ind w:firstLine="0"/>
              <w:rPr>
                <w:rStyle w:val="24"/>
                <w:sz w:val="20"/>
                <w:szCs w:val="20"/>
              </w:rPr>
            </w:pPr>
            <w:r>
              <w:rPr>
                <w:rStyle w:val="24"/>
                <w:sz w:val="20"/>
                <w:szCs w:val="20"/>
              </w:rPr>
              <w:t>0,38</w:t>
            </w:r>
          </w:p>
          <w:p w14:paraId="2EE9B4C5">
            <w:pPr>
              <w:pStyle w:val="12"/>
              <w:shd w:val="clear" w:color="auto" w:fill="auto"/>
              <w:spacing w:line="240" w:lineRule="auto"/>
              <w:ind w:firstLine="0"/>
              <w:rPr>
                <w:sz w:val="20"/>
                <w:szCs w:val="20"/>
              </w:rPr>
            </w:pPr>
            <w:r>
              <w:rPr>
                <w:rStyle w:val="24"/>
                <w:sz w:val="20"/>
                <w:szCs w:val="20"/>
              </w:rPr>
              <w:t>(0,28, 0,51)</w:t>
            </w:r>
          </w:p>
        </w:tc>
        <w:tc>
          <w:tcPr>
            <w:tcW w:w="1253" w:type="dxa"/>
            <w:tcBorders>
              <w:top w:val="single" w:color="auto" w:sz="4" w:space="0"/>
              <w:left w:val="single" w:color="auto" w:sz="4" w:space="0"/>
              <w:right w:val="single" w:color="auto" w:sz="4" w:space="0"/>
            </w:tcBorders>
            <w:shd w:val="clear" w:color="auto" w:fill="FFFFFF"/>
          </w:tcPr>
          <w:p w14:paraId="56C8BD69">
            <w:pPr>
              <w:pStyle w:val="12"/>
              <w:shd w:val="clear" w:color="auto" w:fill="auto"/>
              <w:spacing w:line="240" w:lineRule="auto"/>
              <w:ind w:firstLine="0"/>
              <w:rPr>
                <w:sz w:val="20"/>
                <w:szCs w:val="20"/>
              </w:rPr>
            </w:pPr>
            <w:r>
              <w:rPr>
                <w:rStyle w:val="24"/>
                <w:sz w:val="20"/>
                <w:szCs w:val="20"/>
              </w:rPr>
              <w:t>&lt;0,0001</w:t>
            </w:r>
          </w:p>
        </w:tc>
      </w:tr>
      <w:tr w14:paraId="47A13C7C">
        <w:tblPrEx>
          <w:tblCellMar>
            <w:top w:w="0" w:type="dxa"/>
            <w:left w:w="10" w:type="dxa"/>
            <w:bottom w:w="0" w:type="dxa"/>
            <w:right w:w="10" w:type="dxa"/>
          </w:tblCellMar>
        </w:tblPrEx>
        <w:trPr>
          <w:trHeight w:val="264" w:hRule="atLeast"/>
        </w:trPr>
        <w:tc>
          <w:tcPr>
            <w:tcW w:w="8808" w:type="dxa"/>
            <w:gridSpan w:val="5"/>
            <w:tcBorders>
              <w:top w:val="single" w:color="auto" w:sz="4" w:space="0"/>
              <w:left w:val="single" w:color="auto" w:sz="4" w:space="0"/>
              <w:right w:val="single" w:color="auto" w:sz="4" w:space="0"/>
            </w:tcBorders>
            <w:shd w:val="clear" w:color="auto" w:fill="FFFFFF"/>
          </w:tcPr>
          <w:p w14:paraId="0E50AA4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0B090AE3">
        <w:tblPrEx>
          <w:tblCellMar>
            <w:top w:w="0" w:type="dxa"/>
            <w:left w:w="10" w:type="dxa"/>
            <w:bottom w:w="0" w:type="dxa"/>
            <w:right w:w="10" w:type="dxa"/>
          </w:tblCellMar>
        </w:tblPrEx>
        <w:trPr>
          <w:trHeight w:val="547" w:hRule="atLeast"/>
        </w:trPr>
        <w:tc>
          <w:tcPr>
            <w:tcW w:w="2515" w:type="dxa"/>
            <w:tcBorders>
              <w:top w:val="single" w:color="auto" w:sz="4" w:space="0"/>
              <w:left w:val="single" w:color="auto" w:sz="4" w:space="0"/>
              <w:bottom w:val="single" w:color="auto" w:sz="4" w:space="0"/>
            </w:tcBorders>
            <w:shd w:val="clear" w:color="auto" w:fill="FFFFFF"/>
          </w:tcPr>
          <w:p w14:paraId="0F9A40F5">
            <w:pPr>
              <w:pStyle w:val="12"/>
              <w:shd w:val="clear" w:color="auto" w:fill="auto"/>
              <w:spacing w:line="240" w:lineRule="auto"/>
              <w:ind w:firstLine="0"/>
              <w:jc w:val="both"/>
              <w:rPr>
                <w:sz w:val="20"/>
                <w:szCs w:val="20"/>
              </w:rPr>
            </w:pPr>
            <w:r>
              <w:rPr>
                <w:rStyle w:val="24"/>
                <w:sz w:val="20"/>
                <w:szCs w:val="20"/>
              </w:rPr>
              <w:t>Medijan ukupnog preživljavanja</w:t>
            </w:r>
          </w:p>
        </w:tc>
        <w:tc>
          <w:tcPr>
            <w:tcW w:w="1637" w:type="dxa"/>
            <w:tcBorders>
              <w:top w:val="single" w:color="auto" w:sz="4" w:space="0"/>
              <w:left w:val="single" w:color="auto" w:sz="4" w:space="0"/>
              <w:bottom w:val="single" w:color="auto" w:sz="4" w:space="0"/>
            </w:tcBorders>
            <w:shd w:val="clear" w:color="auto" w:fill="FFFFFF"/>
          </w:tcPr>
          <w:p w14:paraId="2BBABDAA">
            <w:pPr>
              <w:pStyle w:val="12"/>
              <w:shd w:val="clear" w:color="auto" w:fill="auto"/>
              <w:spacing w:line="240" w:lineRule="auto"/>
              <w:ind w:firstLine="0"/>
              <w:rPr>
                <w:rStyle w:val="24"/>
                <w:sz w:val="20"/>
                <w:szCs w:val="20"/>
              </w:rPr>
            </w:pPr>
            <w:r>
              <w:rPr>
                <w:rStyle w:val="24"/>
                <w:sz w:val="20"/>
                <w:szCs w:val="20"/>
              </w:rPr>
              <w:t>44,02</w:t>
            </w:r>
          </w:p>
          <w:p w14:paraId="360AE140">
            <w:pPr>
              <w:pStyle w:val="12"/>
              <w:shd w:val="clear" w:color="auto" w:fill="auto"/>
              <w:spacing w:line="240" w:lineRule="auto"/>
              <w:ind w:firstLine="0"/>
              <w:rPr>
                <w:sz w:val="20"/>
                <w:szCs w:val="20"/>
              </w:rPr>
            </w:pPr>
            <w:r>
              <w:rPr>
                <w:rStyle w:val="24"/>
                <w:sz w:val="20"/>
                <w:szCs w:val="20"/>
              </w:rPr>
              <w:t>(35,61, 51,75)</w:t>
            </w:r>
          </w:p>
        </w:tc>
        <w:tc>
          <w:tcPr>
            <w:tcW w:w="1536" w:type="dxa"/>
            <w:tcBorders>
              <w:top w:val="single" w:color="auto" w:sz="4" w:space="0"/>
              <w:left w:val="single" w:color="auto" w:sz="4" w:space="0"/>
              <w:bottom w:val="single" w:color="auto" w:sz="4" w:space="0"/>
            </w:tcBorders>
            <w:shd w:val="clear" w:color="auto" w:fill="FFFFFF"/>
          </w:tcPr>
          <w:p w14:paraId="5A701A75">
            <w:pPr>
              <w:pStyle w:val="12"/>
              <w:shd w:val="clear" w:color="auto" w:fill="auto"/>
              <w:spacing w:line="240" w:lineRule="auto"/>
              <w:ind w:firstLine="0"/>
              <w:rPr>
                <w:rStyle w:val="24"/>
                <w:sz w:val="20"/>
                <w:szCs w:val="20"/>
              </w:rPr>
            </w:pPr>
            <w:r>
              <w:rPr>
                <w:rStyle w:val="24"/>
                <w:sz w:val="20"/>
                <w:szCs w:val="20"/>
              </w:rPr>
              <w:t>37,68</w:t>
            </w:r>
          </w:p>
          <w:p w14:paraId="19B3DBEA">
            <w:pPr>
              <w:pStyle w:val="12"/>
              <w:shd w:val="clear" w:color="auto" w:fill="auto"/>
              <w:spacing w:line="240" w:lineRule="auto"/>
              <w:ind w:firstLine="0"/>
              <w:rPr>
                <w:sz w:val="20"/>
                <w:szCs w:val="20"/>
              </w:rPr>
            </w:pPr>
            <w:r>
              <w:rPr>
                <w:rStyle w:val="24"/>
                <w:sz w:val="20"/>
                <w:szCs w:val="20"/>
              </w:rPr>
              <w:t>(29,14, 45,77)</w:t>
            </w:r>
          </w:p>
        </w:tc>
        <w:tc>
          <w:tcPr>
            <w:tcW w:w="1867" w:type="dxa"/>
            <w:tcBorders>
              <w:top w:val="single" w:color="auto" w:sz="4" w:space="0"/>
              <w:left w:val="single" w:color="auto" w:sz="4" w:space="0"/>
              <w:bottom w:val="single" w:color="auto" w:sz="4" w:space="0"/>
            </w:tcBorders>
            <w:shd w:val="clear" w:color="auto" w:fill="FFFFFF"/>
          </w:tcPr>
          <w:p w14:paraId="24085895">
            <w:pPr>
              <w:pStyle w:val="12"/>
              <w:shd w:val="clear" w:color="auto" w:fill="auto"/>
              <w:spacing w:line="240" w:lineRule="auto"/>
              <w:ind w:firstLine="0"/>
              <w:rPr>
                <w:rStyle w:val="24"/>
                <w:sz w:val="20"/>
                <w:szCs w:val="20"/>
              </w:rPr>
            </w:pPr>
            <w:r>
              <w:rPr>
                <w:rStyle w:val="24"/>
                <w:sz w:val="20"/>
                <w:szCs w:val="20"/>
              </w:rPr>
              <w:t>0,94</w:t>
            </w:r>
          </w:p>
          <w:p w14:paraId="6F3B04EC">
            <w:pPr>
              <w:pStyle w:val="12"/>
              <w:shd w:val="clear" w:color="auto" w:fill="auto"/>
              <w:spacing w:line="240" w:lineRule="auto"/>
              <w:ind w:firstLine="0"/>
              <w:rPr>
                <w:sz w:val="20"/>
                <w:szCs w:val="20"/>
              </w:rPr>
            </w:pPr>
            <w:r>
              <w:rPr>
                <w:rStyle w:val="24"/>
                <w:sz w:val="20"/>
                <w:szCs w:val="20"/>
              </w:rPr>
              <w:t>(0,73, 1,20)</w:t>
            </w:r>
          </w:p>
        </w:tc>
        <w:tc>
          <w:tcPr>
            <w:tcW w:w="1253" w:type="dxa"/>
            <w:tcBorders>
              <w:top w:val="single" w:color="auto" w:sz="4" w:space="0"/>
              <w:left w:val="single" w:color="auto" w:sz="4" w:space="0"/>
              <w:bottom w:val="single" w:color="auto" w:sz="4" w:space="0"/>
              <w:right w:val="single" w:color="auto" w:sz="4" w:space="0"/>
            </w:tcBorders>
            <w:shd w:val="clear" w:color="auto" w:fill="FFFFFF"/>
          </w:tcPr>
          <w:p w14:paraId="4638C5CC">
            <w:pPr>
              <w:pStyle w:val="12"/>
              <w:shd w:val="clear" w:color="auto" w:fill="auto"/>
              <w:spacing w:line="240" w:lineRule="auto"/>
              <w:ind w:firstLine="0"/>
              <w:rPr>
                <w:sz w:val="20"/>
                <w:szCs w:val="20"/>
              </w:rPr>
            </w:pPr>
            <w:r>
              <w:rPr>
                <w:rStyle w:val="24"/>
                <w:sz w:val="20"/>
                <w:szCs w:val="20"/>
              </w:rPr>
              <w:t>0,300</w:t>
            </w:r>
          </w:p>
        </w:tc>
      </w:tr>
    </w:tbl>
    <w:p w14:paraId="2FA425E9">
      <w:pPr>
        <w:pStyle w:val="12"/>
        <w:shd w:val="clear" w:color="auto" w:fill="auto"/>
        <w:spacing w:line="240" w:lineRule="auto"/>
        <w:ind w:firstLine="0"/>
        <w:jc w:val="left"/>
        <w:rPr>
          <w:b/>
          <w:sz w:val="20"/>
          <w:szCs w:val="20"/>
        </w:rPr>
      </w:pPr>
    </w:p>
    <w:p w14:paraId="18071925">
      <w:pPr>
        <w:rPr>
          <w:rFonts w:ascii="Microsoft Sans Serif" w:hAnsi="Microsoft Sans Serif" w:eastAsia="Microsoft Sans Serif" w:cs="Microsoft Sans Serif"/>
          <w:b/>
          <w:sz w:val="20"/>
          <w:szCs w:val="20"/>
        </w:rPr>
      </w:pPr>
      <w:r>
        <w:rPr>
          <w:b/>
          <w:sz w:val="20"/>
          <w:szCs w:val="20"/>
        </w:rPr>
        <w:br w:type="page"/>
      </w:r>
    </w:p>
    <w:p w14:paraId="6BBDE57E">
      <w:pPr>
        <w:pStyle w:val="12"/>
        <w:shd w:val="clear" w:color="auto" w:fill="auto"/>
        <w:spacing w:line="240" w:lineRule="auto"/>
        <w:ind w:firstLine="0"/>
        <w:jc w:val="left"/>
        <w:rPr>
          <w:b/>
          <w:sz w:val="20"/>
          <w:szCs w:val="20"/>
        </w:rPr>
      </w:pPr>
      <w:r>
        <w:rPr>
          <w:b/>
          <w:sz w:val="20"/>
          <w:szCs w:val="20"/>
        </w:rPr>
        <w:t>Slika 3          RADIANT-3 - Kaplan-Meier</w:t>
      </w:r>
      <w:r>
        <w:rPr>
          <w:b/>
          <w:sz w:val="20"/>
          <w:szCs w:val="20"/>
          <w:lang w:val="mk-MK"/>
        </w:rPr>
        <w:t xml:space="preserve"> </w:t>
      </w:r>
      <w:r>
        <w:rPr>
          <w:b/>
          <w:sz w:val="20"/>
          <w:szCs w:val="20"/>
        </w:rPr>
        <w:t>ov</w:t>
      </w:r>
      <w:r>
        <w:rPr>
          <w:b/>
          <w:sz w:val="20"/>
          <w:szCs w:val="20"/>
          <w:lang w:val="mk-MK"/>
        </w:rPr>
        <w:t>а</w:t>
      </w:r>
      <w:r>
        <w:rPr>
          <w:b/>
          <w:sz w:val="20"/>
          <w:szCs w:val="20"/>
        </w:rPr>
        <w:t xml:space="preserve"> kriva preživljavanja bez progresije bolesti (radiološka procjena od strane ispitivača)</w:t>
      </w:r>
    </w:p>
    <w:p w14:paraId="544E8A0D">
      <w:pPr>
        <w:pStyle w:val="12"/>
        <w:shd w:val="clear" w:color="auto" w:fill="auto"/>
        <w:spacing w:line="240" w:lineRule="auto"/>
        <w:ind w:firstLine="0"/>
        <w:jc w:val="left"/>
        <w:rPr>
          <w:b/>
          <w:sz w:val="20"/>
          <w:szCs w:val="20"/>
        </w:rPr>
      </w:pPr>
    </w:p>
    <w:p w14:paraId="3A187E55">
      <w:pPr>
        <w:pStyle w:val="12"/>
        <w:shd w:val="clear" w:color="auto" w:fill="auto"/>
        <w:spacing w:line="240" w:lineRule="auto"/>
        <w:ind w:firstLine="0"/>
        <w:jc w:val="left"/>
        <w:rPr>
          <w:b/>
          <w:sz w:val="20"/>
          <w:szCs w:val="20"/>
        </w:rPr>
      </w:pPr>
      <w:r>
        <w:rPr>
          <w:szCs w:val="22"/>
          <w:lang w:val="en-US" w:eastAsia="en-US"/>
        </w:rPr>
        <w:drawing>
          <wp:inline distT="0" distB="0" distL="0" distR="0">
            <wp:extent cx="4959985"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62918" cy="3507051"/>
                    </a:xfrm>
                    <a:prstGeom prst="rect">
                      <a:avLst/>
                    </a:prstGeom>
                    <a:noFill/>
                    <a:ln>
                      <a:noFill/>
                    </a:ln>
                  </pic:spPr>
                </pic:pic>
              </a:graphicData>
            </a:graphic>
          </wp:inline>
        </w:drawing>
      </w:r>
    </w:p>
    <w:p w14:paraId="58B34A22">
      <w:pPr>
        <w:pStyle w:val="12"/>
        <w:shd w:val="clear" w:color="auto" w:fill="auto"/>
        <w:spacing w:line="240" w:lineRule="auto"/>
        <w:ind w:firstLine="0"/>
        <w:jc w:val="both"/>
        <w:rPr>
          <w:rStyle w:val="27"/>
          <w:spacing w:val="0"/>
        </w:rPr>
      </w:pPr>
    </w:p>
    <w:p w14:paraId="712FF096">
      <w:pPr>
        <w:pStyle w:val="12"/>
        <w:shd w:val="clear" w:color="auto" w:fill="auto"/>
        <w:spacing w:line="240" w:lineRule="auto"/>
        <w:ind w:firstLine="0"/>
        <w:jc w:val="both"/>
        <w:rPr>
          <w:rStyle w:val="27"/>
          <w:spacing w:val="0"/>
          <w:u w:val="single"/>
        </w:rPr>
      </w:pPr>
      <w:r>
        <w:rPr>
          <w:rStyle w:val="27"/>
          <w:spacing w:val="0"/>
          <w:u w:val="single"/>
        </w:rPr>
        <w:t xml:space="preserve">Uznapredovali neuroendokrini tumori </w:t>
      </w:r>
      <w:r>
        <w:rPr>
          <w:rStyle w:val="27"/>
          <w:spacing w:val="0"/>
          <w:u w:val="single"/>
          <w:lang w:val="hr-BA"/>
        </w:rPr>
        <w:t>gastrointestinalnog ili pulmonarnog porijekla</w:t>
      </w:r>
      <w:r>
        <w:rPr>
          <w:rStyle w:val="27"/>
          <w:spacing w:val="0"/>
          <w:u w:val="single"/>
        </w:rPr>
        <w:t xml:space="preserve"> </w:t>
      </w:r>
    </w:p>
    <w:p w14:paraId="572D9C75">
      <w:pPr>
        <w:pStyle w:val="12"/>
        <w:shd w:val="clear" w:color="auto" w:fill="auto"/>
        <w:spacing w:line="240" w:lineRule="auto"/>
        <w:ind w:firstLine="0"/>
        <w:jc w:val="both"/>
        <w:rPr>
          <w:sz w:val="20"/>
          <w:szCs w:val="20"/>
        </w:rPr>
      </w:pPr>
      <w:r>
        <w:rPr>
          <w:sz w:val="20"/>
          <w:szCs w:val="20"/>
        </w:rPr>
        <w:t xml:space="preserve">RADIANT-4 (ispitivanje CRAD001T2302), randomizirano, dvostruko slijepo, multicentrično ispitivanje faze III u kojem je upoređivana kombinacija everolimusa i najbolje suportivno njege(BSC, engl. </w:t>
      </w:r>
      <w:r>
        <w:rPr>
          <w:i/>
          <w:sz w:val="20"/>
          <w:szCs w:val="20"/>
        </w:rPr>
        <w:t>best supportive care</w:t>
      </w:r>
      <w:r>
        <w:rPr>
          <w:szCs w:val="22"/>
        </w:rPr>
        <w:t>)</w:t>
      </w:r>
      <w:r>
        <w:rPr>
          <w:sz w:val="20"/>
          <w:szCs w:val="20"/>
        </w:rPr>
        <w:t xml:space="preserve"> u odosu na  kombinacijom placeba i BSC, sprovedeno je kod pacijenata sa uznapredovalim, dobro diferenciranim (stepen 1 ili stepen 2) nefunkcionalnim neuroendokrinim tumorima sa primarnim porijeklom u gastrointestinalnom traktu ili plućima bez karcinoidnog sindroma u anamnezi ili aktivnih simptoma povezanih sa karcinoidnim sindromom.</w:t>
      </w:r>
    </w:p>
    <w:p w14:paraId="0BD818FC">
      <w:pPr>
        <w:pStyle w:val="12"/>
        <w:shd w:val="clear" w:color="auto" w:fill="auto"/>
        <w:spacing w:line="240" w:lineRule="auto"/>
        <w:ind w:firstLine="0"/>
        <w:jc w:val="both"/>
        <w:rPr>
          <w:sz w:val="20"/>
          <w:szCs w:val="20"/>
        </w:rPr>
      </w:pPr>
      <w:r>
        <w:rPr>
          <w:sz w:val="20"/>
          <w:szCs w:val="20"/>
        </w:rPr>
        <w:t xml:space="preserve">Primarni parametar praćenja ishoda ispitivanja bilo je preživljavanje bez progresije (PFS) procijenjeno prema RECIST (engl. </w:t>
      </w:r>
      <w:r>
        <w:rPr>
          <w:rStyle w:val="27"/>
          <w:spacing w:val="0"/>
        </w:rPr>
        <w:t>Response Evaluation Criteria in Solid Tumors)</w:t>
      </w:r>
      <w:r>
        <w:rPr>
          <w:sz w:val="20"/>
          <w:szCs w:val="20"/>
        </w:rPr>
        <w:t xml:space="preserve"> kriterijima, na temelju nezavisne radiološke ocjene. Suportivna analiza PFS-a temeljila se na procjeni lokalnog ispitivača. Sekundarni parametri praćenja ishoda ispitivanja uključivali su ukupno preživljavanje, ukupnu stopu odgovora, stopu kontrole bolesti, bezbjednost, promjenu u kvalitetu života (FACT-G) i vrijeme do pogoršanja funkcionalnog stanja prema SZO-u (FS SZO).</w:t>
      </w:r>
    </w:p>
    <w:p w14:paraId="7C434546">
      <w:pPr>
        <w:pStyle w:val="12"/>
        <w:shd w:val="clear" w:color="auto" w:fill="auto"/>
        <w:spacing w:line="240" w:lineRule="auto"/>
        <w:ind w:firstLine="0"/>
        <w:jc w:val="both"/>
        <w:rPr>
          <w:sz w:val="20"/>
          <w:szCs w:val="20"/>
        </w:rPr>
      </w:pPr>
      <w:r>
        <w:rPr>
          <w:sz w:val="20"/>
          <w:szCs w:val="20"/>
        </w:rPr>
        <w:t xml:space="preserve">Ukupno je 302 pacijenata bilo randomizirano u omjeru 2:1 u grupu koja je primala everolimus (10 mg na dan) (n=205) ili placebo (n=97). Demografski podaci i karakteristike bolesti bili su uglavnom uravnoteženi (medijana starosti od 63 godine [raspon 22 do 86], 76% bijelci, prethodna upotreba analoga somatostatina [SSA]). Medijana trajanja slijepog dijela ispitivanja iznosio je 40,4 nedelje za pacijente koji su primali everolimus i 19,6 nedelje za one koji su primali placebo. Nakon primarne PFS analize, 6 pacijenata iz placebo grupe prešlo je na everolimus u otvorenom dijelu ispitivanja. </w:t>
      </w:r>
    </w:p>
    <w:p w14:paraId="3BC58471">
      <w:pPr>
        <w:pStyle w:val="12"/>
        <w:shd w:val="clear" w:color="auto" w:fill="auto"/>
        <w:spacing w:line="240" w:lineRule="auto"/>
        <w:ind w:firstLine="0"/>
        <w:jc w:val="both"/>
        <w:rPr>
          <w:sz w:val="20"/>
          <w:szCs w:val="20"/>
        </w:rPr>
      </w:pPr>
      <w:r>
        <w:rPr>
          <w:sz w:val="20"/>
          <w:szCs w:val="20"/>
        </w:rPr>
        <w:t>Rezultati efikasnosti za PFS (nezavisna radiološka procjena) kao mjeru primarnog parametra praćenja ishoda dobijeni su iz završne analize PFS-a (pogledati Tablicu 6 i Sliku 4). Rezultati efikasnosti za PFS (radiološka procjena od strane ispitivača) dobijeni su iz završne OS analize (pogledati tabelu 6).</w:t>
      </w:r>
    </w:p>
    <w:p w14:paraId="312EF1C5">
      <w:pPr>
        <w:rPr>
          <w:rFonts w:ascii="Microsoft Sans Serif" w:hAnsi="Microsoft Sans Serif" w:eastAsia="Microsoft Sans Serif" w:cs="Microsoft Sans Serif"/>
          <w:b/>
          <w:sz w:val="20"/>
          <w:szCs w:val="20"/>
        </w:rPr>
      </w:pPr>
      <w:r>
        <w:rPr>
          <w:b/>
          <w:sz w:val="20"/>
          <w:szCs w:val="20"/>
        </w:rPr>
        <w:br w:type="page"/>
      </w:r>
    </w:p>
    <w:p w14:paraId="1DB7C2D0">
      <w:pPr>
        <w:pStyle w:val="23"/>
        <w:shd w:val="clear" w:color="auto" w:fill="auto"/>
        <w:spacing w:line="240" w:lineRule="auto"/>
        <w:jc w:val="both"/>
        <w:rPr>
          <w:b/>
          <w:sz w:val="20"/>
          <w:szCs w:val="20"/>
        </w:rPr>
      </w:pPr>
      <w:r>
        <w:rPr>
          <w:b/>
          <w:sz w:val="20"/>
          <w:szCs w:val="20"/>
        </w:rPr>
        <w:t>Tablica 6 RADIANT-4 - Rezultati preživlj</w:t>
      </w:r>
      <w:r>
        <w:rPr>
          <w:b/>
          <w:sz w:val="20"/>
          <w:szCs w:val="20"/>
          <w:lang w:val="en-US"/>
        </w:rPr>
        <w:t>ava</w:t>
      </w:r>
      <w:r>
        <w:rPr>
          <w:b/>
          <w:sz w:val="20"/>
          <w:szCs w:val="20"/>
        </w:rPr>
        <w:t>nje bez progresije bolesti</w:t>
      </w:r>
    </w:p>
    <w:tbl>
      <w:tblPr>
        <w:tblStyle w:val="3"/>
        <w:tblW w:w="0" w:type="auto"/>
        <w:tblInd w:w="10" w:type="dxa"/>
        <w:tblLayout w:type="fixed"/>
        <w:tblCellMar>
          <w:top w:w="0" w:type="dxa"/>
          <w:left w:w="10" w:type="dxa"/>
          <w:bottom w:w="0" w:type="dxa"/>
          <w:right w:w="10" w:type="dxa"/>
        </w:tblCellMar>
      </w:tblPr>
      <w:tblGrid>
        <w:gridCol w:w="2525"/>
        <w:gridCol w:w="1709"/>
        <w:gridCol w:w="1694"/>
        <w:gridCol w:w="1699"/>
        <w:gridCol w:w="1574"/>
      </w:tblGrid>
      <w:tr w14:paraId="0B182B5D">
        <w:tblPrEx>
          <w:tblCellMar>
            <w:top w:w="0" w:type="dxa"/>
            <w:left w:w="10" w:type="dxa"/>
            <w:bottom w:w="0" w:type="dxa"/>
            <w:right w:w="10" w:type="dxa"/>
          </w:tblCellMar>
        </w:tblPrEx>
        <w:trPr>
          <w:trHeight w:val="538" w:hRule="atLeast"/>
        </w:trPr>
        <w:tc>
          <w:tcPr>
            <w:tcW w:w="2525" w:type="dxa"/>
            <w:tcBorders>
              <w:top w:val="single" w:color="auto" w:sz="4" w:space="0"/>
              <w:left w:val="single" w:color="auto" w:sz="4" w:space="0"/>
            </w:tcBorders>
            <w:shd w:val="clear" w:color="auto" w:fill="FFFFFF"/>
          </w:tcPr>
          <w:p w14:paraId="3C1AD4FA">
            <w:pPr>
              <w:pStyle w:val="12"/>
              <w:shd w:val="clear" w:color="auto" w:fill="auto"/>
              <w:spacing w:line="240" w:lineRule="auto"/>
              <w:ind w:firstLine="0"/>
              <w:jc w:val="both"/>
              <w:rPr>
                <w:b/>
                <w:sz w:val="20"/>
                <w:szCs w:val="20"/>
              </w:rPr>
            </w:pPr>
            <w:r>
              <w:rPr>
                <w:rStyle w:val="24"/>
                <w:b/>
                <w:sz w:val="20"/>
                <w:szCs w:val="20"/>
              </w:rPr>
              <w:t>Populacija</w:t>
            </w:r>
          </w:p>
        </w:tc>
        <w:tc>
          <w:tcPr>
            <w:tcW w:w="1709" w:type="dxa"/>
            <w:tcBorders>
              <w:top w:val="single" w:color="auto" w:sz="4" w:space="0"/>
              <w:left w:val="single" w:color="auto" w:sz="4" w:space="0"/>
            </w:tcBorders>
            <w:shd w:val="clear" w:color="auto" w:fill="FFFFFF"/>
          </w:tcPr>
          <w:p w14:paraId="6C694512">
            <w:pPr>
              <w:pStyle w:val="12"/>
              <w:shd w:val="clear" w:color="auto" w:fill="auto"/>
              <w:spacing w:line="240" w:lineRule="auto"/>
              <w:ind w:firstLine="0"/>
              <w:rPr>
                <w:b/>
                <w:sz w:val="20"/>
                <w:szCs w:val="20"/>
              </w:rPr>
            </w:pPr>
            <w:r>
              <w:rPr>
                <w:rStyle w:val="24"/>
                <w:b/>
                <w:sz w:val="20"/>
                <w:szCs w:val="20"/>
              </w:rPr>
              <w:t>Everolimus</w:t>
            </w:r>
          </w:p>
          <w:p w14:paraId="1D8BC3F8">
            <w:pPr>
              <w:pStyle w:val="12"/>
              <w:shd w:val="clear" w:color="auto" w:fill="auto"/>
              <w:spacing w:line="240" w:lineRule="auto"/>
              <w:ind w:firstLine="0"/>
              <w:rPr>
                <w:b/>
                <w:sz w:val="20"/>
                <w:szCs w:val="20"/>
              </w:rPr>
            </w:pPr>
            <w:r>
              <w:rPr>
                <w:rStyle w:val="24"/>
                <w:b/>
                <w:sz w:val="20"/>
                <w:szCs w:val="20"/>
              </w:rPr>
              <w:t>n=205</w:t>
            </w:r>
          </w:p>
        </w:tc>
        <w:tc>
          <w:tcPr>
            <w:tcW w:w="1694" w:type="dxa"/>
            <w:tcBorders>
              <w:top w:val="single" w:color="auto" w:sz="4" w:space="0"/>
              <w:left w:val="single" w:color="auto" w:sz="4" w:space="0"/>
            </w:tcBorders>
            <w:shd w:val="clear" w:color="auto" w:fill="FFFFFF"/>
          </w:tcPr>
          <w:p w14:paraId="15E9C176">
            <w:pPr>
              <w:pStyle w:val="12"/>
              <w:shd w:val="clear" w:color="auto" w:fill="auto"/>
              <w:spacing w:line="240" w:lineRule="auto"/>
              <w:ind w:firstLine="0"/>
              <w:rPr>
                <w:b/>
                <w:sz w:val="20"/>
                <w:szCs w:val="20"/>
              </w:rPr>
            </w:pPr>
            <w:r>
              <w:rPr>
                <w:rStyle w:val="24"/>
                <w:b/>
                <w:sz w:val="20"/>
                <w:szCs w:val="20"/>
              </w:rPr>
              <w:t>Placebo</w:t>
            </w:r>
          </w:p>
          <w:p w14:paraId="43AF8078">
            <w:pPr>
              <w:pStyle w:val="12"/>
              <w:shd w:val="clear" w:color="auto" w:fill="auto"/>
              <w:spacing w:line="240" w:lineRule="auto"/>
              <w:ind w:firstLine="0"/>
              <w:rPr>
                <w:b/>
                <w:sz w:val="20"/>
                <w:szCs w:val="20"/>
              </w:rPr>
            </w:pPr>
            <w:r>
              <w:rPr>
                <w:rStyle w:val="24"/>
                <w:b/>
                <w:sz w:val="20"/>
                <w:szCs w:val="20"/>
              </w:rPr>
              <w:t>n=97</w:t>
            </w:r>
          </w:p>
        </w:tc>
        <w:tc>
          <w:tcPr>
            <w:tcW w:w="1699" w:type="dxa"/>
            <w:tcBorders>
              <w:top w:val="single" w:color="auto" w:sz="4" w:space="0"/>
              <w:left w:val="single" w:color="auto" w:sz="4" w:space="0"/>
            </w:tcBorders>
            <w:shd w:val="clear" w:color="auto" w:fill="FFFFFF"/>
          </w:tcPr>
          <w:p w14:paraId="3EE042B3">
            <w:pPr>
              <w:pStyle w:val="12"/>
              <w:shd w:val="clear" w:color="auto" w:fill="auto"/>
              <w:spacing w:line="240" w:lineRule="auto"/>
              <w:ind w:firstLine="0"/>
              <w:rPr>
                <w:b/>
                <w:sz w:val="20"/>
                <w:szCs w:val="20"/>
              </w:rPr>
            </w:pPr>
            <w:r>
              <w:rPr>
                <w:rStyle w:val="24"/>
                <w:b/>
                <w:sz w:val="20"/>
                <w:szCs w:val="20"/>
              </w:rPr>
              <w:t>Omjer hazarda (95% CI)</w:t>
            </w:r>
          </w:p>
        </w:tc>
        <w:tc>
          <w:tcPr>
            <w:tcW w:w="1574" w:type="dxa"/>
            <w:tcBorders>
              <w:top w:val="single" w:color="auto" w:sz="4" w:space="0"/>
              <w:left w:val="single" w:color="auto" w:sz="4" w:space="0"/>
              <w:right w:val="single" w:color="auto" w:sz="4" w:space="0"/>
            </w:tcBorders>
            <w:shd w:val="clear" w:color="auto" w:fill="FFFFFF"/>
          </w:tcPr>
          <w:p w14:paraId="3C6BB554">
            <w:pPr>
              <w:pStyle w:val="12"/>
              <w:shd w:val="clear" w:color="auto" w:fill="auto"/>
              <w:spacing w:line="240" w:lineRule="auto"/>
              <w:ind w:firstLine="0"/>
              <w:rPr>
                <w:b/>
                <w:sz w:val="20"/>
                <w:szCs w:val="20"/>
              </w:rPr>
            </w:pPr>
            <w:r>
              <w:rPr>
                <w:rStyle w:val="24"/>
                <w:b/>
                <w:sz w:val="20"/>
                <w:szCs w:val="20"/>
              </w:rPr>
              <w:t>p-vrijednost</w:t>
            </w:r>
            <w:r>
              <w:rPr>
                <w:rStyle w:val="24"/>
                <w:b/>
                <w:sz w:val="20"/>
                <w:szCs w:val="20"/>
                <w:vertAlign w:val="superscript"/>
              </w:rPr>
              <w:t>a</w:t>
            </w:r>
          </w:p>
        </w:tc>
      </w:tr>
      <w:tr w14:paraId="5E5D3A28">
        <w:tblPrEx>
          <w:tblCellMar>
            <w:top w:w="0" w:type="dxa"/>
            <w:left w:w="10" w:type="dxa"/>
            <w:bottom w:w="0" w:type="dxa"/>
            <w:right w:w="10" w:type="dxa"/>
          </w:tblCellMar>
        </w:tblPrEx>
        <w:trPr>
          <w:trHeight w:val="317" w:hRule="atLeast"/>
        </w:trPr>
        <w:tc>
          <w:tcPr>
            <w:tcW w:w="9201" w:type="dxa"/>
            <w:gridSpan w:val="5"/>
            <w:tcBorders>
              <w:top w:val="single" w:color="auto" w:sz="4" w:space="0"/>
              <w:left w:val="single" w:color="auto" w:sz="4" w:space="0"/>
              <w:right w:val="single" w:color="auto" w:sz="4" w:space="0"/>
            </w:tcBorders>
            <w:shd w:val="clear" w:color="auto" w:fill="FFFFFF"/>
          </w:tcPr>
          <w:p w14:paraId="0C276513">
            <w:pPr>
              <w:pStyle w:val="12"/>
              <w:shd w:val="clear" w:color="auto" w:fill="auto"/>
              <w:spacing w:line="240" w:lineRule="auto"/>
              <w:ind w:firstLine="0"/>
              <w:jc w:val="both"/>
              <w:rPr>
                <w:b/>
                <w:sz w:val="20"/>
                <w:szCs w:val="20"/>
              </w:rPr>
            </w:pPr>
            <w:r>
              <w:rPr>
                <w:rStyle w:val="24"/>
                <w:b/>
                <w:sz w:val="20"/>
                <w:szCs w:val="20"/>
              </w:rPr>
              <w:t>Medijan</w:t>
            </w:r>
            <w:r>
              <w:rPr>
                <w:rStyle w:val="24"/>
                <w:b/>
                <w:sz w:val="20"/>
                <w:szCs w:val="20"/>
                <w:lang w:val="mk-MK"/>
              </w:rPr>
              <w:t>а</w:t>
            </w:r>
            <w:r>
              <w:rPr>
                <w:rStyle w:val="24"/>
                <w:b/>
                <w:sz w:val="20"/>
                <w:szCs w:val="20"/>
              </w:rPr>
              <w:t xml:space="preserve"> preživljavanja bez progresije bolesti (m</w:t>
            </w:r>
            <w:r>
              <w:rPr>
                <w:rStyle w:val="24"/>
                <w:b/>
                <w:sz w:val="20"/>
                <w:szCs w:val="20"/>
                <w:lang w:val="mk-MK"/>
              </w:rPr>
              <w:t>ј</w:t>
            </w:r>
            <w:r>
              <w:rPr>
                <w:rStyle w:val="24"/>
                <w:b/>
                <w:sz w:val="20"/>
                <w:szCs w:val="20"/>
              </w:rPr>
              <w:t>eseci) (95% CI)</w:t>
            </w:r>
          </w:p>
        </w:tc>
      </w:tr>
      <w:tr w14:paraId="257CCF94">
        <w:tblPrEx>
          <w:tblCellMar>
            <w:top w:w="0" w:type="dxa"/>
            <w:left w:w="10" w:type="dxa"/>
            <w:bottom w:w="0" w:type="dxa"/>
            <w:right w:w="10" w:type="dxa"/>
          </w:tblCellMar>
        </w:tblPrEx>
        <w:trPr>
          <w:trHeight w:val="590" w:hRule="atLeast"/>
        </w:trPr>
        <w:tc>
          <w:tcPr>
            <w:tcW w:w="2525" w:type="dxa"/>
            <w:tcBorders>
              <w:top w:val="single" w:color="auto" w:sz="4" w:space="0"/>
              <w:left w:val="single" w:color="auto" w:sz="4" w:space="0"/>
            </w:tcBorders>
            <w:shd w:val="clear" w:color="auto" w:fill="FFFFFF"/>
          </w:tcPr>
          <w:p w14:paraId="398CE979">
            <w:pPr>
              <w:pStyle w:val="12"/>
              <w:shd w:val="clear" w:color="auto" w:fill="auto"/>
              <w:spacing w:line="240" w:lineRule="auto"/>
              <w:ind w:firstLine="0"/>
              <w:jc w:val="left"/>
              <w:rPr>
                <w:sz w:val="20"/>
                <w:szCs w:val="20"/>
              </w:rPr>
            </w:pPr>
            <w:r>
              <w:rPr>
                <w:rStyle w:val="24"/>
                <w:sz w:val="20"/>
                <w:szCs w:val="20"/>
              </w:rPr>
              <w:t>Nezavisna radiološka procjena</w:t>
            </w:r>
          </w:p>
        </w:tc>
        <w:tc>
          <w:tcPr>
            <w:tcW w:w="1709" w:type="dxa"/>
            <w:tcBorders>
              <w:top w:val="single" w:color="auto" w:sz="4" w:space="0"/>
              <w:left w:val="single" w:color="auto" w:sz="4" w:space="0"/>
            </w:tcBorders>
            <w:shd w:val="clear" w:color="auto" w:fill="FFFFFF"/>
          </w:tcPr>
          <w:p w14:paraId="6DE591BC">
            <w:pPr>
              <w:pStyle w:val="12"/>
              <w:shd w:val="clear" w:color="auto" w:fill="auto"/>
              <w:spacing w:line="240" w:lineRule="auto"/>
              <w:ind w:firstLine="0"/>
              <w:rPr>
                <w:rStyle w:val="24"/>
                <w:sz w:val="20"/>
                <w:szCs w:val="20"/>
              </w:rPr>
            </w:pPr>
            <w:r>
              <w:rPr>
                <w:rStyle w:val="24"/>
                <w:sz w:val="20"/>
                <w:szCs w:val="20"/>
              </w:rPr>
              <w:t>11,01</w:t>
            </w:r>
          </w:p>
          <w:p w14:paraId="1B14BDC7">
            <w:pPr>
              <w:pStyle w:val="12"/>
              <w:shd w:val="clear" w:color="auto" w:fill="auto"/>
              <w:spacing w:line="240" w:lineRule="auto"/>
              <w:ind w:firstLine="0"/>
              <w:rPr>
                <w:sz w:val="20"/>
                <w:szCs w:val="20"/>
              </w:rPr>
            </w:pPr>
            <w:r>
              <w:rPr>
                <w:rStyle w:val="24"/>
                <w:sz w:val="20"/>
                <w:szCs w:val="20"/>
              </w:rPr>
              <w:t>(9,2, 13,3)</w:t>
            </w:r>
          </w:p>
        </w:tc>
        <w:tc>
          <w:tcPr>
            <w:tcW w:w="1694" w:type="dxa"/>
            <w:tcBorders>
              <w:top w:val="single" w:color="auto" w:sz="4" w:space="0"/>
              <w:left w:val="single" w:color="auto" w:sz="4" w:space="0"/>
            </w:tcBorders>
            <w:shd w:val="clear" w:color="auto" w:fill="FFFFFF"/>
          </w:tcPr>
          <w:p w14:paraId="05C1451A">
            <w:pPr>
              <w:pStyle w:val="12"/>
              <w:shd w:val="clear" w:color="auto" w:fill="auto"/>
              <w:spacing w:line="240" w:lineRule="auto"/>
              <w:ind w:firstLine="0"/>
              <w:rPr>
                <w:rStyle w:val="24"/>
                <w:sz w:val="20"/>
                <w:szCs w:val="20"/>
              </w:rPr>
            </w:pPr>
            <w:r>
              <w:rPr>
                <w:rStyle w:val="24"/>
                <w:sz w:val="20"/>
                <w:szCs w:val="20"/>
              </w:rPr>
              <w:t>3,91</w:t>
            </w:r>
          </w:p>
          <w:p w14:paraId="6284A6B3">
            <w:pPr>
              <w:pStyle w:val="12"/>
              <w:shd w:val="clear" w:color="auto" w:fill="auto"/>
              <w:spacing w:line="240" w:lineRule="auto"/>
              <w:ind w:firstLine="0"/>
              <w:rPr>
                <w:sz w:val="20"/>
                <w:szCs w:val="20"/>
              </w:rPr>
            </w:pPr>
            <w:r>
              <w:rPr>
                <w:rStyle w:val="24"/>
                <w:sz w:val="20"/>
                <w:szCs w:val="20"/>
              </w:rPr>
              <w:t>(3,6, 7,4)</w:t>
            </w:r>
          </w:p>
        </w:tc>
        <w:tc>
          <w:tcPr>
            <w:tcW w:w="1699" w:type="dxa"/>
            <w:tcBorders>
              <w:top w:val="single" w:color="auto" w:sz="4" w:space="0"/>
              <w:left w:val="single" w:color="auto" w:sz="4" w:space="0"/>
            </w:tcBorders>
            <w:shd w:val="clear" w:color="auto" w:fill="FFFFFF"/>
          </w:tcPr>
          <w:p w14:paraId="15FBF9F8">
            <w:pPr>
              <w:pStyle w:val="12"/>
              <w:shd w:val="clear" w:color="auto" w:fill="auto"/>
              <w:spacing w:line="240" w:lineRule="auto"/>
              <w:ind w:firstLine="0"/>
              <w:rPr>
                <w:rStyle w:val="24"/>
                <w:sz w:val="20"/>
                <w:szCs w:val="20"/>
              </w:rPr>
            </w:pPr>
            <w:r>
              <w:rPr>
                <w:rStyle w:val="24"/>
                <w:sz w:val="20"/>
                <w:szCs w:val="20"/>
              </w:rPr>
              <w:t>0,48</w:t>
            </w:r>
          </w:p>
          <w:p w14:paraId="7EB169DE">
            <w:pPr>
              <w:pStyle w:val="12"/>
              <w:shd w:val="clear" w:color="auto" w:fill="auto"/>
              <w:spacing w:line="240" w:lineRule="auto"/>
              <w:ind w:firstLine="0"/>
              <w:rPr>
                <w:sz w:val="20"/>
                <w:szCs w:val="20"/>
              </w:rPr>
            </w:pPr>
            <w:r>
              <w:rPr>
                <w:rStyle w:val="24"/>
                <w:sz w:val="20"/>
                <w:szCs w:val="20"/>
              </w:rPr>
              <w:t>(0,35, 0,67)</w:t>
            </w:r>
          </w:p>
        </w:tc>
        <w:tc>
          <w:tcPr>
            <w:tcW w:w="1574" w:type="dxa"/>
            <w:tcBorders>
              <w:top w:val="single" w:color="auto" w:sz="4" w:space="0"/>
              <w:left w:val="single" w:color="auto" w:sz="4" w:space="0"/>
              <w:right w:val="single" w:color="auto" w:sz="4" w:space="0"/>
            </w:tcBorders>
            <w:shd w:val="clear" w:color="auto" w:fill="FFFFFF"/>
          </w:tcPr>
          <w:p w14:paraId="7737747D">
            <w:pPr>
              <w:pStyle w:val="12"/>
              <w:shd w:val="clear" w:color="auto" w:fill="auto"/>
              <w:spacing w:line="240" w:lineRule="auto"/>
              <w:ind w:firstLine="0"/>
              <w:rPr>
                <w:sz w:val="20"/>
                <w:szCs w:val="20"/>
              </w:rPr>
            </w:pPr>
            <w:r>
              <w:rPr>
                <w:rStyle w:val="24"/>
                <w:sz w:val="20"/>
                <w:szCs w:val="20"/>
              </w:rPr>
              <w:t>&lt;0,0001</w:t>
            </w:r>
          </w:p>
        </w:tc>
      </w:tr>
      <w:tr w14:paraId="168F7315">
        <w:tblPrEx>
          <w:tblCellMar>
            <w:top w:w="0" w:type="dxa"/>
            <w:left w:w="10" w:type="dxa"/>
            <w:bottom w:w="0" w:type="dxa"/>
            <w:right w:w="10" w:type="dxa"/>
          </w:tblCellMar>
        </w:tblPrEx>
        <w:trPr>
          <w:trHeight w:val="528" w:hRule="atLeast"/>
        </w:trPr>
        <w:tc>
          <w:tcPr>
            <w:tcW w:w="2525" w:type="dxa"/>
            <w:tcBorders>
              <w:top w:val="single" w:color="auto" w:sz="4" w:space="0"/>
              <w:left w:val="single" w:color="auto" w:sz="4" w:space="0"/>
            </w:tcBorders>
            <w:shd w:val="clear" w:color="auto" w:fill="FFFFFF"/>
          </w:tcPr>
          <w:p w14:paraId="40343775">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709" w:type="dxa"/>
            <w:tcBorders>
              <w:top w:val="single" w:color="auto" w:sz="4" w:space="0"/>
              <w:left w:val="single" w:color="auto" w:sz="4" w:space="0"/>
            </w:tcBorders>
            <w:shd w:val="clear" w:color="auto" w:fill="FFFFFF"/>
          </w:tcPr>
          <w:p w14:paraId="2E40636A">
            <w:pPr>
              <w:widowControl/>
              <w:autoSpaceDE w:val="0"/>
              <w:autoSpaceDN w:val="0"/>
              <w:adjustRightInd w:val="0"/>
              <w:jc w:val="center"/>
              <w:rPr>
                <w:rFonts w:ascii="Microsoft Sans Serif" w:hAnsi="Microsoft Sans Serif" w:eastAsia="Times New Roman" w:cs="Microsoft Sans Serif"/>
                <w:color w:val="auto"/>
                <w:sz w:val="20"/>
                <w:szCs w:val="20"/>
                <w:lang w:val="en-GB" w:eastAsia="en-US"/>
              </w:rPr>
            </w:pPr>
            <w:r>
              <w:rPr>
                <w:rFonts w:ascii="Microsoft Sans Serif" w:hAnsi="Microsoft Sans Serif" w:eastAsia="Times New Roman" w:cs="Microsoft Sans Serif"/>
                <w:color w:val="auto"/>
                <w:sz w:val="20"/>
                <w:szCs w:val="20"/>
                <w:lang w:val="en-GB" w:eastAsia="en-US"/>
              </w:rPr>
              <w:t>14,39</w:t>
            </w:r>
          </w:p>
          <w:p w14:paraId="7732A02A">
            <w:pPr>
              <w:widowControl/>
              <w:autoSpaceDE w:val="0"/>
              <w:autoSpaceDN w:val="0"/>
              <w:adjustRightInd w:val="0"/>
              <w:jc w:val="center"/>
              <w:rPr>
                <w:rFonts w:ascii="Microsoft Sans Serif" w:hAnsi="Microsoft Sans Serif" w:cs="Microsoft Sans Serif"/>
                <w:sz w:val="20"/>
                <w:szCs w:val="20"/>
              </w:rPr>
            </w:pPr>
            <w:r>
              <w:rPr>
                <w:rFonts w:ascii="Microsoft Sans Serif" w:hAnsi="Microsoft Sans Serif" w:eastAsia="Times New Roman" w:cs="Microsoft Sans Serif"/>
                <w:color w:val="auto"/>
                <w:sz w:val="20"/>
                <w:szCs w:val="20"/>
                <w:lang w:val="en-GB" w:eastAsia="en-US"/>
              </w:rPr>
              <w:t>(11,24, 17,97)</w:t>
            </w:r>
          </w:p>
        </w:tc>
        <w:tc>
          <w:tcPr>
            <w:tcW w:w="1694" w:type="dxa"/>
            <w:tcBorders>
              <w:top w:val="single" w:color="auto" w:sz="4" w:space="0"/>
              <w:left w:val="single" w:color="auto" w:sz="4" w:space="0"/>
            </w:tcBorders>
            <w:shd w:val="clear" w:color="auto" w:fill="FFFFFF"/>
          </w:tcPr>
          <w:p w14:paraId="6C37501C">
            <w:pPr>
              <w:pStyle w:val="12"/>
              <w:shd w:val="clear" w:color="auto" w:fill="auto"/>
              <w:spacing w:line="240" w:lineRule="auto"/>
              <w:ind w:firstLine="0"/>
              <w:rPr>
                <w:rStyle w:val="24"/>
                <w:sz w:val="20"/>
                <w:szCs w:val="20"/>
              </w:rPr>
            </w:pPr>
            <w:r>
              <w:rPr>
                <w:rStyle w:val="24"/>
                <w:sz w:val="20"/>
                <w:szCs w:val="20"/>
              </w:rPr>
              <w:t>5,45</w:t>
            </w:r>
          </w:p>
          <w:p w14:paraId="21092EE5">
            <w:pPr>
              <w:pStyle w:val="12"/>
              <w:shd w:val="clear" w:color="auto" w:fill="auto"/>
              <w:spacing w:line="240" w:lineRule="auto"/>
              <w:ind w:firstLine="0"/>
              <w:rPr>
                <w:sz w:val="20"/>
                <w:szCs w:val="20"/>
              </w:rPr>
            </w:pPr>
            <w:r>
              <w:rPr>
                <w:rStyle w:val="24"/>
                <w:sz w:val="20"/>
                <w:szCs w:val="20"/>
              </w:rPr>
              <w:t>(3,71, 7,39)</w:t>
            </w:r>
          </w:p>
        </w:tc>
        <w:tc>
          <w:tcPr>
            <w:tcW w:w="1699" w:type="dxa"/>
            <w:tcBorders>
              <w:top w:val="single" w:color="auto" w:sz="4" w:space="0"/>
              <w:left w:val="single" w:color="auto" w:sz="4" w:space="0"/>
            </w:tcBorders>
            <w:shd w:val="clear" w:color="auto" w:fill="FFFFFF"/>
          </w:tcPr>
          <w:p w14:paraId="7858D03E">
            <w:pPr>
              <w:pStyle w:val="12"/>
              <w:shd w:val="clear" w:color="auto" w:fill="auto"/>
              <w:spacing w:line="240" w:lineRule="auto"/>
              <w:ind w:firstLine="0"/>
              <w:rPr>
                <w:rStyle w:val="24"/>
                <w:sz w:val="20"/>
                <w:szCs w:val="20"/>
              </w:rPr>
            </w:pPr>
            <w:r>
              <w:rPr>
                <w:rStyle w:val="24"/>
                <w:sz w:val="20"/>
                <w:szCs w:val="20"/>
              </w:rPr>
              <w:t>0,40</w:t>
            </w:r>
          </w:p>
          <w:p w14:paraId="0239DE8D">
            <w:pPr>
              <w:pStyle w:val="12"/>
              <w:shd w:val="clear" w:color="auto" w:fill="auto"/>
              <w:spacing w:line="240" w:lineRule="auto"/>
              <w:ind w:firstLine="0"/>
              <w:rPr>
                <w:sz w:val="20"/>
                <w:szCs w:val="20"/>
              </w:rPr>
            </w:pPr>
            <w:r>
              <w:rPr>
                <w:rStyle w:val="24"/>
                <w:sz w:val="20"/>
                <w:szCs w:val="20"/>
              </w:rPr>
              <w:t>(0,29, 0,55)</w:t>
            </w:r>
          </w:p>
        </w:tc>
        <w:tc>
          <w:tcPr>
            <w:tcW w:w="1574" w:type="dxa"/>
            <w:tcBorders>
              <w:top w:val="single" w:color="auto" w:sz="4" w:space="0"/>
              <w:left w:val="single" w:color="auto" w:sz="4" w:space="0"/>
              <w:right w:val="single" w:color="auto" w:sz="4" w:space="0"/>
            </w:tcBorders>
            <w:shd w:val="clear" w:color="auto" w:fill="FFFFFF"/>
          </w:tcPr>
          <w:p w14:paraId="011B7CCD">
            <w:pPr>
              <w:pStyle w:val="12"/>
              <w:shd w:val="clear" w:color="auto" w:fill="auto"/>
              <w:spacing w:line="240" w:lineRule="auto"/>
              <w:ind w:firstLine="0"/>
              <w:rPr>
                <w:sz w:val="20"/>
                <w:szCs w:val="20"/>
              </w:rPr>
            </w:pPr>
            <w:r>
              <w:rPr>
                <w:rStyle w:val="24"/>
                <w:sz w:val="20"/>
                <w:szCs w:val="20"/>
              </w:rPr>
              <w:t>&lt;0,0001</w:t>
            </w:r>
          </w:p>
        </w:tc>
      </w:tr>
      <w:tr w14:paraId="38E67D95">
        <w:tblPrEx>
          <w:tblCellMar>
            <w:top w:w="0" w:type="dxa"/>
            <w:left w:w="10" w:type="dxa"/>
            <w:bottom w:w="0" w:type="dxa"/>
            <w:right w:w="10" w:type="dxa"/>
          </w:tblCellMar>
        </w:tblPrEx>
        <w:trPr>
          <w:trHeight w:val="346" w:hRule="atLeast"/>
        </w:trPr>
        <w:tc>
          <w:tcPr>
            <w:tcW w:w="9201" w:type="dxa"/>
            <w:gridSpan w:val="5"/>
            <w:tcBorders>
              <w:top w:val="single" w:color="auto" w:sz="4" w:space="0"/>
              <w:left w:val="single" w:color="auto" w:sz="4" w:space="0"/>
              <w:bottom w:val="single" w:color="auto" w:sz="4" w:space="0"/>
              <w:right w:val="single" w:color="auto" w:sz="4" w:space="0"/>
            </w:tcBorders>
            <w:shd w:val="clear" w:color="auto" w:fill="FFFFFF"/>
          </w:tcPr>
          <w:p w14:paraId="183EB65B">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Jednostrana p-vrijednost iz stratificiranog log-rank testa</w:t>
            </w:r>
          </w:p>
        </w:tc>
      </w:tr>
    </w:tbl>
    <w:p w14:paraId="7D6C95D2">
      <w:pPr>
        <w:pStyle w:val="12"/>
        <w:shd w:val="clear" w:color="auto" w:fill="auto"/>
        <w:spacing w:line="240" w:lineRule="auto"/>
        <w:ind w:firstLine="0"/>
        <w:jc w:val="both"/>
        <w:rPr>
          <w:sz w:val="20"/>
          <w:szCs w:val="20"/>
        </w:rPr>
      </w:pPr>
    </w:p>
    <w:p w14:paraId="217E6072">
      <w:pPr>
        <w:pStyle w:val="12"/>
        <w:shd w:val="clear" w:color="auto" w:fill="auto"/>
        <w:spacing w:line="240" w:lineRule="auto"/>
        <w:ind w:firstLine="0"/>
        <w:jc w:val="both"/>
        <w:rPr>
          <w:sz w:val="20"/>
          <w:szCs w:val="20"/>
        </w:rPr>
      </w:pPr>
    </w:p>
    <w:p w14:paraId="7FE29230">
      <w:pPr>
        <w:pStyle w:val="12"/>
        <w:ind w:firstLine="0"/>
        <w:jc w:val="left"/>
        <w:rPr>
          <w:sz w:val="20"/>
          <w:szCs w:val="20"/>
        </w:rPr>
      </w:pPr>
      <w:r>
        <w:rPr>
          <w:b/>
          <w:sz w:val="20"/>
          <w:szCs w:val="20"/>
        </w:rPr>
        <w:t>Slika 4 RADIANT-4 - Kaplan-Meier</w:t>
      </w:r>
      <w:r>
        <w:rPr>
          <w:b/>
          <w:sz w:val="20"/>
          <w:szCs w:val="20"/>
          <w:lang w:val="mk-MK"/>
        </w:rPr>
        <w:t>-</w:t>
      </w:r>
      <w:r>
        <w:rPr>
          <w:b/>
          <w:sz w:val="20"/>
          <w:szCs w:val="20"/>
        </w:rPr>
        <w:t>ov</w:t>
      </w:r>
      <w:r>
        <w:rPr>
          <w:b/>
          <w:sz w:val="20"/>
          <w:szCs w:val="20"/>
          <w:lang w:val="mk-MK"/>
        </w:rPr>
        <w:t>а</w:t>
      </w:r>
      <w:r>
        <w:rPr>
          <w:b/>
          <w:sz w:val="20"/>
          <w:szCs w:val="20"/>
        </w:rPr>
        <w:t xml:space="preserve"> krive preživljavanja bez progresije bolesti (ne</w:t>
      </w:r>
      <w:r>
        <w:rPr>
          <w:b/>
          <w:sz w:val="20"/>
          <w:szCs w:val="20"/>
          <w:lang w:val="hr-BA"/>
        </w:rPr>
        <w:t>za</w:t>
      </w:r>
      <w:r>
        <w:rPr>
          <w:b/>
          <w:sz w:val="20"/>
          <w:szCs w:val="20"/>
        </w:rPr>
        <w:t>visna radiološka procjena)</w:t>
      </w:r>
      <w:r>
        <w:rPr>
          <w:sz w:val="22"/>
          <w:szCs w:val="22"/>
          <w:lang w:val="en-US" w:eastAsia="en-US"/>
        </w:rPr>
        <w:drawing>
          <wp:inline distT="0" distB="0" distL="0" distR="0">
            <wp:extent cx="5935980" cy="3070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5980" cy="3070860"/>
                    </a:xfrm>
                    <a:prstGeom prst="rect">
                      <a:avLst/>
                    </a:prstGeom>
                    <a:noFill/>
                    <a:ln>
                      <a:noFill/>
                    </a:ln>
                  </pic:spPr>
                </pic:pic>
              </a:graphicData>
            </a:graphic>
          </wp:inline>
        </w:drawing>
      </w:r>
      <w:r>
        <w:rPr>
          <w:sz w:val="20"/>
          <w:szCs w:val="20"/>
        </w:rPr>
        <w:t>U suportivnim analizama uočen je pozitivan efekat liječenja u svim podgrupama uz izuzetak podgrupe pacijenata sa ileumom kao primarnim mjestom porijekla tumora (ileum: omjer hazarda=1,22 [95% CI: 0,56 do 2,65]; ne-ileum: omjer hazarda=0,34 [95% CI: 0,22 do 0,54]; pluća: omjer hazarda=0,43 [95% CI: 0,24 do 0,79]) (pogledati Sliku 5).</w:t>
      </w:r>
    </w:p>
    <w:p w14:paraId="5563A5FB">
      <w:pPr>
        <w:rPr>
          <w:rFonts w:ascii="Microsoft Sans Serif" w:hAnsi="Microsoft Sans Serif" w:eastAsia="Microsoft Sans Serif" w:cs="Microsoft Sans Serif"/>
          <w:sz w:val="20"/>
          <w:szCs w:val="20"/>
        </w:rPr>
      </w:pPr>
      <w:r>
        <w:rPr>
          <w:sz w:val="20"/>
          <w:szCs w:val="20"/>
        </w:rPr>
        <w:br w:type="page"/>
      </w:r>
    </w:p>
    <w:p w14:paraId="0ECBA49B">
      <w:pPr>
        <w:pStyle w:val="12"/>
        <w:shd w:val="clear" w:color="auto" w:fill="auto"/>
        <w:tabs>
          <w:tab w:val="left" w:pos="1609"/>
        </w:tabs>
        <w:spacing w:line="240" w:lineRule="auto"/>
        <w:ind w:firstLine="0"/>
        <w:jc w:val="both"/>
        <w:rPr>
          <w:b/>
          <w:sz w:val="20"/>
          <w:szCs w:val="20"/>
        </w:rPr>
      </w:pPr>
      <w:r>
        <w:rPr>
          <w:b/>
          <w:sz w:val="20"/>
          <w:szCs w:val="20"/>
        </w:rPr>
        <w:t>Slika 5</w:t>
      </w:r>
      <w:r>
        <w:rPr>
          <w:b/>
          <w:sz w:val="20"/>
          <w:szCs w:val="20"/>
        </w:rPr>
        <w:tab/>
      </w:r>
      <w:r>
        <w:rPr>
          <w:b/>
          <w:sz w:val="20"/>
          <w:szCs w:val="20"/>
        </w:rPr>
        <w:t xml:space="preserve">RADIANT-4 - rezultati za preživljavanje bez progresije </w:t>
      </w:r>
      <w:r>
        <w:rPr>
          <w:b/>
          <w:sz w:val="20"/>
          <w:szCs w:val="20"/>
          <w:lang w:val="sv-SE"/>
        </w:rPr>
        <w:t xml:space="preserve">bolesti </w:t>
      </w:r>
      <w:r>
        <w:rPr>
          <w:b/>
          <w:sz w:val="20"/>
          <w:szCs w:val="20"/>
        </w:rPr>
        <w:t>prema unaprijed</w:t>
      </w:r>
    </w:p>
    <w:p w14:paraId="35768169">
      <w:pPr>
        <w:pStyle w:val="12"/>
        <w:shd w:val="clear" w:color="auto" w:fill="auto"/>
        <w:spacing w:line="240" w:lineRule="auto"/>
        <w:ind w:firstLine="0"/>
        <w:jc w:val="both"/>
        <w:rPr>
          <w:b/>
          <w:sz w:val="20"/>
          <w:szCs w:val="20"/>
        </w:rPr>
      </w:pPr>
      <w:r>
        <w:rPr>
          <w:b/>
          <w:sz w:val="20"/>
          <w:szCs w:val="20"/>
        </w:rPr>
        <w:t>određenim podgrupama pacijenata (nezavisna radiološka procjena)</w:t>
      </w:r>
    </w:p>
    <w:p w14:paraId="1E4F6E57">
      <w:pPr>
        <w:pStyle w:val="12"/>
        <w:shd w:val="clear" w:color="auto" w:fill="auto"/>
        <w:spacing w:line="240" w:lineRule="auto"/>
        <w:ind w:firstLine="0"/>
        <w:jc w:val="both"/>
        <w:rPr>
          <w:b/>
          <w:sz w:val="20"/>
          <w:szCs w:val="20"/>
        </w:rPr>
      </w:pPr>
    </w:p>
    <w:p w14:paraId="5C26D8E4">
      <w:pPr>
        <w:pStyle w:val="12"/>
        <w:shd w:val="clear" w:color="auto" w:fill="auto"/>
        <w:spacing w:line="240" w:lineRule="auto"/>
        <w:ind w:firstLine="0"/>
        <w:jc w:val="both"/>
        <w:rPr>
          <w:rFonts w:eastAsiaTheme="minorHAnsi"/>
          <w:sz w:val="20"/>
          <w:szCs w:val="20"/>
          <w:lang w:val="bs-Latn-BA" w:eastAsia="en-US"/>
        </w:rPr>
      </w:pPr>
      <w:r>
        <w:rPr>
          <w:lang w:val="en-US" w:eastAsia="en-US"/>
        </w:rPr>
        <w:drawing>
          <wp:inline distT="0" distB="0" distL="0" distR="0">
            <wp:extent cx="5941695" cy="35261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941695" cy="3526155"/>
                    </a:xfrm>
                    <a:prstGeom prst="rect">
                      <a:avLst/>
                    </a:prstGeom>
                  </pic:spPr>
                </pic:pic>
              </a:graphicData>
            </a:graphic>
          </wp:inline>
        </w:drawing>
      </w:r>
    </w:p>
    <w:p w14:paraId="7E89DE69">
      <w:pPr>
        <w:pStyle w:val="252"/>
        <w:rPr>
          <w:rFonts w:ascii="Microsoft Sans Serif" w:hAnsi="Microsoft Sans Serif" w:cs="Microsoft Sans Serif"/>
          <w:sz w:val="18"/>
          <w:szCs w:val="20"/>
          <w:lang w:val="bs-Latn-BA"/>
        </w:rPr>
      </w:pPr>
      <w:r>
        <w:rPr>
          <w:rFonts w:ascii="Microsoft Sans Serif" w:hAnsi="Microsoft Sans Serif" w:cs="Microsoft Sans Serif"/>
          <w:sz w:val="18"/>
          <w:szCs w:val="20"/>
          <w:lang w:val="bs-Latn-BA"/>
        </w:rPr>
        <w:t xml:space="preserve">*Van-ileum: </w:t>
      </w:r>
      <w:r>
        <w:rPr>
          <w:rFonts w:ascii="Microsoft Sans Serif" w:hAnsi="Microsoft Sans Serif" w:cs="Microsoft Sans Serif"/>
          <w:sz w:val="18"/>
          <w:szCs w:val="20"/>
          <w:lang w:val="hr-BA"/>
        </w:rPr>
        <w:t>ž</w:t>
      </w:r>
      <w:r>
        <w:rPr>
          <w:rFonts w:ascii="Microsoft Sans Serif" w:hAnsi="Microsoft Sans Serif" w:cs="Microsoft Sans Serif"/>
          <w:sz w:val="18"/>
          <w:szCs w:val="20"/>
          <w:lang w:val="bs-Latn-BA"/>
        </w:rPr>
        <w:t xml:space="preserve">eludac, kolon, rektum, apendiks, cekum, duodenum, jejunum, karcinom nepoznatog primarnog mjesta i ostali tumori gastrointestinalnog porijekla </w:t>
      </w:r>
    </w:p>
    <w:p w14:paraId="0A266ABE">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ULN: Gornja granica normale </w:t>
      </w:r>
    </w:p>
    <w:p w14:paraId="7ED9B397">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CgA: Hromogranin A </w:t>
      </w:r>
    </w:p>
    <w:p w14:paraId="00CBAD62">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NSE: Neuronska specifična enolaza </w:t>
      </w:r>
    </w:p>
    <w:p w14:paraId="48C7EDF3">
      <w:pPr>
        <w:pStyle w:val="12"/>
        <w:shd w:val="clear" w:color="auto" w:fill="auto"/>
        <w:spacing w:line="240" w:lineRule="auto"/>
        <w:ind w:firstLine="0"/>
        <w:jc w:val="both"/>
        <w:rPr>
          <w:sz w:val="18"/>
          <w:szCs w:val="20"/>
        </w:rPr>
      </w:pPr>
      <w:r>
        <w:rPr>
          <w:sz w:val="18"/>
          <w:szCs w:val="20"/>
        </w:rPr>
        <w:t>Koeficijent rizika (95% CI) iz stratifikovanog Cox modela</w:t>
      </w:r>
    </w:p>
    <w:p w14:paraId="5B93E4B1">
      <w:pPr>
        <w:pStyle w:val="12"/>
        <w:shd w:val="clear" w:color="auto" w:fill="auto"/>
        <w:spacing w:line="240" w:lineRule="auto"/>
        <w:ind w:firstLine="0"/>
        <w:jc w:val="both"/>
        <w:rPr>
          <w:sz w:val="20"/>
          <w:szCs w:val="20"/>
        </w:rPr>
      </w:pPr>
    </w:p>
    <w:p w14:paraId="3900698E">
      <w:pPr>
        <w:pStyle w:val="12"/>
        <w:shd w:val="clear" w:color="auto" w:fill="auto"/>
        <w:spacing w:line="240" w:lineRule="auto"/>
        <w:ind w:firstLine="0"/>
        <w:jc w:val="both"/>
        <w:rPr>
          <w:sz w:val="20"/>
          <w:szCs w:val="20"/>
        </w:rPr>
      </w:pPr>
      <w:r>
        <w:rPr>
          <w:sz w:val="20"/>
          <w:szCs w:val="20"/>
        </w:rPr>
        <w:t>Konačna analiza ukupnog preživljavanja (OS) nije pokazala statistički značajnu razliku između onih pacijenata koji su primali everolimus ili placebo tokom slijepog dijela studije (omjer hazarda = 0,90 [95% CI: 0,66 do 1,22]).</w:t>
      </w:r>
    </w:p>
    <w:p w14:paraId="56656009">
      <w:pPr>
        <w:pStyle w:val="12"/>
        <w:shd w:val="clear" w:color="auto" w:fill="auto"/>
        <w:spacing w:line="240" w:lineRule="auto"/>
        <w:ind w:firstLine="0"/>
        <w:jc w:val="both"/>
        <w:rPr>
          <w:sz w:val="20"/>
          <w:szCs w:val="20"/>
        </w:rPr>
      </w:pPr>
    </w:p>
    <w:p w14:paraId="5FDE441A">
      <w:pPr>
        <w:pStyle w:val="12"/>
        <w:shd w:val="clear" w:color="auto" w:fill="auto"/>
        <w:spacing w:line="240" w:lineRule="auto"/>
        <w:ind w:firstLine="0"/>
        <w:jc w:val="both"/>
        <w:rPr>
          <w:sz w:val="20"/>
          <w:szCs w:val="20"/>
        </w:rPr>
      </w:pPr>
      <w:r>
        <w:rPr>
          <w:sz w:val="20"/>
          <w:szCs w:val="20"/>
        </w:rPr>
        <w:t>Nije opažena razlika u vremenu do definitivnog pogoršanja funkcionalnog stanja prema SZO-u (omjer hazarda = 1,02; [95% CI: 0,65, 1,61]) ) i vremena do definitivnog pogoršanja kvaliteta života (ukupni rezultat na FACT-G-u omjer hazarda = 0.74; [95% CI: 0,50, 1,10]) ) između dvije grupe.</w:t>
      </w:r>
    </w:p>
    <w:p w14:paraId="6CE77947">
      <w:pPr>
        <w:pStyle w:val="12"/>
        <w:shd w:val="clear" w:color="auto" w:fill="auto"/>
        <w:spacing w:line="240" w:lineRule="auto"/>
        <w:ind w:firstLine="0"/>
        <w:jc w:val="both"/>
        <w:rPr>
          <w:sz w:val="20"/>
          <w:szCs w:val="20"/>
        </w:rPr>
      </w:pPr>
    </w:p>
    <w:p w14:paraId="07247ED9">
      <w:pPr>
        <w:pStyle w:val="21"/>
        <w:shd w:val="clear" w:color="auto" w:fill="auto"/>
        <w:spacing w:line="240" w:lineRule="auto"/>
        <w:rPr>
          <w:spacing w:val="0"/>
          <w:u w:val="single"/>
        </w:rPr>
      </w:pPr>
      <w:r>
        <w:rPr>
          <w:spacing w:val="0"/>
          <w:u w:val="single"/>
        </w:rPr>
        <w:t>Uznapredovani karcinom bubrežnih ćelija</w:t>
      </w:r>
    </w:p>
    <w:p w14:paraId="1E230D98">
      <w:pPr>
        <w:pStyle w:val="12"/>
        <w:shd w:val="clear" w:color="auto" w:fill="auto"/>
        <w:spacing w:line="240" w:lineRule="auto"/>
        <w:ind w:firstLine="0"/>
        <w:jc w:val="both"/>
        <w:rPr>
          <w:sz w:val="20"/>
          <w:szCs w:val="20"/>
        </w:rPr>
      </w:pPr>
      <w:r>
        <w:rPr>
          <w:sz w:val="20"/>
          <w:szCs w:val="20"/>
        </w:rPr>
        <w:t xml:space="preserve">RECORD-1 (ispitivanje CRAD001C2240), je bilo internacionalno, multicentrično, randomizirano dvostruko slijepo ispitivanje faze III u kojem je upoređivan everolimus u dozi od 10 mg/dan i placebo, oba uz najbolju suportivnu njegu, i koje je sprovedeno kod pacijenata sa metastatskim karcinomom bubrežnih ćelija kod kojih je bolest progredirala tokom ili nakon liječenja VEGFR-TK inhibitorom (inhibitorom tirozin kinaze receptora faktora rasta vaskularnog endotela; sunitinib, sorafenib, ili i sunitinib i sorafenib). Prethodno liječenje bevacizumabom i interferonom- </w:t>
      </w:r>
      <w:r>
        <w:rPr>
          <w:sz w:val="20"/>
          <w:szCs w:val="20"/>
          <w:lang w:val="en-US"/>
        </w:rPr>
        <w:t>α</w:t>
      </w:r>
      <w:r>
        <w:rPr>
          <w:sz w:val="20"/>
          <w:szCs w:val="20"/>
        </w:rPr>
        <w:t xml:space="preserve"> takođe je bilo dopušteno. Pacijenti su bili stratificirani prema prognostičkoj ljestvici Centra za liječenje karcinoma Memorial Sloan-Kettering (MSKCC grupa sa povoljnim, srednjim i niskim rizikom) i prethodnom citostatskom liječenju (jednog </w:t>
      </w:r>
      <w:r>
        <w:rPr>
          <w:sz w:val="20"/>
          <w:szCs w:val="20"/>
          <w:lang w:val="hr-BA"/>
        </w:rPr>
        <w:t>u odnosu na</w:t>
      </w:r>
      <w:r>
        <w:rPr>
          <w:sz w:val="20"/>
          <w:szCs w:val="20"/>
        </w:rPr>
        <w:t xml:space="preserve"> dva prethodno primenjena VEGFR-TK inhibitora).</w:t>
      </w:r>
    </w:p>
    <w:p w14:paraId="41CD53FD">
      <w:pPr>
        <w:pStyle w:val="12"/>
        <w:shd w:val="clear" w:color="auto" w:fill="auto"/>
        <w:spacing w:line="240" w:lineRule="auto"/>
        <w:ind w:firstLine="0"/>
        <w:jc w:val="both"/>
        <w:rPr>
          <w:sz w:val="20"/>
          <w:szCs w:val="20"/>
        </w:rPr>
      </w:pPr>
      <w:r>
        <w:rPr>
          <w:sz w:val="20"/>
          <w:szCs w:val="20"/>
        </w:rPr>
        <w:t xml:space="preserve">Primarni parametar praćenje ishoda ispitivanja je bilo preživljavanje bez progresije bolesti, prema RECIST kriterijima, procijenjeno kroz slijepu nezavisnu centralnu procjenu. Sekundarni parametar praćenja ishoda ispitivanja uključivao je bezbjednost primjene, objektivnu stopu tumorskog odgovora, ukupno preživljavanje, simptome povezane sa bolešću i kvalitet života. Nakon dokumentirane radiološke progresije, ispitivač je mogao otkriti terapiju koju su primali pacijenti: oni koji su bili randomizirani u grupu koja je primala placebo mogli su nakon toga primati everolimus 10 mg/dan u otvorenom dijelu ispitivanja. Nezavisni komitet koje prikuplja podatke je preporučio prekid ovog ispitivanja u vrijeme kada je napravljena druga </w:t>
      </w:r>
      <w:r>
        <w:rPr>
          <w:sz w:val="20"/>
          <w:szCs w:val="20"/>
          <w:lang w:val="sr-Cyrl-RS"/>
        </w:rPr>
        <w:t>privremena</w:t>
      </w:r>
      <w:r>
        <w:rPr>
          <w:sz w:val="20"/>
          <w:szCs w:val="20"/>
        </w:rPr>
        <w:t xml:space="preserve"> analiza, jer je primarni parametar praćenja ishoda bio postignut.</w:t>
      </w:r>
    </w:p>
    <w:p w14:paraId="161ED128">
      <w:pPr>
        <w:pStyle w:val="12"/>
        <w:shd w:val="clear" w:color="auto" w:fill="auto"/>
        <w:spacing w:line="240" w:lineRule="auto"/>
        <w:ind w:firstLine="0"/>
        <w:jc w:val="both"/>
        <w:rPr>
          <w:sz w:val="20"/>
          <w:szCs w:val="20"/>
        </w:rPr>
      </w:pPr>
    </w:p>
    <w:p w14:paraId="7D1BED98">
      <w:pPr>
        <w:pStyle w:val="12"/>
        <w:shd w:val="clear" w:color="auto" w:fill="auto"/>
        <w:spacing w:line="240" w:lineRule="auto"/>
        <w:ind w:firstLine="0"/>
        <w:jc w:val="both"/>
        <w:rPr>
          <w:sz w:val="20"/>
          <w:szCs w:val="20"/>
        </w:rPr>
      </w:pPr>
      <w:r>
        <w:rPr>
          <w:sz w:val="20"/>
          <w:szCs w:val="20"/>
        </w:rPr>
        <w:t>Ukupno je bilo randomizirano 416 pacijenata u omjeru 2:1 u grupu koja je primala everolimus (n =277) ili u grupu koja je primala placebo (n =139). Grupe su bile dobro uravnotežene prema demografskim karakteristikama (zajednički medijana starosti [61 godina; raspon 27-85], 78% muškaraca, 88% bijele rase, broj prethodnih liječenja VEGFR-TK inhibitorom [1-74%, 2-26%]). Medijan</w:t>
      </w:r>
      <w:r>
        <w:rPr>
          <w:sz w:val="20"/>
          <w:szCs w:val="20"/>
          <w:lang w:val="mk-MK"/>
        </w:rPr>
        <w:t>а</w:t>
      </w:r>
      <w:r>
        <w:rPr>
          <w:sz w:val="20"/>
          <w:szCs w:val="20"/>
        </w:rPr>
        <w:t xml:space="preserve"> trajanja slijepog dijela ispitivanja iznosio je 141 dan (raspon 19-451 dana) za pacijente koji su primali everolimus i 60 dana (raspon 21-295 dana) za one koji su primali placebo.</w:t>
      </w:r>
    </w:p>
    <w:p w14:paraId="265AB008">
      <w:pPr>
        <w:pStyle w:val="12"/>
        <w:shd w:val="clear" w:color="auto" w:fill="auto"/>
        <w:spacing w:line="240" w:lineRule="auto"/>
        <w:ind w:firstLine="0"/>
        <w:jc w:val="both"/>
        <w:rPr>
          <w:sz w:val="20"/>
          <w:szCs w:val="20"/>
        </w:rPr>
      </w:pPr>
    </w:p>
    <w:p w14:paraId="3376D482">
      <w:pPr>
        <w:pStyle w:val="12"/>
        <w:shd w:val="clear" w:color="auto" w:fill="auto"/>
        <w:spacing w:line="240" w:lineRule="auto"/>
        <w:ind w:firstLine="0"/>
        <w:jc w:val="both"/>
        <w:rPr>
          <w:sz w:val="20"/>
          <w:szCs w:val="20"/>
        </w:rPr>
      </w:pPr>
      <w:r>
        <w:rPr>
          <w:sz w:val="20"/>
          <w:szCs w:val="20"/>
        </w:rPr>
        <w:t xml:space="preserve">Everolimus je bio </w:t>
      </w:r>
      <w:r>
        <w:rPr>
          <w:sz w:val="20"/>
          <w:szCs w:val="20"/>
          <w:lang w:val="hr-BA"/>
        </w:rPr>
        <w:t>superiorniji u odnosu na</w:t>
      </w:r>
      <w:r>
        <w:rPr>
          <w:sz w:val="20"/>
          <w:szCs w:val="20"/>
        </w:rPr>
        <w:t xml:space="preserve"> placebo za primarni parametar praćenje ishoda preživljavanja bez progresije bolesti, uz statistički značajno sniženje rizika za progresiju ili smrt od 67% (pogledati Tablicu 7 i Sliku 6).</w:t>
      </w:r>
    </w:p>
    <w:p w14:paraId="70C35577">
      <w:pPr>
        <w:pStyle w:val="12"/>
        <w:shd w:val="clear" w:color="auto" w:fill="auto"/>
        <w:spacing w:line="240" w:lineRule="auto"/>
        <w:ind w:firstLine="0"/>
        <w:jc w:val="both"/>
        <w:rPr>
          <w:sz w:val="20"/>
          <w:szCs w:val="20"/>
        </w:rPr>
      </w:pPr>
    </w:p>
    <w:p w14:paraId="10B2B90F">
      <w:pPr>
        <w:pStyle w:val="23"/>
        <w:shd w:val="clear" w:color="auto" w:fill="auto"/>
        <w:spacing w:line="240" w:lineRule="auto"/>
        <w:jc w:val="both"/>
        <w:rPr>
          <w:b/>
          <w:sz w:val="20"/>
          <w:szCs w:val="20"/>
        </w:rPr>
      </w:pPr>
      <w:r>
        <w:rPr>
          <w:b/>
          <w:sz w:val="20"/>
          <w:szCs w:val="20"/>
        </w:rPr>
        <w:t>Tablica 7 RECORD-1 - Rezultati za preživljavanje bez progresije bolesti</w:t>
      </w:r>
    </w:p>
    <w:tbl>
      <w:tblPr>
        <w:tblStyle w:val="3"/>
        <w:tblW w:w="9328" w:type="dxa"/>
        <w:tblInd w:w="10" w:type="dxa"/>
        <w:tblLayout w:type="fixed"/>
        <w:tblCellMar>
          <w:top w:w="0" w:type="dxa"/>
          <w:left w:w="10" w:type="dxa"/>
          <w:bottom w:w="0" w:type="dxa"/>
          <w:right w:w="10" w:type="dxa"/>
        </w:tblCellMar>
      </w:tblPr>
      <w:tblGrid>
        <w:gridCol w:w="2527"/>
        <w:gridCol w:w="720"/>
        <w:gridCol w:w="1639"/>
        <w:gridCol w:w="1639"/>
        <w:gridCol w:w="1576"/>
        <w:gridCol w:w="1227"/>
      </w:tblGrid>
      <w:tr w14:paraId="27C03F88">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3E4CF6F1">
            <w:pPr>
              <w:pStyle w:val="12"/>
              <w:shd w:val="clear" w:color="auto" w:fill="auto"/>
              <w:spacing w:line="240" w:lineRule="auto"/>
              <w:ind w:firstLine="0"/>
              <w:jc w:val="both"/>
              <w:rPr>
                <w:b/>
                <w:sz w:val="20"/>
                <w:szCs w:val="20"/>
              </w:rPr>
            </w:pPr>
            <w:r>
              <w:rPr>
                <w:rStyle w:val="24"/>
                <w:b/>
                <w:sz w:val="20"/>
                <w:szCs w:val="20"/>
              </w:rPr>
              <w:t>Populacija</w:t>
            </w:r>
          </w:p>
        </w:tc>
        <w:tc>
          <w:tcPr>
            <w:tcW w:w="721" w:type="dxa"/>
            <w:tcBorders>
              <w:top w:val="single" w:color="auto" w:sz="4" w:space="0"/>
              <w:left w:val="single" w:color="auto" w:sz="4" w:space="0"/>
            </w:tcBorders>
            <w:shd w:val="clear" w:color="auto" w:fill="FFFFFF"/>
          </w:tcPr>
          <w:p w14:paraId="29AA4EA6">
            <w:pPr>
              <w:pStyle w:val="12"/>
              <w:shd w:val="clear" w:color="auto" w:fill="auto"/>
              <w:spacing w:line="240" w:lineRule="auto"/>
              <w:ind w:firstLine="0"/>
              <w:rPr>
                <w:b/>
                <w:sz w:val="20"/>
                <w:szCs w:val="20"/>
              </w:rPr>
            </w:pPr>
            <w:r>
              <w:rPr>
                <w:rStyle w:val="24"/>
                <w:b/>
                <w:sz w:val="20"/>
                <w:szCs w:val="20"/>
              </w:rPr>
              <w:t>n</w:t>
            </w:r>
          </w:p>
        </w:tc>
        <w:tc>
          <w:tcPr>
            <w:tcW w:w="1642" w:type="dxa"/>
            <w:tcBorders>
              <w:top w:val="single" w:color="auto" w:sz="4" w:space="0"/>
              <w:left w:val="single" w:color="auto" w:sz="4" w:space="0"/>
            </w:tcBorders>
            <w:shd w:val="clear" w:color="auto" w:fill="FFFFFF"/>
          </w:tcPr>
          <w:p w14:paraId="0597FAA5">
            <w:pPr>
              <w:pStyle w:val="12"/>
              <w:shd w:val="clear" w:color="auto" w:fill="auto"/>
              <w:spacing w:line="240" w:lineRule="auto"/>
              <w:ind w:firstLine="0"/>
              <w:jc w:val="both"/>
              <w:rPr>
                <w:b/>
                <w:sz w:val="20"/>
                <w:szCs w:val="20"/>
              </w:rPr>
            </w:pPr>
            <w:r>
              <w:rPr>
                <w:rStyle w:val="24"/>
                <w:b/>
                <w:sz w:val="20"/>
                <w:szCs w:val="20"/>
              </w:rPr>
              <w:t>Everolimus</w:t>
            </w:r>
          </w:p>
          <w:p w14:paraId="3277323B">
            <w:pPr>
              <w:pStyle w:val="12"/>
              <w:shd w:val="clear" w:color="auto" w:fill="auto"/>
              <w:spacing w:line="240" w:lineRule="auto"/>
              <w:ind w:firstLine="0"/>
              <w:jc w:val="both"/>
              <w:rPr>
                <w:b/>
                <w:sz w:val="20"/>
                <w:szCs w:val="20"/>
              </w:rPr>
            </w:pPr>
            <w:r>
              <w:rPr>
                <w:rStyle w:val="24"/>
                <w:b/>
                <w:sz w:val="20"/>
                <w:szCs w:val="20"/>
              </w:rPr>
              <w:t>n=277</w:t>
            </w:r>
          </w:p>
        </w:tc>
        <w:tc>
          <w:tcPr>
            <w:tcW w:w="1642" w:type="dxa"/>
            <w:tcBorders>
              <w:top w:val="single" w:color="auto" w:sz="4" w:space="0"/>
              <w:left w:val="single" w:color="auto" w:sz="4" w:space="0"/>
            </w:tcBorders>
            <w:shd w:val="clear" w:color="auto" w:fill="FFFFFF"/>
          </w:tcPr>
          <w:p w14:paraId="21CED44E">
            <w:pPr>
              <w:pStyle w:val="12"/>
              <w:shd w:val="clear" w:color="auto" w:fill="auto"/>
              <w:spacing w:line="240" w:lineRule="auto"/>
              <w:ind w:firstLine="0"/>
              <w:jc w:val="both"/>
              <w:rPr>
                <w:b/>
                <w:sz w:val="20"/>
                <w:szCs w:val="20"/>
              </w:rPr>
            </w:pPr>
            <w:r>
              <w:rPr>
                <w:rStyle w:val="24"/>
                <w:b/>
                <w:sz w:val="20"/>
                <w:szCs w:val="20"/>
              </w:rPr>
              <w:t>Placebo</w:t>
            </w:r>
          </w:p>
          <w:p w14:paraId="16B38A22">
            <w:pPr>
              <w:pStyle w:val="12"/>
              <w:shd w:val="clear" w:color="auto" w:fill="auto"/>
              <w:spacing w:line="240" w:lineRule="auto"/>
              <w:ind w:firstLine="0"/>
              <w:jc w:val="both"/>
              <w:rPr>
                <w:b/>
                <w:sz w:val="20"/>
                <w:szCs w:val="20"/>
              </w:rPr>
            </w:pPr>
            <w:r>
              <w:rPr>
                <w:rStyle w:val="24"/>
                <w:b/>
                <w:sz w:val="20"/>
                <w:szCs w:val="20"/>
              </w:rPr>
              <w:t>n=139</w:t>
            </w:r>
          </w:p>
        </w:tc>
        <w:tc>
          <w:tcPr>
            <w:tcW w:w="1579" w:type="dxa"/>
            <w:tcBorders>
              <w:top w:val="single" w:color="auto" w:sz="4" w:space="0"/>
              <w:left w:val="single" w:color="auto" w:sz="4" w:space="0"/>
            </w:tcBorders>
            <w:shd w:val="clear" w:color="auto" w:fill="FFFFFF"/>
          </w:tcPr>
          <w:p w14:paraId="00C6ED02">
            <w:pPr>
              <w:pStyle w:val="12"/>
              <w:shd w:val="clear" w:color="auto" w:fill="auto"/>
              <w:spacing w:line="240" w:lineRule="auto"/>
              <w:ind w:firstLine="0"/>
              <w:jc w:val="left"/>
              <w:rPr>
                <w:b/>
                <w:sz w:val="20"/>
                <w:szCs w:val="20"/>
              </w:rPr>
            </w:pPr>
            <w:r>
              <w:rPr>
                <w:rStyle w:val="24"/>
                <w:b/>
                <w:sz w:val="20"/>
                <w:szCs w:val="20"/>
              </w:rPr>
              <w:t>Omjer hazarda (95%CI)</w:t>
            </w:r>
          </w:p>
        </w:tc>
        <w:tc>
          <w:tcPr>
            <w:tcW w:w="1229" w:type="dxa"/>
            <w:tcBorders>
              <w:top w:val="single" w:color="auto" w:sz="4" w:space="0"/>
              <w:left w:val="single" w:color="auto" w:sz="4" w:space="0"/>
              <w:right w:val="single" w:color="auto" w:sz="4" w:space="0"/>
            </w:tcBorders>
            <w:shd w:val="clear" w:color="auto" w:fill="FFFFFF"/>
          </w:tcPr>
          <w:p w14:paraId="6A7F111C">
            <w:pPr>
              <w:pStyle w:val="12"/>
              <w:shd w:val="clear" w:color="auto" w:fill="auto"/>
              <w:spacing w:line="240" w:lineRule="auto"/>
              <w:ind w:firstLine="0"/>
              <w:jc w:val="both"/>
              <w:rPr>
                <w:b/>
                <w:sz w:val="20"/>
                <w:szCs w:val="20"/>
              </w:rPr>
            </w:pPr>
            <w:r>
              <w:rPr>
                <w:rStyle w:val="24"/>
                <w:b/>
                <w:sz w:val="20"/>
                <w:szCs w:val="20"/>
              </w:rPr>
              <w:t>p-vrijednost</w:t>
            </w:r>
          </w:p>
        </w:tc>
      </w:tr>
      <w:tr w14:paraId="57A83388">
        <w:tblPrEx>
          <w:tblCellMar>
            <w:top w:w="0" w:type="dxa"/>
            <w:left w:w="10" w:type="dxa"/>
            <w:bottom w:w="0" w:type="dxa"/>
            <w:right w:w="10" w:type="dxa"/>
          </w:tblCellMar>
        </w:tblPrEx>
        <w:trPr>
          <w:trHeight w:val="523" w:hRule="atLeast"/>
        </w:trPr>
        <w:tc>
          <w:tcPr>
            <w:tcW w:w="2515" w:type="dxa"/>
            <w:tcBorders>
              <w:top w:val="single" w:color="auto" w:sz="4" w:space="0"/>
              <w:left w:val="single" w:color="auto" w:sz="4" w:space="0"/>
            </w:tcBorders>
            <w:shd w:val="clear" w:color="auto" w:fill="FFFFFF"/>
          </w:tcPr>
          <w:p w14:paraId="155219FA">
            <w:pPr>
              <w:jc w:val="both"/>
              <w:rPr>
                <w:rFonts w:ascii="Microsoft Sans Serif" w:hAnsi="Microsoft Sans Serif" w:cs="Microsoft Sans Serif"/>
                <w:sz w:val="20"/>
                <w:szCs w:val="20"/>
              </w:rPr>
            </w:pPr>
          </w:p>
        </w:tc>
        <w:tc>
          <w:tcPr>
            <w:tcW w:w="721" w:type="dxa"/>
            <w:tcBorders>
              <w:top w:val="single" w:color="auto" w:sz="4" w:space="0"/>
              <w:left w:val="single" w:color="auto" w:sz="4" w:space="0"/>
            </w:tcBorders>
            <w:shd w:val="clear" w:color="auto" w:fill="FFFFFF"/>
          </w:tcPr>
          <w:p w14:paraId="09BB4FEF">
            <w:pPr>
              <w:jc w:val="both"/>
              <w:rPr>
                <w:rFonts w:ascii="Microsoft Sans Serif" w:hAnsi="Microsoft Sans Serif" w:cs="Microsoft Sans Serif"/>
                <w:b/>
                <w:sz w:val="20"/>
                <w:szCs w:val="20"/>
              </w:rPr>
            </w:pPr>
          </w:p>
        </w:tc>
        <w:tc>
          <w:tcPr>
            <w:tcW w:w="3284" w:type="dxa"/>
            <w:gridSpan w:val="2"/>
            <w:tcBorders>
              <w:top w:val="single" w:color="auto" w:sz="4" w:space="0"/>
              <w:left w:val="single" w:color="auto" w:sz="4" w:space="0"/>
            </w:tcBorders>
            <w:shd w:val="clear" w:color="auto" w:fill="FFFFFF"/>
          </w:tcPr>
          <w:p w14:paraId="71F63B91">
            <w:pPr>
              <w:pStyle w:val="12"/>
              <w:shd w:val="clear" w:color="auto" w:fill="auto"/>
              <w:spacing w:line="240" w:lineRule="auto"/>
              <w:ind w:firstLine="0"/>
              <w:jc w:val="both"/>
              <w:rPr>
                <w:b/>
                <w:sz w:val="20"/>
                <w:szCs w:val="20"/>
              </w:rPr>
            </w:pPr>
            <w:r>
              <w:rPr>
                <w:rStyle w:val="24"/>
                <w:b/>
                <w:sz w:val="20"/>
                <w:szCs w:val="20"/>
              </w:rPr>
              <w:t>Medijan preživljavanja bez progresije bolesti (mjeseci) (95% CI)</w:t>
            </w:r>
          </w:p>
        </w:tc>
        <w:tc>
          <w:tcPr>
            <w:tcW w:w="1579" w:type="dxa"/>
            <w:tcBorders>
              <w:top w:val="single" w:color="auto" w:sz="4" w:space="0"/>
              <w:left w:val="single" w:color="auto" w:sz="4" w:space="0"/>
            </w:tcBorders>
            <w:shd w:val="clear" w:color="auto" w:fill="FFFFFF"/>
          </w:tcPr>
          <w:p w14:paraId="0E582F47">
            <w:pPr>
              <w:jc w:val="both"/>
              <w:rPr>
                <w:rFonts w:ascii="Microsoft Sans Serif" w:hAnsi="Microsoft Sans Serif" w:cs="Microsoft Sans Serif"/>
                <w:b/>
                <w:sz w:val="20"/>
                <w:szCs w:val="20"/>
              </w:rPr>
            </w:pPr>
          </w:p>
        </w:tc>
        <w:tc>
          <w:tcPr>
            <w:tcW w:w="1229" w:type="dxa"/>
            <w:tcBorders>
              <w:top w:val="single" w:color="auto" w:sz="4" w:space="0"/>
              <w:left w:val="single" w:color="auto" w:sz="4" w:space="0"/>
              <w:right w:val="single" w:color="auto" w:sz="4" w:space="0"/>
            </w:tcBorders>
            <w:shd w:val="clear" w:color="auto" w:fill="FFFFFF"/>
          </w:tcPr>
          <w:p w14:paraId="681A652C">
            <w:pPr>
              <w:jc w:val="both"/>
              <w:rPr>
                <w:rFonts w:ascii="Microsoft Sans Serif" w:hAnsi="Microsoft Sans Serif" w:cs="Microsoft Sans Serif"/>
                <w:b/>
                <w:sz w:val="20"/>
                <w:szCs w:val="20"/>
              </w:rPr>
            </w:pPr>
          </w:p>
        </w:tc>
      </w:tr>
      <w:tr w14:paraId="7450E928">
        <w:tblPrEx>
          <w:tblCellMar>
            <w:top w:w="0" w:type="dxa"/>
            <w:left w:w="10" w:type="dxa"/>
            <w:bottom w:w="0" w:type="dxa"/>
            <w:right w:w="10" w:type="dxa"/>
          </w:tblCellMar>
        </w:tblPrEx>
        <w:trPr>
          <w:trHeight w:val="274" w:hRule="atLeast"/>
        </w:trPr>
        <w:tc>
          <w:tcPr>
            <w:tcW w:w="9328" w:type="dxa"/>
            <w:gridSpan w:val="6"/>
            <w:tcBorders>
              <w:top w:val="single" w:color="auto" w:sz="4" w:space="0"/>
              <w:left w:val="single" w:color="auto" w:sz="4" w:space="0"/>
              <w:right w:val="single" w:color="auto" w:sz="4" w:space="0"/>
            </w:tcBorders>
            <w:shd w:val="clear" w:color="auto" w:fill="FFFFFF"/>
          </w:tcPr>
          <w:p w14:paraId="6ACDCD7B">
            <w:pPr>
              <w:pStyle w:val="12"/>
              <w:shd w:val="clear" w:color="auto" w:fill="auto"/>
              <w:spacing w:line="240" w:lineRule="auto"/>
              <w:ind w:firstLine="0"/>
              <w:jc w:val="both"/>
              <w:rPr>
                <w:b/>
                <w:sz w:val="20"/>
                <w:szCs w:val="20"/>
              </w:rPr>
            </w:pPr>
            <w:r>
              <w:rPr>
                <w:rStyle w:val="24"/>
                <w:b/>
                <w:sz w:val="20"/>
                <w:szCs w:val="20"/>
              </w:rPr>
              <w:t>Primarna analiza</w:t>
            </w:r>
          </w:p>
        </w:tc>
      </w:tr>
      <w:tr w14:paraId="047F8EB8">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5F0D9EF0">
            <w:pPr>
              <w:pStyle w:val="12"/>
              <w:shd w:val="clear" w:color="auto" w:fill="auto"/>
              <w:spacing w:line="240" w:lineRule="auto"/>
              <w:ind w:firstLine="0"/>
              <w:jc w:val="left"/>
              <w:rPr>
                <w:sz w:val="20"/>
                <w:szCs w:val="20"/>
              </w:rPr>
            </w:pPr>
            <w:r>
              <w:rPr>
                <w:rStyle w:val="24"/>
                <w:sz w:val="20"/>
                <w:szCs w:val="20"/>
              </w:rPr>
              <w:t>Svi (slijepa nezavisna centralna procjena)</w:t>
            </w:r>
          </w:p>
        </w:tc>
        <w:tc>
          <w:tcPr>
            <w:tcW w:w="721" w:type="dxa"/>
            <w:tcBorders>
              <w:top w:val="single" w:color="auto" w:sz="4" w:space="0"/>
              <w:left w:val="single" w:color="auto" w:sz="4" w:space="0"/>
            </w:tcBorders>
            <w:shd w:val="clear" w:color="auto" w:fill="FFFFFF"/>
          </w:tcPr>
          <w:p w14:paraId="28973D52">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4D184E5A">
            <w:pPr>
              <w:pStyle w:val="12"/>
              <w:shd w:val="clear" w:color="auto" w:fill="auto"/>
              <w:spacing w:line="240" w:lineRule="auto"/>
              <w:ind w:firstLine="0"/>
              <w:rPr>
                <w:sz w:val="20"/>
                <w:szCs w:val="20"/>
              </w:rPr>
            </w:pPr>
            <w:r>
              <w:rPr>
                <w:rStyle w:val="24"/>
                <w:sz w:val="20"/>
                <w:szCs w:val="20"/>
              </w:rPr>
              <w:t>4,9</w:t>
            </w:r>
          </w:p>
          <w:p w14:paraId="3882AB30">
            <w:pPr>
              <w:pStyle w:val="12"/>
              <w:shd w:val="clear" w:color="auto" w:fill="auto"/>
              <w:spacing w:line="240" w:lineRule="auto"/>
              <w:ind w:firstLine="0"/>
              <w:rPr>
                <w:sz w:val="20"/>
                <w:szCs w:val="20"/>
              </w:rPr>
            </w:pPr>
            <w:r>
              <w:rPr>
                <w:rStyle w:val="24"/>
                <w:sz w:val="20"/>
                <w:szCs w:val="20"/>
              </w:rPr>
              <w:t>(4,0-5,5)</w:t>
            </w:r>
          </w:p>
        </w:tc>
        <w:tc>
          <w:tcPr>
            <w:tcW w:w="1642" w:type="dxa"/>
            <w:tcBorders>
              <w:top w:val="single" w:color="auto" w:sz="4" w:space="0"/>
              <w:left w:val="single" w:color="auto" w:sz="4" w:space="0"/>
            </w:tcBorders>
            <w:shd w:val="clear" w:color="auto" w:fill="FFFFFF"/>
          </w:tcPr>
          <w:p w14:paraId="07EE17C6">
            <w:pPr>
              <w:pStyle w:val="12"/>
              <w:shd w:val="clear" w:color="auto" w:fill="auto"/>
              <w:spacing w:line="240" w:lineRule="auto"/>
              <w:ind w:firstLine="0"/>
              <w:rPr>
                <w:sz w:val="20"/>
                <w:szCs w:val="20"/>
              </w:rPr>
            </w:pPr>
            <w:r>
              <w:rPr>
                <w:rStyle w:val="24"/>
                <w:sz w:val="20"/>
                <w:szCs w:val="20"/>
              </w:rPr>
              <w:t>1,9</w:t>
            </w:r>
          </w:p>
          <w:p w14:paraId="5412B768">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6D12FEA0">
            <w:pPr>
              <w:pStyle w:val="12"/>
              <w:shd w:val="clear" w:color="auto" w:fill="auto"/>
              <w:spacing w:line="240" w:lineRule="auto"/>
              <w:ind w:firstLine="0"/>
              <w:rPr>
                <w:sz w:val="20"/>
                <w:szCs w:val="20"/>
              </w:rPr>
            </w:pPr>
            <w:r>
              <w:rPr>
                <w:rStyle w:val="24"/>
                <w:sz w:val="20"/>
                <w:szCs w:val="20"/>
              </w:rPr>
              <w:t>0,33</w:t>
            </w:r>
          </w:p>
          <w:p w14:paraId="0CBF24E8">
            <w:pPr>
              <w:pStyle w:val="12"/>
              <w:shd w:val="clear" w:color="auto" w:fill="auto"/>
              <w:spacing w:line="240" w:lineRule="auto"/>
              <w:ind w:firstLine="0"/>
              <w:rPr>
                <w:sz w:val="20"/>
                <w:szCs w:val="20"/>
              </w:rPr>
            </w:pPr>
            <w:r>
              <w:rPr>
                <w:rStyle w:val="24"/>
                <w:sz w:val="20"/>
                <w:szCs w:val="20"/>
              </w:rPr>
              <w:t>(0,25-0,43)</w:t>
            </w:r>
          </w:p>
        </w:tc>
        <w:tc>
          <w:tcPr>
            <w:tcW w:w="1229" w:type="dxa"/>
            <w:tcBorders>
              <w:top w:val="single" w:color="auto" w:sz="4" w:space="0"/>
              <w:left w:val="single" w:color="auto" w:sz="4" w:space="0"/>
              <w:right w:val="single" w:color="auto" w:sz="4" w:space="0"/>
            </w:tcBorders>
            <w:shd w:val="clear" w:color="auto" w:fill="FFFFFF"/>
          </w:tcPr>
          <w:p w14:paraId="1BF7979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500C3C3F">
        <w:tblPrEx>
          <w:tblCellMar>
            <w:top w:w="0" w:type="dxa"/>
            <w:left w:w="10" w:type="dxa"/>
            <w:bottom w:w="0" w:type="dxa"/>
            <w:right w:w="10" w:type="dxa"/>
          </w:tblCellMar>
        </w:tblPrEx>
        <w:trPr>
          <w:trHeight w:val="264" w:hRule="atLeast"/>
        </w:trPr>
        <w:tc>
          <w:tcPr>
            <w:tcW w:w="2515" w:type="dxa"/>
            <w:tcBorders>
              <w:top w:val="single" w:color="auto" w:sz="4" w:space="0"/>
              <w:left w:val="single" w:color="auto" w:sz="4" w:space="0"/>
            </w:tcBorders>
            <w:shd w:val="clear" w:color="auto" w:fill="FFFFFF"/>
          </w:tcPr>
          <w:p w14:paraId="2C92DCEC">
            <w:pPr>
              <w:pStyle w:val="12"/>
              <w:shd w:val="clear" w:color="auto" w:fill="auto"/>
              <w:spacing w:line="240" w:lineRule="auto"/>
              <w:ind w:firstLine="0"/>
              <w:jc w:val="left"/>
              <w:rPr>
                <w:b/>
                <w:sz w:val="20"/>
                <w:szCs w:val="20"/>
              </w:rPr>
            </w:pPr>
            <w:r>
              <w:rPr>
                <w:rStyle w:val="24"/>
                <w:b/>
                <w:sz w:val="20"/>
                <w:szCs w:val="20"/>
              </w:rPr>
              <w:t>Supportivna analiza/analiza</w:t>
            </w:r>
          </w:p>
        </w:tc>
        <w:tc>
          <w:tcPr>
            <w:tcW w:w="2363" w:type="dxa"/>
            <w:gridSpan w:val="2"/>
            <w:tcBorders>
              <w:top w:val="single" w:color="auto" w:sz="4" w:space="0"/>
            </w:tcBorders>
            <w:shd w:val="clear" w:color="auto" w:fill="FFFFFF"/>
          </w:tcPr>
          <w:p w14:paraId="1932066E">
            <w:pPr>
              <w:pStyle w:val="12"/>
              <w:shd w:val="clear" w:color="auto" w:fill="auto"/>
              <w:spacing w:line="240" w:lineRule="auto"/>
              <w:ind w:firstLine="0"/>
              <w:jc w:val="left"/>
              <w:rPr>
                <w:b/>
                <w:sz w:val="20"/>
                <w:szCs w:val="20"/>
              </w:rPr>
            </w:pPr>
            <w:r>
              <w:rPr>
                <w:rStyle w:val="24"/>
                <w:b/>
                <w:sz w:val="20"/>
                <w:szCs w:val="20"/>
              </w:rPr>
              <w:t>osjetljivosti</w:t>
            </w:r>
          </w:p>
        </w:tc>
        <w:tc>
          <w:tcPr>
            <w:tcW w:w="1642" w:type="dxa"/>
            <w:tcBorders>
              <w:top w:val="single" w:color="auto" w:sz="4" w:space="0"/>
            </w:tcBorders>
            <w:shd w:val="clear" w:color="auto" w:fill="FFFFFF"/>
          </w:tcPr>
          <w:p w14:paraId="2F2D6262">
            <w:pPr>
              <w:jc w:val="center"/>
              <w:rPr>
                <w:rFonts w:ascii="Microsoft Sans Serif" w:hAnsi="Microsoft Sans Serif" w:cs="Microsoft Sans Serif"/>
                <w:sz w:val="20"/>
                <w:szCs w:val="20"/>
              </w:rPr>
            </w:pPr>
          </w:p>
        </w:tc>
        <w:tc>
          <w:tcPr>
            <w:tcW w:w="1579" w:type="dxa"/>
            <w:tcBorders>
              <w:top w:val="single" w:color="auto" w:sz="4" w:space="0"/>
            </w:tcBorders>
            <w:shd w:val="clear" w:color="auto" w:fill="FFFFFF"/>
          </w:tcPr>
          <w:p w14:paraId="7B241AD2">
            <w:pPr>
              <w:jc w:val="center"/>
              <w:rPr>
                <w:rFonts w:ascii="Microsoft Sans Serif" w:hAnsi="Microsoft Sans Serif" w:cs="Microsoft Sans Serif"/>
                <w:sz w:val="20"/>
                <w:szCs w:val="20"/>
              </w:rPr>
            </w:pPr>
          </w:p>
        </w:tc>
        <w:tc>
          <w:tcPr>
            <w:tcW w:w="1229" w:type="dxa"/>
            <w:tcBorders>
              <w:top w:val="single" w:color="auto" w:sz="4" w:space="0"/>
              <w:right w:val="single" w:color="auto" w:sz="4" w:space="0"/>
            </w:tcBorders>
            <w:shd w:val="clear" w:color="auto" w:fill="FFFFFF"/>
          </w:tcPr>
          <w:p w14:paraId="3325E699">
            <w:pPr>
              <w:jc w:val="center"/>
              <w:rPr>
                <w:rFonts w:ascii="Microsoft Sans Serif" w:hAnsi="Microsoft Sans Serif" w:cs="Microsoft Sans Serif"/>
                <w:sz w:val="20"/>
                <w:szCs w:val="20"/>
              </w:rPr>
            </w:pPr>
          </w:p>
        </w:tc>
      </w:tr>
      <w:tr w14:paraId="70AE9B23">
        <w:tblPrEx>
          <w:tblCellMar>
            <w:top w:w="0" w:type="dxa"/>
            <w:left w:w="10" w:type="dxa"/>
            <w:bottom w:w="0" w:type="dxa"/>
            <w:right w:w="10" w:type="dxa"/>
          </w:tblCellMar>
        </w:tblPrEx>
        <w:trPr>
          <w:trHeight w:val="533" w:hRule="atLeast"/>
        </w:trPr>
        <w:tc>
          <w:tcPr>
            <w:tcW w:w="2515" w:type="dxa"/>
            <w:tcBorders>
              <w:top w:val="single" w:color="auto" w:sz="4" w:space="0"/>
              <w:left w:val="single" w:color="auto" w:sz="4" w:space="0"/>
            </w:tcBorders>
            <w:shd w:val="clear" w:color="auto" w:fill="FFFFFF"/>
          </w:tcPr>
          <w:p w14:paraId="00700D5D">
            <w:pPr>
              <w:pStyle w:val="12"/>
              <w:shd w:val="clear" w:color="auto" w:fill="auto"/>
              <w:spacing w:line="240" w:lineRule="auto"/>
              <w:ind w:firstLine="0"/>
              <w:jc w:val="left"/>
              <w:rPr>
                <w:sz w:val="20"/>
                <w:szCs w:val="20"/>
              </w:rPr>
            </w:pPr>
            <w:r>
              <w:rPr>
                <w:rStyle w:val="24"/>
                <w:sz w:val="20"/>
                <w:szCs w:val="20"/>
              </w:rPr>
              <w:t>Svi (lokalna procjena od strane ispitivača)</w:t>
            </w:r>
          </w:p>
        </w:tc>
        <w:tc>
          <w:tcPr>
            <w:tcW w:w="721" w:type="dxa"/>
            <w:tcBorders>
              <w:top w:val="single" w:color="auto" w:sz="4" w:space="0"/>
              <w:left w:val="single" w:color="auto" w:sz="4" w:space="0"/>
            </w:tcBorders>
            <w:shd w:val="clear" w:color="auto" w:fill="FFFFFF"/>
          </w:tcPr>
          <w:p w14:paraId="65BD5F68">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2D020295">
            <w:pPr>
              <w:pStyle w:val="12"/>
              <w:shd w:val="clear" w:color="auto" w:fill="auto"/>
              <w:spacing w:line="240" w:lineRule="auto"/>
              <w:ind w:firstLine="0"/>
              <w:rPr>
                <w:sz w:val="20"/>
                <w:szCs w:val="20"/>
              </w:rPr>
            </w:pPr>
            <w:r>
              <w:rPr>
                <w:rStyle w:val="24"/>
                <w:sz w:val="20"/>
                <w:szCs w:val="20"/>
              </w:rPr>
              <w:t>5,5</w:t>
            </w:r>
          </w:p>
          <w:p w14:paraId="4129DF5A">
            <w:pPr>
              <w:pStyle w:val="12"/>
              <w:shd w:val="clear" w:color="auto" w:fill="auto"/>
              <w:spacing w:line="240" w:lineRule="auto"/>
              <w:ind w:firstLine="0"/>
              <w:rPr>
                <w:sz w:val="20"/>
                <w:szCs w:val="20"/>
              </w:rPr>
            </w:pPr>
            <w:r>
              <w:rPr>
                <w:rStyle w:val="24"/>
                <w:sz w:val="20"/>
                <w:szCs w:val="20"/>
              </w:rPr>
              <w:t>(4,6-5,8)</w:t>
            </w:r>
          </w:p>
        </w:tc>
        <w:tc>
          <w:tcPr>
            <w:tcW w:w="1642" w:type="dxa"/>
            <w:tcBorders>
              <w:top w:val="single" w:color="auto" w:sz="4" w:space="0"/>
              <w:left w:val="single" w:color="auto" w:sz="4" w:space="0"/>
            </w:tcBorders>
            <w:shd w:val="clear" w:color="auto" w:fill="FFFFFF"/>
          </w:tcPr>
          <w:p w14:paraId="470F098C">
            <w:pPr>
              <w:pStyle w:val="12"/>
              <w:shd w:val="clear" w:color="auto" w:fill="auto"/>
              <w:spacing w:line="240" w:lineRule="auto"/>
              <w:ind w:firstLine="0"/>
              <w:rPr>
                <w:rStyle w:val="24"/>
                <w:sz w:val="20"/>
                <w:szCs w:val="20"/>
              </w:rPr>
            </w:pPr>
            <w:r>
              <w:rPr>
                <w:rStyle w:val="24"/>
                <w:sz w:val="20"/>
                <w:szCs w:val="20"/>
              </w:rPr>
              <w:t xml:space="preserve">1,9 </w:t>
            </w:r>
          </w:p>
          <w:p w14:paraId="7E6A55A2">
            <w:pPr>
              <w:pStyle w:val="12"/>
              <w:shd w:val="clear" w:color="auto" w:fill="auto"/>
              <w:spacing w:line="240" w:lineRule="auto"/>
              <w:ind w:firstLine="0"/>
              <w:rPr>
                <w:sz w:val="20"/>
                <w:szCs w:val="20"/>
              </w:rPr>
            </w:pPr>
            <w:r>
              <w:rPr>
                <w:rStyle w:val="24"/>
                <w:sz w:val="20"/>
                <w:szCs w:val="20"/>
              </w:rPr>
              <w:t>(1,8-2,2)</w:t>
            </w:r>
          </w:p>
        </w:tc>
        <w:tc>
          <w:tcPr>
            <w:tcW w:w="1579" w:type="dxa"/>
            <w:tcBorders>
              <w:top w:val="single" w:color="auto" w:sz="4" w:space="0"/>
              <w:left w:val="single" w:color="auto" w:sz="4" w:space="0"/>
            </w:tcBorders>
            <w:shd w:val="clear" w:color="auto" w:fill="FFFFFF"/>
          </w:tcPr>
          <w:p w14:paraId="5064352A">
            <w:pPr>
              <w:pStyle w:val="12"/>
              <w:shd w:val="clear" w:color="auto" w:fill="auto"/>
              <w:spacing w:line="240" w:lineRule="auto"/>
              <w:ind w:firstLine="0"/>
              <w:rPr>
                <w:sz w:val="20"/>
                <w:szCs w:val="20"/>
              </w:rPr>
            </w:pPr>
            <w:r>
              <w:rPr>
                <w:rStyle w:val="24"/>
                <w:sz w:val="20"/>
                <w:szCs w:val="20"/>
              </w:rPr>
              <w:t>0,32</w:t>
            </w:r>
          </w:p>
          <w:p w14:paraId="2F587C47">
            <w:pPr>
              <w:pStyle w:val="12"/>
              <w:shd w:val="clear" w:color="auto" w:fill="auto"/>
              <w:spacing w:line="240" w:lineRule="auto"/>
              <w:ind w:firstLine="0"/>
              <w:rPr>
                <w:sz w:val="20"/>
                <w:szCs w:val="20"/>
              </w:rPr>
            </w:pPr>
            <w:r>
              <w:rPr>
                <w:rStyle w:val="24"/>
                <w:sz w:val="20"/>
                <w:szCs w:val="20"/>
              </w:rPr>
              <w:t>(0,25-0,41)</w:t>
            </w:r>
          </w:p>
        </w:tc>
        <w:tc>
          <w:tcPr>
            <w:tcW w:w="1229" w:type="dxa"/>
            <w:tcBorders>
              <w:top w:val="single" w:color="auto" w:sz="4" w:space="0"/>
              <w:left w:val="single" w:color="auto" w:sz="4" w:space="0"/>
              <w:right w:val="single" w:color="auto" w:sz="4" w:space="0"/>
            </w:tcBorders>
            <w:shd w:val="clear" w:color="auto" w:fill="FFFFFF"/>
          </w:tcPr>
          <w:p w14:paraId="70A4787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2A2F9D47">
        <w:tblPrEx>
          <w:tblCellMar>
            <w:top w:w="0" w:type="dxa"/>
            <w:left w:w="10" w:type="dxa"/>
            <w:bottom w:w="0" w:type="dxa"/>
            <w:right w:w="10" w:type="dxa"/>
          </w:tblCellMar>
        </w:tblPrEx>
        <w:trPr>
          <w:trHeight w:val="269" w:hRule="atLeast"/>
        </w:trPr>
        <w:tc>
          <w:tcPr>
            <w:tcW w:w="9328" w:type="dxa"/>
            <w:gridSpan w:val="6"/>
            <w:tcBorders>
              <w:top w:val="single" w:color="auto" w:sz="4" w:space="0"/>
              <w:left w:val="single" w:color="auto" w:sz="4" w:space="0"/>
              <w:right w:val="single" w:color="auto" w:sz="4" w:space="0"/>
            </w:tcBorders>
            <w:shd w:val="clear" w:color="auto" w:fill="FFFFFF"/>
          </w:tcPr>
          <w:p w14:paraId="75827E2E">
            <w:pPr>
              <w:pStyle w:val="12"/>
              <w:shd w:val="clear" w:color="auto" w:fill="auto"/>
              <w:spacing w:line="240" w:lineRule="auto"/>
              <w:ind w:firstLine="0"/>
              <w:jc w:val="both"/>
              <w:rPr>
                <w:sz w:val="20"/>
                <w:szCs w:val="20"/>
              </w:rPr>
            </w:pPr>
            <w:r>
              <w:rPr>
                <w:rStyle w:val="25"/>
                <w:spacing w:val="0"/>
              </w:rPr>
              <w:t>MSKCC prognostičk</w:t>
            </w:r>
            <w:r>
              <w:rPr>
                <w:rStyle w:val="25"/>
                <w:spacing w:val="0"/>
                <w:lang w:val="hr-BA"/>
              </w:rPr>
              <w:t>i</w:t>
            </w:r>
            <w:r>
              <w:rPr>
                <w:rStyle w:val="25"/>
                <w:spacing w:val="0"/>
              </w:rPr>
              <w:t xml:space="preserve"> skor (slijepa nezavisna centralna procjena)</w:t>
            </w:r>
          </w:p>
        </w:tc>
      </w:tr>
      <w:tr w14:paraId="6FB7082B">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7FB17C4A">
            <w:pPr>
              <w:pStyle w:val="12"/>
              <w:shd w:val="clear" w:color="auto" w:fill="auto"/>
              <w:spacing w:line="240" w:lineRule="auto"/>
              <w:ind w:firstLine="0"/>
              <w:jc w:val="both"/>
              <w:rPr>
                <w:sz w:val="20"/>
                <w:szCs w:val="20"/>
              </w:rPr>
            </w:pPr>
            <w:r>
              <w:rPr>
                <w:rStyle w:val="24"/>
                <w:sz w:val="20"/>
                <w:szCs w:val="20"/>
              </w:rPr>
              <w:t>Povoljan rizik</w:t>
            </w:r>
          </w:p>
        </w:tc>
        <w:tc>
          <w:tcPr>
            <w:tcW w:w="721" w:type="dxa"/>
            <w:tcBorders>
              <w:top w:val="single" w:color="auto" w:sz="4" w:space="0"/>
              <w:left w:val="single" w:color="auto" w:sz="4" w:space="0"/>
            </w:tcBorders>
            <w:shd w:val="clear" w:color="auto" w:fill="FFFFFF"/>
          </w:tcPr>
          <w:p w14:paraId="56FA185F">
            <w:pPr>
              <w:pStyle w:val="12"/>
              <w:shd w:val="clear" w:color="auto" w:fill="auto"/>
              <w:spacing w:line="240" w:lineRule="auto"/>
              <w:ind w:firstLine="0"/>
              <w:rPr>
                <w:sz w:val="20"/>
                <w:szCs w:val="20"/>
              </w:rPr>
            </w:pPr>
            <w:r>
              <w:rPr>
                <w:rStyle w:val="24"/>
                <w:sz w:val="20"/>
                <w:szCs w:val="20"/>
              </w:rPr>
              <w:t>120</w:t>
            </w:r>
          </w:p>
        </w:tc>
        <w:tc>
          <w:tcPr>
            <w:tcW w:w="1642" w:type="dxa"/>
            <w:tcBorders>
              <w:top w:val="single" w:color="auto" w:sz="4" w:space="0"/>
              <w:left w:val="single" w:color="auto" w:sz="4" w:space="0"/>
            </w:tcBorders>
            <w:shd w:val="clear" w:color="auto" w:fill="FFFFFF"/>
          </w:tcPr>
          <w:p w14:paraId="5385C728">
            <w:pPr>
              <w:pStyle w:val="12"/>
              <w:shd w:val="clear" w:color="auto" w:fill="auto"/>
              <w:spacing w:line="240" w:lineRule="auto"/>
              <w:ind w:firstLine="0"/>
              <w:rPr>
                <w:sz w:val="20"/>
                <w:szCs w:val="20"/>
              </w:rPr>
            </w:pPr>
            <w:r>
              <w:rPr>
                <w:rStyle w:val="24"/>
                <w:sz w:val="20"/>
                <w:szCs w:val="20"/>
              </w:rPr>
              <w:t>5,8</w:t>
            </w:r>
          </w:p>
          <w:p w14:paraId="4E3630C8">
            <w:pPr>
              <w:pStyle w:val="12"/>
              <w:shd w:val="clear" w:color="auto" w:fill="auto"/>
              <w:spacing w:line="240" w:lineRule="auto"/>
              <w:ind w:firstLine="0"/>
              <w:rPr>
                <w:sz w:val="20"/>
                <w:szCs w:val="20"/>
              </w:rPr>
            </w:pPr>
            <w:r>
              <w:rPr>
                <w:rStyle w:val="24"/>
                <w:sz w:val="20"/>
                <w:szCs w:val="20"/>
              </w:rPr>
              <w:t>(4,0-7,4)</w:t>
            </w:r>
          </w:p>
        </w:tc>
        <w:tc>
          <w:tcPr>
            <w:tcW w:w="1642" w:type="dxa"/>
            <w:tcBorders>
              <w:top w:val="single" w:color="auto" w:sz="4" w:space="0"/>
              <w:left w:val="single" w:color="auto" w:sz="4" w:space="0"/>
            </w:tcBorders>
            <w:shd w:val="clear" w:color="auto" w:fill="FFFFFF"/>
          </w:tcPr>
          <w:p w14:paraId="0FFA4E0A">
            <w:pPr>
              <w:pStyle w:val="12"/>
              <w:shd w:val="clear" w:color="auto" w:fill="auto"/>
              <w:spacing w:line="240" w:lineRule="auto"/>
              <w:ind w:firstLine="0"/>
              <w:rPr>
                <w:sz w:val="20"/>
                <w:szCs w:val="20"/>
              </w:rPr>
            </w:pPr>
            <w:r>
              <w:rPr>
                <w:rStyle w:val="24"/>
                <w:sz w:val="20"/>
                <w:szCs w:val="20"/>
              </w:rPr>
              <w:t>1,9</w:t>
            </w:r>
          </w:p>
          <w:p w14:paraId="10907FE5">
            <w:pPr>
              <w:pStyle w:val="12"/>
              <w:shd w:val="clear" w:color="auto" w:fill="auto"/>
              <w:spacing w:line="240" w:lineRule="auto"/>
              <w:ind w:firstLine="0"/>
              <w:rPr>
                <w:sz w:val="20"/>
                <w:szCs w:val="20"/>
              </w:rPr>
            </w:pPr>
            <w:r>
              <w:rPr>
                <w:rStyle w:val="24"/>
                <w:sz w:val="20"/>
                <w:szCs w:val="20"/>
              </w:rPr>
              <w:t>(1,9-2,8)</w:t>
            </w:r>
          </w:p>
        </w:tc>
        <w:tc>
          <w:tcPr>
            <w:tcW w:w="1579" w:type="dxa"/>
            <w:tcBorders>
              <w:top w:val="single" w:color="auto" w:sz="4" w:space="0"/>
              <w:left w:val="single" w:color="auto" w:sz="4" w:space="0"/>
            </w:tcBorders>
            <w:shd w:val="clear" w:color="auto" w:fill="FFFFFF"/>
          </w:tcPr>
          <w:p w14:paraId="128738C1">
            <w:pPr>
              <w:pStyle w:val="12"/>
              <w:shd w:val="clear" w:color="auto" w:fill="auto"/>
              <w:spacing w:line="240" w:lineRule="auto"/>
              <w:ind w:firstLine="0"/>
              <w:rPr>
                <w:sz w:val="20"/>
                <w:szCs w:val="20"/>
              </w:rPr>
            </w:pPr>
            <w:r>
              <w:rPr>
                <w:rStyle w:val="24"/>
                <w:sz w:val="20"/>
                <w:szCs w:val="20"/>
              </w:rPr>
              <w:t>0,31</w:t>
            </w:r>
          </w:p>
          <w:p w14:paraId="6898FF4E">
            <w:pPr>
              <w:pStyle w:val="12"/>
              <w:shd w:val="clear" w:color="auto" w:fill="auto"/>
              <w:spacing w:line="240" w:lineRule="auto"/>
              <w:ind w:firstLine="0"/>
              <w:rPr>
                <w:sz w:val="20"/>
                <w:szCs w:val="20"/>
              </w:rPr>
            </w:pPr>
            <w:r>
              <w:rPr>
                <w:rStyle w:val="24"/>
                <w:sz w:val="20"/>
                <w:szCs w:val="20"/>
              </w:rPr>
              <w:t>(0,19-0,50)</w:t>
            </w:r>
          </w:p>
        </w:tc>
        <w:tc>
          <w:tcPr>
            <w:tcW w:w="1229" w:type="dxa"/>
            <w:tcBorders>
              <w:top w:val="single" w:color="auto" w:sz="4" w:space="0"/>
              <w:left w:val="single" w:color="auto" w:sz="4" w:space="0"/>
              <w:right w:val="single" w:color="auto" w:sz="4" w:space="0"/>
            </w:tcBorders>
            <w:shd w:val="clear" w:color="auto" w:fill="FFFFFF"/>
          </w:tcPr>
          <w:p w14:paraId="50874035">
            <w:pPr>
              <w:pStyle w:val="12"/>
              <w:shd w:val="clear" w:color="auto" w:fill="auto"/>
              <w:spacing w:line="240" w:lineRule="auto"/>
              <w:ind w:firstLine="0"/>
              <w:rPr>
                <w:sz w:val="20"/>
                <w:szCs w:val="20"/>
              </w:rPr>
            </w:pPr>
            <w:r>
              <w:rPr>
                <w:rStyle w:val="24"/>
                <w:sz w:val="20"/>
                <w:szCs w:val="20"/>
              </w:rPr>
              <w:t>&lt;0,0001</w:t>
            </w:r>
          </w:p>
        </w:tc>
      </w:tr>
      <w:tr w14:paraId="2895CA06">
        <w:tblPrEx>
          <w:tblCellMar>
            <w:top w:w="0" w:type="dxa"/>
            <w:left w:w="10" w:type="dxa"/>
            <w:bottom w:w="0" w:type="dxa"/>
            <w:right w:w="10" w:type="dxa"/>
          </w:tblCellMar>
        </w:tblPrEx>
        <w:trPr>
          <w:trHeight w:val="755" w:hRule="atLeast"/>
        </w:trPr>
        <w:tc>
          <w:tcPr>
            <w:tcW w:w="2515" w:type="dxa"/>
            <w:tcBorders>
              <w:top w:val="single" w:color="auto" w:sz="4" w:space="0"/>
              <w:left w:val="single" w:color="auto" w:sz="4" w:space="0"/>
            </w:tcBorders>
            <w:shd w:val="clear" w:color="auto" w:fill="FFFFFF"/>
          </w:tcPr>
          <w:p w14:paraId="5BC14E6F">
            <w:pPr>
              <w:pStyle w:val="12"/>
              <w:shd w:val="clear" w:color="auto" w:fill="auto"/>
              <w:spacing w:line="240" w:lineRule="auto"/>
              <w:ind w:firstLine="0"/>
              <w:jc w:val="both"/>
              <w:rPr>
                <w:sz w:val="20"/>
                <w:szCs w:val="20"/>
              </w:rPr>
            </w:pPr>
            <w:r>
              <w:rPr>
                <w:rStyle w:val="24"/>
                <w:sz w:val="20"/>
                <w:szCs w:val="20"/>
              </w:rPr>
              <w:t>Srednji rizik</w:t>
            </w:r>
          </w:p>
        </w:tc>
        <w:tc>
          <w:tcPr>
            <w:tcW w:w="721" w:type="dxa"/>
            <w:tcBorders>
              <w:top w:val="single" w:color="auto" w:sz="4" w:space="0"/>
              <w:left w:val="single" w:color="auto" w:sz="4" w:space="0"/>
            </w:tcBorders>
            <w:shd w:val="clear" w:color="auto" w:fill="FFFFFF"/>
          </w:tcPr>
          <w:p w14:paraId="21EAD90F">
            <w:pPr>
              <w:pStyle w:val="12"/>
              <w:shd w:val="clear" w:color="auto" w:fill="auto"/>
              <w:spacing w:line="240" w:lineRule="auto"/>
              <w:ind w:firstLine="0"/>
              <w:rPr>
                <w:sz w:val="20"/>
                <w:szCs w:val="20"/>
              </w:rPr>
            </w:pPr>
            <w:r>
              <w:rPr>
                <w:rStyle w:val="24"/>
                <w:sz w:val="20"/>
                <w:szCs w:val="20"/>
              </w:rPr>
              <w:t>235</w:t>
            </w:r>
          </w:p>
        </w:tc>
        <w:tc>
          <w:tcPr>
            <w:tcW w:w="1642" w:type="dxa"/>
            <w:tcBorders>
              <w:top w:val="single" w:color="auto" w:sz="4" w:space="0"/>
              <w:left w:val="single" w:color="auto" w:sz="4" w:space="0"/>
            </w:tcBorders>
            <w:shd w:val="clear" w:color="auto" w:fill="FFFFFF"/>
          </w:tcPr>
          <w:p w14:paraId="4995DB08">
            <w:pPr>
              <w:pStyle w:val="12"/>
              <w:shd w:val="clear" w:color="auto" w:fill="auto"/>
              <w:spacing w:line="240" w:lineRule="auto"/>
              <w:ind w:firstLine="0"/>
              <w:rPr>
                <w:sz w:val="20"/>
                <w:szCs w:val="20"/>
              </w:rPr>
            </w:pPr>
            <w:r>
              <w:rPr>
                <w:rStyle w:val="24"/>
                <w:sz w:val="20"/>
                <w:szCs w:val="20"/>
              </w:rPr>
              <w:t>4,5</w:t>
            </w:r>
          </w:p>
          <w:p w14:paraId="15009FCB">
            <w:pPr>
              <w:pStyle w:val="12"/>
              <w:shd w:val="clear" w:color="auto" w:fill="auto"/>
              <w:spacing w:line="240" w:lineRule="auto"/>
              <w:ind w:firstLine="0"/>
              <w:rPr>
                <w:sz w:val="20"/>
                <w:szCs w:val="20"/>
              </w:rPr>
            </w:pPr>
            <w:r>
              <w:rPr>
                <w:rStyle w:val="24"/>
                <w:sz w:val="20"/>
                <w:szCs w:val="20"/>
              </w:rPr>
              <w:t>(3,8-5,5)</w:t>
            </w:r>
          </w:p>
        </w:tc>
        <w:tc>
          <w:tcPr>
            <w:tcW w:w="1642" w:type="dxa"/>
            <w:tcBorders>
              <w:top w:val="single" w:color="auto" w:sz="4" w:space="0"/>
              <w:left w:val="single" w:color="auto" w:sz="4" w:space="0"/>
            </w:tcBorders>
            <w:shd w:val="clear" w:color="auto" w:fill="FFFFFF"/>
          </w:tcPr>
          <w:p w14:paraId="53FEF913">
            <w:pPr>
              <w:pStyle w:val="12"/>
              <w:shd w:val="clear" w:color="auto" w:fill="auto"/>
              <w:spacing w:line="240" w:lineRule="auto"/>
              <w:ind w:firstLine="0"/>
              <w:rPr>
                <w:sz w:val="20"/>
                <w:szCs w:val="20"/>
              </w:rPr>
            </w:pPr>
            <w:r>
              <w:rPr>
                <w:rStyle w:val="24"/>
                <w:sz w:val="20"/>
                <w:szCs w:val="20"/>
              </w:rPr>
              <w:t>1,8</w:t>
            </w:r>
          </w:p>
          <w:p w14:paraId="77A62EEE">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3D636948">
            <w:pPr>
              <w:pStyle w:val="12"/>
              <w:shd w:val="clear" w:color="auto" w:fill="auto"/>
              <w:spacing w:line="240" w:lineRule="auto"/>
              <w:ind w:firstLine="0"/>
              <w:rPr>
                <w:sz w:val="20"/>
                <w:szCs w:val="20"/>
              </w:rPr>
            </w:pPr>
            <w:r>
              <w:rPr>
                <w:rStyle w:val="24"/>
                <w:sz w:val="20"/>
                <w:szCs w:val="20"/>
              </w:rPr>
              <w:t>0,32</w:t>
            </w:r>
          </w:p>
          <w:p w14:paraId="29CABCB5">
            <w:pPr>
              <w:pStyle w:val="12"/>
              <w:shd w:val="clear" w:color="auto" w:fill="auto"/>
              <w:spacing w:line="240" w:lineRule="auto"/>
              <w:ind w:firstLine="0"/>
              <w:rPr>
                <w:sz w:val="20"/>
                <w:szCs w:val="20"/>
              </w:rPr>
            </w:pPr>
            <w:r>
              <w:rPr>
                <w:rStyle w:val="24"/>
                <w:sz w:val="20"/>
                <w:szCs w:val="20"/>
              </w:rPr>
              <w:t>(0,22-0,44)</w:t>
            </w:r>
          </w:p>
        </w:tc>
        <w:tc>
          <w:tcPr>
            <w:tcW w:w="1229" w:type="dxa"/>
            <w:tcBorders>
              <w:top w:val="single" w:color="auto" w:sz="4" w:space="0"/>
              <w:left w:val="single" w:color="auto" w:sz="4" w:space="0"/>
              <w:right w:val="single" w:color="auto" w:sz="4" w:space="0"/>
            </w:tcBorders>
            <w:shd w:val="clear" w:color="auto" w:fill="FFFFFF"/>
          </w:tcPr>
          <w:p w14:paraId="61B64584">
            <w:pPr>
              <w:pStyle w:val="12"/>
              <w:shd w:val="clear" w:color="auto" w:fill="auto"/>
              <w:spacing w:line="240" w:lineRule="auto"/>
              <w:ind w:firstLine="0"/>
              <w:rPr>
                <w:sz w:val="20"/>
                <w:szCs w:val="20"/>
              </w:rPr>
            </w:pPr>
            <w:r>
              <w:rPr>
                <w:rStyle w:val="24"/>
                <w:sz w:val="20"/>
                <w:szCs w:val="20"/>
              </w:rPr>
              <w:t>&lt;0,0001</w:t>
            </w:r>
          </w:p>
        </w:tc>
      </w:tr>
      <w:tr w14:paraId="0F22C5CD">
        <w:tblPrEx>
          <w:tblCellMar>
            <w:top w:w="0" w:type="dxa"/>
            <w:left w:w="10" w:type="dxa"/>
            <w:bottom w:w="0" w:type="dxa"/>
            <w:right w:w="10" w:type="dxa"/>
          </w:tblCellMar>
        </w:tblPrEx>
        <w:trPr>
          <w:trHeight w:val="533" w:hRule="atLeast"/>
        </w:trPr>
        <w:tc>
          <w:tcPr>
            <w:tcW w:w="2530" w:type="dxa"/>
            <w:tcBorders>
              <w:top w:val="single" w:color="auto" w:sz="4" w:space="0"/>
              <w:left w:val="single" w:color="auto" w:sz="4" w:space="0"/>
            </w:tcBorders>
            <w:shd w:val="clear" w:color="auto" w:fill="FFFFFF"/>
          </w:tcPr>
          <w:p w14:paraId="1573FF54">
            <w:pPr>
              <w:pStyle w:val="12"/>
              <w:shd w:val="clear" w:color="auto" w:fill="auto"/>
              <w:spacing w:line="240" w:lineRule="auto"/>
              <w:ind w:firstLine="0"/>
              <w:jc w:val="both"/>
              <w:rPr>
                <w:sz w:val="20"/>
                <w:szCs w:val="20"/>
              </w:rPr>
            </w:pPr>
            <w:r>
              <w:rPr>
                <w:rStyle w:val="24"/>
                <w:sz w:val="20"/>
                <w:szCs w:val="20"/>
              </w:rPr>
              <w:t>Nizak rizik</w:t>
            </w:r>
          </w:p>
        </w:tc>
        <w:tc>
          <w:tcPr>
            <w:tcW w:w="706" w:type="dxa"/>
            <w:tcBorders>
              <w:top w:val="single" w:color="auto" w:sz="4" w:space="0"/>
              <w:left w:val="single" w:color="auto" w:sz="4" w:space="0"/>
            </w:tcBorders>
            <w:shd w:val="clear" w:color="auto" w:fill="FFFFFF"/>
          </w:tcPr>
          <w:p w14:paraId="1E17075E">
            <w:pPr>
              <w:pStyle w:val="12"/>
              <w:shd w:val="clear" w:color="auto" w:fill="auto"/>
              <w:spacing w:line="240" w:lineRule="auto"/>
              <w:ind w:firstLine="0"/>
              <w:rPr>
                <w:sz w:val="20"/>
                <w:szCs w:val="20"/>
              </w:rPr>
            </w:pPr>
            <w:r>
              <w:rPr>
                <w:rStyle w:val="24"/>
                <w:sz w:val="20"/>
                <w:szCs w:val="20"/>
              </w:rPr>
              <w:t>61</w:t>
            </w:r>
          </w:p>
        </w:tc>
        <w:tc>
          <w:tcPr>
            <w:tcW w:w="1642" w:type="dxa"/>
            <w:tcBorders>
              <w:top w:val="single" w:color="auto" w:sz="4" w:space="0"/>
              <w:left w:val="single" w:color="auto" w:sz="4" w:space="0"/>
            </w:tcBorders>
            <w:shd w:val="clear" w:color="auto" w:fill="FFFFFF"/>
          </w:tcPr>
          <w:p w14:paraId="7482706B">
            <w:pPr>
              <w:widowControl/>
              <w:autoSpaceDE w:val="0"/>
              <w:autoSpaceDN w:val="0"/>
              <w:adjustRightInd w:val="0"/>
              <w:jc w:val="center"/>
              <w:rPr>
                <w:rFonts w:ascii="Microsoft Sans Serif" w:hAnsi="Microsoft Sans Serif" w:eastAsia="Times New Roman" w:cs="Microsoft Sans Serif"/>
                <w:sz w:val="20"/>
                <w:szCs w:val="20"/>
                <w:lang w:val="en-US" w:eastAsia="en-US"/>
              </w:rPr>
            </w:pPr>
            <w:r>
              <w:rPr>
                <w:rFonts w:ascii="Microsoft Sans Serif" w:hAnsi="Microsoft Sans Serif" w:eastAsia="Times New Roman" w:cs="Microsoft Sans Serif"/>
                <w:sz w:val="20"/>
                <w:szCs w:val="20"/>
                <w:lang w:val="en-US" w:eastAsia="en-US"/>
              </w:rPr>
              <w:t>3,6</w:t>
            </w:r>
          </w:p>
          <w:p w14:paraId="4B1FBFD1">
            <w:pPr>
              <w:pStyle w:val="12"/>
              <w:shd w:val="clear" w:color="auto" w:fill="auto"/>
              <w:spacing w:line="240" w:lineRule="auto"/>
              <w:ind w:firstLine="0"/>
              <w:rPr>
                <w:sz w:val="20"/>
                <w:szCs w:val="20"/>
              </w:rPr>
            </w:pPr>
            <w:r>
              <w:rPr>
                <w:rFonts w:eastAsia="Times New Roman"/>
                <w:sz w:val="20"/>
                <w:szCs w:val="20"/>
                <w:lang w:val="en-US" w:eastAsia="en-US"/>
              </w:rPr>
              <w:t>(1.9-4.6)</w:t>
            </w:r>
          </w:p>
        </w:tc>
        <w:tc>
          <w:tcPr>
            <w:tcW w:w="1642" w:type="dxa"/>
            <w:tcBorders>
              <w:top w:val="single" w:color="auto" w:sz="4" w:space="0"/>
              <w:left w:val="single" w:color="auto" w:sz="4" w:space="0"/>
            </w:tcBorders>
            <w:shd w:val="clear" w:color="auto" w:fill="FFFFFF"/>
          </w:tcPr>
          <w:p w14:paraId="1C0E9403">
            <w:pPr>
              <w:pStyle w:val="12"/>
              <w:shd w:val="clear" w:color="auto" w:fill="auto"/>
              <w:spacing w:line="240" w:lineRule="auto"/>
              <w:ind w:firstLine="0"/>
              <w:rPr>
                <w:sz w:val="20"/>
                <w:szCs w:val="20"/>
              </w:rPr>
            </w:pPr>
            <w:r>
              <w:rPr>
                <w:rStyle w:val="24"/>
                <w:sz w:val="20"/>
                <w:szCs w:val="20"/>
              </w:rPr>
              <w:t>1,8</w:t>
            </w:r>
          </w:p>
          <w:p w14:paraId="7650FDD2">
            <w:pPr>
              <w:pStyle w:val="12"/>
              <w:shd w:val="clear" w:color="auto" w:fill="auto"/>
              <w:spacing w:line="240" w:lineRule="auto"/>
              <w:ind w:firstLine="0"/>
              <w:rPr>
                <w:sz w:val="20"/>
                <w:szCs w:val="20"/>
              </w:rPr>
            </w:pPr>
            <w:r>
              <w:rPr>
                <w:rStyle w:val="24"/>
                <w:sz w:val="20"/>
                <w:szCs w:val="20"/>
              </w:rPr>
              <w:t>(1,8-3,6)</w:t>
            </w:r>
          </w:p>
        </w:tc>
        <w:tc>
          <w:tcPr>
            <w:tcW w:w="1579" w:type="dxa"/>
            <w:tcBorders>
              <w:top w:val="single" w:color="auto" w:sz="4" w:space="0"/>
              <w:left w:val="single" w:color="auto" w:sz="4" w:space="0"/>
            </w:tcBorders>
            <w:shd w:val="clear" w:color="auto" w:fill="FFFFFF"/>
          </w:tcPr>
          <w:p w14:paraId="1C264D1D">
            <w:pPr>
              <w:pStyle w:val="12"/>
              <w:shd w:val="clear" w:color="auto" w:fill="auto"/>
              <w:spacing w:line="240" w:lineRule="auto"/>
              <w:ind w:firstLine="0"/>
              <w:rPr>
                <w:sz w:val="20"/>
                <w:szCs w:val="20"/>
              </w:rPr>
            </w:pPr>
            <w:r>
              <w:rPr>
                <w:rStyle w:val="24"/>
                <w:sz w:val="20"/>
                <w:szCs w:val="20"/>
              </w:rPr>
              <w:t>0,44</w:t>
            </w:r>
          </w:p>
          <w:p w14:paraId="046913B3">
            <w:pPr>
              <w:pStyle w:val="12"/>
              <w:shd w:val="clear" w:color="auto" w:fill="auto"/>
              <w:spacing w:line="240" w:lineRule="auto"/>
              <w:ind w:firstLine="0"/>
              <w:rPr>
                <w:sz w:val="20"/>
                <w:szCs w:val="20"/>
              </w:rPr>
            </w:pPr>
            <w:r>
              <w:rPr>
                <w:rStyle w:val="24"/>
                <w:sz w:val="20"/>
                <w:szCs w:val="20"/>
              </w:rPr>
              <w:t>(0,22-0,85)</w:t>
            </w:r>
          </w:p>
        </w:tc>
        <w:tc>
          <w:tcPr>
            <w:tcW w:w="1229" w:type="dxa"/>
            <w:tcBorders>
              <w:top w:val="single" w:color="auto" w:sz="4" w:space="0"/>
              <w:left w:val="single" w:color="auto" w:sz="4" w:space="0"/>
              <w:right w:val="single" w:color="auto" w:sz="4" w:space="0"/>
            </w:tcBorders>
            <w:shd w:val="clear" w:color="auto" w:fill="FFFFFF"/>
          </w:tcPr>
          <w:p w14:paraId="4E257C6A">
            <w:pPr>
              <w:pStyle w:val="12"/>
              <w:shd w:val="clear" w:color="auto" w:fill="auto"/>
              <w:spacing w:line="240" w:lineRule="auto"/>
              <w:ind w:firstLine="0"/>
              <w:rPr>
                <w:sz w:val="20"/>
                <w:szCs w:val="20"/>
              </w:rPr>
            </w:pPr>
            <w:r>
              <w:rPr>
                <w:rStyle w:val="24"/>
                <w:sz w:val="20"/>
                <w:szCs w:val="20"/>
              </w:rPr>
              <w:t>0,007</w:t>
            </w:r>
          </w:p>
        </w:tc>
      </w:tr>
      <w:tr w14:paraId="781A7F78">
        <w:tblPrEx>
          <w:tblCellMar>
            <w:top w:w="0" w:type="dxa"/>
            <w:left w:w="10" w:type="dxa"/>
            <w:bottom w:w="0" w:type="dxa"/>
            <w:right w:w="10" w:type="dxa"/>
          </w:tblCellMar>
        </w:tblPrEx>
        <w:trPr>
          <w:trHeight w:val="398" w:hRule="atLeast"/>
        </w:trPr>
        <w:tc>
          <w:tcPr>
            <w:tcW w:w="9328" w:type="dxa"/>
            <w:gridSpan w:val="6"/>
            <w:tcBorders>
              <w:top w:val="single" w:color="auto" w:sz="4" w:space="0"/>
              <w:left w:val="single" w:color="auto" w:sz="4" w:space="0"/>
              <w:bottom w:val="single" w:color="auto" w:sz="4" w:space="0"/>
              <w:right w:val="single" w:color="auto" w:sz="4" w:space="0"/>
            </w:tcBorders>
            <w:shd w:val="clear" w:color="auto" w:fill="FFFFFF"/>
          </w:tcPr>
          <w:p w14:paraId="440B1467">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Stratificirano log-rank testom</w:t>
            </w:r>
          </w:p>
        </w:tc>
      </w:tr>
    </w:tbl>
    <w:p w14:paraId="2B990672">
      <w:pPr>
        <w:widowControl/>
        <w:autoSpaceDE w:val="0"/>
        <w:autoSpaceDN w:val="0"/>
        <w:adjustRightInd w:val="0"/>
        <w:rPr>
          <w:rFonts w:ascii="Microsoft Sans Serif" w:hAnsi="Microsoft Sans Serif" w:cs="Microsoft Sans Serif"/>
          <w:b/>
          <w:bCs/>
          <w:color w:val="auto"/>
          <w:sz w:val="20"/>
          <w:szCs w:val="20"/>
          <w:lang w:val="en-US"/>
        </w:rPr>
      </w:pPr>
    </w:p>
    <w:p w14:paraId="134D71D9">
      <w:pPr>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br w:type="page"/>
      </w:r>
    </w:p>
    <w:p w14:paraId="139FA853">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Slika 6 RECORD-1 – Kaplan-Meier</w:t>
      </w:r>
      <w:r>
        <w:rPr>
          <w:rFonts w:ascii="Microsoft Sans Serif" w:hAnsi="Microsoft Sans Serif" w:cs="Microsoft Sans Serif"/>
          <w:b/>
          <w:bCs/>
          <w:color w:val="auto"/>
          <w:sz w:val="20"/>
          <w:szCs w:val="20"/>
          <w:lang w:val="sr-Cyrl-RS"/>
        </w:rPr>
        <w:t>-</w:t>
      </w:r>
      <w:r>
        <w:rPr>
          <w:rFonts w:ascii="Microsoft Sans Serif" w:hAnsi="Microsoft Sans Serif" w:cs="Microsoft Sans Serif"/>
          <w:b/>
          <w:bCs/>
          <w:color w:val="auto"/>
          <w:sz w:val="20"/>
          <w:szCs w:val="20"/>
          <w:lang w:val="en-US"/>
        </w:rPr>
        <w:t>ov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kriv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preživljavanja bez progresije bolesti (nezavisna</w:t>
      </w:r>
    </w:p>
    <w:p w14:paraId="6F093777">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centralna procjena)</w:t>
      </w:r>
    </w:p>
    <w:p w14:paraId="4FA1BCBA">
      <w:pPr>
        <w:jc w:val="both"/>
        <w:rPr>
          <w:rFonts w:ascii="Microsoft Sans Serif" w:hAnsi="Microsoft Sans Serif" w:cs="Microsoft Sans Serif"/>
          <w:sz w:val="20"/>
          <w:szCs w:val="20"/>
        </w:rPr>
      </w:pPr>
      <w:r>
        <w:rPr>
          <w:szCs w:val="22"/>
          <w:lang w:val="en-US" w:eastAsia="en-US"/>
        </w:rPr>
        <w:drawing>
          <wp:inline distT="0" distB="0" distL="0" distR="0">
            <wp:extent cx="4846955" cy="3528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51260" cy="3531020"/>
                    </a:xfrm>
                    <a:prstGeom prst="rect">
                      <a:avLst/>
                    </a:prstGeom>
                    <a:noFill/>
                    <a:ln>
                      <a:noFill/>
                    </a:ln>
                  </pic:spPr>
                </pic:pic>
              </a:graphicData>
            </a:graphic>
          </wp:inline>
        </w:drawing>
      </w:r>
    </w:p>
    <w:p w14:paraId="0AD20603">
      <w:pPr>
        <w:pStyle w:val="12"/>
        <w:shd w:val="clear" w:color="auto" w:fill="auto"/>
        <w:spacing w:line="240" w:lineRule="auto"/>
        <w:ind w:firstLine="0"/>
        <w:jc w:val="both"/>
        <w:rPr>
          <w:sz w:val="20"/>
          <w:szCs w:val="20"/>
        </w:rPr>
      </w:pPr>
    </w:p>
    <w:p w14:paraId="363D5DC8">
      <w:pPr>
        <w:pStyle w:val="12"/>
        <w:shd w:val="clear" w:color="auto" w:fill="auto"/>
        <w:spacing w:line="240" w:lineRule="auto"/>
        <w:ind w:firstLine="0"/>
        <w:jc w:val="both"/>
        <w:rPr>
          <w:sz w:val="20"/>
          <w:szCs w:val="20"/>
        </w:rPr>
      </w:pPr>
      <w:r>
        <w:rPr>
          <w:sz w:val="20"/>
          <w:szCs w:val="20"/>
        </w:rPr>
        <w:t>Šestomjesečne stope preživljavanja bez progresije bolesti bile su 36% za terapiju everolimusom u poređenju sa 9% za placebo.</w:t>
      </w:r>
    </w:p>
    <w:p w14:paraId="3554FC17">
      <w:pPr>
        <w:pStyle w:val="12"/>
        <w:shd w:val="clear" w:color="auto" w:fill="auto"/>
        <w:spacing w:line="240" w:lineRule="auto"/>
        <w:ind w:firstLine="0"/>
        <w:jc w:val="both"/>
        <w:rPr>
          <w:sz w:val="20"/>
          <w:szCs w:val="20"/>
        </w:rPr>
      </w:pPr>
    </w:p>
    <w:p w14:paraId="6B43A070">
      <w:pPr>
        <w:pStyle w:val="12"/>
        <w:shd w:val="clear" w:color="auto" w:fill="auto"/>
        <w:spacing w:line="240" w:lineRule="auto"/>
        <w:ind w:firstLine="0"/>
        <w:jc w:val="both"/>
        <w:rPr>
          <w:sz w:val="20"/>
          <w:szCs w:val="20"/>
        </w:rPr>
      </w:pPr>
      <w:r>
        <w:rPr>
          <w:sz w:val="20"/>
          <w:szCs w:val="20"/>
        </w:rPr>
        <w:t>Potvrđeni objektivni tumorski odgovori zabilježeni su kod 5 pacijenata (2%) koji su primili everolimus, dok kod pacijenata koji su primili placebo nije zabilježen niti jedan. Zbog toga se prednost u preživljavanju bez progresije bolesti prvenstveno odnosi na populaciju pacijenta sa stabilizacijom bolesti (što predstavlja 67% pacijenata u grupi liječenoj everolimusom).</w:t>
      </w:r>
    </w:p>
    <w:p w14:paraId="1C6EE047">
      <w:pPr>
        <w:pStyle w:val="12"/>
        <w:shd w:val="clear" w:color="auto" w:fill="auto"/>
        <w:spacing w:line="240" w:lineRule="auto"/>
        <w:ind w:firstLine="0"/>
        <w:jc w:val="both"/>
        <w:rPr>
          <w:sz w:val="20"/>
          <w:szCs w:val="20"/>
        </w:rPr>
      </w:pPr>
      <w:r>
        <w:rPr>
          <w:sz w:val="20"/>
          <w:szCs w:val="20"/>
        </w:rPr>
        <w:t>Nije zabilježena statistički značajna razlika povezana sa liječenjem u ukupnom preživljavanju (omjer hazarda 0,87; interval pouzdanosti: 0,65-1,17; p=0,177). Prelazak na liječenje everolimusom u otovrenom dijelu studije nakon progresije bolesti</w:t>
      </w:r>
      <w:r>
        <w:rPr>
          <w:sz w:val="20"/>
          <w:szCs w:val="20"/>
          <w:lang w:val="mk-MK"/>
        </w:rPr>
        <w:t>,</w:t>
      </w:r>
      <w:r>
        <w:rPr>
          <w:sz w:val="20"/>
          <w:szCs w:val="20"/>
        </w:rPr>
        <w:t xml:space="preserve"> za pacijente koji su prethodno primali placebo onemogućilo je otkrivanje bilo kakve razlike u ukupnom preživljavanju vezane </w:t>
      </w:r>
      <w:r>
        <w:rPr>
          <w:sz w:val="20"/>
          <w:szCs w:val="20"/>
          <w:lang w:val="hr-BA"/>
        </w:rPr>
        <w:t>za primjenjenu terapiju</w:t>
      </w:r>
      <w:r>
        <w:rPr>
          <w:sz w:val="20"/>
          <w:szCs w:val="20"/>
        </w:rPr>
        <w:t>.</w:t>
      </w:r>
    </w:p>
    <w:p w14:paraId="649EB35F">
      <w:pPr>
        <w:pStyle w:val="12"/>
        <w:shd w:val="clear" w:color="auto" w:fill="auto"/>
        <w:spacing w:line="240" w:lineRule="auto"/>
        <w:ind w:firstLine="0"/>
        <w:jc w:val="both"/>
        <w:rPr>
          <w:sz w:val="20"/>
          <w:szCs w:val="20"/>
        </w:rPr>
      </w:pPr>
    </w:p>
    <w:p w14:paraId="37542A77">
      <w:pPr>
        <w:pStyle w:val="12"/>
        <w:shd w:val="clear" w:color="auto" w:fill="auto"/>
        <w:spacing w:line="240" w:lineRule="auto"/>
        <w:ind w:firstLine="0"/>
        <w:jc w:val="both"/>
        <w:rPr>
          <w:i/>
          <w:sz w:val="20"/>
          <w:szCs w:val="20"/>
          <w:u w:val="single"/>
        </w:rPr>
      </w:pPr>
      <w:r>
        <w:rPr>
          <w:rStyle w:val="19"/>
          <w:i/>
          <w:sz w:val="20"/>
          <w:szCs w:val="20"/>
        </w:rPr>
        <w:t>Ostala ispitivanja</w:t>
      </w:r>
    </w:p>
    <w:p w14:paraId="32EDE0BC">
      <w:pPr>
        <w:pStyle w:val="12"/>
        <w:shd w:val="clear" w:color="auto" w:fill="auto"/>
        <w:spacing w:line="240" w:lineRule="auto"/>
        <w:ind w:firstLine="0"/>
        <w:jc w:val="both"/>
        <w:rPr>
          <w:sz w:val="20"/>
          <w:szCs w:val="20"/>
        </w:rPr>
      </w:pPr>
      <w:r>
        <w:rPr>
          <w:sz w:val="20"/>
          <w:szCs w:val="20"/>
        </w:rPr>
        <w:t>Stomatitis je najčešće prijavljeno neželjeno dejstvo kod pacijenata liječenih everolimusom (pogledati dijelove 4.4 i 4.8). U ispitivanju sa jednom grupom ispitanika, sprovedenom nakon stavljanja lijeka u promet kod žena u postmenopauzi sa uznapredovalim rakom dojke (N=92), topikalno liječenje bezalkoholnom oralnim rastvorom deksametazona 0,5 mg/5 ml primijenjeno je kao rastvor za ispiranje usta (4 puta dnevno tokom prvih 8 nedelja liječenja) pacijentima u vrijeme započinjanja liječenja everolimusom (10 mg/dan) uz eksemestan (25 mg/dan), radi smanjenja incidencije i težine stomatitisa. Incidenca stomatitisa stepena ≥2 u 8. nedelji bila je 2,4% (n=2/85 ocjenjivih pacijenata), što je bilo manje nego prethodno prijavljeno. Incidenca stomatitisa stepena 1 bila je 18,8% (n=16/85), a nije bio prijavljen nijedan slučaj stomatitisa stepena 3 ili 4. Ukupni bezbjednosni profil u ovom ispitivanju bio je u skladu sa profilom everolimusa za onkološke pacijente i pacijente sa kompleksom tuberozne skleroze (KTS), uz izuzetak blago povećane učestalosti oralne kandidijaze koja je bila zabilježena kod 2,2% (n=2/92) pacijenata.</w:t>
      </w:r>
    </w:p>
    <w:p w14:paraId="6AD36D67">
      <w:pPr>
        <w:pStyle w:val="12"/>
        <w:shd w:val="clear" w:color="auto" w:fill="auto"/>
        <w:tabs>
          <w:tab w:val="left" w:pos="375"/>
        </w:tabs>
        <w:spacing w:line="240" w:lineRule="auto"/>
        <w:ind w:firstLine="0"/>
        <w:jc w:val="both"/>
        <w:rPr>
          <w:sz w:val="20"/>
          <w:szCs w:val="20"/>
        </w:rPr>
      </w:pPr>
    </w:p>
    <w:p w14:paraId="4C18F1D7">
      <w:pPr>
        <w:pStyle w:val="12"/>
        <w:shd w:val="clear" w:color="auto" w:fill="auto"/>
        <w:spacing w:line="240" w:lineRule="auto"/>
        <w:ind w:firstLine="0"/>
        <w:jc w:val="both"/>
        <w:rPr>
          <w:rStyle w:val="19"/>
          <w:sz w:val="20"/>
          <w:szCs w:val="20"/>
        </w:rPr>
      </w:pPr>
      <w:r>
        <w:rPr>
          <w:rStyle w:val="19"/>
          <w:sz w:val="20"/>
          <w:szCs w:val="20"/>
        </w:rPr>
        <w:t>Pedijatrijska populacija</w:t>
      </w:r>
    </w:p>
    <w:p w14:paraId="7402B4D2">
      <w:pPr>
        <w:pStyle w:val="12"/>
        <w:shd w:val="clear" w:color="auto" w:fill="auto"/>
        <w:spacing w:line="240" w:lineRule="auto"/>
        <w:ind w:firstLine="0"/>
        <w:jc w:val="both"/>
        <w:rPr>
          <w:sz w:val="20"/>
          <w:szCs w:val="20"/>
        </w:rPr>
      </w:pPr>
      <w:r>
        <w:rPr>
          <w:sz w:val="20"/>
          <w:szCs w:val="20"/>
        </w:rPr>
        <w:t>Europska agencija za lijekove izuzela je obavezu podnošenja rezultata ispitivanja everolimusa u svim podgrupama pedijatrijske populacije za neuroendokrine tumore sa porijeklom u gušterači, torakalne neuroendokrine tumore i za karcinom bubrežnih ćelija (pogledati dio 4.2 za informacije o pedijatrijskoj primjeni).</w:t>
      </w:r>
    </w:p>
    <w:p w14:paraId="7179BD5D">
      <w:pPr>
        <w:pStyle w:val="12"/>
        <w:shd w:val="clear" w:color="auto" w:fill="auto"/>
        <w:spacing w:line="240" w:lineRule="auto"/>
        <w:ind w:firstLine="0"/>
        <w:jc w:val="both"/>
        <w:rPr>
          <w:sz w:val="20"/>
          <w:szCs w:val="20"/>
        </w:rPr>
      </w:pPr>
    </w:p>
    <w:p w14:paraId="741ACB1A">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Farmakokinetičke karakteristike</w:t>
      </w:r>
    </w:p>
    <w:p w14:paraId="42EEA147">
      <w:pPr>
        <w:pStyle w:val="12"/>
        <w:shd w:val="clear" w:color="auto" w:fill="auto"/>
        <w:tabs>
          <w:tab w:val="left" w:pos="591"/>
        </w:tabs>
        <w:spacing w:line="240" w:lineRule="auto"/>
        <w:ind w:firstLine="0"/>
        <w:jc w:val="both"/>
        <w:rPr>
          <w:b/>
          <w:sz w:val="20"/>
          <w:szCs w:val="20"/>
        </w:rPr>
      </w:pPr>
    </w:p>
    <w:p w14:paraId="57ADEBF2">
      <w:pPr>
        <w:pStyle w:val="12"/>
        <w:shd w:val="clear" w:color="auto" w:fill="auto"/>
        <w:spacing w:line="240" w:lineRule="auto"/>
        <w:ind w:firstLine="0"/>
        <w:jc w:val="both"/>
        <w:rPr>
          <w:sz w:val="20"/>
          <w:szCs w:val="20"/>
          <w:u w:val="single"/>
        </w:rPr>
      </w:pPr>
      <w:r>
        <w:rPr>
          <w:rStyle w:val="19"/>
          <w:sz w:val="20"/>
          <w:szCs w:val="20"/>
        </w:rPr>
        <w:t>Apsorpcija</w:t>
      </w:r>
    </w:p>
    <w:p w14:paraId="464183DF">
      <w:pPr>
        <w:pStyle w:val="12"/>
        <w:shd w:val="clear" w:color="auto" w:fill="auto"/>
        <w:spacing w:line="240" w:lineRule="auto"/>
        <w:ind w:firstLine="0"/>
        <w:jc w:val="both"/>
        <w:rPr>
          <w:sz w:val="20"/>
          <w:szCs w:val="20"/>
          <w:u w:val="single"/>
        </w:rPr>
      </w:pPr>
      <w:r>
        <w:rPr>
          <w:sz w:val="20"/>
          <w:szCs w:val="20"/>
        </w:rPr>
        <w:t>Kod pacijenata sa uznapredovalim čvrstim tumorima, maksimalne koncentracije (C</w:t>
      </w:r>
      <w:r>
        <w:rPr>
          <w:sz w:val="20"/>
          <w:szCs w:val="20"/>
          <w:vertAlign w:val="subscript"/>
        </w:rPr>
        <w:t>max</w:t>
      </w:r>
      <w:r>
        <w:rPr>
          <w:sz w:val="20"/>
          <w:szCs w:val="20"/>
        </w:rPr>
        <w:t>) everolimusa dostižu se u medijani vremena od jednog sata nakon primjene dnevne doze od 5 i 10 mg everolimusa, uzete natašte ili uz lagani bezmasni obrok. U rasponu doza od 5 do 10 mg, C</w:t>
      </w:r>
      <w:r>
        <w:rPr>
          <w:sz w:val="20"/>
          <w:szCs w:val="20"/>
          <w:vertAlign w:val="subscript"/>
        </w:rPr>
        <w:t>max</w:t>
      </w:r>
      <w:r>
        <w:rPr>
          <w:sz w:val="20"/>
          <w:szCs w:val="20"/>
        </w:rPr>
        <w:t xml:space="preserve"> je proporcionalan primijenjenoj dozi. Everolimus je supstrat i umjereni inhibitor PgP-a.</w:t>
      </w:r>
    </w:p>
    <w:p w14:paraId="5A6CDD7F">
      <w:pPr>
        <w:pStyle w:val="12"/>
        <w:shd w:val="clear" w:color="auto" w:fill="auto"/>
        <w:spacing w:line="240" w:lineRule="auto"/>
        <w:ind w:firstLine="0"/>
        <w:jc w:val="both"/>
        <w:rPr>
          <w:sz w:val="20"/>
          <w:szCs w:val="20"/>
        </w:rPr>
      </w:pPr>
    </w:p>
    <w:p w14:paraId="1D7A4906">
      <w:pPr>
        <w:pStyle w:val="21"/>
        <w:shd w:val="clear" w:color="auto" w:fill="auto"/>
        <w:spacing w:line="240" w:lineRule="auto"/>
        <w:rPr>
          <w:spacing w:val="0"/>
        </w:rPr>
      </w:pPr>
      <w:r>
        <w:rPr>
          <w:spacing w:val="0"/>
          <w:lang w:val="hr-BA"/>
        </w:rPr>
        <w:t>Efekat</w:t>
      </w:r>
      <w:r>
        <w:rPr>
          <w:spacing w:val="0"/>
        </w:rPr>
        <w:t xml:space="preserve"> hrane</w:t>
      </w:r>
    </w:p>
    <w:p w14:paraId="775036A1">
      <w:pPr>
        <w:pStyle w:val="12"/>
        <w:shd w:val="clear" w:color="auto" w:fill="auto"/>
        <w:spacing w:line="240" w:lineRule="auto"/>
        <w:ind w:firstLine="0"/>
        <w:jc w:val="both"/>
        <w:rPr>
          <w:sz w:val="20"/>
          <w:szCs w:val="20"/>
        </w:rPr>
      </w:pPr>
      <w:r>
        <w:rPr>
          <w:sz w:val="20"/>
          <w:szCs w:val="20"/>
        </w:rPr>
        <w:t>Kod zdravih ispitanika, obroci sa visokim sadržajem masti smanjili su sistemsku izloženost everolimusu u dozi od 10 mg (mjerenu putem PIK-a) za 22%, a maksimalnu koncentraciju (C</w:t>
      </w:r>
      <w:r>
        <w:rPr>
          <w:sz w:val="20"/>
          <w:szCs w:val="20"/>
          <w:vertAlign w:val="subscript"/>
        </w:rPr>
        <w:t>max</w:t>
      </w:r>
      <w:r>
        <w:rPr>
          <w:sz w:val="20"/>
          <w:szCs w:val="20"/>
        </w:rPr>
        <w:t>) u plazmi za 54%. Obroci sa niskim sadr</w:t>
      </w:r>
      <w:r>
        <w:rPr>
          <w:sz w:val="20"/>
          <w:szCs w:val="20"/>
          <w:lang w:val="hr-BA"/>
        </w:rPr>
        <w:t>žajem</w:t>
      </w:r>
      <w:r>
        <w:rPr>
          <w:sz w:val="20"/>
          <w:szCs w:val="20"/>
        </w:rPr>
        <w:t xml:space="preserve"> masti smanjili su PIK za 32%, a C</w:t>
      </w:r>
      <w:r>
        <w:rPr>
          <w:sz w:val="20"/>
          <w:szCs w:val="20"/>
          <w:vertAlign w:val="subscript"/>
        </w:rPr>
        <w:t>max</w:t>
      </w:r>
      <w:r>
        <w:rPr>
          <w:sz w:val="20"/>
          <w:szCs w:val="20"/>
        </w:rPr>
        <w:t xml:space="preserve"> za 42%. </w:t>
      </w:r>
      <w:r>
        <w:rPr>
          <w:sz w:val="20"/>
          <w:szCs w:val="20"/>
          <w:lang w:val="hr-BA"/>
        </w:rPr>
        <w:t xml:space="preserve">Međutim, </w:t>
      </w:r>
      <w:r>
        <w:rPr>
          <w:sz w:val="20"/>
          <w:szCs w:val="20"/>
        </w:rPr>
        <w:t>hrana nije imala nikakvog vidljivoga efekta na post-apsorpcioni profil koncentracij</w:t>
      </w:r>
      <w:r>
        <w:rPr>
          <w:sz w:val="20"/>
          <w:szCs w:val="20"/>
          <w:lang w:val="mk-MK"/>
        </w:rPr>
        <w:t>а</w:t>
      </w:r>
      <w:r>
        <w:rPr>
          <w:sz w:val="20"/>
          <w:szCs w:val="20"/>
        </w:rPr>
        <w:t>-vrijeme.</w:t>
      </w:r>
    </w:p>
    <w:p w14:paraId="5B4CBB51">
      <w:pPr>
        <w:pStyle w:val="12"/>
        <w:shd w:val="clear" w:color="auto" w:fill="auto"/>
        <w:spacing w:line="240" w:lineRule="auto"/>
        <w:ind w:firstLine="0"/>
        <w:jc w:val="both"/>
        <w:rPr>
          <w:sz w:val="20"/>
          <w:szCs w:val="20"/>
        </w:rPr>
      </w:pPr>
    </w:p>
    <w:p w14:paraId="29BB03F2">
      <w:pPr>
        <w:pStyle w:val="12"/>
        <w:shd w:val="clear" w:color="auto" w:fill="auto"/>
        <w:spacing w:line="240" w:lineRule="auto"/>
        <w:ind w:firstLine="0"/>
        <w:jc w:val="both"/>
        <w:rPr>
          <w:sz w:val="20"/>
          <w:szCs w:val="20"/>
        </w:rPr>
      </w:pPr>
      <w:r>
        <w:rPr>
          <w:rStyle w:val="19"/>
          <w:sz w:val="20"/>
          <w:szCs w:val="20"/>
        </w:rPr>
        <w:t>Distribucija</w:t>
      </w:r>
    </w:p>
    <w:p w14:paraId="06931583">
      <w:pPr>
        <w:pStyle w:val="12"/>
        <w:shd w:val="clear" w:color="auto" w:fill="auto"/>
        <w:spacing w:line="240" w:lineRule="auto"/>
        <w:ind w:firstLine="0"/>
        <w:jc w:val="both"/>
        <w:rPr>
          <w:sz w:val="20"/>
          <w:szCs w:val="20"/>
        </w:rPr>
      </w:pPr>
      <w:r>
        <w:rPr>
          <w:sz w:val="20"/>
          <w:szCs w:val="20"/>
        </w:rPr>
        <w:t>Omjer koncentracija everolimusa u krvi i plazmi, koji je u rasponu doza od 5 do 5000 ng/ml zavisan od koncentracije, iznosi 17% do 73%. Kod pacijenata oboljelih od raka liječenih everolimusom u dozi od 10 mg/dan, približno 20% koncentracije everolimusa u cijeloj krvi bilo je ograničeno na plazmu. I kod zdravih ispitanika i kod pacijenata sa umjerenim oštećenjem funkcije jetre, postotak vezanja everolimusa za proteine plazme iznosi 74%. Kod pacijenata sa uznapredovalim čvrstim tumorima, Vd je u prividnom središnjem odjeljku iznosio 191 l, a u prividnom perifernom odjeljku 517 l.</w:t>
      </w:r>
    </w:p>
    <w:p w14:paraId="53ACF7B7">
      <w:pPr>
        <w:pStyle w:val="12"/>
        <w:shd w:val="clear" w:color="auto" w:fill="auto"/>
        <w:spacing w:line="240" w:lineRule="auto"/>
        <w:ind w:firstLine="0"/>
        <w:jc w:val="both"/>
        <w:rPr>
          <w:sz w:val="20"/>
          <w:szCs w:val="20"/>
        </w:rPr>
      </w:pPr>
    </w:p>
    <w:p w14:paraId="2DA7F901">
      <w:pPr>
        <w:pStyle w:val="12"/>
        <w:shd w:val="clear" w:color="auto" w:fill="auto"/>
        <w:spacing w:line="240" w:lineRule="auto"/>
        <w:ind w:firstLine="0"/>
        <w:jc w:val="both"/>
        <w:rPr>
          <w:sz w:val="20"/>
          <w:szCs w:val="20"/>
        </w:rPr>
      </w:pPr>
      <w:r>
        <w:rPr>
          <w:rStyle w:val="19"/>
          <w:sz w:val="20"/>
          <w:szCs w:val="20"/>
        </w:rPr>
        <w:t>Biotransformacija</w:t>
      </w:r>
    </w:p>
    <w:p w14:paraId="200866D1">
      <w:pPr>
        <w:pStyle w:val="12"/>
        <w:shd w:val="clear" w:color="auto" w:fill="auto"/>
        <w:spacing w:line="240" w:lineRule="auto"/>
        <w:ind w:firstLine="0"/>
        <w:jc w:val="both"/>
        <w:rPr>
          <w:sz w:val="20"/>
          <w:szCs w:val="20"/>
        </w:rPr>
      </w:pPr>
      <w:r>
        <w:rPr>
          <w:sz w:val="20"/>
          <w:szCs w:val="20"/>
        </w:rPr>
        <w:t>Everolimus je supstrat CYP3A4 i PgP-a. Nakon oralne administracije, everolimus je glavnu cirkulirajuću komponentu u krvi kod ljudi. U ljudskoj krvi je nađeno 6 glavnih metabolita everolimusa, uključujući tri monohidroksilirana metabolita, dva hidrolitička produkta otvorene prstenaste stereokonfiguracije i fosfatidilholinski konjugat everolimusa. Ovi metaboliti identifikovani su i kod životinjskih vrsta korištenih u ispitivanjima toksičnosti, a pokazali su približno 100 puta manju aktivnost nego sam everolimus. Stoga se smatra da everolimus doprinosi najveći dio ukupne farmakološke aktivnosti.</w:t>
      </w:r>
    </w:p>
    <w:p w14:paraId="7D5D3664">
      <w:pPr>
        <w:pStyle w:val="12"/>
        <w:shd w:val="clear" w:color="auto" w:fill="auto"/>
        <w:spacing w:line="240" w:lineRule="auto"/>
        <w:ind w:firstLine="0"/>
        <w:jc w:val="both"/>
        <w:rPr>
          <w:sz w:val="20"/>
          <w:szCs w:val="20"/>
        </w:rPr>
      </w:pPr>
    </w:p>
    <w:p w14:paraId="7BFC8BB1">
      <w:pPr>
        <w:pStyle w:val="12"/>
        <w:shd w:val="clear" w:color="auto" w:fill="auto"/>
        <w:spacing w:line="240" w:lineRule="auto"/>
        <w:ind w:firstLine="0"/>
        <w:jc w:val="both"/>
        <w:rPr>
          <w:sz w:val="20"/>
          <w:szCs w:val="20"/>
        </w:rPr>
      </w:pPr>
      <w:r>
        <w:rPr>
          <w:rStyle w:val="19"/>
          <w:sz w:val="20"/>
          <w:szCs w:val="20"/>
        </w:rPr>
        <w:t>Eliminacija</w:t>
      </w:r>
    </w:p>
    <w:p w14:paraId="2287FEC3">
      <w:pPr>
        <w:pStyle w:val="12"/>
        <w:shd w:val="clear" w:color="auto" w:fill="auto"/>
        <w:spacing w:line="240" w:lineRule="auto"/>
        <w:ind w:firstLine="0"/>
        <w:jc w:val="both"/>
        <w:rPr>
          <w:sz w:val="20"/>
          <w:szCs w:val="20"/>
        </w:rPr>
      </w:pPr>
      <w:r>
        <w:rPr>
          <w:sz w:val="20"/>
          <w:szCs w:val="20"/>
        </w:rPr>
        <w:t>Nakon primjene dnevne doze od 10 mg, kod pacijenata sa uznapredovalim čvrstim tumorima srednja vrijednost oralnog klirensa (CL/F) everolimusa iznosila je 24,5 l/h. Srednja vrijednost poluvremena eliminacije everolimusa iznosi približno 30 sati.</w:t>
      </w:r>
    </w:p>
    <w:p w14:paraId="56454340">
      <w:pPr>
        <w:pStyle w:val="12"/>
        <w:shd w:val="clear" w:color="auto" w:fill="auto"/>
        <w:spacing w:line="240" w:lineRule="auto"/>
        <w:ind w:firstLine="0"/>
        <w:jc w:val="both"/>
        <w:rPr>
          <w:sz w:val="20"/>
          <w:szCs w:val="20"/>
        </w:rPr>
      </w:pPr>
      <w:r>
        <w:rPr>
          <w:sz w:val="20"/>
          <w:szCs w:val="20"/>
        </w:rPr>
        <w:t xml:space="preserve">Kod pacijenata oboljelih od raka nisu sprovedena posebna ispitivanja eliminacije, no postoje podaci iz ispitivanja </w:t>
      </w:r>
      <w:r>
        <w:rPr>
          <w:sz w:val="20"/>
          <w:szCs w:val="20"/>
          <w:lang w:val="hr-BA"/>
        </w:rPr>
        <w:t>s</w:t>
      </w:r>
      <w:r>
        <w:rPr>
          <w:sz w:val="20"/>
          <w:szCs w:val="20"/>
        </w:rPr>
        <w:t>provedenih na pacijentima</w:t>
      </w:r>
      <w:r>
        <w:rPr>
          <w:sz w:val="20"/>
          <w:szCs w:val="20"/>
          <w:lang w:val="sr-Cyrl-RS"/>
        </w:rPr>
        <w:t xml:space="preserve"> sa transplantacijama</w:t>
      </w:r>
      <w:r>
        <w:rPr>
          <w:sz w:val="20"/>
          <w:szCs w:val="20"/>
        </w:rPr>
        <w:t>. Nakon primjene pojedina</w:t>
      </w:r>
      <w:r>
        <w:rPr>
          <w:sz w:val="20"/>
          <w:szCs w:val="20"/>
          <w:lang w:val="hr-BA"/>
        </w:rPr>
        <w:t xml:space="preserve">čne </w:t>
      </w:r>
      <w:r>
        <w:rPr>
          <w:sz w:val="20"/>
          <w:szCs w:val="20"/>
        </w:rPr>
        <w:t xml:space="preserve"> doze radioaktivno obilježenog everolimusa i ciklosporina, 80% radioaktivnosti izmjereno je u fecesu, a 5% je bilo izlučeno urinomi. Ni u mokraći ni u stolici nije nađena polazna supstanca.</w:t>
      </w:r>
    </w:p>
    <w:p w14:paraId="3A31C1DF">
      <w:pPr>
        <w:pStyle w:val="12"/>
        <w:shd w:val="clear" w:color="auto" w:fill="auto"/>
        <w:spacing w:line="240" w:lineRule="auto"/>
        <w:ind w:firstLine="0"/>
        <w:jc w:val="both"/>
        <w:rPr>
          <w:sz w:val="20"/>
          <w:szCs w:val="20"/>
        </w:rPr>
      </w:pPr>
    </w:p>
    <w:p w14:paraId="21E756C3">
      <w:pPr>
        <w:pStyle w:val="12"/>
        <w:shd w:val="clear" w:color="auto" w:fill="auto"/>
        <w:spacing w:line="240" w:lineRule="auto"/>
        <w:ind w:firstLine="0"/>
        <w:jc w:val="both"/>
        <w:rPr>
          <w:sz w:val="20"/>
          <w:szCs w:val="20"/>
        </w:rPr>
      </w:pPr>
      <w:r>
        <w:rPr>
          <w:rStyle w:val="19"/>
          <w:sz w:val="20"/>
          <w:szCs w:val="20"/>
        </w:rPr>
        <w:t>Farmakokinetika u stanju dinamičke ravnoteže</w:t>
      </w:r>
    </w:p>
    <w:p w14:paraId="42F84D02">
      <w:pPr>
        <w:pStyle w:val="12"/>
        <w:shd w:val="clear" w:color="auto" w:fill="auto"/>
        <w:spacing w:line="240" w:lineRule="auto"/>
        <w:ind w:firstLine="0"/>
        <w:jc w:val="both"/>
        <w:rPr>
          <w:sz w:val="20"/>
          <w:szCs w:val="20"/>
        </w:rPr>
      </w:pPr>
      <w:r>
        <w:rPr>
          <w:sz w:val="20"/>
          <w:szCs w:val="20"/>
        </w:rPr>
        <w:t>Nakon primjene everolimusa kod pacijenata sa uznapredovalim čvrstim tumorima PIK</w:t>
      </w:r>
      <w:r>
        <w:rPr>
          <w:sz w:val="20"/>
          <w:szCs w:val="20"/>
          <w:vertAlign w:val="subscript"/>
        </w:rPr>
        <w:t>0-T</w:t>
      </w:r>
      <w:r>
        <w:rPr>
          <w:sz w:val="20"/>
          <w:szCs w:val="20"/>
        </w:rPr>
        <w:t xml:space="preserve"> u stanju dinamičke ravnoteže bio je dozno proporcionalan u rasponu dnevnih doza od 5 do 10 mg. Stanje dinamičke ravnoteže postignuto je unutar 2 nedelje. U rasponu doza od 5 do 10 mg, C</w:t>
      </w:r>
      <w:r>
        <w:rPr>
          <w:sz w:val="20"/>
          <w:szCs w:val="20"/>
          <w:vertAlign w:val="subscript"/>
        </w:rPr>
        <w:t>max</w:t>
      </w:r>
      <w:r>
        <w:rPr>
          <w:sz w:val="20"/>
          <w:szCs w:val="20"/>
        </w:rPr>
        <w:t xml:space="preserve"> je </w:t>
      </w:r>
      <w:r>
        <w:rPr>
          <w:sz w:val="20"/>
          <w:szCs w:val="20"/>
          <w:lang w:val="hr-BA"/>
        </w:rPr>
        <w:t>proporcionalan</w:t>
      </w:r>
      <w:r>
        <w:rPr>
          <w:sz w:val="20"/>
          <w:szCs w:val="20"/>
        </w:rPr>
        <w:t xml:space="preserve"> dozi. t</w:t>
      </w:r>
      <w:r>
        <w:rPr>
          <w:sz w:val="20"/>
          <w:szCs w:val="20"/>
          <w:vertAlign w:val="subscript"/>
        </w:rPr>
        <w:t>max</w:t>
      </w:r>
      <w:r>
        <w:rPr>
          <w:sz w:val="20"/>
          <w:szCs w:val="20"/>
        </w:rPr>
        <w:t xml:space="preserve"> se postiže 1 do 2 sata nakon primjene. Ustanovljena je značajna korelacija između PIK</w:t>
      </w:r>
      <w:r>
        <w:rPr>
          <w:sz w:val="20"/>
          <w:szCs w:val="20"/>
          <w:vertAlign w:val="subscript"/>
        </w:rPr>
        <w:t>0-T</w:t>
      </w:r>
      <w:r>
        <w:rPr>
          <w:sz w:val="20"/>
          <w:szCs w:val="20"/>
        </w:rPr>
        <w:t xml:space="preserve"> i najniže koncentracije lijeka u plazmi, zabilježene u stanju dinamičke ravnoteže neposredno prije primjene.</w:t>
      </w:r>
    </w:p>
    <w:p w14:paraId="4AAF1B38">
      <w:pPr>
        <w:pStyle w:val="12"/>
        <w:shd w:val="clear" w:color="auto" w:fill="auto"/>
        <w:spacing w:line="240" w:lineRule="auto"/>
        <w:ind w:firstLine="0"/>
        <w:jc w:val="both"/>
        <w:rPr>
          <w:sz w:val="20"/>
          <w:szCs w:val="20"/>
        </w:rPr>
      </w:pPr>
    </w:p>
    <w:p w14:paraId="3AB416D9">
      <w:pPr>
        <w:pStyle w:val="12"/>
        <w:shd w:val="clear" w:color="auto" w:fill="auto"/>
        <w:spacing w:line="240" w:lineRule="auto"/>
        <w:ind w:firstLine="0"/>
        <w:jc w:val="both"/>
        <w:rPr>
          <w:sz w:val="20"/>
          <w:szCs w:val="20"/>
        </w:rPr>
      </w:pPr>
      <w:r>
        <w:rPr>
          <w:rStyle w:val="19"/>
          <w:sz w:val="20"/>
          <w:szCs w:val="20"/>
        </w:rPr>
        <w:t>Posebne populacije</w:t>
      </w:r>
    </w:p>
    <w:p w14:paraId="29DD6511">
      <w:pPr>
        <w:pStyle w:val="21"/>
        <w:shd w:val="clear" w:color="auto" w:fill="auto"/>
        <w:spacing w:line="240" w:lineRule="auto"/>
        <w:rPr>
          <w:spacing w:val="0"/>
        </w:rPr>
      </w:pPr>
      <w:r>
        <w:rPr>
          <w:spacing w:val="0"/>
        </w:rPr>
        <w:t>Oštećenje funkcije jetre</w:t>
      </w:r>
    </w:p>
    <w:p w14:paraId="2D7AF5AC">
      <w:pPr>
        <w:pStyle w:val="12"/>
        <w:shd w:val="clear" w:color="auto" w:fill="auto"/>
        <w:spacing w:line="240" w:lineRule="auto"/>
        <w:ind w:firstLine="0"/>
        <w:jc w:val="both"/>
        <w:rPr>
          <w:sz w:val="20"/>
          <w:szCs w:val="20"/>
        </w:rPr>
      </w:pPr>
      <w:r>
        <w:rPr>
          <w:sz w:val="20"/>
          <w:szCs w:val="20"/>
        </w:rPr>
        <w:t>Bezbjednost primjene, podnošljivost i farmakokinetika everolimusa procjenjivane su u dva ispitivanja pojedina</w:t>
      </w:r>
      <w:r>
        <w:rPr>
          <w:sz w:val="20"/>
          <w:szCs w:val="20"/>
          <w:lang w:val="hr-BA"/>
        </w:rPr>
        <w:t>čne</w:t>
      </w:r>
      <w:r>
        <w:rPr>
          <w:sz w:val="20"/>
          <w:szCs w:val="20"/>
        </w:rPr>
        <w:t xml:space="preserve"> peroralne doze tableta everolimusa sprovedena kod 8 odnosno 34 ispitanika sa oštećenom funkcijom jetre u odnosu na ispitanike sa normalnom funkcijom jetre.</w:t>
      </w:r>
    </w:p>
    <w:p w14:paraId="612F9FAC">
      <w:pPr>
        <w:pStyle w:val="12"/>
        <w:shd w:val="clear" w:color="auto" w:fill="auto"/>
        <w:spacing w:line="240" w:lineRule="auto"/>
        <w:ind w:firstLine="0"/>
        <w:jc w:val="both"/>
        <w:rPr>
          <w:sz w:val="20"/>
          <w:szCs w:val="20"/>
        </w:rPr>
      </w:pPr>
      <w:r>
        <w:rPr>
          <w:sz w:val="20"/>
          <w:szCs w:val="20"/>
        </w:rPr>
        <w:t>U prvom ispitivanju, prosječni PIK everolimusa kod 8 ispitanika sa umjerenim oštećenjem jetre (Child- Pugh B) bio je dvostruko veći od PIK-a uočenoga kod 8 ispitanika sa normalnom funkcijom jetre.</w:t>
      </w:r>
    </w:p>
    <w:p w14:paraId="4F606D93">
      <w:pPr>
        <w:pStyle w:val="12"/>
        <w:shd w:val="clear" w:color="auto" w:fill="auto"/>
        <w:spacing w:line="240" w:lineRule="auto"/>
        <w:ind w:firstLine="0"/>
        <w:jc w:val="both"/>
        <w:rPr>
          <w:sz w:val="20"/>
          <w:szCs w:val="20"/>
        </w:rPr>
      </w:pPr>
    </w:p>
    <w:p w14:paraId="7B0D81AB">
      <w:pPr>
        <w:pStyle w:val="12"/>
        <w:shd w:val="clear" w:color="auto" w:fill="auto"/>
        <w:spacing w:line="240" w:lineRule="auto"/>
        <w:ind w:firstLine="0"/>
        <w:jc w:val="both"/>
        <w:rPr>
          <w:sz w:val="20"/>
          <w:szCs w:val="20"/>
        </w:rPr>
      </w:pPr>
      <w:r>
        <w:rPr>
          <w:sz w:val="20"/>
          <w:szCs w:val="20"/>
        </w:rPr>
        <w:t>U drugom ispitivanju sprovedenom kod 34 ispitanika sa različitim stepenima oštećenja funkcije jetre u poređenju sa normalnim ispitanicima, došlo je do povećanja od 1.6, 3.3 odnosno 3.6 puta u izloženosti (tj. PIK</w:t>
      </w:r>
      <w:r>
        <w:rPr>
          <w:sz w:val="20"/>
          <w:szCs w:val="20"/>
          <w:vertAlign w:val="subscript"/>
        </w:rPr>
        <w:t>0</w:t>
      </w:r>
      <w:r>
        <w:rPr>
          <w:sz w:val="20"/>
          <w:szCs w:val="20"/>
        </w:rPr>
        <w:t>-i</w:t>
      </w:r>
      <w:r>
        <w:rPr>
          <w:sz w:val="20"/>
          <w:szCs w:val="20"/>
          <w:vertAlign w:val="subscript"/>
        </w:rPr>
        <w:t>nf</w:t>
      </w:r>
      <w:r>
        <w:rPr>
          <w:sz w:val="20"/>
          <w:szCs w:val="20"/>
        </w:rPr>
        <w:t>) kod ispitanika sa blagim (Child-Pugh A), umjerenim (Child-Pugh B), odnosno teškim (Child- Pugh C) oštećenjem funkcije jetre.</w:t>
      </w:r>
    </w:p>
    <w:p w14:paraId="272F4B28">
      <w:pPr>
        <w:pStyle w:val="12"/>
        <w:shd w:val="clear" w:color="auto" w:fill="auto"/>
        <w:spacing w:line="240" w:lineRule="auto"/>
        <w:ind w:firstLine="0"/>
        <w:jc w:val="both"/>
        <w:rPr>
          <w:sz w:val="20"/>
          <w:szCs w:val="20"/>
        </w:rPr>
      </w:pPr>
    </w:p>
    <w:p w14:paraId="50346472">
      <w:pPr>
        <w:pStyle w:val="12"/>
        <w:shd w:val="clear" w:color="auto" w:fill="auto"/>
        <w:spacing w:line="240" w:lineRule="auto"/>
        <w:ind w:firstLine="0"/>
        <w:jc w:val="both"/>
        <w:rPr>
          <w:sz w:val="20"/>
          <w:szCs w:val="20"/>
        </w:rPr>
      </w:pPr>
      <w:r>
        <w:rPr>
          <w:sz w:val="20"/>
          <w:szCs w:val="20"/>
        </w:rPr>
        <w:t>Simulacije farmakokinetike višestrukih doza podupiru preporuke o doziranju kod ispitanika sa oštećenjem funkcije jetre na temelju njihovog Child-Pugh statusa.</w:t>
      </w:r>
    </w:p>
    <w:p w14:paraId="3581FDDD">
      <w:pPr>
        <w:pStyle w:val="12"/>
        <w:shd w:val="clear" w:color="auto" w:fill="auto"/>
        <w:spacing w:line="240" w:lineRule="auto"/>
        <w:ind w:firstLine="0"/>
        <w:jc w:val="both"/>
        <w:rPr>
          <w:sz w:val="20"/>
          <w:szCs w:val="20"/>
        </w:rPr>
      </w:pPr>
    </w:p>
    <w:p w14:paraId="04FE55D7">
      <w:pPr>
        <w:pStyle w:val="12"/>
        <w:shd w:val="clear" w:color="auto" w:fill="auto"/>
        <w:spacing w:line="240" w:lineRule="auto"/>
        <w:ind w:firstLine="0"/>
        <w:jc w:val="both"/>
        <w:rPr>
          <w:sz w:val="20"/>
          <w:szCs w:val="20"/>
        </w:rPr>
      </w:pPr>
      <w:r>
        <w:rPr>
          <w:sz w:val="20"/>
          <w:szCs w:val="20"/>
        </w:rPr>
        <w:t>Na temelju rezultata ova dva ispitivanja, za pacijente sa oštećenjem funkcije jetre preporučuje se prilagođavanje doze (pogledati dijelove 4.2 i 4.4).</w:t>
      </w:r>
    </w:p>
    <w:p w14:paraId="2E795B88">
      <w:pPr>
        <w:pStyle w:val="21"/>
        <w:shd w:val="clear" w:color="auto" w:fill="auto"/>
        <w:spacing w:line="240" w:lineRule="auto"/>
        <w:rPr>
          <w:spacing w:val="0"/>
        </w:rPr>
      </w:pPr>
    </w:p>
    <w:p w14:paraId="2C2FC637">
      <w:pPr>
        <w:pStyle w:val="21"/>
        <w:shd w:val="clear" w:color="auto" w:fill="auto"/>
        <w:spacing w:line="240" w:lineRule="auto"/>
        <w:rPr>
          <w:spacing w:val="0"/>
        </w:rPr>
      </w:pPr>
      <w:r>
        <w:rPr>
          <w:spacing w:val="0"/>
        </w:rPr>
        <w:t>Oštećenje funkcije bubrega</w:t>
      </w:r>
    </w:p>
    <w:p w14:paraId="3FD3ECCB">
      <w:pPr>
        <w:pStyle w:val="12"/>
        <w:shd w:val="clear" w:color="auto" w:fill="auto"/>
        <w:spacing w:line="240" w:lineRule="auto"/>
        <w:ind w:firstLine="0"/>
        <w:jc w:val="both"/>
        <w:rPr>
          <w:sz w:val="20"/>
          <w:szCs w:val="20"/>
        </w:rPr>
      </w:pPr>
      <w:r>
        <w:rPr>
          <w:sz w:val="20"/>
          <w:szCs w:val="20"/>
        </w:rPr>
        <w:t xml:space="preserve">U populacijske farmakokinetike analizi </w:t>
      </w:r>
      <w:r>
        <w:rPr>
          <w:sz w:val="20"/>
          <w:szCs w:val="20"/>
          <w:lang w:val="hr-BA"/>
        </w:rPr>
        <w:t>kod</w:t>
      </w:r>
      <w:r>
        <w:rPr>
          <w:sz w:val="20"/>
          <w:szCs w:val="20"/>
        </w:rPr>
        <w:t xml:space="preserve"> 170 pacijenata sa uznapredovalim solidnim tumorima nije zabilježen značajni uticaj klirensa kreatinina (25-178 ml/min) na CL/F everolimusa. Oštećenje funkcije bubrega nakon transplantacije (raspon klirensa kreatinina 11-107 ml/min) nije uticalo na farmakokinetiku everolimusa kod pacijenata sa transplantacijama.</w:t>
      </w:r>
    </w:p>
    <w:p w14:paraId="061276D5">
      <w:pPr>
        <w:pStyle w:val="21"/>
        <w:shd w:val="clear" w:color="auto" w:fill="auto"/>
        <w:spacing w:line="240" w:lineRule="auto"/>
        <w:rPr>
          <w:spacing w:val="0"/>
        </w:rPr>
      </w:pPr>
    </w:p>
    <w:p w14:paraId="40300628">
      <w:pPr>
        <w:pStyle w:val="21"/>
        <w:shd w:val="clear" w:color="auto" w:fill="auto"/>
        <w:spacing w:line="240" w:lineRule="auto"/>
        <w:rPr>
          <w:spacing w:val="0"/>
        </w:rPr>
      </w:pPr>
      <w:r>
        <w:rPr>
          <w:spacing w:val="0"/>
        </w:rPr>
        <w:t>Stariji pacijenti</w:t>
      </w:r>
    </w:p>
    <w:p w14:paraId="0D690147">
      <w:pPr>
        <w:pStyle w:val="12"/>
        <w:shd w:val="clear" w:color="auto" w:fill="auto"/>
        <w:spacing w:line="240" w:lineRule="auto"/>
        <w:ind w:firstLine="0"/>
        <w:jc w:val="both"/>
        <w:rPr>
          <w:sz w:val="20"/>
          <w:szCs w:val="20"/>
        </w:rPr>
      </w:pPr>
      <w:r>
        <w:rPr>
          <w:sz w:val="20"/>
          <w:szCs w:val="20"/>
        </w:rPr>
        <w:t xml:space="preserve">Procjena populacijske farmakokinetike kod pacijenata oboljelih od raka nije pokazala značajan uticaj </w:t>
      </w:r>
      <w:r>
        <w:rPr>
          <w:sz w:val="20"/>
          <w:szCs w:val="20"/>
          <w:lang w:val="hr-BA"/>
        </w:rPr>
        <w:t xml:space="preserve">starosti </w:t>
      </w:r>
      <w:r>
        <w:rPr>
          <w:sz w:val="20"/>
          <w:szCs w:val="20"/>
        </w:rPr>
        <w:t>(27-85 godina) na oralni klirens everolimusa.</w:t>
      </w:r>
    </w:p>
    <w:p w14:paraId="07CD223F">
      <w:pPr>
        <w:pStyle w:val="21"/>
        <w:shd w:val="clear" w:color="auto" w:fill="auto"/>
        <w:spacing w:line="240" w:lineRule="auto"/>
        <w:rPr>
          <w:spacing w:val="0"/>
        </w:rPr>
      </w:pPr>
    </w:p>
    <w:p w14:paraId="1062C4FB">
      <w:pPr>
        <w:pStyle w:val="21"/>
        <w:shd w:val="clear" w:color="auto" w:fill="auto"/>
        <w:spacing w:line="240" w:lineRule="auto"/>
        <w:rPr>
          <w:spacing w:val="0"/>
        </w:rPr>
      </w:pPr>
      <w:r>
        <w:rPr>
          <w:spacing w:val="0"/>
        </w:rPr>
        <w:t>Etnička pripadnost</w:t>
      </w:r>
    </w:p>
    <w:p w14:paraId="382B8FE6">
      <w:pPr>
        <w:pStyle w:val="12"/>
        <w:shd w:val="clear" w:color="auto" w:fill="auto"/>
        <w:spacing w:line="240" w:lineRule="auto"/>
        <w:ind w:firstLine="0"/>
        <w:jc w:val="both"/>
        <w:rPr>
          <w:sz w:val="20"/>
          <w:szCs w:val="20"/>
        </w:rPr>
      </w:pPr>
      <w:r>
        <w:rPr>
          <w:sz w:val="20"/>
          <w:szCs w:val="20"/>
        </w:rPr>
        <w:t>Oralni klirens (CL/F) je sličan kod Japanaca i pacijenata  bijele rase oboljelih od raka, uz sličnu funkciju jetre. CL/F je u prosjeku 20% viši kod pacijenata crne rase sa transplantacijama, na temelju analize populacione farmakokinetike.</w:t>
      </w:r>
    </w:p>
    <w:p w14:paraId="7A3C45AA">
      <w:pPr>
        <w:pStyle w:val="12"/>
        <w:shd w:val="clear" w:color="auto" w:fill="auto"/>
        <w:spacing w:line="240" w:lineRule="auto"/>
        <w:ind w:firstLine="0"/>
        <w:jc w:val="both"/>
        <w:rPr>
          <w:b/>
          <w:sz w:val="20"/>
          <w:szCs w:val="20"/>
        </w:rPr>
      </w:pPr>
    </w:p>
    <w:p w14:paraId="75498629">
      <w:pPr>
        <w:pStyle w:val="12"/>
        <w:numPr>
          <w:ilvl w:val="1"/>
          <w:numId w:val="1"/>
        </w:numPr>
        <w:shd w:val="clear" w:color="auto" w:fill="auto"/>
        <w:tabs>
          <w:tab w:val="left" w:pos="591"/>
        </w:tabs>
        <w:spacing w:line="240" w:lineRule="auto"/>
        <w:ind w:firstLine="0"/>
        <w:jc w:val="both"/>
        <w:rPr>
          <w:b/>
          <w:sz w:val="20"/>
          <w:szCs w:val="20"/>
        </w:rPr>
      </w:pPr>
      <w:r>
        <w:rPr>
          <w:b/>
          <w:sz w:val="20"/>
          <w:szCs w:val="20"/>
        </w:rPr>
        <w:t>Neklinički podaci o bezbjednosti primjene</w:t>
      </w:r>
    </w:p>
    <w:p w14:paraId="20ACD965">
      <w:pPr>
        <w:pStyle w:val="12"/>
        <w:shd w:val="clear" w:color="auto" w:fill="auto"/>
        <w:tabs>
          <w:tab w:val="left" w:pos="591"/>
        </w:tabs>
        <w:spacing w:line="240" w:lineRule="auto"/>
        <w:ind w:firstLine="0"/>
        <w:jc w:val="both"/>
        <w:rPr>
          <w:b/>
          <w:sz w:val="20"/>
          <w:szCs w:val="20"/>
        </w:rPr>
      </w:pPr>
    </w:p>
    <w:p w14:paraId="221CACF8">
      <w:pPr>
        <w:pStyle w:val="12"/>
        <w:shd w:val="clear" w:color="auto" w:fill="auto"/>
        <w:spacing w:line="240" w:lineRule="auto"/>
        <w:ind w:firstLine="0"/>
        <w:jc w:val="both"/>
        <w:rPr>
          <w:sz w:val="20"/>
          <w:szCs w:val="20"/>
        </w:rPr>
      </w:pPr>
      <w:r>
        <w:rPr>
          <w:sz w:val="20"/>
          <w:szCs w:val="20"/>
        </w:rPr>
        <w:t xml:space="preserve">Pretklinički bezbjednosni profil everolimusa bio je ispitivan kod miševa, štakora, patuljastih svinja, majmuna i kunića. Najčešći ciljni organi su bili muški i ženski reproduktivni sistemi (testikularna tubularna degeneracija, smanjen sadržaj sperme u epididimusu i atrofija uterusa) kod nekoliko vrsta; pluća (povećani broj alveolarnih makrofaga) kod štakora i miševa; gušterača (degranulacija i vakuolizacija egzokrinih ćelija kod majmuna odnosno kod patuljastih svinja, i degeneracija ćelija otočića kod majmuna), i oči samo kod štakora (zamućenje lentrukularne prednje linije </w:t>
      </w:r>
      <w:r>
        <w:rPr>
          <w:sz w:val="20"/>
          <w:szCs w:val="20"/>
          <w:lang w:val="hr-BA"/>
        </w:rPr>
        <w:t>šava</w:t>
      </w:r>
      <w:r>
        <w:rPr>
          <w:sz w:val="20"/>
          <w:szCs w:val="20"/>
        </w:rPr>
        <w:t>). Manje promjene bubrega zabilježene su kod štakora (egzacerbacija lipofuscina u epitelu tubula povezano sa starenjem, povećanje hidronefroze) i miševa (egzacerbacija postojećih lezija). Nije bilo znakova bubrežne toksičnosti kod majmuna ili patuljastih svinja.</w:t>
      </w:r>
    </w:p>
    <w:p w14:paraId="41245F30">
      <w:pPr>
        <w:pStyle w:val="12"/>
        <w:shd w:val="clear" w:color="auto" w:fill="auto"/>
        <w:spacing w:line="240" w:lineRule="auto"/>
        <w:ind w:firstLine="0"/>
        <w:jc w:val="both"/>
        <w:rPr>
          <w:sz w:val="20"/>
          <w:szCs w:val="20"/>
        </w:rPr>
      </w:pPr>
      <w:r>
        <w:rPr>
          <w:sz w:val="20"/>
          <w:szCs w:val="20"/>
        </w:rPr>
        <w:t>Čini se da everolimus spontano dovodi do egzacerbacije postojećih bolesti (hronični miokarditis kod štakora, infekcije coxsackie virusom u plazmi i srca kod majmuna, kokoialna infestacija probavnog sistema kod patuljastih svinja, kožne lezije kod miševa i majmuna). Ovi nalazi su generalno zabilježeni pri nivoima sistemske izloženosti unutar raspona terapijske izloženosti ili iznad nje, uz izuzetak nalaza kod štakora koji su nastali pri  izloženosti nižim od terapijskim zbog visoke distribucije u tkivima.</w:t>
      </w:r>
    </w:p>
    <w:p w14:paraId="2B649E03">
      <w:pPr>
        <w:pStyle w:val="12"/>
        <w:shd w:val="clear" w:color="auto" w:fill="auto"/>
        <w:spacing w:line="240" w:lineRule="auto"/>
        <w:ind w:firstLine="0"/>
        <w:jc w:val="both"/>
        <w:rPr>
          <w:sz w:val="20"/>
          <w:szCs w:val="20"/>
        </w:rPr>
      </w:pPr>
      <w:r>
        <w:rPr>
          <w:sz w:val="20"/>
          <w:szCs w:val="20"/>
        </w:rPr>
        <w:t>U ispitivanjima efekta lijeka na plodnost mužjaka štakora, morfologija testisa bila je promijenjena pri primjeni doza od 0,5 mg/kg i višim, a do smanjenja motiliteta spermatozoida, broja spermatozoida i nivoa testosterona u plazmi došlo je pri primjeni doze od 5 mg/kg što je uzrokovalo smanjenje plodnosti mužjaka. Nađeni su dokazi da su opisane promjene reverzibilne.</w:t>
      </w:r>
    </w:p>
    <w:p w14:paraId="4E0EB04E">
      <w:pPr>
        <w:pStyle w:val="12"/>
        <w:shd w:val="clear" w:color="auto" w:fill="auto"/>
        <w:spacing w:line="240" w:lineRule="auto"/>
        <w:ind w:firstLine="0"/>
        <w:jc w:val="both"/>
        <w:rPr>
          <w:sz w:val="20"/>
          <w:szCs w:val="20"/>
        </w:rPr>
      </w:pPr>
      <w:r>
        <w:rPr>
          <w:sz w:val="20"/>
          <w:szCs w:val="20"/>
        </w:rPr>
        <w:t>U ispitivanjima reprodukcije provedenim na životinjama nije bilo uticaja na plodnost ženki. Međutim, peroralne doze everolimusa kod ženki štakora pri dozi od &gt;0,1 mg/kg (otprilike 4% PIK</w:t>
      </w:r>
      <w:r>
        <w:rPr>
          <w:sz w:val="20"/>
          <w:szCs w:val="20"/>
          <w:vertAlign w:val="subscript"/>
        </w:rPr>
        <w:t>0-2</w:t>
      </w:r>
      <w:r>
        <w:rPr>
          <w:rStyle w:val="242"/>
          <w:sz w:val="20"/>
          <w:szCs w:val="20"/>
          <w:vertAlign w:val="subscript"/>
        </w:rPr>
        <w:t>4</w:t>
      </w:r>
      <w:r>
        <w:rPr>
          <w:sz w:val="20"/>
          <w:szCs w:val="20"/>
          <w:vertAlign w:val="subscript"/>
        </w:rPr>
        <w:t>h</w:t>
      </w:r>
      <w:r>
        <w:rPr>
          <w:sz w:val="20"/>
          <w:szCs w:val="20"/>
        </w:rPr>
        <w:t xml:space="preserve"> kod pacijenata koji primaju dnevnu dozu od 10 mg) rezultirale su povećanjem u gubitku ploda prije implantacije.</w:t>
      </w:r>
    </w:p>
    <w:p w14:paraId="248E8AA9">
      <w:pPr>
        <w:pStyle w:val="12"/>
        <w:shd w:val="clear" w:color="auto" w:fill="auto"/>
        <w:spacing w:line="240" w:lineRule="auto"/>
        <w:ind w:firstLine="0"/>
        <w:jc w:val="both"/>
        <w:rPr>
          <w:sz w:val="20"/>
          <w:szCs w:val="20"/>
        </w:rPr>
      </w:pPr>
      <w:r>
        <w:rPr>
          <w:sz w:val="20"/>
          <w:szCs w:val="20"/>
        </w:rPr>
        <w:t>Everolimus je prošao placentarnu barijeru i bio je toksičan za plod. Kod štakora izloženih sistemskim dozama nižim od terapijskih, everolimus se pokazao embrio/fetotoksičnim. Ovo se manifestovalo smrtnošću i smanjenjem težine ploda. Pri primjeni doza od 0,3 i 0,9 mg/kg porasla je incidenca skeletnih varijacija i malformacija (npr. rascjepa prsne kosti). U kunića se embriotoksičnost manifestovala porastom učestalosti kasnih resorpcija zametka.</w:t>
      </w:r>
    </w:p>
    <w:p w14:paraId="0B6A4592">
      <w:pPr>
        <w:pStyle w:val="12"/>
        <w:shd w:val="clear" w:color="auto" w:fill="auto"/>
        <w:spacing w:line="240" w:lineRule="auto"/>
        <w:ind w:firstLine="0"/>
        <w:jc w:val="both"/>
        <w:rPr>
          <w:sz w:val="20"/>
          <w:szCs w:val="20"/>
        </w:rPr>
      </w:pPr>
      <w:r>
        <w:rPr>
          <w:sz w:val="20"/>
          <w:szCs w:val="20"/>
        </w:rPr>
        <w:t>Ispitivanja genotoksičnosti koja su obuhvatila sve značajne ishode genotoksičnosti nisu pokazala klastogenu, odnosno mutagenu aktivnost lijeka. Primjena everolimusa u trajanju do 2 godine nije pokazala onkogeni potencijal kod miševa odnosno štakora čak ni u najvišim dozama koje odgovaraju dozi 3.9 odnosno 0.2 puta višoj od procijenjene kliničke izloženosti.</w:t>
      </w:r>
    </w:p>
    <w:p w14:paraId="6AF0C924">
      <w:pPr>
        <w:pStyle w:val="12"/>
        <w:shd w:val="clear" w:color="auto" w:fill="auto"/>
        <w:spacing w:line="240" w:lineRule="auto"/>
        <w:ind w:firstLine="0"/>
        <w:jc w:val="both"/>
        <w:rPr>
          <w:sz w:val="20"/>
          <w:szCs w:val="20"/>
        </w:rPr>
      </w:pPr>
    </w:p>
    <w:p w14:paraId="5C9650BB">
      <w:pPr>
        <w:pStyle w:val="12"/>
        <w:shd w:val="clear" w:color="auto" w:fill="auto"/>
        <w:spacing w:line="240" w:lineRule="auto"/>
        <w:ind w:firstLine="0"/>
        <w:jc w:val="both"/>
        <w:rPr>
          <w:sz w:val="20"/>
          <w:szCs w:val="20"/>
        </w:rPr>
      </w:pPr>
    </w:p>
    <w:p w14:paraId="64C7F562">
      <w:pPr>
        <w:pStyle w:val="12"/>
        <w:shd w:val="clear" w:color="auto" w:fill="auto"/>
        <w:spacing w:line="240" w:lineRule="auto"/>
        <w:ind w:firstLine="0"/>
        <w:jc w:val="both"/>
        <w:rPr>
          <w:sz w:val="20"/>
          <w:szCs w:val="20"/>
        </w:rPr>
      </w:pPr>
    </w:p>
    <w:p w14:paraId="650A5A74">
      <w:pPr>
        <w:pStyle w:val="12"/>
        <w:shd w:val="clear" w:color="auto" w:fill="auto"/>
        <w:spacing w:line="240" w:lineRule="auto"/>
        <w:ind w:firstLine="0"/>
        <w:jc w:val="both"/>
        <w:rPr>
          <w:sz w:val="20"/>
          <w:szCs w:val="20"/>
        </w:rPr>
      </w:pPr>
    </w:p>
    <w:p w14:paraId="0114B3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FARMACEUTSKI PODACI</w:t>
      </w:r>
    </w:p>
    <w:p w14:paraId="12273D9E">
      <w:pPr>
        <w:pStyle w:val="12"/>
        <w:shd w:val="clear" w:color="auto" w:fill="auto"/>
        <w:tabs>
          <w:tab w:val="left" w:pos="591"/>
        </w:tabs>
        <w:spacing w:line="240" w:lineRule="auto"/>
        <w:ind w:firstLine="0"/>
        <w:jc w:val="both"/>
        <w:rPr>
          <w:b/>
          <w:sz w:val="20"/>
          <w:szCs w:val="20"/>
        </w:rPr>
      </w:pPr>
    </w:p>
    <w:p w14:paraId="06739C16">
      <w:pPr>
        <w:pStyle w:val="12"/>
        <w:numPr>
          <w:ilvl w:val="1"/>
          <w:numId w:val="1"/>
        </w:numPr>
        <w:shd w:val="clear" w:color="auto" w:fill="auto"/>
        <w:tabs>
          <w:tab w:val="left" w:pos="572"/>
        </w:tabs>
        <w:spacing w:line="240" w:lineRule="auto"/>
        <w:ind w:firstLine="0"/>
        <w:jc w:val="both"/>
        <w:rPr>
          <w:b/>
          <w:sz w:val="20"/>
          <w:szCs w:val="20"/>
        </w:rPr>
      </w:pPr>
      <w:r>
        <w:rPr>
          <w:b/>
          <w:sz w:val="20"/>
          <w:szCs w:val="20"/>
        </w:rPr>
        <w:t>Spisak pomoćnih supstanci</w:t>
      </w:r>
    </w:p>
    <w:p w14:paraId="1C37B420">
      <w:pPr>
        <w:pStyle w:val="12"/>
        <w:shd w:val="clear" w:color="auto" w:fill="auto"/>
        <w:tabs>
          <w:tab w:val="left" w:pos="572"/>
        </w:tabs>
        <w:spacing w:line="240" w:lineRule="auto"/>
        <w:ind w:firstLine="0"/>
        <w:jc w:val="both"/>
        <w:rPr>
          <w:b/>
          <w:sz w:val="20"/>
          <w:szCs w:val="20"/>
        </w:rPr>
      </w:pPr>
    </w:p>
    <w:p w14:paraId="2005ED55">
      <w:pPr>
        <w:pStyle w:val="12"/>
        <w:shd w:val="clear" w:color="auto" w:fill="auto"/>
        <w:spacing w:line="240" w:lineRule="auto"/>
        <w:ind w:firstLine="0"/>
        <w:jc w:val="both"/>
        <w:rPr>
          <w:sz w:val="20"/>
          <w:szCs w:val="20"/>
        </w:rPr>
      </w:pPr>
      <w:r>
        <w:rPr>
          <w:sz w:val="20"/>
          <w:szCs w:val="20"/>
        </w:rPr>
        <w:t xml:space="preserve">Butilhidroksitoluen (E321) </w:t>
      </w:r>
    </w:p>
    <w:p w14:paraId="1E6E8C77">
      <w:pPr>
        <w:pStyle w:val="12"/>
        <w:shd w:val="clear" w:color="auto" w:fill="auto"/>
        <w:spacing w:line="240" w:lineRule="auto"/>
        <w:ind w:firstLine="0"/>
        <w:jc w:val="both"/>
        <w:rPr>
          <w:sz w:val="20"/>
          <w:szCs w:val="20"/>
        </w:rPr>
      </w:pPr>
      <w:r>
        <w:rPr>
          <w:sz w:val="20"/>
          <w:szCs w:val="20"/>
        </w:rPr>
        <w:t xml:space="preserve">Hipromeloza (E464) </w:t>
      </w:r>
    </w:p>
    <w:p w14:paraId="120F845E">
      <w:pPr>
        <w:pStyle w:val="12"/>
        <w:shd w:val="clear" w:color="auto" w:fill="auto"/>
        <w:spacing w:line="240" w:lineRule="auto"/>
        <w:ind w:firstLine="0"/>
        <w:jc w:val="both"/>
        <w:rPr>
          <w:sz w:val="20"/>
          <w:szCs w:val="20"/>
        </w:rPr>
      </w:pPr>
      <w:r>
        <w:rPr>
          <w:sz w:val="20"/>
          <w:szCs w:val="20"/>
        </w:rPr>
        <w:t xml:space="preserve">Laktoza </w:t>
      </w:r>
    </w:p>
    <w:p w14:paraId="7855BEC8">
      <w:pPr>
        <w:pStyle w:val="12"/>
        <w:shd w:val="clear" w:color="auto" w:fill="auto"/>
        <w:spacing w:line="240" w:lineRule="auto"/>
        <w:ind w:firstLine="0"/>
        <w:jc w:val="both"/>
        <w:rPr>
          <w:sz w:val="20"/>
          <w:szCs w:val="20"/>
        </w:rPr>
      </w:pPr>
      <w:r>
        <w:rPr>
          <w:sz w:val="20"/>
          <w:szCs w:val="20"/>
        </w:rPr>
        <w:t xml:space="preserve">Laktoza, monohidrat </w:t>
      </w:r>
    </w:p>
    <w:p w14:paraId="0C8502CC">
      <w:pPr>
        <w:pStyle w:val="12"/>
        <w:shd w:val="clear" w:color="auto" w:fill="auto"/>
        <w:spacing w:line="240" w:lineRule="auto"/>
        <w:ind w:firstLine="0"/>
        <w:jc w:val="both"/>
        <w:rPr>
          <w:sz w:val="20"/>
          <w:szCs w:val="20"/>
        </w:rPr>
      </w:pPr>
      <w:r>
        <w:rPr>
          <w:sz w:val="20"/>
          <w:szCs w:val="20"/>
        </w:rPr>
        <w:t xml:space="preserve">Krospovidon (E1202) </w:t>
      </w:r>
    </w:p>
    <w:p w14:paraId="65C8F8D7">
      <w:pPr>
        <w:pStyle w:val="12"/>
        <w:shd w:val="clear" w:color="auto" w:fill="auto"/>
        <w:spacing w:line="240" w:lineRule="auto"/>
        <w:ind w:firstLine="0"/>
        <w:jc w:val="both"/>
        <w:rPr>
          <w:sz w:val="20"/>
          <w:szCs w:val="20"/>
        </w:rPr>
      </w:pPr>
      <w:r>
        <w:rPr>
          <w:sz w:val="20"/>
          <w:szCs w:val="20"/>
        </w:rPr>
        <w:t xml:space="preserve">Magnezijum-stearat </w:t>
      </w:r>
    </w:p>
    <w:p w14:paraId="69FF3ACD">
      <w:pPr>
        <w:pStyle w:val="12"/>
        <w:shd w:val="clear" w:color="auto" w:fill="auto"/>
        <w:spacing w:line="240" w:lineRule="auto"/>
        <w:ind w:firstLine="0"/>
        <w:jc w:val="both"/>
        <w:rPr>
          <w:b/>
          <w:sz w:val="20"/>
          <w:szCs w:val="20"/>
        </w:rPr>
      </w:pPr>
    </w:p>
    <w:p w14:paraId="7F7FBD7C">
      <w:pPr>
        <w:pStyle w:val="12"/>
        <w:numPr>
          <w:ilvl w:val="1"/>
          <w:numId w:val="1"/>
        </w:numPr>
        <w:shd w:val="clear" w:color="auto" w:fill="auto"/>
        <w:tabs>
          <w:tab w:val="left" w:pos="572"/>
        </w:tabs>
        <w:spacing w:line="240" w:lineRule="auto"/>
        <w:ind w:firstLine="0"/>
        <w:jc w:val="both"/>
        <w:rPr>
          <w:b/>
          <w:sz w:val="20"/>
          <w:szCs w:val="20"/>
        </w:rPr>
      </w:pPr>
      <w:r>
        <w:rPr>
          <w:b/>
          <w:sz w:val="20"/>
          <w:szCs w:val="20"/>
        </w:rPr>
        <w:t>Inkompatibilnosti</w:t>
      </w:r>
    </w:p>
    <w:p w14:paraId="62953747">
      <w:pPr>
        <w:pStyle w:val="12"/>
        <w:shd w:val="clear" w:color="auto" w:fill="auto"/>
        <w:tabs>
          <w:tab w:val="left" w:pos="572"/>
        </w:tabs>
        <w:spacing w:line="240" w:lineRule="auto"/>
        <w:ind w:firstLine="0"/>
        <w:jc w:val="both"/>
        <w:rPr>
          <w:sz w:val="20"/>
          <w:szCs w:val="20"/>
        </w:rPr>
      </w:pPr>
    </w:p>
    <w:p w14:paraId="11769B1A">
      <w:pPr>
        <w:pStyle w:val="12"/>
        <w:shd w:val="clear" w:color="auto" w:fill="auto"/>
        <w:spacing w:line="240" w:lineRule="auto"/>
        <w:ind w:firstLine="0"/>
        <w:jc w:val="both"/>
        <w:rPr>
          <w:sz w:val="20"/>
          <w:szCs w:val="20"/>
        </w:rPr>
      </w:pPr>
      <w:r>
        <w:rPr>
          <w:sz w:val="20"/>
          <w:szCs w:val="20"/>
        </w:rPr>
        <w:t>Nije primjenjivo.</w:t>
      </w:r>
    </w:p>
    <w:p w14:paraId="0E28F509">
      <w:pPr>
        <w:pStyle w:val="12"/>
        <w:shd w:val="clear" w:color="auto" w:fill="auto"/>
        <w:spacing w:line="240" w:lineRule="auto"/>
        <w:ind w:firstLine="0"/>
        <w:jc w:val="both"/>
        <w:rPr>
          <w:sz w:val="20"/>
          <w:szCs w:val="20"/>
        </w:rPr>
      </w:pPr>
    </w:p>
    <w:p w14:paraId="544D23C6">
      <w:pPr>
        <w:pStyle w:val="12"/>
        <w:numPr>
          <w:ilvl w:val="1"/>
          <w:numId w:val="1"/>
        </w:numPr>
        <w:shd w:val="clear" w:color="auto" w:fill="auto"/>
        <w:tabs>
          <w:tab w:val="left" w:pos="572"/>
        </w:tabs>
        <w:spacing w:line="240" w:lineRule="auto"/>
        <w:ind w:firstLine="0"/>
        <w:jc w:val="both"/>
        <w:rPr>
          <w:b/>
          <w:sz w:val="20"/>
          <w:szCs w:val="20"/>
        </w:rPr>
      </w:pPr>
      <w:r>
        <w:rPr>
          <w:b/>
          <w:sz w:val="20"/>
          <w:szCs w:val="20"/>
        </w:rPr>
        <w:t>Rok trajanja</w:t>
      </w:r>
    </w:p>
    <w:p w14:paraId="2E62440A">
      <w:pPr>
        <w:pStyle w:val="12"/>
        <w:shd w:val="clear" w:color="auto" w:fill="auto"/>
        <w:tabs>
          <w:tab w:val="left" w:pos="572"/>
        </w:tabs>
        <w:spacing w:line="240" w:lineRule="auto"/>
        <w:ind w:firstLine="0"/>
        <w:jc w:val="both"/>
        <w:rPr>
          <w:b/>
          <w:sz w:val="20"/>
          <w:szCs w:val="20"/>
        </w:rPr>
      </w:pPr>
    </w:p>
    <w:p w14:paraId="0AD8F6B2">
      <w:pPr>
        <w:pStyle w:val="12"/>
        <w:shd w:val="clear" w:color="auto" w:fill="auto"/>
        <w:tabs>
          <w:tab w:val="left" w:pos="193"/>
        </w:tabs>
        <w:spacing w:line="240" w:lineRule="auto"/>
        <w:ind w:firstLine="0"/>
        <w:jc w:val="both"/>
        <w:rPr>
          <w:sz w:val="20"/>
          <w:szCs w:val="20"/>
        </w:rPr>
      </w:pPr>
      <w:r>
        <w:rPr>
          <w:sz w:val="20"/>
          <w:szCs w:val="20"/>
        </w:rPr>
        <w:t>Tri (3) godine.</w:t>
      </w:r>
    </w:p>
    <w:p w14:paraId="407CD3F2">
      <w:pPr>
        <w:pStyle w:val="12"/>
        <w:shd w:val="clear" w:color="auto" w:fill="auto"/>
        <w:tabs>
          <w:tab w:val="left" w:pos="193"/>
        </w:tabs>
        <w:spacing w:line="240" w:lineRule="auto"/>
        <w:ind w:firstLine="0"/>
        <w:jc w:val="both"/>
        <w:rPr>
          <w:sz w:val="20"/>
          <w:szCs w:val="20"/>
        </w:rPr>
      </w:pPr>
    </w:p>
    <w:p w14:paraId="0FDBB71F">
      <w:pPr>
        <w:pStyle w:val="12"/>
        <w:numPr>
          <w:ilvl w:val="1"/>
          <w:numId w:val="1"/>
        </w:numPr>
        <w:shd w:val="clear" w:color="auto" w:fill="auto"/>
        <w:tabs>
          <w:tab w:val="left" w:pos="572"/>
        </w:tabs>
        <w:spacing w:line="240" w:lineRule="auto"/>
        <w:ind w:firstLine="0"/>
        <w:jc w:val="both"/>
        <w:rPr>
          <w:b/>
          <w:sz w:val="20"/>
          <w:szCs w:val="20"/>
        </w:rPr>
      </w:pPr>
      <w:r>
        <w:rPr>
          <w:b/>
          <w:sz w:val="20"/>
          <w:szCs w:val="20"/>
        </w:rPr>
        <w:t>Posebne mjere pri čuvanju lijeka</w:t>
      </w:r>
    </w:p>
    <w:p w14:paraId="7B0CC952">
      <w:pPr>
        <w:pStyle w:val="12"/>
        <w:shd w:val="clear" w:color="auto" w:fill="auto"/>
        <w:tabs>
          <w:tab w:val="left" w:pos="572"/>
        </w:tabs>
        <w:spacing w:line="240" w:lineRule="auto"/>
        <w:ind w:firstLine="0"/>
        <w:jc w:val="both"/>
        <w:rPr>
          <w:b/>
          <w:sz w:val="20"/>
          <w:szCs w:val="20"/>
        </w:rPr>
      </w:pPr>
    </w:p>
    <w:p w14:paraId="34943D4F">
      <w:pPr>
        <w:pStyle w:val="12"/>
        <w:shd w:val="clear" w:color="auto" w:fill="auto"/>
        <w:spacing w:line="240" w:lineRule="auto"/>
        <w:ind w:firstLine="0"/>
        <w:jc w:val="both"/>
        <w:rPr>
          <w:sz w:val="20"/>
          <w:szCs w:val="20"/>
        </w:rPr>
      </w:pPr>
      <w:r>
        <w:rPr>
          <w:sz w:val="20"/>
          <w:szCs w:val="20"/>
        </w:rPr>
        <w:t>Lijek treba čuvati na temperaturi do 30⁰C.</w:t>
      </w:r>
    </w:p>
    <w:p w14:paraId="3600D68B">
      <w:pPr>
        <w:pStyle w:val="12"/>
        <w:shd w:val="clear" w:color="auto" w:fill="auto"/>
        <w:spacing w:line="240" w:lineRule="auto"/>
        <w:ind w:firstLine="0"/>
        <w:jc w:val="both"/>
        <w:rPr>
          <w:sz w:val="20"/>
          <w:szCs w:val="20"/>
        </w:rPr>
      </w:pPr>
      <w:r>
        <w:rPr>
          <w:sz w:val="20"/>
          <w:szCs w:val="20"/>
        </w:rPr>
        <w:t>Čuvati u originalnom pakovanju radi zaštite od svjetlosti.</w:t>
      </w:r>
    </w:p>
    <w:p w14:paraId="593359FA">
      <w:pPr>
        <w:pStyle w:val="12"/>
        <w:shd w:val="clear" w:color="auto" w:fill="auto"/>
        <w:spacing w:line="240" w:lineRule="auto"/>
        <w:ind w:firstLine="0"/>
        <w:jc w:val="both"/>
        <w:rPr>
          <w:b/>
          <w:sz w:val="20"/>
          <w:szCs w:val="20"/>
        </w:rPr>
      </w:pPr>
    </w:p>
    <w:p w14:paraId="220FB09A">
      <w:pPr>
        <w:pStyle w:val="12"/>
        <w:numPr>
          <w:ilvl w:val="1"/>
          <w:numId w:val="1"/>
        </w:numPr>
        <w:shd w:val="clear" w:color="auto" w:fill="auto"/>
        <w:tabs>
          <w:tab w:val="left" w:pos="572"/>
        </w:tabs>
        <w:spacing w:line="240" w:lineRule="auto"/>
        <w:ind w:firstLine="0"/>
        <w:jc w:val="both"/>
        <w:rPr>
          <w:b/>
          <w:sz w:val="20"/>
          <w:szCs w:val="20"/>
        </w:rPr>
      </w:pPr>
      <w:r>
        <w:rPr>
          <w:b/>
          <w:sz w:val="20"/>
          <w:szCs w:val="20"/>
        </w:rPr>
        <w:t>Vrsta i sadržaj unutrašnjeg pakovanja kontejnera</w:t>
      </w:r>
    </w:p>
    <w:p w14:paraId="4EF6C32F">
      <w:pPr>
        <w:pStyle w:val="12"/>
        <w:shd w:val="clear" w:color="auto" w:fill="auto"/>
        <w:tabs>
          <w:tab w:val="left" w:pos="572"/>
        </w:tabs>
        <w:spacing w:line="240" w:lineRule="auto"/>
        <w:ind w:firstLine="0"/>
        <w:jc w:val="both"/>
        <w:rPr>
          <w:b/>
          <w:sz w:val="20"/>
          <w:szCs w:val="20"/>
        </w:rPr>
      </w:pPr>
    </w:p>
    <w:p w14:paraId="429F216D">
      <w:pPr>
        <w:pStyle w:val="12"/>
        <w:shd w:val="clear" w:color="auto" w:fill="auto"/>
        <w:spacing w:line="240" w:lineRule="auto"/>
        <w:ind w:firstLine="0"/>
        <w:jc w:val="both"/>
        <w:rPr>
          <w:sz w:val="20"/>
          <w:szCs w:val="20"/>
          <w:u w:val="single"/>
        </w:rPr>
      </w:pPr>
      <w:r>
        <w:rPr>
          <w:sz w:val="20"/>
          <w:szCs w:val="20"/>
          <w:u w:val="single"/>
        </w:rPr>
        <w:t>Syrleno 2,5 mg tablete</w:t>
      </w:r>
    </w:p>
    <w:p w14:paraId="6BAAC79A">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7D6771A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11B83D82">
      <w:pPr>
        <w:pStyle w:val="12"/>
        <w:shd w:val="clear" w:color="auto" w:fill="auto"/>
        <w:spacing w:line="240" w:lineRule="auto"/>
        <w:ind w:firstLine="0"/>
        <w:jc w:val="both"/>
        <w:rPr>
          <w:sz w:val="20"/>
          <w:szCs w:val="20"/>
        </w:rPr>
      </w:pPr>
    </w:p>
    <w:p w14:paraId="62D85ABD">
      <w:pPr>
        <w:pStyle w:val="12"/>
        <w:shd w:val="clear" w:color="auto" w:fill="auto"/>
        <w:spacing w:line="240" w:lineRule="auto"/>
        <w:ind w:firstLine="0"/>
        <w:jc w:val="both"/>
        <w:rPr>
          <w:sz w:val="20"/>
          <w:szCs w:val="20"/>
          <w:u w:val="single"/>
        </w:rPr>
      </w:pPr>
      <w:r>
        <w:rPr>
          <w:sz w:val="20"/>
          <w:szCs w:val="20"/>
          <w:u w:val="single"/>
        </w:rPr>
        <w:t>Syrleno 5 mg tablete</w:t>
      </w:r>
    </w:p>
    <w:p w14:paraId="211DF9B3">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1601173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42B2DD16">
      <w:pPr>
        <w:pStyle w:val="12"/>
        <w:shd w:val="clear" w:color="auto" w:fill="auto"/>
        <w:spacing w:line="240" w:lineRule="auto"/>
        <w:ind w:firstLine="0"/>
        <w:jc w:val="both"/>
        <w:rPr>
          <w:sz w:val="20"/>
          <w:szCs w:val="20"/>
        </w:rPr>
      </w:pPr>
    </w:p>
    <w:p w14:paraId="7DEC024E">
      <w:pPr>
        <w:pStyle w:val="12"/>
        <w:shd w:val="clear" w:color="auto" w:fill="auto"/>
        <w:spacing w:line="240" w:lineRule="auto"/>
        <w:ind w:firstLine="0"/>
        <w:jc w:val="both"/>
        <w:rPr>
          <w:sz w:val="20"/>
          <w:szCs w:val="20"/>
          <w:u w:val="single"/>
        </w:rPr>
      </w:pPr>
      <w:r>
        <w:rPr>
          <w:sz w:val="20"/>
          <w:szCs w:val="20"/>
          <w:u w:val="single"/>
        </w:rPr>
        <w:t>Syrleno 10 mg tablete</w:t>
      </w:r>
    </w:p>
    <w:p w14:paraId="62215DCC">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5 tableta.</w:t>
      </w:r>
    </w:p>
    <w:p w14:paraId="351857DE">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(6 blistera po 5 tableta).</w:t>
      </w:r>
    </w:p>
    <w:p w14:paraId="2FB6568B">
      <w:pPr>
        <w:pStyle w:val="12"/>
        <w:shd w:val="clear" w:color="auto" w:fill="auto"/>
        <w:spacing w:line="240" w:lineRule="auto"/>
        <w:ind w:firstLine="0"/>
        <w:jc w:val="both"/>
        <w:rPr>
          <w:sz w:val="20"/>
          <w:szCs w:val="20"/>
        </w:rPr>
      </w:pPr>
    </w:p>
    <w:p w14:paraId="0122F016">
      <w:pPr>
        <w:pStyle w:val="12"/>
        <w:shd w:val="clear" w:color="auto" w:fill="auto"/>
        <w:spacing w:line="240" w:lineRule="auto"/>
        <w:ind w:firstLine="0"/>
        <w:jc w:val="both"/>
        <w:rPr>
          <w:b/>
          <w:sz w:val="20"/>
          <w:szCs w:val="20"/>
        </w:rPr>
      </w:pPr>
      <w:r>
        <w:rPr>
          <w:b/>
          <w:sz w:val="20"/>
          <w:szCs w:val="20"/>
        </w:rPr>
        <w:t>6.6.    Uputstva za upotrebu i rukovanje i posebne mjere za uklanjanje neiskorištenog lijeka ili otpadnih materijala koji potiču od lijeka</w:t>
      </w:r>
    </w:p>
    <w:p w14:paraId="34612A73">
      <w:pPr>
        <w:pStyle w:val="12"/>
        <w:shd w:val="clear" w:color="auto" w:fill="auto"/>
        <w:spacing w:line="240" w:lineRule="auto"/>
        <w:ind w:firstLine="0"/>
        <w:jc w:val="both"/>
        <w:rPr>
          <w:sz w:val="20"/>
          <w:szCs w:val="20"/>
        </w:rPr>
      </w:pPr>
    </w:p>
    <w:p w14:paraId="0EA648EF">
      <w:pPr>
        <w:pStyle w:val="12"/>
        <w:shd w:val="clear" w:color="auto" w:fill="auto"/>
        <w:spacing w:line="240" w:lineRule="auto"/>
        <w:ind w:firstLine="0"/>
        <w:jc w:val="both"/>
        <w:rPr>
          <w:sz w:val="20"/>
          <w:szCs w:val="20"/>
        </w:rPr>
      </w:pPr>
      <w:r>
        <w:rPr>
          <w:sz w:val="20"/>
          <w:szCs w:val="20"/>
        </w:rPr>
        <w:t>Neiskorišteni lijek ne treba odlagati u kućni otpad ili ga bacati u otpadne vode. Potrebno je pitati farmaceuta za najbolji način odlaganja neutrošenog lijeka, jer se na taj način čuva okolina.</w:t>
      </w:r>
    </w:p>
    <w:p w14:paraId="73722F92">
      <w:pPr>
        <w:rPr>
          <w:rFonts w:ascii="Microsoft Sans Serif" w:hAnsi="Microsoft Sans Serif" w:cs="Microsoft Sans Serif"/>
          <w:b/>
          <w:sz w:val="20"/>
          <w:lang w:val="sr-Latn-BA"/>
        </w:rPr>
      </w:pPr>
    </w:p>
    <w:p w14:paraId="1D77DA0A">
      <w:pPr>
        <w:rPr>
          <w:rFonts w:ascii="Microsoft Sans Serif" w:hAnsi="Microsoft Sans Serif" w:cs="Microsoft Sans Serif"/>
          <w:b/>
          <w:sz w:val="20"/>
          <w:lang w:val="sr-Latn-BA"/>
        </w:rPr>
      </w:pPr>
      <w:r>
        <w:rPr>
          <w:rFonts w:ascii="Microsoft Sans Serif" w:hAnsi="Microsoft Sans Serif" w:cs="Microsoft Sans Serif"/>
          <w:b/>
          <w:sz w:val="20"/>
          <w:lang w:val="sr-Latn-BA"/>
        </w:rPr>
        <w:t>6.7.</w:t>
      </w:r>
      <w:r>
        <w:rPr>
          <w:rFonts w:ascii="Microsoft Sans Serif" w:hAnsi="Microsoft Sans Serif" w:cs="Microsoft Sans Serif"/>
          <w:b/>
          <w:sz w:val="20"/>
          <w:lang w:val="sr-Latn-BA"/>
        </w:rPr>
        <w:tab/>
      </w:r>
      <w:r>
        <w:rPr>
          <w:rFonts w:ascii="Microsoft Sans Serif" w:hAnsi="Microsoft Sans Serif" w:cs="Microsoft Sans Serif"/>
          <w:b/>
          <w:sz w:val="20"/>
          <w:lang w:val="sr-Latn-BA"/>
        </w:rPr>
        <w:t>Režim izdavanja</w:t>
      </w:r>
    </w:p>
    <w:p w14:paraId="64A14CB5">
      <w:pPr>
        <w:rPr>
          <w:rFonts w:ascii="Microsoft Sans Serif" w:hAnsi="Microsoft Sans Serif" w:cs="Microsoft Sans Serif"/>
          <w:sz w:val="20"/>
          <w:lang w:val="sr-Latn-BA"/>
        </w:rPr>
      </w:pPr>
    </w:p>
    <w:p w14:paraId="1C48BEEC">
      <w:pPr>
        <w:pStyle w:val="12"/>
        <w:shd w:val="clear" w:color="auto" w:fill="auto"/>
        <w:spacing w:line="240" w:lineRule="auto"/>
        <w:ind w:firstLine="0"/>
        <w:jc w:val="both"/>
        <w:rPr>
          <w:rFonts w:eastAsia="Times New Roman"/>
          <w:color w:val="auto"/>
          <w:sz w:val="20"/>
          <w:szCs w:val="22"/>
          <w:lang w:val="sr-Latn-BA" w:eastAsia="en-US"/>
        </w:rPr>
      </w:pPr>
      <w:r>
        <w:rPr>
          <w:rFonts w:eastAsia="Times New Roman"/>
          <w:color w:val="auto"/>
          <w:sz w:val="20"/>
          <w:szCs w:val="22"/>
          <w:lang w:val="sr-Latn-BA" w:eastAsia="en-US"/>
        </w:rPr>
        <w:t>ZU/Rp - Lijek se upotrebljava u zdravstvenoj ustanovi sekundarnog ili tercijarnog nivoa; izuzetno se izdaje uz recept za potrebe nastavka bolničkog liječenja.</w:t>
      </w:r>
    </w:p>
    <w:p w14:paraId="7A09B879">
      <w:pPr>
        <w:pStyle w:val="12"/>
        <w:shd w:val="clear" w:color="auto" w:fill="auto"/>
        <w:spacing w:line="240" w:lineRule="auto"/>
        <w:ind w:firstLine="0"/>
        <w:jc w:val="both"/>
        <w:rPr>
          <w:sz w:val="20"/>
          <w:szCs w:val="20"/>
        </w:rPr>
      </w:pPr>
    </w:p>
    <w:p w14:paraId="3AE58C75">
      <w:pPr>
        <w:pStyle w:val="12"/>
        <w:shd w:val="clear" w:color="auto" w:fill="auto"/>
        <w:spacing w:line="240" w:lineRule="auto"/>
        <w:ind w:firstLine="0"/>
        <w:jc w:val="both"/>
        <w:rPr>
          <w:sz w:val="20"/>
          <w:szCs w:val="20"/>
        </w:rPr>
      </w:pPr>
    </w:p>
    <w:p w14:paraId="2DD12782">
      <w:pPr>
        <w:pStyle w:val="12"/>
        <w:numPr>
          <w:ilvl w:val="0"/>
          <w:numId w:val="1"/>
        </w:numPr>
        <w:shd w:val="clear" w:color="auto" w:fill="auto"/>
        <w:tabs>
          <w:tab w:val="left" w:pos="572"/>
        </w:tabs>
        <w:spacing w:line="240" w:lineRule="auto"/>
        <w:ind w:firstLine="0"/>
        <w:jc w:val="both"/>
        <w:rPr>
          <w:b/>
          <w:sz w:val="20"/>
          <w:szCs w:val="20"/>
        </w:rPr>
      </w:pPr>
      <w:r>
        <w:rPr>
          <w:b/>
          <w:sz w:val="20"/>
          <w:szCs w:val="20"/>
        </w:rPr>
        <w:t>PROIZVOĐAČ</w:t>
      </w:r>
    </w:p>
    <w:p w14:paraId="4BE57829">
      <w:pPr>
        <w:pStyle w:val="12"/>
        <w:shd w:val="clear" w:color="auto" w:fill="auto"/>
        <w:tabs>
          <w:tab w:val="left" w:pos="572"/>
        </w:tabs>
        <w:spacing w:line="240" w:lineRule="auto"/>
        <w:ind w:firstLine="0"/>
        <w:jc w:val="both"/>
        <w:rPr>
          <w:b/>
          <w:sz w:val="20"/>
          <w:szCs w:val="20"/>
        </w:rPr>
      </w:pPr>
    </w:p>
    <w:p w14:paraId="3D3F9B7E">
      <w:pPr>
        <w:pStyle w:val="12"/>
        <w:spacing w:line="240" w:lineRule="auto"/>
        <w:ind w:firstLine="0"/>
        <w:jc w:val="both"/>
        <w:rPr>
          <w:sz w:val="20"/>
          <w:szCs w:val="20"/>
        </w:rPr>
      </w:pPr>
      <w:r>
        <w:rPr>
          <w:sz w:val="20"/>
          <w:szCs w:val="20"/>
        </w:rPr>
        <w:t>ALKALOID AD Skopje</w:t>
      </w:r>
      <w:r>
        <w:rPr>
          <w:sz w:val="20"/>
          <w:szCs w:val="20"/>
        </w:rPr>
        <w:tab/>
      </w:r>
    </w:p>
    <w:p w14:paraId="4C3D03CB">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5BC76679">
      <w:pPr>
        <w:pStyle w:val="12"/>
        <w:spacing w:line="240" w:lineRule="auto"/>
        <w:ind w:firstLine="0"/>
        <w:jc w:val="both"/>
        <w:rPr>
          <w:sz w:val="20"/>
          <w:szCs w:val="20"/>
        </w:rPr>
      </w:pPr>
      <w:r>
        <w:rPr>
          <w:sz w:val="20"/>
          <w:szCs w:val="20"/>
        </w:rPr>
        <w:t>1000 Skopje, Republika Severna Makedonija</w:t>
      </w:r>
      <w:r>
        <w:rPr>
          <w:sz w:val="20"/>
          <w:szCs w:val="20"/>
        </w:rPr>
        <w:tab/>
      </w:r>
    </w:p>
    <w:p w14:paraId="0BB32719">
      <w:pPr>
        <w:pStyle w:val="12"/>
        <w:spacing w:line="240" w:lineRule="auto"/>
        <w:ind w:firstLine="0"/>
        <w:jc w:val="both"/>
        <w:rPr>
          <w:sz w:val="20"/>
          <w:szCs w:val="20"/>
        </w:rPr>
      </w:pPr>
    </w:p>
    <w:p w14:paraId="72EF9636">
      <w:pPr>
        <w:pStyle w:val="12"/>
        <w:spacing w:line="240" w:lineRule="auto"/>
        <w:ind w:firstLine="0"/>
        <w:jc w:val="both"/>
        <w:rPr>
          <w:b/>
          <w:sz w:val="20"/>
          <w:szCs w:val="20"/>
        </w:rPr>
      </w:pPr>
      <w:r>
        <w:rPr>
          <w:b/>
          <w:sz w:val="20"/>
          <w:szCs w:val="20"/>
        </w:rPr>
        <w:t xml:space="preserve">Proizvođač gotovog lijeka </w:t>
      </w:r>
    </w:p>
    <w:p w14:paraId="6C62954B">
      <w:pPr>
        <w:pStyle w:val="12"/>
        <w:spacing w:line="240" w:lineRule="auto"/>
        <w:ind w:firstLine="0"/>
        <w:jc w:val="both"/>
        <w:rPr>
          <w:sz w:val="20"/>
          <w:szCs w:val="20"/>
        </w:rPr>
      </w:pPr>
      <w:r>
        <w:rPr>
          <w:sz w:val="20"/>
          <w:szCs w:val="20"/>
        </w:rPr>
        <w:t>ALKALOID AD Skopje</w:t>
      </w:r>
      <w:r>
        <w:rPr>
          <w:sz w:val="20"/>
          <w:szCs w:val="20"/>
        </w:rPr>
        <w:tab/>
      </w:r>
    </w:p>
    <w:p w14:paraId="1D064BDE">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1599539A">
      <w:pPr>
        <w:pStyle w:val="12"/>
        <w:spacing w:line="240" w:lineRule="auto"/>
        <w:ind w:firstLine="0"/>
        <w:jc w:val="both"/>
        <w:rPr>
          <w:sz w:val="20"/>
          <w:szCs w:val="20"/>
        </w:rPr>
      </w:pPr>
      <w:r>
        <w:rPr>
          <w:sz w:val="20"/>
          <w:szCs w:val="20"/>
        </w:rPr>
        <w:t>1000 Skopje, Republika Severna Makedonija</w:t>
      </w:r>
      <w:r>
        <w:rPr>
          <w:sz w:val="20"/>
          <w:szCs w:val="20"/>
        </w:rPr>
        <w:tab/>
      </w:r>
    </w:p>
    <w:p w14:paraId="3628E727">
      <w:pPr>
        <w:pStyle w:val="12"/>
        <w:spacing w:line="240" w:lineRule="auto"/>
        <w:ind w:firstLine="0"/>
        <w:jc w:val="both"/>
        <w:rPr>
          <w:sz w:val="20"/>
          <w:szCs w:val="20"/>
        </w:rPr>
      </w:pPr>
    </w:p>
    <w:p w14:paraId="5A38A373">
      <w:pPr>
        <w:pStyle w:val="12"/>
        <w:spacing w:line="240" w:lineRule="auto"/>
        <w:ind w:firstLine="0"/>
        <w:jc w:val="both"/>
        <w:rPr>
          <w:b/>
          <w:sz w:val="20"/>
          <w:szCs w:val="20"/>
        </w:rPr>
      </w:pPr>
      <w:r>
        <w:rPr>
          <w:b/>
          <w:sz w:val="20"/>
          <w:szCs w:val="20"/>
        </w:rPr>
        <w:t xml:space="preserve">Nositelj dozvole za stavljanje gotovog lijeka u promet </w:t>
      </w:r>
    </w:p>
    <w:p w14:paraId="49E35C47">
      <w:pPr>
        <w:pStyle w:val="12"/>
        <w:spacing w:line="240" w:lineRule="auto"/>
        <w:ind w:firstLine="0"/>
        <w:jc w:val="both"/>
        <w:rPr>
          <w:sz w:val="20"/>
          <w:szCs w:val="20"/>
        </w:rPr>
      </w:pPr>
      <w:r>
        <w:rPr>
          <w:sz w:val="20"/>
          <w:szCs w:val="20"/>
        </w:rPr>
        <w:t xml:space="preserve">ALKALOID d.o.o. Sarajevo </w:t>
      </w:r>
    </w:p>
    <w:p w14:paraId="3257E00B">
      <w:pPr>
        <w:pStyle w:val="12"/>
        <w:spacing w:line="240" w:lineRule="auto"/>
        <w:ind w:firstLine="0"/>
        <w:jc w:val="both"/>
        <w:rPr>
          <w:sz w:val="20"/>
          <w:szCs w:val="20"/>
        </w:rPr>
      </w:pPr>
      <w:r>
        <w:rPr>
          <w:sz w:val="20"/>
          <w:szCs w:val="20"/>
        </w:rPr>
        <w:t>Isevića sokak 6, Sarajevo</w:t>
      </w:r>
    </w:p>
    <w:p w14:paraId="703ACE13">
      <w:pPr>
        <w:pStyle w:val="12"/>
        <w:spacing w:line="240" w:lineRule="auto"/>
        <w:ind w:firstLine="0"/>
        <w:jc w:val="both"/>
        <w:rPr>
          <w:sz w:val="20"/>
          <w:szCs w:val="20"/>
        </w:rPr>
      </w:pPr>
      <w:r>
        <w:rPr>
          <w:sz w:val="20"/>
          <w:szCs w:val="20"/>
        </w:rPr>
        <w:t xml:space="preserve">Bosna i Hercegovina </w:t>
      </w:r>
    </w:p>
    <w:p w14:paraId="1B00A511">
      <w:pPr>
        <w:pStyle w:val="12"/>
        <w:spacing w:line="240" w:lineRule="auto"/>
        <w:ind w:firstLine="0"/>
        <w:jc w:val="both"/>
        <w:rPr>
          <w:b/>
          <w:sz w:val="20"/>
          <w:szCs w:val="20"/>
        </w:rPr>
      </w:pPr>
    </w:p>
    <w:p w14:paraId="587338D7">
      <w:pPr>
        <w:pStyle w:val="12"/>
        <w:spacing w:line="240" w:lineRule="auto"/>
        <w:ind w:firstLine="0"/>
        <w:jc w:val="both"/>
        <w:rPr>
          <w:b/>
          <w:sz w:val="20"/>
          <w:szCs w:val="20"/>
        </w:rPr>
      </w:pPr>
    </w:p>
    <w:p w14:paraId="02C941E4">
      <w:pPr>
        <w:pStyle w:val="12"/>
        <w:spacing w:line="240" w:lineRule="auto"/>
        <w:ind w:firstLine="0"/>
        <w:jc w:val="both"/>
        <w:rPr>
          <w:b/>
          <w:sz w:val="20"/>
          <w:szCs w:val="20"/>
        </w:rPr>
      </w:pPr>
      <w:r>
        <w:rPr>
          <w:b/>
          <w:sz w:val="20"/>
          <w:szCs w:val="20"/>
        </w:rPr>
        <w:t>8. BROJ I DATUM DOZVOLE ZA STAVLJANJE LIJEKA U PROMET</w:t>
      </w:r>
    </w:p>
    <w:p w14:paraId="7DF16A97">
      <w:pPr>
        <w:pStyle w:val="12"/>
        <w:spacing w:line="240" w:lineRule="auto"/>
        <w:ind w:firstLine="0"/>
        <w:jc w:val="both"/>
        <w:rPr>
          <w:rFonts w:eastAsia="Courier New"/>
          <w:sz w:val="20"/>
          <w:szCs w:val="20"/>
        </w:rPr>
      </w:pPr>
    </w:p>
    <w:p w14:paraId="507EA4AE">
      <w:pPr>
        <w:rPr>
          <w:rFonts w:ascii="Microsoft Sans Serif" w:hAnsi="Microsoft Sans Serif" w:cs="Microsoft Sans Serif"/>
          <w:sz w:val="20"/>
          <w:szCs w:val="20"/>
        </w:rPr>
      </w:pPr>
      <w:r>
        <w:rPr>
          <w:rFonts w:ascii="Microsoft Sans Serif" w:hAnsi="Microsoft Sans Serif" w:cs="Microsoft Sans Serif"/>
          <w:sz w:val="20"/>
          <w:szCs w:val="20"/>
        </w:rPr>
        <w:t>Syrleno 30 x 2,5 mg tableta: 04-07.3-1-10830/20 od 24.03.2022</w:t>
      </w:r>
    </w:p>
    <w:p w14:paraId="2580846C">
      <w:pPr>
        <w:rPr>
          <w:rFonts w:ascii="Microsoft Sans Serif" w:hAnsi="Microsoft Sans Serif" w:cs="Microsoft Sans Serif"/>
          <w:sz w:val="20"/>
          <w:szCs w:val="20"/>
        </w:rPr>
      </w:pPr>
      <w:r>
        <w:rPr>
          <w:rFonts w:ascii="Microsoft Sans Serif" w:hAnsi="Microsoft Sans Serif" w:cs="Microsoft Sans Serif"/>
          <w:sz w:val="20"/>
          <w:szCs w:val="20"/>
        </w:rPr>
        <w:t>Syrleno 30 x 5 mg tableta: 04-07.3-1-10831/20 od 24.03.2022</w:t>
      </w:r>
    </w:p>
    <w:p w14:paraId="4E64FB93">
      <w:pPr>
        <w:rPr>
          <w:rFonts w:ascii="Microsoft Sans Serif" w:hAnsi="Microsoft Sans Serif" w:cs="Microsoft Sans Serif"/>
          <w:sz w:val="20"/>
          <w:szCs w:val="20"/>
        </w:rPr>
      </w:pPr>
      <w:r>
        <w:rPr>
          <w:rFonts w:ascii="Microsoft Sans Serif" w:hAnsi="Microsoft Sans Serif" w:cs="Microsoft Sans Serif"/>
          <w:sz w:val="20"/>
          <w:szCs w:val="20"/>
        </w:rPr>
        <w:t>Syrleno 30 x 10 mg tableta: 04-07.3-1-10832/20 od 24.03.2022</w:t>
      </w:r>
    </w:p>
    <w:p w14:paraId="742BBC86">
      <w:pPr>
        <w:widowControl/>
        <w:tabs>
          <w:tab w:val="left" w:pos="360"/>
        </w:tabs>
        <w:jc w:val="both"/>
        <w:rPr>
          <w:rFonts w:ascii="Microsoft Sans Serif" w:hAnsi="Microsoft Sans Serif" w:eastAsia="Microsoft Sans Serif" w:cs="Microsoft Sans Serif"/>
          <w:sz w:val="20"/>
          <w:szCs w:val="20"/>
        </w:rPr>
      </w:pPr>
    </w:p>
    <w:p w14:paraId="74DFA65A">
      <w:pPr>
        <w:widowControl/>
        <w:tabs>
          <w:tab w:val="left" w:pos="360"/>
        </w:tabs>
        <w:jc w:val="both"/>
        <w:rPr>
          <w:rFonts w:ascii="Microsoft Sans Serif" w:hAnsi="Microsoft Sans Serif" w:eastAsia="Microsoft Sans Serif" w:cs="Microsoft Sans Serif"/>
          <w:sz w:val="20"/>
          <w:szCs w:val="20"/>
        </w:rPr>
      </w:pPr>
    </w:p>
    <w:p w14:paraId="4CEC4A54">
      <w:pPr>
        <w:widowControl/>
        <w:tabs>
          <w:tab w:val="left" w:pos="360"/>
        </w:tabs>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b/>
          <w:color w:val="auto"/>
          <w:sz w:val="20"/>
          <w:szCs w:val="20"/>
          <w:lang w:val="sr-Latn-BA" w:eastAsia="en-US"/>
        </w:rPr>
        <w:t>9.</w:t>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 xml:space="preserve">DATUM REVIZIJE SAŽETKA KARAKTERISTIKA LIJEKA </w:t>
      </w:r>
    </w:p>
    <w:p w14:paraId="1FEC56DA">
      <w:pPr>
        <w:jc w:val="both"/>
        <w:rPr>
          <w:rFonts w:ascii="Microsoft Sans Serif" w:hAnsi="Microsoft Sans Serif" w:eastAsia="Times New Roman" w:cs="Microsoft Sans Serif"/>
          <w:color w:val="auto"/>
          <w:sz w:val="20"/>
          <w:szCs w:val="20"/>
          <w:lang w:val="sr-Latn-BA" w:eastAsia="en-US"/>
        </w:rPr>
      </w:pPr>
    </w:p>
    <w:p w14:paraId="48CCB6F8">
      <w:pPr>
        <w:widowControl/>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color w:val="auto"/>
          <w:sz w:val="20"/>
          <w:szCs w:val="20"/>
          <w:lang w:val="sr-Latn-BA" w:eastAsia="en-US"/>
        </w:rPr>
        <w:t>Oktobar, 2023. g.</w:t>
      </w:r>
    </w:p>
    <w:p w14:paraId="709436C3">
      <w:pPr>
        <w:widowControl/>
        <w:jc w:val="both"/>
        <w:rPr>
          <w:rFonts w:ascii="Microsoft Sans Serif" w:hAnsi="Microsoft Sans Serif" w:eastAsia="Times New Roman" w:cs="Microsoft Sans Serif"/>
          <w:i/>
          <w:color w:val="auto"/>
          <w:sz w:val="20"/>
          <w:szCs w:val="20"/>
          <w:lang w:val="sv-SE" w:eastAsia="en-US"/>
        </w:rPr>
      </w:pPr>
    </w:p>
    <w:p w14:paraId="0105BB8C">
      <w:pPr>
        <w:pStyle w:val="12"/>
        <w:spacing w:line="240" w:lineRule="auto"/>
        <w:ind w:firstLine="0"/>
        <w:jc w:val="both"/>
        <w:rPr>
          <w:sz w:val="20"/>
          <w:szCs w:val="20"/>
        </w:rPr>
      </w:pPr>
    </w:p>
    <w:p w14:paraId="53F8A221">
      <w:pPr>
        <w:pStyle w:val="12"/>
        <w:shd w:val="clear" w:color="auto" w:fill="auto"/>
        <w:spacing w:line="240" w:lineRule="auto"/>
        <w:ind w:firstLine="0"/>
        <w:jc w:val="left"/>
        <w:rPr>
          <w:sz w:val="20"/>
          <w:szCs w:val="20"/>
        </w:rPr>
      </w:pPr>
    </w:p>
    <w:p w14:paraId="0470B5A4">
      <w:pPr>
        <w:pStyle w:val="12"/>
        <w:shd w:val="clear" w:color="auto" w:fill="auto"/>
        <w:spacing w:line="240" w:lineRule="auto"/>
        <w:ind w:firstLine="0"/>
        <w:jc w:val="both"/>
        <w:rPr>
          <w:sz w:val="20"/>
          <w:szCs w:val="20"/>
          <w:highlight w:val="yellow"/>
        </w:rPr>
      </w:pPr>
    </w:p>
    <w:sectPr>
      <w:footerReference r:id="rId5" w:type="default"/>
      <w:footerReference r:id="rId6" w:type="even"/>
      <w:pgSz w:w="11909" w:h="16834"/>
      <w:pgMar w:top="2552" w:right="1134" w:bottom="1134" w:left="1418" w:header="0" w:footer="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86"/>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Arial Narrow">
    <w:altName w:val="Arial"/>
    <w:panose1 w:val="020B0606020202030204"/>
    <w:charset w:val="CC"/>
    <w:family w:val="swiss"/>
    <w:pitch w:val="default"/>
    <w:sig w:usb0="00000000" w:usb1="00000000" w:usb2="00000000" w:usb3="00000000" w:csb0="0000009F" w:csb1="00000000"/>
  </w:font>
  <w:font w:name="FrankRuehl">
    <w:altName w:val="Segoe Print"/>
    <w:panose1 w:val="00000000000000000000"/>
    <w:charset w:val="B1"/>
    <w:family w:val="swiss"/>
    <w:pitch w:val="default"/>
    <w:sig w:usb0="00000000" w:usb1="00000000" w:usb2="00000000" w:usb3="00000000" w:csb0="00000020" w:csb1="00000000"/>
  </w:font>
  <w:font w:name="Batang">
    <w:altName w:val="Malgun Gothic"/>
    <w:panose1 w:val="02030600000101010101"/>
    <w:charset w:val="81"/>
    <w:family w:val="auto"/>
    <w:pitch w:val="default"/>
    <w:sig w:usb0="00000000" w:usb1="00000000" w:usb2="00000010" w:usb3="00000000" w:csb0="00080000" w:csb1="00000000"/>
  </w:font>
  <w:font w:name="Franklin Gothic Heavy">
    <w:altName w:val="Yu Gothic UI Semibold"/>
    <w:panose1 w:val="020B0903020102020204"/>
    <w:charset w:val="CC"/>
    <w:family w:val="swiss"/>
    <w:pitch w:val="default"/>
    <w:sig w:usb0="00000000" w:usb1="00000000" w:usb2="00000000" w:usb3="00000000" w:csb0="0000009F"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0FAD">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1980">
    <w:pPr>
      <w:pStyle w:val="8"/>
      <w:jc w:val="center"/>
    </w:pPr>
  </w:p>
  <w:p w14:paraId="66C4383C">
    <w:pPr>
      <w:rPr>
        <w:sz w:val="2"/>
        <w:szCs w:val="2"/>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15056"/>
    <w:multiLevelType w:val="multilevel"/>
    <w:tmpl w:val="08015056"/>
    <w:lvl w:ilvl="0" w:tentative="0">
      <w:start w:val="1"/>
      <w:numFmt w:val="decimal"/>
      <w:lvlText w:val="%1."/>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1" w:tentative="0">
      <w:start w:val="1"/>
      <w:numFmt w:val="decimal"/>
      <w:lvlText w:val="%1.%2"/>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21611F6"/>
    <w:multiLevelType w:val="multilevel"/>
    <w:tmpl w:val="121611F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2093535C"/>
    <w:multiLevelType w:val="multilevel"/>
    <w:tmpl w:val="2093535C"/>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910053B"/>
    <w:multiLevelType w:val="multilevel"/>
    <w:tmpl w:val="2910053B"/>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08"/>
  <w:hyphenationZone w:val="425"/>
  <w:evenAndOddHeaders w:val="1"/>
  <w:drawingGridHorizontalSpacing w:val="181"/>
  <w:drawingGridVerticalSpacing w:val="181"/>
  <w:characterSpacingControl w:val="compressPunctuation"/>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BD"/>
    <w:rsid w:val="00013AB5"/>
    <w:rsid w:val="00013D21"/>
    <w:rsid w:val="00025D98"/>
    <w:rsid w:val="00031951"/>
    <w:rsid w:val="00037E43"/>
    <w:rsid w:val="000429F0"/>
    <w:rsid w:val="00045988"/>
    <w:rsid w:val="00046F06"/>
    <w:rsid w:val="0005602D"/>
    <w:rsid w:val="00056583"/>
    <w:rsid w:val="000A648D"/>
    <w:rsid w:val="000E56DC"/>
    <w:rsid w:val="000E75BB"/>
    <w:rsid w:val="000F7067"/>
    <w:rsid w:val="00124FE5"/>
    <w:rsid w:val="00133A0A"/>
    <w:rsid w:val="00133E29"/>
    <w:rsid w:val="001A4E0D"/>
    <w:rsid w:val="001A5FEF"/>
    <w:rsid w:val="001B70B4"/>
    <w:rsid w:val="001B7EEF"/>
    <w:rsid w:val="001C4903"/>
    <w:rsid w:val="001C7654"/>
    <w:rsid w:val="001E2CF0"/>
    <w:rsid w:val="001E5EEA"/>
    <w:rsid w:val="00225A78"/>
    <w:rsid w:val="00227B60"/>
    <w:rsid w:val="0023737C"/>
    <w:rsid w:val="0026774F"/>
    <w:rsid w:val="0027181B"/>
    <w:rsid w:val="00281D2C"/>
    <w:rsid w:val="002A3C71"/>
    <w:rsid w:val="002A6C89"/>
    <w:rsid w:val="002B1DA5"/>
    <w:rsid w:val="002B4205"/>
    <w:rsid w:val="002C1E23"/>
    <w:rsid w:val="002C3720"/>
    <w:rsid w:val="002E349C"/>
    <w:rsid w:val="002E40BE"/>
    <w:rsid w:val="002E767A"/>
    <w:rsid w:val="00311FDC"/>
    <w:rsid w:val="00321CDB"/>
    <w:rsid w:val="00326408"/>
    <w:rsid w:val="00347A1C"/>
    <w:rsid w:val="0036102A"/>
    <w:rsid w:val="00384597"/>
    <w:rsid w:val="003A6EE4"/>
    <w:rsid w:val="003C24F2"/>
    <w:rsid w:val="003D6F76"/>
    <w:rsid w:val="003E356A"/>
    <w:rsid w:val="00400BBB"/>
    <w:rsid w:val="004326EB"/>
    <w:rsid w:val="0046109F"/>
    <w:rsid w:val="0046350F"/>
    <w:rsid w:val="00466050"/>
    <w:rsid w:val="00475FFA"/>
    <w:rsid w:val="004A776D"/>
    <w:rsid w:val="004C12DD"/>
    <w:rsid w:val="004C2FD9"/>
    <w:rsid w:val="004D219A"/>
    <w:rsid w:val="004E5B49"/>
    <w:rsid w:val="004F3453"/>
    <w:rsid w:val="004F7EA7"/>
    <w:rsid w:val="00515370"/>
    <w:rsid w:val="00527CAD"/>
    <w:rsid w:val="005321E9"/>
    <w:rsid w:val="00533943"/>
    <w:rsid w:val="0054511E"/>
    <w:rsid w:val="00546064"/>
    <w:rsid w:val="00552E22"/>
    <w:rsid w:val="005676A1"/>
    <w:rsid w:val="0056798D"/>
    <w:rsid w:val="00584DD8"/>
    <w:rsid w:val="005916F7"/>
    <w:rsid w:val="005B1B25"/>
    <w:rsid w:val="005B1F6F"/>
    <w:rsid w:val="005C09F4"/>
    <w:rsid w:val="005D0F8E"/>
    <w:rsid w:val="005D7FE6"/>
    <w:rsid w:val="005F3951"/>
    <w:rsid w:val="00604093"/>
    <w:rsid w:val="00620193"/>
    <w:rsid w:val="00622DEB"/>
    <w:rsid w:val="00624EE0"/>
    <w:rsid w:val="00626AB7"/>
    <w:rsid w:val="006328E1"/>
    <w:rsid w:val="006332F7"/>
    <w:rsid w:val="00635B7B"/>
    <w:rsid w:val="00641A2D"/>
    <w:rsid w:val="00646539"/>
    <w:rsid w:val="006541D6"/>
    <w:rsid w:val="00661712"/>
    <w:rsid w:val="006E1B02"/>
    <w:rsid w:val="006E2EAB"/>
    <w:rsid w:val="006E4383"/>
    <w:rsid w:val="006E4AB5"/>
    <w:rsid w:val="006F6ED4"/>
    <w:rsid w:val="00734286"/>
    <w:rsid w:val="00735265"/>
    <w:rsid w:val="00741505"/>
    <w:rsid w:val="007513A9"/>
    <w:rsid w:val="00763E5E"/>
    <w:rsid w:val="007654F2"/>
    <w:rsid w:val="00774C61"/>
    <w:rsid w:val="007B2C09"/>
    <w:rsid w:val="007C0826"/>
    <w:rsid w:val="007C0F3B"/>
    <w:rsid w:val="00800967"/>
    <w:rsid w:val="0081182F"/>
    <w:rsid w:val="00817191"/>
    <w:rsid w:val="00837CC4"/>
    <w:rsid w:val="008412E1"/>
    <w:rsid w:val="008721EB"/>
    <w:rsid w:val="008777E9"/>
    <w:rsid w:val="0088596E"/>
    <w:rsid w:val="0088707D"/>
    <w:rsid w:val="00890C6C"/>
    <w:rsid w:val="00891530"/>
    <w:rsid w:val="008A319E"/>
    <w:rsid w:val="008B1212"/>
    <w:rsid w:val="008B1FC6"/>
    <w:rsid w:val="008B331C"/>
    <w:rsid w:val="008D1CD6"/>
    <w:rsid w:val="008F79DC"/>
    <w:rsid w:val="0091615C"/>
    <w:rsid w:val="00921127"/>
    <w:rsid w:val="009278A8"/>
    <w:rsid w:val="00936099"/>
    <w:rsid w:val="00950315"/>
    <w:rsid w:val="00954189"/>
    <w:rsid w:val="00956E7D"/>
    <w:rsid w:val="00970D8D"/>
    <w:rsid w:val="009743AF"/>
    <w:rsid w:val="00974AB6"/>
    <w:rsid w:val="00995858"/>
    <w:rsid w:val="009B7DFC"/>
    <w:rsid w:val="009C412F"/>
    <w:rsid w:val="009C62D2"/>
    <w:rsid w:val="009C68A0"/>
    <w:rsid w:val="009D16F6"/>
    <w:rsid w:val="009D3FDB"/>
    <w:rsid w:val="009D5C54"/>
    <w:rsid w:val="009D7BB8"/>
    <w:rsid w:val="009E3EBA"/>
    <w:rsid w:val="00A054AE"/>
    <w:rsid w:val="00A06291"/>
    <w:rsid w:val="00A07307"/>
    <w:rsid w:val="00A111C2"/>
    <w:rsid w:val="00A27F3C"/>
    <w:rsid w:val="00A44B63"/>
    <w:rsid w:val="00A517E8"/>
    <w:rsid w:val="00A614A3"/>
    <w:rsid w:val="00A849DC"/>
    <w:rsid w:val="00A9199C"/>
    <w:rsid w:val="00A9231A"/>
    <w:rsid w:val="00A93A84"/>
    <w:rsid w:val="00A95B09"/>
    <w:rsid w:val="00AA2F2C"/>
    <w:rsid w:val="00AF6812"/>
    <w:rsid w:val="00B1691C"/>
    <w:rsid w:val="00B21FF1"/>
    <w:rsid w:val="00B40A52"/>
    <w:rsid w:val="00B4564D"/>
    <w:rsid w:val="00B56550"/>
    <w:rsid w:val="00B61FAE"/>
    <w:rsid w:val="00B622A8"/>
    <w:rsid w:val="00B65A22"/>
    <w:rsid w:val="00B700F2"/>
    <w:rsid w:val="00B7795D"/>
    <w:rsid w:val="00B94498"/>
    <w:rsid w:val="00BA5991"/>
    <w:rsid w:val="00BB4952"/>
    <w:rsid w:val="00BC452D"/>
    <w:rsid w:val="00BD3116"/>
    <w:rsid w:val="00BE1520"/>
    <w:rsid w:val="00BE57D6"/>
    <w:rsid w:val="00BE63E0"/>
    <w:rsid w:val="00BF7F98"/>
    <w:rsid w:val="00C22701"/>
    <w:rsid w:val="00C40610"/>
    <w:rsid w:val="00C52259"/>
    <w:rsid w:val="00C55FBA"/>
    <w:rsid w:val="00C62CA5"/>
    <w:rsid w:val="00C675EB"/>
    <w:rsid w:val="00C927E0"/>
    <w:rsid w:val="00C954F6"/>
    <w:rsid w:val="00C979C8"/>
    <w:rsid w:val="00CC5647"/>
    <w:rsid w:val="00CD624A"/>
    <w:rsid w:val="00CE0650"/>
    <w:rsid w:val="00CF0DF7"/>
    <w:rsid w:val="00CF21BC"/>
    <w:rsid w:val="00CF2AA4"/>
    <w:rsid w:val="00D146CA"/>
    <w:rsid w:val="00D20DA0"/>
    <w:rsid w:val="00D224B6"/>
    <w:rsid w:val="00D27232"/>
    <w:rsid w:val="00D34FC1"/>
    <w:rsid w:val="00D403E2"/>
    <w:rsid w:val="00D53BB8"/>
    <w:rsid w:val="00D67FAD"/>
    <w:rsid w:val="00D718C4"/>
    <w:rsid w:val="00D74A7B"/>
    <w:rsid w:val="00D87447"/>
    <w:rsid w:val="00DA1429"/>
    <w:rsid w:val="00DA4C33"/>
    <w:rsid w:val="00DD1C24"/>
    <w:rsid w:val="00DD6888"/>
    <w:rsid w:val="00E11A87"/>
    <w:rsid w:val="00E41170"/>
    <w:rsid w:val="00E42284"/>
    <w:rsid w:val="00E66EE4"/>
    <w:rsid w:val="00E91873"/>
    <w:rsid w:val="00E96B78"/>
    <w:rsid w:val="00EA25EE"/>
    <w:rsid w:val="00EA3A63"/>
    <w:rsid w:val="00EB7129"/>
    <w:rsid w:val="00EC10C3"/>
    <w:rsid w:val="00EC560D"/>
    <w:rsid w:val="00EF261C"/>
    <w:rsid w:val="00F05C2E"/>
    <w:rsid w:val="00F11114"/>
    <w:rsid w:val="00F12452"/>
    <w:rsid w:val="00F13033"/>
    <w:rsid w:val="00F41752"/>
    <w:rsid w:val="00F45B10"/>
    <w:rsid w:val="00F540E0"/>
    <w:rsid w:val="00F60A81"/>
    <w:rsid w:val="00F66486"/>
    <w:rsid w:val="00F70512"/>
    <w:rsid w:val="00F72833"/>
    <w:rsid w:val="00F97330"/>
    <w:rsid w:val="00FB1BBD"/>
    <w:rsid w:val="00FB4EEB"/>
    <w:rsid w:val="00FD44B0"/>
    <w:rsid w:val="00FE1834"/>
    <w:rsid w:val="00FE2C5F"/>
    <w:rsid w:val="00FE55BE"/>
    <w:rsid w:val="43590BE7"/>
  </w:rsids>
  <m:mathPr>
    <m:mathFont m:val="Cambria Math"/>
    <m:brkBin m:val="before"/>
    <m:brkBinSub m:val="--"/>
    <m:smallFrac m:val="0"/>
    <m:dispDef/>
    <m:lMargin m:val="0"/>
    <m:rMargin m:val="0"/>
    <m:defJc m:val="centerGroup"/>
    <m:wrapIndent m:val="1440"/>
    <m:intLim m:val="subSup"/>
    <m:naryLim m:val="undOvr"/>
  </m:mathPr>
  <w:themeFontLang w:val="bs-Latn-BA"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ourier New" w:hAnsi="Courier New" w:eastAsia="Courier New" w:cs="Courier New"/>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Courier New" w:hAnsi="Courier New" w:eastAsia="Courier New" w:cs="Courier New"/>
      <w:color w:val="000000"/>
      <w:sz w:val="24"/>
      <w:szCs w:val="24"/>
      <w:lang w:val="hr-HR" w:eastAsia="bs-Latn-BA"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49"/>
    <w:semiHidden/>
    <w:unhideWhenUsed/>
    <w:qFormat/>
    <w:uiPriority w:val="99"/>
    <w:rPr>
      <w:rFonts w:ascii="Tahoma" w:hAnsi="Tahoma" w:cs="Tahoma"/>
      <w:sz w:val="16"/>
      <w:szCs w:val="16"/>
    </w:rPr>
  </w:style>
  <w:style w:type="character" w:styleId="5">
    <w:name w:val="annotation reference"/>
    <w:basedOn w:val="2"/>
    <w:semiHidden/>
    <w:unhideWhenUsed/>
    <w:qFormat/>
    <w:uiPriority w:val="99"/>
    <w:rPr>
      <w:sz w:val="16"/>
      <w:szCs w:val="16"/>
    </w:rPr>
  </w:style>
  <w:style w:type="paragraph" w:styleId="6">
    <w:name w:val="annotation text"/>
    <w:basedOn w:val="1"/>
    <w:link w:val="250"/>
    <w:semiHidden/>
    <w:unhideWhenUsed/>
    <w:qFormat/>
    <w:uiPriority w:val="99"/>
    <w:rPr>
      <w:sz w:val="20"/>
      <w:szCs w:val="20"/>
    </w:rPr>
  </w:style>
  <w:style w:type="paragraph" w:styleId="7">
    <w:name w:val="annotation subject"/>
    <w:basedOn w:val="6"/>
    <w:next w:val="6"/>
    <w:link w:val="251"/>
    <w:semiHidden/>
    <w:unhideWhenUsed/>
    <w:uiPriority w:val="99"/>
    <w:rPr>
      <w:b/>
      <w:bCs/>
    </w:rPr>
  </w:style>
  <w:style w:type="paragraph" w:styleId="8">
    <w:name w:val="footer"/>
    <w:basedOn w:val="1"/>
    <w:link w:val="248"/>
    <w:unhideWhenUsed/>
    <w:qFormat/>
    <w:uiPriority w:val="99"/>
    <w:pPr>
      <w:tabs>
        <w:tab w:val="center" w:pos="4536"/>
        <w:tab w:val="right" w:pos="9072"/>
      </w:tabs>
    </w:pPr>
  </w:style>
  <w:style w:type="paragraph" w:styleId="9">
    <w:name w:val="header"/>
    <w:basedOn w:val="1"/>
    <w:link w:val="247"/>
    <w:unhideWhenUsed/>
    <w:qFormat/>
    <w:uiPriority w:val="99"/>
    <w:pPr>
      <w:tabs>
        <w:tab w:val="center" w:pos="4536"/>
        <w:tab w:val="right" w:pos="9072"/>
      </w:tabs>
    </w:pPr>
  </w:style>
  <w:style w:type="character" w:styleId="10">
    <w:name w:val="Hyperlink"/>
    <w:basedOn w:val="2"/>
    <w:uiPriority w:val="0"/>
    <w:rPr>
      <w:color w:val="0066CC"/>
      <w:u w:val="single"/>
    </w:rPr>
  </w:style>
  <w:style w:type="character" w:customStyle="1" w:styleId="11">
    <w:name w:val="Body text_"/>
    <w:basedOn w:val="2"/>
    <w:link w:val="12"/>
    <w:qFormat/>
    <w:uiPriority w:val="0"/>
    <w:rPr>
      <w:rFonts w:ascii="Microsoft Sans Serif" w:hAnsi="Microsoft Sans Serif" w:eastAsia="Microsoft Sans Serif" w:cs="Microsoft Sans Serif"/>
      <w:sz w:val="19"/>
      <w:szCs w:val="19"/>
      <w:u w:val="none"/>
    </w:rPr>
  </w:style>
  <w:style w:type="paragraph" w:customStyle="1" w:styleId="12">
    <w:name w:val="Body Text7"/>
    <w:basedOn w:val="1"/>
    <w:link w:val="11"/>
    <w:qFormat/>
    <w:uiPriority w:val="0"/>
    <w:pPr>
      <w:shd w:val="clear" w:color="auto" w:fill="FFFFFF"/>
      <w:spacing w:line="0" w:lineRule="atLeast"/>
      <w:ind w:hanging="1320"/>
      <w:jc w:val="center"/>
    </w:pPr>
    <w:rPr>
      <w:rFonts w:ascii="Microsoft Sans Serif" w:hAnsi="Microsoft Sans Serif" w:eastAsia="Microsoft Sans Serif" w:cs="Microsoft Sans Serif"/>
      <w:sz w:val="19"/>
      <w:szCs w:val="19"/>
    </w:rPr>
  </w:style>
  <w:style w:type="character" w:customStyle="1" w:styleId="13">
    <w:name w:val="Header or footer_"/>
    <w:basedOn w:val="2"/>
    <w:link w:val="14"/>
    <w:uiPriority w:val="0"/>
    <w:rPr>
      <w:rFonts w:ascii="Microsoft Sans Serif" w:hAnsi="Microsoft Sans Serif" w:eastAsia="Microsoft Sans Serif" w:cs="Microsoft Sans Serif"/>
      <w:spacing w:val="-30"/>
      <w:w w:val="200"/>
      <w:sz w:val="27"/>
      <w:szCs w:val="27"/>
      <w:u w:val="none"/>
    </w:rPr>
  </w:style>
  <w:style w:type="paragraph" w:customStyle="1" w:styleId="14">
    <w:name w:val="Header or footer1"/>
    <w:basedOn w:val="1"/>
    <w:link w:val="13"/>
    <w:uiPriority w:val="0"/>
    <w:pPr>
      <w:shd w:val="clear" w:color="auto" w:fill="FFFFFF"/>
      <w:spacing w:line="298" w:lineRule="exact"/>
    </w:pPr>
    <w:rPr>
      <w:rFonts w:ascii="Microsoft Sans Serif" w:hAnsi="Microsoft Sans Serif" w:eastAsia="Microsoft Sans Serif" w:cs="Microsoft Sans Serif"/>
      <w:spacing w:val="-30"/>
      <w:w w:val="200"/>
      <w:sz w:val="27"/>
      <w:szCs w:val="27"/>
    </w:rPr>
  </w:style>
  <w:style w:type="character" w:customStyle="1" w:styleId="15">
    <w:name w:val="Header or footer + Arial Narrow;Bold;Spacing -1 pt"/>
    <w:basedOn w:val="13"/>
    <w:qFormat/>
    <w:uiPriority w:val="0"/>
    <w:rPr>
      <w:rFonts w:ascii="Arial Narrow" w:hAnsi="Arial Narrow" w:eastAsia="Arial Narrow" w:cs="Arial Narrow"/>
      <w:b/>
      <w:bCs/>
      <w:color w:val="000000"/>
      <w:spacing w:val="-20"/>
      <w:w w:val="200"/>
      <w:position w:val="0"/>
      <w:sz w:val="27"/>
      <w:szCs w:val="27"/>
      <w:u w:val="none"/>
      <w:lang w:val="hr-HR"/>
    </w:rPr>
  </w:style>
  <w:style w:type="character" w:customStyle="1" w:styleId="16">
    <w:name w:val="Header or footer + Arial Narrow;13 pt;Bold;Scale 250%"/>
    <w:basedOn w:val="13"/>
    <w:qFormat/>
    <w:uiPriority w:val="0"/>
    <w:rPr>
      <w:rFonts w:ascii="Arial Narrow" w:hAnsi="Arial Narrow" w:eastAsia="Arial Narrow" w:cs="Arial Narrow"/>
      <w:b/>
      <w:bCs/>
      <w:color w:val="000000"/>
      <w:spacing w:val="-30"/>
      <w:w w:val="250"/>
      <w:position w:val="0"/>
      <w:sz w:val="26"/>
      <w:szCs w:val="26"/>
      <w:u w:val="none"/>
      <w:lang w:val="hr-HR"/>
    </w:rPr>
  </w:style>
  <w:style w:type="character" w:customStyle="1" w:styleId="17">
    <w:name w:val="Header or footer"/>
    <w:basedOn w:val="13"/>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8">
    <w:name w:val="Header or footer + Times New Roman;11 pt;Spacing 0 pt;Scale 100%"/>
    <w:basedOn w:val="13"/>
    <w:qFormat/>
    <w:uiPriority w:val="0"/>
    <w:rPr>
      <w:rFonts w:ascii="Times New Roman" w:hAnsi="Times New Roman" w:eastAsia="Times New Roman" w:cs="Times New Roman"/>
      <w:color w:val="000000"/>
      <w:spacing w:val="0"/>
      <w:w w:val="100"/>
      <w:position w:val="0"/>
      <w:sz w:val="22"/>
      <w:szCs w:val="22"/>
      <w:u w:val="none"/>
    </w:rPr>
  </w:style>
  <w:style w:type="character" w:customStyle="1" w:styleId="19">
    <w:name w:val="Body Text1"/>
    <w:basedOn w:val="11"/>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20">
    <w:name w:val="Body text (2)_"/>
    <w:basedOn w:val="2"/>
    <w:link w:val="21"/>
    <w:uiPriority w:val="0"/>
    <w:rPr>
      <w:rFonts w:ascii="Microsoft Sans Serif" w:hAnsi="Microsoft Sans Serif" w:eastAsia="Microsoft Sans Serif" w:cs="Microsoft Sans Serif"/>
      <w:i/>
      <w:iCs/>
      <w:spacing w:val="-20"/>
      <w:sz w:val="20"/>
      <w:szCs w:val="20"/>
      <w:u w:val="none"/>
    </w:rPr>
  </w:style>
  <w:style w:type="paragraph" w:customStyle="1" w:styleId="21">
    <w:name w:val="Body text (2)1"/>
    <w:basedOn w:val="1"/>
    <w:link w:val="20"/>
    <w:uiPriority w:val="0"/>
    <w:pPr>
      <w:shd w:val="clear" w:color="auto" w:fill="FFFFFF"/>
      <w:spacing w:line="0" w:lineRule="atLeast"/>
      <w:jc w:val="both"/>
    </w:pPr>
    <w:rPr>
      <w:rFonts w:ascii="Microsoft Sans Serif" w:hAnsi="Microsoft Sans Serif" w:eastAsia="Microsoft Sans Serif" w:cs="Microsoft Sans Serif"/>
      <w:i/>
      <w:iCs/>
      <w:spacing w:val="-20"/>
      <w:sz w:val="20"/>
      <w:szCs w:val="20"/>
    </w:rPr>
  </w:style>
  <w:style w:type="character" w:customStyle="1" w:styleId="22">
    <w:name w:val="Table caption_"/>
    <w:basedOn w:val="2"/>
    <w:link w:val="23"/>
    <w:qFormat/>
    <w:uiPriority w:val="0"/>
    <w:rPr>
      <w:rFonts w:ascii="Microsoft Sans Serif" w:hAnsi="Microsoft Sans Serif" w:eastAsia="Microsoft Sans Serif" w:cs="Microsoft Sans Serif"/>
      <w:sz w:val="19"/>
      <w:szCs w:val="19"/>
      <w:u w:val="none"/>
    </w:rPr>
  </w:style>
  <w:style w:type="paragraph" w:customStyle="1" w:styleId="23">
    <w:name w:val="Table caption2"/>
    <w:basedOn w:val="1"/>
    <w:link w:val="22"/>
    <w:qFormat/>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24">
    <w:name w:val="Body Text2"/>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25">
    <w:name w:val="Body text + 10 pt;Italic;Spacing -1 pt"/>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6">
    <w:name w:val="Body text (2)"/>
    <w:basedOn w:val="20"/>
    <w:qFormat/>
    <w:uiPriority w:val="0"/>
    <w:rPr>
      <w:rFonts w:ascii="Microsoft Sans Serif" w:hAnsi="Microsoft Sans Serif" w:eastAsia="Microsoft Sans Serif" w:cs="Microsoft Sans Serif"/>
      <w:color w:val="000000"/>
      <w:spacing w:val="-20"/>
      <w:w w:val="100"/>
      <w:position w:val="0"/>
      <w:sz w:val="20"/>
      <w:szCs w:val="20"/>
      <w:u w:val="single"/>
      <w:lang w:val="hr-HR"/>
    </w:rPr>
  </w:style>
  <w:style w:type="character" w:customStyle="1" w:styleId="27">
    <w:name w:val="Body text + 10 pt;Italic;Spacing -1 pt1"/>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8">
    <w:name w:val="Heading #2_"/>
    <w:basedOn w:val="2"/>
    <w:link w:val="29"/>
    <w:qFormat/>
    <w:uiPriority w:val="0"/>
    <w:rPr>
      <w:rFonts w:ascii="Arial Narrow" w:hAnsi="Arial Narrow" w:eastAsia="Arial Narrow" w:cs="Arial Narrow"/>
      <w:b/>
      <w:bCs/>
      <w:spacing w:val="-20"/>
      <w:w w:val="200"/>
      <w:sz w:val="29"/>
      <w:szCs w:val="29"/>
      <w:u w:val="none"/>
    </w:rPr>
  </w:style>
  <w:style w:type="paragraph" w:customStyle="1" w:styleId="29">
    <w:name w:val="Heading #21"/>
    <w:basedOn w:val="1"/>
    <w:link w:val="28"/>
    <w:qFormat/>
    <w:uiPriority w:val="0"/>
    <w:pPr>
      <w:shd w:val="clear" w:color="auto" w:fill="FFFFFF"/>
      <w:spacing w:line="298" w:lineRule="exact"/>
      <w:outlineLvl w:val="1"/>
    </w:pPr>
    <w:rPr>
      <w:rFonts w:ascii="Arial Narrow" w:hAnsi="Arial Narrow" w:eastAsia="Arial Narrow" w:cs="Arial Narrow"/>
      <w:b/>
      <w:bCs/>
      <w:spacing w:val="-20"/>
      <w:w w:val="200"/>
      <w:sz w:val="29"/>
      <w:szCs w:val="29"/>
    </w:rPr>
  </w:style>
  <w:style w:type="character" w:customStyle="1" w:styleId="30">
    <w:name w:val="Heading #2"/>
    <w:basedOn w:val="28"/>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31">
    <w:name w:val="Body text (3)_"/>
    <w:basedOn w:val="2"/>
    <w:link w:val="32"/>
    <w:qFormat/>
    <w:uiPriority w:val="0"/>
    <w:rPr>
      <w:rFonts w:ascii="Arial Narrow" w:hAnsi="Arial Narrow" w:eastAsia="Arial Narrow" w:cs="Arial Narrow"/>
      <w:b/>
      <w:bCs/>
      <w:spacing w:val="-20"/>
      <w:w w:val="250"/>
      <w:sz w:val="25"/>
      <w:szCs w:val="25"/>
      <w:u w:val="none"/>
    </w:rPr>
  </w:style>
  <w:style w:type="paragraph" w:customStyle="1" w:styleId="32">
    <w:name w:val="Body text (3)1"/>
    <w:basedOn w:val="1"/>
    <w:link w:val="31"/>
    <w:uiPriority w:val="0"/>
    <w:pPr>
      <w:shd w:val="clear" w:color="auto" w:fill="FFFFFF"/>
      <w:spacing w:line="298" w:lineRule="exact"/>
    </w:pPr>
    <w:rPr>
      <w:rFonts w:ascii="Arial Narrow" w:hAnsi="Arial Narrow" w:eastAsia="Arial Narrow" w:cs="Arial Narrow"/>
      <w:b/>
      <w:bCs/>
      <w:spacing w:val="-20"/>
      <w:w w:val="250"/>
      <w:sz w:val="25"/>
      <w:szCs w:val="25"/>
    </w:rPr>
  </w:style>
  <w:style w:type="character" w:customStyle="1" w:styleId="33">
    <w:name w:val="Body text (3)"/>
    <w:basedOn w:val="31"/>
    <w:uiPriority w:val="0"/>
    <w:rPr>
      <w:rFonts w:ascii="Arial Narrow" w:hAnsi="Arial Narrow" w:eastAsia="Arial Narrow" w:cs="Arial Narrow"/>
      <w:color w:val="000000"/>
      <w:spacing w:val="-20"/>
      <w:w w:val="250"/>
      <w:position w:val="0"/>
      <w:sz w:val="25"/>
      <w:szCs w:val="25"/>
      <w:u w:val="none"/>
      <w:lang w:val="hr-HR"/>
    </w:rPr>
  </w:style>
  <w:style w:type="character" w:customStyle="1" w:styleId="34">
    <w:name w:val="Heading #1_"/>
    <w:basedOn w:val="2"/>
    <w:link w:val="35"/>
    <w:qFormat/>
    <w:uiPriority w:val="0"/>
    <w:rPr>
      <w:rFonts w:ascii="Microsoft Sans Serif" w:hAnsi="Microsoft Sans Serif" w:eastAsia="Microsoft Sans Serif" w:cs="Microsoft Sans Serif"/>
      <w:spacing w:val="-30"/>
      <w:w w:val="200"/>
      <w:sz w:val="27"/>
      <w:szCs w:val="27"/>
      <w:u w:val="none"/>
    </w:rPr>
  </w:style>
  <w:style w:type="paragraph" w:customStyle="1" w:styleId="35">
    <w:name w:val="Heading #11"/>
    <w:basedOn w:val="1"/>
    <w:link w:val="34"/>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36">
    <w:name w:val="Heading #1"/>
    <w:basedOn w:val="34"/>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37">
    <w:name w:val="Heading #1 + FrankRuehl;15 pt;Spacing 0 pt;Scale 100%"/>
    <w:basedOn w:val="34"/>
    <w:qFormat/>
    <w:uiPriority w:val="0"/>
    <w:rPr>
      <w:rFonts w:ascii="FrankRuehl" w:hAnsi="FrankRuehl" w:eastAsia="FrankRuehl" w:cs="FrankRuehl"/>
      <w:color w:val="000000"/>
      <w:spacing w:val="0"/>
      <w:w w:val="100"/>
      <w:position w:val="0"/>
      <w:sz w:val="30"/>
      <w:szCs w:val="30"/>
      <w:u w:val="none"/>
    </w:rPr>
  </w:style>
  <w:style w:type="character" w:customStyle="1" w:styleId="38">
    <w:name w:val="Heading #1 (2)_"/>
    <w:basedOn w:val="2"/>
    <w:link w:val="39"/>
    <w:qFormat/>
    <w:uiPriority w:val="0"/>
    <w:rPr>
      <w:rFonts w:ascii="Microsoft Sans Serif" w:hAnsi="Microsoft Sans Serif" w:eastAsia="Microsoft Sans Serif" w:cs="Microsoft Sans Serif"/>
      <w:spacing w:val="-30"/>
      <w:w w:val="200"/>
      <w:sz w:val="27"/>
      <w:szCs w:val="27"/>
      <w:u w:val="none"/>
    </w:rPr>
  </w:style>
  <w:style w:type="paragraph" w:customStyle="1" w:styleId="39">
    <w:name w:val="Heading #1 (2)1"/>
    <w:basedOn w:val="1"/>
    <w:link w:val="38"/>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0">
    <w:name w:val="Heading #1 (2)"/>
    <w:basedOn w:val="38"/>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1">
    <w:name w:val="Heading #1 (2) + FrankRuehl;15 pt;Spacing 0 pt;Scale 100%"/>
    <w:basedOn w:val="38"/>
    <w:qFormat/>
    <w:uiPriority w:val="0"/>
    <w:rPr>
      <w:rFonts w:ascii="FrankRuehl" w:hAnsi="FrankRuehl" w:eastAsia="FrankRuehl" w:cs="FrankRuehl"/>
      <w:color w:val="000000"/>
      <w:spacing w:val="0"/>
      <w:w w:val="100"/>
      <w:position w:val="0"/>
      <w:sz w:val="30"/>
      <w:szCs w:val="30"/>
      <w:u w:val="none"/>
    </w:rPr>
  </w:style>
  <w:style w:type="character" w:customStyle="1" w:styleId="42">
    <w:name w:val="Heading #1 (3)_"/>
    <w:basedOn w:val="2"/>
    <w:link w:val="43"/>
    <w:qFormat/>
    <w:uiPriority w:val="0"/>
    <w:rPr>
      <w:rFonts w:ascii="Microsoft Sans Serif" w:hAnsi="Microsoft Sans Serif" w:eastAsia="Microsoft Sans Serif" w:cs="Microsoft Sans Serif"/>
      <w:spacing w:val="-30"/>
      <w:w w:val="200"/>
      <w:sz w:val="27"/>
      <w:szCs w:val="27"/>
      <w:u w:val="none"/>
    </w:rPr>
  </w:style>
  <w:style w:type="paragraph" w:customStyle="1" w:styleId="43">
    <w:name w:val="Heading #1 (3)1"/>
    <w:basedOn w:val="1"/>
    <w:link w:val="42"/>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4">
    <w:name w:val="Heading #1 (3)"/>
    <w:basedOn w:val="42"/>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5">
    <w:name w:val="Heading #1 (3) + FrankRuehl;15 pt;Spacing 0 pt;Scale 100%"/>
    <w:basedOn w:val="42"/>
    <w:qFormat/>
    <w:uiPriority w:val="0"/>
    <w:rPr>
      <w:rFonts w:ascii="FrankRuehl" w:hAnsi="FrankRuehl" w:eastAsia="FrankRuehl" w:cs="FrankRuehl"/>
      <w:color w:val="000000"/>
      <w:spacing w:val="0"/>
      <w:w w:val="100"/>
      <w:position w:val="0"/>
      <w:sz w:val="30"/>
      <w:szCs w:val="30"/>
      <w:u w:val="none"/>
    </w:rPr>
  </w:style>
  <w:style w:type="character" w:customStyle="1" w:styleId="46">
    <w:name w:val="Table caption"/>
    <w:basedOn w:val="22"/>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47">
    <w:name w:val="Body text + 10 pt;Italic"/>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8">
    <w:name w:val="Body text + 10 pt;Italic1"/>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9">
    <w:name w:val="Body Text3"/>
    <w:basedOn w:val="2"/>
    <w:qFormat/>
    <w:uiPriority w:val="0"/>
    <w:rPr>
      <w:rFonts w:ascii="Microsoft Sans Serif" w:hAnsi="Microsoft Sans Serif" w:eastAsia="Microsoft Sans Serif" w:cs="Microsoft Sans Serif"/>
      <w:sz w:val="19"/>
      <w:szCs w:val="19"/>
      <w:u w:val="none"/>
    </w:rPr>
  </w:style>
  <w:style w:type="character" w:customStyle="1" w:styleId="50">
    <w:name w:val="Body text (2) + 9;5 pt;Not Italic;Spacing 0 pt"/>
    <w:basedOn w:val="20"/>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51">
    <w:name w:val="Body text + Small Caps"/>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2">
    <w:name w:val="Body text + Small Caps1"/>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3">
    <w:name w:val="Table of contents_"/>
    <w:basedOn w:val="2"/>
    <w:link w:val="54"/>
    <w:uiPriority w:val="0"/>
    <w:rPr>
      <w:rFonts w:ascii="Microsoft Sans Serif" w:hAnsi="Microsoft Sans Serif" w:eastAsia="Microsoft Sans Serif" w:cs="Microsoft Sans Serif"/>
      <w:sz w:val="19"/>
      <w:szCs w:val="19"/>
      <w:u w:val="none"/>
    </w:rPr>
  </w:style>
  <w:style w:type="paragraph" w:customStyle="1" w:styleId="54">
    <w:name w:val="Table of contents"/>
    <w:basedOn w:val="1"/>
    <w:link w:val="53"/>
    <w:qFormat/>
    <w:uiPriority w:val="0"/>
    <w:pPr>
      <w:shd w:val="clear" w:color="auto" w:fill="FFFFFF"/>
      <w:spacing w:line="226" w:lineRule="exact"/>
      <w:jc w:val="both"/>
    </w:pPr>
    <w:rPr>
      <w:rFonts w:ascii="Microsoft Sans Serif" w:hAnsi="Microsoft Sans Serif" w:eastAsia="Microsoft Sans Serif" w:cs="Microsoft Sans Serif"/>
      <w:sz w:val="19"/>
      <w:szCs w:val="19"/>
    </w:rPr>
  </w:style>
  <w:style w:type="character" w:customStyle="1" w:styleId="55">
    <w:name w:val="Body text (4)_"/>
    <w:basedOn w:val="2"/>
    <w:link w:val="56"/>
    <w:qFormat/>
    <w:uiPriority w:val="0"/>
    <w:rPr>
      <w:rFonts w:ascii="Arial Narrow" w:hAnsi="Arial Narrow" w:eastAsia="Arial Narrow" w:cs="Arial Narrow"/>
      <w:b/>
      <w:bCs/>
      <w:spacing w:val="-20"/>
      <w:w w:val="200"/>
      <w:sz w:val="29"/>
      <w:szCs w:val="29"/>
      <w:u w:val="none"/>
    </w:rPr>
  </w:style>
  <w:style w:type="paragraph" w:customStyle="1" w:styleId="56">
    <w:name w:val="Body text (4)1"/>
    <w:basedOn w:val="1"/>
    <w:link w:val="55"/>
    <w:qFormat/>
    <w:uiPriority w:val="0"/>
    <w:pPr>
      <w:shd w:val="clear" w:color="auto" w:fill="FFFFFF"/>
      <w:spacing w:line="298" w:lineRule="exact"/>
      <w:jc w:val="both"/>
    </w:pPr>
    <w:rPr>
      <w:rFonts w:ascii="Arial Narrow" w:hAnsi="Arial Narrow" w:eastAsia="Arial Narrow" w:cs="Arial Narrow"/>
      <w:b/>
      <w:bCs/>
      <w:spacing w:val="-20"/>
      <w:w w:val="200"/>
      <w:sz w:val="29"/>
      <w:szCs w:val="29"/>
    </w:rPr>
  </w:style>
  <w:style w:type="character" w:customStyle="1" w:styleId="57">
    <w:name w:val="Body text (4)"/>
    <w:basedOn w:val="55"/>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58">
    <w:name w:val="Body text (4) + 12;5 pt;Scale 250%"/>
    <w:basedOn w:val="55"/>
    <w:qFormat/>
    <w:uiPriority w:val="0"/>
    <w:rPr>
      <w:rFonts w:ascii="Arial Narrow" w:hAnsi="Arial Narrow" w:eastAsia="Arial Narrow" w:cs="Arial Narrow"/>
      <w:color w:val="000000"/>
      <w:spacing w:val="-20"/>
      <w:w w:val="250"/>
      <w:position w:val="0"/>
      <w:sz w:val="25"/>
      <w:szCs w:val="25"/>
      <w:u w:val="none"/>
      <w:lang w:val="hr-HR"/>
    </w:rPr>
  </w:style>
  <w:style w:type="character" w:customStyle="1" w:styleId="59">
    <w:name w:val="Heading #1 (4)_"/>
    <w:basedOn w:val="2"/>
    <w:link w:val="60"/>
    <w:qFormat/>
    <w:uiPriority w:val="0"/>
    <w:rPr>
      <w:rFonts w:ascii="Microsoft Sans Serif" w:hAnsi="Microsoft Sans Serif" w:eastAsia="Microsoft Sans Serif" w:cs="Microsoft Sans Serif"/>
      <w:spacing w:val="-30"/>
      <w:w w:val="200"/>
      <w:sz w:val="27"/>
      <w:szCs w:val="27"/>
      <w:u w:val="none"/>
    </w:rPr>
  </w:style>
  <w:style w:type="paragraph" w:customStyle="1" w:styleId="60">
    <w:name w:val="Heading #1 (4)1"/>
    <w:basedOn w:val="1"/>
    <w:link w:val="59"/>
    <w:qFormat/>
    <w:uiPriority w:val="0"/>
    <w:pPr>
      <w:shd w:val="clear" w:color="auto" w:fill="FFFFFF"/>
      <w:spacing w:line="298" w:lineRule="exact"/>
      <w:jc w:val="right"/>
      <w:outlineLvl w:val="0"/>
    </w:pPr>
    <w:rPr>
      <w:rFonts w:ascii="Microsoft Sans Serif" w:hAnsi="Microsoft Sans Serif" w:eastAsia="Microsoft Sans Serif" w:cs="Microsoft Sans Serif"/>
      <w:spacing w:val="-30"/>
      <w:w w:val="200"/>
      <w:sz w:val="27"/>
      <w:szCs w:val="27"/>
    </w:rPr>
  </w:style>
  <w:style w:type="character" w:customStyle="1" w:styleId="61">
    <w:name w:val="Heading #1 (4)"/>
    <w:basedOn w:val="59"/>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62">
    <w:name w:val="Heading #1 (4) + FrankRuehl;15 pt;Spacing 0 pt;Scale 100%"/>
    <w:basedOn w:val="59"/>
    <w:qFormat/>
    <w:uiPriority w:val="0"/>
    <w:rPr>
      <w:rFonts w:ascii="FrankRuehl" w:hAnsi="FrankRuehl" w:eastAsia="FrankRuehl" w:cs="FrankRuehl"/>
      <w:color w:val="000000"/>
      <w:spacing w:val="0"/>
      <w:w w:val="100"/>
      <w:position w:val="0"/>
      <w:sz w:val="30"/>
      <w:szCs w:val="30"/>
      <w:u w:val="none"/>
    </w:rPr>
  </w:style>
  <w:style w:type="character" w:customStyle="1" w:styleId="63">
    <w:name w:val="Picture caption_"/>
    <w:basedOn w:val="2"/>
    <w:link w:val="64"/>
    <w:qFormat/>
    <w:uiPriority w:val="0"/>
    <w:rPr>
      <w:rFonts w:ascii="Microsoft Sans Serif" w:hAnsi="Microsoft Sans Serif" w:eastAsia="Microsoft Sans Serif" w:cs="Microsoft Sans Serif"/>
      <w:sz w:val="14"/>
      <w:szCs w:val="14"/>
      <w:u w:val="none"/>
    </w:rPr>
  </w:style>
  <w:style w:type="paragraph" w:customStyle="1" w:styleId="64">
    <w:name w:val="Picture caption7"/>
    <w:basedOn w:val="1"/>
    <w:link w:val="63"/>
    <w:uiPriority w:val="0"/>
    <w:pPr>
      <w:shd w:val="clear" w:color="auto" w:fill="FFFFFF"/>
      <w:spacing w:line="0" w:lineRule="atLeast"/>
    </w:pPr>
    <w:rPr>
      <w:rFonts w:ascii="Microsoft Sans Serif" w:hAnsi="Microsoft Sans Serif" w:eastAsia="Microsoft Sans Serif" w:cs="Microsoft Sans Serif"/>
      <w:sz w:val="14"/>
      <w:szCs w:val="14"/>
    </w:rPr>
  </w:style>
  <w:style w:type="character" w:customStyle="1" w:styleId="65">
    <w:name w:val="Picture caption"/>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6">
    <w:name w:val="Picture caption1"/>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7">
    <w:name w:val="Picture caption2"/>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8">
    <w:name w:val="Picture caption (2)_"/>
    <w:basedOn w:val="2"/>
    <w:link w:val="69"/>
    <w:qFormat/>
    <w:uiPriority w:val="0"/>
    <w:rPr>
      <w:rFonts w:ascii="Microsoft Sans Serif" w:hAnsi="Microsoft Sans Serif" w:eastAsia="Microsoft Sans Serif" w:cs="Microsoft Sans Serif"/>
      <w:sz w:val="13"/>
      <w:szCs w:val="13"/>
      <w:u w:val="none"/>
    </w:rPr>
  </w:style>
  <w:style w:type="paragraph" w:customStyle="1" w:styleId="69">
    <w:name w:val="Picture caption (2)1"/>
    <w:basedOn w:val="1"/>
    <w:link w:val="68"/>
    <w:qFormat/>
    <w:uiPriority w:val="0"/>
    <w:pPr>
      <w:shd w:val="clear" w:color="auto" w:fill="FFFFFF"/>
      <w:spacing w:line="0" w:lineRule="atLeast"/>
    </w:pPr>
    <w:rPr>
      <w:rFonts w:ascii="Microsoft Sans Serif" w:hAnsi="Microsoft Sans Serif" w:eastAsia="Microsoft Sans Serif" w:cs="Microsoft Sans Serif"/>
      <w:sz w:val="13"/>
      <w:szCs w:val="13"/>
    </w:rPr>
  </w:style>
  <w:style w:type="character" w:customStyle="1" w:styleId="70">
    <w:name w:val="Picture caption (2)"/>
    <w:basedOn w:val="6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71">
    <w:name w:val="Picture caption (3)_"/>
    <w:basedOn w:val="2"/>
    <w:link w:val="72"/>
    <w:qFormat/>
    <w:uiPriority w:val="0"/>
    <w:rPr>
      <w:rFonts w:ascii="Times New Roman" w:hAnsi="Times New Roman" w:eastAsia="Times New Roman" w:cs="Times New Roman"/>
      <w:sz w:val="15"/>
      <w:szCs w:val="15"/>
      <w:u w:val="none"/>
    </w:rPr>
  </w:style>
  <w:style w:type="paragraph" w:customStyle="1" w:styleId="72">
    <w:name w:val="Picture caption (3)2"/>
    <w:basedOn w:val="1"/>
    <w:link w:val="71"/>
    <w:qFormat/>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73">
    <w:name w:val="Picture caption (3)"/>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4">
    <w:name w:val="Picture caption3"/>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75">
    <w:name w:val="Picture caption (4)_"/>
    <w:basedOn w:val="2"/>
    <w:link w:val="76"/>
    <w:qFormat/>
    <w:uiPriority w:val="0"/>
    <w:rPr>
      <w:rFonts w:ascii="Microsoft Sans Serif" w:hAnsi="Microsoft Sans Serif" w:eastAsia="Microsoft Sans Serif" w:cs="Microsoft Sans Serif"/>
      <w:sz w:val="19"/>
      <w:szCs w:val="19"/>
      <w:u w:val="none"/>
    </w:rPr>
  </w:style>
  <w:style w:type="paragraph" w:customStyle="1" w:styleId="76">
    <w:name w:val="Picture caption (4)2"/>
    <w:basedOn w:val="1"/>
    <w:link w:val="75"/>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77">
    <w:name w:val="Picture caption (4)"/>
    <w:basedOn w:val="75"/>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78">
    <w:name w:val="Picture caption (3)1"/>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9">
    <w:name w:val="Picture caption (5)_"/>
    <w:basedOn w:val="2"/>
    <w:link w:val="80"/>
    <w:qFormat/>
    <w:uiPriority w:val="0"/>
    <w:rPr>
      <w:rFonts w:ascii="Batang" w:hAnsi="Batang" w:eastAsia="Batang" w:cs="Batang"/>
      <w:sz w:val="9"/>
      <w:szCs w:val="9"/>
      <w:u w:val="none"/>
    </w:rPr>
  </w:style>
  <w:style w:type="paragraph" w:customStyle="1" w:styleId="80">
    <w:name w:val="Picture caption (5)1"/>
    <w:basedOn w:val="1"/>
    <w:link w:val="79"/>
    <w:uiPriority w:val="0"/>
    <w:pPr>
      <w:shd w:val="clear" w:color="auto" w:fill="FFFFFF"/>
      <w:spacing w:line="0" w:lineRule="atLeast"/>
    </w:pPr>
    <w:rPr>
      <w:rFonts w:ascii="Batang" w:hAnsi="Batang" w:eastAsia="Batang" w:cs="Batang"/>
      <w:sz w:val="9"/>
      <w:szCs w:val="9"/>
    </w:rPr>
  </w:style>
  <w:style w:type="character" w:customStyle="1" w:styleId="81">
    <w:name w:val="Picture caption (5)"/>
    <w:basedOn w:val="79"/>
    <w:qFormat/>
    <w:uiPriority w:val="0"/>
    <w:rPr>
      <w:rFonts w:ascii="Batang" w:hAnsi="Batang" w:eastAsia="Batang" w:cs="Batang"/>
      <w:color w:val="000000"/>
      <w:spacing w:val="0"/>
      <w:w w:val="100"/>
      <w:position w:val="0"/>
      <w:sz w:val="9"/>
      <w:szCs w:val="9"/>
      <w:u w:val="none"/>
      <w:lang w:val="hr-HR"/>
    </w:rPr>
  </w:style>
  <w:style w:type="character" w:customStyle="1" w:styleId="82">
    <w:name w:val="Picture caption (6)_"/>
    <w:basedOn w:val="2"/>
    <w:link w:val="83"/>
    <w:qFormat/>
    <w:uiPriority w:val="0"/>
    <w:rPr>
      <w:rFonts w:ascii="Times New Roman" w:hAnsi="Times New Roman" w:eastAsia="Times New Roman" w:cs="Times New Roman"/>
      <w:b/>
      <w:bCs/>
      <w:sz w:val="25"/>
      <w:szCs w:val="25"/>
      <w:u w:val="none"/>
    </w:rPr>
  </w:style>
  <w:style w:type="paragraph" w:customStyle="1" w:styleId="83">
    <w:name w:val="Picture caption (6)1"/>
    <w:basedOn w:val="1"/>
    <w:link w:val="82"/>
    <w:uiPriority w:val="0"/>
    <w:pPr>
      <w:shd w:val="clear" w:color="auto" w:fill="FFFFFF"/>
      <w:spacing w:line="0" w:lineRule="atLeast"/>
    </w:pPr>
    <w:rPr>
      <w:rFonts w:ascii="Times New Roman" w:hAnsi="Times New Roman" w:eastAsia="Times New Roman" w:cs="Times New Roman"/>
      <w:b/>
      <w:bCs/>
      <w:sz w:val="25"/>
      <w:szCs w:val="25"/>
    </w:rPr>
  </w:style>
  <w:style w:type="character" w:customStyle="1" w:styleId="84">
    <w:name w:val="Picture caption (6)"/>
    <w:basedOn w:val="82"/>
    <w:qFormat/>
    <w:uiPriority w:val="0"/>
    <w:rPr>
      <w:rFonts w:ascii="Times New Roman" w:hAnsi="Times New Roman" w:eastAsia="Times New Roman" w:cs="Times New Roman"/>
      <w:color w:val="000000"/>
      <w:spacing w:val="0"/>
      <w:w w:val="100"/>
      <w:position w:val="0"/>
      <w:sz w:val="25"/>
      <w:szCs w:val="25"/>
      <w:u w:val="none"/>
    </w:rPr>
  </w:style>
  <w:style w:type="character" w:customStyle="1" w:styleId="85">
    <w:name w:val="Picture caption (4)1"/>
    <w:basedOn w:val="75"/>
    <w:qFormat/>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86">
    <w:name w:val="Picture caption (7)_"/>
    <w:basedOn w:val="2"/>
    <w:link w:val="87"/>
    <w:qFormat/>
    <w:uiPriority w:val="0"/>
    <w:rPr>
      <w:rFonts w:ascii="Arial Narrow" w:hAnsi="Arial Narrow" w:eastAsia="Arial Narrow" w:cs="Arial Narrow"/>
      <w:spacing w:val="10"/>
      <w:sz w:val="14"/>
      <w:szCs w:val="14"/>
      <w:u w:val="none"/>
    </w:rPr>
  </w:style>
  <w:style w:type="paragraph" w:customStyle="1" w:styleId="87">
    <w:name w:val="Picture caption (7)1"/>
    <w:basedOn w:val="1"/>
    <w:link w:val="86"/>
    <w:qFormat/>
    <w:uiPriority w:val="0"/>
    <w:pPr>
      <w:shd w:val="clear" w:color="auto" w:fill="FFFFFF"/>
      <w:spacing w:line="0" w:lineRule="atLeast"/>
    </w:pPr>
    <w:rPr>
      <w:rFonts w:ascii="Arial Narrow" w:hAnsi="Arial Narrow" w:eastAsia="Arial Narrow" w:cs="Arial Narrow"/>
      <w:spacing w:val="10"/>
      <w:sz w:val="14"/>
      <w:szCs w:val="14"/>
    </w:rPr>
  </w:style>
  <w:style w:type="character" w:customStyle="1" w:styleId="88">
    <w:name w:val="Picture caption (7)"/>
    <w:basedOn w:val="86"/>
    <w:qFormat/>
    <w:uiPriority w:val="0"/>
    <w:rPr>
      <w:rFonts w:ascii="Arial Narrow" w:hAnsi="Arial Narrow" w:eastAsia="Arial Narrow" w:cs="Arial Narrow"/>
      <w:color w:val="000000"/>
      <w:spacing w:val="10"/>
      <w:w w:val="100"/>
      <w:position w:val="0"/>
      <w:sz w:val="14"/>
      <w:szCs w:val="14"/>
      <w:u w:val="none"/>
      <w:lang w:val="hr-HR"/>
    </w:rPr>
  </w:style>
  <w:style w:type="character" w:customStyle="1" w:styleId="89">
    <w:name w:val="Picture caption4"/>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0">
    <w:name w:val="Picture caption + Times New Roman;7;5 pt"/>
    <w:basedOn w:val="63"/>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91">
    <w:name w:val="Picture caption5"/>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2">
    <w:name w:val="Picture caption6"/>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3">
    <w:name w:val="Body text (5)_"/>
    <w:basedOn w:val="2"/>
    <w:link w:val="94"/>
    <w:qFormat/>
    <w:uiPriority w:val="0"/>
    <w:rPr>
      <w:rFonts w:ascii="Microsoft Sans Serif" w:hAnsi="Microsoft Sans Serif" w:eastAsia="Microsoft Sans Serif" w:cs="Microsoft Sans Serif"/>
      <w:sz w:val="12"/>
      <w:szCs w:val="12"/>
      <w:u w:val="none"/>
    </w:rPr>
  </w:style>
  <w:style w:type="paragraph" w:customStyle="1" w:styleId="94">
    <w:name w:val="Body text (5)9"/>
    <w:basedOn w:val="1"/>
    <w:link w:val="93"/>
    <w:qFormat/>
    <w:uiPriority w:val="0"/>
    <w:pPr>
      <w:shd w:val="clear" w:color="auto" w:fill="FFFFFF"/>
      <w:spacing w:line="0" w:lineRule="atLeast"/>
      <w:jc w:val="both"/>
    </w:pPr>
    <w:rPr>
      <w:rFonts w:ascii="Microsoft Sans Serif" w:hAnsi="Microsoft Sans Serif" w:eastAsia="Microsoft Sans Serif" w:cs="Microsoft Sans Serif"/>
      <w:sz w:val="12"/>
      <w:szCs w:val="12"/>
    </w:rPr>
  </w:style>
  <w:style w:type="character" w:customStyle="1" w:styleId="95">
    <w:name w:val="Body text (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6">
    <w:name w:val="Body text (5)1"/>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7">
    <w:name w:val="Body text (6)_"/>
    <w:basedOn w:val="2"/>
    <w:link w:val="98"/>
    <w:qFormat/>
    <w:uiPriority w:val="0"/>
    <w:rPr>
      <w:rFonts w:ascii="Times New Roman" w:hAnsi="Times New Roman" w:eastAsia="Times New Roman" w:cs="Times New Roman"/>
      <w:b/>
      <w:bCs/>
      <w:sz w:val="13"/>
      <w:szCs w:val="13"/>
      <w:u w:val="none"/>
    </w:rPr>
  </w:style>
  <w:style w:type="paragraph" w:customStyle="1" w:styleId="98">
    <w:name w:val="Body text (6)7"/>
    <w:basedOn w:val="1"/>
    <w:link w:val="97"/>
    <w:uiPriority w:val="0"/>
    <w:pPr>
      <w:shd w:val="clear" w:color="auto" w:fill="FFFFFF"/>
      <w:spacing w:line="0" w:lineRule="atLeast"/>
    </w:pPr>
    <w:rPr>
      <w:rFonts w:ascii="Times New Roman" w:hAnsi="Times New Roman" w:eastAsia="Times New Roman" w:cs="Times New Roman"/>
      <w:b/>
      <w:bCs/>
      <w:sz w:val="13"/>
      <w:szCs w:val="13"/>
    </w:rPr>
  </w:style>
  <w:style w:type="character" w:customStyle="1" w:styleId="99">
    <w:name w:val="Body text (6)"/>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0">
    <w:name w:val="Body text (5)2"/>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1">
    <w:name w:val="Body text (5)3"/>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2">
    <w:name w:val="Body text (6)1"/>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3">
    <w:name w:val="Body text (5)4"/>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4">
    <w:name w:val="Body Text4"/>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05">
    <w:name w:val="Body text (7)_"/>
    <w:basedOn w:val="2"/>
    <w:link w:val="106"/>
    <w:qFormat/>
    <w:uiPriority w:val="0"/>
    <w:rPr>
      <w:rFonts w:ascii="Times New Roman" w:hAnsi="Times New Roman" w:eastAsia="Times New Roman" w:cs="Times New Roman"/>
      <w:sz w:val="13"/>
      <w:szCs w:val="13"/>
      <w:u w:val="none"/>
    </w:rPr>
  </w:style>
  <w:style w:type="paragraph" w:customStyle="1" w:styleId="106">
    <w:name w:val="Body text (7)1"/>
    <w:basedOn w:val="1"/>
    <w:link w:val="105"/>
    <w:uiPriority w:val="0"/>
    <w:pPr>
      <w:shd w:val="clear" w:color="auto" w:fill="FFFFFF"/>
      <w:spacing w:line="158" w:lineRule="exact"/>
    </w:pPr>
    <w:rPr>
      <w:rFonts w:ascii="Times New Roman" w:hAnsi="Times New Roman" w:eastAsia="Times New Roman" w:cs="Times New Roman"/>
      <w:sz w:val="13"/>
      <w:szCs w:val="13"/>
    </w:rPr>
  </w:style>
  <w:style w:type="character" w:customStyle="1" w:styleId="107">
    <w:name w:val="Body text (7)"/>
    <w:basedOn w:val="105"/>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8">
    <w:name w:val="Body text (8)_"/>
    <w:basedOn w:val="2"/>
    <w:link w:val="109"/>
    <w:qFormat/>
    <w:uiPriority w:val="0"/>
    <w:rPr>
      <w:rFonts w:ascii="Times New Roman" w:hAnsi="Times New Roman" w:eastAsia="Times New Roman" w:cs="Times New Roman"/>
      <w:sz w:val="14"/>
      <w:szCs w:val="14"/>
      <w:u w:val="none"/>
    </w:rPr>
  </w:style>
  <w:style w:type="paragraph" w:customStyle="1" w:styleId="109">
    <w:name w:val="Body text (8)1"/>
    <w:basedOn w:val="1"/>
    <w:link w:val="108"/>
    <w:qFormat/>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10">
    <w:name w:val="Body text (8)"/>
    <w:basedOn w:val="10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11">
    <w:name w:val="Body text (6)2"/>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2">
    <w:name w:val="Body text (5)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13">
    <w:name w:val="Body text (6)3"/>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4">
    <w:name w:val="Body text (6)4"/>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5">
    <w:name w:val="Body text (6)5"/>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6">
    <w:name w:val="Body text (6)6"/>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7">
    <w:name w:val="Body text (9)_"/>
    <w:basedOn w:val="2"/>
    <w:link w:val="118"/>
    <w:qFormat/>
    <w:uiPriority w:val="0"/>
    <w:rPr>
      <w:rFonts w:ascii="Times New Roman" w:hAnsi="Times New Roman" w:eastAsia="Times New Roman" w:cs="Times New Roman"/>
      <w:sz w:val="15"/>
      <w:szCs w:val="15"/>
      <w:u w:val="none"/>
    </w:rPr>
  </w:style>
  <w:style w:type="paragraph" w:customStyle="1" w:styleId="118">
    <w:name w:val="Body text (9)2"/>
    <w:basedOn w:val="1"/>
    <w:link w:val="117"/>
    <w:uiPriority w:val="0"/>
    <w:pPr>
      <w:shd w:val="clear" w:color="auto" w:fill="FFFFFF"/>
      <w:spacing w:line="0" w:lineRule="atLeast"/>
      <w:jc w:val="both"/>
    </w:pPr>
    <w:rPr>
      <w:rFonts w:ascii="Times New Roman" w:hAnsi="Times New Roman" w:eastAsia="Times New Roman" w:cs="Times New Roman"/>
      <w:sz w:val="15"/>
      <w:szCs w:val="15"/>
    </w:rPr>
  </w:style>
  <w:style w:type="character" w:customStyle="1" w:styleId="119">
    <w:name w:val="Body text (9)"/>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0">
    <w:name w:val="Body text (9)1"/>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1">
    <w:name w:val="Body text (5) + 9;5 pt"/>
    <w:basedOn w:val="93"/>
    <w:qFormat/>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122">
    <w:name w:val="Body text (5)6"/>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3">
    <w:name w:val="Body text (5)7"/>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4">
    <w:name w:val="Body text (5)8"/>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5">
    <w:name w:val="Body text (10)_"/>
    <w:basedOn w:val="2"/>
    <w:link w:val="126"/>
    <w:qFormat/>
    <w:uiPriority w:val="0"/>
    <w:rPr>
      <w:rFonts w:ascii="Times New Roman" w:hAnsi="Times New Roman" w:eastAsia="Times New Roman" w:cs="Times New Roman"/>
      <w:sz w:val="14"/>
      <w:szCs w:val="14"/>
      <w:u w:val="none"/>
    </w:rPr>
  </w:style>
  <w:style w:type="paragraph" w:customStyle="1" w:styleId="126">
    <w:name w:val="Body text (10)3"/>
    <w:basedOn w:val="1"/>
    <w:link w:val="125"/>
    <w:uiPriority w:val="0"/>
    <w:pPr>
      <w:shd w:val="clear" w:color="auto" w:fill="FFFFFF"/>
      <w:spacing w:line="154" w:lineRule="exact"/>
      <w:jc w:val="both"/>
    </w:pPr>
    <w:rPr>
      <w:rFonts w:ascii="Times New Roman" w:hAnsi="Times New Roman" w:eastAsia="Times New Roman" w:cs="Times New Roman"/>
      <w:sz w:val="14"/>
      <w:szCs w:val="14"/>
    </w:rPr>
  </w:style>
  <w:style w:type="character" w:customStyle="1" w:styleId="127">
    <w:name w:val="Body text (10)"/>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8">
    <w:name w:val="Body text (10)1"/>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9">
    <w:name w:val="Table of contents (2)_"/>
    <w:basedOn w:val="2"/>
    <w:link w:val="130"/>
    <w:qFormat/>
    <w:uiPriority w:val="0"/>
    <w:rPr>
      <w:rFonts w:ascii="Times New Roman" w:hAnsi="Times New Roman" w:eastAsia="Times New Roman" w:cs="Times New Roman"/>
      <w:b/>
      <w:bCs/>
      <w:sz w:val="13"/>
      <w:szCs w:val="13"/>
      <w:u w:val="none"/>
    </w:rPr>
  </w:style>
  <w:style w:type="paragraph" w:customStyle="1" w:styleId="130">
    <w:name w:val="Table of contents (2)6"/>
    <w:basedOn w:val="1"/>
    <w:link w:val="129"/>
    <w:uiPriority w:val="0"/>
    <w:pPr>
      <w:shd w:val="clear" w:color="auto" w:fill="FFFFFF"/>
      <w:spacing w:line="158" w:lineRule="exact"/>
      <w:jc w:val="both"/>
    </w:pPr>
    <w:rPr>
      <w:rFonts w:ascii="Times New Roman" w:hAnsi="Times New Roman" w:eastAsia="Times New Roman" w:cs="Times New Roman"/>
      <w:b/>
      <w:bCs/>
      <w:sz w:val="13"/>
      <w:szCs w:val="13"/>
    </w:rPr>
  </w:style>
  <w:style w:type="character" w:customStyle="1" w:styleId="131">
    <w:name w:val="Table of contents (2)"/>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2">
    <w:name w:val="Table of contents (2)1"/>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3">
    <w:name w:val="Table of contents (2)2"/>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4">
    <w:name w:val="Table of contents (2)3"/>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5">
    <w:name w:val="Table of contents (2)4"/>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6">
    <w:name w:val="Table of contents (2)5"/>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7">
    <w:name w:val="Body Text5"/>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38">
    <w:name w:val="Picture caption (8)_"/>
    <w:basedOn w:val="2"/>
    <w:link w:val="139"/>
    <w:qFormat/>
    <w:uiPriority w:val="0"/>
    <w:rPr>
      <w:rFonts w:ascii="Microsoft Sans Serif" w:hAnsi="Microsoft Sans Serif" w:eastAsia="Microsoft Sans Serif" w:cs="Microsoft Sans Serif"/>
      <w:sz w:val="13"/>
      <w:szCs w:val="13"/>
      <w:u w:val="none"/>
    </w:rPr>
  </w:style>
  <w:style w:type="paragraph" w:customStyle="1" w:styleId="139">
    <w:name w:val="Picture caption (8)7"/>
    <w:basedOn w:val="1"/>
    <w:link w:val="138"/>
    <w:qFormat/>
    <w:uiPriority w:val="0"/>
    <w:pPr>
      <w:shd w:val="clear" w:color="auto" w:fill="FFFFFF"/>
      <w:spacing w:line="0" w:lineRule="atLeast"/>
      <w:jc w:val="both"/>
    </w:pPr>
    <w:rPr>
      <w:rFonts w:ascii="Microsoft Sans Serif" w:hAnsi="Microsoft Sans Serif" w:eastAsia="Microsoft Sans Serif" w:cs="Microsoft Sans Serif"/>
      <w:sz w:val="13"/>
      <w:szCs w:val="13"/>
    </w:rPr>
  </w:style>
  <w:style w:type="character" w:customStyle="1" w:styleId="140">
    <w:name w:val="Picture caption (8)"/>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1">
    <w:name w:val="Picture caption (8)1"/>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2">
    <w:name w:val="Picture caption (8)2"/>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3">
    <w:name w:val="Picture caption (9)_"/>
    <w:basedOn w:val="2"/>
    <w:link w:val="144"/>
    <w:qFormat/>
    <w:uiPriority w:val="0"/>
    <w:rPr>
      <w:rFonts w:ascii="Microsoft Sans Serif" w:hAnsi="Microsoft Sans Serif" w:eastAsia="Microsoft Sans Serif" w:cs="Microsoft Sans Serif"/>
      <w:sz w:val="12"/>
      <w:szCs w:val="12"/>
      <w:u w:val="none"/>
    </w:rPr>
  </w:style>
  <w:style w:type="paragraph" w:customStyle="1" w:styleId="144">
    <w:name w:val="Picture caption (9)4"/>
    <w:basedOn w:val="1"/>
    <w:link w:val="143"/>
    <w:qFormat/>
    <w:uiPriority w:val="0"/>
    <w:pPr>
      <w:shd w:val="clear" w:color="auto" w:fill="FFFFFF"/>
      <w:spacing w:line="154" w:lineRule="exact"/>
      <w:jc w:val="both"/>
    </w:pPr>
    <w:rPr>
      <w:rFonts w:ascii="Microsoft Sans Serif" w:hAnsi="Microsoft Sans Serif" w:eastAsia="Microsoft Sans Serif" w:cs="Microsoft Sans Serif"/>
      <w:sz w:val="12"/>
      <w:szCs w:val="12"/>
    </w:rPr>
  </w:style>
  <w:style w:type="character" w:customStyle="1" w:styleId="145">
    <w:name w:val="Picture caption (9)"/>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6">
    <w:name w:val="Picture caption (9)1"/>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7">
    <w:name w:val="Picture caption (9)2"/>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8">
    <w:name w:val="Picture caption (9)3"/>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9">
    <w:name w:val="Picture caption (8)3"/>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0">
    <w:name w:val="Picture caption (8)4"/>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1">
    <w:name w:val="Picture caption (8)5"/>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2">
    <w:name w:val="Picture caption (8)6"/>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3">
    <w:name w:val="Body text (11)_"/>
    <w:basedOn w:val="2"/>
    <w:link w:val="154"/>
    <w:qFormat/>
    <w:uiPriority w:val="0"/>
    <w:rPr>
      <w:rFonts w:ascii="Batang" w:hAnsi="Batang" w:eastAsia="Batang" w:cs="Batang"/>
      <w:spacing w:val="-10"/>
      <w:sz w:val="13"/>
      <w:szCs w:val="13"/>
      <w:u w:val="none"/>
    </w:rPr>
  </w:style>
  <w:style w:type="paragraph" w:customStyle="1" w:styleId="154">
    <w:name w:val="Body text (11)"/>
    <w:basedOn w:val="1"/>
    <w:link w:val="153"/>
    <w:qFormat/>
    <w:uiPriority w:val="0"/>
    <w:pPr>
      <w:shd w:val="clear" w:color="auto" w:fill="FFFFFF"/>
      <w:spacing w:line="82" w:lineRule="exact"/>
    </w:pPr>
    <w:rPr>
      <w:rFonts w:ascii="Batang" w:hAnsi="Batang" w:eastAsia="Batang" w:cs="Batang"/>
      <w:spacing w:val="-10"/>
      <w:sz w:val="13"/>
      <w:szCs w:val="13"/>
    </w:rPr>
  </w:style>
  <w:style w:type="character" w:customStyle="1" w:styleId="155">
    <w:name w:val="Body text (12)_"/>
    <w:basedOn w:val="2"/>
    <w:link w:val="156"/>
    <w:qFormat/>
    <w:uiPriority w:val="0"/>
    <w:rPr>
      <w:rFonts w:ascii="Franklin Gothic Heavy" w:hAnsi="Franklin Gothic Heavy" w:eastAsia="Franklin Gothic Heavy" w:cs="Franklin Gothic Heavy"/>
      <w:sz w:val="12"/>
      <w:szCs w:val="12"/>
      <w:u w:val="none"/>
    </w:rPr>
  </w:style>
  <w:style w:type="paragraph" w:customStyle="1" w:styleId="156">
    <w:name w:val="Body text (12)1"/>
    <w:basedOn w:val="1"/>
    <w:link w:val="155"/>
    <w:uiPriority w:val="0"/>
    <w:pPr>
      <w:shd w:val="clear" w:color="auto" w:fill="FFFFFF"/>
      <w:spacing w:line="82" w:lineRule="exact"/>
      <w:jc w:val="right"/>
    </w:pPr>
    <w:rPr>
      <w:rFonts w:ascii="Franklin Gothic Heavy" w:hAnsi="Franklin Gothic Heavy" w:eastAsia="Franklin Gothic Heavy" w:cs="Franklin Gothic Heavy"/>
      <w:sz w:val="12"/>
      <w:szCs w:val="12"/>
    </w:rPr>
  </w:style>
  <w:style w:type="character" w:customStyle="1" w:styleId="157">
    <w:name w:val="Body text (12)"/>
    <w:basedOn w:val="155"/>
    <w:qFormat/>
    <w:uiPriority w:val="0"/>
    <w:rPr>
      <w:rFonts w:ascii="Franklin Gothic Heavy" w:hAnsi="Franklin Gothic Heavy" w:eastAsia="Franklin Gothic Heavy" w:cs="Franklin Gothic Heavy"/>
      <w:color w:val="000000"/>
      <w:spacing w:val="0"/>
      <w:w w:val="100"/>
      <w:position w:val="0"/>
      <w:sz w:val="12"/>
      <w:szCs w:val="12"/>
      <w:u w:val="none"/>
    </w:rPr>
  </w:style>
  <w:style w:type="character" w:customStyle="1" w:styleId="158">
    <w:name w:val="Heading #1 (5)_"/>
    <w:basedOn w:val="2"/>
    <w:link w:val="159"/>
    <w:qFormat/>
    <w:uiPriority w:val="0"/>
    <w:rPr>
      <w:rFonts w:ascii="Microsoft Sans Serif" w:hAnsi="Microsoft Sans Serif" w:eastAsia="Microsoft Sans Serif" w:cs="Microsoft Sans Serif"/>
      <w:spacing w:val="-30"/>
      <w:w w:val="200"/>
      <w:sz w:val="27"/>
      <w:szCs w:val="27"/>
      <w:u w:val="none"/>
    </w:rPr>
  </w:style>
  <w:style w:type="paragraph" w:customStyle="1" w:styleId="159">
    <w:name w:val="Heading #1 (5)1"/>
    <w:basedOn w:val="1"/>
    <w:link w:val="158"/>
    <w:qFormat/>
    <w:uiPriority w:val="0"/>
    <w:pPr>
      <w:shd w:val="clear" w:color="auto" w:fill="FFFFFF"/>
      <w:spacing w:line="298" w:lineRule="exact"/>
      <w:jc w:val="both"/>
      <w:outlineLvl w:val="0"/>
    </w:pPr>
    <w:rPr>
      <w:rFonts w:ascii="Microsoft Sans Serif" w:hAnsi="Microsoft Sans Serif" w:eastAsia="Microsoft Sans Serif" w:cs="Microsoft Sans Serif"/>
      <w:spacing w:val="-30"/>
      <w:w w:val="200"/>
      <w:sz w:val="27"/>
      <w:szCs w:val="27"/>
    </w:rPr>
  </w:style>
  <w:style w:type="character" w:customStyle="1" w:styleId="160">
    <w:name w:val="Heading #1 (5)"/>
    <w:basedOn w:val="158"/>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61">
    <w:name w:val="Heading #1 (5) + FrankRuehl;15 pt;Spacing 0 pt;Scale 100%"/>
    <w:basedOn w:val="158"/>
    <w:qFormat/>
    <w:uiPriority w:val="0"/>
    <w:rPr>
      <w:rFonts w:ascii="FrankRuehl" w:hAnsi="FrankRuehl" w:eastAsia="FrankRuehl" w:cs="FrankRuehl"/>
      <w:color w:val="000000"/>
      <w:spacing w:val="0"/>
      <w:w w:val="100"/>
      <w:position w:val="0"/>
      <w:sz w:val="30"/>
      <w:szCs w:val="30"/>
      <w:u w:val="none"/>
    </w:rPr>
  </w:style>
  <w:style w:type="character" w:customStyle="1" w:styleId="162">
    <w:name w:val="Body text + Times New Roman;6 pt;Spacing 0 pt"/>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3">
    <w:name w:val="Body text + Times New Roman;6 pt;Spacing 0 pt1"/>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4">
    <w:name w:val="Body text + Franklin Gothic Heavy;10;5 pt;Spacing -1 pt"/>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5">
    <w:name w:val="Body text + Times New Roman;5;5 pt"/>
    <w:basedOn w:val="11"/>
    <w:qFormat/>
    <w:uiPriority w:val="0"/>
    <w:rPr>
      <w:rFonts w:ascii="Times New Roman" w:hAnsi="Times New Roman" w:eastAsia="Times New Roman" w:cs="Times New Roman"/>
      <w:color w:val="000000"/>
      <w:spacing w:val="0"/>
      <w:w w:val="100"/>
      <w:position w:val="0"/>
      <w:sz w:val="11"/>
      <w:szCs w:val="11"/>
      <w:u w:val="none"/>
    </w:rPr>
  </w:style>
  <w:style w:type="character" w:customStyle="1" w:styleId="166">
    <w:name w:val="Body text + MS Gothic;13 pt;Italic"/>
    <w:basedOn w:val="11"/>
    <w:qFormat/>
    <w:uiPriority w:val="0"/>
    <w:rPr>
      <w:rFonts w:ascii="MS Gothic" w:hAnsi="MS Gothic" w:eastAsia="MS Gothic" w:cs="MS Gothic"/>
      <w:i/>
      <w:iCs/>
      <w:color w:val="000000"/>
      <w:spacing w:val="0"/>
      <w:w w:val="100"/>
      <w:position w:val="0"/>
      <w:sz w:val="26"/>
      <w:szCs w:val="26"/>
      <w:u w:val="none"/>
    </w:rPr>
  </w:style>
  <w:style w:type="character" w:customStyle="1" w:styleId="167">
    <w:name w:val="Body text + Franklin Gothic Heavy;10;5 pt;Spacing -1 pt1"/>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8">
    <w:name w:val="Body text + Times New Roman;6 pt;Spacing 0 pt2"/>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9">
    <w:name w:val="Body text + Times New Roman;6 pt;Spacing 0 pt3"/>
    <w:basedOn w:val="11"/>
    <w:qFormat/>
    <w:uiPriority w:val="0"/>
    <w:rPr>
      <w:rFonts w:ascii="Times New Roman" w:hAnsi="Times New Roman" w:eastAsia="Times New Roman" w:cs="Times New Roman"/>
      <w:color w:val="000000"/>
      <w:spacing w:val="-10"/>
      <w:w w:val="100"/>
      <w:position w:val="0"/>
      <w:sz w:val="12"/>
      <w:szCs w:val="12"/>
      <w:u w:val="none"/>
    </w:rPr>
  </w:style>
  <w:style w:type="character" w:customStyle="1" w:styleId="170">
    <w:name w:val="Body text + Times New Roman;6 pt;Spacing 0 pt4"/>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71">
    <w:name w:val="Body text + Franklin Gothic Heavy;10;5 pt;Spacing -1 pt2"/>
    <w:basedOn w:val="11"/>
    <w:qFormat/>
    <w:uiPriority w:val="0"/>
    <w:rPr>
      <w:rFonts w:ascii="Franklin Gothic Heavy" w:hAnsi="Franklin Gothic Heavy" w:eastAsia="Franklin Gothic Heavy" w:cs="Franklin Gothic Heavy"/>
      <w:color w:val="000000"/>
      <w:spacing w:val="-20"/>
      <w:w w:val="100"/>
      <w:position w:val="0"/>
      <w:sz w:val="21"/>
      <w:szCs w:val="21"/>
      <w:u w:val="none"/>
      <w:lang w:val="hr-HR"/>
    </w:rPr>
  </w:style>
  <w:style w:type="character" w:customStyle="1" w:styleId="172">
    <w:name w:val="Body text + Arial Narrow;4 pt"/>
    <w:basedOn w:val="11"/>
    <w:qFormat/>
    <w:uiPriority w:val="0"/>
    <w:rPr>
      <w:rFonts w:ascii="Arial Narrow" w:hAnsi="Arial Narrow" w:eastAsia="Arial Narrow" w:cs="Arial Narrow"/>
      <w:color w:val="000000"/>
      <w:spacing w:val="0"/>
      <w:w w:val="100"/>
      <w:position w:val="0"/>
      <w:sz w:val="8"/>
      <w:szCs w:val="8"/>
      <w:u w:val="none"/>
    </w:rPr>
  </w:style>
  <w:style w:type="character" w:customStyle="1" w:styleId="173">
    <w:name w:val="Body text + Arial Narrow;4 pt1"/>
    <w:basedOn w:val="11"/>
    <w:qFormat/>
    <w:uiPriority w:val="0"/>
    <w:rPr>
      <w:rFonts w:ascii="Arial Narrow" w:hAnsi="Arial Narrow" w:eastAsia="Arial Narrow" w:cs="Arial Narrow"/>
      <w:color w:val="000000"/>
      <w:spacing w:val="0"/>
      <w:w w:val="100"/>
      <w:position w:val="0"/>
      <w:sz w:val="8"/>
      <w:szCs w:val="8"/>
      <w:u w:val="none"/>
    </w:rPr>
  </w:style>
  <w:style w:type="character" w:customStyle="1" w:styleId="174">
    <w:name w:val="Body Text6"/>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5">
    <w:name w:val="Body text + Batang;6;5 pt;Spacing 0 pt"/>
    <w:basedOn w:val="11"/>
    <w:qFormat/>
    <w:uiPriority w:val="0"/>
    <w:rPr>
      <w:rFonts w:ascii="Batang" w:hAnsi="Batang" w:eastAsia="Batang" w:cs="Batang"/>
      <w:color w:val="000000"/>
      <w:spacing w:val="-10"/>
      <w:w w:val="100"/>
      <w:position w:val="0"/>
      <w:sz w:val="13"/>
      <w:szCs w:val="13"/>
      <w:u w:val="none"/>
      <w:lang w:val="hr-HR"/>
    </w:rPr>
  </w:style>
  <w:style w:type="character" w:customStyle="1" w:styleId="176">
    <w:name w:val="Body text (10)2"/>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77">
    <w:name w:val="Table caption1"/>
    <w:basedOn w:val="22"/>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8">
    <w:name w:val="Table caption (2)_"/>
    <w:basedOn w:val="2"/>
    <w:link w:val="179"/>
    <w:qFormat/>
    <w:uiPriority w:val="0"/>
    <w:rPr>
      <w:rFonts w:ascii="Times New Roman" w:hAnsi="Times New Roman" w:eastAsia="Times New Roman" w:cs="Times New Roman"/>
      <w:sz w:val="14"/>
      <w:szCs w:val="14"/>
      <w:u w:val="none"/>
    </w:rPr>
  </w:style>
  <w:style w:type="paragraph" w:customStyle="1" w:styleId="179">
    <w:name w:val="Table caption (2)1"/>
    <w:basedOn w:val="1"/>
    <w:link w:val="178"/>
    <w:qFormat/>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80">
    <w:name w:val="Table caption (2)"/>
    <w:basedOn w:val="17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81">
    <w:name w:val="Body text + Times New Roman;7 pt;Bold"/>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2">
    <w:name w:val="Body text + Times New Roman;7 pt;Bold1"/>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3">
    <w:name w:val="Body text + Times New Roman;7 pt;Bold2"/>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4">
    <w:name w:val="Body text + Times New Roman;7 pt;Bold3"/>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5">
    <w:name w:val="Body text + Times New Roman;7 pt;Bold4"/>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6">
    <w:name w:val="Body text + Times New Roman;7 pt;Bold;Spacing 7 pt"/>
    <w:basedOn w:val="11"/>
    <w:qFormat/>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7">
    <w:name w:val="Body text + Times New Roman;7 pt;Bold;Spacing 7 pt1"/>
    <w:basedOn w:val="11"/>
    <w:qFormat/>
    <w:uiPriority w:val="0"/>
    <w:rPr>
      <w:rFonts w:ascii="Times New Roman" w:hAnsi="Times New Roman" w:eastAsia="Times New Roman" w:cs="Times New Roman"/>
      <w:b/>
      <w:bCs/>
      <w:color w:val="000000"/>
      <w:spacing w:val="140"/>
      <w:w w:val="100"/>
      <w:position w:val="0"/>
      <w:sz w:val="14"/>
      <w:szCs w:val="14"/>
      <w:u w:val="none"/>
      <w:lang w:val="hr-HR"/>
    </w:rPr>
  </w:style>
  <w:style w:type="character" w:customStyle="1" w:styleId="188">
    <w:name w:val="Body text + Times New Roman;7 pt;Bold;Spacing 7 pt2"/>
    <w:basedOn w:val="11"/>
    <w:qFormat/>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9">
    <w:name w:val="Body text + Franklin Gothic Heavy;4 pt"/>
    <w:basedOn w:val="11"/>
    <w:qFormat/>
    <w:uiPriority w:val="0"/>
    <w:rPr>
      <w:rFonts w:ascii="Franklin Gothic Heavy" w:hAnsi="Franklin Gothic Heavy" w:eastAsia="Franklin Gothic Heavy" w:cs="Franklin Gothic Heavy"/>
      <w:color w:val="000000"/>
      <w:spacing w:val="0"/>
      <w:w w:val="100"/>
      <w:position w:val="0"/>
      <w:sz w:val="8"/>
      <w:szCs w:val="8"/>
      <w:u w:val="none"/>
    </w:rPr>
  </w:style>
  <w:style w:type="character" w:customStyle="1" w:styleId="190">
    <w:name w:val="Body text + Times New Roman;7 pt;Bold5"/>
    <w:basedOn w:val="11"/>
    <w:qFormat/>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1">
    <w:name w:val="Body text + Times New Roman;7 pt;Bold6"/>
    <w:basedOn w:val="11"/>
    <w:qFormat/>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2">
    <w:name w:val="Table caption (3)_"/>
    <w:basedOn w:val="2"/>
    <w:link w:val="193"/>
    <w:qFormat/>
    <w:uiPriority w:val="0"/>
    <w:rPr>
      <w:rFonts w:ascii="Times New Roman" w:hAnsi="Times New Roman" w:eastAsia="Times New Roman" w:cs="Times New Roman"/>
      <w:sz w:val="16"/>
      <w:szCs w:val="16"/>
      <w:u w:val="none"/>
    </w:rPr>
  </w:style>
  <w:style w:type="paragraph" w:customStyle="1" w:styleId="193">
    <w:name w:val="Table caption (3)1"/>
    <w:basedOn w:val="1"/>
    <w:link w:val="192"/>
    <w:qFormat/>
    <w:uiPriority w:val="0"/>
    <w:pPr>
      <w:shd w:val="clear" w:color="auto" w:fill="FFFFFF"/>
      <w:spacing w:line="0" w:lineRule="atLeast"/>
    </w:pPr>
    <w:rPr>
      <w:rFonts w:ascii="Times New Roman" w:hAnsi="Times New Roman" w:eastAsia="Times New Roman" w:cs="Times New Roman"/>
      <w:sz w:val="16"/>
      <w:szCs w:val="16"/>
    </w:rPr>
  </w:style>
  <w:style w:type="character" w:customStyle="1" w:styleId="194">
    <w:name w:val="Table caption (3)"/>
    <w:basedOn w:val="192"/>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195">
    <w:name w:val="Body text + Times New Roman;7 pt"/>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6">
    <w:name w:val="Body text + Times New Roman;7 pt1"/>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7">
    <w:name w:val="Body text + Times New Roman;7 pt2"/>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198">
    <w:name w:val="Body text + 6;5 pt;Italic"/>
    <w:basedOn w:val="11"/>
    <w:qFormat/>
    <w:uiPriority w:val="0"/>
    <w:rPr>
      <w:rFonts w:ascii="Microsoft Sans Serif" w:hAnsi="Microsoft Sans Serif" w:eastAsia="Microsoft Sans Serif" w:cs="Microsoft Sans Serif"/>
      <w:i/>
      <w:iCs/>
      <w:color w:val="000000"/>
      <w:spacing w:val="0"/>
      <w:w w:val="100"/>
      <w:position w:val="0"/>
      <w:sz w:val="13"/>
      <w:szCs w:val="13"/>
      <w:u w:val="none"/>
    </w:rPr>
  </w:style>
  <w:style w:type="character" w:customStyle="1" w:styleId="199">
    <w:name w:val="Body text + Times New Roman;7 pt3"/>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0">
    <w:name w:val="Body text + Times New Roman;7 pt4"/>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1">
    <w:name w:val="Body text + Times New Roman;7 pt5"/>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202">
    <w:name w:val="Body text + Times New Roman;7 pt6"/>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203">
    <w:name w:val="Body text + Times New Roman;7 pt7"/>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204">
    <w:name w:val="Picture caption (10)_"/>
    <w:basedOn w:val="2"/>
    <w:link w:val="205"/>
    <w:qFormat/>
    <w:uiPriority w:val="0"/>
    <w:rPr>
      <w:rFonts w:ascii="Times New Roman" w:hAnsi="Times New Roman" w:eastAsia="Times New Roman" w:cs="Times New Roman"/>
      <w:sz w:val="16"/>
      <w:szCs w:val="16"/>
      <w:u w:val="none"/>
    </w:rPr>
  </w:style>
  <w:style w:type="paragraph" w:customStyle="1" w:styleId="205">
    <w:name w:val="Picture caption (10)1"/>
    <w:basedOn w:val="1"/>
    <w:link w:val="204"/>
    <w:uiPriority w:val="0"/>
    <w:pPr>
      <w:shd w:val="clear" w:color="auto" w:fill="FFFFFF"/>
      <w:spacing w:line="211" w:lineRule="exact"/>
      <w:jc w:val="both"/>
    </w:pPr>
    <w:rPr>
      <w:rFonts w:ascii="Times New Roman" w:hAnsi="Times New Roman" w:eastAsia="Times New Roman" w:cs="Times New Roman"/>
      <w:sz w:val="16"/>
      <w:szCs w:val="16"/>
    </w:rPr>
  </w:style>
  <w:style w:type="character" w:customStyle="1" w:styleId="206">
    <w:name w:val="Picture caption (10)"/>
    <w:basedOn w:val="204"/>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07">
    <w:name w:val="Body text (13)"/>
    <w:basedOn w:val="2"/>
    <w:qFormat/>
    <w:uiPriority w:val="0"/>
    <w:rPr>
      <w:rFonts w:ascii="Times New Roman" w:hAnsi="Times New Roman" w:eastAsia="Times New Roman" w:cs="Times New Roman"/>
      <w:sz w:val="16"/>
      <w:szCs w:val="16"/>
      <w:u w:val="none"/>
    </w:rPr>
  </w:style>
  <w:style w:type="character" w:customStyle="1" w:styleId="208">
    <w:name w:val="Body text (13)1"/>
    <w:basedOn w:val="209"/>
    <w:qFormat/>
    <w:uiPriority w:val="0"/>
    <w:rPr>
      <w:rFonts w:ascii="Times New Roman" w:hAnsi="Times New Roman" w:eastAsia="Times New Roman" w:cs="Times New Roman"/>
      <w:sz w:val="16"/>
      <w:szCs w:val="16"/>
      <w:u w:val="none"/>
    </w:rPr>
  </w:style>
  <w:style w:type="character" w:customStyle="1" w:styleId="209">
    <w:name w:val="Body text (13)_"/>
    <w:basedOn w:val="2"/>
    <w:link w:val="210"/>
    <w:qFormat/>
    <w:uiPriority w:val="0"/>
    <w:rPr>
      <w:rFonts w:ascii="Times New Roman" w:hAnsi="Times New Roman" w:eastAsia="Times New Roman" w:cs="Times New Roman"/>
      <w:sz w:val="16"/>
      <w:szCs w:val="16"/>
      <w:u w:val="none"/>
    </w:rPr>
  </w:style>
  <w:style w:type="paragraph" w:customStyle="1" w:styleId="210">
    <w:name w:val="Body text (13)6"/>
    <w:basedOn w:val="1"/>
    <w:link w:val="209"/>
    <w:qFormat/>
    <w:uiPriority w:val="0"/>
    <w:pPr>
      <w:shd w:val="clear" w:color="auto" w:fill="FFFFFF"/>
      <w:spacing w:line="221" w:lineRule="exact"/>
      <w:jc w:val="both"/>
    </w:pPr>
    <w:rPr>
      <w:rFonts w:ascii="Times New Roman" w:hAnsi="Times New Roman" w:eastAsia="Times New Roman" w:cs="Times New Roman"/>
      <w:sz w:val="16"/>
      <w:szCs w:val="16"/>
    </w:rPr>
  </w:style>
  <w:style w:type="character" w:customStyle="1" w:styleId="211">
    <w:name w:val="Body text (13)2"/>
    <w:basedOn w:val="209"/>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2">
    <w:name w:val="Body text (13)3"/>
    <w:basedOn w:val="209"/>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3">
    <w:name w:val="Body text (14)_"/>
    <w:basedOn w:val="2"/>
    <w:link w:val="214"/>
    <w:qFormat/>
    <w:uiPriority w:val="0"/>
    <w:rPr>
      <w:rFonts w:ascii="Times New Roman" w:hAnsi="Times New Roman" w:eastAsia="Times New Roman" w:cs="Times New Roman"/>
      <w:b/>
      <w:bCs/>
      <w:sz w:val="17"/>
      <w:szCs w:val="17"/>
      <w:u w:val="none"/>
    </w:rPr>
  </w:style>
  <w:style w:type="paragraph" w:customStyle="1" w:styleId="214">
    <w:name w:val="Body text (14)2"/>
    <w:basedOn w:val="1"/>
    <w:link w:val="213"/>
    <w:qFormat/>
    <w:uiPriority w:val="0"/>
    <w:pPr>
      <w:shd w:val="clear" w:color="auto" w:fill="FFFFFF"/>
      <w:spacing w:line="221" w:lineRule="exact"/>
      <w:jc w:val="both"/>
    </w:pPr>
    <w:rPr>
      <w:rFonts w:ascii="Times New Roman" w:hAnsi="Times New Roman" w:eastAsia="Times New Roman" w:cs="Times New Roman"/>
      <w:b/>
      <w:bCs/>
      <w:sz w:val="17"/>
      <w:szCs w:val="17"/>
    </w:rPr>
  </w:style>
  <w:style w:type="character" w:customStyle="1" w:styleId="215">
    <w:name w:val="Body text (14)"/>
    <w:basedOn w:val="213"/>
    <w:qFormat/>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6">
    <w:name w:val="Body text (14)1"/>
    <w:basedOn w:val="213"/>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7">
    <w:name w:val="Body text (13)4"/>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8">
    <w:name w:val="Body text (13)5"/>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9">
    <w:name w:val="Body text (15)_"/>
    <w:basedOn w:val="2"/>
    <w:link w:val="220"/>
    <w:uiPriority w:val="0"/>
    <w:rPr>
      <w:rFonts w:ascii="Times New Roman" w:hAnsi="Times New Roman" w:eastAsia="Times New Roman" w:cs="Times New Roman"/>
      <w:sz w:val="15"/>
      <w:szCs w:val="15"/>
      <w:u w:val="none"/>
    </w:rPr>
  </w:style>
  <w:style w:type="paragraph" w:customStyle="1" w:styleId="220">
    <w:name w:val="Body text (15)1"/>
    <w:basedOn w:val="1"/>
    <w:link w:val="219"/>
    <w:qFormat/>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221">
    <w:name w:val="Body text (15)"/>
    <w:basedOn w:val="219"/>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2">
    <w:name w:val="Body text (16)_"/>
    <w:basedOn w:val="2"/>
    <w:link w:val="223"/>
    <w:uiPriority w:val="0"/>
    <w:rPr>
      <w:rFonts w:ascii="FrankRuehl" w:hAnsi="FrankRuehl" w:eastAsia="FrankRuehl" w:cs="FrankRuehl"/>
      <w:sz w:val="15"/>
      <w:szCs w:val="15"/>
      <w:u w:val="none"/>
    </w:rPr>
  </w:style>
  <w:style w:type="paragraph" w:customStyle="1" w:styleId="223">
    <w:name w:val="Body text (16)2"/>
    <w:basedOn w:val="1"/>
    <w:link w:val="222"/>
    <w:qFormat/>
    <w:uiPriority w:val="0"/>
    <w:pPr>
      <w:shd w:val="clear" w:color="auto" w:fill="FFFFFF"/>
      <w:spacing w:line="0" w:lineRule="atLeast"/>
    </w:pPr>
    <w:rPr>
      <w:rFonts w:ascii="FrankRuehl" w:hAnsi="FrankRuehl" w:eastAsia="FrankRuehl" w:cs="FrankRuehl"/>
      <w:sz w:val="15"/>
      <w:szCs w:val="15"/>
    </w:rPr>
  </w:style>
  <w:style w:type="character" w:customStyle="1" w:styleId="224">
    <w:name w:val="Body text (16)"/>
    <w:basedOn w:val="222"/>
    <w:uiPriority w:val="0"/>
    <w:rPr>
      <w:rFonts w:ascii="FrankRuehl" w:hAnsi="FrankRuehl" w:eastAsia="FrankRuehl" w:cs="FrankRuehl"/>
      <w:color w:val="000000"/>
      <w:spacing w:val="0"/>
      <w:w w:val="100"/>
      <w:position w:val="0"/>
      <w:sz w:val="15"/>
      <w:szCs w:val="15"/>
      <w:u w:val="none"/>
      <w:lang w:val="hr-HR"/>
    </w:rPr>
  </w:style>
  <w:style w:type="character" w:customStyle="1" w:styleId="225">
    <w:name w:val="Body text (16)1"/>
    <w:basedOn w:val="222"/>
    <w:uiPriority w:val="0"/>
    <w:rPr>
      <w:rFonts w:ascii="FrankRuehl" w:hAnsi="FrankRuehl" w:eastAsia="FrankRuehl" w:cs="FrankRuehl"/>
      <w:color w:val="000000"/>
      <w:spacing w:val="0"/>
      <w:w w:val="100"/>
      <w:position w:val="0"/>
      <w:sz w:val="15"/>
      <w:szCs w:val="15"/>
      <w:u w:val="none"/>
      <w:lang w:val="hr-HR"/>
    </w:rPr>
  </w:style>
  <w:style w:type="character" w:customStyle="1" w:styleId="226">
    <w:name w:val="Body text + Times New Roman;7;5 pt"/>
    <w:basedOn w:val="1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7">
    <w:name w:val="Body text + Times New Roman;7;5 pt1"/>
    <w:basedOn w:val="11"/>
    <w:uiPriority w:val="0"/>
    <w:rPr>
      <w:rFonts w:ascii="Times New Roman" w:hAnsi="Times New Roman" w:eastAsia="Times New Roman" w:cs="Times New Roman"/>
      <w:color w:val="000000"/>
      <w:spacing w:val="0"/>
      <w:w w:val="100"/>
      <w:position w:val="0"/>
      <w:sz w:val="15"/>
      <w:szCs w:val="15"/>
      <w:u w:val="none"/>
    </w:rPr>
  </w:style>
  <w:style w:type="character" w:customStyle="1" w:styleId="228">
    <w:name w:val="Body text + Times New Roman;7;5 pt2"/>
    <w:basedOn w:val="11"/>
    <w:uiPriority w:val="0"/>
    <w:rPr>
      <w:rFonts w:ascii="Times New Roman" w:hAnsi="Times New Roman" w:eastAsia="Times New Roman" w:cs="Times New Roman"/>
      <w:color w:val="000000"/>
      <w:spacing w:val="0"/>
      <w:w w:val="100"/>
      <w:position w:val="0"/>
      <w:sz w:val="15"/>
      <w:szCs w:val="15"/>
      <w:u w:val="none"/>
    </w:rPr>
  </w:style>
  <w:style w:type="character" w:customStyle="1" w:styleId="229">
    <w:name w:val="Body text + Times New Roman;7;5 pt3"/>
    <w:basedOn w:val="11"/>
    <w:uiPriority w:val="0"/>
    <w:rPr>
      <w:rFonts w:ascii="Times New Roman" w:hAnsi="Times New Roman" w:eastAsia="Times New Roman" w:cs="Times New Roman"/>
      <w:color w:val="000000"/>
      <w:spacing w:val="0"/>
      <w:w w:val="100"/>
      <w:position w:val="0"/>
      <w:sz w:val="15"/>
      <w:szCs w:val="15"/>
      <w:u w:val="none"/>
    </w:rPr>
  </w:style>
  <w:style w:type="character" w:customStyle="1" w:styleId="230">
    <w:name w:val="Body text + Times New Roman;8 pt"/>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1">
    <w:name w:val="Body text + Times New Roman;8 pt1"/>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2">
    <w:name w:val="Body text + Times New Roman;7;5 pt4"/>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3">
    <w:name w:val="Body text + Times New Roman;7;5 pt5"/>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4">
    <w:name w:val="Body text + Times New Roman;8 pt2"/>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5">
    <w:name w:val="Body text + Times New Roman;8 pt3"/>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6">
    <w:name w:val="Body text + 7 pt;Italic"/>
    <w:basedOn w:val="11"/>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37">
    <w:name w:val="Body text + Times New Roman;8 pt4"/>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8">
    <w:name w:val="Body text + Times New Roman;8 pt5"/>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9">
    <w:name w:val="Body text + Tahoma;7 pt;Italic"/>
    <w:basedOn w:val="11"/>
    <w:uiPriority w:val="0"/>
    <w:rPr>
      <w:rFonts w:ascii="Tahoma" w:hAnsi="Tahoma" w:eastAsia="Tahoma" w:cs="Tahoma"/>
      <w:i/>
      <w:iCs/>
      <w:color w:val="000000"/>
      <w:spacing w:val="0"/>
      <w:w w:val="100"/>
      <w:position w:val="0"/>
      <w:sz w:val="14"/>
      <w:szCs w:val="14"/>
      <w:u w:val="none"/>
      <w:lang w:val="hr-HR"/>
    </w:rPr>
  </w:style>
  <w:style w:type="character" w:customStyle="1" w:styleId="240">
    <w:name w:val="Body text + 7 pt;Italic1"/>
    <w:basedOn w:val="11"/>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41">
    <w:name w:val="Body text + Tahoma;7 pt;Italic1"/>
    <w:basedOn w:val="11"/>
    <w:uiPriority w:val="0"/>
    <w:rPr>
      <w:rFonts w:ascii="Tahoma" w:hAnsi="Tahoma" w:eastAsia="Tahoma" w:cs="Tahoma"/>
      <w:i/>
      <w:iCs/>
      <w:color w:val="000000"/>
      <w:spacing w:val="0"/>
      <w:w w:val="100"/>
      <w:position w:val="0"/>
      <w:sz w:val="14"/>
      <w:szCs w:val="14"/>
      <w:u w:val="none"/>
    </w:rPr>
  </w:style>
  <w:style w:type="character" w:customStyle="1" w:styleId="242">
    <w:name w:val="Body text + 6 pt"/>
    <w:basedOn w:val="11"/>
    <w:uiPriority w:val="0"/>
    <w:rPr>
      <w:rFonts w:ascii="Microsoft Sans Serif" w:hAnsi="Microsoft Sans Serif" w:eastAsia="Microsoft Sans Serif" w:cs="Microsoft Sans Serif"/>
      <w:color w:val="000000"/>
      <w:spacing w:val="0"/>
      <w:w w:val="100"/>
      <w:position w:val="0"/>
      <w:sz w:val="12"/>
      <w:szCs w:val="12"/>
      <w:u w:val="none"/>
    </w:rPr>
  </w:style>
  <w:style w:type="character" w:customStyle="1" w:styleId="243">
    <w:name w:val="Heading #1 (6)_"/>
    <w:basedOn w:val="2"/>
    <w:link w:val="244"/>
    <w:uiPriority w:val="0"/>
    <w:rPr>
      <w:rFonts w:ascii="Microsoft Sans Serif" w:hAnsi="Microsoft Sans Serif" w:eastAsia="Microsoft Sans Serif" w:cs="Microsoft Sans Serif"/>
      <w:spacing w:val="-30"/>
      <w:w w:val="200"/>
      <w:sz w:val="27"/>
      <w:szCs w:val="27"/>
      <w:u w:val="none"/>
    </w:rPr>
  </w:style>
  <w:style w:type="paragraph" w:customStyle="1" w:styleId="244">
    <w:name w:val="Heading #1 (6)1"/>
    <w:basedOn w:val="1"/>
    <w:link w:val="243"/>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245">
    <w:name w:val="Heading #1 (6)"/>
    <w:basedOn w:val="243"/>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246">
    <w:name w:val="Heading #1 (6) + FrankRuehl;15 pt;Spacing 0 pt;Scale 100%"/>
    <w:basedOn w:val="243"/>
    <w:uiPriority w:val="0"/>
    <w:rPr>
      <w:rFonts w:ascii="FrankRuehl" w:hAnsi="FrankRuehl" w:eastAsia="FrankRuehl" w:cs="FrankRuehl"/>
      <w:color w:val="000000"/>
      <w:spacing w:val="0"/>
      <w:w w:val="100"/>
      <w:position w:val="0"/>
      <w:sz w:val="30"/>
      <w:szCs w:val="30"/>
      <w:u w:val="none"/>
    </w:rPr>
  </w:style>
  <w:style w:type="character" w:customStyle="1" w:styleId="247">
    <w:name w:val="Header Char"/>
    <w:basedOn w:val="2"/>
    <w:link w:val="9"/>
    <w:qFormat/>
    <w:uiPriority w:val="99"/>
    <w:rPr>
      <w:color w:val="000000"/>
    </w:rPr>
  </w:style>
  <w:style w:type="character" w:customStyle="1" w:styleId="248">
    <w:name w:val="Footer Char"/>
    <w:basedOn w:val="2"/>
    <w:link w:val="8"/>
    <w:qFormat/>
    <w:uiPriority w:val="99"/>
    <w:rPr>
      <w:color w:val="000000"/>
    </w:rPr>
  </w:style>
  <w:style w:type="character" w:customStyle="1" w:styleId="249">
    <w:name w:val="Balloon Text Char"/>
    <w:basedOn w:val="2"/>
    <w:link w:val="4"/>
    <w:semiHidden/>
    <w:qFormat/>
    <w:uiPriority w:val="99"/>
    <w:rPr>
      <w:rFonts w:ascii="Tahoma" w:hAnsi="Tahoma" w:cs="Tahoma"/>
      <w:color w:val="000000"/>
      <w:sz w:val="16"/>
      <w:szCs w:val="16"/>
    </w:rPr>
  </w:style>
  <w:style w:type="character" w:customStyle="1" w:styleId="250">
    <w:name w:val="Comment Text Char"/>
    <w:basedOn w:val="2"/>
    <w:link w:val="6"/>
    <w:semiHidden/>
    <w:uiPriority w:val="99"/>
    <w:rPr>
      <w:color w:val="000000"/>
      <w:sz w:val="20"/>
      <w:szCs w:val="20"/>
    </w:rPr>
  </w:style>
  <w:style w:type="character" w:customStyle="1" w:styleId="251">
    <w:name w:val="Comment Subject Char"/>
    <w:basedOn w:val="250"/>
    <w:link w:val="7"/>
    <w:semiHidden/>
    <w:qFormat/>
    <w:uiPriority w:val="99"/>
    <w:rPr>
      <w:b/>
      <w:bCs/>
      <w:color w:val="000000"/>
      <w:sz w:val="20"/>
      <w:szCs w:val="20"/>
    </w:rPr>
  </w:style>
  <w:style w:type="paragraph" w:customStyle="1" w:styleId="252">
    <w:name w:val="Default"/>
    <w:qFormat/>
    <w:uiPriority w:val="0"/>
    <w:pPr>
      <w:widowControl/>
      <w:autoSpaceDE w:val="0"/>
      <w:autoSpaceDN w:val="0"/>
      <w:adjustRightInd w:val="0"/>
    </w:pPr>
    <w:rPr>
      <w:rFonts w:ascii="Times New Roman" w:hAnsi="Times New Roman" w:eastAsia="Courier New" w:cs="Times New Roman"/>
      <w:color w:val="000000"/>
      <w:sz w:val="24"/>
      <w:szCs w:val="24"/>
      <w:lang w:val="en-US" w:eastAsia="bs-Latn-BA" w:bidi="ar-SA"/>
    </w:rPr>
  </w:style>
  <w:style w:type="paragraph" w:customStyle="1" w:styleId="253">
    <w:name w:val="NASLOV 123"/>
    <w:basedOn w:val="1"/>
    <w:qFormat/>
    <w:uiPriority w:val="0"/>
    <w:pPr>
      <w:widowControl/>
      <w:tabs>
        <w:tab w:val="left" w:pos="284"/>
      </w:tabs>
      <w:spacing w:before="200" w:after="200"/>
    </w:pPr>
    <w:rPr>
      <w:rFonts w:ascii="Times New Roman" w:hAnsi="Times New Roman" w:eastAsia="Times New Roman" w:cs="Times New Roman"/>
      <w:b/>
      <w:color w:val="auto"/>
      <w:sz w:val="22"/>
      <w:szCs w:val="22"/>
      <w:lang w:val="en-US" w:eastAsia="en-US"/>
    </w:rPr>
  </w:style>
  <w:style w:type="paragraph" w:customStyle="1" w:styleId="254">
    <w:name w:val="Revision"/>
    <w:hidden/>
    <w:semiHidden/>
    <w:qFormat/>
    <w:uiPriority w:val="99"/>
    <w:pPr>
      <w:widowControl/>
    </w:pPr>
    <w:rPr>
      <w:rFonts w:ascii="Courier New" w:hAnsi="Courier New" w:eastAsia="Courier New" w:cs="Courier New"/>
      <w:color w:val="000000"/>
      <w:sz w:val="24"/>
      <w:szCs w:val="24"/>
      <w:lang w:val="hr-HR" w:eastAsia="bs-Latn-BA"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FFE6B2463DCD468DDA6340563834B3" ma:contentTypeVersion="15" ma:contentTypeDescription="Create a new document." ma:contentTypeScope="" ma:versionID="ed06de89fb70e16c8f325472add5b96b">
  <xsd:schema xmlns:xsd="http://www.w3.org/2001/XMLSchema" xmlns:xs="http://www.w3.org/2001/XMLSchema" xmlns:p="http://schemas.microsoft.com/office/2006/metadata/properties" xmlns:ns2="c3c8f14d-de17-4729-8cd2-1c2c3f027e5c" xmlns:ns3="b621dfd6-c00f-47c5-b5af-67d3653e8304" targetNamespace="http://schemas.microsoft.com/office/2006/metadata/properties" ma:root="true" ma:fieldsID="2d948f4f0ef2fc55568c69c746b0b4b3" ns2:_="" ns3:_="">
    <xsd:import namespace="c3c8f14d-de17-4729-8cd2-1c2c3f027e5c"/>
    <xsd:import namespace="b621dfd6-c00f-47c5-b5af-67d3653e83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8f14d-de17-4729-8cd2-1c2c3f027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7e887b-1209-4573-9ff2-b0cecb1881f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21dfd6-c00f-47c5-b5af-67d3653e83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c1a041-ff7c-4483-8ed2-8551aa9b4c3b}" ma:internalName="TaxCatchAll" ma:showField="CatchAllData" ma:web="b621dfd6-c00f-47c5-b5af-67d3653e83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8f14d-de17-4729-8cd2-1c2c3f027e5c">
      <Terms xmlns="http://schemas.microsoft.com/office/infopath/2007/PartnerControls"/>
    </lcf76f155ced4ddcb4097134ff3c332f>
    <TaxCatchAll xmlns="b621dfd6-c00f-47c5-b5af-67d3653e8304" xsi:nil="true"/>
  </documentManagement>
</p:properties>
</file>

<file path=customXml/itemProps1.xml><?xml version="1.0" encoding="utf-8"?>
<ds:datastoreItem xmlns:ds="http://schemas.openxmlformats.org/officeDocument/2006/customXml" ds:itemID="{1B3BDE56-7508-46DF-BC86-0D0BDC33AD44}">
  <ds:schemaRefs/>
</ds:datastoreItem>
</file>

<file path=customXml/itemProps2.xml><?xml version="1.0" encoding="utf-8"?>
<ds:datastoreItem xmlns:ds="http://schemas.openxmlformats.org/officeDocument/2006/customXml" ds:itemID="{E70F96CB-0B1E-4067-BABA-FF0B1F5A46E6}">
  <ds:schemaRefs/>
</ds:datastoreItem>
</file>

<file path=customXml/itemProps3.xml><?xml version="1.0" encoding="utf-8"?>
<ds:datastoreItem xmlns:ds="http://schemas.openxmlformats.org/officeDocument/2006/customXml" ds:itemID="{49A0776C-64A1-416D-A608-D84D95709D82}">
  <ds:schemaRefs/>
</ds:datastoreItem>
</file>

<file path=customXml/itemProps4.xml><?xml version="1.0" encoding="utf-8"?>
<ds:datastoreItem xmlns:ds="http://schemas.openxmlformats.org/officeDocument/2006/customXml" ds:itemID="{8991D50D-9884-4A4E-89BF-B00B4DE719E7}">
  <ds:schemaRefs/>
</ds:datastoreItem>
</file>

<file path=docProps/app.xml><?xml version="1.0" encoding="utf-8"?>
<Properties xmlns="http://schemas.openxmlformats.org/officeDocument/2006/extended-properties" xmlns:vt="http://schemas.openxmlformats.org/officeDocument/2006/docPropsVTypes">
  <Template>Normal</Template>
  <Pages>25</Pages>
  <Words>10220</Words>
  <Characters>58257</Characters>
  <Lines>485</Lines>
  <Paragraphs>136</Paragraphs>
  <TotalTime>0</TotalTime>
  <ScaleCrop>false</ScaleCrop>
  <LinksUpToDate>false</LinksUpToDate>
  <CharactersWithSpaces>68341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2023-12-04T10:21:00Z</dcterms:created>
  <dc:creator>Notebook</dc:creator>
  <cp:lastModifiedBy>Haris</cp:lastModifiedBy>
  <dcterms:modified xsi:type="dcterms:W3CDTF">2025-02-21T14:50:47Z</dcterms:modified>
  <dc:title>PARTICULARS TO APPEAR ON &lt;THE OUTER PACKAGING&gt; &lt;AND&gt; &lt;THE IMMEDIATE PACKAGING&gt;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0x01010006FFE6B2463DCD468DDA6340563834B3</vt:lpwstr>
  </property>
  <property fmtid="{D5CDD505-2E9C-101B-9397-08002B2CF9AE}" pid="3" name="KSOProductBuildVer">
    <vt:lpwstr>1033-12.2.0.19805</vt:lpwstr>
  </property>
  <property fmtid="{D5CDD505-2E9C-101B-9397-08002B2CF9AE}" pid="4" name="ICV">
    <vt:lpwstr>B9A5AB7D63BF49A4906B620693C01A5D_13</vt:lpwstr>
  </property>
</Properties>
</file>